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C00FC" w14:textId="1C287726" w:rsidR="004F39B9" w:rsidRPr="00DF2CE8" w:rsidRDefault="004F39B9" w:rsidP="004F39B9">
      <w:pPr>
        <w:pStyle w:val="paragraph"/>
        <w:spacing w:before="0" w:beforeAutospacing="0" w:after="0" w:afterAutospacing="0"/>
        <w:jc w:val="right"/>
        <w:textAlignment w:val="baseline"/>
        <w:rPr>
          <w:rFonts w:ascii="Cambria" w:hAnsi="Cambria" w:cs="Segoe UI"/>
          <w:sz w:val="20"/>
          <w:szCs w:val="20"/>
        </w:rPr>
      </w:pPr>
      <w:bookmarkStart w:id="0" w:name="_Hlk149656739"/>
      <w:r w:rsidRPr="00DF2CE8">
        <w:rPr>
          <w:rFonts w:ascii="Cambria" w:hAnsi="Cambria"/>
          <w:b/>
          <w:sz w:val="20"/>
          <w:szCs w:val="20"/>
        </w:rPr>
        <w:t>Original : anglais/espagnol</w:t>
      </w:r>
      <w:r w:rsidRPr="00DF2CE8">
        <w:rPr>
          <w:rFonts w:ascii="Cambria" w:hAnsi="Cambria"/>
          <w:sz w:val="20"/>
          <w:szCs w:val="20"/>
        </w:rPr>
        <w:t> </w:t>
      </w:r>
    </w:p>
    <w:p w14:paraId="62B8E27B" w14:textId="77777777" w:rsidR="005E2A13" w:rsidRPr="00DF2CE8" w:rsidRDefault="005E2A13" w:rsidP="004F39B9">
      <w:pPr>
        <w:jc w:val="center"/>
        <w:textAlignment w:val="baseline"/>
        <w:rPr>
          <w:rFonts w:ascii="Cambria" w:hAnsi="Cambria"/>
          <w:b/>
          <w:sz w:val="20"/>
          <w:szCs w:val="20"/>
        </w:rPr>
      </w:pPr>
    </w:p>
    <w:p w14:paraId="502E888E" w14:textId="23C1F3F6" w:rsidR="004F39B9" w:rsidRPr="00DF2CE8" w:rsidRDefault="004F39B9" w:rsidP="004F39B9">
      <w:pPr>
        <w:jc w:val="center"/>
        <w:textAlignment w:val="baseline"/>
        <w:rPr>
          <w:rFonts w:ascii="Cambria" w:hAnsi="Cambria" w:cs="Segoe UI"/>
          <w:sz w:val="20"/>
          <w:szCs w:val="20"/>
        </w:rPr>
      </w:pPr>
      <w:r w:rsidRPr="00DF2CE8">
        <w:rPr>
          <w:rFonts w:ascii="Cambria" w:hAnsi="Cambria"/>
          <w:b/>
          <w:sz w:val="20"/>
          <w:szCs w:val="20"/>
        </w:rPr>
        <w:t>29</w:t>
      </w:r>
      <w:r w:rsidRPr="00DF2CE8">
        <w:rPr>
          <w:rFonts w:ascii="Cambria" w:hAnsi="Cambria"/>
          <w:b/>
          <w:sz w:val="20"/>
          <w:szCs w:val="20"/>
          <w:vertAlign w:val="superscript"/>
        </w:rPr>
        <w:t>e</w:t>
      </w:r>
      <w:r w:rsidRPr="00DF2CE8">
        <w:rPr>
          <w:rFonts w:ascii="Cambria" w:hAnsi="Cambria"/>
          <w:b/>
          <w:sz w:val="20"/>
          <w:szCs w:val="20"/>
        </w:rPr>
        <w:t xml:space="preserve"> réunion ordinaire de la Commission internationale</w:t>
      </w:r>
      <w:r w:rsidRPr="00DF2CE8">
        <w:rPr>
          <w:rFonts w:ascii="Cambria" w:hAnsi="Cambria"/>
          <w:sz w:val="20"/>
          <w:szCs w:val="20"/>
        </w:rPr>
        <w:t> </w:t>
      </w:r>
    </w:p>
    <w:p w14:paraId="24399497" w14:textId="39E021D7" w:rsidR="004F39B9" w:rsidRPr="00DF2CE8" w:rsidRDefault="004F39B9" w:rsidP="004F39B9">
      <w:pPr>
        <w:jc w:val="center"/>
        <w:textAlignment w:val="baseline"/>
        <w:rPr>
          <w:rFonts w:ascii="Cambria" w:hAnsi="Cambria" w:cs="Segoe UI"/>
          <w:sz w:val="20"/>
          <w:szCs w:val="20"/>
        </w:rPr>
      </w:pPr>
      <w:proofErr w:type="gramStart"/>
      <w:r w:rsidRPr="00DF2CE8">
        <w:rPr>
          <w:rFonts w:ascii="Cambria" w:hAnsi="Cambria"/>
          <w:b/>
          <w:sz w:val="20"/>
          <w:szCs w:val="20"/>
        </w:rPr>
        <w:t>pour</w:t>
      </w:r>
      <w:proofErr w:type="gramEnd"/>
      <w:r w:rsidRPr="00DF2CE8">
        <w:rPr>
          <w:rFonts w:ascii="Cambria" w:hAnsi="Cambria"/>
          <w:b/>
          <w:sz w:val="20"/>
          <w:szCs w:val="20"/>
        </w:rPr>
        <w:t xml:space="preserve"> la conservation des thonidés de l’Atlantique</w:t>
      </w:r>
      <w:r w:rsidRPr="00DF2CE8">
        <w:rPr>
          <w:rFonts w:ascii="Cambria" w:hAnsi="Cambria"/>
          <w:sz w:val="20"/>
          <w:szCs w:val="20"/>
        </w:rPr>
        <w:t> </w:t>
      </w:r>
      <w:r w:rsidR="00B64F5D" w:rsidRPr="00DF2CE8">
        <w:rPr>
          <w:rFonts w:ascii="Cambria" w:hAnsi="Cambria"/>
          <w:b/>
          <w:bCs/>
          <w:sz w:val="20"/>
          <w:szCs w:val="20"/>
        </w:rPr>
        <w:t>(ICCAT)</w:t>
      </w:r>
    </w:p>
    <w:p w14:paraId="50063900" w14:textId="52FDAE04" w:rsidR="004F39B9" w:rsidRPr="00DF2CE8" w:rsidRDefault="004F39B9" w:rsidP="004F39B9">
      <w:pPr>
        <w:jc w:val="center"/>
        <w:textAlignment w:val="baseline"/>
        <w:rPr>
          <w:rFonts w:ascii="Cambria" w:hAnsi="Cambria" w:cs="Segoe UI"/>
          <w:sz w:val="20"/>
          <w:szCs w:val="20"/>
        </w:rPr>
      </w:pPr>
      <w:r w:rsidRPr="00DF2CE8">
        <w:rPr>
          <w:rFonts w:ascii="Cambria" w:hAnsi="Cambria"/>
          <w:i/>
          <w:sz w:val="20"/>
          <w:szCs w:val="20"/>
        </w:rPr>
        <w:t>(17-24 novembre 2025)</w:t>
      </w:r>
      <w:r w:rsidRPr="00DF2CE8">
        <w:rPr>
          <w:rFonts w:ascii="Cambria" w:hAnsi="Cambria"/>
          <w:sz w:val="20"/>
          <w:szCs w:val="20"/>
        </w:rPr>
        <w:t> </w:t>
      </w:r>
    </w:p>
    <w:p w14:paraId="19C58E2B" w14:textId="77777777" w:rsidR="004F39B9" w:rsidRPr="00DF2CE8" w:rsidRDefault="004F39B9" w:rsidP="004F39B9">
      <w:pPr>
        <w:jc w:val="center"/>
        <w:textAlignment w:val="baseline"/>
        <w:rPr>
          <w:rFonts w:ascii="Cambria" w:hAnsi="Cambria" w:cs="Segoe UI"/>
          <w:sz w:val="20"/>
          <w:szCs w:val="20"/>
        </w:rPr>
      </w:pPr>
      <w:r w:rsidRPr="00DF2CE8">
        <w:rPr>
          <w:rFonts w:ascii="Cambria" w:hAnsi="Cambria"/>
          <w:sz w:val="20"/>
          <w:szCs w:val="20"/>
        </w:rPr>
        <w:t> </w:t>
      </w:r>
    </w:p>
    <w:p w14:paraId="04FCBB39" w14:textId="77777777" w:rsidR="00991363" w:rsidRPr="00DF2CE8" w:rsidRDefault="00991363" w:rsidP="004F39B9">
      <w:pPr>
        <w:jc w:val="center"/>
        <w:textAlignment w:val="baseline"/>
        <w:rPr>
          <w:rFonts w:ascii="Cambria" w:hAnsi="Cambria" w:cs="Segoe UI"/>
          <w:sz w:val="20"/>
          <w:szCs w:val="20"/>
        </w:rPr>
      </w:pPr>
      <w:r w:rsidRPr="00DF2CE8">
        <w:rPr>
          <w:rFonts w:ascii="Cambria" w:hAnsi="Cambria"/>
          <w:b/>
          <w:sz w:val="20"/>
          <w:szCs w:val="20"/>
        </w:rPr>
        <w:t>Ordres du jour provisoires annotés</w:t>
      </w:r>
      <w:r w:rsidRPr="00DF2CE8">
        <w:rPr>
          <w:rFonts w:ascii="Cambria" w:hAnsi="Cambria"/>
          <w:sz w:val="20"/>
          <w:szCs w:val="20"/>
        </w:rPr>
        <w:t> </w:t>
      </w:r>
    </w:p>
    <w:p w14:paraId="1C04D233" w14:textId="77777777" w:rsidR="00991363" w:rsidRPr="00DF2CE8" w:rsidRDefault="00991363" w:rsidP="004F39B9">
      <w:pPr>
        <w:jc w:val="center"/>
        <w:textAlignment w:val="baseline"/>
        <w:rPr>
          <w:rFonts w:ascii="Cambria" w:hAnsi="Cambria" w:cs="Segoe UI"/>
          <w:sz w:val="20"/>
          <w:szCs w:val="20"/>
        </w:rPr>
      </w:pPr>
    </w:p>
    <w:p w14:paraId="4AEBC0F1" w14:textId="7659259A" w:rsidR="004F39B9" w:rsidRPr="00DF2CE8" w:rsidRDefault="00991363" w:rsidP="004F39B9">
      <w:pPr>
        <w:jc w:val="center"/>
        <w:textAlignment w:val="baseline"/>
        <w:rPr>
          <w:rFonts w:ascii="Cambria" w:hAnsi="Cambria" w:cs="Segoe UI"/>
          <w:b/>
          <w:bCs/>
          <w:sz w:val="20"/>
          <w:szCs w:val="20"/>
        </w:rPr>
      </w:pPr>
      <w:r w:rsidRPr="00DF2CE8">
        <w:rPr>
          <w:rFonts w:ascii="Cambria" w:hAnsi="Cambria"/>
          <w:b/>
          <w:sz w:val="20"/>
          <w:szCs w:val="20"/>
        </w:rPr>
        <w:t>Sessions plénières</w:t>
      </w:r>
    </w:p>
    <w:p w14:paraId="5155B5AA" w14:textId="77777777" w:rsidR="004F39B9" w:rsidRPr="00DF2CE8" w:rsidRDefault="004F39B9" w:rsidP="004F39B9">
      <w:pPr>
        <w:textAlignment w:val="baseline"/>
        <w:rPr>
          <w:rFonts w:ascii="Cambria" w:hAnsi="Cambria" w:cs="Segoe UI"/>
          <w:sz w:val="20"/>
          <w:szCs w:val="20"/>
        </w:rPr>
      </w:pPr>
      <w:r w:rsidRPr="00DF2CE8">
        <w:rPr>
          <w:rFonts w:ascii="Cambria" w:hAnsi="Cambria"/>
          <w:sz w:val="20"/>
          <w:szCs w:val="20"/>
        </w:rPr>
        <w:t> </w:t>
      </w:r>
    </w:p>
    <w:p w14:paraId="60272BF9" w14:textId="77777777" w:rsidR="004F39B9" w:rsidRPr="00DF2CE8" w:rsidRDefault="004F39B9" w:rsidP="003A33A1">
      <w:pPr>
        <w:numPr>
          <w:ilvl w:val="0"/>
          <w:numId w:val="15"/>
        </w:numPr>
        <w:tabs>
          <w:tab w:val="clear" w:pos="720"/>
        </w:tabs>
        <w:ind w:left="426" w:hanging="426"/>
        <w:jc w:val="both"/>
        <w:textAlignment w:val="baseline"/>
        <w:rPr>
          <w:rFonts w:ascii="Cambria" w:hAnsi="Cambria" w:cs="Segoe UI"/>
          <w:bCs/>
          <w:sz w:val="20"/>
          <w:szCs w:val="20"/>
        </w:rPr>
      </w:pPr>
      <w:r w:rsidRPr="00DF2CE8">
        <w:rPr>
          <w:rFonts w:ascii="Cambria" w:hAnsi="Cambria"/>
          <w:bCs/>
          <w:sz w:val="20"/>
          <w:szCs w:val="20"/>
        </w:rPr>
        <w:t>Ouverture de la réunion </w:t>
      </w:r>
    </w:p>
    <w:p w14:paraId="59CEDAE7"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6FB0BBE3" w14:textId="69D578C6" w:rsidR="004F39B9" w:rsidRPr="00DF2CE8" w:rsidRDefault="004F39B9" w:rsidP="004F39B9">
      <w:pPr>
        <w:ind w:left="435"/>
        <w:jc w:val="both"/>
        <w:textAlignment w:val="baseline"/>
        <w:rPr>
          <w:rFonts w:ascii="Cambria" w:hAnsi="Cambria" w:cs="Segoe UI"/>
          <w:sz w:val="20"/>
          <w:szCs w:val="20"/>
        </w:rPr>
      </w:pPr>
      <w:r w:rsidRPr="00DF2CE8">
        <w:rPr>
          <w:rFonts w:ascii="Cambria" w:hAnsi="Cambria"/>
          <w:i/>
          <w:sz w:val="20"/>
          <w:szCs w:val="20"/>
        </w:rPr>
        <w:t>La réunion sera inaugurée par le Président de la Commission, M. Ernesto Penas (UE), qui souhaitera la bienvenue aux participants,</w:t>
      </w:r>
      <w:r w:rsidR="005E2A13" w:rsidRPr="00DF2CE8">
        <w:rPr>
          <w:rFonts w:ascii="Cambria" w:hAnsi="Cambria"/>
          <w:i/>
          <w:sz w:val="20"/>
          <w:szCs w:val="20"/>
        </w:rPr>
        <w:t xml:space="preserve"> </w:t>
      </w:r>
      <w:r w:rsidRPr="00DF2CE8">
        <w:rPr>
          <w:rFonts w:ascii="Cambria" w:hAnsi="Cambria"/>
          <w:i/>
          <w:sz w:val="20"/>
          <w:szCs w:val="20"/>
        </w:rPr>
        <w:t>tant ceux présents physiquement que ceux connectés en ligne.</w:t>
      </w:r>
      <w:r w:rsidRPr="00DF2CE8">
        <w:rPr>
          <w:rFonts w:ascii="Cambria" w:hAnsi="Cambria"/>
          <w:sz w:val="20"/>
          <w:szCs w:val="20"/>
        </w:rPr>
        <w:t> </w:t>
      </w:r>
    </w:p>
    <w:p w14:paraId="6A24E9D9"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32DB1D56" w14:textId="4E605579" w:rsidR="000A2BB3" w:rsidRPr="00DF2CE8" w:rsidRDefault="00650AE3" w:rsidP="00743EF7">
      <w:pPr>
        <w:ind w:left="426" w:hanging="426"/>
        <w:jc w:val="both"/>
        <w:textAlignment w:val="baseline"/>
        <w:rPr>
          <w:rFonts w:ascii="Cambria" w:hAnsi="Cambria" w:cs="Segoe UI"/>
          <w:bCs/>
          <w:sz w:val="20"/>
          <w:szCs w:val="20"/>
        </w:rPr>
      </w:pPr>
      <w:r w:rsidRPr="00DF2CE8">
        <w:rPr>
          <w:rFonts w:ascii="Cambria" w:hAnsi="Cambria"/>
          <w:bCs/>
          <w:sz w:val="20"/>
          <w:szCs w:val="20"/>
        </w:rPr>
        <w:t xml:space="preserve">2.  </w:t>
      </w:r>
      <w:r w:rsidRPr="00DF2CE8">
        <w:rPr>
          <w:rFonts w:ascii="Cambria" w:hAnsi="Cambria"/>
          <w:bCs/>
          <w:sz w:val="20"/>
          <w:szCs w:val="20"/>
        </w:rPr>
        <w:tab/>
        <w:t>Organisation des sessions, adoption de l'ordre du jour et désignation du rapporteur</w:t>
      </w:r>
    </w:p>
    <w:p w14:paraId="10C5CE73" w14:textId="77777777" w:rsidR="00601C14" w:rsidRPr="00DF2CE8" w:rsidRDefault="00601C14" w:rsidP="004F39B9">
      <w:pPr>
        <w:ind w:left="435"/>
        <w:jc w:val="both"/>
        <w:textAlignment w:val="baseline"/>
        <w:rPr>
          <w:rFonts w:ascii="Cambria" w:hAnsi="Cambria" w:cs="Segoe UI"/>
          <w:sz w:val="20"/>
          <w:szCs w:val="20"/>
        </w:rPr>
      </w:pPr>
    </w:p>
    <w:p w14:paraId="2A49ED76" w14:textId="60BBE9E8" w:rsidR="004F39B9" w:rsidRPr="00DF2CE8" w:rsidRDefault="000A2BB3" w:rsidP="004F39B9">
      <w:pPr>
        <w:ind w:left="435"/>
        <w:jc w:val="both"/>
        <w:textAlignment w:val="baseline"/>
        <w:rPr>
          <w:rFonts w:ascii="Cambria" w:hAnsi="Cambria" w:cs="Segoe UI"/>
          <w:i/>
          <w:iCs/>
          <w:sz w:val="20"/>
          <w:szCs w:val="20"/>
        </w:rPr>
      </w:pPr>
      <w:r w:rsidRPr="00DF2CE8">
        <w:rPr>
          <w:rFonts w:ascii="Cambria" w:hAnsi="Cambria"/>
          <w:i/>
          <w:sz w:val="20"/>
          <w:szCs w:val="20"/>
        </w:rPr>
        <w:t>Le Secrétariat fournira des informations sur l'organisation de la réunion et sa logistique.</w:t>
      </w:r>
    </w:p>
    <w:p w14:paraId="41CFCB9C" w14:textId="77777777" w:rsidR="000A2BB3" w:rsidRPr="00DF2CE8" w:rsidRDefault="000A2BB3" w:rsidP="004F39B9">
      <w:pPr>
        <w:ind w:left="435"/>
        <w:jc w:val="both"/>
        <w:textAlignment w:val="baseline"/>
        <w:rPr>
          <w:rFonts w:ascii="Cambria" w:hAnsi="Cambria" w:cs="Segoe UI"/>
          <w:i/>
          <w:iCs/>
          <w:sz w:val="20"/>
          <w:szCs w:val="20"/>
        </w:rPr>
      </w:pPr>
    </w:p>
    <w:p w14:paraId="71278B60" w14:textId="0E34601C" w:rsidR="004F39B9" w:rsidRPr="00DF2CE8" w:rsidRDefault="004F39B9" w:rsidP="00601C14">
      <w:pPr>
        <w:ind w:left="435"/>
        <w:jc w:val="both"/>
        <w:textAlignment w:val="baseline"/>
        <w:rPr>
          <w:rFonts w:ascii="Cambria" w:hAnsi="Cambria" w:cs="Segoe UI"/>
          <w:sz w:val="20"/>
          <w:szCs w:val="20"/>
        </w:rPr>
      </w:pPr>
      <w:r w:rsidRPr="00DF2CE8">
        <w:rPr>
          <w:rFonts w:ascii="Cambria" w:hAnsi="Cambria"/>
          <w:i/>
          <w:sz w:val="20"/>
          <w:szCs w:val="20"/>
        </w:rPr>
        <w:t xml:space="preserve">L'ordre du jour de la réunion plénière est le document </w:t>
      </w:r>
      <w:r w:rsidRPr="00DF2CE8">
        <w:rPr>
          <w:rFonts w:ascii="Cambria" w:hAnsi="Cambria"/>
          <w:b/>
          <w:i/>
          <w:sz w:val="20"/>
          <w:szCs w:val="20"/>
        </w:rPr>
        <w:t>PLE_100/</w:t>
      </w:r>
      <w:r w:rsidR="005E2A13" w:rsidRPr="00DF2CE8">
        <w:rPr>
          <w:rFonts w:ascii="Cambria" w:hAnsi="Cambria"/>
          <w:b/>
          <w:i/>
          <w:sz w:val="20"/>
          <w:szCs w:val="20"/>
        </w:rPr>
        <w:t>2025.</w:t>
      </w:r>
      <w:r w:rsidRPr="00DF2CE8">
        <w:rPr>
          <w:rFonts w:ascii="Cambria" w:hAnsi="Cambria"/>
          <w:b/>
          <w:i/>
          <w:sz w:val="20"/>
          <w:szCs w:val="20"/>
        </w:rPr>
        <w:t xml:space="preserve"> </w:t>
      </w:r>
      <w:r w:rsidRPr="00DF2CE8">
        <w:rPr>
          <w:rFonts w:ascii="Cambria" w:hAnsi="Cambria"/>
          <w:i/>
          <w:sz w:val="20"/>
          <w:szCs w:val="20"/>
        </w:rPr>
        <w:t xml:space="preserve">Le calendrier provisoire figure dans le document </w:t>
      </w:r>
      <w:r w:rsidRPr="00DF2CE8">
        <w:rPr>
          <w:rFonts w:ascii="Cambria" w:hAnsi="Cambria"/>
          <w:b/>
          <w:i/>
          <w:sz w:val="20"/>
          <w:szCs w:val="20"/>
        </w:rPr>
        <w:t>GEN_002</w:t>
      </w:r>
      <w:r w:rsidR="005A1BE5" w:rsidRPr="00DF2CE8">
        <w:rPr>
          <w:rFonts w:ascii="Cambria" w:hAnsi="Cambria"/>
          <w:b/>
          <w:i/>
          <w:sz w:val="20"/>
          <w:szCs w:val="20"/>
        </w:rPr>
        <w:t>_REV_1</w:t>
      </w:r>
      <w:r w:rsidRPr="00DF2CE8">
        <w:rPr>
          <w:rFonts w:ascii="Cambria" w:hAnsi="Cambria"/>
          <w:b/>
          <w:i/>
          <w:sz w:val="20"/>
          <w:szCs w:val="20"/>
        </w:rPr>
        <w:t>/2025</w:t>
      </w:r>
      <w:r w:rsidRPr="00DF2CE8">
        <w:rPr>
          <w:rFonts w:ascii="Cambria" w:hAnsi="Cambria"/>
          <w:i/>
          <w:sz w:val="20"/>
          <w:szCs w:val="20"/>
        </w:rPr>
        <w:t>. Toutefois, ces informations peuvent être modifiées au fur et à mesure de l’avancement de la réunion, c'est pourquoi nous recommandons aux participants de consulter régulièrement le site web de la réunion pour connaître les versions actualisées.</w:t>
      </w:r>
      <w:r w:rsidRPr="00DF2CE8">
        <w:rPr>
          <w:rFonts w:ascii="Cambria" w:hAnsi="Cambria"/>
          <w:sz w:val="20"/>
          <w:szCs w:val="20"/>
        </w:rPr>
        <w:t> </w:t>
      </w:r>
    </w:p>
    <w:p w14:paraId="757A2B8D" w14:textId="77777777" w:rsidR="00601C14" w:rsidRPr="00DF2CE8" w:rsidRDefault="00601C14" w:rsidP="00601C14">
      <w:pPr>
        <w:ind w:left="435"/>
        <w:jc w:val="both"/>
        <w:textAlignment w:val="baseline"/>
        <w:rPr>
          <w:rFonts w:ascii="Cambria" w:hAnsi="Cambria" w:cs="Segoe UI"/>
          <w:sz w:val="20"/>
          <w:szCs w:val="20"/>
        </w:rPr>
      </w:pPr>
    </w:p>
    <w:p w14:paraId="4168E192" w14:textId="3DFCEA7E" w:rsidR="004F39B9" w:rsidRPr="00DF2CE8" w:rsidRDefault="004F39B9" w:rsidP="00743EF7">
      <w:pPr>
        <w:ind w:left="426" w:hanging="426"/>
        <w:jc w:val="both"/>
        <w:textAlignment w:val="baseline"/>
        <w:rPr>
          <w:rFonts w:ascii="Cambria" w:hAnsi="Cambria" w:cs="Segoe UI"/>
          <w:bCs/>
          <w:sz w:val="20"/>
          <w:szCs w:val="20"/>
        </w:rPr>
      </w:pPr>
      <w:r w:rsidRPr="00DF2CE8">
        <w:rPr>
          <w:rFonts w:ascii="Cambria" w:hAnsi="Cambria"/>
          <w:bCs/>
          <w:sz w:val="20"/>
          <w:szCs w:val="20"/>
        </w:rPr>
        <w:t xml:space="preserve"> 3. </w:t>
      </w:r>
      <w:r w:rsidRPr="00DF2CE8">
        <w:rPr>
          <w:rFonts w:ascii="Cambria" w:hAnsi="Cambria"/>
          <w:bCs/>
          <w:sz w:val="20"/>
          <w:szCs w:val="20"/>
        </w:rPr>
        <w:tab/>
        <w:t>Présentation des délégations des Parties contractantes </w:t>
      </w:r>
    </w:p>
    <w:p w14:paraId="6FA26FB5"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45A47282" w14:textId="2ABCB333" w:rsidR="004F39B9" w:rsidRPr="00DF2CE8" w:rsidRDefault="004F39B9" w:rsidP="004F39B9">
      <w:pPr>
        <w:ind w:left="435"/>
        <w:jc w:val="both"/>
        <w:textAlignment w:val="baseline"/>
        <w:rPr>
          <w:rFonts w:ascii="Cambria" w:hAnsi="Cambria" w:cs="Segoe UI"/>
          <w:sz w:val="20"/>
          <w:szCs w:val="20"/>
        </w:rPr>
      </w:pPr>
      <w:r w:rsidRPr="00DF2CE8">
        <w:rPr>
          <w:rFonts w:ascii="Cambria" w:hAnsi="Cambria"/>
          <w:i/>
          <w:sz w:val="20"/>
          <w:szCs w:val="20"/>
        </w:rPr>
        <w:t xml:space="preserve">M. Camille Jean Pierre Manel, Secrétaire exécutif de l’ICCAT, présentera les Parties contractantes présentes. La liste des participants sera publiée sous la référence </w:t>
      </w:r>
      <w:r w:rsidRPr="00DF2CE8">
        <w:rPr>
          <w:rFonts w:ascii="Cambria" w:hAnsi="Cambria"/>
          <w:b/>
          <w:i/>
          <w:sz w:val="20"/>
          <w:szCs w:val="20"/>
        </w:rPr>
        <w:t>GEN_008/2025.</w:t>
      </w:r>
      <w:r w:rsidRPr="00DF2CE8">
        <w:rPr>
          <w:rFonts w:ascii="Cambria" w:hAnsi="Cambria"/>
          <w:sz w:val="20"/>
          <w:szCs w:val="20"/>
        </w:rPr>
        <w:t> </w:t>
      </w:r>
    </w:p>
    <w:p w14:paraId="50C9B387"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64F914C3" w14:textId="7C3BCA06" w:rsidR="004F39B9" w:rsidRPr="00DF2CE8" w:rsidRDefault="00601C14" w:rsidP="00743EF7">
      <w:pPr>
        <w:ind w:left="426" w:hanging="426"/>
        <w:jc w:val="both"/>
        <w:textAlignment w:val="baseline"/>
        <w:rPr>
          <w:rFonts w:ascii="Cambria" w:hAnsi="Cambria" w:cs="Segoe UI"/>
          <w:bCs/>
          <w:sz w:val="20"/>
          <w:szCs w:val="20"/>
        </w:rPr>
      </w:pPr>
      <w:r w:rsidRPr="00DF2CE8">
        <w:rPr>
          <w:rFonts w:ascii="Cambria" w:hAnsi="Cambria"/>
          <w:bCs/>
          <w:sz w:val="20"/>
          <w:szCs w:val="20"/>
        </w:rPr>
        <w:t>4.</w:t>
      </w:r>
      <w:r w:rsidRPr="00DF2CE8">
        <w:rPr>
          <w:rFonts w:ascii="Cambria" w:hAnsi="Cambria"/>
          <w:bCs/>
          <w:sz w:val="20"/>
          <w:szCs w:val="20"/>
        </w:rPr>
        <w:tab/>
        <w:t>Présentation des observateurs </w:t>
      </w:r>
    </w:p>
    <w:p w14:paraId="429E6B0F"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527DFFB5" w14:textId="243373AF" w:rsidR="004F39B9" w:rsidRPr="00DF2CE8" w:rsidRDefault="004F39B9" w:rsidP="004F39B9">
      <w:pPr>
        <w:ind w:left="435"/>
        <w:jc w:val="both"/>
        <w:textAlignment w:val="baseline"/>
        <w:rPr>
          <w:rFonts w:ascii="Cambria" w:hAnsi="Cambria" w:cs="Segoe UI"/>
          <w:sz w:val="20"/>
          <w:szCs w:val="20"/>
        </w:rPr>
      </w:pPr>
      <w:r w:rsidRPr="00DF2CE8">
        <w:rPr>
          <w:rFonts w:ascii="Cambria" w:hAnsi="Cambria"/>
          <w:i/>
          <w:sz w:val="20"/>
          <w:szCs w:val="20"/>
        </w:rPr>
        <w:t xml:space="preserve">M. Camille Jean Pierre Manel, Secrétaire exécutif de l’ICCAT, présentera les délégations d’observateurs présentes. La liste des participants sera publiée sous la référence </w:t>
      </w:r>
      <w:r w:rsidRPr="00DF2CE8">
        <w:rPr>
          <w:rFonts w:ascii="Cambria" w:hAnsi="Cambria"/>
          <w:b/>
          <w:i/>
          <w:sz w:val="20"/>
          <w:szCs w:val="20"/>
        </w:rPr>
        <w:t>GEN_008/2025.</w:t>
      </w:r>
      <w:r w:rsidRPr="00DF2CE8">
        <w:rPr>
          <w:rFonts w:ascii="Cambria" w:hAnsi="Cambria"/>
          <w:sz w:val="20"/>
          <w:szCs w:val="20"/>
        </w:rPr>
        <w:t> </w:t>
      </w:r>
    </w:p>
    <w:p w14:paraId="46C793C0"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717C1426" w14:textId="79F70B7B" w:rsidR="004F39B9" w:rsidRPr="00DF2CE8" w:rsidRDefault="00601C14" w:rsidP="00743EF7">
      <w:pPr>
        <w:ind w:left="426" w:hanging="426"/>
        <w:jc w:val="both"/>
        <w:textAlignment w:val="baseline"/>
        <w:rPr>
          <w:rFonts w:ascii="Cambria" w:hAnsi="Cambria" w:cs="Segoe UI"/>
          <w:bCs/>
          <w:sz w:val="20"/>
          <w:szCs w:val="20"/>
        </w:rPr>
      </w:pPr>
      <w:r w:rsidRPr="00DF2CE8">
        <w:rPr>
          <w:rFonts w:ascii="Cambria" w:hAnsi="Cambria"/>
          <w:bCs/>
          <w:sz w:val="20"/>
          <w:szCs w:val="20"/>
        </w:rPr>
        <w:t>5.</w:t>
      </w:r>
      <w:r w:rsidRPr="00DF2CE8">
        <w:rPr>
          <w:rFonts w:ascii="Cambria" w:hAnsi="Cambria"/>
          <w:bCs/>
          <w:sz w:val="20"/>
          <w:szCs w:val="20"/>
        </w:rPr>
        <w:tab/>
        <w:t>Examen du rapport du Comité permanent pour la recherche et les statistiques (SCRS) </w:t>
      </w:r>
    </w:p>
    <w:p w14:paraId="401DE91F"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568512B7" w14:textId="566BF8F0" w:rsidR="004F39B9" w:rsidRPr="00DF2CE8" w:rsidRDefault="004F39B9" w:rsidP="004F39B9">
      <w:pPr>
        <w:ind w:left="420"/>
        <w:jc w:val="both"/>
        <w:textAlignment w:val="baseline"/>
        <w:rPr>
          <w:rFonts w:ascii="Cambria" w:hAnsi="Cambria" w:cs="Segoe UI"/>
          <w:sz w:val="20"/>
          <w:szCs w:val="20"/>
        </w:rPr>
      </w:pPr>
      <w:r w:rsidRPr="00DF2CE8">
        <w:rPr>
          <w:rFonts w:ascii="Cambria" w:hAnsi="Cambria"/>
          <w:i/>
          <w:sz w:val="20"/>
          <w:szCs w:val="20"/>
        </w:rPr>
        <w:t>Le Président du SCRS/Vice-président du SCRS présentera les principales conclusions du SCRS, qui figurent dans le rapport du SCRS (</w:t>
      </w:r>
      <w:r w:rsidRPr="00DF2CE8">
        <w:rPr>
          <w:rFonts w:ascii="Cambria" w:hAnsi="Cambria"/>
          <w:b/>
          <w:bCs/>
          <w:i/>
          <w:sz w:val="20"/>
          <w:szCs w:val="20"/>
        </w:rPr>
        <w:t>PLE_104/2025</w:t>
      </w:r>
      <w:r w:rsidRPr="00DF2CE8">
        <w:rPr>
          <w:rFonts w:ascii="Cambria" w:hAnsi="Cambria"/>
          <w:i/>
          <w:sz w:val="20"/>
          <w:szCs w:val="20"/>
        </w:rPr>
        <w:t>) et dans le rapport du Secrétariat sur la recherche et les statistiques (</w:t>
      </w:r>
      <w:r w:rsidRPr="00DF2CE8">
        <w:rPr>
          <w:rFonts w:ascii="Cambria" w:hAnsi="Cambria"/>
          <w:b/>
          <w:bCs/>
          <w:i/>
          <w:sz w:val="20"/>
          <w:szCs w:val="20"/>
        </w:rPr>
        <w:t>PLE_105/2025</w:t>
      </w:r>
      <w:r w:rsidRPr="00DF2CE8">
        <w:rPr>
          <w:rFonts w:ascii="Cambria" w:hAnsi="Cambria"/>
          <w:i/>
          <w:sz w:val="20"/>
          <w:szCs w:val="20"/>
        </w:rPr>
        <w:t>). Les informations relatives à chaque espèce seront présentées lors des réunions des Sous-commissions. Le Président du SCRS</w:t>
      </w:r>
      <w:r w:rsidR="005A1BE5" w:rsidRPr="00DF2CE8">
        <w:rPr>
          <w:rFonts w:ascii="Cambria" w:hAnsi="Cambria"/>
          <w:i/>
          <w:sz w:val="20"/>
          <w:szCs w:val="20"/>
        </w:rPr>
        <w:t xml:space="preserve"> </w:t>
      </w:r>
      <w:r w:rsidRPr="00DF2CE8">
        <w:rPr>
          <w:rFonts w:ascii="Cambria" w:hAnsi="Cambria"/>
          <w:i/>
          <w:sz w:val="20"/>
          <w:szCs w:val="20"/>
        </w:rPr>
        <w:t>apportera quelques réponses à la Commission sur les questions soulevées en ce qui concerne les tortues marines, les systèmes de surveillance électronique, la prise en compte des écosystèmes et du changement climatique, ainsi que l'opportunité des approches alternatives aux programmes d'observateurs scientifiques proposés par les CPC.</w:t>
      </w:r>
      <w:r w:rsidRPr="00DF2CE8">
        <w:rPr>
          <w:rFonts w:ascii="Cambria" w:hAnsi="Cambria"/>
          <w:sz w:val="20"/>
          <w:szCs w:val="20"/>
        </w:rPr>
        <w:t> </w:t>
      </w:r>
    </w:p>
    <w:p w14:paraId="4A2BE91F"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119B20A8" w14:textId="57B9B549" w:rsidR="004F39B9" w:rsidRPr="00DF2CE8" w:rsidRDefault="004F39B9" w:rsidP="004F39B9">
      <w:pPr>
        <w:ind w:left="435"/>
        <w:jc w:val="both"/>
        <w:textAlignment w:val="baseline"/>
        <w:rPr>
          <w:rFonts w:ascii="Cambria" w:hAnsi="Cambria" w:cs="Segoe UI"/>
          <w:sz w:val="20"/>
          <w:szCs w:val="20"/>
        </w:rPr>
      </w:pPr>
      <w:r w:rsidRPr="00DF2CE8">
        <w:rPr>
          <w:rFonts w:ascii="Cambria" w:hAnsi="Cambria"/>
          <w:i/>
          <w:sz w:val="20"/>
          <w:szCs w:val="20"/>
        </w:rPr>
        <w:t xml:space="preserve">La feuille de route révisée pour les processus de MSE de l'ICCAT sera </w:t>
      </w:r>
      <w:r w:rsidR="005A1BE5" w:rsidRPr="00DF2CE8">
        <w:rPr>
          <w:rFonts w:ascii="Cambria" w:hAnsi="Cambria"/>
          <w:i/>
          <w:sz w:val="20"/>
          <w:szCs w:val="20"/>
        </w:rPr>
        <w:t>présentée</w:t>
      </w:r>
      <w:r w:rsidRPr="00DF2CE8">
        <w:rPr>
          <w:rFonts w:ascii="Cambria" w:hAnsi="Cambria"/>
          <w:i/>
          <w:sz w:val="20"/>
          <w:szCs w:val="20"/>
        </w:rPr>
        <w:t xml:space="preserve"> sous la référence </w:t>
      </w:r>
      <w:r w:rsidRPr="00DF2CE8">
        <w:rPr>
          <w:rFonts w:ascii="Cambria" w:hAnsi="Cambria"/>
          <w:b/>
          <w:i/>
          <w:sz w:val="20"/>
          <w:szCs w:val="20"/>
        </w:rPr>
        <w:t xml:space="preserve">PLE_108/2025. </w:t>
      </w:r>
      <w:r w:rsidRPr="00DF2CE8">
        <w:rPr>
          <w:rFonts w:ascii="Cambria" w:hAnsi="Cambria"/>
          <w:i/>
          <w:sz w:val="20"/>
          <w:szCs w:val="20"/>
        </w:rPr>
        <w:t>Il est possible que l'approbation définitive de cette feuille de route soit reportée à la dernière session plénière, une fois que les Sous-commissions auront finalisé leurs délibérations.</w:t>
      </w:r>
      <w:r w:rsidRPr="00DF2CE8">
        <w:rPr>
          <w:rFonts w:ascii="Cambria" w:hAnsi="Cambria"/>
          <w:sz w:val="20"/>
          <w:szCs w:val="20"/>
        </w:rPr>
        <w:t> </w:t>
      </w:r>
    </w:p>
    <w:p w14:paraId="358D8920" w14:textId="77777777" w:rsidR="0099649A" w:rsidRPr="00DF2CE8" w:rsidRDefault="0099649A" w:rsidP="004F39B9">
      <w:pPr>
        <w:ind w:left="435"/>
        <w:jc w:val="both"/>
        <w:textAlignment w:val="baseline"/>
        <w:rPr>
          <w:rFonts w:ascii="Cambria" w:hAnsi="Cambria" w:cs="Segoe UI"/>
          <w:sz w:val="20"/>
          <w:szCs w:val="20"/>
        </w:rPr>
      </w:pPr>
    </w:p>
    <w:p w14:paraId="3C627331" w14:textId="3D77FEA3" w:rsidR="0099649A" w:rsidRPr="00DF2CE8" w:rsidRDefault="0099649A" w:rsidP="004F39B9">
      <w:pPr>
        <w:ind w:left="435"/>
        <w:jc w:val="both"/>
        <w:textAlignment w:val="baseline"/>
        <w:rPr>
          <w:rFonts w:ascii="Cambria" w:hAnsi="Cambria" w:cs="Segoe UI"/>
          <w:i/>
          <w:iCs/>
          <w:sz w:val="20"/>
          <w:szCs w:val="20"/>
        </w:rPr>
      </w:pPr>
      <w:r w:rsidRPr="00DF2CE8">
        <w:rPr>
          <w:rFonts w:ascii="Cambria" w:hAnsi="Cambria"/>
          <w:i/>
          <w:sz w:val="20"/>
          <w:szCs w:val="20"/>
        </w:rPr>
        <w:t xml:space="preserve">Le SCRS a proposé un format alternatif à la feuille de route adoptée, qu'il présentera sous la référence </w:t>
      </w:r>
      <w:r w:rsidRPr="00DF2CE8">
        <w:rPr>
          <w:rFonts w:ascii="Cambria" w:hAnsi="Cambria"/>
          <w:b/>
          <w:i/>
          <w:sz w:val="20"/>
          <w:szCs w:val="20"/>
        </w:rPr>
        <w:t>PLE_109/2025</w:t>
      </w:r>
      <w:r w:rsidRPr="00DF2CE8">
        <w:rPr>
          <w:rFonts w:ascii="Cambria" w:hAnsi="Cambria"/>
          <w:i/>
          <w:sz w:val="20"/>
          <w:szCs w:val="20"/>
        </w:rPr>
        <w:t>.</w:t>
      </w:r>
    </w:p>
    <w:p w14:paraId="07409112"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530A1051" w14:textId="5192CFE8"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t>6.</w:t>
      </w:r>
      <w:r w:rsidRPr="00DF2CE8">
        <w:rPr>
          <w:rFonts w:ascii="Cambria" w:hAnsi="Cambria"/>
          <w:bCs/>
          <w:sz w:val="20"/>
          <w:szCs w:val="20"/>
        </w:rPr>
        <w:tab/>
        <w:t>Examen des rapports des réunions intersessions tenues en 2025 et examen de toute action nécessaire </w:t>
      </w:r>
    </w:p>
    <w:p w14:paraId="4420D6C8"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3ADC8AF4" w14:textId="623E21BA" w:rsidR="004F39B9" w:rsidRPr="00DF2CE8" w:rsidRDefault="004F39B9" w:rsidP="004F39B9">
      <w:pPr>
        <w:ind w:left="420"/>
        <w:jc w:val="both"/>
        <w:textAlignment w:val="baseline"/>
        <w:rPr>
          <w:rFonts w:ascii="Cambria" w:hAnsi="Cambria" w:cs="Segoe UI"/>
          <w:i/>
          <w:iCs/>
          <w:sz w:val="20"/>
          <w:szCs w:val="20"/>
        </w:rPr>
      </w:pPr>
      <w:r w:rsidRPr="00DF2CE8">
        <w:rPr>
          <w:rFonts w:ascii="Cambria" w:hAnsi="Cambria"/>
          <w:i/>
          <w:sz w:val="20"/>
          <w:szCs w:val="20"/>
        </w:rPr>
        <w:t>Les rapports des différentes réunions intersessions seront examinés par les organes subsidiaires compétents, qui pourront faire part de leurs conclusions à la Commission après examen. Les rapports des différentes réunions intersessions ont été publiés comme suit :  Rapport de la réunion intersessions de la Sous-commission 1 (</w:t>
      </w:r>
      <w:r w:rsidRPr="00DF2CE8">
        <w:rPr>
          <w:rFonts w:ascii="Cambria" w:hAnsi="Cambria"/>
          <w:b/>
          <w:i/>
          <w:sz w:val="20"/>
          <w:szCs w:val="20"/>
        </w:rPr>
        <w:t>PA1_501/2025</w:t>
      </w:r>
      <w:r w:rsidRPr="00DF2CE8">
        <w:rPr>
          <w:rFonts w:ascii="Cambria" w:hAnsi="Cambria"/>
          <w:i/>
          <w:sz w:val="20"/>
          <w:szCs w:val="20"/>
        </w:rPr>
        <w:t>) ; Rapport de la réunion intersessions de la Sous-commission 2 (</w:t>
      </w:r>
      <w:r w:rsidRPr="00DF2CE8">
        <w:rPr>
          <w:rFonts w:ascii="Cambria" w:hAnsi="Cambria"/>
          <w:b/>
          <w:i/>
          <w:sz w:val="20"/>
          <w:szCs w:val="20"/>
        </w:rPr>
        <w:t>PA2_602/2025</w:t>
      </w:r>
      <w:r w:rsidRPr="00DF2CE8">
        <w:rPr>
          <w:rFonts w:ascii="Cambria" w:hAnsi="Cambria"/>
          <w:i/>
          <w:sz w:val="20"/>
          <w:szCs w:val="20"/>
        </w:rPr>
        <w:t xml:space="preserve">); Rapport de la première réunion du Groupe de travail </w:t>
      </w:r>
      <w:r w:rsidRPr="00DF2CE8">
        <w:rPr>
          <w:rFonts w:ascii="Cambria" w:hAnsi="Cambria"/>
          <w:i/>
          <w:color w:val="000000" w:themeColor="text1"/>
          <w:sz w:val="20"/>
          <w:szCs w:val="20"/>
        </w:rPr>
        <w:t xml:space="preserve">virtuel sur </w:t>
      </w:r>
      <w:r w:rsidR="008E243F" w:rsidRPr="00DF2CE8">
        <w:rPr>
          <w:rFonts w:ascii="Cambria" w:hAnsi="Cambria"/>
          <w:i/>
          <w:color w:val="000000" w:themeColor="text1"/>
          <w:sz w:val="20"/>
          <w:szCs w:val="20"/>
        </w:rPr>
        <w:t xml:space="preserve">la situation </w:t>
      </w:r>
      <w:r w:rsidRPr="00DF2CE8">
        <w:rPr>
          <w:rFonts w:ascii="Cambria" w:hAnsi="Cambria"/>
          <w:i/>
          <w:color w:val="000000" w:themeColor="text1"/>
          <w:sz w:val="20"/>
          <w:szCs w:val="20"/>
        </w:rPr>
        <w:t xml:space="preserve">financière </w:t>
      </w:r>
      <w:r w:rsidRPr="00DF2CE8">
        <w:rPr>
          <w:rFonts w:ascii="Cambria" w:hAnsi="Cambria"/>
          <w:i/>
          <w:sz w:val="20"/>
          <w:szCs w:val="20"/>
        </w:rPr>
        <w:t>durable pour l'ICCAT (VWG-SF) (</w:t>
      </w:r>
      <w:r w:rsidRPr="00DF2CE8">
        <w:rPr>
          <w:rFonts w:ascii="Cambria" w:hAnsi="Cambria"/>
          <w:b/>
          <w:i/>
          <w:sz w:val="20"/>
          <w:szCs w:val="20"/>
        </w:rPr>
        <w:t>STF-211/2025</w:t>
      </w:r>
      <w:r w:rsidRPr="00DF2CE8">
        <w:rPr>
          <w:rFonts w:ascii="Cambria" w:hAnsi="Cambria"/>
          <w:i/>
          <w:sz w:val="20"/>
          <w:szCs w:val="20"/>
        </w:rPr>
        <w:t xml:space="preserve">) ; Rapport de la deuxième réunion du Groupe de travail </w:t>
      </w:r>
      <w:r w:rsidRPr="00DF2CE8">
        <w:rPr>
          <w:rFonts w:ascii="Cambria" w:hAnsi="Cambria"/>
          <w:i/>
          <w:color w:val="000000" w:themeColor="text1"/>
          <w:sz w:val="20"/>
          <w:szCs w:val="20"/>
        </w:rPr>
        <w:lastRenderedPageBreak/>
        <w:t xml:space="preserve">virtuel sur </w:t>
      </w:r>
      <w:r w:rsidR="008E243F" w:rsidRPr="00DF2CE8">
        <w:rPr>
          <w:rFonts w:ascii="Cambria" w:hAnsi="Cambria"/>
          <w:i/>
          <w:color w:val="000000" w:themeColor="text1"/>
          <w:sz w:val="20"/>
          <w:szCs w:val="20"/>
        </w:rPr>
        <w:t xml:space="preserve">la situation </w:t>
      </w:r>
      <w:r w:rsidRPr="00DF2CE8">
        <w:rPr>
          <w:rFonts w:ascii="Cambria" w:hAnsi="Cambria"/>
          <w:i/>
          <w:color w:val="000000" w:themeColor="text1"/>
          <w:sz w:val="20"/>
          <w:szCs w:val="20"/>
        </w:rPr>
        <w:t>financière durable pour l'ICCAT (VWG-SF) (</w:t>
      </w:r>
      <w:r w:rsidRPr="00DF2CE8">
        <w:rPr>
          <w:rFonts w:ascii="Cambria" w:hAnsi="Cambria"/>
          <w:b/>
          <w:i/>
          <w:color w:val="000000" w:themeColor="text1"/>
          <w:sz w:val="20"/>
          <w:szCs w:val="20"/>
        </w:rPr>
        <w:t>STF-212/2025</w:t>
      </w:r>
      <w:r w:rsidRPr="00DF2CE8">
        <w:rPr>
          <w:rFonts w:ascii="Cambria" w:hAnsi="Cambria"/>
          <w:i/>
          <w:color w:val="000000" w:themeColor="text1"/>
          <w:sz w:val="20"/>
          <w:szCs w:val="20"/>
        </w:rPr>
        <w:t xml:space="preserve">) ; Rapport de la réunion du groupe de travail sur les technologies </w:t>
      </w:r>
      <w:r w:rsidRPr="00DF2CE8">
        <w:rPr>
          <w:rFonts w:ascii="Cambria" w:hAnsi="Cambria"/>
          <w:i/>
          <w:sz w:val="20"/>
          <w:szCs w:val="20"/>
        </w:rPr>
        <w:t>de déclaration en ligne (WG-ORT) (</w:t>
      </w:r>
      <w:r w:rsidRPr="00DF2CE8">
        <w:rPr>
          <w:rFonts w:ascii="Cambria" w:hAnsi="Cambria"/>
          <w:b/>
          <w:i/>
          <w:sz w:val="20"/>
          <w:szCs w:val="20"/>
        </w:rPr>
        <w:t>COC_302/2025</w:t>
      </w:r>
      <w:r w:rsidRPr="00DF2CE8">
        <w:rPr>
          <w:rFonts w:ascii="Cambria" w:hAnsi="Cambria"/>
          <w:i/>
          <w:sz w:val="20"/>
          <w:szCs w:val="20"/>
        </w:rPr>
        <w:t>) ; Rapport du Président sur la</w:t>
      </w:r>
      <w:r w:rsidRPr="00DF2CE8">
        <w:rPr>
          <w:rFonts w:ascii="Cambria" w:hAnsi="Cambria"/>
          <w:b/>
          <w:i/>
          <w:sz w:val="20"/>
          <w:szCs w:val="20"/>
        </w:rPr>
        <w:t xml:space="preserve"> </w:t>
      </w:r>
      <w:r w:rsidRPr="00DF2CE8">
        <w:rPr>
          <w:rFonts w:ascii="Cambria" w:hAnsi="Cambria"/>
          <w:i/>
          <w:sz w:val="20"/>
          <w:szCs w:val="20"/>
        </w:rPr>
        <w:t>première</w:t>
      </w:r>
      <w:r w:rsidRPr="00DF2CE8">
        <w:rPr>
          <w:rFonts w:ascii="Cambria" w:hAnsi="Cambria"/>
          <w:b/>
          <w:i/>
          <w:sz w:val="20"/>
          <w:szCs w:val="20"/>
        </w:rPr>
        <w:t xml:space="preserve"> </w:t>
      </w:r>
      <w:r w:rsidRPr="00DF2CE8">
        <w:rPr>
          <w:rFonts w:ascii="Cambria" w:hAnsi="Cambria"/>
          <w:i/>
          <w:sz w:val="20"/>
          <w:szCs w:val="20"/>
        </w:rPr>
        <w:t>réunion du Groupe de travail permanent sur les systèmes de documentation des captures (CDS-WG)</w:t>
      </w:r>
      <w:r w:rsidRPr="00DF2CE8">
        <w:rPr>
          <w:rFonts w:ascii="Cambria" w:hAnsi="Cambria"/>
          <w:b/>
          <w:i/>
          <w:sz w:val="20"/>
          <w:szCs w:val="20"/>
        </w:rPr>
        <w:t xml:space="preserve"> </w:t>
      </w:r>
      <w:r w:rsidRPr="00DF2CE8">
        <w:rPr>
          <w:rFonts w:ascii="Cambria" w:hAnsi="Cambria"/>
          <w:i/>
          <w:sz w:val="20"/>
          <w:szCs w:val="20"/>
        </w:rPr>
        <w:t>(</w:t>
      </w:r>
      <w:r w:rsidRPr="00DF2CE8">
        <w:rPr>
          <w:rFonts w:ascii="Cambria" w:hAnsi="Cambria"/>
          <w:b/>
          <w:i/>
          <w:sz w:val="20"/>
          <w:szCs w:val="20"/>
        </w:rPr>
        <w:t>PWG_403/2025</w:t>
      </w:r>
      <w:r w:rsidRPr="00DF2CE8">
        <w:rPr>
          <w:rFonts w:ascii="Cambria" w:hAnsi="Cambria"/>
          <w:i/>
          <w:sz w:val="20"/>
          <w:szCs w:val="20"/>
        </w:rPr>
        <w:t>) ; Rapport de la</w:t>
      </w:r>
      <w:r w:rsidRPr="00DF2CE8">
        <w:rPr>
          <w:rFonts w:ascii="Cambria" w:hAnsi="Cambria"/>
          <w:b/>
          <w:i/>
          <w:sz w:val="20"/>
          <w:szCs w:val="20"/>
        </w:rPr>
        <w:t xml:space="preserve"> </w:t>
      </w:r>
      <w:r w:rsidRPr="00DF2CE8">
        <w:rPr>
          <w:rFonts w:ascii="Cambria" w:hAnsi="Cambria"/>
          <w:i/>
          <w:sz w:val="20"/>
          <w:szCs w:val="20"/>
        </w:rPr>
        <w:t>deuxième réunion du Groupe de travail permanent sur les systèmes de documentation des captures (CDS-WG)</w:t>
      </w:r>
      <w:r w:rsidRPr="00DF2CE8">
        <w:rPr>
          <w:rFonts w:ascii="Cambria" w:hAnsi="Cambria"/>
          <w:b/>
          <w:i/>
          <w:sz w:val="20"/>
          <w:szCs w:val="20"/>
        </w:rPr>
        <w:t xml:space="preserve"> </w:t>
      </w:r>
      <w:r w:rsidRPr="00DF2CE8">
        <w:rPr>
          <w:rFonts w:ascii="Cambria" w:hAnsi="Cambria"/>
          <w:i/>
          <w:sz w:val="20"/>
          <w:szCs w:val="20"/>
        </w:rPr>
        <w:t>(</w:t>
      </w:r>
      <w:r w:rsidRPr="00DF2CE8">
        <w:rPr>
          <w:rFonts w:ascii="Cambria" w:hAnsi="Cambria"/>
          <w:b/>
          <w:i/>
          <w:sz w:val="20"/>
          <w:szCs w:val="20"/>
        </w:rPr>
        <w:t>PWG_404/2025</w:t>
      </w:r>
      <w:r w:rsidRPr="00DF2CE8">
        <w:rPr>
          <w:rFonts w:ascii="Cambria" w:hAnsi="Cambria"/>
          <w:i/>
          <w:sz w:val="20"/>
          <w:szCs w:val="20"/>
        </w:rPr>
        <w:t>) ;</w:t>
      </w:r>
      <w:r w:rsidRPr="00DF2CE8">
        <w:rPr>
          <w:rFonts w:ascii="Cambria" w:hAnsi="Cambria"/>
          <w:b/>
          <w:i/>
          <w:sz w:val="20"/>
          <w:szCs w:val="20"/>
        </w:rPr>
        <w:t xml:space="preserve"> </w:t>
      </w:r>
      <w:r w:rsidRPr="00DF2CE8">
        <w:rPr>
          <w:rFonts w:ascii="Cambria" w:hAnsi="Cambria"/>
          <w:i/>
          <w:sz w:val="20"/>
          <w:szCs w:val="20"/>
        </w:rPr>
        <w:t>Rapport de la 18e réunion du Groupe de travail sur les mesures de suivi intégrées (IMM)</w:t>
      </w:r>
      <w:r w:rsidRPr="00DF2CE8">
        <w:rPr>
          <w:rFonts w:ascii="Cambria" w:hAnsi="Cambria"/>
          <w:b/>
          <w:i/>
          <w:sz w:val="20"/>
          <w:szCs w:val="20"/>
        </w:rPr>
        <w:t xml:space="preserve"> </w:t>
      </w:r>
      <w:r w:rsidRPr="00DF2CE8">
        <w:rPr>
          <w:rFonts w:ascii="Cambria" w:hAnsi="Cambria"/>
          <w:i/>
          <w:sz w:val="20"/>
          <w:szCs w:val="20"/>
        </w:rPr>
        <w:t>(</w:t>
      </w:r>
      <w:r w:rsidRPr="00DF2CE8">
        <w:rPr>
          <w:rFonts w:ascii="Cambria" w:hAnsi="Cambria"/>
          <w:b/>
          <w:i/>
          <w:sz w:val="20"/>
          <w:szCs w:val="20"/>
        </w:rPr>
        <w:t>PWG_407/2025</w:t>
      </w:r>
      <w:r w:rsidRPr="00DF2CE8">
        <w:rPr>
          <w:rFonts w:ascii="Cambria" w:hAnsi="Cambria"/>
          <w:i/>
          <w:sz w:val="20"/>
          <w:szCs w:val="20"/>
        </w:rPr>
        <w:t>) ; Rapport de la réunion du Groupe de travail sur les systèmes de surveillance électronique (EMS-WG)</w:t>
      </w:r>
      <w:r w:rsidRPr="00DF2CE8">
        <w:rPr>
          <w:rFonts w:ascii="Cambria" w:hAnsi="Cambria"/>
          <w:b/>
          <w:i/>
          <w:sz w:val="20"/>
          <w:szCs w:val="20"/>
        </w:rPr>
        <w:t xml:space="preserve"> </w:t>
      </w:r>
      <w:r w:rsidRPr="00DF2CE8">
        <w:rPr>
          <w:rFonts w:ascii="Cambria" w:hAnsi="Cambria"/>
          <w:i/>
          <w:sz w:val="20"/>
          <w:szCs w:val="20"/>
        </w:rPr>
        <w:t>(</w:t>
      </w:r>
      <w:r w:rsidRPr="00DF2CE8">
        <w:rPr>
          <w:rFonts w:ascii="Cambria" w:hAnsi="Cambria"/>
          <w:b/>
          <w:i/>
          <w:sz w:val="20"/>
          <w:szCs w:val="20"/>
        </w:rPr>
        <w:t>PWG_406/2025</w:t>
      </w:r>
      <w:r w:rsidRPr="00DF2CE8">
        <w:rPr>
          <w:rFonts w:ascii="Cambria" w:hAnsi="Cambria"/>
          <w:i/>
          <w:sz w:val="20"/>
          <w:szCs w:val="20"/>
        </w:rPr>
        <w:t>) ; et Rapport de la réunion du Groupe de travail permanent dédié au dialogue entre halieutes et gestionnaires des pêcheries (SWGSM) (</w:t>
      </w:r>
      <w:r w:rsidRPr="00DF2CE8">
        <w:rPr>
          <w:rFonts w:ascii="Cambria" w:hAnsi="Cambria"/>
          <w:b/>
          <w:i/>
          <w:sz w:val="20"/>
          <w:szCs w:val="20"/>
        </w:rPr>
        <w:t>PLE 101/2025</w:t>
      </w:r>
      <w:r w:rsidRPr="00DF2CE8">
        <w:rPr>
          <w:rFonts w:ascii="Cambria" w:hAnsi="Cambria"/>
          <w:i/>
          <w:sz w:val="20"/>
          <w:szCs w:val="20"/>
        </w:rPr>
        <w:t>).</w:t>
      </w:r>
    </w:p>
    <w:p w14:paraId="39CB7361" w14:textId="77777777" w:rsidR="004F39B9" w:rsidRPr="00DF2CE8" w:rsidRDefault="004F39B9" w:rsidP="004F39B9">
      <w:pPr>
        <w:ind w:left="420"/>
        <w:jc w:val="both"/>
        <w:textAlignment w:val="baseline"/>
        <w:rPr>
          <w:rFonts w:ascii="Cambria" w:hAnsi="Cambria" w:cs="Segoe UI"/>
          <w:sz w:val="20"/>
          <w:szCs w:val="20"/>
        </w:rPr>
      </w:pPr>
      <w:r w:rsidRPr="00DF2CE8">
        <w:rPr>
          <w:rFonts w:ascii="Cambria" w:hAnsi="Cambria"/>
          <w:sz w:val="20"/>
          <w:szCs w:val="20"/>
        </w:rPr>
        <w:t> </w:t>
      </w:r>
    </w:p>
    <w:p w14:paraId="575285B4" w14:textId="3969F484" w:rsidR="00C95774" w:rsidRPr="00DF2CE8" w:rsidRDefault="00226609" w:rsidP="00743EF7">
      <w:pPr>
        <w:ind w:left="426" w:hanging="426"/>
        <w:jc w:val="both"/>
        <w:textAlignment w:val="baseline"/>
        <w:rPr>
          <w:rFonts w:ascii="Cambria" w:hAnsi="Cambria" w:cs="Segoe UI"/>
          <w:bCs/>
          <w:color w:val="000000" w:themeColor="text1"/>
          <w:sz w:val="20"/>
          <w:szCs w:val="20"/>
        </w:rPr>
      </w:pPr>
      <w:r w:rsidRPr="00DF2CE8">
        <w:rPr>
          <w:rFonts w:ascii="Cambria" w:hAnsi="Cambria"/>
          <w:bCs/>
          <w:color w:val="000000" w:themeColor="text1"/>
          <w:sz w:val="20"/>
          <w:szCs w:val="20"/>
        </w:rPr>
        <w:t>7.</w:t>
      </w:r>
      <w:r w:rsidRPr="00DF2CE8">
        <w:rPr>
          <w:rFonts w:ascii="Cambria" w:hAnsi="Cambria"/>
          <w:bCs/>
          <w:color w:val="000000" w:themeColor="text1"/>
          <w:sz w:val="20"/>
          <w:szCs w:val="20"/>
        </w:rPr>
        <w:tab/>
        <w:t>Considérations sur la prochaine évaluation des performances de l’ICCAT</w:t>
      </w:r>
      <w:r w:rsidR="00B55D25" w:rsidRPr="00DF2CE8">
        <w:rPr>
          <w:rFonts w:ascii="Cambria" w:hAnsi="Cambria"/>
          <w:bCs/>
          <w:color w:val="000000" w:themeColor="text1"/>
          <w:sz w:val="20"/>
          <w:szCs w:val="20"/>
        </w:rPr>
        <w:t xml:space="preserve"> </w:t>
      </w:r>
    </w:p>
    <w:p w14:paraId="01167FB7" w14:textId="77777777" w:rsidR="00C95774" w:rsidRPr="00DF2CE8" w:rsidRDefault="00C95774" w:rsidP="00C95774">
      <w:pPr>
        <w:pStyle w:val="ListParagraph"/>
        <w:jc w:val="both"/>
        <w:textAlignment w:val="baseline"/>
        <w:rPr>
          <w:rFonts w:ascii="Cambria" w:hAnsi="Cambria" w:cs="Segoe UI"/>
          <w:sz w:val="20"/>
          <w:szCs w:val="20"/>
        </w:rPr>
      </w:pPr>
    </w:p>
    <w:p w14:paraId="3A6A07B1" w14:textId="2B70E03F" w:rsidR="00C95774" w:rsidRPr="00DF2CE8" w:rsidRDefault="00EE697E" w:rsidP="00743EF7">
      <w:pPr>
        <w:ind w:left="420"/>
        <w:jc w:val="both"/>
        <w:textAlignment w:val="baseline"/>
        <w:rPr>
          <w:rFonts w:ascii="Cambria" w:hAnsi="Cambria" w:cs="Segoe UI"/>
          <w:i/>
          <w:iCs/>
          <w:sz w:val="20"/>
          <w:szCs w:val="20"/>
        </w:rPr>
      </w:pPr>
      <w:r w:rsidRPr="00DF2CE8">
        <w:rPr>
          <w:rFonts w:ascii="Cambria" w:hAnsi="Cambria"/>
          <w:i/>
          <w:sz w:val="20"/>
          <w:szCs w:val="20"/>
        </w:rPr>
        <w:t>Le Président de la Commission présentera un document (</w:t>
      </w:r>
      <w:r w:rsidRPr="00DF2CE8">
        <w:rPr>
          <w:rFonts w:ascii="Cambria" w:hAnsi="Cambria"/>
          <w:b/>
          <w:i/>
          <w:sz w:val="20"/>
          <w:szCs w:val="20"/>
        </w:rPr>
        <w:t>PLE_113/2025</w:t>
      </w:r>
      <w:r w:rsidRPr="00DF2CE8">
        <w:rPr>
          <w:rFonts w:ascii="Cambria" w:hAnsi="Cambria"/>
          <w:i/>
          <w:sz w:val="20"/>
          <w:szCs w:val="20"/>
        </w:rPr>
        <w:t xml:space="preserve">) concernant la réalisation de la troisième révision de l’évaluation des performances de l’ICCAT initialement prévue pour 2027. </w:t>
      </w:r>
    </w:p>
    <w:p w14:paraId="5D6DA780" w14:textId="77777777" w:rsidR="004F39B9" w:rsidRPr="00DF2CE8" w:rsidRDefault="004F39B9" w:rsidP="004F39B9">
      <w:pPr>
        <w:jc w:val="both"/>
        <w:textAlignment w:val="baseline"/>
        <w:rPr>
          <w:rFonts w:ascii="Cambria" w:hAnsi="Cambria" w:cs="Segoe UI"/>
          <w:sz w:val="20"/>
          <w:szCs w:val="20"/>
        </w:rPr>
      </w:pPr>
      <w:r w:rsidRPr="00DF2CE8">
        <w:rPr>
          <w:rFonts w:ascii="Cambria" w:hAnsi="Cambria"/>
          <w:sz w:val="20"/>
          <w:szCs w:val="20"/>
        </w:rPr>
        <w:t> </w:t>
      </w:r>
    </w:p>
    <w:p w14:paraId="52BFC938" w14:textId="77777777"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t>8.</w:t>
      </w:r>
      <w:r w:rsidRPr="00DF2CE8">
        <w:rPr>
          <w:rFonts w:ascii="Cambria" w:hAnsi="Cambria"/>
          <w:bCs/>
          <w:sz w:val="20"/>
          <w:szCs w:val="20"/>
        </w:rPr>
        <w:tab/>
        <w:t>Assistance aux États côtiers en développement et renforcement des capacités </w:t>
      </w:r>
    </w:p>
    <w:p w14:paraId="22973C84" w14:textId="77777777" w:rsidR="004F39B9" w:rsidRPr="00DF2CE8" w:rsidRDefault="004F39B9" w:rsidP="004F39B9">
      <w:pPr>
        <w:jc w:val="both"/>
        <w:textAlignment w:val="baseline"/>
        <w:rPr>
          <w:rFonts w:ascii="Cambria" w:hAnsi="Cambria" w:cs="Segoe UI"/>
          <w:sz w:val="20"/>
          <w:szCs w:val="20"/>
        </w:rPr>
      </w:pPr>
      <w:r w:rsidRPr="00DF2CE8">
        <w:rPr>
          <w:rFonts w:ascii="Cambria" w:hAnsi="Cambria"/>
          <w:sz w:val="20"/>
          <w:szCs w:val="20"/>
        </w:rPr>
        <w:t> </w:t>
      </w:r>
    </w:p>
    <w:p w14:paraId="1EF95F42" w14:textId="3B0576C9" w:rsidR="004F39B9" w:rsidRPr="00DF2CE8" w:rsidRDefault="004F39B9" w:rsidP="004F39B9">
      <w:pPr>
        <w:ind w:left="420"/>
        <w:jc w:val="both"/>
        <w:textAlignment w:val="baseline"/>
        <w:rPr>
          <w:rFonts w:ascii="Cambria" w:hAnsi="Cambria" w:cs="Segoe UI"/>
          <w:sz w:val="20"/>
          <w:szCs w:val="20"/>
        </w:rPr>
      </w:pPr>
      <w:r w:rsidRPr="00DF2CE8">
        <w:rPr>
          <w:rFonts w:ascii="Cambria" w:hAnsi="Cambria"/>
          <w:i/>
          <w:sz w:val="20"/>
          <w:szCs w:val="20"/>
        </w:rPr>
        <w:t xml:space="preserve">L'information sur les dépenses du fonds de participation aux réunions (MPF) se trouve dans le </w:t>
      </w:r>
      <w:r w:rsidRPr="00DF2CE8">
        <w:rPr>
          <w:rFonts w:ascii="Cambria" w:hAnsi="Cambria"/>
          <w:b/>
          <w:i/>
          <w:sz w:val="20"/>
          <w:szCs w:val="20"/>
        </w:rPr>
        <w:t>STF_206/2025</w:t>
      </w:r>
      <w:r w:rsidRPr="00DF2CE8">
        <w:rPr>
          <w:rFonts w:ascii="Cambria" w:hAnsi="Cambria"/>
          <w:i/>
          <w:sz w:val="20"/>
          <w:szCs w:val="20"/>
        </w:rPr>
        <w:t>.</w:t>
      </w:r>
      <w:r w:rsidRPr="00DF2CE8">
        <w:rPr>
          <w:rFonts w:ascii="Cambria" w:hAnsi="Cambria"/>
          <w:sz w:val="20"/>
          <w:szCs w:val="20"/>
        </w:rPr>
        <w:t> </w:t>
      </w:r>
    </w:p>
    <w:p w14:paraId="5FC82F81" w14:textId="77777777" w:rsidR="004F39B9" w:rsidRPr="00DF2CE8" w:rsidRDefault="004F39B9" w:rsidP="004F39B9">
      <w:pPr>
        <w:jc w:val="both"/>
        <w:textAlignment w:val="baseline"/>
        <w:rPr>
          <w:rFonts w:ascii="Cambria" w:hAnsi="Cambria" w:cs="Segoe UI"/>
          <w:sz w:val="20"/>
          <w:szCs w:val="20"/>
        </w:rPr>
      </w:pPr>
      <w:r w:rsidRPr="00DF2CE8">
        <w:rPr>
          <w:rFonts w:ascii="Cambria" w:hAnsi="Cambria"/>
          <w:sz w:val="20"/>
          <w:szCs w:val="20"/>
        </w:rPr>
        <w:t> </w:t>
      </w:r>
    </w:p>
    <w:p w14:paraId="1DD36179" w14:textId="77777777"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t>9.</w:t>
      </w:r>
      <w:r w:rsidRPr="00DF2CE8">
        <w:rPr>
          <w:rFonts w:ascii="Cambria" w:hAnsi="Cambria"/>
          <w:bCs/>
          <w:sz w:val="20"/>
          <w:szCs w:val="20"/>
        </w:rPr>
        <w:tab/>
        <w:t>Coopération avec d'autres organisations et mises à jour les concernant  </w:t>
      </w:r>
    </w:p>
    <w:p w14:paraId="514F313A" w14:textId="77777777"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t> </w:t>
      </w:r>
    </w:p>
    <w:p w14:paraId="662068D7" w14:textId="77777777" w:rsidR="004F39B9" w:rsidRPr="00DF2CE8" w:rsidRDefault="004F39B9" w:rsidP="004F39B9">
      <w:pPr>
        <w:ind w:left="840" w:hanging="420"/>
        <w:jc w:val="both"/>
        <w:textAlignment w:val="baseline"/>
        <w:rPr>
          <w:rFonts w:ascii="Cambria" w:hAnsi="Cambria" w:cs="Segoe UI"/>
          <w:bCs/>
          <w:iCs/>
          <w:sz w:val="20"/>
          <w:szCs w:val="20"/>
        </w:rPr>
      </w:pPr>
      <w:r w:rsidRPr="00DF2CE8">
        <w:rPr>
          <w:rFonts w:ascii="Cambria" w:hAnsi="Cambria"/>
          <w:bCs/>
          <w:iCs/>
          <w:sz w:val="20"/>
          <w:szCs w:val="20"/>
        </w:rPr>
        <w:t>9.1 Coopération avec d'autres organisations intergouvernementales (IGO) </w:t>
      </w:r>
    </w:p>
    <w:p w14:paraId="0462FA18" w14:textId="77777777" w:rsidR="004F39B9" w:rsidRPr="00DF2CE8" w:rsidRDefault="004F39B9" w:rsidP="004F39B9">
      <w:pPr>
        <w:ind w:left="840" w:hanging="420"/>
        <w:jc w:val="both"/>
        <w:textAlignment w:val="baseline"/>
        <w:rPr>
          <w:rFonts w:ascii="Cambria" w:hAnsi="Cambria" w:cs="Segoe UI"/>
          <w:sz w:val="20"/>
          <w:szCs w:val="20"/>
        </w:rPr>
      </w:pPr>
      <w:r w:rsidRPr="00DF2CE8">
        <w:rPr>
          <w:rFonts w:ascii="Cambria" w:hAnsi="Cambria"/>
          <w:sz w:val="20"/>
          <w:szCs w:val="20"/>
        </w:rPr>
        <w:t> </w:t>
      </w:r>
    </w:p>
    <w:p w14:paraId="63E6C8F9" w14:textId="29BFFA7D" w:rsidR="004F39B9" w:rsidRPr="00DF2CE8" w:rsidRDefault="004F39B9" w:rsidP="00743EF7">
      <w:pPr>
        <w:ind w:left="426"/>
        <w:jc w:val="both"/>
        <w:textAlignment w:val="baseline"/>
        <w:rPr>
          <w:rFonts w:ascii="Cambria" w:hAnsi="Cambria" w:cs="Segoe UI"/>
          <w:sz w:val="20"/>
          <w:szCs w:val="20"/>
        </w:rPr>
      </w:pPr>
      <w:r w:rsidRPr="00DF2CE8">
        <w:rPr>
          <w:rFonts w:ascii="Cambria" w:hAnsi="Cambria"/>
          <w:i/>
          <w:sz w:val="20"/>
          <w:szCs w:val="20"/>
        </w:rPr>
        <w:t xml:space="preserve">Les informations à ce sujet se trouvent dans le </w:t>
      </w:r>
      <w:r w:rsidRPr="00DF2CE8">
        <w:rPr>
          <w:rFonts w:ascii="Cambria" w:hAnsi="Cambria"/>
          <w:b/>
          <w:i/>
          <w:sz w:val="20"/>
          <w:szCs w:val="20"/>
        </w:rPr>
        <w:t>PLE_106/2025</w:t>
      </w:r>
      <w:r w:rsidRPr="00DF2CE8">
        <w:rPr>
          <w:rFonts w:ascii="Cambria" w:hAnsi="Cambria"/>
          <w:i/>
          <w:sz w:val="20"/>
          <w:szCs w:val="20"/>
        </w:rPr>
        <w:t>. En outre, le Canada a présenté un document de discussion sur un protocole d'entente ICCAT-NAFO</w:t>
      </w:r>
      <w:r w:rsidRPr="00DF2CE8">
        <w:rPr>
          <w:rFonts w:ascii="Cambria" w:hAnsi="Cambria"/>
          <w:sz w:val="20"/>
          <w:szCs w:val="20"/>
        </w:rPr>
        <w:t xml:space="preserve"> (</w:t>
      </w:r>
      <w:r w:rsidRPr="00DF2CE8">
        <w:rPr>
          <w:rFonts w:ascii="Cambria" w:hAnsi="Cambria"/>
          <w:b/>
          <w:i/>
          <w:sz w:val="20"/>
          <w:szCs w:val="20"/>
        </w:rPr>
        <w:t>PLE_111/2025)</w:t>
      </w:r>
      <w:r w:rsidRPr="00DF2CE8">
        <w:rPr>
          <w:rFonts w:ascii="Cambria" w:hAnsi="Cambria"/>
          <w:sz w:val="20"/>
          <w:szCs w:val="20"/>
        </w:rPr>
        <w:t>.</w:t>
      </w:r>
    </w:p>
    <w:p w14:paraId="18FEBA49" w14:textId="77777777" w:rsidR="00601C14" w:rsidRPr="00DF2CE8" w:rsidRDefault="00601C14" w:rsidP="00C23619">
      <w:pPr>
        <w:ind w:left="709" w:hanging="289"/>
        <w:jc w:val="both"/>
        <w:textAlignment w:val="baseline"/>
        <w:rPr>
          <w:rFonts w:ascii="Cambria" w:hAnsi="Cambria" w:cs="Segoe UI"/>
          <w:b/>
          <w:bCs/>
          <w:i/>
          <w:iCs/>
          <w:sz w:val="20"/>
          <w:szCs w:val="20"/>
        </w:rPr>
      </w:pPr>
    </w:p>
    <w:p w14:paraId="77C609B4" w14:textId="44F9495A" w:rsidR="00C23619" w:rsidRPr="00DF2CE8" w:rsidRDefault="00060FB1" w:rsidP="00C23619">
      <w:pPr>
        <w:ind w:left="709" w:hanging="289"/>
        <w:jc w:val="both"/>
        <w:textAlignment w:val="baseline"/>
        <w:rPr>
          <w:rFonts w:ascii="Cambria" w:hAnsi="Cambria" w:cs="Segoe UI"/>
          <w:bCs/>
          <w:iCs/>
          <w:sz w:val="20"/>
          <w:szCs w:val="20"/>
        </w:rPr>
      </w:pPr>
      <w:r w:rsidRPr="00DF2CE8">
        <w:rPr>
          <w:rFonts w:ascii="Cambria" w:hAnsi="Cambria"/>
          <w:bCs/>
          <w:iCs/>
          <w:sz w:val="20"/>
          <w:szCs w:val="20"/>
        </w:rPr>
        <w:t xml:space="preserve">9.2 Mise à jour sur les progrès réalisés au titre de l’ABNJ2 </w:t>
      </w:r>
    </w:p>
    <w:p w14:paraId="26DB86FC" w14:textId="77777777" w:rsidR="00C23619" w:rsidRPr="00DF2CE8" w:rsidRDefault="00C23619" w:rsidP="00C23619">
      <w:pPr>
        <w:ind w:left="709" w:hanging="289"/>
        <w:jc w:val="both"/>
        <w:textAlignment w:val="baseline"/>
        <w:rPr>
          <w:rFonts w:ascii="Cambria" w:hAnsi="Cambria" w:cs="Segoe UI"/>
          <w:i/>
          <w:iCs/>
          <w:sz w:val="20"/>
          <w:szCs w:val="20"/>
        </w:rPr>
      </w:pPr>
    </w:p>
    <w:p w14:paraId="27B8F451" w14:textId="07257235" w:rsidR="004F39B9" w:rsidRPr="00DF2CE8" w:rsidRDefault="008723D3" w:rsidP="00743EF7">
      <w:pPr>
        <w:ind w:left="426"/>
        <w:jc w:val="both"/>
        <w:textAlignment w:val="baseline"/>
        <w:rPr>
          <w:rFonts w:ascii="Cambria" w:hAnsi="Cambria" w:cs="Segoe UI"/>
          <w:strike/>
          <w:sz w:val="20"/>
          <w:szCs w:val="20"/>
        </w:rPr>
      </w:pPr>
      <w:r w:rsidRPr="00DF2CE8">
        <w:rPr>
          <w:rFonts w:ascii="Cambria" w:hAnsi="Cambria"/>
          <w:sz w:val="20"/>
          <w:szCs w:val="20"/>
        </w:rPr>
        <w:t>L</w:t>
      </w:r>
      <w:r w:rsidR="00F62427" w:rsidRPr="00DF2CE8">
        <w:rPr>
          <w:rFonts w:ascii="Cambria" w:hAnsi="Cambria"/>
          <w:sz w:val="20"/>
          <w:szCs w:val="20"/>
        </w:rPr>
        <w:t>e représentant de l</w:t>
      </w:r>
      <w:r w:rsidRPr="00DF2CE8">
        <w:rPr>
          <w:rFonts w:ascii="Cambria" w:hAnsi="Cambria"/>
          <w:sz w:val="20"/>
          <w:szCs w:val="20"/>
        </w:rPr>
        <w:t>a FAO fera une brève présentation sur l'ABNJ2.</w:t>
      </w:r>
    </w:p>
    <w:p w14:paraId="7D818490" w14:textId="77777777" w:rsidR="004F39B9" w:rsidRPr="00DF2CE8" w:rsidRDefault="004F39B9" w:rsidP="004F39B9">
      <w:pPr>
        <w:ind w:left="840" w:hanging="420"/>
        <w:jc w:val="both"/>
        <w:textAlignment w:val="baseline"/>
        <w:rPr>
          <w:rFonts w:ascii="Cambria" w:hAnsi="Cambria" w:cs="Segoe UI"/>
          <w:sz w:val="20"/>
          <w:szCs w:val="20"/>
        </w:rPr>
      </w:pPr>
      <w:r w:rsidRPr="00DF2CE8">
        <w:rPr>
          <w:rFonts w:ascii="Cambria" w:hAnsi="Cambria"/>
          <w:sz w:val="20"/>
          <w:szCs w:val="20"/>
        </w:rPr>
        <w:t> </w:t>
      </w:r>
    </w:p>
    <w:p w14:paraId="5784B8E7" w14:textId="6BC44569" w:rsidR="00CC5949" w:rsidRPr="00DF2CE8" w:rsidRDefault="00CC5949">
      <w:pPr>
        <w:ind w:left="420" w:hanging="420"/>
        <w:jc w:val="both"/>
        <w:textAlignment w:val="baseline"/>
        <w:rPr>
          <w:rFonts w:ascii="Cambria" w:hAnsi="Cambria" w:cs="Segoe UI"/>
          <w:bCs/>
          <w:sz w:val="20"/>
          <w:szCs w:val="20"/>
        </w:rPr>
      </w:pPr>
      <w:r w:rsidRPr="00DF2CE8">
        <w:rPr>
          <w:rFonts w:ascii="Cambria" w:hAnsi="Cambria"/>
          <w:bCs/>
          <w:sz w:val="20"/>
          <w:szCs w:val="20"/>
        </w:rPr>
        <w:t xml:space="preserve">10. </w:t>
      </w:r>
      <w:r w:rsidRPr="00DF2CE8">
        <w:rPr>
          <w:rFonts w:ascii="Cambria" w:hAnsi="Cambria"/>
          <w:bCs/>
          <w:sz w:val="20"/>
          <w:szCs w:val="20"/>
        </w:rPr>
        <w:tab/>
        <w:t>Discussion sur la mise en œuvre des instruments relatifs à la biodiversité</w:t>
      </w:r>
    </w:p>
    <w:p w14:paraId="0C0254C5" w14:textId="77777777" w:rsidR="00E67B15" w:rsidRPr="00DF2CE8" w:rsidRDefault="00E67B15">
      <w:pPr>
        <w:ind w:left="420" w:hanging="420"/>
        <w:jc w:val="both"/>
        <w:textAlignment w:val="baseline"/>
        <w:rPr>
          <w:rFonts w:ascii="Cambria" w:hAnsi="Cambria" w:cs="Segoe UI"/>
          <w:sz w:val="20"/>
          <w:szCs w:val="20"/>
        </w:rPr>
      </w:pPr>
    </w:p>
    <w:p w14:paraId="6A06193B" w14:textId="63A7AF86" w:rsidR="00E67B15" w:rsidRPr="00DF2CE8" w:rsidRDefault="00EE697E" w:rsidP="00743EF7">
      <w:pPr>
        <w:ind w:left="420"/>
        <w:jc w:val="both"/>
        <w:textAlignment w:val="baseline"/>
        <w:rPr>
          <w:rFonts w:ascii="Cambria" w:hAnsi="Cambria" w:cs="Segoe UI"/>
          <w:sz w:val="20"/>
          <w:szCs w:val="20"/>
        </w:rPr>
      </w:pPr>
      <w:r w:rsidRPr="00DF2CE8">
        <w:rPr>
          <w:rFonts w:ascii="Cambria" w:hAnsi="Cambria"/>
          <w:i/>
          <w:sz w:val="20"/>
          <w:szCs w:val="20"/>
        </w:rPr>
        <w:t>Le Président présentera un document introductif sur le BBNJ (</w:t>
      </w:r>
      <w:r w:rsidRPr="00DF2CE8">
        <w:rPr>
          <w:rFonts w:ascii="Cambria" w:hAnsi="Cambria"/>
          <w:b/>
          <w:i/>
          <w:sz w:val="20"/>
          <w:szCs w:val="20"/>
        </w:rPr>
        <w:t>PLE_114/2025</w:t>
      </w:r>
      <w:r w:rsidRPr="00DF2CE8">
        <w:rPr>
          <w:rFonts w:ascii="Cambria" w:hAnsi="Cambria"/>
          <w:i/>
          <w:sz w:val="20"/>
          <w:szCs w:val="20"/>
        </w:rPr>
        <w:t>) pour les débats sur les prochaines étapes de cet instrument.</w:t>
      </w:r>
    </w:p>
    <w:p w14:paraId="2F8F4816" w14:textId="77777777" w:rsidR="00CC5949" w:rsidRPr="00DF2CE8" w:rsidRDefault="00CC5949" w:rsidP="004F39B9">
      <w:pPr>
        <w:ind w:left="420" w:hanging="420"/>
        <w:jc w:val="both"/>
        <w:textAlignment w:val="baseline"/>
        <w:rPr>
          <w:rFonts w:ascii="Cambria" w:hAnsi="Cambria" w:cs="Segoe UI"/>
          <w:sz w:val="20"/>
          <w:szCs w:val="20"/>
        </w:rPr>
      </w:pPr>
    </w:p>
    <w:p w14:paraId="151E3008" w14:textId="3305948D" w:rsidR="00CC5949" w:rsidRPr="00DF2CE8" w:rsidRDefault="00CC5949" w:rsidP="004F39B9">
      <w:pPr>
        <w:ind w:left="420" w:hanging="420"/>
        <w:jc w:val="both"/>
        <w:textAlignment w:val="baseline"/>
        <w:rPr>
          <w:rFonts w:ascii="Cambria" w:hAnsi="Cambria" w:cs="Segoe UI"/>
          <w:bCs/>
          <w:sz w:val="20"/>
          <w:szCs w:val="20"/>
        </w:rPr>
      </w:pPr>
      <w:r w:rsidRPr="00DF2CE8">
        <w:rPr>
          <w:rFonts w:ascii="Cambria" w:hAnsi="Cambria"/>
          <w:bCs/>
          <w:sz w:val="20"/>
          <w:szCs w:val="20"/>
        </w:rPr>
        <w:t xml:space="preserve">11. </w:t>
      </w:r>
      <w:r w:rsidRPr="00DF2CE8">
        <w:rPr>
          <w:rFonts w:ascii="Cambria" w:hAnsi="Cambria"/>
          <w:bCs/>
          <w:sz w:val="20"/>
          <w:szCs w:val="20"/>
        </w:rPr>
        <w:tab/>
        <w:t>Prochaines étapes concernant le Groupe conjoint d’experts sur le changement climatique</w:t>
      </w:r>
    </w:p>
    <w:p w14:paraId="4916E6EA" w14:textId="77777777" w:rsidR="00157B26" w:rsidRPr="00DF2CE8" w:rsidRDefault="00157B26" w:rsidP="004F39B9">
      <w:pPr>
        <w:ind w:left="420" w:hanging="420"/>
        <w:jc w:val="both"/>
        <w:textAlignment w:val="baseline"/>
        <w:rPr>
          <w:rFonts w:ascii="Cambria" w:hAnsi="Cambria" w:cs="Segoe UI"/>
          <w:i/>
          <w:iCs/>
          <w:sz w:val="20"/>
          <w:szCs w:val="20"/>
        </w:rPr>
      </w:pPr>
    </w:p>
    <w:p w14:paraId="519CC18B" w14:textId="149E3D71" w:rsidR="00975089" w:rsidRPr="00DF2CE8" w:rsidRDefault="00975089" w:rsidP="00157B26">
      <w:pPr>
        <w:ind w:left="420"/>
        <w:jc w:val="both"/>
        <w:textAlignment w:val="baseline"/>
        <w:rPr>
          <w:rFonts w:ascii="Cambria" w:hAnsi="Cambria" w:cs="Segoe UI"/>
          <w:i/>
          <w:iCs/>
          <w:sz w:val="20"/>
          <w:szCs w:val="20"/>
        </w:rPr>
      </w:pPr>
      <w:r w:rsidRPr="00DF2CE8">
        <w:rPr>
          <w:rFonts w:ascii="Cambria" w:hAnsi="Cambria"/>
          <w:i/>
          <w:sz w:val="20"/>
          <w:szCs w:val="20"/>
        </w:rPr>
        <w:t>La Commission déterminera et examinera les dates de la prochaine réunion du Groupe en 2026.</w:t>
      </w:r>
    </w:p>
    <w:p w14:paraId="46361B9F" w14:textId="77777777" w:rsidR="00EF24E1" w:rsidRPr="00DF2CE8" w:rsidRDefault="00EF24E1" w:rsidP="00157B26">
      <w:pPr>
        <w:ind w:left="420"/>
        <w:jc w:val="both"/>
        <w:textAlignment w:val="baseline"/>
        <w:rPr>
          <w:rFonts w:ascii="Cambria" w:hAnsi="Cambria" w:cs="Segoe UI"/>
          <w:i/>
          <w:iCs/>
          <w:sz w:val="20"/>
          <w:szCs w:val="20"/>
        </w:rPr>
      </w:pPr>
    </w:p>
    <w:p w14:paraId="2D6D9901" w14:textId="60F1926D" w:rsidR="00EF24E1" w:rsidRPr="00DF2CE8" w:rsidRDefault="00EF24E1" w:rsidP="00743EF7">
      <w:pPr>
        <w:ind w:left="426" w:hanging="426"/>
        <w:jc w:val="both"/>
        <w:textAlignment w:val="baseline"/>
        <w:rPr>
          <w:rFonts w:ascii="Cambria" w:hAnsi="Cambria"/>
          <w:bCs/>
          <w:sz w:val="20"/>
          <w:szCs w:val="20"/>
        </w:rPr>
      </w:pPr>
      <w:r w:rsidRPr="00DF2CE8">
        <w:rPr>
          <w:rFonts w:ascii="Cambria" w:hAnsi="Cambria"/>
          <w:bCs/>
          <w:sz w:val="20"/>
          <w:szCs w:val="20"/>
        </w:rPr>
        <w:t xml:space="preserve">12.  Groupe de travail </w:t>
      </w:r>
      <w:r w:rsidRPr="00DF2CE8">
        <w:rPr>
          <w:rFonts w:ascii="Cambria" w:hAnsi="Cambria"/>
          <w:bCs/>
          <w:color w:val="000000" w:themeColor="text1"/>
          <w:sz w:val="20"/>
          <w:szCs w:val="20"/>
        </w:rPr>
        <w:t xml:space="preserve">permanent </w:t>
      </w:r>
      <w:r w:rsidR="00D2359F" w:rsidRPr="00DF2CE8">
        <w:rPr>
          <w:rFonts w:ascii="Cambria" w:hAnsi="Cambria"/>
          <w:bCs/>
          <w:color w:val="000000" w:themeColor="text1"/>
          <w:sz w:val="20"/>
          <w:szCs w:val="20"/>
        </w:rPr>
        <w:t>dédié au</w:t>
      </w:r>
      <w:r w:rsidRPr="00DF2CE8">
        <w:rPr>
          <w:rFonts w:ascii="Cambria" w:hAnsi="Cambria"/>
          <w:bCs/>
          <w:color w:val="000000" w:themeColor="text1"/>
          <w:sz w:val="20"/>
          <w:szCs w:val="20"/>
        </w:rPr>
        <w:t xml:space="preserve"> dialogue </w:t>
      </w:r>
      <w:r w:rsidRPr="00DF2CE8">
        <w:rPr>
          <w:rFonts w:ascii="Cambria" w:hAnsi="Cambria"/>
          <w:bCs/>
          <w:sz w:val="20"/>
          <w:szCs w:val="20"/>
        </w:rPr>
        <w:t>entre halieutes et gestionnaires des pêcheries (SWGSM) et examen des recommandations proposées</w:t>
      </w:r>
    </w:p>
    <w:p w14:paraId="1C7E0691" w14:textId="77777777" w:rsidR="009C4673" w:rsidRPr="00DF2CE8" w:rsidRDefault="009C4673" w:rsidP="00B0104F">
      <w:pPr>
        <w:jc w:val="both"/>
        <w:textAlignment w:val="baseline"/>
        <w:rPr>
          <w:rFonts w:ascii="Cambria" w:hAnsi="Cambria"/>
          <w:sz w:val="20"/>
          <w:szCs w:val="20"/>
        </w:rPr>
      </w:pPr>
    </w:p>
    <w:p w14:paraId="19FC1AE0" w14:textId="6E5493CA" w:rsidR="009C4673" w:rsidRPr="00DF2CE8" w:rsidRDefault="009C4673" w:rsidP="00743EF7">
      <w:pPr>
        <w:ind w:left="420"/>
        <w:jc w:val="both"/>
        <w:textAlignment w:val="baseline"/>
        <w:rPr>
          <w:rFonts w:ascii="Cambria" w:hAnsi="Cambria" w:cs="Segoe UI"/>
          <w:sz w:val="20"/>
          <w:szCs w:val="20"/>
        </w:rPr>
      </w:pPr>
      <w:r w:rsidRPr="00DF2CE8">
        <w:rPr>
          <w:rFonts w:ascii="Cambria" w:hAnsi="Cambria"/>
          <w:i/>
          <w:sz w:val="20"/>
          <w:szCs w:val="20"/>
        </w:rPr>
        <w:t>La Commission devrait examiner les recommandations formulées par le Groupe de travail et les mesures qui pourraient être nécessaires à leur adoption. Elle examinera également le travail du Groupe pour 2026.</w:t>
      </w:r>
    </w:p>
    <w:p w14:paraId="539CE2B0" w14:textId="77777777" w:rsidR="000D5959" w:rsidRPr="00DF2CE8" w:rsidRDefault="000D5959" w:rsidP="004F39B9">
      <w:pPr>
        <w:ind w:left="420" w:hanging="420"/>
        <w:jc w:val="both"/>
        <w:textAlignment w:val="baseline"/>
        <w:rPr>
          <w:rFonts w:ascii="Cambria" w:hAnsi="Cambria" w:cs="Segoe UI"/>
          <w:sz w:val="20"/>
          <w:szCs w:val="20"/>
        </w:rPr>
      </w:pPr>
    </w:p>
    <w:p w14:paraId="40F99B34" w14:textId="58538850" w:rsidR="002836AE" w:rsidRPr="00DF2CE8" w:rsidRDefault="002836AE" w:rsidP="004F39B9">
      <w:pPr>
        <w:ind w:left="420" w:hanging="420"/>
        <w:jc w:val="both"/>
        <w:textAlignment w:val="baseline"/>
        <w:rPr>
          <w:rFonts w:ascii="Cambria" w:hAnsi="Cambria" w:cs="Segoe UI"/>
          <w:i/>
          <w:iCs/>
          <w:sz w:val="20"/>
          <w:szCs w:val="20"/>
        </w:rPr>
      </w:pPr>
      <w:r w:rsidRPr="00DF2CE8">
        <w:rPr>
          <w:rFonts w:ascii="Cambria" w:hAnsi="Cambria" w:cs="Segoe UI"/>
          <w:i/>
          <w:iCs/>
          <w:sz w:val="20"/>
          <w:szCs w:val="20"/>
        </w:rPr>
        <w:tab/>
        <w:t xml:space="preserve">« Projet de Résolution visant à créer un groupe de travail chargé de simplifier les demandes de la Commission et les réponses du SCRS », soumis par le Japon, sous la cote </w:t>
      </w:r>
      <w:r w:rsidRPr="00DF2CE8">
        <w:rPr>
          <w:rFonts w:ascii="Cambria" w:hAnsi="Cambria" w:cs="Segoe UI"/>
          <w:b/>
          <w:bCs/>
          <w:i/>
          <w:iCs/>
          <w:sz w:val="20"/>
          <w:szCs w:val="20"/>
        </w:rPr>
        <w:t>PLE_119/2025</w:t>
      </w:r>
      <w:r w:rsidRPr="00DF2CE8">
        <w:rPr>
          <w:rFonts w:ascii="Cambria" w:hAnsi="Cambria" w:cs="Segoe UI"/>
          <w:i/>
          <w:iCs/>
          <w:sz w:val="20"/>
          <w:szCs w:val="20"/>
        </w:rPr>
        <w:t>.</w:t>
      </w:r>
    </w:p>
    <w:p w14:paraId="70EEAFAC" w14:textId="77777777" w:rsidR="002836AE" w:rsidRPr="00DF2CE8" w:rsidRDefault="002836AE" w:rsidP="004F39B9">
      <w:pPr>
        <w:ind w:left="420" w:hanging="420"/>
        <w:jc w:val="both"/>
        <w:textAlignment w:val="baseline"/>
        <w:rPr>
          <w:rFonts w:ascii="Cambria" w:hAnsi="Cambria" w:cs="Segoe UI"/>
          <w:sz w:val="20"/>
          <w:szCs w:val="20"/>
        </w:rPr>
      </w:pPr>
    </w:p>
    <w:p w14:paraId="4198D1E2" w14:textId="7DA81EDF"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t>13.</w:t>
      </w:r>
      <w:r w:rsidRPr="00DF2CE8">
        <w:rPr>
          <w:rFonts w:ascii="Cambria" w:hAnsi="Cambria"/>
          <w:bCs/>
          <w:sz w:val="20"/>
          <w:szCs w:val="20"/>
        </w:rPr>
        <w:tab/>
        <w:t>Rapport du Comité permanent des finances et de l'administration (STACFAD) et examen des recommandations qui y sont proposées</w:t>
      </w:r>
    </w:p>
    <w:p w14:paraId="1EB8B461" w14:textId="77777777" w:rsidR="004F39B9" w:rsidRPr="00DF2CE8" w:rsidRDefault="004F39B9" w:rsidP="004F39B9">
      <w:pPr>
        <w:ind w:left="420" w:hanging="420"/>
        <w:jc w:val="both"/>
        <w:textAlignment w:val="baseline"/>
        <w:rPr>
          <w:rFonts w:ascii="Cambria" w:hAnsi="Cambria" w:cs="Segoe UI"/>
          <w:sz w:val="20"/>
          <w:szCs w:val="20"/>
        </w:rPr>
      </w:pPr>
      <w:r w:rsidRPr="00DF2CE8">
        <w:rPr>
          <w:rFonts w:ascii="Cambria" w:hAnsi="Cambria"/>
          <w:sz w:val="20"/>
          <w:szCs w:val="20"/>
        </w:rPr>
        <w:t> </w:t>
      </w:r>
    </w:p>
    <w:p w14:paraId="2EECA895" w14:textId="252F8F59" w:rsidR="004F39B9" w:rsidRPr="00DF2CE8" w:rsidRDefault="00B05282" w:rsidP="004F39B9">
      <w:pPr>
        <w:ind w:left="435"/>
        <w:jc w:val="both"/>
        <w:textAlignment w:val="baseline"/>
        <w:rPr>
          <w:rFonts w:ascii="Cambria" w:hAnsi="Cambria" w:cs="Segoe UI"/>
          <w:sz w:val="20"/>
          <w:szCs w:val="20"/>
        </w:rPr>
      </w:pPr>
      <w:r w:rsidRPr="00DF2CE8">
        <w:rPr>
          <w:rFonts w:ascii="Cambria" w:hAnsi="Cambria"/>
          <w:i/>
          <w:sz w:val="20"/>
          <w:szCs w:val="20"/>
        </w:rPr>
        <w:t>La Présidente du STACFAD fera part des travaux réalisés et des recommandations du STACFAD, ce qui inclut les décisions relatives au budget et aux contributions pour 2025 (</w:t>
      </w:r>
      <w:r w:rsidRPr="00DF2CE8">
        <w:rPr>
          <w:rFonts w:ascii="Cambria" w:hAnsi="Cambria"/>
          <w:b/>
          <w:i/>
          <w:sz w:val="20"/>
          <w:szCs w:val="20"/>
        </w:rPr>
        <w:t>STF_203</w:t>
      </w:r>
      <w:r w:rsidR="00592631" w:rsidRPr="00DF2CE8">
        <w:rPr>
          <w:rFonts w:ascii="Cambria" w:hAnsi="Cambria"/>
          <w:b/>
          <w:i/>
          <w:sz w:val="20"/>
          <w:szCs w:val="20"/>
        </w:rPr>
        <w:t>_REV_1</w:t>
      </w:r>
      <w:r w:rsidRPr="00DF2CE8">
        <w:rPr>
          <w:rFonts w:ascii="Cambria" w:hAnsi="Cambria"/>
          <w:b/>
          <w:i/>
          <w:sz w:val="20"/>
          <w:szCs w:val="20"/>
        </w:rPr>
        <w:t xml:space="preserve">/2025, STF_204/2025 </w:t>
      </w:r>
      <w:r w:rsidRPr="00DF2CE8">
        <w:rPr>
          <w:rFonts w:ascii="Cambria" w:hAnsi="Cambria"/>
          <w:i/>
          <w:sz w:val="20"/>
          <w:szCs w:val="20"/>
        </w:rPr>
        <w:t>et</w:t>
      </w:r>
      <w:r w:rsidRPr="00DF2CE8">
        <w:rPr>
          <w:rFonts w:ascii="Cambria" w:hAnsi="Cambria"/>
          <w:b/>
          <w:i/>
          <w:sz w:val="20"/>
          <w:szCs w:val="20"/>
        </w:rPr>
        <w:t xml:space="preserve"> STF_205</w:t>
      </w:r>
      <w:r w:rsidR="00592631" w:rsidRPr="00DF2CE8">
        <w:rPr>
          <w:rFonts w:ascii="Cambria" w:hAnsi="Cambria"/>
          <w:b/>
          <w:i/>
          <w:sz w:val="20"/>
          <w:szCs w:val="20"/>
        </w:rPr>
        <w:t>_REV_1</w:t>
      </w:r>
      <w:r w:rsidRPr="00DF2CE8">
        <w:rPr>
          <w:rFonts w:ascii="Cambria" w:hAnsi="Cambria"/>
          <w:b/>
          <w:i/>
          <w:sz w:val="20"/>
          <w:szCs w:val="20"/>
        </w:rPr>
        <w:t>/2025</w:t>
      </w:r>
      <w:r w:rsidRPr="00DF2CE8">
        <w:rPr>
          <w:rFonts w:ascii="Cambria" w:hAnsi="Cambria"/>
          <w:i/>
          <w:sz w:val="20"/>
          <w:szCs w:val="20"/>
        </w:rPr>
        <w:t>).</w:t>
      </w:r>
      <w:r w:rsidRPr="00DF2CE8">
        <w:rPr>
          <w:rFonts w:ascii="Cambria" w:hAnsi="Cambria"/>
          <w:sz w:val="20"/>
          <w:szCs w:val="20"/>
        </w:rPr>
        <w:t> </w:t>
      </w:r>
    </w:p>
    <w:p w14:paraId="480C3093" w14:textId="77777777" w:rsidR="004F39B9" w:rsidRPr="00DF2CE8" w:rsidRDefault="004F39B9" w:rsidP="004F39B9">
      <w:pPr>
        <w:ind w:left="420" w:hanging="420"/>
        <w:jc w:val="both"/>
        <w:textAlignment w:val="baseline"/>
        <w:rPr>
          <w:rFonts w:ascii="Cambria" w:hAnsi="Cambria" w:cs="Segoe UI"/>
          <w:sz w:val="20"/>
          <w:szCs w:val="20"/>
        </w:rPr>
      </w:pPr>
      <w:r w:rsidRPr="00DF2CE8">
        <w:rPr>
          <w:rFonts w:ascii="Cambria" w:hAnsi="Cambria"/>
          <w:sz w:val="20"/>
          <w:szCs w:val="20"/>
        </w:rPr>
        <w:t> </w:t>
      </w:r>
    </w:p>
    <w:p w14:paraId="1FD75704" w14:textId="77777777" w:rsidR="002836AE" w:rsidRPr="00DF2CE8" w:rsidRDefault="002836AE">
      <w:pPr>
        <w:spacing w:after="160" w:line="259" w:lineRule="auto"/>
        <w:rPr>
          <w:rFonts w:ascii="Cambria" w:hAnsi="Cambria"/>
          <w:bCs/>
          <w:sz w:val="20"/>
          <w:szCs w:val="20"/>
        </w:rPr>
      </w:pPr>
      <w:r w:rsidRPr="00DF2CE8">
        <w:rPr>
          <w:rFonts w:ascii="Cambria" w:hAnsi="Cambria"/>
          <w:bCs/>
          <w:sz w:val="20"/>
          <w:szCs w:val="20"/>
        </w:rPr>
        <w:br w:type="page"/>
      </w:r>
    </w:p>
    <w:p w14:paraId="16B04614" w14:textId="17A13E15"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lastRenderedPageBreak/>
        <w:t>14.</w:t>
      </w:r>
      <w:r w:rsidRPr="00DF2CE8">
        <w:rPr>
          <w:rFonts w:ascii="Cambria" w:hAnsi="Cambria"/>
          <w:bCs/>
          <w:sz w:val="20"/>
          <w:szCs w:val="20"/>
        </w:rPr>
        <w:tab/>
        <w:t>Rapports des Sous-commissions 1-4 et examen des recommandations qui y sont proposées</w:t>
      </w:r>
    </w:p>
    <w:p w14:paraId="037D3C78" w14:textId="77777777" w:rsidR="004F39B9" w:rsidRPr="00DF2CE8" w:rsidRDefault="004F39B9" w:rsidP="004F39B9">
      <w:pPr>
        <w:ind w:left="420" w:hanging="420"/>
        <w:jc w:val="both"/>
        <w:textAlignment w:val="baseline"/>
        <w:rPr>
          <w:rFonts w:ascii="Cambria" w:hAnsi="Cambria" w:cs="Segoe UI"/>
          <w:sz w:val="20"/>
          <w:szCs w:val="20"/>
        </w:rPr>
      </w:pPr>
      <w:r w:rsidRPr="00DF2CE8">
        <w:rPr>
          <w:rFonts w:ascii="Cambria" w:hAnsi="Cambria"/>
          <w:sz w:val="20"/>
          <w:szCs w:val="20"/>
        </w:rPr>
        <w:t> </w:t>
      </w:r>
    </w:p>
    <w:p w14:paraId="76857AD7" w14:textId="40022BCB" w:rsidR="004F39B9" w:rsidRPr="00DF2CE8" w:rsidRDefault="004F39B9" w:rsidP="004F39B9">
      <w:pPr>
        <w:ind w:left="435"/>
        <w:jc w:val="both"/>
        <w:textAlignment w:val="baseline"/>
        <w:rPr>
          <w:rFonts w:ascii="Cambria" w:hAnsi="Cambria"/>
          <w:sz w:val="20"/>
          <w:szCs w:val="20"/>
        </w:rPr>
      </w:pPr>
      <w:r w:rsidRPr="00DF2CE8">
        <w:rPr>
          <w:rFonts w:ascii="Cambria" w:hAnsi="Cambria"/>
          <w:i/>
          <w:sz w:val="20"/>
          <w:szCs w:val="20"/>
        </w:rPr>
        <w:t xml:space="preserve">Les rapports des Sous-commissions seront </w:t>
      </w:r>
      <w:r w:rsidR="006F63B5" w:rsidRPr="00DF2CE8">
        <w:rPr>
          <w:rFonts w:ascii="Cambria" w:hAnsi="Cambria"/>
          <w:i/>
          <w:sz w:val="20"/>
          <w:szCs w:val="20"/>
        </w:rPr>
        <w:t>adoptés</w:t>
      </w:r>
      <w:r w:rsidRPr="00DF2CE8">
        <w:rPr>
          <w:rFonts w:ascii="Cambria" w:hAnsi="Cambria"/>
          <w:i/>
          <w:sz w:val="20"/>
          <w:szCs w:val="20"/>
        </w:rPr>
        <w:t xml:space="preserve"> par correspondance. La Commission devrait examiner les recommandations formulées par les Sous-commissions en vue de leur adoption.</w:t>
      </w:r>
      <w:r w:rsidRPr="00DF2CE8">
        <w:rPr>
          <w:rFonts w:ascii="Cambria" w:hAnsi="Cambria"/>
          <w:sz w:val="20"/>
          <w:szCs w:val="20"/>
        </w:rPr>
        <w:t> </w:t>
      </w:r>
    </w:p>
    <w:p w14:paraId="27B3D6CD" w14:textId="77777777" w:rsidR="009D397B" w:rsidRPr="00DF2CE8" w:rsidRDefault="009D397B" w:rsidP="004F39B9">
      <w:pPr>
        <w:ind w:left="435"/>
        <w:jc w:val="both"/>
        <w:textAlignment w:val="baseline"/>
        <w:rPr>
          <w:rFonts w:ascii="Cambria" w:hAnsi="Cambria" w:cs="Segoe UI"/>
          <w:sz w:val="20"/>
          <w:szCs w:val="20"/>
        </w:rPr>
      </w:pPr>
    </w:p>
    <w:p w14:paraId="52193A69" w14:textId="2AE42CF2"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t>15.</w:t>
      </w:r>
      <w:r w:rsidRPr="00DF2CE8">
        <w:rPr>
          <w:rFonts w:ascii="Cambria" w:hAnsi="Cambria"/>
          <w:bCs/>
          <w:sz w:val="20"/>
          <w:szCs w:val="20"/>
        </w:rPr>
        <w:tab/>
        <w:t>Rapport du Comité d’application des mesures de conservation et de gestion de l’ICCAT (COC) et examen des recommandations qui y sont proposées</w:t>
      </w:r>
    </w:p>
    <w:p w14:paraId="2CE2A24A" w14:textId="77777777" w:rsidR="004F39B9" w:rsidRPr="00DF2CE8" w:rsidRDefault="004F39B9" w:rsidP="004F39B9">
      <w:pPr>
        <w:ind w:left="420" w:hanging="420"/>
        <w:jc w:val="both"/>
        <w:textAlignment w:val="baseline"/>
        <w:rPr>
          <w:rFonts w:ascii="Cambria" w:hAnsi="Cambria" w:cs="Segoe UI"/>
          <w:sz w:val="20"/>
          <w:szCs w:val="20"/>
        </w:rPr>
      </w:pPr>
      <w:r w:rsidRPr="00DF2CE8">
        <w:rPr>
          <w:rFonts w:ascii="Cambria" w:hAnsi="Cambria"/>
          <w:sz w:val="20"/>
          <w:szCs w:val="20"/>
        </w:rPr>
        <w:t> </w:t>
      </w:r>
    </w:p>
    <w:p w14:paraId="13E3941D" w14:textId="0F9FBF7F" w:rsidR="004F39B9" w:rsidRPr="00DF2CE8" w:rsidRDefault="004F39B9" w:rsidP="00B05282">
      <w:pPr>
        <w:ind w:left="435"/>
        <w:jc w:val="both"/>
        <w:textAlignment w:val="baseline"/>
        <w:rPr>
          <w:rFonts w:ascii="Cambria" w:hAnsi="Cambria" w:cs="Segoe UI"/>
          <w:sz w:val="20"/>
          <w:szCs w:val="20"/>
        </w:rPr>
      </w:pPr>
      <w:r w:rsidRPr="00DF2CE8">
        <w:rPr>
          <w:rFonts w:ascii="Cambria" w:hAnsi="Cambria"/>
          <w:i/>
          <w:sz w:val="20"/>
          <w:szCs w:val="20"/>
        </w:rPr>
        <w:t xml:space="preserve">La Commission devrait examiner les recommandations formulées par le Comité, ainsi que </w:t>
      </w:r>
      <w:r w:rsidRPr="00DF2CE8">
        <w:rPr>
          <w:rFonts w:ascii="Cambria" w:hAnsi="Cambria"/>
          <w:i/>
          <w:color w:val="000000" w:themeColor="text1"/>
          <w:sz w:val="20"/>
          <w:szCs w:val="20"/>
        </w:rPr>
        <w:t xml:space="preserve">les tableaux d’application </w:t>
      </w:r>
      <w:r w:rsidR="00B05173" w:rsidRPr="00DF2CE8">
        <w:rPr>
          <w:rFonts w:ascii="Cambria" w:hAnsi="Cambria"/>
          <w:i/>
          <w:color w:val="000000" w:themeColor="text1"/>
          <w:sz w:val="20"/>
          <w:szCs w:val="20"/>
        </w:rPr>
        <w:t xml:space="preserve">de 2024 </w:t>
      </w:r>
      <w:r w:rsidRPr="00DF2CE8">
        <w:rPr>
          <w:rFonts w:ascii="Cambria" w:hAnsi="Cambria"/>
          <w:i/>
          <w:color w:val="000000" w:themeColor="text1"/>
          <w:sz w:val="20"/>
          <w:szCs w:val="20"/>
        </w:rPr>
        <w:t>(</w:t>
      </w:r>
      <w:r w:rsidRPr="00DF2CE8">
        <w:rPr>
          <w:rFonts w:ascii="Cambria" w:hAnsi="Cambria"/>
          <w:b/>
          <w:i/>
          <w:color w:val="000000" w:themeColor="text1"/>
          <w:sz w:val="20"/>
          <w:szCs w:val="20"/>
        </w:rPr>
        <w:t>COC_304</w:t>
      </w:r>
      <w:r w:rsidR="006F63B5" w:rsidRPr="00DF2CE8">
        <w:rPr>
          <w:rFonts w:ascii="Cambria" w:hAnsi="Cambria"/>
          <w:b/>
          <w:i/>
          <w:color w:val="000000" w:themeColor="text1"/>
          <w:sz w:val="20"/>
          <w:szCs w:val="20"/>
        </w:rPr>
        <w:t>_REV_</w:t>
      </w:r>
      <w:r w:rsidR="00EC633E" w:rsidRPr="00DF2CE8">
        <w:rPr>
          <w:rFonts w:ascii="Cambria" w:hAnsi="Cambria"/>
          <w:b/>
          <w:i/>
          <w:color w:val="000000" w:themeColor="text1"/>
          <w:sz w:val="20"/>
          <w:szCs w:val="20"/>
        </w:rPr>
        <w:t>3</w:t>
      </w:r>
      <w:r w:rsidRPr="00DF2CE8">
        <w:rPr>
          <w:rFonts w:ascii="Cambria" w:hAnsi="Cambria"/>
          <w:b/>
          <w:i/>
          <w:color w:val="000000" w:themeColor="text1"/>
          <w:sz w:val="20"/>
          <w:szCs w:val="20"/>
        </w:rPr>
        <w:t>/2025</w:t>
      </w:r>
      <w:r w:rsidRPr="00DF2CE8">
        <w:rPr>
          <w:rFonts w:ascii="Cambria" w:hAnsi="Cambria"/>
          <w:i/>
          <w:color w:val="000000" w:themeColor="text1"/>
          <w:sz w:val="20"/>
          <w:szCs w:val="20"/>
        </w:rPr>
        <w:t xml:space="preserve">) et les mesures qui pourraient être nécessaires sur la base des discussions du COC, lesquelles sont disponibles </w:t>
      </w:r>
      <w:r w:rsidR="00CB3BF6" w:rsidRPr="00DF2CE8">
        <w:rPr>
          <w:rFonts w:ascii="Cambria" w:hAnsi="Cambria"/>
          <w:i/>
          <w:color w:val="000000" w:themeColor="text1"/>
          <w:sz w:val="20"/>
          <w:szCs w:val="20"/>
        </w:rPr>
        <w:t>dans les « Tableaux récapitulatifs d’application </w:t>
      </w:r>
      <w:r w:rsidR="00CB3BF6" w:rsidRPr="00DF2CE8">
        <w:rPr>
          <w:rFonts w:ascii="Cambria" w:hAnsi="Cambria"/>
          <w:i/>
          <w:sz w:val="20"/>
          <w:szCs w:val="20"/>
        </w:rPr>
        <w:t xml:space="preserve">» </w:t>
      </w:r>
      <w:r w:rsidRPr="00DF2CE8">
        <w:rPr>
          <w:rFonts w:ascii="Cambria" w:hAnsi="Cambria"/>
          <w:i/>
          <w:sz w:val="20"/>
          <w:szCs w:val="20"/>
        </w:rPr>
        <w:t xml:space="preserve">sous la référence </w:t>
      </w:r>
      <w:r w:rsidRPr="00DF2CE8">
        <w:rPr>
          <w:rFonts w:ascii="Cambria" w:hAnsi="Cambria"/>
          <w:b/>
          <w:i/>
          <w:sz w:val="20"/>
          <w:szCs w:val="20"/>
        </w:rPr>
        <w:t>COC_308</w:t>
      </w:r>
      <w:r w:rsidR="00CB3BF6" w:rsidRPr="00DF2CE8">
        <w:rPr>
          <w:rFonts w:ascii="Cambria" w:hAnsi="Cambria"/>
          <w:b/>
          <w:i/>
          <w:sz w:val="20"/>
          <w:szCs w:val="20"/>
        </w:rPr>
        <w:t>A_REV_1</w:t>
      </w:r>
      <w:r w:rsidRPr="00DF2CE8">
        <w:rPr>
          <w:rFonts w:ascii="Cambria" w:hAnsi="Cambria"/>
          <w:b/>
          <w:i/>
          <w:sz w:val="20"/>
          <w:szCs w:val="20"/>
        </w:rPr>
        <w:t>/2025</w:t>
      </w:r>
      <w:r w:rsidRPr="00DF2CE8">
        <w:rPr>
          <w:rFonts w:ascii="Cambria" w:hAnsi="Cambria"/>
          <w:i/>
          <w:sz w:val="20"/>
          <w:szCs w:val="20"/>
        </w:rPr>
        <w:t>. </w:t>
      </w:r>
      <w:r w:rsidRPr="00DF2CE8">
        <w:rPr>
          <w:rFonts w:ascii="Cambria" w:hAnsi="Cambria"/>
          <w:sz w:val="20"/>
          <w:szCs w:val="20"/>
        </w:rPr>
        <w:t>Le COC pourrait s'inspirer, pour ses actions, de la</w:t>
      </w:r>
      <w:r w:rsidRPr="00DF2CE8">
        <w:rPr>
          <w:rFonts w:ascii="Cambria" w:hAnsi="Cambria"/>
          <w:i/>
          <w:sz w:val="20"/>
          <w:szCs w:val="20"/>
        </w:rPr>
        <w:t xml:space="preserve"> </w:t>
      </w:r>
      <w:hyperlink r:id="rId11" w:history="1">
        <w:r w:rsidRPr="00DF2CE8">
          <w:rPr>
            <w:rStyle w:val="Hyperlink"/>
            <w:rFonts w:ascii="Cambria" w:hAnsi="Cambria"/>
            <w:i/>
            <w:sz w:val="20"/>
            <w:szCs w:val="20"/>
            <w:u w:val="none"/>
          </w:rPr>
          <w:t>Rés. 16-17</w:t>
        </w:r>
      </w:hyperlink>
      <w:r w:rsidRPr="00DF2CE8">
        <w:rPr>
          <w:rFonts w:ascii="Cambria" w:hAnsi="Cambria"/>
          <w:sz w:val="20"/>
          <w:szCs w:val="20"/>
        </w:rPr>
        <w:t>.</w:t>
      </w:r>
    </w:p>
    <w:p w14:paraId="097AAC6A" w14:textId="77777777"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t> </w:t>
      </w:r>
    </w:p>
    <w:p w14:paraId="4235241E" w14:textId="1FF81E8E"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t>16.</w:t>
      </w:r>
      <w:r w:rsidRPr="00DF2CE8">
        <w:rPr>
          <w:rFonts w:ascii="Cambria" w:hAnsi="Cambria"/>
          <w:bCs/>
          <w:sz w:val="20"/>
          <w:szCs w:val="20"/>
        </w:rPr>
        <w:tab/>
        <w:t>Rapport du Groupe de travail permanent sur l’amélioration des statistiques et des mesures de conservation de l’ICCAT (PWG) et examen des recommandations qui y sont proposées</w:t>
      </w:r>
    </w:p>
    <w:p w14:paraId="0BB762ED" w14:textId="77777777" w:rsidR="004F39B9" w:rsidRPr="00DF2CE8" w:rsidRDefault="004F39B9" w:rsidP="004F39B9">
      <w:pPr>
        <w:ind w:left="420" w:hanging="420"/>
        <w:jc w:val="both"/>
        <w:textAlignment w:val="baseline"/>
        <w:rPr>
          <w:rFonts w:ascii="Cambria" w:hAnsi="Cambria" w:cs="Segoe UI"/>
          <w:sz w:val="20"/>
          <w:szCs w:val="20"/>
        </w:rPr>
      </w:pPr>
      <w:r w:rsidRPr="00DF2CE8">
        <w:rPr>
          <w:rFonts w:ascii="Cambria" w:hAnsi="Cambria"/>
          <w:sz w:val="20"/>
          <w:szCs w:val="20"/>
        </w:rPr>
        <w:t> </w:t>
      </w:r>
    </w:p>
    <w:p w14:paraId="155AD147" w14:textId="73E055CD" w:rsidR="004F39B9" w:rsidRPr="00DF2CE8" w:rsidRDefault="004F39B9" w:rsidP="004F39B9">
      <w:pPr>
        <w:ind w:left="435"/>
        <w:jc w:val="both"/>
        <w:textAlignment w:val="baseline"/>
        <w:rPr>
          <w:rFonts w:ascii="Cambria" w:hAnsi="Cambria" w:cs="Segoe UI"/>
          <w:sz w:val="20"/>
          <w:szCs w:val="20"/>
        </w:rPr>
      </w:pPr>
      <w:r w:rsidRPr="00DF2CE8">
        <w:rPr>
          <w:rFonts w:ascii="Cambria" w:hAnsi="Cambria"/>
          <w:i/>
          <w:sz w:val="20"/>
          <w:szCs w:val="20"/>
        </w:rPr>
        <w:t xml:space="preserve">La Commission devrait examiner les recommandations formulées par le Groupe, y compris l'approbation de la liste </w:t>
      </w:r>
      <w:r w:rsidR="001D0FB6" w:rsidRPr="00DF2CE8">
        <w:rPr>
          <w:rFonts w:ascii="Cambria" w:hAnsi="Cambria"/>
          <w:i/>
          <w:sz w:val="20"/>
          <w:szCs w:val="20"/>
        </w:rPr>
        <w:t>des navires présumés avoir mené des activités de pêche illégales, non déclarées et non réglementées (</w:t>
      </w:r>
      <w:r w:rsidRPr="00DF2CE8">
        <w:rPr>
          <w:rFonts w:ascii="Cambria" w:hAnsi="Cambria"/>
          <w:i/>
          <w:sz w:val="20"/>
          <w:szCs w:val="20"/>
        </w:rPr>
        <w:t>IUU</w:t>
      </w:r>
      <w:r w:rsidR="001D0FB6" w:rsidRPr="00DF2CE8">
        <w:rPr>
          <w:rFonts w:ascii="Cambria" w:hAnsi="Cambria"/>
          <w:i/>
          <w:sz w:val="20"/>
          <w:szCs w:val="20"/>
        </w:rPr>
        <w:t>)</w:t>
      </w:r>
      <w:r w:rsidRPr="00DF2CE8">
        <w:rPr>
          <w:rFonts w:ascii="Cambria" w:hAnsi="Cambria"/>
          <w:i/>
          <w:sz w:val="20"/>
          <w:szCs w:val="20"/>
        </w:rPr>
        <w:t xml:space="preserve"> (</w:t>
      </w:r>
      <w:r w:rsidRPr="00DF2CE8">
        <w:rPr>
          <w:rFonts w:ascii="Cambria" w:hAnsi="Cambria"/>
          <w:b/>
          <w:i/>
          <w:sz w:val="20"/>
          <w:szCs w:val="20"/>
        </w:rPr>
        <w:t>PWG_405/2025</w:t>
      </w:r>
      <w:r w:rsidRPr="00DF2CE8">
        <w:rPr>
          <w:rFonts w:ascii="Cambria" w:hAnsi="Cambria"/>
          <w:i/>
          <w:sz w:val="20"/>
          <w:szCs w:val="20"/>
        </w:rPr>
        <w:t>).</w:t>
      </w:r>
      <w:r w:rsidRPr="00DF2CE8">
        <w:rPr>
          <w:rFonts w:ascii="Cambria" w:hAnsi="Cambria"/>
          <w:sz w:val="20"/>
          <w:szCs w:val="20"/>
        </w:rPr>
        <w:t> </w:t>
      </w:r>
    </w:p>
    <w:p w14:paraId="581B4697" w14:textId="77777777" w:rsidR="004F39B9" w:rsidRPr="00DF2CE8" w:rsidRDefault="004F39B9" w:rsidP="004F39B9">
      <w:pPr>
        <w:jc w:val="both"/>
        <w:textAlignment w:val="baseline"/>
        <w:rPr>
          <w:rFonts w:ascii="Cambria" w:hAnsi="Cambria" w:cs="Segoe UI"/>
          <w:sz w:val="20"/>
          <w:szCs w:val="20"/>
        </w:rPr>
      </w:pPr>
      <w:r w:rsidRPr="00DF2CE8">
        <w:rPr>
          <w:rFonts w:ascii="Cambria" w:hAnsi="Cambria"/>
          <w:sz w:val="20"/>
          <w:szCs w:val="20"/>
        </w:rPr>
        <w:t> </w:t>
      </w:r>
    </w:p>
    <w:p w14:paraId="296FF8BB" w14:textId="641A6F72"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t>17.</w:t>
      </w:r>
      <w:r w:rsidRPr="00DF2CE8">
        <w:rPr>
          <w:rFonts w:ascii="Cambria" w:hAnsi="Cambria"/>
          <w:bCs/>
          <w:sz w:val="20"/>
          <w:szCs w:val="20"/>
        </w:rPr>
        <w:tab/>
        <w:t>Simplification des mesures de conservation et de gestion </w:t>
      </w:r>
    </w:p>
    <w:p w14:paraId="47A5EAA9" w14:textId="77777777" w:rsidR="004F39B9" w:rsidRPr="00DF2CE8" w:rsidRDefault="004F39B9" w:rsidP="004F39B9">
      <w:pPr>
        <w:ind w:left="420" w:hanging="420"/>
        <w:jc w:val="both"/>
        <w:textAlignment w:val="baseline"/>
        <w:rPr>
          <w:rFonts w:ascii="Cambria" w:hAnsi="Cambria" w:cs="Segoe UI"/>
          <w:sz w:val="20"/>
          <w:szCs w:val="20"/>
        </w:rPr>
      </w:pPr>
      <w:r w:rsidRPr="00DF2CE8">
        <w:rPr>
          <w:rFonts w:ascii="Cambria" w:hAnsi="Cambria"/>
          <w:sz w:val="20"/>
          <w:szCs w:val="20"/>
        </w:rPr>
        <w:t> </w:t>
      </w:r>
    </w:p>
    <w:p w14:paraId="43282F3C" w14:textId="653261CC" w:rsidR="004F39B9" w:rsidRPr="00DF2CE8" w:rsidRDefault="004F39B9" w:rsidP="004F39B9">
      <w:pPr>
        <w:ind w:left="435"/>
        <w:jc w:val="both"/>
        <w:textAlignment w:val="baseline"/>
        <w:rPr>
          <w:rFonts w:ascii="Cambria" w:hAnsi="Cambria" w:cs="Segoe UI"/>
          <w:sz w:val="20"/>
          <w:szCs w:val="20"/>
        </w:rPr>
      </w:pPr>
      <w:r w:rsidRPr="00DF2CE8">
        <w:rPr>
          <w:rFonts w:ascii="Cambria" w:hAnsi="Cambria"/>
          <w:i/>
          <w:sz w:val="20"/>
          <w:szCs w:val="20"/>
        </w:rPr>
        <w:t xml:space="preserve">Le Secrétariat, en consultation avec le Président de la Commission, a rédigé le document </w:t>
      </w:r>
      <w:r w:rsidRPr="00DF2CE8">
        <w:rPr>
          <w:rFonts w:ascii="Cambria" w:hAnsi="Cambria"/>
          <w:b/>
          <w:i/>
          <w:sz w:val="20"/>
          <w:szCs w:val="20"/>
        </w:rPr>
        <w:t>PLE_103_REV_1/2025</w:t>
      </w:r>
      <w:r w:rsidRPr="00DF2CE8">
        <w:rPr>
          <w:rFonts w:ascii="Cambria" w:hAnsi="Cambria"/>
          <w:i/>
          <w:sz w:val="20"/>
          <w:szCs w:val="20"/>
        </w:rPr>
        <w:t>.</w:t>
      </w:r>
      <w:r w:rsidRPr="00DF2CE8">
        <w:rPr>
          <w:rFonts w:ascii="Cambria" w:hAnsi="Cambria"/>
          <w:b/>
          <w:i/>
          <w:sz w:val="20"/>
          <w:szCs w:val="20"/>
        </w:rPr>
        <w:t> </w:t>
      </w:r>
      <w:r w:rsidRPr="00DF2CE8">
        <w:rPr>
          <w:rFonts w:ascii="Cambria" w:hAnsi="Cambria"/>
          <w:sz w:val="20"/>
          <w:szCs w:val="20"/>
        </w:rPr>
        <w:t> </w:t>
      </w:r>
    </w:p>
    <w:p w14:paraId="28E761A0" w14:textId="77777777" w:rsidR="00B05282" w:rsidRPr="00DF2CE8" w:rsidRDefault="00B05282" w:rsidP="004F39B9">
      <w:pPr>
        <w:ind w:left="435"/>
        <w:jc w:val="both"/>
        <w:textAlignment w:val="baseline"/>
        <w:rPr>
          <w:rFonts w:ascii="Cambria" w:hAnsi="Cambria" w:cs="Segoe UI"/>
          <w:sz w:val="20"/>
          <w:szCs w:val="20"/>
        </w:rPr>
      </w:pPr>
    </w:p>
    <w:p w14:paraId="77A8E277" w14:textId="727FB2E0" w:rsidR="004F39B9" w:rsidRPr="00DF2CE8" w:rsidRDefault="004F39B9" w:rsidP="004F39B9">
      <w:pPr>
        <w:ind w:left="420" w:hanging="420"/>
        <w:jc w:val="both"/>
        <w:textAlignment w:val="baseline"/>
        <w:rPr>
          <w:rFonts w:ascii="Cambria" w:hAnsi="Cambria" w:cs="Segoe UI"/>
          <w:bCs/>
          <w:sz w:val="20"/>
          <w:szCs w:val="20"/>
        </w:rPr>
      </w:pPr>
      <w:r w:rsidRPr="00DF2CE8">
        <w:rPr>
          <w:rFonts w:ascii="Cambria" w:hAnsi="Cambria"/>
          <w:bCs/>
          <w:sz w:val="20"/>
          <w:szCs w:val="20"/>
        </w:rPr>
        <w:t>18.</w:t>
      </w:r>
      <w:r w:rsidRPr="00DF2CE8">
        <w:rPr>
          <w:rFonts w:ascii="Cambria" w:hAnsi="Cambria"/>
          <w:bCs/>
          <w:sz w:val="20"/>
          <w:szCs w:val="20"/>
        </w:rPr>
        <w:tab/>
        <w:t>Réunions intersessions en 2026 </w:t>
      </w:r>
    </w:p>
    <w:p w14:paraId="2504EEFC" w14:textId="77777777" w:rsidR="004F39B9" w:rsidRPr="00DF2CE8" w:rsidRDefault="004F39B9" w:rsidP="004F39B9">
      <w:pPr>
        <w:jc w:val="both"/>
        <w:textAlignment w:val="baseline"/>
        <w:rPr>
          <w:rFonts w:ascii="Cambria" w:hAnsi="Cambria" w:cs="Segoe UI"/>
          <w:sz w:val="20"/>
          <w:szCs w:val="20"/>
        </w:rPr>
      </w:pPr>
      <w:r w:rsidRPr="00DF2CE8">
        <w:rPr>
          <w:rFonts w:ascii="Cambria" w:hAnsi="Cambria"/>
          <w:sz w:val="20"/>
          <w:szCs w:val="20"/>
        </w:rPr>
        <w:t> </w:t>
      </w:r>
    </w:p>
    <w:p w14:paraId="495107D9" w14:textId="0EE7EEAA" w:rsidR="004F39B9" w:rsidRPr="00DF2CE8" w:rsidRDefault="004F39B9" w:rsidP="004F39B9">
      <w:pPr>
        <w:ind w:left="420" w:hanging="15"/>
        <w:jc w:val="both"/>
        <w:textAlignment w:val="baseline"/>
        <w:rPr>
          <w:rFonts w:ascii="Cambria" w:hAnsi="Cambria" w:cs="Segoe UI"/>
          <w:sz w:val="20"/>
          <w:szCs w:val="20"/>
        </w:rPr>
      </w:pPr>
      <w:r w:rsidRPr="00DF2CE8">
        <w:rPr>
          <w:rFonts w:ascii="Cambria" w:hAnsi="Cambria"/>
          <w:i/>
          <w:sz w:val="20"/>
          <w:szCs w:val="20"/>
        </w:rPr>
        <w:t xml:space="preserve">La Commission pourrait fixer les dates et lieux des réunions intersessions en 2026, ainsi que leur format (présentiel, en ligne ou hybride). </w:t>
      </w:r>
    </w:p>
    <w:p w14:paraId="44A6E28E" w14:textId="77777777" w:rsidR="004F39B9" w:rsidRPr="00DF2CE8" w:rsidRDefault="004F39B9" w:rsidP="004F39B9">
      <w:pPr>
        <w:ind w:left="435"/>
        <w:jc w:val="both"/>
        <w:textAlignment w:val="baseline"/>
        <w:rPr>
          <w:rFonts w:ascii="Cambria" w:hAnsi="Cambria" w:cs="Segoe UI"/>
          <w:sz w:val="20"/>
          <w:szCs w:val="20"/>
        </w:rPr>
      </w:pPr>
      <w:r w:rsidRPr="00DF2CE8">
        <w:rPr>
          <w:rFonts w:ascii="Cambria" w:hAnsi="Cambria"/>
          <w:sz w:val="20"/>
          <w:szCs w:val="20"/>
        </w:rPr>
        <w:t> </w:t>
      </w:r>
    </w:p>
    <w:p w14:paraId="514E2971" w14:textId="798D07B4" w:rsidR="004F39B9" w:rsidRPr="00DF2CE8" w:rsidRDefault="004F39B9" w:rsidP="004F39B9">
      <w:pPr>
        <w:ind w:left="420" w:hanging="420"/>
        <w:jc w:val="both"/>
        <w:textAlignment w:val="baseline"/>
        <w:rPr>
          <w:rFonts w:ascii="Cambria" w:hAnsi="Cambria" w:cs="Segoe UI"/>
          <w:sz w:val="20"/>
          <w:szCs w:val="20"/>
        </w:rPr>
      </w:pPr>
      <w:r w:rsidRPr="00DF2CE8">
        <w:rPr>
          <w:rFonts w:ascii="Cambria" w:hAnsi="Cambria"/>
          <w:sz w:val="20"/>
          <w:szCs w:val="20"/>
        </w:rPr>
        <w:t>19.</w:t>
      </w:r>
      <w:r w:rsidRPr="00DF2CE8">
        <w:rPr>
          <w:rFonts w:ascii="Cambria" w:hAnsi="Cambria"/>
          <w:sz w:val="20"/>
          <w:szCs w:val="20"/>
        </w:rPr>
        <w:tab/>
        <w:t xml:space="preserve">Élection du Président et des premier et </w:t>
      </w:r>
      <w:proofErr w:type="gramStart"/>
      <w:r w:rsidRPr="00DF2CE8">
        <w:rPr>
          <w:rFonts w:ascii="Cambria" w:hAnsi="Cambria"/>
          <w:sz w:val="20"/>
          <w:szCs w:val="20"/>
        </w:rPr>
        <w:t>deuxième Vice-présidents</w:t>
      </w:r>
      <w:proofErr w:type="gramEnd"/>
      <w:r w:rsidRPr="00DF2CE8">
        <w:rPr>
          <w:rFonts w:ascii="Cambria" w:hAnsi="Cambria"/>
          <w:sz w:val="20"/>
          <w:szCs w:val="20"/>
        </w:rPr>
        <w:t xml:space="preserve"> </w:t>
      </w:r>
    </w:p>
    <w:p w14:paraId="3E98B54F" w14:textId="77777777" w:rsidR="004F39B9" w:rsidRPr="00DF2CE8" w:rsidRDefault="004F39B9" w:rsidP="004F39B9">
      <w:pPr>
        <w:ind w:left="420" w:hanging="420"/>
        <w:jc w:val="both"/>
        <w:textAlignment w:val="baseline"/>
        <w:rPr>
          <w:rFonts w:ascii="Cambria" w:hAnsi="Cambria" w:cs="Segoe UI"/>
          <w:sz w:val="20"/>
          <w:szCs w:val="20"/>
        </w:rPr>
      </w:pPr>
      <w:r w:rsidRPr="00DF2CE8">
        <w:rPr>
          <w:rFonts w:ascii="Cambria" w:hAnsi="Cambria"/>
          <w:sz w:val="20"/>
          <w:szCs w:val="20"/>
        </w:rPr>
        <w:t> </w:t>
      </w:r>
    </w:p>
    <w:p w14:paraId="037068B3" w14:textId="77777777" w:rsidR="004F39B9" w:rsidRPr="00DF2CE8" w:rsidRDefault="004F39B9" w:rsidP="004F39B9">
      <w:pPr>
        <w:ind w:left="420" w:hanging="15"/>
        <w:jc w:val="both"/>
        <w:textAlignment w:val="baseline"/>
        <w:rPr>
          <w:rFonts w:ascii="Cambria" w:hAnsi="Cambria" w:cs="Segoe UI"/>
          <w:sz w:val="20"/>
          <w:szCs w:val="20"/>
        </w:rPr>
      </w:pPr>
      <w:r w:rsidRPr="00DF2CE8">
        <w:rPr>
          <w:rFonts w:ascii="Cambria" w:hAnsi="Cambria"/>
          <w:i/>
          <w:sz w:val="20"/>
          <w:szCs w:val="20"/>
        </w:rPr>
        <w:t>Comme il est d'usage lors d'une réunion ordinaire, la Commission doit élire un Président, un premier Vice-président et un deuxième Vice-président.</w:t>
      </w:r>
      <w:r w:rsidRPr="00DF2CE8">
        <w:rPr>
          <w:rFonts w:ascii="Cambria" w:hAnsi="Cambria"/>
          <w:sz w:val="20"/>
          <w:szCs w:val="20"/>
        </w:rPr>
        <w:t> </w:t>
      </w:r>
    </w:p>
    <w:p w14:paraId="0A6D5C12" w14:textId="77777777" w:rsidR="004F39B9" w:rsidRPr="00DF2CE8" w:rsidRDefault="004F39B9" w:rsidP="004F39B9">
      <w:pPr>
        <w:jc w:val="both"/>
        <w:textAlignment w:val="baseline"/>
        <w:rPr>
          <w:rFonts w:ascii="Cambria" w:hAnsi="Cambria" w:cs="Segoe UI"/>
          <w:sz w:val="20"/>
          <w:szCs w:val="20"/>
        </w:rPr>
      </w:pPr>
      <w:r w:rsidRPr="00DF2CE8">
        <w:rPr>
          <w:rFonts w:ascii="Cambria" w:hAnsi="Cambria"/>
          <w:sz w:val="20"/>
          <w:szCs w:val="20"/>
        </w:rPr>
        <w:t> </w:t>
      </w:r>
    </w:p>
    <w:p w14:paraId="2071C521" w14:textId="326D8D36" w:rsidR="004F39B9" w:rsidRPr="00DF2CE8" w:rsidRDefault="002D7AD8" w:rsidP="004F39B9">
      <w:pPr>
        <w:ind w:left="420" w:hanging="420"/>
        <w:jc w:val="both"/>
        <w:textAlignment w:val="baseline"/>
        <w:rPr>
          <w:rFonts w:ascii="Cambria" w:hAnsi="Cambria" w:cs="Segoe UI"/>
          <w:bCs/>
          <w:sz w:val="20"/>
          <w:szCs w:val="20"/>
        </w:rPr>
      </w:pPr>
      <w:r w:rsidRPr="00DF2CE8">
        <w:rPr>
          <w:rFonts w:ascii="Cambria" w:hAnsi="Cambria"/>
          <w:bCs/>
          <w:sz w:val="20"/>
          <w:szCs w:val="20"/>
        </w:rPr>
        <w:t>20.</w:t>
      </w:r>
      <w:r w:rsidRPr="00DF2CE8">
        <w:rPr>
          <w:rFonts w:ascii="Cambria" w:hAnsi="Cambria"/>
          <w:bCs/>
          <w:sz w:val="20"/>
          <w:szCs w:val="20"/>
        </w:rPr>
        <w:tab/>
        <w:t>Autres questions </w:t>
      </w:r>
    </w:p>
    <w:p w14:paraId="47A44B5E" w14:textId="77777777" w:rsidR="004F39B9" w:rsidRPr="00DF2CE8" w:rsidRDefault="004F39B9" w:rsidP="004F39B9">
      <w:pPr>
        <w:ind w:left="330" w:hanging="330"/>
        <w:jc w:val="both"/>
        <w:textAlignment w:val="baseline"/>
        <w:rPr>
          <w:rFonts w:ascii="Cambria" w:hAnsi="Cambria" w:cs="Segoe UI"/>
          <w:sz w:val="20"/>
          <w:szCs w:val="20"/>
        </w:rPr>
      </w:pPr>
      <w:r w:rsidRPr="00DF2CE8">
        <w:rPr>
          <w:rFonts w:ascii="Cambria" w:hAnsi="Cambria"/>
          <w:sz w:val="20"/>
          <w:szCs w:val="20"/>
        </w:rPr>
        <w:t> </w:t>
      </w:r>
    </w:p>
    <w:p w14:paraId="04EC40D3" w14:textId="77777777" w:rsidR="004F39B9" w:rsidRPr="00DF2CE8" w:rsidRDefault="004F39B9" w:rsidP="004F39B9">
      <w:pPr>
        <w:ind w:left="420"/>
        <w:jc w:val="both"/>
        <w:textAlignment w:val="baseline"/>
        <w:rPr>
          <w:rFonts w:ascii="Cambria" w:hAnsi="Cambria" w:cs="Segoe UI"/>
          <w:sz w:val="20"/>
          <w:szCs w:val="20"/>
        </w:rPr>
      </w:pPr>
      <w:r w:rsidRPr="00DF2CE8">
        <w:rPr>
          <w:rFonts w:ascii="Cambria" w:hAnsi="Cambria"/>
          <w:i/>
          <w:sz w:val="20"/>
          <w:szCs w:val="20"/>
        </w:rPr>
        <w:t>Les Parties contractantes présentes à la réunion ou le Président, en cas de besoin, pourront poser d'autres questions. Toutefois, lorsque cela est possible, les CPC devront informer le Président, avant la réunion, de toute autre question qu'elles souhaitent aborder et présenter à l'avance tout document relatif à cette question.</w:t>
      </w:r>
      <w:r w:rsidRPr="00DF2CE8">
        <w:rPr>
          <w:rFonts w:ascii="Cambria" w:hAnsi="Cambria"/>
          <w:sz w:val="20"/>
          <w:szCs w:val="20"/>
        </w:rPr>
        <w:t> </w:t>
      </w:r>
    </w:p>
    <w:p w14:paraId="48D3DEDA" w14:textId="08ACF8B5" w:rsidR="004F39B9" w:rsidRPr="00DF2CE8" w:rsidRDefault="004F39B9" w:rsidP="004F39B9">
      <w:pPr>
        <w:ind w:left="330" w:hanging="330"/>
        <w:jc w:val="both"/>
        <w:textAlignment w:val="baseline"/>
        <w:rPr>
          <w:rFonts w:ascii="Cambria" w:hAnsi="Cambria" w:cs="Segoe UI"/>
          <w:sz w:val="20"/>
          <w:szCs w:val="20"/>
        </w:rPr>
      </w:pPr>
      <w:r w:rsidRPr="00DF2CE8">
        <w:rPr>
          <w:rFonts w:ascii="Cambria" w:hAnsi="Cambria"/>
          <w:sz w:val="20"/>
          <w:szCs w:val="20"/>
        </w:rPr>
        <w:t>  </w:t>
      </w:r>
    </w:p>
    <w:p w14:paraId="031923FF" w14:textId="6ECDE77B" w:rsidR="004F39B9" w:rsidRPr="00DF2CE8" w:rsidRDefault="002D7AD8" w:rsidP="004F39B9">
      <w:pPr>
        <w:ind w:left="420" w:hanging="420"/>
        <w:jc w:val="both"/>
        <w:textAlignment w:val="baseline"/>
        <w:rPr>
          <w:rFonts w:ascii="Cambria" w:hAnsi="Cambria" w:cs="Segoe UI"/>
          <w:bCs/>
          <w:sz w:val="20"/>
          <w:szCs w:val="20"/>
        </w:rPr>
      </w:pPr>
      <w:r w:rsidRPr="00DF2CE8">
        <w:rPr>
          <w:rFonts w:ascii="Cambria" w:hAnsi="Cambria"/>
          <w:bCs/>
          <w:sz w:val="20"/>
          <w:szCs w:val="20"/>
        </w:rPr>
        <w:t>21.</w:t>
      </w:r>
      <w:r w:rsidRPr="00DF2CE8">
        <w:rPr>
          <w:rFonts w:ascii="Cambria" w:hAnsi="Cambria"/>
          <w:bCs/>
          <w:sz w:val="20"/>
          <w:szCs w:val="20"/>
        </w:rPr>
        <w:tab/>
        <w:t>Lieu et date de la prochaine réunion de la Commission </w:t>
      </w:r>
    </w:p>
    <w:p w14:paraId="76869618" w14:textId="77777777" w:rsidR="004F39B9" w:rsidRPr="00DF2CE8" w:rsidRDefault="004F39B9" w:rsidP="004F39B9">
      <w:pPr>
        <w:ind w:left="420" w:hanging="420"/>
        <w:jc w:val="both"/>
        <w:textAlignment w:val="baseline"/>
        <w:rPr>
          <w:rFonts w:ascii="Cambria" w:hAnsi="Cambria" w:cs="Segoe UI"/>
          <w:sz w:val="20"/>
          <w:szCs w:val="20"/>
        </w:rPr>
      </w:pPr>
      <w:r w:rsidRPr="00DF2CE8">
        <w:rPr>
          <w:rFonts w:ascii="Cambria" w:hAnsi="Cambria"/>
          <w:sz w:val="20"/>
          <w:szCs w:val="20"/>
        </w:rPr>
        <w:t> </w:t>
      </w:r>
    </w:p>
    <w:p w14:paraId="18EB6782" w14:textId="2513653E" w:rsidR="00821CFF" w:rsidRPr="00DF2CE8" w:rsidRDefault="004F39B9" w:rsidP="000A2BB3">
      <w:pPr>
        <w:ind w:left="420"/>
        <w:jc w:val="both"/>
        <w:textAlignment w:val="baseline"/>
        <w:rPr>
          <w:rFonts w:ascii="Cambria" w:hAnsi="Cambria" w:cs="Segoe UI"/>
          <w:sz w:val="20"/>
          <w:szCs w:val="20"/>
        </w:rPr>
      </w:pPr>
      <w:r w:rsidRPr="00DF2CE8">
        <w:rPr>
          <w:rFonts w:ascii="Cambria" w:hAnsi="Cambria"/>
          <w:i/>
          <w:sz w:val="20"/>
          <w:szCs w:val="20"/>
        </w:rPr>
        <w:t xml:space="preserve">La Commission </w:t>
      </w:r>
      <w:r w:rsidR="004E2396" w:rsidRPr="00DF2CE8">
        <w:rPr>
          <w:rFonts w:ascii="Cambria" w:hAnsi="Cambria"/>
          <w:i/>
          <w:sz w:val="20"/>
          <w:szCs w:val="20"/>
        </w:rPr>
        <w:t>devrait</w:t>
      </w:r>
      <w:r w:rsidRPr="00DF2CE8">
        <w:rPr>
          <w:rFonts w:ascii="Cambria" w:hAnsi="Cambria"/>
          <w:i/>
          <w:sz w:val="20"/>
          <w:szCs w:val="20"/>
        </w:rPr>
        <w:t xml:space="preserve"> déterminer les dates de la prochaine réunion annuelle. </w:t>
      </w:r>
    </w:p>
    <w:p w14:paraId="3DAFBEB8" w14:textId="6E3B2360" w:rsidR="004F39B9" w:rsidRPr="00DF2CE8" w:rsidRDefault="004F39B9" w:rsidP="00743EF7">
      <w:pPr>
        <w:ind w:left="420"/>
        <w:jc w:val="both"/>
        <w:textAlignment w:val="baseline"/>
        <w:rPr>
          <w:rFonts w:ascii="Cambria" w:hAnsi="Cambria" w:cs="Segoe UI"/>
          <w:sz w:val="20"/>
          <w:szCs w:val="20"/>
        </w:rPr>
      </w:pPr>
    </w:p>
    <w:p w14:paraId="1A3473A9" w14:textId="6DC90FA9" w:rsidR="004F39B9" w:rsidRPr="00DF2CE8" w:rsidRDefault="002D7AD8" w:rsidP="004F39B9">
      <w:pPr>
        <w:ind w:left="420" w:hanging="420"/>
        <w:jc w:val="both"/>
        <w:textAlignment w:val="baseline"/>
        <w:rPr>
          <w:rFonts w:ascii="Cambria" w:hAnsi="Cambria" w:cs="Segoe UI"/>
          <w:bCs/>
          <w:sz w:val="20"/>
          <w:szCs w:val="20"/>
        </w:rPr>
      </w:pPr>
      <w:r w:rsidRPr="00DF2CE8">
        <w:rPr>
          <w:rFonts w:ascii="Cambria" w:hAnsi="Cambria"/>
          <w:bCs/>
          <w:sz w:val="20"/>
          <w:szCs w:val="20"/>
        </w:rPr>
        <w:t>22.</w:t>
      </w:r>
      <w:r w:rsidRPr="00DF2CE8">
        <w:rPr>
          <w:rFonts w:ascii="Cambria" w:hAnsi="Cambria"/>
          <w:bCs/>
          <w:sz w:val="20"/>
          <w:szCs w:val="20"/>
        </w:rPr>
        <w:tab/>
        <w:t>Adoption du rapport et clôture </w:t>
      </w:r>
    </w:p>
    <w:p w14:paraId="6945D390" w14:textId="77777777" w:rsidR="004F39B9" w:rsidRPr="00DF2CE8" w:rsidRDefault="004F39B9" w:rsidP="004F39B9">
      <w:pPr>
        <w:ind w:left="420" w:hanging="420"/>
        <w:jc w:val="both"/>
        <w:textAlignment w:val="baseline"/>
        <w:rPr>
          <w:rFonts w:ascii="Cambria" w:hAnsi="Cambria" w:cs="Segoe UI"/>
          <w:sz w:val="20"/>
          <w:szCs w:val="20"/>
        </w:rPr>
      </w:pPr>
      <w:r w:rsidRPr="00DF2CE8">
        <w:rPr>
          <w:rFonts w:ascii="Cambria" w:hAnsi="Cambria"/>
          <w:sz w:val="20"/>
          <w:szCs w:val="20"/>
        </w:rPr>
        <w:t> </w:t>
      </w:r>
    </w:p>
    <w:p w14:paraId="36D22BDB" w14:textId="0BC3C0CC" w:rsidR="004F39B9" w:rsidRPr="00DF2CE8" w:rsidRDefault="004F39B9" w:rsidP="004F39B9">
      <w:pPr>
        <w:ind w:left="420"/>
        <w:jc w:val="both"/>
        <w:textAlignment w:val="baseline"/>
        <w:rPr>
          <w:rFonts w:ascii="Cambria" w:hAnsi="Cambria" w:cs="Segoe UI"/>
          <w:sz w:val="20"/>
          <w:szCs w:val="20"/>
        </w:rPr>
      </w:pPr>
      <w:r w:rsidRPr="00DF2CE8">
        <w:rPr>
          <w:rFonts w:ascii="Cambria" w:hAnsi="Cambria"/>
          <w:i/>
          <w:sz w:val="20"/>
          <w:szCs w:val="20"/>
        </w:rPr>
        <w:t xml:space="preserve">Au moment de la rédaction du présent document, </w:t>
      </w:r>
      <w:r w:rsidR="002D365C" w:rsidRPr="00DF2CE8">
        <w:rPr>
          <w:rFonts w:ascii="Cambria" w:hAnsi="Cambria"/>
          <w:i/>
          <w:sz w:val="20"/>
          <w:szCs w:val="20"/>
        </w:rPr>
        <w:t>dix</w:t>
      </w:r>
      <w:r w:rsidRPr="00DF2CE8">
        <w:rPr>
          <w:rFonts w:ascii="Cambria" w:hAnsi="Cambria"/>
          <w:i/>
          <w:sz w:val="20"/>
          <w:szCs w:val="20"/>
        </w:rPr>
        <w:t xml:space="preserve"> déclaration</w:t>
      </w:r>
      <w:r w:rsidR="0079175F" w:rsidRPr="00DF2CE8">
        <w:rPr>
          <w:rFonts w:ascii="Cambria" w:hAnsi="Cambria"/>
          <w:i/>
          <w:sz w:val="20"/>
          <w:szCs w:val="20"/>
        </w:rPr>
        <w:t>s</w:t>
      </w:r>
      <w:r w:rsidRPr="00DF2CE8">
        <w:rPr>
          <w:rFonts w:ascii="Cambria" w:hAnsi="Cambria"/>
          <w:i/>
          <w:sz w:val="20"/>
          <w:szCs w:val="20"/>
        </w:rPr>
        <w:t xml:space="preserve"> de position avai</w:t>
      </w:r>
      <w:r w:rsidR="0079175F" w:rsidRPr="00DF2CE8">
        <w:rPr>
          <w:rFonts w:ascii="Cambria" w:hAnsi="Cambria"/>
          <w:i/>
          <w:sz w:val="20"/>
          <w:szCs w:val="20"/>
        </w:rPr>
        <w:t>en</w:t>
      </w:r>
      <w:r w:rsidRPr="00DF2CE8">
        <w:rPr>
          <w:rFonts w:ascii="Cambria" w:hAnsi="Cambria"/>
          <w:i/>
          <w:sz w:val="20"/>
          <w:szCs w:val="20"/>
        </w:rPr>
        <w:t>t été reçue</w:t>
      </w:r>
      <w:r w:rsidR="0079175F" w:rsidRPr="00DF2CE8">
        <w:rPr>
          <w:rFonts w:ascii="Cambria" w:hAnsi="Cambria"/>
          <w:i/>
          <w:sz w:val="20"/>
          <w:szCs w:val="20"/>
        </w:rPr>
        <w:t>s</w:t>
      </w:r>
      <w:r w:rsidRPr="00DF2CE8">
        <w:rPr>
          <w:rFonts w:ascii="Cambria" w:hAnsi="Cambria"/>
          <w:i/>
          <w:sz w:val="20"/>
          <w:szCs w:val="20"/>
        </w:rPr>
        <w:t xml:space="preserve"> pour la séance plénière</w:t>
      </w:r>
      <w:r w:rsidR="00FE48CD" w:rsidRPr="00DF2CE8">
        <w:rPr>
          <w:rFonts w:ascii="Cambria" w:hAnsi="Cambria"/>
          <w:i/>
          <w:sz w:val="20"/>
          <w:szCs w:val="20"/>
        </w:rPr>
        <w:t xml:space="preserve"> et avaient été publiées </w:t>
      </w:r>
      <w:r w:rsidRPr="00DF2CE8">
        <w:rPr>
          <w:rFonts w:ascii="Cambria" w:hAnsi="Cambria"/>
          <w:i/>
          <w:sz w:val="20"/>
          <w:szCs w:val="20"/>
        </w:rPr>
        <w:t xml:space="preserve">sous la référence </w:t>
      </w:r>
      <w:r w:rsidRPr="00DF2CE8">
        <w:rPr>
          <w:rFonts w:ascii="Cambria" w:hAnsi="Cambria"/>
          <w:b/>
          <w:iCs/>
          <w:sz w:val="20"/>
          <w:szCs w:val="20"/>
        </w:rPr>
        <w:t>PLE_110/2025</w:t>
      </w:r>
      <w:r w:rsidR="004B6FBD" w:rsidRPr="00DF2CE8">
        <w:rPr>
          <w:rFonts w:ascii="Cambria" w:hAnsi="Cambria"/>
          <w:b/>
          <w:iCs/>
          <w:sz w:val="20"/>
          <w:szCs w:val="20"/>
        </w:rPr>
        <w:t xml:space="preserve">, </w:t>
      </w:r>
      <w:r w:rsidR="004B6FBD" w:rsidRPr="00DF2CE8">
        <w:rPr>
          <w:rFonts w:ascii="Cambria" w:eastAsia="Calibri" w:hAnsi="Cambria" w:cs="Calibri"/>
          <w:b/>
          <w:bCs/>
          <w:iCs/>
          <w:sz w:val="20"/>
          <w:szCs w:val="20"/>
          <w:lang w:eastAsia="es-ES"/>
        </w:rPr>
        <w:t>PLE</w:t>
      </w:r>
      <w:r w:rsidR="004B6FBD" w:rsidRPr="00DF2CE8">
        <w:rPr>
          <w:rFonts w:ascii="Cambria" w:eastAsia="Calibri" w:hAnsi="Cambria" w:cs="Calibri"/>
          <w:b/>
          <w:bCs/>
          <w:sz w:val="20"/>
          <w:szCs w:val="20"/>
          <w:lang w:eastAsia="es-ES"/>
        </w:rPr>
        <w:t xml:space="preserve">_112/2025, </w:t>
      </w:r>
      <w:r w:rsidR="004B6FBD" w:rsidRPr="00DF2CE8">
        <w:rPr>
          <w:rFonts w:ascii="Cambria" w:hAnsi="Cambria"/>
          <w:b/>
          <w:sz w:val="20"/>
          <w:szCs w:val="20"/>
        </w:rPr>
        <w:t>PLE_117</w:t>
      </w:r>
      <w:r w:rsidR="004B6FBD" w:rsidRPr="00DF2CE8">
        <w:rPr>
          <w:rFonts w:ascii="Cambria" w:eastAsia="Calibri" w:hAnsi="Cambria" w:cs="Calibri"/>
          <w:b/>
          <w:bCs/>
          <w:sz w:val="20"/>
          <w:szCs w:val="20"/>
          <w:lang w:eastAsia="es-ES"/>
        </w:rPr>
        <w:t>/</w:t>
      </w:r>
      <w:r w:rsidR="003B7A18" w:rsidRPr="00DF2CE8">
        <w:rPr>
          <w:rFonts w:ascii="Cambria" w:eastAsia="Calibri" w:hAnsi="Cambria" w:cs="Calibri"/>
          <w:b/>
          <w:bCs/>
          <w:sz w:val="20"/>
          <w:szCs w:val="20"/>
          <w:lang w:eastAsia="es-ES"/>
        </w:rPr>
        <w:t>2025</w:t>
      </w:r>
      <w:r w:rsidR="003B7A18" w:rsidRPr="00DF2CE8">
        <w:rPr>
          <w:rFonts w:ascii="Cambria" w:hAnsi="Cambria"/>
          <w:b/>
          <w:sz w:val="20"/>
          <w:szCs w:val="20"/>
        </w:rPr>
        <w:t>, PLE</w:t>
      </w:r>
      <w:r w:rsidR="004B6FBD" w:rsidRPr="00DF2CE8">
        <w:rPr>
          <w:rFonts w:ascii="Cambria" w:hAnsi="Cambria"/>
          <w:b/>
          <w:sz w:val="20"/>
          <w:szCs w:val="20"/>
        </w:rPr>
        <w:t>-121</w:t>
      </w:r>
      <w:r w:rsidR="004B6FBD" w:rsidRPr="00DF2CE8">
        <w:rPr>
          <w:rFonts w:ascii="Cambria" w:eastAsia="Calibri" w:hAnsi="Cambria" w:cs="Calibri"/>
          <w:b/>
          <w:bCs/>
          <w:sz w:val="20"/>
          <w:szCs w:val="20"/>
          <w:lang w:eastAsia="es-ES"/>
        </w:rPr>
        <w:t>/2025</w:t>
      </w:r>
      <w:r w:rsidR="00326D20" w:rsidRPr="00DF2CE8">
        <w:rPr>
          <w:rFonts w:ascii="Cambria" w:eastAsia="Calibri" w:hAnsi="Cambria" w:cs="Calibri"/>
          <w:b/>
          <w:bCs/>
          <w:sz w:val="20"/>
          <w:szCs w:val="20"/>
          <w:lang w:eastAsia="es-ES"/>
        </w:rPr>
        <w:t xml:space="preserve">, </w:t>
      </w:r>
      <w:r w:rsidR="004B6FBD" w:rsidRPr="00DF2CE8">
        <w:rPr>
          <w:rFonts w:ascii="Cambria" w:hAnsi="Cambria"/>
          <w:b/>
          <w:sz w:val="20"/>
          <w:szCs w:val="20"/>
        </w:rPr>
        <w:t>PLE-122</w:t>
      </w:r>
      <w:r w:rsidR="004B6FBD" w:rsidRPr="00DF2CE8">
        <w:rPr>
          <w:rFonts w:ascii="Cambria" w:eastAsia="Calibri" w:hAnsi="Cambria" w:cs="Calibri"/>
          <w:b/>
          <w:bCs/>
          <w:sz w:val="20"/>
          <w:szCs w:val="20"/>
          <w:lang w:eastAsia="es-ES"/>
        </w:rPr>
        <w:t>/2025</w:t>
      </w:r>
      <w:r w:rsidR="004B6FBD" w:rsidRPr="00DF2CE8">
        <w:rPr>
          <w:rFonts w:ascii="Cambria" w:hAnsi="Cambria"/>
          <w:b/>
          <w:sz w:val="20"/>
          <w:szCs w:val="20"/>
        </w:rPr>
        <w:t xml:space="preserve">, </w:t>
      </w:r>
      <w:r w:rsidR="00326D20" w:rsidRPr="00DF2CE8">
        <w:rPr>
          <w:rFonts w:ascii="Cambria" w:hAnsi="Cambria"/>
          <w:b/>
          <w:sz w:val="20"/>
          <w:szCs w:val="20"/>
        </w:rPr>
        <w:t>PLE-123</w:t>
      </w:r>
      <w:r w:rsidR="00326D20" w:rsidRPr="00DF2CE8">
        <w:rPr>
          <w:rFonts w:ascii="Cambria" w:eastAsia="Calibri" w:hAnsi="Cambria" w:cs="Calibri"/>
          <w:b/>
          <w:bCs/>
          <w:sz w:val="20"/>
          <w:szCs w:val="20"/>
          <w:lang w:eastAsia="es-ES"/>
        </w:rPr>
        <w:t>/2025</w:t>
      </w:r>
      <w:r w:rsidR="00326D20" w:rsidRPr="00DF2CE8">
        <w:rPr>
          <w:rFonts w:ascii="Cambria" w:hAnsi="Cambria"/>
          <w:b/>
          <w:sz w:val="20"/>
          <w:szCs w:val="20"/>
        </w:rPr>
        <w:t xml:space="preserve">, </w:t>
      </w:r>
      <w:r w:rsidR="004B6FBD" w:rsidRPr="00DF2CE8">
        <w:rPr>
          <w:rFonts w:ascii="Cambria" w:hAnsi="Cambria"/>
          <w:b/>
          <w:bCs/>
          <w:sz w:val="20"/>
          <w:szCs w:val="20"/>
        </w:rPr>
        <w:t>PLE-124</w:t>
      </w:r>
      <w:r w:rsidR="004B6FBD" w:rsidRPr="00DF2CE8">
        <w:rPr>
          <w:rFonts w:ascii="Cambria" w:eastAsia="Calibri" w:hAnsi="Cambria" w:cs="Calibri"/>
          <w:b/>
          <w:bCs/>
          <w:sz w:val="20"/>
          <w:szCs w:val="20"/>
          <w:lang w:eastAsia="es-ES"/>
        </w:rPr>
        <w:t>/2025</w:t>
      </w:r>
      <w:r w:rsidR="004B6FBD" w:rsidRPr="00DF2CE8">
        <w:rPr>
          <w:rFonts w:ascii="Cambria" w:hAnsi="Cambria"/>
          <w:b/>
          <w:bCs/>
          <w:sz w:val="20"/>
          <w:szCs w:val="20"/>
        </w:rPr>
        <w:t xml:space="preserve"> PLE-125</w:t>
      </w:r>
      <w:r w:rsidR="004B6FBD" w:rsidRPr="00DF2CE8">
        <w:rPr>
          <w:rFonts w:ascii="Cambria" w:eastAsia="Calibri" w:hAnsi="Cambria" w:cs="Calibri"/>
          <w:b/>
          <w:bCs/>
          <w:sz w:val="20"/>
          <w:szCs w:val="20"/>
          <w:lang w:eastAsia="es-ES"/>
        </w:rPr>
        <w:t>/2025</w:t>
      </w:r>
      <w:r w:rsidR="002D365C" w:rsidRPr="00DF2CE8">
        <w:rPr>
          <w:rFonts w:ascii="Cambria" w:eastAsia="Calibri" w:hAnsi="Cambria" w:cs="Calibri"/>
          <w:b/>
          <w:bCs/>
          <w:sz w:val="20"/>
          <w:szCs w:val="20"/>
          <w:lang w:eastAsia="es-ES"/>
        </w:rPr>
        <w:t xml:space="preserve"> et </w:t>
      </w:r>
      <w:r w:rsidR="00326D20" w:rsidRPr="00DF2CE8">
        <w:rPr>
          <w:rFonts w:ascii="Cambria" w:eastAsia="Calibri" w:hAnsi="Cambria" w:cs="Calibri"/>
          <w:b/>
          <w:bCs/>
          <w:sz w:val="20"/>
          <w:szCs w:val="20"/>
          <w:lang w:eastAsia="es-ES"/>
        </w:rPr>
        <w:t>PLE-126/2015</w:t>
      </w:r>
      <w:r w:rsidR="004B6FBD" w:rsidRPr="00DF2CE8">
        <w:rPr>
          <w:rFonts w:ascii="Cambria" w:eastAsia="Calibri" w:hAnsi="Cambria" w:cs="Calibri"/>
          <w:b/>
          <w:bCs/>
          <w:sz w:val="20"/>
          <w:szCs w:val="20"/>
          <w:lang w:eastAsia="es-ES"/>
        </w:rPr>
        <w:t>.</w:t>
      </w:r>
      <w:r w:rsidRPr="00DF2CE8">
        <w:rPr>
          <w:rFonts w:ascii="Cambria" w:hAnsi="Cambria"/>
          <w:i/>
          <w:sz w:val="20"/>
          <w:szCs w:val="20"/>
        </w:rPr>
        <w:t xml:space="preserve"> Les déclarations supplémentaires seront publiées au fur et à mesure de leur réception.</w:t>
      </w:r>
      <w:r w:rsidRPr="00DF2CE8">
        <w:rPr>
          <w:rFonts w:ascii="Cambria" w:hAnsi="Cambria"/>
          <w:sz w:val="20"/>
          <w:szCs w:val="20"/>
        </w:rPr>
        <w:t> </w:t>
      </w:r>
    </w:p>
    <w:p w14:paraId="4A6BD19B" w14:textId="77777777" w:rsidR="009B2781" w:rsidRPr="00DF2CE8" w:rsidRDefault="009B2781" w:rsidP="004F39B9">
      <w:pPr>
        <w:jc w:val="center"/>
        <w:textAlignment w:val="baseline"/>
        <w:rPr>
          <w:rFonts w:ascii="Cambria" w:hAnsi="Cambria" w:cs="Segoe UI"/>
          <w:b/>
          <w:bCs/>
          <w:sz w:val="20"/>
          <w:szCs w:val="20"/>
        </w:rPr>
      </w:pPr>
    </w:p>
    <w:p w14:paraId="5BEAD901" w14:textId="77777777" w:rsidR="004F39B9" w:rsidRPr="00DF2CE8" w:rsidRDefault="004F39B9" w:rsidP="004F39B9">
      <w:pPr>
        <w:textAlignment w:val="baseline"/>
        <w:rPr>
          <w:rFonts w:ascii="Cambria" w:hAnsi="Cambria" w:cs="Segoe UI"/>
          <w:sz w:val="20"/>
          <w:szCs w:val="20"/>
        </w:rPr>
      </w:pPr>
      <w:r w:rsidRPr="00DF2CE8">
        <w:rPr>
          <w:rFonts w:ascii="Cambria" w:hAnsi="Cambria"/>
          <w:sz w:val="20"/>
          <w:szCs w:val="20"/>
        </w:rPr>
        <w:t> </w:t>
      </w:r>
    </w:p>
    <w:p w14:paraId="32FC252B" w14:textId="5B93EB01" w:rsidR="004F39B9" w:rsidRPr="00DF2CE8" w:rsidRDefault="004F39B9">
      <w:pPr>
        <w:spacing w:after="160" w:line="259" w:lineRule="auto"/>
        <w:rPr>
          <w:rFonts w:ascii="Cambria" w:hAnsi="Cambria"/>
          <w:b/>
          <w:sz w:val="20"/>
          <w:szCs w:val="20"/>
        </w:rPr>
      </w:pPr>
    </w:p>
    <w:p w14:paraId="1D3CB5F1" w14:textId="77777777" w:rsidR="00821CFF" w:rsidRPr="00DF2CE8" w:rsidRDefault="00821CFF">
      <w:pPr>
        <w:spacing w:after="160" w:line="259" w:lineRule="auto"/>
        <w:rPr>
          <w:rFonts w:ascii="Cambria" w:hAnsi="Cambria"/>
          <w:b/>
          <w:sz w:val="20"/>
          <w:szCs w:val="20"/>
        </w:rPr>
      </w:pPr>
      <w:r w:rsidRPr="00DF2CE8">
        <w:rPr>
          <w:rFonts w:ascii="Cambria" w:hAnsi="Cambria"/>
          <w:sz w:val="20"/>
          <w:szCs w:val="20"/>
        </w:rPr>
        <w:br w:type="page"/>
      </w:r>
    </w:p>
    <w:p w14:paraId="24D1C513" w14:textId="77777777" w:rsidR="000A777B" w:rsidRPr="00DF2CE8" w:rsidRDefault="000A777B" w:rsidP="00743EF7">
      <w:pPr>
        <w:jc w:val="center"/>
        <w:rPr>
          <w:rFonts w:ascii="Cambria" w:hAnsi="Cambria"/>
          <w:b/>
          <w:bCs/>
          <w:sz w:val="20"/>
          <w:szCs w:val="20"/>
        </w:rPr>
      </w:pPr>
    </w:p>
    <w:p w14:paraId="5A90B6C5" w14:textId="4CFD19C0" w:rsidR="00743EF7" w:rsidRPr="00DF2CE8" w:rsidRDefault="00743EF7" w:rsidP="00743EF7">
      <w:pPr>
        <w:jc w:val="center"/>
        <w:rPr>
          <w:rFonts w:ascii="Cambria" w:hAnsi="Cambria"/>
          <w:b/>
          <w:bCs/>
          <w:sz w:val="20"/>
          <w:szCs w:val="20"/>
        </w:rPr>
      </w:pPr>
      <w:r w:rsidRPr="00DF2CE8">
        <w:rPr>
          <w:rFonts w:ascii="Cambria" w:hAnsi="Cambria"/>
          <w:b/>
          <w:sz w:val="20"/>
          <w:szCs w:val="20"/>
        </w:rPr>
        <w:t>Comité d’application des mesures de conservation et de gestion (COC)</w:t>
      </w:r>
    </w:p>
    <w:p w14:paraId="7CC09B86" w14:textId="77777777" w:rsidR="00743EF7" w:rsidRPr="00DF2CE8" w:rsidRDefault="00743EF7" w:rsidP="00743EF7">
      <w:pPr>
        <w:jc w:val="center"/>
        <w:rPr>
          <w:rFonts w:ascii="Cambria" w:hAnsi="Cambria"/>
          <w:b/>
          <w:bCs/>
          <w:sz w:val="20"/>
          <w:szCs w:val="20"/>
        </w:rPr>
      </w:pPr>
    </w:p>
    <w:p w14:paraId="041B5C78" w14:textId="77777777" w:rsidR="00743EF7" w:rsidRPr="00DF2CE8" w:rsidRDefault="00743EF7" w:rsidP="00743EF7">
      <w:pPr>
        <w:jc w:val="center"/>
        <w:rPr>
          <w:rFonts w:ascii="Cambria" w:hAnsi="Cambria"/>
          <w:b/>
          <w:bCs/>
          <w:sz w:val="20"/>
          <w:szCs w:val="20"/>
        </w:rPr>
      </w:pPr>
    </w:p>
    <w:p w14:paraId="28B71394"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Ouverture de la réunion</w:t>
      </w:r>
    </w:p>
    <w:p w14:paraId="1276E026" w14:textId="77777777" w:rsidR="00743EF7" w:rsidRPr="00DF2CE8" w:rsidRDefault="00743EF7" w:rsidP="00743EF7">
      <w:pPr>
        <w:tabs>
          <w:tab w:val="left" w:pos="426"/>
        </w:tabs>
        <w:jc w:val="both"/>
        <w:rPr>
          <w:rFonts w:ascii="Cambria" w:hAnsi="Cambria"/>
          <w:sz w:val="20"/>
          <w:szCs w:val="20"/>
          <w:lang w:val="en-GB"/>
        </w:rPr>
      </w:pPr>
    </w:p>
    <w:p w14:paraId="7581BAF0" w14:textId="77777777" w:rsidR="00743EF7" w:rsidRPr="00DF2CE8" w:rsidRDefault="00743EF7" w:rsidP="00743EF7">
      <w:pPr>
        <w:ind w:left="360"/>
        <w:rPr>
          <w:rFonts w:ascii="Cambria" w:hAnsi="Cambria"/>
          <w:sz w:val="20"/>
          <w:szCs w:val="20"/>
        </w:rPr>
      </w:pPr>
      <w:r w:rsidRPr="00DF2CE8">
        <w:rPr>
          <w:rFonts w:ascii="Cambria" w:hAnsi="Cambria"/>
          <w:i/>
          <w:sz w:val="20"/>
          <w:szCs w:val="20"/>
        </w:rPr>
        <w:t>Le Président du Comité d’application, M. Derek Campbell (États-Unis), ouvrira la réunion.</w:t>
      </w:r>
    </w:p>
    <w:p w14:paraId="0CED7EAE" w14:textId="77777777" w:rsidR="00743EF7" w:rsidRPr="00DF2CE8" w:rsidRDefault="00743EF7" w:rsidP="00743EF7">
      <w:pPr>
        <w:ind w:left="360"/>
        <w:rPr>
          <w:rFonts w:ascii="Cambria" w:hAnsi="Cambria"/>
          <w:sz w:val="20"/>
          <w:szCs w:val="20"/>
        </w:rPr>
      </w:pPr>
    </w:p>
    <w:p w14:paraId="0E21857F"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Désignation du Rapporteur</w:t>
      </w:r>
    </w:p>
    <w:p w14:paraId="370B1A07" w14:textId="77777777" w:rsidR="00743EF7" w:rsidRPr="00DF2CE8" w:rsidRDefault="00743EF7" w:rsidP="00743EF7">
      <w:pPr>
        <w:pStyle w:val="ListParagraph"/>
        <w:tabs>
          <w:tab w:val="left" w:pos="426"/>
        </w:tabs>
        <w:ind w:left="360"/>
        <w:jc w:val="both"/>
        <w:rPr>
          <w:rFonts w:ascii="Cambria" w:hAnsi="Cambria"/>
          <w:sz w:val="20"/>
          <w:szCs w:val="20"/>
          <w:lang w:val="en-GB"/>
        </w:rPr>
      </w:pPr>
    </w:p>
    <w:p w14:paraId="3FF23D8F" w14:textId="77777777" w:rsidR="00743EF7" w:rsidRPr="00DF2CE8" w:rsidRDefault="00743EF7" w:rsidP="00743EF7">
      <w:pPr>
        <w:pStyle w:val="ListParagraph"/>
        <w:tabs>
          <w:tab w:val="left" w:pos="426"/>
        </w:tabs>
        <w:ind w:left="360"/>
        <w:jc w:val="both"/>
        <w:rPr>
          <w:rFonts w:ascii="Cambria" w:hAnsi="Cambria"/>
          <w:i/>
          <w:iCs/>
          <w:sz w:val="20"/>
          <w:szCs w:val="20"/>
        </w:rPr>
      </w:pPr>
      <w:r w:rsidRPr="00DF2CE8">
        <w:rPr>
          <w:rFonts w:ascii="Cambria" w:hAnsi="Cambria"/>
          <w:i/>
          <w:sz w:val="20"/>
          <w:szCs w:val="20"/>
        </w:rPr>
        <w:t>Le Secrétariat fera office de rapporteur.</w:t>
      </w:r>
    </w:p>
    <w:p w14:paraId="4B306792" w14:textId="77777777" w:rsidR="00743EF7" w:rsidRPr="00DF2CE8" w:rsidRDefault="00743EF7" w:rsidP="00743EF7">
      <w:pPr>
        <w:tabs>
          <w:tab w:val="left" w:pos="426"/>
        </w:tabs>
        <w:jc w:val="both"/>
        <w:rPr>
          <w:rFonts w:ascii="Cambria" w:hAnsi="Cambria"/>
          <w:sz w:val="20"/>
          <w:szCs w:val="20"/>
        </w:rPr>
      </w:pPr>
    </w:p>
    <w:p w14:paraId="1B0236F7"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Adoption de l'ordre du jour</w:t>
      </w:r>
    </w:p>
    <w:p w14:paraId="3F035CED" w14:textId="77777777" w:rsidR="00743EF7" w:rsidRPr="00DF2CE8" w:rsidRDefault="00743EF7" w:rsidP="00743EF7">
      <w:pPr>
        <w:pStyle w:val="ListParagraph"/>
        <w:rPr>
          <w:rFonts w:ascii="Cambria" w:hAnsi="Cambria"/>
          <w:sz w:val="20"/>
          <w:szCs w:val="20"/>
          <w:lang w:val="en-GB"/>
        </w:rPr>
      </w:pPr>
    </w:p>
    <w:p w14:paraId="7F10B69A" w14:textId="51806D11" w:rsidR="00743EF7" w:rsidRPr="00DF2CE8" w:rsidRDefault="00743EF7" w:rsidP="00743EF7">
      <w:pPr>
        <w:pStyle w:val="ListParagraph"/>
        <w:tabs>
          <w:tab w:val="left" w:pos="426"/>
        </w:tabs>
        <w:ind w:left="360"/>
        <w:jc w:val="both"/>
        <w:rPr>
          <w:rFonts w:ascii="Cambria" w:hAnsi="Cambria"/>
          <w:sz w:val="20"/>
          <w:szCs w:val="20"/>
        </w:rPr>
      </w:pPr>
      <w:r w:rsidRPr="00DF2CE8">
        <w:rPr>
          <w:rFonts w:ascii="Cambria" w:hAnsi="Cambria"/>
          <w:i/>
          <w:sz w:val="20"/>
          <w:szCs w:val="20"/>
        </w:rPr>
        <w:t xml:space="preserve">L'ordre du jour </w:t>
      </w:r>
      <w:r w:rsidR="00F847C5" w:rsidRPr="00DF2CE8">
        <w:rPr>
          <w:rFonts w:ascii="Cambria" w:hAnsi="Cambria"/>
          <w:i/>
          <w:sz w:val="20"/>
          <w:szCs w:val="20"/>
        </w:rPr>
        <w:t>est disponible</w:t>
      </w:r>
      <w:r w:rsidRPr="00DF2CE8">
        <w:rPr>
          <w:rFonts w:ascii="Cambria" w:hAnsi="Cambria"/>
          <w:i/>
          <w:sz w:val="20"/>
          <w:szCs w:val="20"/>
        </w:rPr>
        <w:t xml:space="preserve"> sous la référence </w:t>
      </w:r>
      <w:r w:rsidRPr="00DF2CE8">
        <w:rPr>
          <w:rFonts w:ascii="Cambria" w:hAnsi="Cambria"/>
          <w:b/>
          <w:i/>
          <w:sz w:val="20"/>
          <w:szCs w:val="20"/>
        </w:rPr>
        <w:t>COC_300</w:t>
      </w:r>
      <w:r w:rsidR="00915D5B" w:rsidRPr="00DF2CE8">
        <w:rPr>
          <w:rFonts w:ascii="Cambria" w:hAnsi="Cambria"/>
          <w:b/>
          <w:i/>
          <w:sz w:val="20"/>
          <w:szCs w:val="20"/>
        </w:rPr>
        <w:t>_REV_1</w:t>
      </w:r>
      <w:r w:rsidRPr="00DF2CE8">
        <w:rPr>
          <w:rFonts w:ascii="Cambria" w:hAnsi="Cambria"/>
          <w:b/>
          <w:i/>
          <w:sz w:val="20"/>
          <w:szCs w:val="20"/>
        </w:rPr>
        <w:t>/2025</w:t>
      </w:r>
      <w:r w:rsidRPr="00DF2CE8">
        <w:rPr>
          <w:rFonts w:ascii="Cambria" w:hAnsi="Cambria"/>
          <w:i/>
          <w:sz w:val="20"/>
          <w:szCs w:val="20"/>
        </w:rPr>
        <w:t>.</w:t>
      </w:r>
    </w:p>
    <w:p w14:paraId="3F3A2F3A" w14:textId="77777777" w:rsidR="00743EF7" w:rsidRPr="00DF2CE8" w:rsidRDefault="00743EF7" w:rsidP="00743EF7">
      <w:pPr>
        <w:tabs>
          <w:tab w:val="left" w:pos="426"/>
        </w:tabs>
        <w:jc w:val="both"/>
        <w:rPr>
          <w:rFonts w:ascii="Cambria" w:hAnsi="Cambria"/>
          <w:sz w:val="20"/>
          <w:szCs w:val="20"/>
        </w:rPr>
      </w:pPr>
    </w:p>
    <w:p w14:paraId="36329285"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Examen des progrès accomplis par le Groupe de travail sur les technologies de déclaration en ligne (WG-ORT) et prochaines étapes</w:t>
      </w:r>
    </w:p>
    <w:p w14:paraId="4D2BD8F9" w14:textId="77777777" w:rsidR="00743EF7" w:rsidRPr="00DF2CE8" w:rsidRDefault="00743EF7" w:rsidP="00743EF7">
      <w:pPr>
        <w:pStyle w:val="ListParagraph"/>
        <w:rPr>
          <w:rFonts w:ascii="Cambria" w:hAnsi="Cambria"/>
          <w:sz w:val="20"/>
          <w:szCs w:val="20"/>
        </w:rPr>
      </w:pPr>
    </w:p>
    <w:p w14:paraId="262FAE70" w14:textId="77777777" w:rsidR="00743EF7" w:rsidRPr="00DF2CE8" w:rsidRDefault="00743EF7" w:rsidP="00E67222">
      <w:pPr>
        <w:pStyle w:val="ListParagraph"/>
        <w:tabs>
          <w:tab w:val="left" w:pos="426"/>
        </w:tabs>
        <w:ind w:left="360"/>
        <w:jc w:val="both"/>
        <w:rPr>
          <w:rFonts w:ascii="Cambria" w:hAnsi="Cambria"/>
          <w:sz w:val="20"/>
          <w:szCs w:val="20"/>
        </w:rPr>
      </w:pPr>
      <w:r w:rsidRPr="00DF2CE8">
        <w:rPr>
          <w:rFonts w:ascii="Cambria" w:hAnsi="Cambria"/>
          <w:i/>
          <w:sz w:val="20"/>
          <w:szCs w:val="20"/>
        </w:rPr>
        <w:t xml:space="preserve">Le rapport de la réunion du Groupe de travail sur les technologies de déclaration en ligne est disponible sous la référence </w:t>
      </w:r>
      <w:r w:rsidRPr="00DF2CE8">
        <w:rPr>
          <w:rFonts w:ascii="Cambria" w:hAnsi="Cambria"/>
          <w:b/>
          <w:bCs/>
          <w:i/>
          <w:sz w:val="20"/>
          <w:szCs w:val="20"/>
        </w:rPr>
        <w:t>COC_302/2025</w:t>
      </w:r>
      <w:r w:rsidRPr="00DF2CE8">
        <w:rPr>
          <w:rFonts w:ascii="Cambria" w:hAnsi="Cambria"/>
          <w:i/>
          <w:sz w:val="20"/>
          <w:szCs w:val="20"/>
        </w:rPr>
        <w:t>.</w:t>
      </w:r>
      <w:r w:rsidRPr="00DF2CE8">
        <w:rPr>
          <w:rFonts w:ascii="Cambria" w:hAnsi="Cambria"/>
          <w:b/>
          <w:i/>
          <w:sz w:val="20"/>
          <w:szCs w:val="20"/>
        </w:rPr>
        <w:t xml:space="preserve"> </w:t>
      </w:r>
      <w:r w:rsidRPr="00DF2CE8">
        <w:rPr>
          <w:rFonts w:ascii="Cambria" w:hAnsi="Cambria"/>
          <w:i/>
          <w:sz w:val="20"/>
          <w:szCs w:val="20"/>
        </w:rPr>
        <w:t xml:space="preserve">Une mise à jour de l'état actuel de l'IOMS figure dans le </w:t>
      </w:r>
      <w:r w:rsidRPr="00DF2CE8">
        <w:rPr>
          <w:rFonts w:ascii="Cambria" w:hAnsi="Cambria"/>
          <w:b/>
          <w:i/>
          <w:sz w:val="20"/>
          <w:szCs w:val="20"/>
        </w:rPr>
        <w:t>COC_316/2025</w:t>
      </w:r>
      <w:r w:rsidRPr="00DF2CE8">
        <w:rPr>
          <w:rFonts w:ascii="Cambria" w:hAnsi="Cambria"/>
          <w:i/>
          <w:sz w:val="20"/>
          <w:szCs w:val="20"/>
        </w:rPr>
        <w:t>.</w:t>
      </w:r>
      <w:r w:rsidRPr="00DF2CE8">
        <w:rPr>
          <w:rFonts w:ascii="Cambria" w:hAnsi="Cambria"/>
          <w:b/>
          <w:i/>
          <w:sz w:val="20"/>
          <w:szCs w:val="20"/>
        </w:rPr>
        <w:t xml:space="preserve"> </w:t>
      </w:r>
    </w:p>
    <w:p w14:paraId="0E43BA55" w14:textId="77777777" w:rsidR="00743EF7" w:rsidRPr="00DF2CE8" w:rsidRDefault="00743EF7" w:rsidP="00E67222">
      <w:pPr>
        <w:pStyle w:val="ListParagraph"/>
        <w:tabs>
          <w:tab w:val="left" w:pos="426"/>
        </w:tabs>
        <w:ind w:left="360"/>
        <w:jc w:val="both"/>
        <w:rPr>
          <w:rFonts w:ascii="Cambria" w:hAnsi="Cambria"/>
          <w:sz w:val="20"/>
          <w:szCs w:val="20"/>
        </w:rPr>
      </w:pPr>
    </w:p>
    <w:p w14:paraId="075D0628" w14:textId="77777777" w:rsidR="009A1A60" w:rsidRPr="00DF2CE8" w:rsidRDefault="009A1A60" w:rsidP="00E67222">
      <w:pPr>
        <w:ind w:left="360"/>
        <w:jc w:val="both"/>
        <w:rPr>
          <w:rFonts w:ascii="Cambria" w:hAnsi="Cambria"/>
          <w:sz w:val="20"/>
          <w:szCs w:val="20"/>
        </w:rPr>
      </w:pPr>
      <w:r w:rsidRPr="00DF2CE8">
        <w:rPr>
          <w:rFonts w:ascii="Cambria" w:hAnsi="Cambria"/>
          <w:i/>
          <w:sz w:val="20"/>
          <w:szCs w:val="20"/>
        </w:rPr>
        <w:t>Le Secrétariat a préparé une évaluation des coûts pour la traduction des données et documents de l'IOMS (</w:t>
      </w:r>
      <w:r w:rsidRPr="00DF2CE8">
        <w:rPr>
          <w:rFonts w:ascii="Cambria" w:hAnsi="Cambria"/>
          <w:b/>
          <w:i/>
          <w:sz w:val="20"/>
          <w:szCs w:val="20"/>
        </w:rPr>
        <w:t>COC_319/2025</w:t>
      </w:r>
      <w:r w:rsidRPr="00DF2CE8">
        <w:rPr>
          <w:rFonts w:ascii="Cambria" w:hAnsi="Cambria"/>
          <w:i/>
          <w:sz w:val="20"/>
          <w:szCs w:val="20"/>
        </w:rPr>
        <w:t>).</w:t>
      </w:r>
    </w:p>
    <w:p w14:paraId="5EFF72B8" w14:textId="77777777" w:rsidR="009A1A60" w:rsidRPr="00DF2CE8" w:rsidRDefault="009A1A60" w:rsidP="00E67222">
      <w:pPr>
        <w:pStyle w:val="ListParagraph"/>
        <w:tabs>
          <w:tab w:val="left" w:pos="426"/>
        </w:tabs>
        <w:ind w:left="360"/>
        <w:jc w:val="both"/>
        <w:rPr>
          <w:rFonts w:ascii="Cambria" w:hAnsi="Cambria"/>
          <w:sz w:val="20"/>
          <w:szCs w:val="20"/>
        </w:rPr>
      </w:pPr>
    </w:p>
    <w:p w14:paraId="575018D5" w14:textId="6BC1363B" w:rsidR="00743EF7" w:rsidRPr="00DF2CE8" w:rsidRDefault="00743EF7" w:rsidP="00E67222">
      <w:pPr>
        <w:pStyle w:val="ListParagraph"/>
        <w:tabs>
          <w:tab w:val="left" w:pos="426"/>
        </w:tabs>
        <w:ind w:left="360"/>
        <w:jc w:val="both"/>
        <w:rPr>
          <w:rFonts w:ascii="Cambria" w:hAnsi="Cambria"/>
          <w:b/>
          <w:bCs/>
          <w:i/>
          <w:iCs/>
          <w:sz w:val="20"/>
          <w:szCs w:val="20"/>
        </w:rPr>
      </w:pPr>
      <w:r w:rsidRPr="00DF2CE8">
        <w:rPr>
          <w:rFonts w:ascii="Cambria" w:hAnsi="Cambria"/>
          <w:i/>
          <w:sz w:val="20"/>
          <w:szCs w:val="20"/>
        </w:rPr>
        <w:t xml:space="preserve">Les lignes directrices visant à simplifier les feuilles de contrôle sur la mise en œuvre des mesures s'appliquant aux requins et aux istiophoridés, basées sur celles déclarées en 2025, et préparées par le Secrétariat, sont disponibles sous la référence </w:t>
      </w:r>
      <w:r w:rsidRPr="00DF2CE8">
        <w:rPr>
          <w:rFonts w:ascii="Cambria" w:hAnsi="Cambria"/>
          <w:b/>
          <w:bCs/>
          <w:i/>
          <w:sz w:val="20"/>
          <w:szCs w:val="20"/>
        </w:rPr>
        <w:t>COC_</w:t>
      </w:r>
      <w:r w:rsidRPr="00DF2CE8">
        <w:rPr>
          <w:rFonts w:ascii="Cambria" w:hAnsi="Cambria"/>
          <w:b/>
          <w:i/>
          <w:sz w:val="20"/>
          <w:szCs w:val="20"/>
        </w:rPr>
        <w:t>321/2025.</w:t>
      </w:r>
    </w:p>
    <w:p w14:paraId="5EF53AB0" w14:textId="77777777" w:rsidR="00743EF7" w:rsidRPr="00DF2CE8" w:rsidRDefault="00743EF7" w:rsidP="00E67222">
      <w:pPr>
        <w:pStyle w:val="ListParagraph"/>
        <w:tabs>
          <w:tab w:val="left" w:pos="426"/>
        </w:tabs>
        <w:ind w:left="360"/>
        <w:jc w:val="both"/>
        <w:rPr>
          <w:rFonts w:ascii="Cambria" w:hAnsi="Cambria"/>
          <w:sz w:val="20"/>
          <w:szCs w:val="20"/>
        </w:rPr>
      </w:pPr>
    </w:p>
    <w:p w14:paraId="00D95F30" w14:textId="77777777" w:rsidR="00743EF7" w:rsidRPr="00DF2CE8" w:rsidRDefault="00743EF7" w:rsidP="00E67222">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Examen du rapport du Secrétariat au Comité d'application</w:t>
      </w:r>
    </w:p>
    <w:p w14:paraId="2E256179" w14:textId="77777777" w:rsidR="00743EF7" w:rsidRPr="00DF2CE8" w:rsidRDefault="00743EF7" w:rsidP="00E67222">
      <w:pPr>
        <w:pStyle w:val="ListParagraph"/>
        <w:jc w:val="both"/>
        <w:rPr>
          <w:rFonts w:ascii="Cambria" w:hAnsi="Cambria"/>
          <w:sz w:val="20"/>
          <w:szCs w:val="20"/>
        </w:rPr>
      </w:pPr>
    </w:p>
    <w:p w14:paraId="6B1918CD" w14:textId="77777777" w:rsidR="00743EF7" w:rsidRPr="00DF2CE8" w:rsidRDefault="00743EF7" w:rsidP="00E67222">
      <w:pPr>
        <w:pStyle w:val="ListParagraph"/>
        <w:tabs>
          <w:tab w:val="left" w:pos="426"/>
        </w:tabs>
        <w:ind w:left="360"/>
        <w:jc w:val="both"/>
        <w:rPr>
          <w:rFonts w:ascii="Cambria" w:hAnsi="Cambria"/>
          <w:sz w:val="20"/>
          <w:szCs w:val="20"/>
        </w:rPr>
      </w:pPr>
      <w:r w:rsidRPr="00DF2CE8">
        <w:rPr>
          <w:rFonts w:ascii="Cambria" w:hAnsi="Cambria"/>
          <w:i/>
          <w:sz w:val="20"/>
          <w:szCs w:val="20"/>
        </w:rPr>
        <w:t>Le rapport du Secrétariat au Comité d’application se trouve dans le</w:t>
      </w:r>
      <w:r w:rsidRPr="00DF2CE8">
        <w:rPr>
          <w:rFonts w:ascii="Cambria" w:hAnsi="Cambria"/>
          <w:b/>
          <w:i/>
          <w:sz w:val="20"/>
          <w:szCs w:val="20"/>
        </w:rPr>
        <w:t xml:space="preserve"> COC_303/2025</w:t>
      </w:r>
    </w:p>
    <w:p w14:paraId="3CD95E81" w14:textId="77777777" w:rsidR="00743EF7" w:rsidRPr="00DF2CE8" w:rsidRDefault="00743EF7" w:rsidP="00E67222">
      <w:pPr>
        <w:pStyle w:val="ListParagraph"/>
        <w:jc w:val="both"/>
        <w:rPr>
          <w:rFonts w:ascii="Cambria" w:hAnsi="Cambria"/>
          <w:sz w:val="20"/>
          <w:szCs w:val="20"/>
        </w:rPr>
      </w:pPr>
    </w:p>
    <w:p w14:paraId="7A0B5DFD" w14:textId="730AAA34" w:rsidR="00743EF7" w:rsidRPr="00DF2CE8" w:rsidRDefault="00743EF7" w:rsidP="00E67222">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 xml:space="preserve">Examen prioritaire </w:t>
      </w:r>
      <w:r w:rsidR="004F061A" w:rsidRPr="00DF2CE8">
        <w:rPr>
          <w:rFonts w:ascii="Cambria" w:hAnsi="Cambria"/>
          <w:sz w:val="20"/>
          <w:szCs w:val="20"/>
        </w:rPr>
        <w:t>des</w:t>
      </w:r>
      <w:r w:rsidRPr="00DF2CE8">
        <w:rPr>
          <w:rFonts w:ascii="Cambria" w:hAnsi="Cambria"/>
          <w:sz w:val="20"/>
          <w:szCs w:val="20"/>
        </w:rPr>
        <w:t xml:space="preserve"> recommandations, en tenant compte des mesures identifiées pour examen lors de la réunion du COC de 2024, des contributions des CPC en réponse à la lettre du Président du </w:t>
      </w:r>
      <w:r w:rsidR="00915D5B" w:rsidRPr="00DF2CE8">
        <w:rPr>
          <w:rFonts w:ascii="Cambria" w:hAnsi="Cambria"/>
          <w:sz w:val="20"/>
          <w:szCs w:val="20"/>
        </w:rPr>
        <w:t>COC (</w:t>
      </w:r>
      <w:r w:rsidRPr="00DF2CE8">
        <w:rPr>
          <w:rFonts w:ascii="Cambria" w:hAnsi="Cambria"/>
          <w:b/>
          <w:i/>
          <w:sz w:val="20"/>
          <w:szCs w:val="20"/>
        </w:rPr>
        <w:t>COC_317/2025</w:t>
      </w:r>
      <w:r w:rsidRPr="00DF2CE8">
        <w:rPr>
          <w:rFonts w:ascii="Cambria" w:hAnsi="Cambria"/>
          <w:sz w:val="20"/>
          <w:szCs w:val="20"/>
        </w:rPr>
        <w:t xml:space="preserve">), du calendrier d'expiration des recommandations et, si possible, du calendrier des évaluations du SCRS, le cas échéant </w:t>
      </w:r>
    </w:p>
    <w:p w14:paraId="2121BF07" w14:textId="77777777" w:rsidR="00743EF7" w:rsidRPr="00DF2CE8" w:rsidRDefault="00743EF7" w:rsidP="00E67222">
      <w:pPr>
        <w:pStyle w:val="ListParagraph"/>
        <w:jc w:val="both"/>
        <w:rPr>
          <w:rFonts w:ascii="Cambria" w:hAnsi="Cambria"/>
          <w:sz w:val="20"/>
          <w:szCs w:val="20"/>
        </w:rPr>
      </w:pPr>
    </w:p>
    <w:p w14:paraId="26AA3CCC" w14:textId="3E727049" w:rsidR="00743EF7" w:rsidRPr="00DF2CE8" w:rsidRDefault="00743EF7" w:rsidP="00E67222">
      <w:pPr>
        <w:pStyle w:val="ListParagraph"/>
        <w:widowControl w:val="0"/>
        <w:numPr>
          <w:ilvl w:val="1"/>
          <w:numId w:val="31"/>
        </w:numPr>
        <w:tabs>
          <w:tab w:val="left" w:pos="426"/>
        </w:tabs>
        <w:jc w:val="both"/>
        <w:rPr>
          <w:rFonts w:ascii="Cambria" w:hAnsi="Cambria"/>
          <w:i/>
          <w:iCs/>
          <w:sz w:val="20"/>
          <w:szCs w:val="20"/>
        </w:rPr>
      </w:pPr>
      <w:hyperlink r:id="rId12" w:history="1">
        <w:r w:rsidRPr="00DF2CE8">
          <w:rPr>
            <w:rFonts w:ascii="Cambria" w:hAnsi="Cambria"/>
            <w:i/>
            <w:color w:val="0563C1"/>
            <w:sz w:val="20"/>
            <w:szCs w:val="20"/>
          </w:rPr>
          <w:t xml:space="preserve">Recommandation de l’ICCAT amendant la Recommandation 18-09 concernant des mesures du ressort de l’État du port visant à prévenir, contrecarrer et éliminer la pêche illicite, non déclarée et non règlementée </w:t>
        </w:r>
        <w:r w:rsidRPr="00DF2CE8">
          <w:rPr>
            <w:rFonts w:ascii="Cambria" w:hAnsi="Cambria"/>
            <w:color w:val="0563C1"/>
            <w:sz w:val="20"/>
            <w:szCs w:val="20"/>
          </w:rPr>
          <w:t>(Rec. 23-17)</w:t>
        </w:r>
      </w:hyperlink>
      <w:r w:rsidR="008B27AD" w:rsidRPr="00DF2CE8">
        <w:t>.</w:t>
      </w:r>
      <w:r w:rsidRPr="00DF2CE8">
        <w:rPr>
          <w:rFonts w:ascii="Cambria" w:hAnsi="Cambria"/>
          <w:sz w:val="20"/>
          <w:szCs w:val="20"/>
        </w:rPr>
        <w:t xml:space="preserve"> </w:t>
      </w:r>
      <w:r w:rsidRPr="00DF2CE8">
        <w:rPr>
          <w:rFonts w:ascii="Cambria" w:hAnsi="Cambria"/>
          <w:i/>
          <w:sz w:val="20"/>
          <w:szCs w:val="20"/>
        </w:rPr>
        <w:t xml:space="preserve">Les informations relatives à la mise en œuvre de cette recommandation sont disponibles dans les sections pertinentes du </w:t>
      </w:r>
      <w:r w:rsidRPr="00DF2CE8">
        <w:rPr>
          <w:rFonts w:ascii="Cambria" w:hAnsi="Cambria"/>
          <w:b/>
          <w:i/>
          <w:sz w:val="20"/>
          <w:szCs w:val="20"/>
        </w:rPr>
        <w:t>COC-303/2025</w:t>
      </w:r>
      <w:r w:rsidRPr="00DF2CE8">
        <w:rPr>
          <w:rFonts w:ascii="Cambria" w:hAnsi="Cambria"/>
          <w:i/>
          <w:sz w:val="20"/>
          <w:szCs w:val="20"/>
        </w:rPr>
        <w:t xml:space="preserve">. Les informations supplémentaires peuvent être incluses dans le </w:t>
      </w:r>
      <w:r w:rsidRPr="00DF2CE8">
        <w:rPr>
          <w:rFonts w:ascii="Cambria" w:hAnsi="Cambria"/>
          <w:b/>
          <w:i/>
          <w:sz w:val="20"/>
          <w:szCs w:val="20"/>
        </w:rPr>
        <w:t>PWG_401/2025</w:t>
      </w:r>
      <w:r w:rsidRPr="00DF2CE8">
        <w:rPr>
          <w:rFonts w:ascii="Cambria" w:hAnsi="Cambria"/>
          <w:i/>
          <w:sz w:val="20"/>
          <w:szCs w:val="20"/>
        </w:rPr>
        <w:t>.</w:t>
      </w:r>
    </w:p>
    <w:p w14:paraId="6BEB1BFF" w14:textId="77777777" w:rsidR="00743EF7" w:rsidRPr="00DF2CE8" w:rsidRDefault="00743EF7" w:rsidP="00E67222">
      <w:pPr>
        <w:pStyle w:val="ListParagraph"/>
        <w:tabs>
          <w:tab w:val="left" w:pos="426"/>
        </w:tabs>
        <w:ind w:left="792"/>
        <w:jc w:val="both"/>
        <w:rPr>
          <w:rFonts w:ascii="Cambria" w:hAnsi="Cambria"/>
          <w:sz w:val="20"/>
          <w:szCs w:val="20"/>
        </w:rPr>
      </w:pPr>
    </w:p>
    <w:p w14:paraId="359E0730" w14:textId="129D6FCD" w:rsidR="00743EF7" w:rsidRPr="00DF2CE8" w:rsidRDefault="00743EF7" w:rsidP="00E67222">
      <w:pPr>
        <w:pStyle w:val="ListParagraph"/>
        <w:widowControl w:val="0"/>
        <w:numPr>
          <w:ilvl w:val="1"/>
          <w:numId w:val="31"/>
        </w:numPr>
        <w:tabs>
          <w:tab w:val="left" w:pos="426"/>
        </w:tabs>
        <w:jc w:val="both"/>
        <w:rPr>
          <w:rFonts w:ascii="Cambria" w:hAnsi="Cambria"/>
          <w:sz w:val="20"/>
          <w:szCs w:val="20"/>
        </w:rPr>
      </w:pPr>
      <w:hyperlink r:id="rId13" w:history="1">
        <w:r w:rsidRPr="00DF2CE8">
          <w:rPr>
            <w:rFonts w:ascii="Cambria" w:hAnsi="Cambria"/>
            <w:i/>
            <w:iCs/>
            <w:color w:val="0563C1"/>
            <w:sz w:val="20"/>
            <w:szCs w:val="20"/>
          </w:rPr>
          <w:t>Recommandation de l’ICCAT en vue d’améliorer l’examen de l’application des mesures de conservation et de gestion s’appliquant aux istiophoridés capturés dans la zone de la Convention de l’ICCAT (Rec. 18-05)</w:t>
        </w:r>
      </w:hyperlink>
      <w:r w:rsidRPr="00DF2CE8">
        <w:rPr>
          <w:rFonts w:ascii="Cambria" w:hAnsi="Cambria"/>
          <w:sz w:val="20"/>
          <w:szCs w:val="20"/>
        </w:rPr>
        <w:t xml:space="preserve"> (feuille de contrôle concernant les istiophoridés) (</w:t>
      </w:r>
      <w:r w:rsidRPr="00DF2CE8">
        <w:rPr>
          <w:rFonts w:ascii="Cambria" w:hAnsi="Cambria"/>
          <w:b/>
          <w:i/>
          <w:sz w:val="20"/>
          <w:szCs w:val="20"/>
        </w:rPr>
        <w:t>COC_315/2025</w:t>
      </w:r>
      <w:r w:rsidRPr="00DF2CE8">
        <w:rPr>
          <w:rFonts w:ascii="Cambria" w:hAnsi="Cambria"/>
          <w:i/>
          <w:sz w:val="20"/>
          <w:szCs w:val="20"/>
        </w:rPr>
        <w:t>)</w:t>
      </w:r>
      <w:r w:rsidRPr="00DF2CE8">
        <w:rPr>
          <w:rFonts w:ascii="Cambria" w:hAnsi="Cambria"/>
          <w:sz w:val="20"/>
          <w:szCs w:val="20"/>
        </w:rPr>
        <w:t>.</w:t>
      </w:r>
    </w:p>
    <w:p w14:paraId="0A869887" w14:textId="77777777" w:rsidR="00743EF7" w:rsidRPr="00DF2CE8" w:rsidRDefault="00743EF7" w:rsidP="00E67222">
      <w:pPr>
        <w:tabs>
          <w:tab w:val="left" w:pos="426"/>
        </w:tabs>
        <w:jc w:val="both"/>
        <w:rPr>
          <w:rFonts w:ascii="Cambria" w:hAnsi="Cambria"/>
          <w:sz w:val="20"/>
          <w:szCs w:val="20"/>
        </w:rPr>
      </w:pPr>
    </w:p>
    <w:p w14:paraId="68962F95" w14:textId="4498F0A1" w:rsidR="00743EF7" w:rsidRPr="00DF2CE8" w:rsidRDefault="00743EF7" w:rsidP="00E67222">
      <w:pPr>
        <w:pStyle w:val="ListParagraph"/>
        <w:widowControl w:val="0"/>
        <w:numPr>
          <w:ilvl w:val="1"/>
          <w:numId w:val="31"/>
        </w:numPr>
        <w:tabs>
          <w:tab w:val="left" w:pos="426"/>
        </w:tabs>
        <w:jc w:val="both"/>
        <w:rPr>
          <w:rFonts w:ascii="Cambria" w:hAnsi="Cambria"/>
          <w:sz w:val="20"/>
          <w:szCs w:val="20"/>
        </w:rPr>
      </w:pPr>
      <w:hyperlink r:id="rId14" w:history="1">
        <w:r w:rsidRPr="00DF2CE8">
          <w:rPr>
            <w:rFonts w:ascii="Cambria" w:hAnsi="Cambria"/>
            <w:i/>
            <w:iCs/>
            <w:color w:val="0563C1"/>
            <w:sz w:val="20"/>
            <w:szCs w:val="20"/>
          </w:rPr>
          <w:t>Recommandation de l’ICCAT remplaçant la Recommandation 16-13 en vue d'améliorer l'examen de l'application des mesures de conservation et de gestion s'appliquant aux requins capturés en association avec les pêcheries de l’ICCAT (Rec. 18-06)</w:t>
        </w:r>
      </w:hyperlink>
      <w:r w:rsidRPr="00DF2CE8">
        <w:rPr>
          <w:rFonts w:ascii="Cambria" w:hAnsi="Cambria"/>
          <w:sz w:val="20"/>
          <w:szCs w:val="20"/>
        </w:rPr>
        <w:t xml:space="preserve"> (feuille de contrôle concernant les requins) </w:t>
      </w:r>
      <w:r w:rsidRPr="00DF2CE8">
        <w:rPr>
          <w:rFonts w:ascii="Cambria" w:hAnsi="Cambria"/>
          <w:color w:val="000000" w:themeColor="text1"/>
          <w:sz w:val="20"/>
          <w:szCs w:val="20"/>
        </w:rPr>
        <w:t>(</w:t>
      </w:r>
      <w:r w:rsidRPr="00DF2CE8">
        <w:rPr>
          <w:rFonts w:ascii="Cambria" w:hAnsi="Cambria"/>
          <w:b/>
          <w:i/>
          <w:sz w:val="20"/>
          <w:szCs w:val="20"/>
        </w:rPr>
        <w:t>COC_314/2025</w:t>
      </w:r>
      <w:r w:rsidRPr="00DF2CE8">
        <w:rPr>
          <w:rFonts w:ascii="Cambria" w:hAnsi="Cambria"/>
          <w:i/>
          <w:sz w:val="20"/>
          <w:szCs w:val="20"/>
        </w:rPr>
        <w:t>)</w:t>
      </w:r>
      <w:r w:rsidRPr="00DF2CE8">
        <w:rPr>
          <w:rFonts w:ascii="Cambria" w:hAnsi="Cambria"/>
          <w:color w:val="000000" w:themeColor="text1"/>
          <w:sz w:val="20"/>
          <w:szCs w:val="20"/>
        </w:rPr>
        <w:t>.</w:t>
      </w:r>
    </w:p>
    <w:p w14:paraId="51369204" w14:textId="77777777" w:rsidR="009A1A60" w:rsidRPr="00DF2CE8" w:rsidRDefault="009A1A60" w:rsidP="009A1A60">
      <w:pPr>
        <w:widowControl w:val="0"/>
        <w:tabs>
          <w:tab w:val="left" w:pos="426"/>
        </w:tabs>
        <w:ind w:left="360"/>
        <w:rPr>
          <w:rFonts w:ascii="Cambria" w:hAnsi="Cambria"/>
          <w:sz w:val="20"/>
          <w:szCs w:val="20"/>
        </w:rPr>
      </w:pPr>
    </w:p>
    <w:p w14:paraId="2B6B4CA4" w14:textId="35B739F1" w:rsidR="009A1A60" w:rsidRPr="00DF2CE8" w:rsidRDefault="009A1A60" w:rsidP="007631B9">
      <w:pPr>
        <w:widowControl w:val="0"/>
        <w:tabs>
          <w:tab w:val="left" w:pos="426"/>
        </w:tabs>
        <w:ind w:left="709"/>
        <w:rPr>
          <w:rFonts w:ascii="Cambria" w:hAnsi="Cambria"/>
          <w:sz w:val="20"/>
          <w:szCs w:val="20"/>
        </w:rPr>
      </w:pPr>
      <w:r w:rsidRPr="00DF2CE8">
        <w:rPr>
          <w:rFonts w:ascii="Cambria" w:hAnsi="Cambria"/>
          <w:sz w:val="20"/>
          <w:szCs w:val="20"/>
        </w:rPr>
        <w:t xml:space="preserve">Le Japon, en tant que membre du Groupe des Amis du Président du COC, a présenté un "Examen de la mise en œuvre des recommandations relatives aux requins" dans le document </w:t>
      </w:r>
      <w:r w:rsidRPr="00DF2CE8">
        <w:rPr>
          <w:rFonts w:ascii="Cambria" w:hAnsi="Cambria"/>
          <w:b/>
          <w:bCs/>
          <w:sz w:val="20"/>
          <w:szCs w:val="20"/>
        </w:rPr>
        <w:t>COC_324/2025.</w:t>
      </w:r>
    </w:p>
    <w:p w14:paraId="64AC5E57" w14:textId="77777777" w:rsidR="00743EF7" w:rsidRPr="00DF2CE8" w:rsidRDefault="00743EF7" w:rsidP="007631B9">
      <w:pPr>
        <w:tabs>
          <w:tab w:val="left" w:pos="426"/>
        </w:tabs>
        <w:ind w:left="709"/>
        <w:rPr>
          <w:rFonts w:ascii="Cambria" w:hAnsi="Cambria"/>
          <w:sz w:val="20"/>
          <w:szCs w:val="20"/>
        </w:rPr>
      </w:pPr>
    </w:p>
    <w:p w14:paraId="7DDDC61F" w14:textId="77777777" w:rsidR="004475DB" w:rsidRPr="00DF2CE8" w:rsidRDefault="009E0AD0" w:rsidP="004475DB">
      <w:pPr>
        <w:tabs>
          <w:tab w:val="left" w:pos="426"/>
        </w:tabs>
        <w:ind w:left="720"/>
        <w:jc w:val="both"/>
        <w:rPr>
          <w:rFonts w:ascii="Cambria" w:hAnsi="Cambria"/>
          <w:b/>
          <w:bCs/>
          <w:i/>
          <w:iCs/>
          <w:sz w:val="20"/>
          <w:szCs w:val="20"/>
          <w:u w:val="single"/>
        </w:rPr>
      </w:pPr>
      <w:r w:rsidRPr="00DF2CE8">
        <w:rPr>
          <w:rFonts w:ascii="Cambria" w:hAnsi="Cambria"/>
          <w:i/>
          <w:iCs/>
          <w:sz w:val="20"/>
          <w:szCs w:val="20"/>
          <w:u w:val="single"/>
        </w:rPr>
        <w:t>La « </w:t>
      </w:r>
      <w:r w:rsidR="006D0D69" w:rsidRPr="00DF2CE8">
        <w:rPr>
          <w:rFonts w:ascii="Cambria" w:hAnsi="Cambria"/>
          <w:i/>
          <w:iCs/>
          <w:sz w:val="20"/>
          <w:szCs w:val="20"/>
          <w:u w:val="single"/>
        </w:rPr>
        <w:t>Réponse du SCRS concernant l’exemption à la présentation de la feuille de contrôle s'appliquant aux requins</w:t>
      </w:r>
      <w:r w:rsidRPr="00DF2CE8">
        <w:rPr>
          <w:rFonts w:ascii="Cambria" w:hAnsi="Cambria"/>
          <w:i/>
          <w:iCs/>
          <w:sz w:val="20"/>
          <w:szCs w:val="20"/>
          <w:u w:val="single"/>
        </w:rPr>
        <w:t xml:space="preserve"> » est disponible sous la référence </w:t>
      </w:r>
      <w:r w:rsidR="004475DB" w:rsidRPr="00DF2CE8">
        <w:rPr>
          <w:rFonts w:ascii="Cambria" w:hAnsi="Cambria"/>
          <w:b/>
          <w:bCs/>
          <w:i/>
          <w:iCs/>
          <w:sz w:val="20"/>
          <w:szCs w:val="20"/>
          <w:u w:val="single"/>
        </w:rPr>
        <w:t>COC_328/2025.</w:t>
      </w:r>
    </w:p>
    <w:p w14:paraId="07B66233" w14:textId="400696FC" w:rsidR="006D0D69" w:rsidRPr="00DF2CE8" w:rsidRDefault="006D0D69" w:rsidP="006D0D69">
      <w:pPr>
        <w:rPr>
          <w:rFonts w:ascii="Cambria" w:hAnsi="Cambria"/>
          <w:b/>
          <w:bCs/>
          <w:i/>
          <w:iCs/>
          <w:sz w:val="20"/>
          <w:szCs w:val="20"/>
        </w:rPr>
      </w:pPr>
    </w:p>
    <w:p w14:paraId="43AC0912" w14:textId="2D6A991E" w:rsidR="00743EF7" w:rsidRPr="00DF2CE8" w:rsidRDefault="00743EF7" w:rsidP="002D4EB8">
      <w:pPr>
        <w:pStyle w:val="ListParagraph"/>
        <w:widowControl w:val="0"/>
        <w:numPr>
          <w:ilvl w:val="1"/>
          <w:numId w:val="31"/>
        </w:numPr>
        <w:tabs>
          <w:tab w:val="left" w:pos="426"/>
        </w:tabs>
        <w:jc w:val="both"/>
        <w:rPr>
          <w:rFonts w:ascii="Cambria" w:hAnsi="Cambria"/>
          <w:sz w:val="20"/>
          <w:szCs w:val="20"/>
        </w:rPr>
      </w:pPr>
      <w:hyperlink r:id="rId15" w:history="1">
        <w:r w:rsidRPr="00DF2CE8">
          <w:rPr>
            <w:rFonts w:ascii="Cambria" w:hAnsi="Cambria"/>
            <w:i/>
            <w:iCs/>
            <w:color w:val="0563C1"/>
            <w:sz w:val="20"/>
            <w:szCs w:val="20"/>
          </w:rPr>
          <w:t>Recommandation de l’ICCAT visant à établir des normes minimales pour le programme d’observateurs scientifiques à bord de navires de pêche</w:t>
        </w:r>
        <w:r w:rsidRPr="00DF2CE8">
          <w:rPr>
            <w:rFonts w:ascii="Cambria" w:hAnsi="Cambria"/>
            <w:color w:val="0563C1"/>
            <w:sz w:val="20"/>
            <w:szCs w:val="20"/>
          </w:rPr>
          <w:t xml:space="preserve"> (Rec. 16-14)</w:t>
        </w:r>
      </w:hyperlink>
      <w:r w:rsidRPr="00DF2CE8">
        <w:rPr>
          <w:rFonts w:ascii="Cambria" w:hAnsi="Cambria"/>
          <w:sz w:val="20"/>
          <w:szCs w:val="20"/>
        </w:rPr>
        <w:t xml:space="preserve"> </w:t>
      </w:r>
      <w:r w:rsidRPr="00DF2CE8">
        <w:rPr>
          <w:rFonts w:ascii="Cambria" w:hAnsi="Cambria"/>
          <w:i/>
          <w:color w:val="000000"/>
          <w:sz w:val="20"/>
          <w:szCs w:val="20"/>
        </w:rPr>
        <w:t>(</w:t>
      </w:r>
      <w:r w:rsidRPr="00DF2CE8">
        <w:rPr>
          <w:rFonts w:ascii="Cambria" w:hAnsi="Cambria"/>
          <w:b/>
          <w:i/>
          <w:color w:val="000000"/>
          <w:sz w:val="20"/>
          <w:szCs w:val="20"/>
        </w:rPr>
        <w:t>COC_318/2025</w:t>
      </w:r>
      <w:r w:rsidRPr="00DF2CE8">
        <w:rPr>
          <w:rFonts w:ascii="Cambria" w:hAnsi="Cambria"/>
          <w:i/>
          <w:color w:val="000000"/>
          <w:sz w:val="20"/>
          <w:szCs w:val="20"/>
        </w:rPr>
        <w:t>)</w:t>
      </w:r>
      <w:r w:rsidRPr="00DF2CE8">
        <w:rPr>
          <w:rFonts w:ascii="Cambria" w:hAnsi="Cambria"/>
          <w:sz w:val="20"/>
          <w:szCs w:val="20"/>
        </w:rPr>
        <w:t>.</w:t>
      </w:r>
    </w:p>
    <w:p w14:paraId="39E4CCBC" w14:textId="77777777" w:rsidR="00743EF7" w:rsidRPr="00DF2CE8" w:rsidRDefault="00743EF7" w:rsidP="00743EF7">
      <w:pPr>
        <w:pStyle w:val="ListParagraph"/>
        <w:rPr>
          <w:rFonts w:ascii="Cambria" w:hAnsi="Cambria"/>
          <w:sz w:val="20"/>
          <w:szCs w:val="20"/>
        </w:rPr>
      </w:pPr>
    </w:p>
    <w:p w14:paraId="198F0FEE" w14:textId="04087AC1" w:rsidR="00743EF7" w:rsidRPr="00DF2CE8" w:rsidRDefault="00743EF7" w:rsidP="00743EF7">
      <w:pPr>
        <w:pStyle w:val="ListParagraph"/>
        <w:widowControl w:val="0"/>
        <w:numPr>
          <w:ilvl w:val="1"/>
          <w:numId w:val="31"/>
        </w:numPr>
        <w:tabs>
          <w:tab w:val="left" w:pos="426"/>
        </w:tabs>
        <w:jc w:val="both"/>
        <w:rPr>
          <w:rFonts w:ascii="Cambria" w:hAnsi="Cambria"/>
          <w:i/>
          <w:iCs/>
          <w:sz w:val="20"/>
          <w:szCs w:val="20"/>
        </w:rPr>
      </w:pPr>
      <w:hyperlink r:id="rId16" w:history="1">
        <w:r w:rsidRPr="00DF2CE8">
          <w:rPr>
            <w:rStyle w:val="Hyperlink"/>
            <w:rFonts w:ascii="Cambria" w:hAnsi="Cambria"/>
            <w:i/>
            <w:iCs/>
            <w:sz w:val="20"/>
            <w:szCs w:val="20"/>
            <w:u w:val="none"/>
          </w:rPr>
          <w:t>Recommandation de l’ICCAT sur les prises accessoires de tortues marines capturées en association avec les pêcheries de l’ICCAT</w:t>
        </w:r>
        <w:r w:rsidR="006F21D4" w:rsidRPr="00DF2CE8">
          <w:rPr>
            <w:rStyle w:val="Hyperlink"/>
            <w:rFonts w:ascii="Cambria" w:hAnsi="Cambria"/>
            <w:i/>
            <w:iCs/>
            <w:sz w:val="20"/>
            <w:szCs w:val="20"/>
            <w:u w:val="none"/>
          </w:rPr>
          <w:t xml:space="preserve"> (combine, rationalise et amende les Recommandations 10-09 et 13-11) </w:t>
        </w:r>
        <w:r w:rsidRPr="00DF2CE8">
          <w:rPr>
            <w:rStyle w:val="Hyperlink"/>
            <w:rFonts w:ascii="Cambria" w:hAnsi="Cambria"/>
            <w:sz w:val="20"/>
            <w:szCs w:val="20"/>
            <w:u w:val="none"/>
          </w:rPr>
          <w:t xml:space="preserve"> (Rec. 22-12)</w:t>
        </w:r>
      </w:hyperlink>
      <w:r w:rsidR="00A3548A" w:rsidRPr="00DF2CE8">
        <w:t>,</w:t>
      </w:r>
      <w:r w:rsidRPr="00DF2CE8">
        <w:rPr>
          <w:rFonts w:ascii="Cambria" w:hAnsi="Cambria"/>
          <w:sz w:val="20"/>
          <w:szCs w:val="20"/>
        </w:rPr>
        <w:t xml:space="preserve"> telle qu'amendée par la </w:t>
      </w:r>
      <w:hyperlink r:id="rId17" w:history="1">
        <w:r w:rsidRPr="00DF2CE8">
          <w:rPr>
            <w:rStyle w:val="Hyperlink"/>
            <w:rFonts w:ascii="Cambria" w:hAnsi="Cambria"/>
            <w:sz w:val="20"/>
            <w:szCs w:val="20"/>
            <w:u w:val="none"/>
          </w:rPr>
          <w:t>R</w:t>
        </w:r>
        <w:r w:rsidRPr="00DF2CE8">
          <w:rPr>
            <w:rStyle w:val="Hyperlink"/>
            <w:rFonts w:ascii="Cambria" w:hAnsi="Cambria"/>
            <w:i/>
            <w:iCs/>
            <w:sz w:val="20"/>
            <w:szCs w:val="20"/>
            <w:u w:val="none"/>
          </w:rPr>
          <w:t>ecommandation supplémentaire de l’ICCAT amendant la Recommandation 22-12 sur les prises accessoires de tortues marines capturées en association avec les pêcheries de l’ICCAT</w:t>
        </w:r>
        <w:r w:rsidRPr="00DF2CE8">
          <w:rPr>
            <w:rStyle w:val="Hyperlink"/>
            <w:rFonts w:ascii="Cambria" w:hAnsi="Cambria"/>
            <w:sz w:val="20"/>
            <w:szCs w:val="20"/>
            <w:u w:val="none"/>
          </w:rPr>
          <w:t xml:space="preserve"> (Rec. 23-13)</w:t>
        </w:r>
      </w:hyperlink>
      <w:r w:rsidRPr="00DF2CE8">
        <w:rPr>
          <w:rFonts w:ascii="Cambria" w:hAnsi="Cambria"/>
          <w:sz w:val="20"/>
          <w:szCs w:val="20"/>
        </w:rPr>
        <w:t xml:space="preserve"> </w:t>
      </w:r>
      <w:r w:rsidRPr="00DF2CE8">
        <w:rPr>
          <w:rFonts w:ascii="Cambria" w:hAnsi="Cambria"/>
          <w:color w:val="000000"/>
          <w:sz w:val="20"/>
          <w:szCs w:val="20"/>
        </w:rPr>
        <w:t>(</w:t>
      </w:r>
      <w:r w:rsidRPr="00DF2CE8">
        <w:rPr>
          <w:rFonts w:ascii="Cambria" w:hAnsi="Cambria"/>
          <w:b/>
          <w:color w:val="000000"/>
          <w:sz w:val="20"/>
          <w:szCs w:val="20"/>
        </w:rPr>
        <w:t>annexe 9</w:t>
      </w:r>
      <w:r w:rsidRPr="00DF2CE8">
        <w:rPr>
          <w:rFonts w:ascii="Cambria" w:hAnsi="Cambria"/>
          <w:color w:val="000000"/>
          <w:sz w:val="20"/>
          <w:szCs w:val="20"/>
        </w:rPr>
        <w:t xml:space="preserve"> du </w:t>
      </w:r>
      <w:r w:rsidRPr="00DF2CE8">
        <w:rPr>
          <w:rFonts w:ascii="Cambria" w:hAnsi="Cambria"/>
          <w:b/>
          <w:color w:val="000000"/>
          <w:sz w:val="20"/>
          <w:szCs w:val="20"/>
        </w:rPr>
        <w:t>COC_303/2025</w:t>
      </w:r>
      <w:r w:rsidRPr="00DF2CE8">
        <w:rPr>
          <w:rFonts w:ascii="Cambria" w:hAnsi="Cambria"/>
          <w:color w:val="000000"/>
          <w:sz w:val="20"/>
          <w:szCs w:val="20"/>
        </w:rPr>
        <w:t>)</w:t>
      </w:r>
      <w:r w:rsidRPr="00DF2CE8">
        <w:rPr>
          <w:rFonts w:ascii="Cambria" w:hAnsi="Cambria"/>
          <w:sz w:val="20"/>
          <w:szCs w:val="20"/>
        </w:rPr>
        <w:t>.</w:t>
      </w:r>
    </w:p>
    <w:p w14:paraId="2062E9D1" w14:textId="77777777" w:rsidR="00743EF7" w:rsidRPr="00DF2CE8" w:rsidRDefault="00743EF7" w:rsidP="00743EF7">
      <w:pPr>
        <w:pStyle w:val="ListParagraph"/>
        <w:rPr>
          <w:rFonts w:ascii="Cambria" w:hAnsi="Cambria"/>
          <w:i/>
          <w:iCs/>
          <w:sz w:val="20"/>
          <w:szCs w:val="20"/>
        </w:rPr>
      </w:pPr>
    </w:p>
    <w:p w14:paraId="0DB0ADED" w14:textId="235D4EA8" w:rsidR="00743EF7" w:rsidRPr="00DF2CE8" w:rsidRDefault="00743EF7" w:rsidP="008F73C9">
      <w:pPr>
        <w:pStyle w:val="ListParagraph"/>
        <w:widowControl w:val="0"/>
        <w:numPr>
          <w:ilvl w:val="1"/>
          <w:numId w:val="31"/>
        </w:numPr>
        <w:tabs>
          <w:tab w:val="left" w:pos="426"/>
        </w:tabs>
        <w:jc w:val="both"/>
        <w:rPr>
          <w:rFonts w:ascii="Cambria" w:hAnsi="Cambria"/>
          <w:i/>
          <w:iCs/>
          <w:sz w:val="20"/>
          <w:szCs w:val="20"/>
        </w:rPr>
      </w:pPr>
      <w:hyperlink r:id="rId18" w:history="1">
        <w:r w:rsidRPr="00DF2CE8">
          <w:rPr>
            <w:rStyle w:val="Hyperlink"/>
            <w:rFonts w:ascii="Cambria" w:hAnsi="Cambria"/>
            <w:i/>
            <w:iCs/>
            <w:sz w:val="20"/>
            <w:szCs w:val="20"/>
            <w:u w:val="none"/>
          </w:rPr>
          <w:t>Recommandation de l’ICCAT concernant des mesures de gestion aux fins de la conservation du voilier de l'Atlantique</w:t>
        </w:r>
        <w:r w:rsidRPr="00DF2CE8">
          <w:rPr>
            <w:rStyle w:val="Hyperlink"/>
            <w:rFonts w:ascii="Cambria" w:hAnsi="Cambria"/>
            <w:sz w:val="20"/>
            <w:szCs w:val="20"/>
            <w:u w:val="none"/>
          </w:rPr>
          <w:t xml:space="preserve"> [Rec. 16-11]</w:t>
        </w:r>
      </w:hyperlink>
      <w:r w:rsidRPr="00DF2CE8">
        <w:rPr>
          <w:rFonts w:ascii="Cambria" w:hAnsi="Cambria"/>
          <w:sz w:val="20"/>
          <w:szCs w:val="20"/>
        </w:rPr>
        <w:t xml:space="preserve">. </w:t>
      </w:r>
      <w:r w:rsidRPr="00DF2CE8">
        <w:rPr>
          <w:rFonts w:ascii="Cambria" w:hAnsi="Cambria"/>
          <w:i/>
          <w:iCs/>
          <w:sz w:val="20"/>
          <w:szCs w:val="20"/>
        </w:rPr>
        <w:t xml:space="preserve">Les informations relatives à la mise en œuvre de cette recommandation sont disponibles dans les sections pertinentes du </w:t>
      </w:r>
      <w:r w:rsidRPr="00DF2CE8">
        <w:rPr>
          <w:rFonts w:ascii="Cambria" w:hAnsi="Cambria"/>
          <w:b/>
          <w:i/>
          <w:iCs/>
          <w:sz w:val="20"/>
          <w:szCs w:val="20"/>
        </w:rPr>
        <w:t>COC-303/2025</w:t>
      </w:r>
      <w:r w:rsidRPr="00DF2CE8">
        <w:rPr>
          <w:rFonts w:ascii="Cambria" w:hAnsi="Cambria"/>
          <w:i/>
          <w:iCs/>
          <w:sz w:val="20"/>
          <w:szCs w:val="20"/>
        </w:rPr>
        <w:t>.</w:t>
      </w:r>
    </w:p>
    <w:p w14:paraId="4E0D1D03" w14:textId="77777777" w:rsidR="00743EF7" w:rsidRPr="00DF2CE8" w:rsidRDefault="00743EF7" w:rsidP="008F73C9">
      <w:pPr>
        <w:pStyle w:val="ListParagraph"/>
        <w:jc w:val="both"/>
        <w:rPr>
          <w:rFonts w:ascii="Cambria" w:hAnsi="Cambria"/>
          <w:sz w:val="20"/>
          <w:szCs w:val="20"/>
        </w:rPr>
      </w:pPr>
    </w:p>
    <w:p w14:paraId="681ED39B" w14:textId="0656784C" w:rsidR="00743EF7" w:rsidRPr="00DF2CE8" w:rsidRDefault="00743EF7" w:rsidP="008F73C9">
      <w:pPr>
        <w:pStyle w:val="ListParagraph"/>
        <w:widowControl w:val="0"/>
        <w:numPr>
          <w:ilvl w:val="1"/>
          <w:numId w:val="31"/>
        </w:numPr>
        <w:tabs>
          <w:tab w:val="left" w:pos="426"/>
        </w:tabs>
        <w:jc w:val="both"/>
        <w:rPr>
          <w:rFonts w:ascii="Cambria" w:hAnsi="Cambria"/>
          <w:sz w:val="20"/>
          <w:szCs w:val="20"/>
        </w:rPr>
      </w:pPr>
      <w:r w:rsidRPr="00DF2CE8">
        <w:rPr>
          <w:rFonts w:ascii="Cambria" w:hAnsi="Cambria"/>
          <w:sz w:val="20"/>
          <w:szCs w:val="20"/>
        </w:rPr>
        <w:t xml:space="preserve">Autres </w:t>
      </w:r>
      <w:r w:rsidR="008F73C9" w:rsidRPr="00DF2CE8">
        <w:rPr>
          <w:rFonts w:ascii="Cambria" w:hAnsi="Cambria"/>
          <w:sz w:val="20"/>
          <w:szCs w:val="20"/>
        </w:rPr>
        <w:t>mesures identifiées</w:t>
      </w:r>
      <w:r w:rsidRPr="00DF2CE8">
        <w:rPr>
          <w:rFonts w:ascii="Cambria" w:hAnsi="Cambria"/>
          <w:sz w:val="20"/>
          <w:szCs w:val="20"/>
        </w:rPr>
        <w:t xml:space="preserve"> pour un examen prioritaire</w:t>
      </w:r>
    </w:p>
    <w:p w14:paraId="01A8C125" w14:textId="77777777" w:rsidR="00743EF7" w:rsidRPr="00DF2CE8" w:rsidRDefault="00743EF7" w:rsidP="008F73C9">
      <w:pPr>
        <w:pStyle w:val="Default"/>
        <w:jc w:val="both"/>
        <w:rPr>
          <w:sz w:val="20"/>
          <w:szCs w:val="20"/>
        </w:rPr>
      </w:pPr>
    </w:p>
    <w:p w14:paraId="42066821" w14:textId="77777777" w:rsidR="00743EF7" w:rsidRPr="00DF2CE8" w:rsidRDefault="00743EF7" w:rsidP="008F73C9">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 xml:space="preserve">Examen du renforcement des capacités en tant qu'outil permettant d'améliorer l’application, y compris l'identification des possibilités de renforcement des capacités disponibles et des besoins et demandes des CPC en matière de renforcement des capacités </w:t>
      </w:r>
    </w:p>
    <w:p w14:paraId="0AD5A2F8" w14:textId="77777777" w:rsidR="00743EF7" w:rsidRPr="00DF2CE8" w:rsidRDefault="00743EF7" w:rsidP="008F73C9">
      <w:pPr>
        <w:tabs>
          <w:tab w:val="left" w:pos="426"/>
        </w:tabs>
        <w:jc w:val="both"/>
        <w:rPr>
          <w:rFonts w:ascii="Cambria" w:hAnsi="Cambria"/>
          <w:sz w:val="20"/>
          <w:szCs w:val="20"/>
        </w:rPr>
      </w:pPr>
    </w:p>
    <w:p w14:paraId="40D9AF07" w14:textId="77777777" w:rsidR="00743EF7" w:rsidRPr="00DF2CE8" w:rsidRDefault="00743EF7" w:rsidP="008F73C9">
      <w:pPr>
        <w:autoSpaceDE w:val="0"/>
        <w:autoSpaceDN w:val="0"/>
        <w:adjustRightInd w:val="0"/>
        <w:ind w:left="360"/>
        <w:jc w:val="both"/>
        <w:rPr>
          <w:rFonts w:ascii="Cambria" w:eastAsiaTheme="minorHAnsi" w:hAnsi="Cambria" w:cs="Cambria"/>
          <w:b/>
          <w:bCs/>
          <w:i/>
          <w:iCs/>
          <w:color w:val="000000"/>
          <w:sz w:val="20"/>
          <w:szCs w:val="20"/>
        </w:rPr>
      </w:pPr>
      <w:r w:rsidRPr="00DF2CE8">
        <w:rPr>
          <w:rFonts w:ascii="Cambria" w:hAnsi="Cambria"/>
          <w:i/>
          <w:color w:val="000000"/>
          <w:sz w:val="20"/>
          <w:szCs w:val="20"/>
        </w:rPr>
        <w:t xml:space="preserve">Une liste des initiatives de renforcement des capacités en rapport avec l’application proposées par les CPC, telles que demandées par le Président, est disponible sous la référence </w:t>
      </w:r>
      <w:r w:rsidRPr="00DF2CE8">
        <w:rPr>
          <w:rFonts w:ascii="Cambria" w:hAnsi="Cambria"/>
          <w:b/>
          <w:i/>
          <w:color w:val="000000"/>
          <w:sz w:val="20"/>
          <w:szCs w:val="20"/>
        </w:rPr>
        <w:t>COC_307/2025.</w:t>
      </w:r>
    </w:p>
    <w:p w14:paraId="7A1C7C73" w14:textId="77777777" w:rsidR="00743EF7" w:rsidRPr="00DF2CE8" w:rsidRDefault="00743EF7" w:rsidP="008F73C9">
      <w:pPr>
        <w:autoSpaceDE w:val="0"/>
        <w:autoSpaceDN w:val="0"/>
        <w:adjustRightInd w:val="0"/>
        <w:ind w:left="360"/>
        <w:jc w:val="both"/>
        <w:rPr>
          <w:rFonts w:ascii="Cambria" w:eastAsiaTheme="minorHAnsi" w:hAnsi="Cambria" w:cs="Cambria"/>
          <w:color w:val="000000"/>
          <w:sz w:val="20"/>
          <w:szCs w:val="20"/>
        </w:rPr>
      </w:pPr>
    </w:p>
    <w:p w14:paraId="31DF50F9" w14:textId="77777777" w:rsidR="00743EF7" w:rsidRPr="00DF2CE8" w:rsidRDefault="00743EF7" w:rsidP="008F73C9">
      <w:pPr>
        <w:autoSpaceDE w:val="0"/>
        <w:autoSpaceDN w:val="0"/>
        <w:adjustRightInd w:val="0"/>
        <w:ind w:left="360"/>
        <w:jc w:val="both"/>
        <w:rPr>
          <w:rFonts w:ascii="Cambria" w:eastAsiaTheme="minorHAnsi" w:hAnsi="Cambria" w:cs="Cambria"/>
          <w:b/>
          <w:bCs/>
          <w:i/>
          <w:iCs/>
          <w:color w:val="000000"/>
          <w:sz w:val="20"/>
          <w:szCs w:val="20"/>
        </w:rPr>
      </w:pPr>
      <w:r w:rsidRPr="00DF2CE8">
        <w:rPr>
          <w:rFonts w:ascii="Cambria" w:hAnsi="Cambria"/>
          <w:i/>
          <w:color w:val="000000"/>
          <w:sz w:val="20"/>
          <w:szCs w:val="20"/>
        </w:rPr>
        <w:t xml:space="preserve">Des extraits des difficultés rencontrées dans la mise en œuvre des mesures de conservation et de gestion de l'ICCAT, telles que déclarées par les CPC dans leurs rapports annuels, figurent dans le </w:t>
      </w:r>
      <w:r w:rsidRPr="00DF2CE8">
        <w:rPr>
          <w:rFonts w:ascii="Cambria" w:hAnsi="Cambria"/>
          <w:b/>
          <w:bCs/>
          <w:i/>
          <w:color w:val="000000"/>
          <w:sz w:val="20"/>
          <w:szCs w:val="20"/>
        </w:rPr>
        <w:t>COC_311/2025</w:t>
      </w:r>
      <w:r w:rsidRPr="00DF2CE8">
        <w:rPr>
          <w:rFonts w:ascii="Cambria" w:hAnsi="Cambria"/>
          <w:i/>
          <w:color w:val="000000"/>
          <w:sz w:val="20"/>
          <w:szCs w:val="20"/>
        </w:rPr>
        <w:t>.</w:t>
      </w:r>
    </w:p>
    <w:p w14:paraId="5F322A69" w14:textId="77777777" w:rsidR="00743EF7" w:rsidRPr="00DF2CE8" w:rsidRDefault="00743EF7" w:rsidP="008F73C9">
      <w:pPr>
        <w:autoSpaceDE w:val="0"/>
        <w:autoSpaceDN w:val="0"/>
        <w:adjustRightInd w:val="0"/>
        <w:jc w:val="both"/>
        <w:rPr>
          <w:rFonts w:ascii="Cambria" w:eastAsiaTheme="minorHAnsi" w:hAnsi="Cambria" w:cs="Cambria"/>
          <w:color w:val="000000"/>
          <w:sz w:val="20"/>
          <w:szCs w:val="20"/>
        </w:rPr>
      </w:pPr>
      <w:r w:rsidRPr="00DF2CE8">
        <w:rPr>
          <w:rFonts w:ascii="Cambria" w:hAnsi="Cambria"/>
          <w:color w:val="000000"/>
          <w:sz w:val="20"/>
          <w:szCs w:val="20"/>
        </w:rPr>
        <w:t xml:space="preserve"> </w:t>
      </w:r>
    </w:p>
    <w:p w14:paraId="2291E2B3" w14:textId="0C550622" w:rsidR="00743EF7" w:rsidRPr="00DF2CE8" w:rsidRDefault="00743EF7" w:rsidP="008F73C9">
      <w:pPr>
        <w:pStyle w:val="ListParagraph"/>
        <w:tabs>
          <w:tab w:val="left" w:pos="426"/>
        </w:tabs>
        <w:ind w:left="360"/>
        <w:jc w:val="both"/>
        <w:rPr>
          <w:rFonts w:ascii="Cambria" w:hAnsi="Cambria" w:cs="Cambria"/>
          <w:b/>
          <w:bCs/>
          <w:i/>
          <w:iCs/>
          <w:color w:val="000000"/>
          <w:sz w:val="20"/>
          <w:szCs w:val="20"/>
        </w:rPr>
      </w:pPr>
      <w:r w:rsidRPr="00DF2CE8">
        <w:rPr>
          <w:rFonts w:ascii="Cambria" w:hAnsi="Cambria"/>
          <w:i/>
          <w:color w:val="000000"/>
          <w:sz w:val="20"/>
          <w:szCs w:val="20"/>
        </w:rPr>
        <w:t xml:space="preserve">Les demandes d'assistance en matière d'application, conformément au financement disponible dans le cadre d'ABNJ 2 sont compilées dans le </w:t>
      </w:r>
      <w:r w:rsidRPr="00DF2CE8">
        <w:rPr>
          <w:rFonts w:ascii="Cambria" w:hAnsi="Cambria"/>
          <w:b/>
          <w:bCs/>
          <w:i/>
          <w:color w:val="000000"/>
          <w:sz w:val="20"/>
          <w:szCs w:val="20"/>
        </w:rPr>
        <w:t>COC_313</w:t>
      </w:r>
      <w:r w:rsidR="007C003B" w:rsidRPr="00DF2CE8">
        <w:rPr>
          <w:rFonts w:ascii="Cambria" w:hAnsi="Cambria"/>
          <w:b/>
          <w:bCs/>
          <w:i/>
          <w:color w:val="000000"/>
          <w:sz w:val="20"/>
          <w:szCs w:val="20"/>
        </w:rPr>
        <w:t>_REV_1</w:t>
      </w:r>
      <w:r w:rsidRPr="00DF2CE8">
        <w:rPr>
          <w:rFonts w:ascii="Cambria" w:hAnsi="Cambria"/>
          <w:b/>
          <w:bCs/>
          <w:i/>
          <w:color w:val="000000"/>
          <w:sz w:val="20"/>
          <w:szCs w:val="20"/>
        </w:rPr>
        <w:t>/2025</w:t>
      </w:r>
      <w:r w:rsidRPr="00DF2CE8">
        <w:rPr>
          <w:rFonts w:ascii="Cambria" w:hAnsi="Cambria"/>
          <w:i/>
          <w:color w:val="000000"/>
          <w:sz w:val="20"/>
          <w:szCs w:val="20"/>
        </w:rPr>
        <w:t>.</w:t>
      </w:r>
    </w:p>
    <w:p w14:paraId="51B2BDB9" w14:textId="77777777" w:rsidR="00743EF7" w:rsidRPr="00DF2CE8" w:rsidRDefault="00743EF7" w:rsidP="008F73C9">
      <w:pPr>
        <w:pStyle w:val="ListParagraph"/>
        <w:tabs>
          <w:tab w:val="left" w:pos="426"/>
        </w:tabs>
        <w:ind w:left="360"/>
        <w:jc w:val="both"/>
        <w:rPr>
          <w:rFonts w:ascii="Cambria" w:hAnsi="Cambria"/>
          <w:sz w:val="20"/>
          <w:szCs w:val="20"/>
        </w:rPr>
      </w:pPr>
    </w:p>
    <w:p w14:paraId="51255419" w14:textId="77777777" w:rsidR="00743EF7" w:rsidRPr="00DF2CE8" w:rsidRDefault="00743EF7" w:rsidP="008F73C9">
      <w:pPr>
        <w:pStyle w:val="ListParagraph"/>
        <w:widowControl w:val="0"/>
        <w:numPr>
          <w:ilvl w:val="0"/>
          <w:numId w:val="31"/>
        </w:numPr>
        <w:jc w:val="both"/>
        <w:rPr>
          <w:rFonts w:ascii="Cambria" w:hAnsi="Cambria"/>
          <w:sz w:val="20"/>
          <w:szCs w:val="20"/>
        </w:rPr>
      </w:pPr>
      <w:r w:rsidRPr="00DF2CE8">
        <w:rPr>
          <w:rFonts w:ascii="Cambria" w:hAnsi="Cambria"/>
          <w:sz w:val="20"/>
          <w:szCs w:val="20"/>
        </w:rPr>
        <w:t>Examen des réponses apportées aux lettres du Président à la suite de la réunion de 2024</w:t>
      </w:r>
    </w:p>
    <w:p w14:paraId="20182085" w14:textId="77777777" w:rsidR="00743EF7" w:rsidRPr="00DF2CE8" w:rsidRDefault="00743EF7" w:rsidP="00743EF7">
      <w:pPr>
        <w:pStyle w:val="ListParagraph"/>
        <w:rPr>
          <w:rFonts w:ascii="Cambria" w:hAnsi="Cambria"/>
          <w:sz w:val="20"/>
          <w:szCs w:val="20"/>
        </w:rPr>
      </w:pPr>
    </w:p>
    <w:p w14:paraId="58A45533" w14:textId="429E7DA1" w:rsidR="00743EF7" w:rsidRPr="00DF2CE8" w:rsidRDefault="00743EF7" w:rsidP="00743EF7">
      <w:pPr>
        <w:pStyle w:val="ListParagraph"/>
        <w:tabs>
          <w:tab w:val="left" w:pos="426"/>
        </w:tabs>
        <w:ind w:left="360"/>
        <w:jc w:val="both"/>
        <w:rPr>
          <w:rFonts w:ascii="Cambria" w:hAnsi="Cambria"/>
          <w:sz w:val="20"/>
          <w:szCs w:val="20"/>
        </w:rPr>
      </w:pPr>
      <w:r w:rsidRPr="00DF2CE8">
        <w:rPr>
          <w:rFonts w:ascii="Cambria" w:hAnsi="Cambria"/>
          <w:i/>
          <w:sz w:val="20"/>
          <w:szCs w:val="20"/>
        </w:rPr>
        <w:t xml:space="preserve">Les réponses et plans d'action envoyés par les CPC en réponse à une demande du Président du COC figurent dans </w:t>
      </w:r>
      <w:r w:rsidR="008F73C9" w:rsidRPr="00DF2CE8">
        <w:rPr>
          <w:rFonts w:ascii="Cambria" w:hAnsi="Cambria"/>
          <w:i/>
          <w:sz w:val="20"/>
          <w:szCs w:val="20"/>
        </w:rPr>
        <w:t xml:space="preserve">le </w:t>
      </w:r>
      <w:r w:rsidR="008F73C9" w:rsidRPr="00DF2CE8">
        <w:rPr>
          <w:rFonts w:ascii="Cambria" w:hAnsi="Cambria"/>
          <w:b/>
          <w:bCs/>
          <w:i/>
          <w:sz w:val="20"/>
          <w:szCs w:val="20"/>
        </w:rPr>
        <w:t>COC</w:t>
      </w:r>
      <w:r w:rsidRPr="00DF2CE8">
        <w:rPr>
          <w:rFonts w:ascii="Cambria" w:hAnsi="Cambria"/>
          <w:b/>
          <w:bCs/>
          <w:i/>
          <w:sz w:val="20"/>
          <w:szCs w:val="20"/>
        </w:rPr>
        <w:t>_</w:t>
      </w:r>
      <w:r w:rsidRPr="00DF2CE8">
        <w:rPr>
          <w:rFonts w:ascii="Cambria" w:hAnsi="Cambria"/>
          <w:b/>
          <w:i/>
          <w:sz w:val="20"/>
          <w:szCs w:val="20"/>
        </w:rPr>
        <w:t>309</w:t>
      </w:r>
      <w:r w:rsidR="008F73C9" w:rsidRPr="00DF2CE8">
        <w:rPr>
          <w:rFonts w:ascii="Cambria" w:hAnsi="Cambria"/>
          <w:b/>
          <w:i/>
          <w:sz w:val="20"/>
          <w:szCs w:val="20"/>
        </w:rPr>
        <w:t>_REV_1</w:t>
      </w:r>
      <w:r w:rsidRPr="00DF2CE8">
        <w:rPr>
          <w:rFonts w:ascii="Cambria" w:hAnsi="Cambria"/>
          <w:b/>
          <w:i/>
          <w:sz w:val="20"/>
          <w:szCs w:val="20"/>
        </w:rPr>
        <w:t>/2025</w:t>
      </w:r>
      <w:r w:rsidRPr="00DF2CE8">
        <w:rPr>
          <w:rFonts w:ascii="Cambria" w:hAnsi="Cambria"/>
          <w:i/>
          <w:sz w:val="20"/>
          <w:szCs w:val="20"/>
        </w:rPr>
        <w:t xml:space="preserve">. Les soumissions tardives sont publiées dans un addendum à ce document. </w:t>
      </w:r>
    </w:p>
    <w:p w14:paraId="336558EC" w14:textId="77777777" w:rsidR="00743EF7" w:rsidRPr="00DF2CE8" w:rsidRDefault="00743EF7" w:rsidP="00743EF7">
      <w:pPr>
        <w:tabs>
          <w:tab w:val="left" w:pos="426"/>
        </w:tabs>
        <w:jc w:val="both"/>
        <w:rPr>
          <w:rFonts w:ascii="Cambria" w:hAnsi="Cambria"/>
          <w:sz w:val="20"/>
          <w:szCs w:val="20"/>
        </w:rPr>
      </w:pPr>
    </w:p>
    <w:p w14:paraId="521135F1"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Examen et approbation de l'annexe d’application (tableaux d’application par espèce)</w:t>
      </w:r>
    </w:p>
    <w:p w14:paraId="794F4114" w14:textId="77777777" w:rsidR="00743EF7" w:rsidRPr="00DF2CE8" w:rsidRDefault="00743EF7" w:rsidP="00743EF7">
      <w:pPr>
        <w:pStyle w:val="ListParagraph"/>
        <w:rPr>
          <w:rFonts w:ascii="Cambria" w:hAnsi="Cambria"/>
          <w:sz w:val="20"/>
          <w:szCs w:val="20"/>
        </w:rPr>
      </w:pPr>
    </w:p>
    <w:p w14:paraId="708096FF" w14:textId="7980A130" w:rsidR="00743EF7" w:rsidRPr="00DF2CE8" w:rsidRDefault="00743EF7" w:rsidP="00743EF7">
      <w:pPr>
        <w:pStyle w:val="ListParagraph"/>
        <w:tabs>
          <w:tab w:val="left" w:pos="426"/>
        </w:tabs>
        <w:ind w:left="360"/>
        <w:jc w:val="both"/>
        <w:rPr>
          <w:rFonts w:ascii="Cambria" w:hAnsi="Cambria"/>
          <w:i/>
          <w:iCs/>
          <w:sz w:val="20"/>
          <w:szCs w:val="20"/>
        </w:rPr>
      </w:pPr>
      <w:r w:rsidRPr="00DF2CE8">
        <w:rPr>
          <w:rFonts w:ascii="Cambria" w:hAnsi="Cambria"/>
          <w:i/>
          <w:sz w:val="20"/>
          <w:szCs w:val="20"/>
        </w:rPr>
        <w:t xml:space="preserve">Le projet de Tableaux d’application </w:t>
      </w:r>
      <w:r w:rsidR="00774870" w:rsidRPr="00DF2CE8">
        <w:rPr>
          <w:rFonts w:ascii="Cambria" w:hAnsi="Cambria"/>
          <w:i/>
          <w:sz w:val="20"/>
          <w:szCs w:val="20"/>
        </w:rPr>
        <w:t>a</w:t>
      </w:r>
      <w:r w:rsidRPr="00DF2CE8">
        <w:rPr>
          <w:rFonts w:ascii="Cambria" w:hAnsi="Cambria"/>
          <w:i/>
          <w:sz w:val="20"/>
          <w:szCs w:val="20"/>
        </w:rPr>
        <w:t xml:space="preserve"> été diffusé en tant que </w:t>
      </w:r>
      <w:r w:rsidRPr="00DF2CE8">
        <w:rPr>
          <w:rFonts w:ascii="Cambria" w:hAnsi="Cambria"/>
          <w:b/>
          <w:i/>
          <w:sz w:val="20"/>
          <w:szCs w:val="20"/>
        </w:rPr>
        <w:t>COC_304</w:t>
      </w:r>
      <w:r w:rsidR="001A4969" w:rsidRPr="00DF2CE8">
        <w:rPr>
          <w:rFonts w:ascii="Cambria" w:hAnsi="Cambria"/>
          <w:b/>
          <w:i/>
          <w:sz w:val="20"/>
          <w:szCs w:val="20"/>
        </w:rPr>
        <w:t>_REV_1</w:t>
      </w:r>
      <w:r w:rsidRPr="00DF2CE8">
        <w:rPr>
          <w:rFonts w:ascii="Cambria" w:hAnsi="Cambria"/>
          <w:b/>
          <w:i/>
          <w:sz w:val="20"/>
          <w:szCs w:val="20"/>
        </w:rPr>
        <w:t>/2025.</w:t>
      </w:r>
    </w:p>
    <w:p w14:paraId="102DA2DC" w14:textId="77777777" w:rsidR="00743EF7" w:rsidRPr="00DF2CE8" w:rsidRDefault="00743EF7" w:rsidP="00743EF7">
      <w:pPr>
        <w:pStyle w:val="ListParagraph"/>
        <w:tabs>
          <w:tab w:val="left" w:pos="426"/>
        </w:tabs>
        <w:ind w:left="360"/>
        <w:jc w:val="both"/>
        <w:rPr>
          <w:rFonts w:ascii="Cambria" w:hAnsi="Cambria"/>
          <w:i/>
          <w:iCs/>
          <w:sz w:val="20"/>
          <w:szCs w:val="20"/>
        </w:rPr>
      </w:pPr>
    </w:p>
    <w:p w14:paraId="41CD8CE4"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Action en vertu des recommandations liées aux données (Rec. 05-09 et Rec. 11-15)</w:t>
      </w:r>
    </w:p>
    <w:p w14:paraId="05A2DECC" w14:textId="77777777" w:rsidR="00743EF7" w:rsidRPr="00DF2CE8" w:rsidRDefault="00743EF7" w:rsidP="00743EF7">
      <w:pPr>
        <w:tabs>
          <w:tab w:val="left" w:pos="426"/>
        </w:tabs>
        <w:jc w:val="both"/>
        <w:rPr>
          <w:rFonts w:ascii="Cambria" w:hAnsi="Cambria"/>
          <w:sz w:val="20"/>
          <w:szCs w:val="20"/>
        </w:rPr>
      </w:pPr>
    </w:p>
    <w:p w14:paraId="5449F506" w14:textId="068D6B1F" w:rsidR="00743EF7" w:rsidRPr="00DF2CE8" w:rsidRDefault="00743EF7" w:rsidP="00743EF7">
      <w:pPr>
        <w:tabs>
          <w:tab w:val="left" w:pos="426"/>
        </w:tabs>
        <w:ind w:left="810" w:hanging="450"/>
        <w:jc w:val="both"/>
        <w:rPr>
          <w:rFonts w:ascii="Cambria" w:hAnsi="Cambria"/>
          <w:i/>
          <w:iCs/>
          <w:sz w:val="20"/>
          <w:szCs w:val="20"/>
        </w:rPr>
      </w:pPr>
      <w:r w:rsidRPr="00DF2CE8">
        <w:rPr>
          <w:rFonts w:ascii="Cambria" w:hAnsi="Cambria"/>
          <w:i/>
          <w:sz w:val="20"/>
          <w:szCs w:val="20"/>
        </w:rPr>
        <w:t>10.1</w:t>
      </w:r>
      <w:r w:rsidRPr="00DF2CE8">
        <w:rPr>
          <w:rFonts w:ascii="Cambria" w:hAnsi="Cambria"/>
          <w:i/>
          <w:sz w:val="20"/>
          <w:szCs w:val="20"/>
        </w:rPr>
        <w:tab/>
      </w:r>
      <w:r w:rsidRPr="00DF2CE8">
        <w:rPr>
          <w:rFonts w:ascii="Cambria" w:hAnsi="Cambria"/>
          <w:sz w:val="20"/>
          <w:szCs w:val="20"/>
        </w:rPr>
        <w:t xml:space="preserve">La </w:t>
      </w:r>
      <w:hyperlink r:id="rId19" w:history="1">
        <w:r w:rsidRPr="00DF2CE8">
          <w:rPr>
            <w:rStyle w:val="Hyperlink"/>
            <w:rFonts w:ascii="Cambria" w:hAnsi="Cambria"/>
            <w:sz w:val="20"/>
            <w:szCs w:val="20"/>
            <w:u w:val="none"/>
          </w:rPr>
          <w:t>R</w:t>
        </w:r>
        <w:r w:rsidRPr="00DF2CE8">
          <w:rPr>
            <w:rStyle w:val="Hyperlink"/>
            <w:rFonts w:ascii="Cambria" w:hAnsi="Cambria"/>
            <w:i/>
            <w:iCs/>
            <w:sz w:val="20"/>
            <w:szCs w:val="20"/>
            <w:u w:val="none"/>
          </w:rPr>
          <w:t xml:space="preserve">ecommandation de l’ICCAT sur le respect des obligations en matière de déclaration </w:t>
        </w:r>
        <w:r w:rsidR="001A4969" w:rsidRPr="00DF2CE8">
          <w:rPr>
            <w:rStyle w:val="Hyperlink"/>
            <w:rFonts w:ascii="Cambria" w:hAnsi="Cambria"/>
            <w:i/>
            <w:iCs/>
            <w:sz w:val="20"/>
            <w:szCs w:val="20"/>
            <w:u w:val="none"/>
          </w:rPr>
          <w:t>des statistiques</w:t>
        </w:r>
        <w:r w:rsidRPr="00DF2CE8">
          <w:rPr>
            <w:rStyle w:val="Hyperlink"/>
            <w:rFonts w:ascii="Cambria" w:hAnsi="Cambria"/>
            <w:i/>
            <w:sz w:val="20"/>
            <w:szCs w:val="20"/>
            <w:u w:val="none"/>
          </w:rPr>
          <w:t xml:space="preserve"> </w:t>
        </w:r>
        <w:r w:rsidRPr="00DF2CE8">
          <w:rPr>
            <w:rStyle w:val="Hyperlink"/>
            <w:rFonts w:ascii="Cambria" w:hAnsi="Cambria"/>
            <w:sz w:val="20"/>
            <w:szCs w:val="20"/>
            <w:u w:val="none"/>
          </w:rPr>
          <w:t>[Rec. 05-09]</w:t>
        </w:r>
      </w:hyperlink>
      <w:r w:rsidRPr="00DF2CE8">
        <w:rPr>
          <w:rFonts w:ascii="Cambria" w:hAnsi="Cambria"/>
          <w:sz w:val="20"/>
          <w:szCs w:val="20"/>
        </w:rPr>
        <w:t xml:space="preserve"> </w:t>
      </w:r>
      <w:r w:rsidRPr="00DF2CE8">
        <w:rPr>
          <w:rFonts w:ascii="Cambria" w:hAnsi="Cambria"/>
          <w:i/>
          <w:iCs/>
          <w:sz w:val="20"/>
          <w:szCs w:val="20"/>
        </w:rPr>
        <w:t>stipule que le Comité d’application ou le PWG devra identifier les insuffisances de données problématiques et recommander les mesures pertinentes que les CPC respectives devront prendre à l’effet de résoudre le problème (</w:t>
      </w:r>
      <w:r w:rsidRPr="00DF2CE8">
        <w:rPr>
          <w:rFonts w:ascii="Cambria" w:hAnsi="Cambria"/>
          <w:b/>
          <w:bCs/>
          <w:i/>
          <w:iCs/>
          <w:sz w:val="20"/>
          <w:szCs w:val="20"/>
        </w:rPr>
        <w:t xml:space="preserve">annexe 8 </w:t>
      </w:r>
      <w:r w:rsidRPr="00DF2CE8">
        <w:rPr>
          <w:rFonts w:ascii="Cambria" w:hAnsi="Cambria"/>
          <w:i/>
          <w:iCs/>
          <w:sz w:val="20"/>
          <w:szCs w:val="20"/>
        </w:rPr>
        <w:t xml:space="preserve">du </w:t>
      </w:r>
      <w:r w:rsidRPr="00DF2CE8">
        <w:rPr>
          <w:rFonts w:ascii="Cambria" w:hAnsi="Cambria"/>
          <w:b/>
          <w:i/>
          <w:iCs/>
          <w:sz w:val="20"/>
          <w:szCs w:val="20"/>
        </w:rPr>
        <w:t>COC_303/2025</w:t>
      </w:r>
      <w:r w:rsidRPr="00DF2CE8">
        <w:rPr>
          <w:rFonts w:ascii="Cambria" w:hAnsi="Cambria"/>
          <w:i/>
          <w:iCs/>
          <w:sz w:val="20"/>
          <w:szCs w:val="20"/>
        </w:rPr>
        <w:t>).</w:t>
      </w:r>
    </w:p>
    <w:p w14:paraId="3449DADF" w14:textId="77777777" w:rsidR="00743EF7" w:rsidRPr="00DF2CE8" w:rsidRDefault="00743EF7" w:rsidP="00743EF7">
      <w:pPr>
        <w:tabs>
          <w:tab w:val="left" w:pos="426"/>
        </w:tabs>
        <w:ind w:left="810" w:hanging="450"/>
        <w:jc w:val="both"/>
        <w:rPr>
          <w:rFonts w:ascii="Cambria" w:hAnsi="Cambria"/>
          <w:i/>
          <w:iCs/>
          <w:sz w:val="20"/>
          <w:szCs w:val="20"/>
        </w:rPr>
      </w:pPr>
    </w:p>
    <w:p w14:paraId="105E61E0" w14:textId="3573D33D" w:rsidR="00743EF7" w:rsidRPr="00DF2CE8" w:rsidRDefault="00743EF7" w:rsidP="00743EF7">
      <w:pPr>
        <w:ind w:left="720" w:hanging="360"/>
        <w:jc w:val="both"/>
        <w:rPr>
          <w:rFonts w:ascii="Cambria" w:eastAsia="Calibri" w:hAnsi="Cambria" w:cs="Calibri"/>
          <w:sz w:val="20"/>
          <w:szCs w:val="20"/>
        </w:rPr>
      </w:pPr>
      <w:r w:rsidRPr="00DF2CE8">
        <w:rPr>
          <w:rFonts w:ascii="Cambria" w:hAnsi="Cambria"/>
          <w:i/>
          <w:sz w:val="20"/>
          <w:szCs w:val="20"/>
        </w:rPr>
        <w:t>10.2</w:t>
      </w:r>
      <w:r w:rsidRPr="00DF2CE8">
        <w:rPr>
          <w:rFonts w:ascii="Cambria" w:hAnsi="Cambria"/>
          <w:i/>
          <w:sz w:val="20"/>
          <w:szCs w:val="20"/>
        </w:rPr>
        <w:tab/>
        <w:t xml:space="preserve"> La </w:t>
      </w:r>
      <w:hyperlink r:id="rId20" w:history="1">
        <w:r w:rsidRPr="00DF2CE8">
          <w:rPr>
            <w:rStyle w:val="Hyperlink"/>
            <w:rFonts w:ascii="Cambria" w:hAnsi="Cambria"/>
            <w:i/>
            <w:sz w:val="20"/>
            <w:szCs w:val="20"/>
            <w:u w:val="none"/>
          </w:rPr>
          <w:t xml:space="preserve">Recommandation de l'ICCAT sur les sanctions applicables en cas de non-respect des obligations de déclaration </w:t>
        </w:r>
        <w:r w:rsidRPr="00DF2CE8">
          <w:rPr>
            <w:rStyle w:val="Hyperlink"/>
            <w:rFonts w:ascii="Cambria" w:hAnsi="Cambria"/>
            <w:sz w:val="20"/>
            <w:szCs w:val="20"/>
            <w:u w:val="none"/>
          </w:rPr>
          <w:t>[Rec. 11-15]</w:t>
        </w:r>
      </w:hyperlink>
      <w:r w:rsidRPr="00DF2CE8">
        <w:rPr>
          <w:rFonts w:ascii="Cambria" w:hAnsi="Cambria"/>
          <w:i/>
          <w:sz w:val="20"/>
          <w:szCs w:val="20"/>
        </w:rPr>
        <w:t xml:space="preserve"> fournit la base pour l'interdiction des pêcheries si les données de la tâche 1 ne sont pas reçues (</w:t>
      </w:r>
      <w:r w:rsidRPr="00DF2CE8">
        <w:rPr>
          <w:rFonts w:ascii="Cambria" w:hAnsi="Cambria"/>
          <w:b/>
          <w:bCs/>
          <w:i/>
          <w:sz w:val="20"/>
          <w:szCs w:val="20"/>
        </w:rPr>
        <w:t xml:space="preserve">appendice </w:t>
      </w:r>
      <w:r w:rsidRPr="00DF2CE8">
        <w:rPr>
          <w:rFonts w:ascii="Cambria" w:hAnsi="Cambria"/>
          <w:b/>
          <w:i/>
          <w:sz w:val="20"/>
          <w:szCs w:val="20"/>
        </w:rPr>
        <w:t>3</w:t>
      </w:r>
      <w:r w:rsidRPr="00DF2CE8">
        <w:rPr>
          <w:rFonts w:ascii="Cambria" w:hAnsi="Cambria"/>
          <w:i/>
          <w:sz w:val="20"/>
          <w:szCs w:val="20"/>
        </w:rPr>
        <w:t xml:space="preserve"> du </w:t>
      </w:r>
      <w:r w:rsidRPr="00DF2CE8">
        <w:rPr>
          <w:rFonts w:ascii="Cambria" w:hAnsi="Cambria"/>
          <w:b/>
          <w:i/>
          <w:sz w:val="20"/>
          <w:szCs w:val="20"/>
        </w:rPr>
        <w:t>COC_303/2025</w:t>
      </w:r>
      <w:r w:rsidRPr="00DF2CE8">
        <w:rPr>
          <w:rFonts w:ascii="Cambria" w:hAnsi="Cambria"/>
          <w:i/>
          <w:sz w:val="20"/>
          <w:szCs w:val="20"/>
        </w:rPr>
        <w:t>)</w:t>
      </w:r>
      <w:r w:rsidRPr="00DF2CE8">
        <w:rPr>
          <w:rFonts w:ascii="Cambria" w:hAnsi="Cambria"/>
          <w:sz w:val="20"/>
          <w:szCs w:val="20"/>
        </w:rPr>
        <w:t>.</w:t>
      </w:r>
    </w:p>
    <w:p w14:paraId="0FDD7F15" w14:textId="77777777" w:rsidR="00743EF7" w:rsidRPr="00DF2CE8" w:rsidRDefault="00743EF7" w:rsidP="00743EF7">
      <w:pPr>
        <w:autoSpaceDE w:val="0"/>
        <w:autoSpaceDN w:val="0"/>
        <w:adjustRightInd w:val="0"/>
        <w:rPr>
          <w:rFonts w:ascii="Cambria" w:hAnsi="Cambria"/>
          <w:sz w:val="20"/>
          <w:szCs w:val="20"/>
        </w:rPr>
      </w:pPr>
    </w:p>
    <w:p w14:paraId="3F60FEA7" w14:textId="1A200916"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 xml:space="preserve">Examen d'autres informations pertinentes, y compris les soumissions au titre de la </w:t>
      </w:r>
      <w:hyperlink r:id="rId21" w:history="1">
        <w:r w:rsidRPr="00DF2CE8">
          <w:rPr>
            <w:rStyle w:val="Hyperlink"/>
            <w:rFonts w:ascii="Cambria" w:hAnsi="Cambria"/>
            <w:sz w:val="20"/>
            <w:szCs w:val="20"/>
            <w:u w:val="none"/>
          </w:rPr>
          <w:t>Rec. 08-09</w:t>
        </w:r>
      </w:hyperlink>
    </w:p>
    <w:p w14:paraId="07162516" w14:textId="77777777" w:rsidR="00743EF7" w:rsidRPr="00DF2CE8" w:rsidRDefault="00743EF7" w:rsidP="00743EF7">
      <w:pPr>
        <w:pStyle w:val="ListParagraph"/>
        <w:rPr>
          <w:rFonts w:ascii="Cambria" w:hAnsi="Cambria"/>
          <w:sz w:val="20"/>
          <w:szCs w:val="20"/>
        </w:rPr>
      </w:pPr>
    </w:p>
    <w:p w14:paraId="77997D5A" w14:textId="30933D00" w:rsidR="00743EF7" w:rsidRPr="00DF2CE8" w:rsidRDefault="00743EF7" w:rsidP="00743EF7">
      <w:pPr>
        <w:pStyle w:val="ListParagraph"/>
        <w:tabs>
          <w:tab w:val="left" w:pos="426"/>
        </w:tabs>
        <w:ind w:left="360"/>
        <w:jc w:val="both"/>
        <w:rPr>
          <w:rFonts w:ascii="Cambria" w:hAnsi="Cambria"/>
          <w:sz w:val="20"/>
          <w:szCs w:val="20"/>
        </w:rPr>
      </w:pPr>
      <w:r w:rsidRPr="00DF2CE8">
        <w:rPr>
          <w:rFonts w:ascii="Cambria" w:hAnsi="Cambria"/>
          <w:i/>
          <w:sz w:val="20"/>
          <w:szCs w:val="20"/>
        </w:rPr>
        <w:t xml:space="preserve">Les informations soumises en vertu de </w:t>
      </w:r>
      <w:hyperlink r:id="rId22" w:history="1">
        <w:r w:rsidRPr="00DF2CE8">
          <w:rPr>
            <w:rStyle w:val="Hyperlink"/>
            <w:rFonts w:ascii="Cambria" w:hAnsi="Cambria"/>
            <w:i/>
            <w:sz w:val="20"/>
            <w:szCs w:val="20"/>
            <w:u w:val="none"/>
          </w:rPr>
          <w:t>la Rec. 08-09</w:t>
        </w:r>
      </w:hyperlink>
      <w:r w:rsidRPr="00DF2CE8">
        <w:rPr>
          <w:rFonts w:ascii="Cambria" w:hAnsi="Cambria"/>
          <w:i/>
          <w:sz w:val="20"/>
          <w:szCs w:val="20"/>
        </w:rPr>
        <w:t xml:space="preserve"> sont disponibles sous la référence </w:t>
      </w:r>
      <w:r w:rsidRPr="00DF2CE8">
        <w:rPr>
          <w:rFonts w:ascii="Cambria" w:hAnsi="Cambria"/>
          <w:b/>
          <w:bCs/>
          <w:i/>
          <w:sz w:val="20"/>
          <w:szCs w:val="20"/>
        </w:rPr>
        <w:t>COC_312/2025</w:t>
      </w:r>
      <w:r w:rsidRPr="00DF2CE8">
        <w:rPr>
          <w:rFonts w:ascii="Cambria" w:hAnsi="Cambria"/>
          <w:i/>
          <w:iCs/>
          <w:sz w:val="20"/>
          <w:szCs w:val="20"/>
        </w:rPr>
        <w:t>, conjointement avec les réponses reçues à ce jour.</w:t>
      </w:r>
    </w:p>
    <w:p w14:paraId="566AE705" w14:textId="77777777" w:rsidR="00743EF7" w:rsidRPr="00DF2CE8" w:rsidRDefault="00743EF7" w:rsidP="00743EF7">
      <w:pPr>
        <w:autoSpaceDE w:val="0"/>
        <w:autoSpaceDN w:val="0"/>
        <w:adjustRightInd w:val="0"/>
        <w:rPr>
          <w:rFonts w:ascii="Cambria" w:hAnsi="Cambria"/>
          <w:sz w:val="20"/>
          <w:szCs w:val="20"/>
        </w:rPr>
      </w:pPr>
    </w:p>
    <w:p w14:paraId="5E2D986F"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Examen de la mise en œuvre et du respect des exigences de l’ICCAT par les CPC</w:t>
      </w:r>
    </w:p>
    <w:p w14:paraId="163DD090" w14:textId="77777777" w:rsidR="00743EF7" w:rsidRPr="00DF2CE8" w:rsidRDefault="00743EF7" w:rsidP="00743EF7">
      <w:pPr>
        <w:pStyle w:val="ListParagraph"/>
        <w:rPr>
          <w:rFonts w:ascii="Cambria" w:hAnsi="Cambria"/>
          <w:sz w:val="20"/>
          <w:szCs w:val="20"/>
        </w:rPr>
      </w:pPr>
    </w:p>
    <w:p w14:paraId="5C76EFEA" w14:textId="68569120" w:rsidR="00743EF7" w:rsidRPr="00DF2CE8" w:rsidRDefault="00743EF7" w:rsidP="00DE0FD1">
      <w:pPr>
        <w:pStyle w:val="ListParagraph"/>
        <w:tabs>
          <w:tab w:val="left" w:pos="426"/>
        </w:tabs>
        <w:ind w:left="360"/>
        <w:jc w:val="both"/>
        <w:rPr>
          <w:rFonts w:ascii="Cambria" w:hAnsi="Cambria"/>
          <w:sz w:val="20"/>
          <w:szCs w:val="20"/>
        </w:rPr>
      </w:pPr>
      <w:r w:rsidRPr="00DF2CE8">
        <w:rPr>
          <w:rFonts w:ascii="Cambria" w:hAnsi="Cambria"/>
          <w:i/>
          <w:sz w:val="20"/>
          <w:szCs w:val="20"/>
        </w:rPr>
        <w:t xml:space="preserve">Les rapports annuels, tels que soumis par les CPC, sont disponibles dans le </w:t>
      </w:r>
      <w:r w:rsidRPr="00DF2CE8">
        <w:rPr>
          <w:rFonts w:ascii="Cambria" w:hAnsi="Cambria"/>
          <w:b/>
          <w:i/>
          <w:sz w:val="20"/>
          <w:szCs w:val="20"/>
        </w:rPr>
        <w:t xml:space="preserve">COC_301/2025. </w:t>
      </w:r>
      <w:r w:rsidRPr="00DF2CE8">
        <w:rPr>
          <w:rFonts w:ascii="Cambria" w:hAnsi="Cambria"/>
          <w:i/>
          <w:sz w:val="20"/>
          <w:szCs w:val="20"/>
        </w:rPr>
        <w:t>Les questions et réponses sur la version du</w:t>
      </w:r>
      <w:r w:rsidRPr="00DF2CE8">
        <w:rPr>
          <w:rFonts w:ascii="Cambria" w:hAnsi="Cambria"/>
          <w:b/>
          <w:bCs/>
          <w:i/>
          <w:sz w:val="20"/>
          <w:szCs w:val="20"/>
        </w:rPr>
        <w:t xml:space="preserve"> COC_308/2025</w:t>
      </w:r>
      <w:r w:rsidRPr="00DF2CE8">
        <w:rPr>
          <w:rFonts w:ascii="Cambria" w:hAnsi="Cambria"/>
          <w:i/>
          <w:sz w:val="20"/>
          <w:szCs w:val="20"/>
        </w:rPr>
        <w:t xml:space="preserve"> sont publiées sous la référence </w:t>
      </w:r>
      <w:r w:rsidRPr="00DF2CE8">
        <w:rPr>
          <w:rFonts w:ascii="Cambria" w:hAnsi="Cambria"/>
          <w:b/>
          <w:i/>
          <w:sz w:val="20"/>
          <w:szCs w:val="20"/>
        </w:rPr>
        <w:t>COC_306</w:t>
      </w:r>
      <w:r w:rsidR="00037897" w:rsidRPr="00DF2CE8">
        <w:rPr>
          <w:rFonts w:ascii="Cambria" w:hAnsi="Cambria"/>
          <w:b/>
          <w:i/>
          <w:sz w:val="20"/>
          <w:szCs w:val="20"/>
        </w:rPr>
        <w:t>_REV_2</w:t>
      </w:r>
      <w:r w:rsidRPr="00DF2CE8">
        <w:rPr>
          <w:rFonts w:ascii="Cambria" w:hAnsi="Cambria"/>
          <w:b/>
          <w:i/>
          <w:sz w:val="20"/>
          <w:szCs w:val="20"/>
        </w:rPr>
        <w:t>/2025</w:t>
      </w:r>
      <w:r w:rsidRPr="00DF2CE8">
        <w:rPr>
          <w:rFonts w:ascii="Cambria" w:hAnsi="Cambria"/>
          <w:i/>
          <w:sz w:val="20"/>
          <w:szCs w:val="20"/>
        </w:rPr>
        <w:t>. Une version révisée des Tableaux récapitulatifs de l’application (</w:t>
      </w:r>
      <w:r w:rsidRPr="00DF2CE8">
        <w:rPr>
          <w:rFonts w:ascii="Cambria" w:hAnsi="Cambria"/>
          <w:b/>
          <w:bCs/>
          <w:i/>
          <w:sz w:val="20"/>
          <w:szCs w:val="20"/>
        </w:rPr>
        <w:t>COC_308A</w:t>
      </w:r>
      <w:r w:rsidR="00F91AB4" w:rsidRPr="00DF2CE8">
        <w:rPr>
          <w:rFonts w:ascii="Cambria" w:hAnsi="Cambria"/>
          <w:b/>
          <w:bCs/>
          <w:i/>
          <w:sz w:val="20"/>
          <w:szCs w:val="20"/>
        </w:rPr>
        <w:t>_REV_1</w:t>
      </w:r>
      <w:r w:rsidRPr="00DF2CE8">
        <w:rPr>
          <w:rFonts w:ascii="Cambria" w:hAnsi="Cambria"/>
          <w:b/>
          <w:bCs/>
          <w:i/>
          <w:sz w:val="20"/>
          <w:szCs w:val="20"/>
        </w:rPr>
        <w:t>/2025</w:t>
      </w:r>
      <w:r w:rsidRPr="00DF2CE8">
        <w:rPr>
          <w:rFonts w:ascii="Cambria" w:hAnsi="Cambria"/>
          <w:i/>
          <w:sz w:val="20"/>
          <w:szCs w:val="20"/>
        </w:rPr>
        <w:t xml:space="preserve">) comporte les réponses reçues par écrit avant la réunion, des soumissions additionnelles et les révisions du Secrétariat. Voir également </w:t>
      </w:r>
      <w:r w:rsidRPr="00DF2CE8">
        <w:rPr>
          <w:rFonts w:ascii="Cambria" w:hAnsi="Cambria"/>
          <w:b/>
          <w:bCs/>
          <w:i/>
          <w:sz w:val="20"/>
          <w:szCs w:val="20"/>
        </w:rPr>
        <w:t>COC_303/2025</w:t>
      </w:r>
      <w:r w:rsidRPr="00DF2CE8">
        <w:rPr>
          <w:rFonts w:ascii="Cambria" w:hAnsi="Cambria"/>
          <w:i/>
          <w:sz w:val="20"/>
          <w:szCs w:val="20"/>
        </w:rPr>
        <w:t xml:space="preserve">, </w:t>
      </w:r>
      <w:r w:rsidRPr="00DF2CE8">
        <w:rPr>
          <w:rFonts w:ascii="Cambria" w:hAnsi="Cambria"/>
          <w:b/>
          <w:bCs/>
          <w:i/>
          <w:sz w:val="20"/>
          <w:szCs w:val="20"/>
        </w:rPr>
        <w:t>COC_305/2025</w:t>
      </w:r>
      <w:r w:rsidRPr="00DF2CE8">
        <w:rPr>
          <w:rFonts w:ascii="Cambria" w:hAnsi="Cambria"/>
          <w:i/>
          <w:sz w:val="20"/>
          <w:szCs w:val="20"/>
        </w:rPr>
        <w:t xml:space="preserve"> et </w:t>
      </w:r>
      <w:r w:rsidRPr="00DF2CE8">
        <w:rPr>
          <w:rFonts w:ascii="Cambria" w:hAnsi="Cambria"/>
          <w:b/>
          <w:bCs/>
          <w:i/>
          <w:sz w:val="20"/>
          <w:szCs w:val="20"/>
        </w:rPr>
        <w:t>COC_312/2025</w:t>
      </w:r>
      <w:r w:rsidRPr="00DF2CE8">
        <w:rPr>
          <w:rFonts w:ascii="Cambria" w:hAnsi="Cambria"/>
          <w:i/>
          <w:sz w:val="20"/>
          <w:szCs w:val="20"/>
        </w:rPr>
        <w:t xml:space="preserve">, qui contiennent des informations sur les problèmes potentiels d’application qui sont pertinents pour l'examen de l’application de chaque CPC. Les feuilles de contrôle s’appliquant </w:t>
      </w:r>
      <w:proofErr w:type="gramStart"/>
      <w:r w:rsidRPr="00DF2CE8">
        <w:rPr>
          <w:rFonts w:ascii="Cambria" w:hAnsi="Cambria"/>
          <w:i/>
          <w:sz w:val="20"/>
          <w:szCs w:val="20"/>
        </w:rPr>
        <w:t>aux requins actualisées</w:t>
      </w:r>
      <w:proofErr w:type="gramEnd"/>
      <w:r w:rsidRPr="00DF2CE8">
        <w:rPr>
          <w:rFonts w:ascii="Cambria" w:hAnsi="Cambria"/>
          <w:i/>
          <w:sz w:val="20"/>
          <w:szCs w:val="20"/>
        </w:rPr>
        <w:t xml:space="preserve"> reçues à ce jour sont disponibles en tant que </w:t>
      </w:r>
      <w:r w:rsidRPr="00DF2CE8">
        <w:rPr>
          <w:rFonts w:ascii="Cambria" w:hAnsi="Cambria"/>
          <w:b/>
          <w:i/>
          <w:sz w:val="20"/>
          <w:szCs w:val="20"/>
        </w:rPr>
        <w:t xml:space="preserve">COC_314/2025 </w:t>
      </w:r>
      <w:r w:rsidRPr="00DF2CE8">
        <w:rPr>
          <w:rFonts w:ascii="Cambria" w:hAnsi="Cambria"/>
          <w:i/>
          <w:sz w:val="20"/>
          <w:szCs w:val="20"/>
        </w:rPr>
        <w:t xml:space="preserve">et les feuilles de contrôle s’appliquant aux istiophoridés sous la référence </w:t>
      </w:r>
      <w:r w:rsidRPr="00DF2CE8">
        <w:rPr>
          <w:rFonts w:ascii="Cambria" w:hAnsi="Cambria"/>
          <w:b/>
          <w:i/>
          <w:sz w:val="20"/>
          <w:szCs w:val="20"/>
        </w:rPr>
        <w:t>COC_315</w:t>
      </w:r>
      <w:r w:rsidR="00DE0FD1" w:rsidRPr="00DF2CE8">
        <w:rPr>
          <w:rFonts w:ascii="Cambria" w:hAnsi="Cambria"/>
          <w:b/>
          <w:i/>
          <w:sz w:val="20"/>
          <w:szCs w:val="20"/>
        </w:rPr>
        <w:t>_REV_1</w:t>
      </w:r>
      <w:r w:rsidRPr="00DF2CE8">
        <w:rPr>
          <w:rFonts w:ascii="Cambria" w:hAnsi="Cambria"/>
          <w:b/>
          <w:i/>
          <w:sz w:val="20"/>
          <w:szCs w:val="20"/>
        </w:rPr>
        <w:t>/2025.</w:t>
      </w:r>
      <w:r w:rsidRPr="00DF2CE8">
        <w:rPr>
          <w:rFonts w:ascii="Cambria" w:hAnsi="Cambria"/>
          <w:i/>
          <w:sz w:val="20"/>
          <w:szCs w:val="20"/>
        </w:rPr>
        <w:t xml:space="preserve"> Les informations relatives à la mise en œuvre des programmes d'observateurs scientifiques sont résumées dans le </w:t>
      </w:r>
      <w:r w:rsidRPr="00DF2CE8">
        <w:rPr>
          <w:rFonts w:ascii="Cambria" w:hAnsi="Cambria"/>
          <w:b/>
          <w:bCs/>
          <w:i/>
          <w:sz w:val="20"/>
          <w:szCs w:val="20"/>
        </w:rPr>
        <w:t>COC_318/2025</w:t>
      </w:r>
      <w:r w:rsidRPr="00DF2CE8">
        <w:rPr>
          <w:rFonts w:ascii="Cambria" w:hAnsi="Cambria"/>
          <w:i/>
          <w:sz w:val="20"/>
          <w:szCs w:val="20"/>
        </w:rPr>
        <w:t xml:space="preserve">. Des informations supplémentaires </w:t>
      </w:r>
      <w:r w:rsidR="006F5949" w:rsidRPr="00DF2CE8">
        <w:rPr>
          <w:rFonts w:ascii="Cambria" w:hAnsi="Cambria"/>
          <w:i/>
          <w:sz w:val="20"/>
          <w:szCs w:val="20"/>
        </w:rPr>
        <w:t>peuvent</w:t>
      </w:r>
      <w:r w:rsidRPr="00DF2CE8">
        <w:rPr>
          <w:rFonts w:ascii="Cambria" w:hAnsi="Cambria"/>
          <w:i/>
          <w:sz w:val="20"/>
          <w:szCs w:val="20"/>
        </w:rPr>
        <w:t xml:space="preserve"> également </w:t>
      </w:r>
      <w:r w:rsidR="006F5949" w:rsidRPr="00DF2CE8">
        <w:rPr>
          <w:rFonts w:ascii="Cambria" w:hAnsi="Cambria"/>
          <w:i/>
          <w:sz w:val="20"/>
          <w:szCs w:val="20"/>
        </w:rPr>
        <w:t xml:space="preserve">être consultées </w:t>
      </w:r>
      <w:r w:rsidRPr="00DF2CE8">
        <w:rPr>
          <w:rFonts w:ascii="Cambria" w:hAnsi="Cambria"/>
          <w:i/>
          <w:sz w:val="20"/>
          <w:szCs w:val="20"/>
        </w:rPr>
        <w:t xml:space="preserve">dans le </w:t>
      </w:r>
      <w:r w:rsidRPr="00DF2CE8">
        <w:rPr>
          <w:rFonts w:ascii="Cambria" w:hAnsi="Cambria"/>
          <w:b/>
          <w:bCs/>
          <w:i/>
          <w:sz w:val="20"/>
          <w:szCs w:val="20"/>
        </w:rPr>
        <w:t>PLE_105/2025.</w:t>
      </w:r>
    </w:p>
    <w:p w14:paraId="59DEC869" w14:textId="77777777" w:rsidR="00743EF7" w:rsidRPr="00DF2CE8" w:rsidRDefault="00743EF7" w:rsidP="00DE0FD1">
      <w:pPr>
        <w:tabs>
          <w:tab w:val="left" w:pos="426"/>
        </w:tabs>
        <w:jc w:val="both"/>
        <w:rPr>
          <w:rFonts w:ascii="Cambria" w:hAnsi="Cambria"/>
          <w:sz w:val="20"/>
          <w:szCs w:val="20"/>
        </w:rPr>
      </w:pPr>
    </w:p>
    <w:p w14:paraId="52BB4D45" w14:textId="021E802B" w:rsidR="00743EF7" w:rsidRPr="00DF2CE8" w:rsidRDefault="00743EF7" w:rsidP="00DE0FD1">
      <w:pPr>
        <w:pStyle w:val="ListParagraph"/>
        <w:widowControl w:val="0"/>
        <w:numPr>
          <w:ilvl w:val="0"/>
          <w:numId w:val="31"/>
        </w:numPr>
        <w:tabs>
          <w:tab w:val="left" w:pos="426"/>
        </w:tabs>
        <w:jc w:val="both"/>
        <w:rPr>
          <w:rFonts w:ascii="Cambria" w:hAnsi="Cambria"/>
          <w:color w:val="000000" w:themeColor="text1"/>
          <w:sz w:val="20"/>
          <w:szCs w:val="20"/>
        </w:rPr>
      </w:pPr>
      <w:r w:rsidRPr="00DF2CE8">
        <w:rPr>
          <w:rFonts w:ascii="Cambria" w:hAnsi="Cambria"/>
          <w:color w:val="000000" w:themeColor="text1"/>
          <w:sz w:val="20"/>
          <w:szCs w:val="20"/>
        </w:rPr>
        <w:t xml:space="preserve">Examen des informations concernant les </w:t>
      </w:r>
      <w:r w:rsidR="00E41EE6" w:rsidRPr="00DF2CE8">
        <w:rPr>
          <w:rFonts w:ascii="Cambria" w:hAnsi="Cambria"/>
          <w:color w:val="000000" w:themeColor="text1"/>
          <w:sz w:val="20"/>
          <w:szCs w:val="20"/>
        </w:rPr>
        <w:t>non</w:t>
      </w:r>
      <w:r w:rsidR="004852AB" w:rsidRPr="00DF2CE8">
        <w:rPr>
          <w:rFonts w:ascii="Cambria" w:hAnsi="Cambria"/>
          <w:color w:val="000000" w:themeColor="text1"/>
          <w:sz w:val="20"/>
          <w:szCs w:val="20"/>
        </w:rPr>
        <w:t>-CPC</w:t>
      </w:r>
    </w:p>
    <w:p w14:paraId="769023D5" w14:textId="77777777" w:rsidR="00743EF7" w:rsidRPr="00DF2CE8" w:rsidRDefault="00743EF7" w:rsidP="00DE0FD1">
      <w:pPr>
        <w:pStyle w:val="ListParagraph"/>
        <w:jc w:val="both"/>
        <w:rPr>
          <w:rFonts w:ascii="Cambria" w:hAnsi="Cambria"/>
          <w:color w:val="000000" w:themeColor="text1"/>
          <w:sz w:val="20"/>
          <w:szCs w:val="20"/>
        </w:rPr>
      </w:pPr>
    </w:p>
    <w:p w14:paraId="12BBA56E" w14:textId="77777777" w:rsidR="00743EF7" w:rsidRPr="00DF2CE8" w:rsidRDefault="00743EF7" w:rsidP="00DE0FD1">
      <w:pPr>
        <w:ind w:left="360"/>
        <w:jc w:val="both"/>
        <w:rPr>
          <w:rFonts w:ascii="Cambria" w:hAnsi="Cambria"/>
          <w:color w:val="000000" w:themeColor="text1"/>
          <w:sz w:val="20"/>
          <w:szCs w:val="20"/>
        </w:rPr>
      </w:pPr>
      <w:r w:rsidRPr="00DF2CE8">
        <w:rPr>
          <w:rFonts w:ascii="Cambria" w:hAnsi="Cambria"/>
          <w:i/>
          <w:color w:val="000000" w:themeColor="text1"/>
          <w:sz w:val="20"/>
          <w:szCs w:val="20"/>
        </w:rPr>
        <w:t xml:space="preserve">Les réponses aux lettres du Président sont disponibles sous la référence </w:t>
      </w:r>
      <w:r w:rsidRPr="00DF2CE8">
        <w:rPr>
          <w:rFonts w:ascii="Cambria" w:hAnsi="Cambria"/>
          <w:b/>
          <w:i/>
          <w:color w:val="000000" w:themeColor="text1"/>
          <w:sz w:val="20"/>
          <w:szCs w:val="20"/>
        </w:rPr>
        <w:t xml:space="preserve">COC_310/2025. </w:t>
      </w:r>
    </w:p>
    <w:p w14:paraId="43C63AF6" w14:textId="77777777" w:rsidR="00743EF7" w:rsidRPr="00DF2CE8" w:rsidRDefault="00743EF7" w:rsidP="00DE0FD1">
      <w:pPr>
        <w:ind w:left="360"/>
        <w:jc w:val="both"/>
        <w:rPr>
          <w:rFonts w:ascii="Cambria" w:hAnsi="Cambria"/>
          <w:i/>
          <w:iCs/>
          <w:color w:val="000000" w:themeColor="text1"/>
          <w:sz w:val="20"/>
          <w:szCs w:val="20"/>
        </w:rPr>
      </w:pPr>
    </w:p>
    <w:p w14:paraId="26D0CC94" w14:textId="6EC24291" w:rsidR="00743EF7" w:rsidRPr="00DF2CE8" w:rsidRDefault="00743EF7" w:rsidP="00DE0FD1">
      <w:pPr>
        <w:ind w:left="360"/>
        <w:jc w:val="both"/>
        <w:rPr>
          <w:rFonts w:ascii="Cambria" w:hAnsi="Cambria"/>
          <w:sz w:val="20"/>
          <w:szCs w:val="20"/>
        </w:rPr>
      </w:pPr>
      <w:r w:rsidRPr="00DF2CE8">
        <w:rPr>
          <w:rFonts w:ascii="Cambria" w:hAnsi="Cambria"/>
          <w:i/>
          <w:color w:val="000000" w:themeColor="text1"/>
          <w:sz w:val="20"/>
          <w:szCs w:val="20"/>
        </w:rPr>
        <w:t>Le Secrétariat, en consultation avec le Japon et le Président du COC, a préparé un document (</w:t>
      </w:r>
      <w:r w:rsidRPr="00DF2CE8">
        <w:rPr>
          <w:rFonts w:ascii="Cambria" w:hAnsi="Cambria"/>
          <w:b/>
          <w:i/>
          <w:color w:val="000000" w:themeColor="text1"/>
          <w:sz w:val="20"/>
          <w:szCs w:val="20"/>
        </w:rPr>
        <w:t>COC_320/2025</w:t>
      </w:r>
      <w:r w:rsidRPr="00DF2CE8">
        <w:rPr>
          <w:rFonts w:ascii="Cambria" w:hAnsi="Cambria"/>
          <w:i/>
          <w:color w:val="000000" w:themeColor="text1"/>
          <w:sz w:val="20"/>
          <w:szCs w:val="20"/>
        </w:rPr>
        <w:t>) compilant les données de capture des N</w:t>
      </w:r>
      <w:r w:rsidR="00155506" w:rsidRPr="00DF2CE8">
        <w:rPr>
          <w:rFonts w:ascii="Cambria" w:hAnsi="Cambria"/>
          <w:i/>
          <w:color w:val="000000" w:themeColor="text1"/>
          <w:sz w:val="20"/>
          <w:szCs w:val="20"/>
        </w:rPr>
        <w:t>on-</w:t>
      </w:r>
      <w:r w:rsidRPr="00DF2CE8">
        <w:rPr>
          <w:rFonts w:ascii="Cambria" w:hAnsi="Cambria"/>
          <w:i/>
          <w:color w:val="000000" w:themeColor="text1"/>
          <w:sz w:val="20"/>
          <w:szCs w:val="20"/>
        </w:rPr>
        <w:t>CP</w:t>
      </w:r>
      <w:r w:rsidR="00155506" w:rsidRPr="00DF2CE8">
        <w:rPr>
          <w:rFonts w:ascii="Cambria" w:hAnsi="Cambria"/>
          <w:i/>
          <w:color w:val="000000" w:themeColor="text1"/>
          <w:sz w:val="20"/>
          <w:szCs w:val="20"/>
        </w:rPr>
        <w:t>C</w:t>
      </w:r>
      <w:r w:rsidRPr="00DF2CE8">
        <w:rPr>
          <w:rFonts w:ascii="Cambria" w:hAnsi="Cambria"/>
          <w:i/>
          <w:color w:val="000000" w:themeColor="text1"/>
          <w:sz w:val="20"/>
          <w:szCs w:val="20"/>
        </w:rPr>
        <w:t xml:space="preserve"> des cinq dernières années, sur la base des données statistiques soumises par les </w:t>
      </w:r>
      <w:r w:rsidR="00155506" w:rsidRPr="00DF2CE8">
        <w:rPr>
          <w:rFonts w:ascii="Cambria" w:hAnsi="Cambria"/>
          <w:i/>
          <w:color w:val="000000" w:themeColor="text1"/>
          <w:sz w:val="20"/>
          <w:szCs w:val="20"/>
        </w:rPr>
        <w:t xml:space="preserve">Non-CPC </w:t>
      </w:r>
      <w:r w:rsidRPr="00DF2CE8">
        <w:rPr>
          <w:rFonts w:ascii="Cambria" w:hAnsi="Cambria"/>
          <w:i/>
          <w:color w:val="000000" w:themeColor="text1"/>
          <w:sz w:val="20"/>
          <w:szCs w:val="20"/>
        </w:rPr>
        <w:t>au Secrétaria</w:t>
      </w:r>
      <w:r w:rsidRPr="00DF2CE8">
        <w:rPr>
          <w:rFonts w:ascii="Cambria" w:hAnsi="Cambria"/>
          <w:i/>
          <w:sz w:val="20"/>
          <w:szCs w:val="20"/>
        </w:rPr>
        <w:t>t ainsi qu'à la FAO.</w:t>
      </w:r>
    </w:p>
    <w:p w14:paraId="3345221B" w14:textId="77777777" w:rsidR="00743EF7" w:rsidRPr="00DF2CE8" w:rsidRDefault="00743EF7" w:rsidP="00DE0FD1">
      <w:pPr>
        <w:tabs>
          <w:tab w:val="left" w:pos="426"/>
        </w:tabs>
        <w:jc w:val="both"/>
        <w:rPr>
          <w:rFonts w:ascii="Cambria" w:hAnsi="Cambria"/>
          <w:sz w:val="20"/>
          <w:szCs w:val="20"/>
        </w:rPr>
      </w:pPr>
    </w:p>
    <w:p w14:paraId="7E3A4590" w14:textId="77777777" w:rsidR="00743EF7" w:rsidRPr="00DF2CE8" w:rsidRDefault="00743EF7" w:rsidP="00DE0FD1">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 xml:space="preserve">Détermination des mesures recommandées visant à résoudre les problèmes de non-application des CPC et les problèmes relatifs aux non-CPC </w:t>
      </w:r>
    </w:p>
    <w:p w14:paraId="1C8BAAC3" w14:textId="77777777" w:rsidR="00743EF7" w:rsidRPr="00DF2CE8" w:rsidRDefault="00743EF7" w:rsidP="00743EF7">
      <w:pPr>
        <w:tabs>
          <w:tab w:val="left" w:pos="426"/>
        </w:tabs>
        <w:ind w:left="360"/>
        <w:jc w:val="both"/>
        <w:rPr>
          <w:rFonts w:ascii="Cambria" w:hAnsi="Cambria"/>
          <w:sz w:val="20"/>
          <w:szCs w:val="20"/>
        </w:rPr>
      </w:pPr>
    </w:p>
    <w:p w14:paraId="3522C1A6" w14:textId="2FF66861" w:rsidR="00743EF7" w:rsidRPr="00DF2CE8" w:rsidRDefault="00743EF7" w:rsidP="00743EF7">
      <w:pPr>
        <w:pStyle w:val="ListParagraph"/>
        <w:widowControl w:val="0"/>
        <w:numPr>
          <w:ilvl w:val="1"/>
          <w:numId w:val="31"/>
        </w:numPr>
        <w:tabs>
          <w:tab w:val="left" w:pos="426"/>
        </w:tabs>
        <w:jc w:val="both"/>
        <w:rPr>
          <w:rFonts w:ascii="Cambria" w:hAnsi="Cambria"/>
          <w:sz w:val="20"/>
          <w:szCs w:val="20"/>
        </w:rPr>
      </w:pPr>
      <w:r w:rsidRPr="00DF2CE8">
        <w:rPr>
          <w:rFonts w:ascii="Cambria" w:hAnsi="Cambria"/>
          <w:sz w:val="20"/>
          <w:szCs w:val="20"/>
        </w:rPr>
        <w:t xml:space="preserve">Identifications ou autres mesures en vertu de la </w:t>
      </w:r>
      <w:hyperlink r:id="rId23" w:history="1">
        <w:r w:rsidRPr="00DF2CE8">
          <w:rPr>
            <w:rStyle w:val="Hyperlink"/>
            <w:rFonts w:ascii="Cambria" w:hAnsi="Cambria"/>
            <w:sz w:val="20"/>
            <w:szCs w:val="20"/>
            <w:u w:val="none"/>
          </w:rPr>
          <w:t>Rec. 06-13</w:t>
        </w:r>
      </w:hyperlink>
      <w:r w:rsidRPr="00DF2CE8">
        <w:rPr>
          <w:rFonts w:ascii="Cambria" w:hAnsi="Cambria"/>
          <w:sz w:val="20"/>
          <w:szCs w:val="20"/>
        </w:rPr>
        <w:t>.</w:t>
      </w:r>
    </w:p>
    <w:p w14:paraId="116BC9BC" w14:textId="77777777" w:rsidR="00743EF7" w:rsidRPr="00DF2CE8" w:rsidRDefault="00743EF7" w:rsidP="00743EF7">
      <w:pPr>
        <w:pStyle w:val="ListParagraph"/>
        <w:rPr>
          <w:rFonts w:ascii="Cambria" w:hAnsi="Cambria"/>
          <w:sz w:val="20"/>
          <w:szCs w:val="20"/>
        </w:rPr>
      </w:pPr>
    </w:p>
    <w:p w14:paraId="6F26EF43" w14:textId="51B22655" w:rsidR="00743EF7" w:rsidRPr="00DF2CE8" w:rsidRDefault="00743EF7" w:rsidP="00743EF7">
      <w:pPr>
        <w:pStyle w:val="ListParagraph"/>
        <w:tabs>
          <w:tab w:val="left" w:pos="426"/>
        </w:tabs>
        <w:ind w:left="792"/>
        <w:jc w:val="both"/>
        <w:rPr>
          <w:rFonts w:ascii="Cambria" w:hAnsi="Cambria"/>
          <w:sz w:val="20"/>
          <w:szCs w:val="20"/>
        </w:rPr>
      </w:pPr>
      <w:r w:rsidRPr="00DF2CE8">
        <w:rPr>
          <w:rFonts w:ascii="Cambria" w:hAnsi="Cambria"/>
          <w:i/>
          <w:sz w:val="20"/>
          <w:szCs w:val="20"/>
        </w:rPr>
        <w:t>Les données soumises conformément à la Rec. 06-13 sont publiées électroniquement en tant qu'</w:t>
      </w:r>
      <w:r w:rsidRPr="00DF2CE8">
        <w:rPr>
          <w:rFonts w:ascii="Cambria" w:hAnsi="Cambria"/>
          <w:b/>
          <w:bCs/>
          <w:i/>
          <w:sz w:val="20"/>
          <w:szCs w:val="20"/>
        </w:rPr>
        <w:t>annexe 1 du COC_303/2025.</w:t>
      </w:r>
      <w:r w:rsidRPr="00DF2CE8">
        <w:rPr>
          <w:rFonts w:ascii="Cambria" w:hAnsi="Cambria"/>
          <w:b/>
          <w:i/>
          <w:sz w:val="20"/>
          <w:szCs w:val="20"/>
        </w:rPr>
        <w:t xml:space="preserve"> </w:t>
      </w:r>
      <w:r w:rsidRPr="00DF2CE8">
        <w:rPr>
          <w:rFonts w:ascii="Cambria" w:hAnsi="Cambria"/>
          <w:i/>
          <w:sz w:val="20"/>
          <w:szCs w:val="20"/>
        </w:rPr>
        <w:t xml:space="preserve">Les informations supplémentaires peuvent être incluses dans le </w:t>
      </w:r>
      <w:r w:rsidRPr="00DF2CE8">
        <w:rPr>
          <w:rFonts w:ascii="Cambria" w:hAnsi="Cambria"/>
          <w:b/>
          <w:i/>
          <w:sz w:val="20"/>
          <w:szCs w:val="20"/>
        </w:rPr>
        <w:t>PWG_401/2025</w:t>
      </w:r>
      <w:r w:rsidRPr="00DF2CE8">
        <w:rPr>
          <w:rFonts w:ascii="Cambria" w:hAnsi="Cambria"/>
          <w:i/>
          <w:sz w:val="20"/>
          <w:szCs w:val="20"/>
        </w:rPr>
        <w:t>.</w:t>
      </w:r>
      <w:r w:rsidRPr="00DF2CE8">
        <w:rPr>
          <w:rFonts w:ascii="Cambria" w:hAnsi="Cambria"/>
          <w:b/>
          <w:i/>
          <w:sz w:val="20"/>
          <w:szCs w:val="20"/>
        </w:rPr>
        <w:t xml:space="preserve"> </w:t>
      </w:r>
      <w:r w:rsidRPr="00DF2CE8">
        <w:rPr>
          <w:rFonts w:ascii="Cambria" w:hAnsi="Cambria"/>
          <w:i/>
          <w:sz w:val="20"/>
          <w:szCs w:val="20"/>
        </w:rPr>
        <w:t xml:space="preserve">Le Comité devrait envisager toute mesure nécessaire sur la base du </w:t>
      </w:r>
      <w:r w:rsidRPr="00DF2CE8">
        <w:rPr>
          <w:rFonts w:ascii="Cambria" w:hAnsi="Cambria"/>
          <w:b/>
          <w:bCs/>
          <w:i/>
          <w:sz w:val="20"/>
          <w:szCs w:val="20"/>
        </w:rPr>
        <w:t>COC_308</w:t>
      </w:r>
      <w:r w:rsidR="00FE514F" w:rsidRPr="00DF2CE8">
        <w:rPr>
          <w:rFonts w:ascii="Cambria" w:hAnsi="Cambria"/>
          <w:b/>
          <w:bCs/>
          <w:i/>
          <w:sz w:val="20"/>
          <w:szCs w:val="20"/>
        </w:rPr>
        <w:t>A_REV_1</w:t>
      </w:r>
      <w:r w:rsidRPr="00DF2CE8">
        <w:rPr>
          <w:rFonts w:ascii="Cambria" w:hAnsi="Cambria"/>
          <w:b/>
          <w:bCs/>
          <w:i/>
          <w:sz w:val="20"/>
          <w:szCs w:val="20"/>
        </w:rPr>
        <w:t>/2025</w:t>
      </w:r>
      <w:r w:rsidRPr="00DF2CE8">
        <w:rPr>
          <w:rFonts w:ascii="Cambria" w:hAnsi="Cambria"/>
          <w:i/>
          <w:sz w:val="20"/>
          <w:szCs w:val="20"/>
        </w:rPr>
        <w:t xml:space="preserve"> et d'autres informations pertinentes.</w:t>
      </w:r>
    </w:p>
    <w:p w14:paraId="43B5BF7F" w14:textId="77777777" w:rsidR="00743EF7" w:rsidRPr="00DF2CE8" w:rsidRDefault="00743EF7" w:rsidP="00743EF7">
      <w:pPr>
        <w:tabs>
          <w:tab w:val="left" w:pos="426"/>
        </w:tabs>
        <w:jc w:val="both"/>
        <w:rPr>
          <w:rFonts w:ascii="Cambria" w:hAnsi="Cambria"/>
          <w:sz w:val="20"/>
          <w:szCs w:val="20"/>
        </w:rPr>
      </w:pPr>
    </w:p>
    <w:p w14:paraId="2E80432E" w14:textId="2F78A553" w:rsidR="00743EF7" w:rsidRPr="00DF2CE8" w:rsidRDefault="00743EF7" w:rsidP="00743EF7">
      <w:pPr>
        <w:pStyle w:val="ListParagraph"/>
        <w:widowControl w:val="0"/>
        <w:numPr>
          <w:ilvl w:val="1"/>
          <w:numId w:val="31"/>
        </w:numPr>
        <w:tabs>
          <w:tab w:val="left" w:pos="426"/>
        </w:tabs>
        <w:jc w:val="both"/>
        <w:rPr>
          <w:rFonts w:ascii="Cambria" w:hAnsi="Cambria"/>
          <w:sz w:val="20"/>
          <w:szCs w:val="20"/>
        </w:rPr>
      </w:pPr>
      <w:r w:rsidRPr="00DF2CE8">
        <w:rPr>
          <w:rFonts w:ascii="Cambria" w:hAnsi="Cambria"/>
          <w:sz w:val="20"/>
          <w:szCs w:val="20"/>
        </w:rPr>
        <w:t xml:space="preserve">Toute autre action au titre de la  </w:t>
      </w:r>
      <w:hyperlink r:id="rId24" w:history="1">
        <w:r w:rsidR="006A24E3" w:rsidRPr="00DF2CE8">
          <w:rPr>
            <w:rStyle w:val="Hyperlink"/>
            <w:rFonts w:ascii="Cambria" w:hAnsi="Cambria"/>
            <w:sz w:val="20"/>
            <w:szCs w:val="20"/>
            <w:u w:val="none"/>
          </w:rPr>
          <w:t>Réf</w:t>
        </w:r>
        <w:r w:rsidRPr="00DF2CE8">
          <w:rPr>
            <w:rStyle w:val="Hyperlink"/>
            <w:rFonts w:ascii="Cambria" w:hAnsi="Cambria"/>
            <w:sz w:val="20"/>
            <w:szCs w:val="20"/>
            <w:u w:val="none"/>
          </w:rPr>
          <w:t>. 22-18</w:t>
        </w:r>
      </w:hyperlink>
      <w:r w:rsidRPr="00DF2CE8">
        <w:rPr>
          <w:rFonts w:ascii="Cambria" w:hAnsi="Cambria"/>
          <w:sz w:val="20"/>
          <w:szCs w:val="20"/>
        </w:rPr>
        <w:t>.</w:t>
      </w:r>
    </w:p>
    <w:p w14:paraId="099DFF9A" w14:textId="77777777" w:rsidR="00743EF7" w:rsidRPr="00DF2CE8" w:rsidRDefault="00743EF7" w:rsidP="00743EF7">
      <w:pPr>
        <w:tabs>
          <w:tab w:val="left" w:pos="426"/>
        </w:tabs>
        <w:ind w:left="1068"/>
        <w:contextualSpacing/>
        <w:jc w:val="both"/>
        <w:rPr>
          <w:rFonts w:ascii="Cambria" w:hAnsi="Cambria"/>
          <w:sz w:val="20"/>
          <w:szCs w:val="20"/>
        </w:rPr>
      </w:pPr>
    </w:p>
    <w:p w14:paraId="0D6359CA" w14:textId="77777777" w:rsidR="00743EF7" w:rsidRPr="00DF2CE8" w:rsidRDefault="00743EF7" w:rsidP="006519FE">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Examen des renouvellements du statut de coopérant et de toute demande de statut de coopérant</w:t>
      </w:r>
    </w:p>
    <w:p w14:paraId="37785F9E" w14:textId="77777777" w:rsidR="00743EF7" w:rsidRPr="00DF2CE8" w:rsidRDefault="00743EF7" w:rsidP="006519FE">
      <w:pPr>
        <w:tabs>
          <w:tab w:val="left" w:pos="426"/>
        </w:tabs>
        <w:jc w:val="both"/>
        <w:rPr>
          <w:rFonts w:ascii="Cambria" w:hAnsi="Cambria"/>
          <w:sz w:val="20"/>
          <w:szCs w:val="20"/>
        </w:rPr>
      </w:pPr>
    </w:p>
    <w:p w14:paraId="1FF903F2" w14:textId="77777777" w:rsidR="00743EF7" w:rsidRPr="00DF2CE8" w:rsidRDefault="00743EF7" w:rsidP="006519FE">
      <w:pPr>
        <w:ind w:left="360"/>
        <w:jc w:val="both"/>
        <w:rPr>
          <w:rFonts w:ascii="Cambria" w:hAnsi="Cambria"/>
          <w:sz w:val="20"/>
          <w:szCs w:val="20"/>
        </w:rPr>
      </w:pPr>
      <w:r w:rsidRPr="00DF2CE8">
        <w:rPr>
          <w:rFonts w:ascii="Cambria" w:hAnsi="Cambria"/>
          <w:i/>
          <w:sz w:val="20"/>
          <w:szCs w:val="20"/>
        </w:rPr>
        <w:t>Aucune nouvelle demande n’a été reçue dans le délai imparti. La Bolivie, la Guyana, le Suriname et le Taipei chinois jouissent actuellement du statut de coopérant.</w:t>
      </w:r>
    </w:p>
    <w:p w14:paraId="2F1922B2" w14:textId="77777777" w:rsidR="00743EF7" w:rsidRPr="00DF2CE8" w:rsidRDefault="00743EF7" w:rsidP="006519FE">
      <w:pPr>
        <w:tabs>
          <w:tab w:val="left" w:pos="426"/>
        </w:tabs>
        <w:jc w:val="both"/>
        <w:rPr>
          <w:rFonts w:ascii="Cambria" w:hAnsi="Cambria"/>
          <w:b/>
          <w:bCs/>
          <w:i/>
          <w:iCs/>
          <w:sz w:val="20"/>
          <w:szCs w:val="20"/>
        </w:rPr>
      </w:pPr>
    </w:p>
    <w:p w14:paraId="7254E0F3" w14:textId="77777777" w:rsidR="00743EF7" w:rsidRPr="00DF2CE8" w:rsidRDefault="00743EF7" w:rsidP="006519FE">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Examen des mises à jour du plan stratégique pour l'examen des priorités en matière d’application en 2026</w:t>
      </w:r>
    </w:p>
    <w:p w14:paraId="3D46C5C2" w14:textId="77777777" w:rsidR="00743EF7" w:rsidRPr="00DF2CE8" w:rsidRDefault="00743EF7" w:rsidP="006519FE">
      <w:pPr>
        <w:pStyle w:val="ListParagraph"/>
        <w:jc w:val="both"/>
        <w:rPr>
          <w:rFonts w:ascii="Cambria" w:hAnsi="Cambria"/>
          <w:sz w:val="20"/>
          <w:szCs w:val="20"/>
        </w:rPr>
      </w:pPr>
    </w:p>
    <w:p w14:paraId="5F1D8A80" w14:textId="77777777" w:rsidR="00743EF7" w:rsidRPr="00DF2CE8" w:rsidRDefault="00743EF7" w:rsidP="006519FE">
      <w:pPr>
        <w:pStyle w:val="ListParagraph"/>
        <w:tabs>
          <w:tab w:val="left" w:pos="426"/>
        </w:tabs>
        <w:ind w:left="360"/>
        <w:jc w:val="both"/>
        <w:rPr>
          <w:rFonts w:ascii="Cambria" w:hAnsi="Cambria"/>
          <w:i/>
          <w:iCs/>
          <w:sz w:val="20"/>
          <w:szCs w:val="20"/>
        </w:rPr>
      </w:pPr>
      <w:r w:rsidRPr="00DF2CE8">
        <w:rPr>
          <w:rFonts w:ascii="Cambria" w:hAnsi="Cambria"/>
          <w:i/>
          <w:sz w:val="20"/>
          <w:szCs w:val="20"/>
        </w:rPr>
        <w:t>Un projet de plan stratégique tenant compte des contributions des CPC en réponse à la lettre du Président du COC et aux discussions du COC sera publié avant la dernière session du COC.</w:t>
      </w:r>
    </w:p>
    <w:p w14:paraId="0B574757" w14:textId="77777777" w:rsidR="00743EF7" w:rsidRPr="00DF2CE8" w:rsidRDefault="00743EF7" w:rsidP="00743EF7">
      <w:pPr>
        <w:pStyle w:val="ListParagraph"/>
        <w:rPr>
          <w:rFonts w:ascii="Cambria" w:hAnsi="Cambria"/>
          <w:sz w:val="20"/>
          <w:szCs w:val="20"/>
        </w:rPr>
      </w:pPr>
    </w:p>
    <w:p w14:paraId="2E588B3B"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Recommandations à la Commission en vue d’améliorer l’application</w:t>
      </w:r>
    </w:p>
    <w:p w14:paraId="15E219DF" w14:textId="77777777" w:rsidR="00743EF7" w:rsidRPr="00DF2CE8" w:rsidRDefault="00743EF7" w:rsidP="00743EF7">
      <w:pPr>
        <w:tabs>
          <w:tab w:val="left" w:pos="426"/>
        </w:tabs>
        <w:jc w:val="both"/>
        <w:rPr>
          <w:rFonts w:ascii="Cambria" w:hAnsi="Cambria"/>
          <w:sz w:val="20"/>
          <w:szCs w:val="20"/>
        </w:rPr>
      </w:pPr>
    </w:p>
    <w:p w14:paraId="1E0745C6" w14:textId="77777777" w:rsidR="00743EF7" w:rsidRPr="00DF2CE8" w:rsidRDefault="00743EF7" w:rsidP="00743EF7">
      <w:pPr>
        <w:tabs>
          <w:tab w:val="left" w:pos="426"/>
        </w:tabs>
        <w:ind w:left="360"/>
        <w:jc w:val="both"/>
        <w:rPr>
          <w:rFonts w:ascii="Cambria" w:hAnsi="Cambria"/>
          <w:i/>
          <w:iCs/>
          <w:sz w:val="20"/>
          <w:szCs w:val="20"/>
        </w:rPr>
      </w:pPr>
      <w:r w:rsidRPr="00DF2CE8">
        <w:rPr>
          <w:rFonts w:ascii="Cambria" w:hAnsi="Cambria"/>
          <w:i/>
          <w:sz w:val="20"/>
          <w:szCs w:val="20"/>
        </w:rPr>
        <w:t>L'Union européenne a présenté une "Proposition visant à rationaliser et à renforcer le processus du Comité d’application de l’ICCAT (COC)" (</w:t>
      </w:r>
      <w:r w:rsidRPr="00DF2CE8">
        <w:rPr>
          <w:rFonts w:ascii="Cambria" w:hAnsi="Cambria"/>
          <w:b/>
          <w:i/>
          <w:sz w:val="20"/>
          <w:szCs w:val="20"/>
        </w:rPr>
        <w:t>COC_323/2025</w:t>
      </w:r>
      <w:r w:rsidRPr="00DF2CE8">
        <w:rPr>
          <w:rFonts w:ascii="Cambria" w:hAnsi="Cambria"/>
          <w:i/>
          <w:sz w:val="20"/>
          <w:szCs w:val="20"/>
        </w:rPr>
        <w:t>).</w:t>
      </w:r>
    </w:p>
    <w:p w14:paraId="180C7487" w14:textId="77777777" w:rsidR="00743EF7" w:rsidRPr="00DF2CE8" w:rsidRDefault="00743EF7" w:rsidP="00743EF7">
      <w:pPr>
        <w:pStyle w:val="ListParagraph"/>
        <w:rPr>
          <w:rFonts w:ascii="Cambria" w:hAnsi="Cambria"/>
          <w:sz w:val="20"/>
          <w:szCs w:val="20"/>
        </w:rPr>
      </w:pPr>
    </w:p>
    <w:p w14:paraId="30DF3057"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Élection du Président et du Vice-président potentiel</w:t>
      </w:r>
    </w:p>
    <w:p w14:paraId="7D4E5683" w14:textId="77777777" w:rsidR="00743EF7" w:rsidRPr="00DF2CE8" w:rsidRDefault="00743EF7" w:rsidP="00743EF7">
      <w:pPr>
        <w:pStyle w:val="ListParagraph"/>
        <w:rPr>
          <w:rFonts w:ascii="Cambria" w:hAnsi="Cambria"/>
          <w:sz w:val="20"/>
          <w:szCs w:val="20"/>
        </w:rPr>
      </w:pPr>
    </w:p>
    <w:p w14:paraId="7E058C75" w14:textId="35610D8A" w:rsidR="00FB2466" w:rsidRPr="00DF2CE8" w:rsidRDefault="00743EF7" w:rsidP="00FB2466">
      <w:pPr>
        <w:pStyle w:val="ListParagraph"/>
        <w:tabs>
          <w:tab w:val="left" w:pos="426"/>
        </w:tabs>
        <w:ind w:left="360"/>
        <w:jc w:val="both"/>
        <w:rPr>
          <w:rFonts w:ascii="Cambria" w:hAnsi="Cambria"/>
          <w:sz w:val="20"/>
          <w:szCs w:val="20"/>
        </w:rPr>
      </w:pPr>
      <w:r w:rsidRPr="00DF2CE8">
        <w:rPr>
          <w:rFonts w:ascii="Cambria" w:hAnsi="Cambria"/>
          <w:i/>
          <w:sz w:val="20"/>
          <w:szCs w:val="20"/>
        </w:rPr>
        <w:t xml:space="preserve">Le Comité d'application devra élire </w:t>
      </w:r>
      <w:r w:rsidR="005D3C54" w:rsidRPr="00DF2CE8">
        <w:rPr>
          <w:rFonts w:ascii="Cambria" w:hAnsi="Cambria"/>
          <w:i/>
          <w:sz w:val="20"/>
          <w:szCs w:val="20"/>
        </w:rPr>
        <w:t>un</w:t>
      </w:r>
      <w:r w:rsidRPr="00DF2CE8">
        <w:rPr>
          <w:rFonts w:ascii="Cambria" w:hAnsi="Cambria"/>
          <w:i/>
          <w:sz w:val="20"/>
          <w:szCs w:val="20"/>
        </w:rPr>
        <w:t xml:space="preserve"> Président pour la période biennale 2026-2027. Conformément aux "</w:t>
      </w:r>
      <w:hyperlink r:id="rId25" w:history="1">
        <w:r w:rsidRPr="00DF2CE8">
          <w:rPr>
            <w:rStyle w:val="Hyperlink"/>
            <w:rFonts w:ascii="Cambria" w:hAnsi="Cambria"/>
            <w:i/>
            <w:sz w:val="20"/>
            <w:szCs w:val="20"/>
            <w:u w:val="none"/>
          </w:rPr>
          <w:t>Directives pour l'élection des Présidents et des Vice-présidents de la Commission et de ses organes subsidiaires</w:t>
        </w:r>
      </w:hyperlink>
      <w:r w:rsidRPr="00DF2CE8">
        <w:rPr>
          <w:rFonts w:ascii="Cambria" w:hAnsi="Cambria"/>
          <w:i/>
          <w:sz w:val="20"/>
          <w:szCs w:val="20"/>
        </w:rPr>
        <w:t>" (</w:t>
      </w:r>
      <w:r w:rsidRPr="00DF2CE8">
        <w:rPr>
          <w:rFonts w:ascii="Cambria" w:hAnsi="Cambria"/>
          <w:b/>
          <w:i/>
          <w:sz w:val="20"/>
          <w:szCs w:val="20"/>
        </w:rPr>
        <w:t>appendice 2 de l'ANNEXE 7</w:t>
      </w:r>
      <w:r w:rsidRPr="00DF2CE8">
        <w:rPr>
          <w:rFonts w:ascii="Cambria" w:hAnsi="Cambria"/>
          <w:i/>
          <w:sz w:val="20"/>
          <w:szCs w:val="20"/>
        </w:rPr>
        <w:t xml:space="preserve"> du rapport biennal 2024-25, partie I, vol. 1. p.278 en anglais</w:t>
      </w:r>
      <w:r w:rsidR="006A24E3" w:rsidRPr="00DF2CE8">
        <w:rPr>
          <w:rFonts w:ascii="Cambria" w:hAnsi="Cambria"/>
          <w:i/>
          <w:sz w:val="20"/>
          <w:szCs w:val="20"/>
        </w:rPr>
        <w:t>),</w:t>
      </w:r>
      <w:r w:rsidRPr="00DF2CE8">
        <w:rPr>
          <w:rFonts w:ascii="Cambria" w:hAnsi="Cambria"/>
          <w:i/>
          <w:sz w:val="20"/>
          <w:szCs w:val="20"/>
        </w:rPr>
        <w:t xml:space="preserve"> la Commission peut également envisager la possibilité d'élire un Vice-président.</w:t>
      </w:r>
    </w:p>
    <w:p w14:paraId="4159E8C9" w14:textId="35EA709F" w:rsidR="00743EF7" w:rsidRPr="00DF2CE8" w:rsidRDefault="00743EF7" w:rsidP="00743EF7">
      <w:pPr>
        <w:pStyle w:val="ListParagraph"/>
        <w:tabs>
          <w:tab w:val="left" w:pos="426"/>
        </w:tabs>
        <w:ind w:left="360"/>
        <w:jc w:val="both"/>
        <w:rPr>
          <w:rFonts w:ascii="Cambria" w:hAnsi="Cambria"/>
          <w:sz w:val="20"/>
          <w:szCs w:val="20"/>
        </w:rPr>
      </w:pPr>
    </w:p>
    <w:p w14:paraId="2017A503"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Autres questions</w:t>
      </w:r>
    </w:p>
    <w:p w14:paraId="462234CA" w14:textId="77777777" w:rsidR="00743EF7" w:rsidRPr="00DF2CE8" w:rsidRDefault="00743EF7" w:rsidP="00743EF7">
      <w:pPr>
        <w:pStyle w:val="ListParagraph"/>
        <w:rPr>
          <w:rFonts w:ascii="Cambria" w:hAnsi="Cambria"/>
          <w:sz w:val="20"/>
          <w:szCs w:val="20"/>
          <w:lang w:val="en-GB"/>
        </w:rPr>
      </w:pPr>
    </w:p>
    <w:p w14:paraId="294FF4EA" w14:textId="77777777" w:rsidR="00743EF7" w:rsidRPr="00DF2CE8" w:rsidRDefault="00743EF7" w:rsidP="00743EF7">
      <w:pPr>
        <w:pStyle w:val="ListParagraph"/>
        <w:ind w:left="360"/>
        <w:rPr>
          <w:rFonts w:ascii="Cambria" w:hAnsi="Cambria"/>
          <w:i/>
          <w:iCs/>
          <w:sz w:val="20"/>
          <w:szCs w:val="20"/>
        </w:rPr>
      </w:pPr>
      <w:r w:rsidRPr="00DF2CE8">
        <w:rPr>
          <w:rFonts w:ascii="Cambria" w:hAnsi="Cambria"/>
          <w:i/>
          <w:sz w:val="20"/>
          <w:szCs w:val="20"/>
        </w:rPr>
        <w:t>Les CPC peuvent soulever toute autre question à inclure dans ce point de l'ordre du jour.</w:t>
      </w:r>
    </w:p>
    <w:p w14:paraId="7B736C14" w14:textId="77777777" w:rsidR="00743EF7" w:rsidRPr="00DF2CE8" w:rsidRDefault="00743EF7" w:rsidP="00743EF7">
      <w:pPr>
        <w:rPr>
          <w:rFonts w:ascii="Cambria" w:hAnsi="Cambria"/>
          <w:sz w:val="20"/>
          <w:szCs w:val="20"/>
        </w:rPr>
      </w:pPr>
    </w:p>
    <w:p w14:paraId="16062884" w14:textId="77777777" w:rsidR="00743EF7" w:rsidRPr="00DF2CE8" w:rsidRDefault="00743EF7" w:rsidP="00743EF7">
      <w:pPr>
        <w:pStyle w:val="ListParagraph"/>
        <w:widowControl w:val="0"/>
        <w:numPr>
          <w:ilvl w:val="0"/>
          <w:numId w:val="31"/>
        </w:numPr>
        <w:tabs>
          <w:tab w:val="left" w:pos="426"/>
        </w:tabs>
        <w:jc w:val="both"/>
        <w:rPr>
          <w:rFonts w:ascii="Cambria" w:hAnsi="Cambria"/>
          <w:sz w:val="20"/>
          <w:szCs w:val="20"/>
        </w:rPr>
      </w:pPr>
      <w:r w:rsidRPr="00DF2CE8">
        <w:rPr>
          <w:rFonts w:ascii="Cambria" w:hAnsi="Cambria"/>
          <w:sz w:val="20"/>
          <w:szCs w:val="20"/>
        </w:rPr>
        <w:t>Adoption du rapport et clôture</w:t>
      </w:r>
    </w:p>
    <w:p w14:paraId="054CFD24" w14:textId="77777777" w:rsidR="00743EF7" w:rsidRPr="00DF2CE8" w:rsidRDefault="00743EF7" w:rsidP="00743EF7">
      <w:pPr>
        <w:pStyle w:val="Default"/>
        <w:rPr>
          <w:sz w:val="20"/>
          <w:szCs w:val="20"/>
          <w:lang w:val="en-GB"/>
        </w:rPr>
      </w:pPr>
    </w:p>
    <w:p w14:paraId="7597EF7E" w14:textId="77777777" w:rsidR="00743EF7" w:rsidRPr="00DF2CE8" w:rsidRDefault="00743EF7" w:rsidP="00743EF7">
      <w:pPr>
        <w:pStyle w:val="Default"/>
        <w:rPr>
          <w:sz w:val="20"/>
          <w:szCs w:val="20"/>
          <w:lang w:val="en-GB"/>
        </w:rPr>
      </w:pPr>
    </w:p>
    <w:p w14:paraId="5033F46C" w14:textId="77777777" w:rsidR="00581207" w:rsidRPr="00DF2CE8" w:rsidRDefault="00581207" w:rsidP="00581207">
      <w:pPr>
        <w:jc w:val="right"/>
        <w:rPr>
          <w:rFonts w:ascii="Cambria" w:hAnsi="Cambria"/>
          <w:b/>
          <w:sz w:val="20"/>
          <w:szCs w:val="20"/>
        </w:rPr>
      </w:pPr>
      <w:bookmarkStart w:id="1" w:name="_Hlk104196551"/>
      <w:bookmarkStart w:id="2" w:name="_Hlk21091310"/>
    </w:p>
    <w:p w14:paraId="24A9BA86" w14:textId="1BD30ECC" w:rsidR="00581207" w:rsidRPr="00DF2CE8" w:rsidRDefault="00581207" w:rsidP="00581207">
      <w:pPr>
        <w:tabs>
          <w:tab w:val="left" w:pos="426"/>
        </w:tabs>
        <w:ind w:left="426" w:hanging="426"/>
        <w:jc w:val="center"/>
        <w:rPr>
          <w:rFonts w:ascii="Cambria" w:hAnsi="Cambria"/>
          <w:sz w:val="20"/>
          <w:szCs w:val="20"/>
        </w:rPr>
      </w:pPr>
      <w:r w:rsidRPr="00DF2CE8">
        <w:rPr>
          <w:rFonts w:ascii="Cambria" w:hAnsi="Cambria"/>
          <w:b/>
          <w:sz w:val="20"/>
          <w:szCs w:val="20"/>
        </w:rPr>
        <w:t>Groupe de travail permanent sur l’amélioration des statistiques et des mesures de conservation de l’ICCAT (PWG)</w:t>
      </w:r>
    </w:p>
    <w:p w14:paraId="1E656C24" w14:textId="77777777" w:rsidR="00581207" w:rsidRPr="00DF2CE8" w:rsidRDefault="00581207" w:rsidP="00581207">
      <w:pPr>
        <w:rPr>
          <w:rFonts w:ascii="Cambria" w:hAnsi="Cambria"/>
          <w:bCs/>
          <w:sz w:val="20"/>
          <w:szCs w:val="20"/>
        </w:rPr>
      </w:pPr>
    </w:p>
    <w:p w14:paraId="33F2632A" w14:textId="77777777" w:rsidR="00581207" w:rsidRPr="00DF2CE8" w:rsidRDefault="00581207" w:rsidP="00581207">
      <w:pPr>
        <w:tabs>
          <w:tab w:val="left" w:pos="300"/>
          <w:tab w:val="left" w:pos="700"/>
        </w:tabs>
        <w:rPr>
          <w:rFonts w:ascii="Cambria" w:hAnsi="Cambria"/>
          <w:sz w:val="20"/>
          <w:szCs w:val="20"/>
        </w:rPr>
      </w:pPr>
    </w:p>
    <w:p w14:paraId="74D32409" w14:textId="77777777" w:rsidR="00581207" w:rsidRPr="00DF2CE8" w:rsidRDefault="00581207" w:rsidP="00581207">
      <w:pPr>
        <w:pStyle w:val="ListParagraph"/>
        <w:widowControl w:val="0"/>
        <w:numPr>
          <w:ilvl w:val="0"/>
          <w:numId w:val="32"/>
        </w:numPr>
        <w:tabs>
          <w:tab w:val="left" w:pos="426"/>
        </w:tabs>
        <w:jc w:val="both"/>
        <w:rPr>
          <w:rFonts w:ascii="Cambria" w:hAnsi="Cambria"/>
          <w:sz w:val="20"/>
          <w:szCs w:val="20"/>
        </w:rPr>
      </w:pPr>
      <w:r w:rsidRPr="00DF2CE8">
        <w:rPr>
          <w:rFonts w:ascii="Cambria" w:hAnsi="Cambria"/>
          <w:sz w:val="20"/>
          <w:szCs w:val="20"/>
        </w:rPr>
        <w:t>Ouverture de la réunion</w:t>
      </w:r>
    </w:p>
    <w:p w14:paraId="631A6F0B" w14:textId="77777777" w:rsidR="00581207" w:rsidRPr="00DF2CE8" w:rsidRDefault="00581207" w:rsidP="00581207">
      <w:pPr>
        <w:tabs>
          <w:tab w:val="left" w:pos="426"/>
        </w:tabs>
        <w:jc w:val="both"/>
        <w:rPr>
          <w:rFonts w:ascii="Cambria" w:hAnsi="Cambria"/>
          <w:sz w:val="20"/>
          <w:szCs w:val="20"/>
          <w:lang w:val="en-GB"/>
        </w:rPr>
      </w:pPr>
    </w:p>
    <w:p w14:paraId="0822E9EB" w14:textId="77777777" w:rsidR="00581207" w:rsidRPr="00DF2CE8" w:rsidRDefault="00581207" w:rsidP="00581207">
      <w:pPr>
        <w:tabs>
          <w:tab w:val="left" w:pos="426"/>
        </w:tabs>
        <w:ind w:left="360"/>
        <w:jc w:val="both"/>
        <w:rPr>
          <w:rFonts w:ascii="Cambria" w:hAnsi="Cambria"/>
          <w:i/>
          <w:iCs/>
          <w:sz w:val="20"/>
          <w:szCs w:val="20"/>
        </w:rPr>
      </w:pPr>
      <w:r w:rsidRPr="00DF2CE8">
        <w:rPr>
          <w:rFonts w:ascii="Cambria" w:hAnsi="Cambria"/>
          <w:i/>
          <w:sz w:val="20"/>
          <w:szCs w:val="20"/>
        </w:rPr>
        <w:t>La réunion sera ouverte par M. Neil Ansell (UE), Président du PWG.</w:t>
      </w:r>
    </w:p>
    <w:p w14:paraId="3E748595" w14:textId="77777777" w:rsidR="00581207" w:rsidRPr="00DF2CE8" w:rsidRDefault="00581207" w:rsidP="00581207">
      <w:pPr>
        <w:tabs>
          <w:tab w:val="left" w:pos="426"/>
        </w:tabs>
        <w:jc w:val="both"/>
        <w:rPr>
          <w:rFonts w:ascii="Cambria" w:hAnsi="Cambria"/>
          <w:sz w:val="20"/>
          <w:szCs w:val="20"/>
        </w:rPr>
      </w:pPr>
    </w:p>
    <w:p w14:paraId="17357B39" w14:textId="77777777" w:rsidR="00581207" w:rsidRPr="00DF2CE8" w:rsidRDefault="00581207" w:rsidP="00581207">
      <w:pPr>
        <w:pStyle w:val="ListParagraph"/>
        <w:widowControl w:val="0"/>
        <w:numPr>
          <w:ilvl w:val="0"/>
          <w:numId w:val="32"/>
        </w:numPr>
        <w:tabs>
          <w:tab w:val="left" w:pos="426"/>
        </w:tabs>
        <w:jc w:val="both"/>
        <w:rPr>
          <w:rFonts w:ascii="Cambria" w:hAnsi="Cambria"/>
          <w:sz w:val="20"/>
          <w:szCs w:val="20"/>
        </w:rPr>
      </w:pPr>
      <w:r w:rsidRPr="00DF2CE8">
        <w:rPr>
          <w:rFonts w:ascii="Cambria" w:hAnsi="Cambria"/>
          <w:sz w:val="20"/>
          <w:szCs w:val="20"/>
        </w:rPr>
        <w:t xml:space="preserve">Désignation du Rapporteur </w:t>
      </w:r>
    </w:p>
    <w:p w14:paraId="79C5083B" w14:textId="77777777" w:rsidR="00581207" w:rsidRPr="00DF2CE8" w:rsidRDefault="00581207" w:rsidP="00581207">
      <w:pPr>
        <w:pStyle w:val="ListParagraph"/>
        <w:tabs>
          <w:tab w:val="left" w:pos="426"/>
        </w:tabs>
        <w:ind w:left="360"/>
        <w:jc w:val="both"/>
        <w:rPr>
          <w:rFonts w:ascii="Cambria" w:hAnsi="Cambria"/>
          <w:sz w:val="20"/>
          <w:szCs w:val="20"/>
          <w:lang w:val="en-GB"/>
        </w:rPr>
      </w:pPr>
    </w:p>
    <w:p w14:paraId="16D9A710" w14:textId="77777777" w:rsidR="00581207" w:rsidRPr="00DF2CE8" w:rsidRDefault="00581207" w:rsidP="00581207">
      <w:pPr>
        <w:tabs>
          <w:tab w:val="left" w:pos="426"/>
        </w:tabs>
        <w:jc w:val="both"/>
        <w:rPr>
          <w:rFonts w:ascii="Cambria" w:hAnsi="Cambria"/>
          <w:i/>
          <w:iCs/>
          <w:sz w:val="20"/>
          <w:szCs w:val="20"/>
        </w:rPr>
      </w:pPr>
      <w:r w:rsidRPr="00DF2CE8">
        <w:rPr>
          <w:rFonts w:ascii="Cambria" w:hAnsi="Cambria"/>
          <w:i/>
          <w:sz w:val="20"/>
          <w:szCs w:val="20"/>
        </w:rPr>
        <w:tab/>
        <w:t>Le Secrétariat fera office de rapporteur.</w:t>
      </w:r>
    </w:p>
    <w:p w14:paraId="36EACC62" w14:textId="77777777" w:rsidR="00581207" w:rsidRPr="00DF2CE8" w:rsidRDefault="00581207" w:rsidP="00581207">
      <w:pPr>
        <w:tabs>
          <w:tab w:val="left" w:pos="426"/>
        </w:tabs>
        <w:jc w:val="both"/>
        <w:rPr>
          <w:rFonts w:ascii="Cambria" w:hAnsi="Cambria"/>
          <w:sz w:val="20"/>
          <w:szCs w:val="20"/>
        </w:rPr>
      </w:pPr>
    </w:p>
    <w:p w14:paraId="68AF8E96" w14:textId="77777777" w:rsidR="00581207" w:rsidRPr="00DF2CE8" w:rsidRDefault="00581207" w:rsidP="00581207">
      <w:pPr>
        <w:pStyle w:val="ListParagraph"/>
        <w:widowControl w:val="0"/>
        <w:numPr>
          <w:ilvl w:val="0"/>
          <w:numId w:val="32"/>
        </w:numPr>
        <w:tabs>
          <w:tab w:val="left" w:pos="426"/>
        </w:tabs>
        <w:jc w:val="both"/>
        <w:rPr>
          <w:rFonts w:ascii="Cambria" w:hAnsi="Cambria"/>
          <w:sz w:val="20"/>
          <w:szCs w:val="20"/>
        </w:rPr>
      </w:pPr>
      <w:r w:rsidRPr="00DF2CE8">
        <w:rPr>
          <w:rFonts w:ascii="Cambria" w:hAnsi="Cambria"/>
          <w:sz w:val="20"/>
          <w:szCs w:val="20"/>
        </w:rPr>
        <w:t>Adoption de l'ordre du jour</w:t>
      </w:r>
    </w:p>
    <w:p w14:paraId="31FDF92B" w14:textId="77777777" w:rsidR="00581207" w:rsidRPr="00DF2CE8" w:rsidRDefault="00581207" w:rsidP="00581207">
      <w:pPr>
        <w:pStyle w:val="ListParagraph"/>
        <w:rPr>
          <w:rFonts w:ascii="Cambria" w:hAnsi="Cambria"/>
          <w:sz w:val="20"/>
          <w:szCs w:val="20"/>
          <w:lang w:val="en-GB"/>
        </w:rPr>
      </w:pPr>
    </w:p>
    <w:p w14:paraId="774CB6F1" w14:textId="77777777" w:rsidR="00581207" w:rsidRPr="00DF2CE8" w:rsidRDefault="00581207" w:rsidP="00581207">
      <w:pPr>
        <w:tabs>
          <w:tab w:val="left" w:pos="426"/>
        </w:tabs>
        <w:ind w:left="360"/>
        <w:jc w:val="both"/>
        <w:rPr>
          <w:rFonts w:ascii="Cambria" w:hAnsi="Cambria"/>
          <w:b/>
          <w:bCs/>
          <w:i/>
          <w:iCs/>
          <w:sz w:val="20"/>
          <w:szCs w:val="20"/>
        </w:rPr>
      </w:pPr>
      <w:r w:rsidRPr="00DF2CE8">
        <w:rPr>
          <w:rFonts w:ascii="Cambria" w:hAnsi="Cambria"/>
          <w:i/>
          <w:sz w:val="20"/>
          <w:szCs w:val="20"/>
        </w:rPr>
        <w:t xml:space="preserve">L’ordre du jour a été diffusé dans le document </w:t>
      </w:r>
      <w:r w:rsidRPr="00DF2CE8">
        <w:rPr>
          <w:rFonts w:ascii="Cambria" w:hAnsi="Cambria"/>
          <w:b/>
          <w:bCs/>
          <w:i/>
          <w:sz w:val="20"/>
          <w:szCs w:val="20"/>
        </w:rPr>
        <w:t>PWG-400/2025.</w:t>
      </w:r>
    </w:p>
    <w:p w14:paraId="551330F6" w14:textId="77777777" w:rsidR="00581207" w:rsidRPr="00DF2CE8" w:rsidRDefault="00581207" w:rsidP="00581207">
      <w:pPr>
        <w:tabs>
          <w:tab w:val="left" w:pos="426"/>
        </w:tabs>
        <w:jc w:val="both"/>
        <w:rPr>
          <w:rFonts w:ascii="Cambria" w:hAnsi="Cambria"/>
          <w:sz w:val="20"/>
          <w:szCs w:val="20"/>
        </w:rPr>
      </w:pPr>
    </w:p>
    <w:p w14:paraId="5C4A3F7B" w14:textId="77777777" w:rsidR="00581207" w:rsidRPr="00DF2CE8" w:rsidRDefault="00581207" w:rsidP="00581207">
      <w:pPr>
        <w:pStyle w:val="ListParagraph"/>
        <w:widowControl w:val="0"/>
        <w:numPr>
          <w:ilvl w:val="0"/>
          <w:numId w:val="32"/>
        </w:numPr>
        <w:tabs>
          <w:tab w:val="left" w:pos="426"/>
        </w:tabs>
        <w:jc w:val="both"/>
        <w:rPr>
          <w:rFonts w:ascii="Cambria" w:hAnsi="Cambria"/>
          <w:sz w:val="20"/>
          <w:szCs w:val="20"/>
        </w:rPr>
      </w:pPr>
      <w:r w:rsidRPr="00DF2CE8">
        <w:rPr>
          <w:rFonts w:ascii="Cambria" w:hAnsi="Cambria"/>
          <w:sz w:val="20"/>
          <w:szCs w:val="20"/>
        </w:rPr>
        <w:t>Examen du rapport de la 18e réunion du Groupe de travail chargé d’élaborer des mesures de contrôle intégré (IMM) et des groupes de travail subsidiaires connexes et examen de toute action nécessaire</w:t>
      </w:r>
    </w:p>
    <w:p w14:paraId="27724407" w14:textId="77777777" w:rsidR="00581207" w:rsidRPr="00DF2CE8" w:rsidRDefault="00581207" w:rsidP="00581207">
      <w:pPr>
        <w:tabs>
          <w:tab w:val="left" w:pos="426"/>
        </w:tabs>
        <w:jc w:val="both"/>
        <w:rPr>
          <w:rFonts w:ascii="Cambria" w:hAnsi="Cambria"/>
          <w:sz w:val="20"/>
          <w:szCs w:val="20"/>
        </w:rPr>
      </w:pPr>
    </w:p>
    <w:p w14:paraId="65A87B0F" w14:textId="77777777" w:rsidR="00581207" w:rsidRPr="00DF2CE8" w:rsidRDefault="00581207" w:rsidP="00581207">
      <w:pPr>
        <w:tabs>
          <w:tab w:val="left" w:pos="426"/>
        </w:tabs>
        <w:ind w:left="360"/>
        <w:jc w:val="both"/>
        <w:rPr>
          <w:rFonts w:ascii="Cambria" w:hAnsi="Cambria"/>
          <w:i/>
          <w:iCs/>
          <w:sz w:val="20"/>
          <w:szCs w:val="20"/>
        </w:rPr>
      </w:pPr>
      <w:r w:rsidRPr="00DF2CE8">
        <w:rPr>
          <w:rFonts w:ascii="Cambria" w:hAnsi="Cambria"/>
          <w:i/>
          <w:sz w:val="20"/>
          <w:szCs w:val="20"/>
        </w:rPr>
        <w:t xml:space="preserve">Le rapport de la 18e réunion du Groupe de travail chargé d’élaborer des mesures de contrôle intégré (IMM) est disponible sous la référence </w:t>
      </w:r>
      <w:r w:rsidRPr="00DF2CE8">
        <w:rPr>
          <w:rFonts w:ascii="Cambria" w:hAnsi="Cambria"/>
          <w:b/>
          <w:bCs/>
          <w:i/>
          <w:sz w:val="20"/>
          <w:szCs w:val="20"/>
        </w:rPr>
        <w:t>PWG-407/2025</w:t>
      </w:r>
      <w:r w:rsidRPr="00DF2CE8">
        <w:rPr>
          <w:rFonts w:ascii="Cambria" w:hAnsi="Cambria"/>
          <w:i/>
          <w:sz w:val="20"/>
          <w:szCs w:val="20"/>
        </w:rPr>
        <w:t>. Les rapports des Groupes de travail subsidiaires seront examinés aux points respectifs du point 5 de l’ordre du jour.</w:t>
      </w:r>
    </w:p>
    <w:p w14:paraId="0B85E956" w14:textId="77777777" w:rsidR="00581207" w:rsidRPr="00DF2CE8" w:rsidRDefault="00581207" w:rsidP="00581207">
      <w:pPr>
        <w:tabs>
          <w:tab w:val="left" w:pos="426"/>
        </w:tabs>
        <w:jc w:val="both"/>
        <w:rPr>
          <w:rFonts w:ascii="Cambria" w:hAnsi="Cambria"/>
          <w:sz w:val="20"/>
          <w:szCs w:val="20"/>
        </w:rPr>
      </w:pPr>
    </w:p>
    <w:p w14:paraId="2B553786" w14:textId="77777777" w:rsidR="00581207" w:rsidRPr="00DF2CE8" w:rsidRDefault="00581207" w:rsidP="00581207">
      <w:pPr>
        <w:tabs>
          <w:tab w:val="left" w:pos="426"/>
        </w:tabs>
        <w:jc w:val="both"/>
        <w:rPr>
          <w:rFonts w:ascii="Cambria" w:hAnsi="Cambria"/>
          <w:sz w:val="20"/>
          <w:szCs w:val="20"/>
        </w:rPr>
      </w:pPr>
      <w:r w:rsidRPr="00DF2CE8">
        <w:rPr>
          <w:rFonts w:ascii="Cambria" w:hAnsi="Cambria"/>
          <w:sz w:val="20"/>
          <w:szCs w:val="20"/>
        </w:rPr>
        <w:t>5.</w:t>
      </w:r>
      <w:r w:rsidRPr="00DF2CE8">
        <w:rPr>
          <w:rFonts w:ascii="Cambria" w:hAnsi="Cambria"/>
          <w:sz w:val="20"/>
          <w:szCs w:val="20"/>
        </w:rPr>
        <w:tab/>
        <w:t xml:space="preserve">Examen de l'efficacité et des aspects pratiques de la mise en œuvre de :  </w:t>
      </w:r>
    </w:p>
    <w:p w14:paraId="7F3FDAC1" w14:textId="77777777" w:rsidR="00581207" w:rsidRPr="00DF2CE8" w:rsidRDefault="00581207" w:rsidP="00581207">
      <w:pPr>
        <w:pStyle w:val="ListParagraph"/>
        <w:rPr>
          <w:rFonts w:ascii="Cambria" w:hAnsi="Cambria"/>
          <w:sz w:val="20"/>
          <w:szCs w:val="20"/>
        </w:rPr>
      </w:pPr>
    </w:p>
    <w:p w14:paraId="4FB81E77" w14:textId="77777777" w:rsidR="00581207" w:rsidRPr="00DF2CE8" w:rsidRDefault="00581207" w:rsidP="00581207">
      <w:pPr>
        <w:tabs>
          <w:tab w:val="left" w:pos="426"/>
        </w:tabs>
        <w:ind w:left="360"/>
        <w:jc w:val="both"/>
        <w:rPr>
          <w:rFonts w:ascii="Cambria" w:hAnsi="Cambria"/>
          <w:sz w:val="20"/>
          <w:szCs w:val="20"/>
        </w:rPr>
      </w:pPr>
      <w:r w:rsidRPr="00DF2CE8">
        <w:rPr>
          <w:rFonts w:ascii="Cambria" w:hAnsi="Cambria"/>
          <w:sz w:val="20"/>
          <w:szCs w:val="20"/>
        </w:rPr>
        <w:t>5.1 Programmes de documentation des captures et de document statistique</w:t>
      </w:r>
    </w:p>
    <w:p w14:paraId="65759AE9" w14:textId="77777777" w:rsidR="00581207" w:rsidRPr="00DF2CE8" w:rsidRDefault="00581207" w:rsidP="00581207">
      <w:pPr>
        <w:tabs>
          <w:tab w:val="left" w:pos="426"/>
        </w:tabs>
        <w:ind w:left="360"/>
        <w:jc w:val="both"/>
        <w:rPr>
          <w:rFonts w:ascii="Cambria" w:hAnsi="Cambria"/>
          <w:sz w:val="20"/>
          <w:szCs w:val="20"/>
        </w:rPr>
      </w:pPr>
    </w:p>
    <w:p w14:paraId="7A17257A" w14:textId="63FADF64"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Les rapports des réunions du Groupe de travail permanent sur les systèmes de documentation des captures (CDS WG) se trouvent</w:t>
      </w:r>
      <w:r w:rsidR="00E01932" w:rsidRPr="00DF2CE8">
        <w:rPr>
          <w:rFonts w:ascii="Cambria" w:hAnsi="Cambria"/>
          <w:i/>
          <w:sz w:val="20"/>
          <w:szCs w:val="20"/>
        </w:rPr>
        <w:t xml:space="preserve"> </w:t>
      </w:r>
      <w:r w:rsidRPr="00DF2CE8">
        <w:rPr>
          <w:rFonts w:ascii="Cambria" w:hAnsi="Cambria"/>
          <w:i/>
          <w:sz w:val="20"/>
          <w:szCs w:val="20"/>
        </w:rPr>
        <w:t xml:space="preserve">dans les </w:t>
      </w:r>
      <w:r w:rsidRPr="00DF2CE8">
        <w:rPr>
          <w:rFonts w:ascii="Cambria" w:hAnsi="Cambria"/>
          <w:b/>
          <w:i/>
          <w:sz w:val="20"/>
          <w:szCs w:val="20"/>
        </w:rPr>
        <w:t xml:space="preserve">PWG-403/2025 </w:t>
      </w:r>
      <w:r w:rsidRPr="00DF2CE8">
        <w:rPr>
          <w:rFonts w:ascii="Cambria" w:hAnsi="Cambria"/>
          <w:i/>
          <w:sz w:val="20"/>
          <w:szCs w:val="20"/>
        </w:rPr>
        <w:t xml:space="preserve">et </w:t>
      </w:r>
      <w:r w:rsidRPr="00DF2CE8">
        <w:rPr>
          <w:rFonts w:ascii="Cambria" w:hAnsi="Cambria"/>
          <w:b/>
          <w:i/>
          <w:sz w:val="20"/>
          <w:szCs w:val="20"/>
        </w:rPr>
        <w:t>PWG-404/2025</w:t>
      </w:r>
      <w:r w:rsidRPr="00DF2CE8">
        <w:rPr>
          <w:rFonts w:ascii="Cambria" w:hAnsi="Cambria"/>
          <w:i/>
          <w:sz w:val="20"/>
          <w:szCs w:val="20"/>
        </w:rPr>
        <w:t>, respectivement.</w:t>
      </w:r>
    </w:p>
    <w:p w14:paraId="6505A4D7" w14:textId="77777777" w:rsidR="00581207" w:rsidRPr="00DF2CE8" w:rsidRDefault="00581207" w:rsidP="00581207">
      <w:pPr>
        <w:tabs>
          <w:tab w:val="left" w:pos="810"/>
        </w:tabs>
        <w:ind w:left="360"/>
        <w:jc w:val="both"/>
        <w:rPr>
          <w:rFonts w:ascii="Cambria" w:hAnsi="Cambria"/>
          <w:i/>
          <w:iCs/>
          <w:sz w:val="20"/>
          <w:szCs w:val="20"/>
        </w:rPr>
      </w:pPr>
    </w:p>
    <w:p w14:paraId="2491BF1F" w14:textId="023AF040"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Des informations peuvent être trouvées dans le Rapport du Secrétariat de l'ICCAT au Groupe de travail permanent pour l'amélioration des statistiques et des mesures de conservation de l'ICCAT (PWG) (</w:t>
      </w:r>
      <w:r w:rsidRPr="00DF2CE8">
        <w:rPr>
          <w:rFonts w:ascii="Cambria" w:hAnsi="Cambria"/>
          <w:b/>
          <w:bCs/>
          <w:i/>
          <w:sz w:val="20"/>
          <w:szCs w:val="20"/>
        </w:rPr>
        <w:t>PWG-401/2025</w:t>
      </w:r>
      <w:r w:rsidRPr="00DF2CE8">
        <w:rPr>
          <w:rFonts w:ascii="Cambria" w:hAnsi="Cambria"/>
          <w:i/>
          <w:sz w:val="20"/>
          <w:szCs w:val="20"/>
        </w:rPr>
        <w:t>), section 2 et le Rapport de 2025 du Secrétariat de l'ICCAT sur la recherche et les statistiques (</w:t>
      </w:r>
      <w:r w:rsidRPr="00DF2CE8">
        <w:rPr>
          <w:rFonts w:ascii="Cambria" w:hAnsi="Cambria"/>
          <w:b/>
          <w:bCs/>
          <w:i/>
          <w:sz w:val="20"/>
          <w:szCs w:val="20"/>
        </w:rPr>
        <w:t>PLE-105/2025</w:t>
      </w:r>
      <w:r w:rsidRPr="00DF2CE8">
        <w:rPr>
          <w:rFonts w:ascii="Cambria" w:hAnsi="Cambria"/>
          <w:i/>
          <w:sz w:val="20"/>
          <w:szCs w:val="20"/>
        </w:rPr>
        <w:t>).</w:t>
      </w:r>
    </w:p>
    <w:p w14:paraId="065DDB23" w14:textId="77777777" w:rsidR="00581207" w:rsidRPr="00DF2CE8" w:rsidRDefault="00581207" w:rsidP="00581207">
      <w:pPr>
        <w:tabs>
          <w:tab w:val="left" w:pos="810"/>
        </w:tabs>
        <w:ind w:left="360"/>
        <w:jc w:val="both"/>
        <w:rPr>
          <w:rFonts w:ascii="Cambria" w:hAnsi="Cambria"/>
          <w:i/>
          <w:iCs/>
          <w:sz w:val="20"/>
          <w:szCs w:val="20"/>
        </w:rPr>
      </w:pPr>
    </w:p>
    <w:p w14:paraId="59AC7D25" w14:textId="77777777" w:rsidR="00581207" w:rsidRPr="00DF2CE8" w:rsidRDefault="00581207" w:rsidP="00581207">
      <w:pPr>
        <w:tabs>
          <w:tab w:val="left" w:pos="810"/>
        </w:tabs>
        <w:ind w:left="360"/>
        <w:jc w:val="both"/>
        <w:rPr>
          <w:rFonts w:ascii="Cambria" w:hAnsi="Cambria"/>
          <w:sz w:val="20"/>
          <w:szCs w:val="20"/>
        </w:rPr>
      </w:pPr>
      <w:r w:rsidRPr="00DF2CE8">
        <w:rPr>
          <w:rFonts w:ascii="Cambria" w:hAnsi="Cambria"/>
          <w:i/>
          <w:sz w:val="20"/>
          <w:szCs w:val="20"/>
        </w:rPr>
        <w:t xml:space="preserve">Le "Projet d'appel d'offres pour une étude de faisabilité sur la migration technologique du système eBCD et des options pour un élargissement à plusieurs espèces" préparé par le Secrétariat en consultation avec les CPC se trouve dans le </w:t>
      </w:r>
      <w:r w:rsidRPr="00DF2CE8">
        <w:rPr>
          <w:rFonts w:ascii="Cambria" w:hAnsi="Cambria"/>
          <w:b/>
          <w:i/>
          <w:sz w:val="20"/>
          <w:szCs w:val="20"/>
        </w:rPr>
        <w:t>PWG-409/2025</w:t>
      </w:r>
      <w:r w:rsidRPr="00DF2CE8">
        <w:rPr>
          <w:rFonts w:ascii="Cambria" w:hAnsi="Cambria"/>
          <w:sz w:val="20"/>
          <w:szCs w:val="20"/>
        </w:rPr>
        <w:t>.</w:t>
      </w:r>
    </w:p>
    <w:p w14:paraId="4949CD75" w14:textId="77777777" w:rsidR="00581207" w:rsidRPr="00DF2CE8" w:rsidRDefault="00581207" w:rsidP="00581207">
      <w:pPr>
        <w:tabs>
          <w:tab w:val="left" w:pos="810"/>
        </w:tabs>
        <w:ind w:left="360"/>
        <w:jc w:val="both"/>
        <w:rPr>
          <w:rFonts w:ascii="Cambria" w:hAnsi="Cambria"/>
          <w:i/>
          <w:iCs/>
          <w:sz w:val="20"/>
          <w:szCs w:val="20"/>
        </w:rPr>
      </w:pPr>
    </w:p>
    <w:p w14:paraId="2F5BD341" w14:textId="7DB67467"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Le « Rapport sur la mise en œuvre de la dérogation visant à valider les BCD pour les échanges de thon rouge entre États membres de l'UE en 2024 (paragraphe 5b de la Rec. 24-16 de l’ICCAT)</w:t>
      </w:r>
      <w:r w:rsidR="00295305" w:rsidRPr="00DF2CE8">
        <w:rPr>
          <w:rFonts w:ascii="Cambria" w:hAnsi="Cambria"/>
          <w:i/>
          <w:sz w:val="20"/>
          <w:szCs w:val="20"/>
        </w:rPr>
        <w:t> »</w:t>
      </w:r>
      <w:r w:rsidRPr="00DF2CE8">
        <w:rPr>
          <w:rFonts w:ascii="Cambria" w:hAnsi="Cambria"/>
          <w:i/>
          <w:sz w:val="20"/>
          <w:szCs w:val="20"/>
        </w:rPr>
        <w:t xml:space="preserve"> est soumis par l’Union européenne sous la référence </w:t>
      </w:r>
      <w:r w:rsidRPr="00DF2CE8">
        <w:rPr>
          <w:rFonts w:ascii="Cambria" w:hAnsi="Cambria"/>
          <w:b/>
          <w:i/>
          <w:sz w:val="20"/>
          <w:szCs w:val="20"/>
        </w:rPr>
        <w:t>PWG-410/2025</w:t>
      </w:r>
      <w:r w:rsidRPr="00DF2CE8">
        <w:rPr>
          <w:rFonts w:ascii="Cambria" w:hAnsi="Cambria"/>
          <w:i/>
          <w:sz w:val="20"/>
          <w:szCs w:val="20"/>
        </w:rPr>
        <w:t>.</w:t>
      </w:r>
    </w:p>
    <w:p w14:paraId="70C41E9B" w14:textId="77777777" w:rsidR="00581207" w:rsidRPr="00DF2CE8" w:rsidRDefault="00581207" w:rsidP="00581207">
      <w:pPr>
        <w:tabs>
          <w:tab w:val="left" w:pos="810"/>
        </w:tabs>
        <w:ind w:left="360"/>
        <w:jc w:val="both"/>
        <w:rPr>
          <w:rFonts w:ascii="Cambria" w:hAnsi="Cambria"/>
          <w:i/>
          <w:iCs/>
          <w:sz w:val="20"/>
          <w:szCs w:val="20"/>
        </w:rPr>
      </w:pPr>
    </w:p>
    <w:p w14:paraId="2ED710C7" w14:textId="7BA994E7"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Le « Projet de Recommandation de l’ICCAT amendant et remplaçant la Recommandation 23-21 sur un programme ICCAT de documentation des captures de thon rouge</w:t>
      </w:r>
      <w:r w:rsidR="00295305" w:rsidRPr="00DF2CE8">
        <w:rPr>
          <w:rFonts w:ascii="Cambria" w:hAnsi="Cambria"/>
          <w:i/>
          <w:sz w:val="20"/>
          <w:szCs w:val="20"/>
        </w:rPr>
        <w:t> »</w:t>
      </w:r>
      <w:r w:rsidRPr="00DF2CE8">
        <w:rPr>
          <w:rFonts w:ascii="Cambria" w:hAnsi="Cambria"/>
          <w:i/>
          <w:sz w:val="20"/>
          <w:szCs w:val="20"/>
        </w:rPr>
        <w:t xml:space="preserve"> est soumis par l'Égypte sous la référence </w:t>
      </w:r>
      <w:r w:rsidRPr="00DF2CE8">
        <w:rPr>
          <w:rFonts w:ascii="Cambria" w:hAnsi="Cambria"/>
          <w:b/>
          <w:i/>
          <w:sz w:val="20"/>
          <w:szCs w:val="20"/>
        </w:rPr>
        <w:t>PWG- 412/2025</w:t>
      </w:r>
      <w:r w:rsidRPr="00DF2CE8">
        <w:rPr>
          <w:rFonts w:ascii="Cambria" w:hAnsi="Cambria"/>
          <w:i/>
          <w:sz w:val="20"/>
          <w:szCs w:val="20"/>
        </w:rPr>
        <w:t>.</w:t>
      </w:r>
    </w:p>
    <w:p w14:paraId="0BAB6E80" w14:textId="77777777" w:rsidR="00581207" w:rsidRPr="00DF2CE8" w:rsidRDefault="00581207" w:rsidP="00581207">
      <w:pPr>
        <w:tabs>
          <w:tab w:val="left" w:pos="810"/>
        </w:tabs>
        <w:ind w:left="360"/>
        <w:jc w:val="both"/>
        <w:rPr>
          <w:rFonts w:ascii="Cambria" w:hAnsi="Cambria"/>
          <w:i/>
          <w:iCs/>
          <w:sz w:val="20"/>
          <w:szCs w:val="20"/>
        </w:rPr>
      </w:pPr>
    </w:p>
    <w:p w14:paraId="4ABACD8F" w14:textId="77777777"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 xml:space="preserve">Un document de discussion sur les "Points de décision clés sur les éléments techniques d'un nouveau système de documentation des captures (CDS) - mise à jour de juin 2025" est soumis par le Japon sous la référence </w:t>
      </w:r>
      <w:r w:rsidRPr="00DF2CE8">
        <w:rPr>
          <w:rFonts w:ascii="Cambria" w:hAnsi="Cambria"/>
          <w:b/>
          <w:i/>
          <w:sz w:val="20"/>
          <w:szCs w:val="20"/>
        </w:rPr>
        <w:t>PWG- 413/2025</w:t>
      </w:r>
      <w:r w:rsidRPr="00DF2CE8">
        <w:rPr>
          <w:rFonts w:ascii="Cambria" w:hAnsi="Cambria"/>
          <w:i/>
          <w:sz w:val="20"/>
          <w:szCs w:val="20"/>
        </w:rPr>
        <w:t>.</w:t>
      </w:r>
    </w:p>
    <w:p w14:paraId="7B6CD577" w14:textId="77777777" w:rsidR="00581207" w:rsidRPr="00DF2CE8" w:rsidRDefault="00581207" w:rsidP="00581207">
      <w:pPr>
        <w:tabs>
          <w:tab w:val="left" w:pos="810"/>
        </w:tabs>
        <w:ind w:left="360"/>
        <w:jc w:val="both"/>
        <w:rPr>
          <w:rFonts w:ascii="Cambria" w:hAnsi="Cambria"/>
          <w:i/>
          <w:iCs/>
          <w:sz w:val="20"/>
          <w:szCs w:val="20"/>
        </w:rPr>
      </w:pPr>
    </w:p>
    <w:p w14:paraId="1946335D" w14:textId="77777777" w:rsidR="00581207" w:rsidRPr="00DF2CE8" w:rsidRDefault="00581207" w:rsidP="00581207">
      <w:pPr>
        <w:tabs>
          <w:tab w:val="left" w:pos="360"/>
        </w:tabs>
        <w:ind w:left="360"/>
        <w:jc w:val="both"/>
        <w:rPr>
          <w:rFonts w:ascii="Cambria" w:hAnsi="Cambria"/>
          <w:sz w:val="20"/>
          <w:szCs w:val="20"/>
        </w:rPr>
      </w:pPr>
      <w:bookmarkStart w:id="3" w:name="_Hlk77007853"/>
      <w:r w:rsidRPr="00DF2CE8">
        <w:rPr>
          <w:rFonts w:ascii="Cambria" w:hAnsi="Cambria"/>
          <w:sz w:val="20"/>
          <w:szCs w:val="20"/>
        </w:rPr>
        <w:t>5.2 Programmes d'observateurs et systèmes de surveillance électronique (EMS)</w:t>
      </w:r>
    </w:p>
    <w:p w14:paraId="352D3773" w14:textId="77777777" w:rsidR="00581207" w:rsidRPr="00DF2CE8" w:rsidRDefault="00581207" w:rsidP="00581207">
      <w:pPr>
        <w:tabs>
          <w:tab w:val="left" w:pos="360"/>
        </w:tabs>
        <w:ind w:left="360"/>
        <w:jc w:val="both"/>
        <w:rPr>
          <w:rFonts w:ascii="Cambria" w:hAnsi="Cambria"/>
          <w:sz w:val="20"/>
          <w:szCs w:val="20"/>
        </w:rPr>
      </w:pPr>
    </w:p>
    <w:p w14:paraId="22B50741" w14:textId="7465CD64" w:rsidR="00581207" w:rsidRPr="00DF2CE8" w:rsidRDefault="00581207" w:rsidP="00581207">
      <w:pPr>
        <w:tabs>
          <w:tab w:val="left" w:pos="360"/>
        </w:tabs>
        <w:ind w:left="360"/>
        <w:jc w:val="both"/>
        <w:rPr>
          <w:rFonts w:ascii="Cambria" w:hAnsi="Cambria"/>
          <w:i/>
          <w:iCs/>
          <w:sz w:val="20"/>
          <w:szCs w:val="20"/>
        </w:rPr>
      </w:pPr>
      <w:r w:rsidRPr="00DF2CE8">
        <w:rPr>
          <w:rFonts w:ascii="Cambria" w:hAnsi="Cambria"/>
          <w:i/>
          <w:sz w:val="20"/>
          <w:szCs w:val="20"/>
        </w:rPr>
        <w:t>Le "Rapport sur la mise en œuvre du programme régional d’observateurs de l’ICCAT pour le thon rouge de l’Atlantique Est et de la Méditerranée (ROP-BFT)</w:t>
      </w:r>
      <w:r w:rsidR="00E36FCE" w:rsidRPr="00DF2CE8">
        <w:rPr>
          <w:rFonts w:ascii="Cambria" w:hAnsi="Cambria"/>
          <w:i/>
          <w:sz w:val="20"/>
          <w:szCs w:val="20"/>
        </w:rPr>
        <w:t xml:space="preserve"> </w:t>
      </w:r>
      <w:r w:rsidRPr="00DF2CE8">
        <w:rPr>
          <w:rFonts w:ascii="Cambria" w:hAnsi="Cambria"/>
          <w:i/>
          <w:sz w:val="20"/>
          <w:szCs w:val="20"/>
        </w:rPr>
        <w:t xml:space="preserve">" figure dans le </w:t>
      </w:r>
      <w:r w:rsidRPr="00DF2CE8">
        <w:rPr>
          <w:rFonts w:ascii="Cambria" w:hAnsi="Cambria"/>
          <w:b/>
          <w:i/>
          <w:sz w:val="20"/>
          <w:szCs w:val="20"/>
        </w:rPr>
        <w:t xml:space="preserve">PA2-601/2025 </w:t>
      </w:r>
      <w:r w:rsidRPr="00DF2CE8">
        <w:rPr>
          <w:rFonts w:ascii="Cambria" w:hAnsi="Cambria"/>
          <w:i/>
          <w:sz w:val="20"/>
          <w:szCs w:val="20"/>
        </w:rPr>
        <w:t xml:space="preserve">et le "Rapport sur la mise en œuvre du programme régional d’observateurs (ROP) de l’ICCAT pour les transbordements 2024/2025 " figure dans le </w:t>
      </w:r>
      <w:r w:rsidRPr="00DF2CE8">
        <w:rPr>
          <w:rFonts w:ascii="Cambria" w:hAnsi="Cambria"/>
          <w:b/>
          <w:i/>
          <w:sz w:val="20"/>
          <w:szCs w:val="20"/>
        </w:rPr>
        <w:t>PWG-402/2025</w:t>
      </w:r>
      <w:r w:rsidRPr="00DF2CE8">
        <w:rPr>
          <w:rFonts w:ascii="Cambria" w:hAnsi="Cambria"/>
          <w:i/>
          <w:sz w:val="20"/>
          <w:szCs w:val="20"/>
        </w:rPr>
        <w:t>.</w:t>
      </w:r>
    </w:p>
    <w:p w14:paraId="15E3FF3D" w14:textId="77777777" w:rsidR="00581207" w:rsidRPr="00DF2CE8" w:rsidRDefault="00581207" w:rsidP="00581207">
      <w:pPr>
        <w:tabs>
          <w:tab w:val="left" w:pos="360"/>
        </w:tabs>
        <w:ind w:left="360"/>
        <w:jc w:val="both"/>
        <w:rPr>
          <w:rFonts w:ascii="Cambria" w:hAnsi="Cambria"/>
          <w:i/>
          <w:iCs/>
          <w:sz w:val="20"/>
          <w:szCs w:val="20"/>
        </w:rPr>
      </w:pPr>
    </w:p>
    <w:p w14:paraId="76A8D556" w14:textId="334A79C1" w:rsidR="00581207" w:rsidRPr="00DF2CE8" w:rsidRDefault="00581207" w:rsidP="00581207">
      <w:pPr>
        <w:tabs>
          <w:tab w:val="left" w:pos="360"/>
        </w:tabs>
        <w:ind w:left="360"/>
        <w:jc w:val="both"/>
        <w:rPr>
          <w:rFonts w:ascii="Cambria" w:hAnsi="Cambria"/>
          <w:i/>
          <w:iCs/>
          <w:sz w:val="20"/>
          <w:szCs w:val="20"/>
        </w:rPr>
      </w:pPr>
      <w:r w:rsidRPr="00DF2CE8">
        <w:rPr>
          <w:rFonts w:ascii="Cambria" w:hAnsi="Cambria"/>
          <w:i/>
          <w:sz w:val="20"/>
          <w:szCs w:val="20"/>
        </w:rPr>
        <w:t>Une réunion du Groupe de travail sur les systèmes de surveillance électronique (EMS-WG) a été tenue en 2025.</w:t>
      </w:r>
      <w:r w:rsidR="00E918AB" w:rsidRPr="00DF2CE8">
        <w:rPr>
          <w:rFonts w:ascii="Cambria" w:hAnsi="Cambria"/>
          <w:i/>
          <w:sz w:val="20"/>
          <w:szCs w:val="20"/>
        </w:rPr>
        <w:t xml:space="preserve"> </w:t>
      </w:r>
      <w:r w:rsidRPr="00DF2CE8">
        <w:rPr>
          <w:rFonts w:ascii="Cambria" w:hAnsi="Cambria"/>
          <w:i/>
          <w:sz w:val="20"/>
          <w:szCs w:val="20"/>
        </w:rPr>
        <w:t xml:space="preserve">Le rapport est disponible sous la référence </w:t>
      </w:r>
      <w:r w:rsidRPr="00DF2CE8">
        <w:rPr>
          <w:rFonts w:ascii="Cambria" w:hAnsi="Cambria"/>
          <w:b/>
          <w:i/>
          <w:sz w:val="20"/>
          <w:szCs w:val="20"/>
        </w:rPr>
        <w:t>PWG-406/2025</w:t>
      </w:r>
      <w:r w:rsidRPr="00DF2CE8">
        <w:rPr>
          <w:rFonts w:ascii="Cambria" w:hAnsi="Cambria"/>
          <w:i/>
          <w:sz w:val="20"/>
          <w:szCs w:val="20"/>
        </w:rPr>
        <w:t>.</w:t>
      </w:r>
    </w:p>
    <w:p w14:paraId="460D4891" w14:textId="77777777" w:rsidR="00581207" w:rsidRPr="00DF2CE8" w:rsidRDefault="00581207" w:rsidP="00581207">
      <w:pPr>
        <w:tabs>
          <w:tab w:val="left" w:pos="360"/>
        </w:tabs>
        <w:ind w:left="360"/>
        <w:jc w:val="both"/>
        <w:rPr>
          <w:rFonts w:ascii="Cambria" w:hAnsi="Cambria"/>
          <w:i/>
          <w:iCs/>
          <w:sz w:val="20"/>
          <w:szCs w:val="20"/>
        </w:rPr>
      </w:pPr>
    </w:p>
    <w:p w14:paraId="06A5B420" w14:textId="25890843"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 xml:space="preserve">Un document de discussion sur les </w:t>
      </w:r>
      <w:r w:rsidR="00B425B1" w:rsidRPr="00DF2CE8">
        <w:rPr>
          <w:rFonts w:ascii="Cambria" w:hAnsi="Cambria"/>
          <w:i/>
          <w:sz w:val="20"/>
          <w:szCs w:val="20"/>
        </w:rPr>
        <w:t>« </w:t>
      </w:r>
      <w:r w:rsidRPr="00DF2CE8">
        <w:rPr>
          <w:rFonts w:ascii="Cambria" w:hAnsi="Cambria"/>
          <w:i/>
          <w:sz w:val="20"/>
          <w:szCs w:val="20"/>
        </w:rPr>
        <w:t xml:space="preserve">Normes minimales pour l'utilisation du système de surveillance électronique (EMS) à bord des navires de petite taille dans les pêcheries de l’ICCAT » a été </w:t>
      </w:r>
      <w:r w:rsidR="00E94A94" w:rsidRPr="00DF2CE8">
        <w:rPr>
          <w:rFonts w:ascii="Cambria" w:hAnsi="Cambria"/>
          <w:i/>
          <w:sz w:val="20"/>
          <w:szCs w:val="20"/>
        </w:rPr>
        <w:t>soumis</w:t>
      </w:r>
      <w:r w:rsidRPr="00DF2CE8">
        <w:rPr>
          <w:rFonts w:ascii="Cambria" w:hAnsi="Cambria"/>
          <w:i/>
          <w:sz w:val="20"/>
          <w:szCs w:val="20"/>
        </w:rPr>
        <w:t xml:space="preserve"> par le Royaume-Uni sous la référence </w:t>
      </w:r>
      <w:r w:rsidRPr="00DF2CE8">
        <w:rPr>
          <w:rFonts w:ascii="Cambria" w:hAnsi="Cambria"/>
          <w:b/>
          <w:i/>
          <w:sz w:val="20"/>
          <w:szCs w:val="20"/>
        </w:rPr>
        <w:t>PWG- 417/2025</w:t>
      </w:r>
      <w:r w:rsidRPr="00DF2CE8">
        <w:rPr>
          <w:rFonts w:ascii="Cambria" w:hAnsi="Cambria"/>
          <w:i/>
          <w:sz w:val="20"/>
          <w:szCs w:val="20"/>
        </w:rPr>
        <w:t>.</w:t>
      </w:r>
    </w:p>
    <w:p w14:paraId="1DFBF41D" w14:textId="77777777" w:rsidR="00581207" w:rsidRPr="00DF2CE8" w:rsidRDefault="00581207" w:rsidP="00581207">
      <w:pPr>
        <w:tabs>
          <w:tab w:val="left" w:pos="810"/>
        </w:tabs>
        <w:ind w:left="360"/>
        <w:jc w:val="both"/>
        <w:rPr>
          <w:rFonts w:ascii="Cambria" w:hAnsi="Cambria"/>
          <w:i/>
          <w:iCs/>
          <w:sz w:val="20"/>
          <w:szCs w:val="20"/>
        </w:rPr>
      </w:pPr>
    </w:p>
    <w:p w14:paraId="65D0B0C2" w14:textId="77777777"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 xml:space="preserve"> Une « Proposition visant à introduire des systèmes de surveillance électronique (EMS) pour améliorer le contrôle des navires de transformation de thon rouge » a été soumise par l'Union européenne sous la référence </w:t>
      </w:r>
      <w:r w:rsidRPr="00DF2CE8">
        <w:rPr>
          <w:rFonts w:ascii="Cambria" w:hAnsi="Cambria"/>
          <w:b/>
          <w:i/>
          <w:sz w:val="20"/>
          <w:szCs w:val="20"/>
        </w:rPr>
        <w:t>PWG-422/2025</w:t>
      </w:r>
      <w:r w:rsidRPr="00DF2CE8">
        <w:rPr>
          <w:rFonts w:ascii="Cambria" w:hAnsi="Cambria"/>
          <w:i/>
          <w:sz w:val="20"/>
          <w:szCs w:val="20"/>
        </w:rPr>
        <w:t>.</w:t>
      </w:r>
    </w:p>
    <w:p w14:paraId="1219F379" w14:textId="77777777" w:rsidR="00581207" w:rsidRPr="00DF2CE8" w:rsidRDefault="00581207" w:rsidP="00581207">
      <w:pPr>
        <w:tabs>
          <w:tab w:val="left" w:pos="810"/>
        </w:tabs>
        <w:ind w:left="360"/>
        <w:jc w:val="both"/>
        <w:rPr>
          <w:rFonts w:ascii="Cambria" w:hAnsi="Cambria"/>
          <w:i/>
          <w:iCs/>
          <w:sz w:val="20"/>
          <w:szCs w:val="20"/>
        </w:rPr>
      </w:pPr>
    </w:p>
    <w:p w14:paraId="089E1924" w14:textId="77777777" w:rsidR="00581207" w:rsidRPr="00DF2CE8" w:rsidRDefault="00581207" w:rsidP="00581207">
      <w:pPr>
        <w:tabs>
          <w:tab w:val="left" w:pos="426"/>
        </w:tabs>
        <w:ind w:left="360"/>
        <w:jc w:val="both"/>
        <w:rPr>
          <w:rFonts w:ascii="Cambria" w:eastAsia="Calibri" w:hAnsi="Cambria"/>
          <w:i/>
          <w:iCs/>
          <w:sz w:val="20"/>
          <w:szCs w:val="20"/>
        </w:rPr>
      </w:pPr>
      <w:r w:rsidRPr="00DF2CE8">
        <w:rPr>
          <w:rFonts w:ascii="Cambria" w:hAnsi="Cambria"/>
          <w:i/>
          <w:sz w:val="20"/>
          <w:szCs w:val="20"/>
        </w:rPr>
        <w:t xml:space="preserve"> Le « Projet de Recommandation de l’ICCAT amendant la Rec. 23-18 visant à établir des normes minimales et des exigences du programme aux fins de l'utilisation des Systèmes de surveillance électronique (EMS) dans les pêcheries de l’ICCAT » a été soumis par l’Union européenne sous la référence </w:t>
      </w:r>
      <w:r w:rsidRPr="00DF2CE8">
        <w:rPr>
          <w:rFonts w:ascii="Cambria" w:hAnsi="Cambria"/>
          <w:b/>
          <w:bCs/>
          <w:i/>
          <w:sz w:val="20"/>
          <w:szCs w:val="20"/>
        </w:rPr>
        <w:t>PWG-423/2025</w:t>
      </w:r>
      <w:r w:rsidRPr="00DF2CE8">
        <w:rPr>
          <w:rFonts w:ascii="Cambria" w:hAnsi="Cambria"/>
          <w:i/>
          <w:sz w:val="20"/>
          <w:szCs w:val="20"/>
        </w:rPr>
        <w:t>.</w:t>
      </w:r>
    </w:p>
    <w:p w14:paraId="343725B0" w14:textId="77777777" w:rsidR="00581207" w:rsidRPr="00DF2CE8" w:rsidRDefault="00581207" w:rsidP="00581207">
      <w:pPr>
        <w:tabs>
          <w:tab w:val="left" w:pos="810"/>
        </w:tabs>
        <w:ind w:left="360"/>
        <w:jc w:val="both"/>
        <w:rPr>
          <w:rFonts w:ascii="Cambria" w:hAnsi="Cambria"/>
          <w:i/>
          <w:iCs/>
          <w:sz w:val="20"/>
          <w:szCs w:val="20"/>
        </w:rPr>
      </w:pPr>
    </w:p>
    <w:p w14:paraId="42AD9FD6" w14:textId="35446A7C" w:rsidR="00581207" w:rsidRPr="00DF2CE8" w:rsidRDefault="00581207" w:rsidP="00581207">
      <w:pPr>
        <w:tabs>
          <w:tab w:val="left" w:pos="360"/>
        </w:tabs>
        <w:ind w:left="360"/>
        <w:jc w:val="both"/>
        <w:rPr>
          <w:rFonts w:ascii="Cambria" w:hAnsi="Cambria"/>
          <w:i/>
          <w:iCs/>
          <w:sz w:val="20"/>
          <w:szCs w:val="20"/>
        </w:rPr>
      </w:pPr>
      <w:r w:rsidRPr="00DF2CE8">
        <w:rPr>
          <w:rFonts w:ascii="Cambria" w:hAnsi="Cambria"/>
          <w:i/>
          <w:sz w:val="20"/>
          <w:szCs w:val="20"/>
        </w:rPr>
        <w:t xml:space="preserve">Le « Résumé exécutif du projet pilote de caméras stéréoscopiques, objectif 1 : Test de l'utilisation de caméras stéréoscopiques lors du premier </w:t>
      </w:r>
      <w:r w:rsidR="00E918AB" w:rsidRPr="00DF2CE8">
        <w:rPr>
          <w:rFonts w:ascii="Cambria" w:hAnsi="Cambria"/>
          <w:i/>
          <w:sz w:val="20"/>
          <w:szCs w:val="20"/>
        </w:rPr>
        <w:t>transfert (</w:t>
      </w:r>
      <w:proofErr w:type="spellStart"/>
      <w:r w:rsidRPr="00DF2CE8">
        <w:rPr>
          <w:rFonts w:ascii="Cambria" w:hAnsi="Cambria"/>
          <w:i/>
          <w:sz w:val="20"/>
          <w:szCs w:val="20"/>
        </w:rPr>
        <w:t>Universitat</w:t>
      </w:r>
      <w:proofErr w:type="spellEnd"/>
      <w:r w:rsidRPr="00DF2CE8">
        <w:rPr>
          <w:rFonts w:ascii="Cambria" w:hAnsi="Cambria"/>
          <w:i/>
          <w:sz w:val="20"/>
          <w:szCs w:val="20"/>
        </w:rPr>
        <w:t xml:space="preserve"> </w:t>
      </w:r>
      <w:proofErr w:type="spellStart"/>
      <w:r w:rsidRPr="00DF2CE8">
        <w:rPr>
          <w:rFonts w:ascii="Cambria" w:hAnsi="Cambria"/>
          <w:i/>
          <w:sz w:val="20"/>
          <w:szCs w:val="20"/>
        </w:rPr>
        <w:t>Politècnica</w:t>
      </w:r>
      <w:proofErr w:type="spellEnd"/>
      <w:r w:rsidRPr="00DF2CE8">
        <w:rPr>
          <w:rFonts w:ascii="Cambria" w:hAnsi="Cambria"/>
          <w:i/>
          <w:sz w:val="20"/>
          <w:szCs w:val="20"/>
        </w:rPr>
        <w:t xml:space="preserve"> de </w:t>
      </w:r>
      <w:proofErr w:type="spellStart"/>
      <w:r w:rsidRPr="00DF2CE8">
        <w:rPr>
          <w:rFonts w:ascii="Cambria" w:hAnsi="Cambria"/>
          <w:i/>
          <w:sz w:val="20"/>
          <w:szCs w:val="20"/>
        </w:rPr>
        <w:t>València</w:t>
      </w:r>
      <w:proofErr w:type="spellEnd"/>
      <w:r w:rsidRPr="00DF2CE8">
        <w:rPr>
          <w:rFonts w:ascii="Cambria" w:hAnsi="Cambria"/>
          <w:i/>
          <w:sz w:val="20"/>
          <w:szCs w:val="20"/>
        </w:rPr>
        <w:t xml:space="preserve"> - UPV) » est présenté dans le </w:t>
      </w:r>
      <w:r w:rsidRPr="00DF2CE8">
        <w:rPr>
          <w:rFonts w:ascii="Cambria" w:hAnsi="Cambria"/>
          <w:b/>
          <w:i/>
          <w:sz w:val="20"/>
          <w:szCs w:val="20"/>
        </w:rPr>
        <w:t>PWG-425/2025</w:t>
      </w:r>
      <w:r w:rsidRPr="00DF2CE8">
        <w:rPr>
          <w:rFonts w:ascii="Cambria" w:hAnsi="Cambria"/>
          <w:i/>
          <w:sz w:val="20"/>
          <w:szCs w:val="20"/>
        </w:rPr>
        <w:t xml:space="preserve">. Le projet de rapport final et une présentation sont disponibles respectivement en </w:t>
      </w:r>
      <w:r w:rsidRPr="00DF2CE8">
        <w:rPr>
          <w:rFonts w:ascii="Cambria" w:hAnsi="Cambria"/>
          <w:b/>
          <w:bCs/>
          <w:i/>
          <w:sz w:val="20"/>
          <w:szCs w:val="20"/>
        </w:rPr>
        <w:t xml:space="preserve">annexe 1 </w:t>
      </w:r>
      <w:r w:rsidRPr="00DF2CE8">
        <w:rPr>
          <w:rFonts w:ascii="Cambria" w:hAnsi="Cambria"/>
          <w:i/>
          <w:sz w:val="20"/>
          <w:szCs w:val="20"/>
        </w:rPr>
        <w:t xml:space="preserve">et </w:t>
      </w:r>
      <w:r w:rsidRPr="00DF2CE8">
        <w:rPr>
          <w:rFonts w:ascii="Cambria" w:hAnsi="Cambria"/>
          <w:b/>
          <w:bCs/>
          <w:i/>
          <w:sz w:val="20"/>
          <w:szCs w:val="20"/>
        </w:rPr>
        <w:t>annexe 2</w:t>
      </w:r>
      <w:r w:rsidRPr="00DF2CE8">
        <w:rPr>
          <w:rFonts w:ascii="Cambria" w:hAnsi="Cambria"/>
          <w:i/>
          <w:sz w:val="20"/>
          <w:szCs w:val="20"/>
        </w:rPr>
        <w:t xml:space="preserve"> dudit document</w:t>
      </w:r>
    </w:p>
    <w:p w14:paraId="19D9B8D9" w14:textId="77777777" w:rsidR="00581207" w:rsidRPr="00DF2CE8" w:rsidRDefault="00581207" w:rsidP="00581207">
      <w:pPr>
        <w:tabs>
          <w:tab w:val="left" w:pos="360"/>
        </w:tabs>
        <w:ind w:left="360"/>
        <w:jc w:val="both"/>
        <w:rPr>
          <w:rFonts w:ascii="Cambria" w:hAnsi="Cambria"/>
          <w:i/>
          <w:iCs/>
          <w:sz w:val="20"/>
          <w:szCs w:val="20"/>
        </w:rPr>
      </w:pPr>
    </w:p>
    <w:p w14:paraId="50952A15" w14:textId="77777777" w:rsidR="00581207" w:rsidRPr="00DF2CE8" w:rsidRDefault="00581207" w:rsidP="00581207">
      <w:pPr>
        <w:tabs>
          <w:tab w:val="left" w:pos="360"/>
        </w:tabs>
        <w:ind w:left="360"/>
        <w:jc w:val="both"/>
        <w:rPr>
          <w:rFonts w:ascii="Cambria" w:hAnsi="Cambria"/>
          <w:i/>
          <w:iCs/>
          <w:sz w:val="20"/>
          <w:szCs w:val="20"/>
        </w:rPr>
      </w:pPr>
      <w:r w:rsidRPr="00DF2CE8">
        <w:rPr>
          <w:rFonts w:ascii="Cambria" w:hAnsi="Cambria"/>
          <w:i/>
          <w:sz w:val="20"/>
          <w:szCs w:val="20"/>
        </w:rPr>
        <w:t>Le "Résumé exécutif du projet pilote de caméras stéréoscopiques, objectif 2 : Automatisation de l'analyse de séquences vidéo (</w:t>
      </w:r>
      <w:proofErr w:type="spellStart"/>
      <w:r w:rsidRPr="00DF2CE8">
        <w:rPr>
          <w:rFonts w:ascii="Cambria" w:hAnsi="Cambria"/>
          <w:i/>
          <w:sz w:val="20"/>
          <w:szCs w:val="20"/>
        </w:rPr>
        <w:t>Universitat</w:t>
      </w:r>
      <w:proofErr w:type="spellEnd"/>
      <w:r w:rsidRPr="00DF2CE8">
        <w:rPr>
          <w:rFonts w:ascii="Cambria" w:hAnsi="Cambria"/>
          <w:i/>
          <w:sz w:val="20"/>
          <w:szCs w:val="20"/>
        </w:rPr>
        <w:t xml:space="preserve"> </w:t>
      </w:r>
      <w:proofErr w:type="spellStart"/>
      <w:r w:rsidRPr="00DF2CE8">
        <w:rPr>
          <w:rFonts w:ascii="Cambria" w:hAnsi="Cambria"/>
          <w:i/>
          <w:sz w:val="20"/>
          <w:szCs w:val="20"/>
        </w:rPr>
        <w:t>Politècnica</w:t>
      </w:r>
      <w:proofErr w:type="spellEnd"/>
      <w:r w:rsidRPr="00DF2CE8">
        <w:rPr>
          <w:rFonts w:ascii="Cambria" w:hAnsi="Cambria"/>
          <w:i/>
          <w:sz w:val="20"/>
          <w:szCs w:val="20"/>
        </w:rPr>
        <w:t xml:space="preserve"> de </w:t>
      </w:r>
      <w:proofErr w:type="spellStart"/>
      <w:r w:rsidRPr="00DF2CE8">
        <w:rPr>
          <w:rFonts w:ascii="Cambria" w:hAnsi="Cambria"/>
          <w:i/>
          <w:sz w:val="20"/>
          <w:szCs w:val="20"/>
        </w:rPr>
        <w:t>València</w:t>
      </w:r>
      <w:proofErr w:type="spellEnd"/>
      <w:r w:rsidRPr="00DF2CE8">
        <w:rPr>
          <w:rFonts w:ascii="Cambria" w:hAnsi="Cambria"/>
          <w:i/>
          <w:sz w:val="20"/>
          <w:szCs w:val="20"/>
        </w:rPr>
        <w:t xml:space="preserve"> - UPV et AQ1)" se trouve dans le </w:t>
      </w:r>
      <w:r w:rsidRPr="00DF2CE8">
        <w:rPr>
          <w:rFonts w:ascii="Cambria" w:hAnsi="Cambria"/>
          <w:b/>
          <w:i/>
          <w:sz w:val="20"/>
          <w:szCs w:val="20"/>
        </w:rPr>
        <w:t>PWG-426/2025</w:t>
      </w:r>
      <w:r w:rsidRPr="00DF2CE8">
        <w:rPr>
          <w:rFonts w:ascii="Cambria" w:hAnsi="Cambria"/>
          <w:i/>
          <w:sz w:val="20"/>
          <w:szCs w:val="20"/>
        </w:rPr>
        <w:t xml:space="preserve">. Les présentations de l'UPV et de AQ1 sont disponibles respectivement en </w:t>
      </w:r>
      <w:r w:rsidRPr="00DF2CE8">
        <w:rPr>
          <w:rFonts w:ascii="Cambria" w:hAnsi="Cambria"/>
          <w:b/>
          <w:bCs/>
          <w:i/>
          <w:sz w:val="20"/>
          <w:szCs w:val="20"/>
        </w:rPr>
        <w:t>annexe 1</w:t>
      </w:r>
      <w:r w:rsidRPr="00DF2CE8">
        <w:rPr>
          <w:rFonts w:ascii="Cambria" w:hAnsi="Cambria"/>
          <w:i/>
          <w:sz w:val="20"/>
          <w:szCs w:val="20"/>
        </w:rPr>
        <w:t xml:space="preserve"> et </w:t>
      </w:r>
      <w:r w:rsidRPr="00DF2CE8">
        <w:rPr>
          <w:rFonts w:ascii="Cambria" w:hAnsi="Cambria"/>
          <w:b/>
          <w:bCs/>
          <w:i/>
          <w:sz w:val="20"/>
          <w:szCs w:val="20"/>
        </w:rPr>
        <w:t>annexe 2</w:t>
      </w:r>
      <w:r w:rsidRPr="00DF2CE8">
        <w:rPr>
          <w:rFonts w:ascii="Cambria" w:hAnsi="Cambria"/>
          <w:i/>
          <w:sz w:val="20"/>
          <w:szCs w:val="20"/>
        </w:rPr>
        <w:t xml:space="preserve"> dudit document</w:t>
      </w:r>
    </w:p>
    <w:p w14:paraId="057C4BE3" w14:textId="77777777" w:rsidR="00581207" w:rsidRPr="00DF2CE8" w:rsidRDefault="00581207" w:rsidP="00581207">
      <w:pPr>
        <w:tabs>
          <w:tab w:val="left" w:pos="360"/>
        </w:tabs>
        <w:ind w:left="360"/>
        <w:jc w:val="both"/>
        <w:rPr>
          <w:rFonts w:ascii="Cambria" w:hAnsi="Cambria"/>
          <w:i/>
          <w:iCs/>
          <w:sz w:val="20"/>
          <w:szCs w:val="20"/>
        </w:rPr>
      </w:pPr>
    </w:p>
    <w:p w14:paraId="0C77F84B" w14:textId="77777777" w:rsidR="00581207" w:rsidRPr="00DF2CE8" w:rsidRDefault="00581207" w:rsidP="00581207">
      <w:pPr>
        <w:tabs>
          <w:tab w:val="left" w:pos="426"/>
        </w:tabs>
        <w:ind w:left="360"/>
        <w:jc w:val="both"/>
        <w:rPr>
          <w:rFonts w:ascii="Cambria" w:hAnsi="Cambria"/>
          <w:sz w:val="20"/>
          <w:szCs w:val="20"/>
        </w:rPr>
      </w:pPr>
      <w:bookmarkStart w:id="4" w:name="_Hlk77007826"/>
      <w:bookmarkEnd w:id="3"/>
      <w:r w:rsidRPr="00DF2CE8">
        <w:rPr>
          <w:rFonts w:ascii="Cambria" w:hAnsi="Cambria"/>
          <w:sz w:val="20"/>
          <w:szCs w:val="20"/>
        </w:rPr>
        <w:t>5.3 Exigences concernant les transbordements en mer et au port</w:t>
      </w:r>
      <w:bookmarkEnd w:id="4"/>
    </w:p>
    <w:p w14:paraId="717D0AE4" w14:textId="77777777" w:rsidR="00581207" w:rsidRPr="00DF2CE8" w:rsidRDefault="00581207" w:rsidP="00581207">
      <w:pPr>
        <w:tabs>
          <w:tab w:val="left" w:pos="426"/>
        </w:tabs>
        <w:ind w:left="360"/>
        <w:jc w:val="both"/>
        <w:rPr>
          <w:rFonts w:ascii="Cambria" w:hAnsi="Cambria"/>
          <w:sz w:val="20"/>
          <w:szCs w:val="20"/>
        </w:rPr>
      </w:pPr>
    </w:p>
    <w:p w14:paraId="6517CF20" w14:textId="5179B36F" w:rsidR="00581207" w:rsidRPr="00DF2CE8" w:rsidRDefault="00581207" w:rsidP="00581207">
      <w:pPr>
        <w:tabs>
          <w:tab w:val="left" w:pos="426"/>
        </w:tabs>
        <w:ind w:left="360"/>
        <w:jc w:val="both"/>
        <w:rPr>
          <w:rFonts w:ascii="Cambria" w:hAnsi="Cambria"/>
          <w:b/>
          <w:bCs/>
          <w:i/>
          <w:iCs/>
          <w:sz w:val="20"/>
          <w:szCs w:val="20"/>
        </w:rPr>
      </w:pPr>
      <w:r w:rsidRPr="00DF2CE8">
        <w:rPr>
          <w:rFonts w:ascii="Cambria" w:hAnsi="Cambria"/>
          <w:i/>
          <w:sz w:val="20"/>
          <w:szCs w:val="20"/>
        </w:rPr>
        <w:t xml:space="preserve">La </w:t>
      </w:r>
      <w:hyperlink r:id="rId26" w:history="1">
        <w:r w:rsidRPr="00DF2CE8">
          <w:rPr>
            <w:rStyle w:val="Hyperlink"/>
            <w:rFonts w:ascii="Cambria" w:hAnsi="Cambria"/>
            <w:i/>
            <w:sz w:val="20"/>
            <w:szCs w:val="20"/>
            <w:u w:val="none"/>
          </w:rPr>
          <w:t>Recommandation de l’ICCAT amendant la Recommandation 21-15 sur le transbordement</w:t>
        </w:r>
      </w:hyperlink>
      <w:r w:rsidRPr="00DF2CE8">
        <w:rPr>
          <w:rFonts w:ascii="Cambria" w:hAnsi="Cambria"/>
          <w:i/>
          <w:sz w:val="20"/>
          <w:szCs w:val="20"/>
        </w:rPr>
        <w:t xml:space="preserve"> (</w:t>
      </w:r>
      <w:hyperlink r:id="rId27" w:history="1">
        <w:r w:rsidRPr="00DF2CE8">
          <w:rPr>
            <w:rStyle w:val="Hyperlink"/>
            <w:rFonts w:ascii="Cambria" w:hAnsi="Cambria"/>
            <w:i/>
            <w:sz w:val="20"/>
            <w:szCs w:val="20"/>
            <w:u w:val="none"/>
          </w:rPr>
          <w:t>Rec. 24-15</w:t>
        </w:r>
      </w:hyperlink>
      <w:r w:rsidRPr="00DF2CE8">
        <w:rPr>
          <w:rFonts w:ascii="Cambria" w:hAnsi="Cambria"/>
          <w:i/>
          <w:sz w:val="20"/>
          <w:szCs w:val="20"/>
        </w:rPr>
        <w:t xml:space="preserve">) a été mise à jour en 2024. Le registre ICCAT de navires peut être consulté </w:t>
      </w:r>
      <w:hyperlink r:id="rId28" w:history="1">
        <w:r w:rsidRPr="00DF2CE8">
          <w:rPr>
            <w:rStyle w:val="Hyperlink"/>
            <w:rFonts w:ascii="Cambria" w:hAnsi="Cambria"/>
            <w:i/>
            <w:sz w:val="20"/>
            <w:szCs w:val="20"/>
            <w:u w:val="none"/>
          </w:rPr>
          <w:t>ici.</w:t>
        </w:r>
      </w:hyperlink>
      <w:r w:rsidRPr="00DF2CE8">
        <w:rPr>
          <w:rFonts w:ascii="Cambria" w:hAnsi="Cambria"/>
          <w:i/>
          <w:sz w:val="20"/>
          <w:szCs w:val="20"/>
        </w:rPr>
        <w:t xml:space="preserve"> De plus amples informations sur les exigences en matière de transbordement figurent dans le "Rapport sur la mise en œuvre du programme régional d'observateurs (ROP) de l'ICCAT pour le transbordement 2024/2025" </w:t>
      </w:r>
      <w:r w:rsidRPr="00DF2CE8">
        <w:rPr>
          <w:rFonts w:ascii="Cambria" w:hAnsi="Cambria"/>
          <w:sz w:val="20"/>
          <w:szCs w:val="20"/>
        </w:rPr>
        <w:t>(</w:t>
      </w:r>
      <w:r w:rsidRPr="00DF2CE8">
        <w:rPr>
          <w:rFonts w:ascii="Cambria" w:hAnsi="Cambria"/>
          <w:b/>
          <w:i/>
          <w:sz w:val="20"/>
          <w:szCs w:val="20"/>
        </w:rPr>
        <w:t xml:space="preserve">PWG-402/2025) </w:t>
      </w:r>
      <w:r w:rsidRPr="00DF2CE8">
        <w:rPr>
          <w:rFonts w:ascii="Cambria" w:hAnsi="Cambria"/>
          <w:i/>
          <w:sz w:val="20"/>
          <w:szCs w:val="20"/>
        </w:rPr>
        <w:t xml:space="preserve">et dans les « Questions de non-application potentielle découlant des Programmes d'observateurs régionaux de l'ICCAT et réponses apportées » </w:t>
      </w:r>
      <w:r w:rsidRPr="00DF2CE8">
        <w:rPr>
          <w:rFonts w:ascii="Cambria" w:hAnsi="Cambria"/>
          <w:b/>
          <w:i/>
          <w:sz w:val="20"/>
          <w:szCs w:val="20"/>
        </w:rPr>
        <w:t>(COC-305/2025).</w:t>
      </w:r>
    </w:p>
    <w:p w14:paraId="5D71FA08" w14:textId="77777777" w:rsidR="00581207" w:rsidRPr="00DF2CE8" w:rsidRDefault="00581207" w:rsidP="00581207">
      <w:pPr>
        <w:tabs>
          <w:tab w:val="left" w:pos="426"/>
        </w:tabs>
        <w:ind w:left="360"/>
        <w:jc w:val="both"/>
        <w:rPr>
          <w:rFonts w:ascii="Cambria" w:hAnsi="Cambria"/>
          <w:i/>
          <w:iCs/>
          <w:sz w:val="20"/>
          <w:szCs w:val="20"/>
        </w:rPr>
      </w:pPr>
    </w:p>
    <w:p w14:paraId="7891E4F6" w14:textId="77777777" w:rsidR="00581207" w:rsidRPr="00DF2CE8" w:rsidRDefault="00581207" w:rsidP="00581207">
      <w:pPr>
        <w:tabs>
          <w:tab w:val="left" w:pos="426"/>
        </w:tabs>
        <w:ind w:left="360"/>
        <w:jc w:val="both"/>
        <w:rPr>
          <w:rFonts w:ascii="Cambria" w:hAnsi="Cambria"/>
          <w:sz w:val="20"/>
          <w:szCs w:val="20"/>
        </w:rPr>
      </w:pPr>
      <w:r w:rsidRPr="00DF2CE8">
        <w:rPr>
          <w:rFonts w:ascii="Cambria" w:hAnsi="Cambria"/>
          <w:sz w:val="20"/>
          <w:szCs w:val="20"/>
        </w:rPr>
        <w:t>5.4 Normes concernant les accords d'affrètement et les autres accords de pêche</w:t>
      </w:r>
    </w:p>
    <w:p w14:paraId="1009AC54" w14:textId="77777777" w:rsidR="00581207" w:rsidRPr="00DF2CE8" w:rsidRDefault="00581207" w:rsidP="00581207">
      <w:pPr>
        <w:tabs>
          <w:tab w:val="left" w:pos="426"/>
        </w:tabs>
        <w:ind w:left="360"/>
        <w:jc w:val="both"/>
        <w:rPr>
          <w:rFonts w:ascii="Cambria" w:hAnsi="Cambria"/>
          <w:sz w:val="20"/>
          <w:szCs w:val="20"/>
        </w:rPr>
      </w:pPr>
    </w:p>
    <w:p w14:paraId="5E24C8D6" w14:textId="77777777" w:rsidR="00581207" w:rsidRPr="00DF2CE8" w:rsidRDefault="00581207" w:rsidP="00581207">
      <w:pPr>
        <w:tabs>
          <w:tab w:val="left" w:pos="426"/>
        </w:tabs>
        <w:ind w:left="360"/>
        <w:jc w:val="both"/>
        <w:rPr>
          <w:rFonts w:ascii="Cambria" w:hAnsi="Cambria"/>
          <w:i/>
          <w:iCs/>
          <w:sz w:val="20"/>
          <w:szCs w:val="20"/>
        </w:rPr>
      </w:pPr>
      <w:r w:rsidRPr="00DF2CE8">
        <w:rPr>
          <w:rFonts w:ascii="Cambria" w:hAnsi="Cambria"/>
          <w:i/>
          <w:sz w:val="20"/>
          <w:szCs w:val="20"/>
        </w:rPr>
        <w:t xml:space="preserve">Un résumé des accords et rapports d’affrètement provenant des CPC a été présenté au Comité d’application sous la référence </w:t>
      </w:r>
      <w:r w:rsidRPr="00DF2CE8">
        <w:rPr>
          <w:rFonts w:ascii="Cambria" w:hAnsi="Cambria"/>
          <w:b/>
          <w:sz w:val="20"/>
          <w:szCs w:val="20"/>
        </w:rPr>
        <w:t>COC-303/2025</w:t>
      </w:r>
      <w:r w:rsidRPr="00DF2CE8">
        <w:rPr>
          <w:rFonts w:ascii="Cambria" w:hAnsi="Cambria"/>
          <w:sz w:val="20"/>
          <w:szCs w:val="20"/>
        </w:rPr>
        <w:t xml:space="preserve">. </w:t>
      </w:r>
      <w:r w:rsidRPr="00DF2CE8">
        <w:rPr>
          <w:rFonts w:ascii="Cambria" w:hAnsi="Cambria"/>
          <w:i/>
          <w:sz w:val="20"/>
          <w:szCs w:val="20"/>
        </w:rPr>
        <w:t xml:space="preserve">Un tableau récapitulant les informations sur les accords d'accès est également inclus dans le </w:t>
      </w:r>
      <w:r w:rsidRPr="00DF2CE8">
        <w:rPr>
          <w:rFonts w:ascii="Cambria" w:hAnsi="Cambria"/>
          <w:b/>
          <w:i/>
          <w:sz w:val="20"/>
          <w:szCs w:val="20"/>
        </w:rPr>
        <w:t>COC-303/2025</w:t>
      </w:r>
      <w:r w:rsidRPr="00DF2CE8">
        <w:rPr>
          <w:rFonts w:ascii="Cambria" w:hAnsi="Cambria"/>
          <w:i/>
          <w:sz w:val="20"/>
          <w:szCs w:val="20"/>
        </w:rPr>
        <w:t>.</w:t>
      </w:r>
    </w:p>
    <w:p w14:paraId="4439AE08" w14:textId="77777777" w:rsidR="00581207" w:rsidRPr="00DF2CE8" w:rsidRDefault="00581207" w:rsidP="00581207">
      <w:pPr>
        <w:tabs>
          <w:tab w:val="left" w:pos="426"/>
        </w:tabs>
        <w:ind w:left="360"/>
        <w:jc w:val="both"/>
        <w:rPr>
          <w:rFonts w:ascii="Cambria" w:hAnsi="Cambria"/>
          <w:i/>
          <w:iCs/>
          <w:sz w:val="20"/>
          <w:szCs w:val="20"/>
        </w:rPr>
      </w:pPr>
    </w:p>
    <w:p w14:paraId="73D63F25" w14:textId="2AFBE141" w:rsidR="00581207" w:rsidRPr="00DF2CE8" w:rsidRDefault="00581207" w:rsidP="00581207">
      <w:pPr>
        <w:tabs>
          <w:tab w:val="left" w:pos="426"/>
        </w:tabs>
        <w:ind w:left="360"/>
        <w:jc w:val="both"/>
        <w:rPr>
          <w:rFonts w:ascii="Cambria" w:eastAsia="Calibri" w:hAnsi="Cambria"/>
          <w:i/>
          <w:iCs/>
          <w:sz w:val="20"/>
          <w:szCs w:val="20"/>
        </w:rPr>
      </w:pPr>
      <w:r w:rsidRPr="00DF2CE8">
        <w:rPr>
          <w:rFonts w:ascii="Cambria" w:hAnsi="Cambria"/>
          <w:i/>
          <w:sz w:val="20"/>
          <w:szCs w:val="20"/>
        </w:rPr>
        <w:t xml:space="preserve">Le « Projet de Recommandation de l’ICCAT sur les accords d'affrètement de navires et les accords d'accès » a été soumis par les États-Unis sous la référence </w:t>
      </w:r>
      <w:r w:rsidRPr="00DF2CE8">
        <w:rPr>
          <w:rFonts w:ascii="Cambria" w:hAnsi="Cambria"/>
          <w:b/>
          <w:i/>
          <w:sz w:val="20"/>
          <w:szCs w:val="20"/>
        </w:rPr>
        <w:t>PWG-414/2025</w:t>
      </w:r>
      <w:r w:rsidRPr="00DF2CE8">
        <w:rPr>
          <w:rFonts w:ascii="Cambria" w:hAnsi="Cambria"/>
          <w:i/>
          <w:sz w:val="20"/>
          <w:szCs w:val="20"/>
        </w:rPr>
        <w:t>.</w:t>
      </w:r>
    </w:p>
    <w:p w14:paraId="7D417143" w14:textId="77777777" w:rsidR="00581207" w:rsidRPr="00DF2CE8" w:rsidRDefault="00581207" w:rsidP="00581207">
      <w:pPr>
        <w:tabs>
          <w:tab w:val="left" w:pos="426"/>
        </w:tabs>
        <w:ind w:left="360"/>
        <w:jc w:val="both"/>
        <w:rPr>
          <w:rFonts w:ascii="Cambria" w:hAnsi="Cambria"/>
          <w:i/>
          <w:iCs/>
          <w:sz w:val="20"/>
          <w:szCs w:val="20"/>
        </w:rPr>
      </w:pPr>
    </w:p>
    <w:p w14:paraId="52A31D3C" w14:textId="77777777" w:rsidR="00581207" w:rsidRPr="00DF2CE8" w:rsidRDefault="00581207" w:rsidP="00581207">
      <w:pPr>
        <w:tabs>
          <w:tab w:val="left" w:pos="426"/>
        </w:tabs>
        <w:ind w:left="360"/>
        <w:jc w:val="both"/>
        <w:rPr>
          <w:rFonts w:ascii="Cambria" w:hAnsi="Cambria"/>
          <w:sz w:val="20"/>
          <w:szCs w:val="20"/>
        </w:rPr>
      </w:pPr>
      <w:r w:rsidRPr="00DF2CE8">
        <w:rPr>
          <w:rFonts w:ascii="Cambria" w:hAnsi="Cambria"/>
          <w:sz w:val="20"/>
          <w:szCs w:val="20"/>
        </w:rPr>
        <w:t>5.5 Observation des navires en mer et programmes d’inspection</w:t>
      </w:r>
    </w:p>
    <w:p w14:paraId="56A5776A" w14:textId="77777777" w:rsidR="00581207" w:rsidRPr="00DF2CE8" w:rsidRDefault="00581207" w:rsidP="00581207">
      <w:pPr>
        <w:tabs>
          <w:tab w:val="left" w:pos="426"/>
        </w:tabs>
        <w:ind w:left="360"/>
        <w:jc w:val="both"/>
        <w:rPr>
          <w:rFonts w:ascii="Cambria" w:hAnsi="Cambria"/>
          <w:sz w:val="20"/>
          <w:szCs w:val="20"/>
        </w:rPr>
      </w:pPr>
    </w:p>
    <w:p w14:paraId="24E2F793" w14:textId="679D8F0E" w:rsidR="00581207" w:rsidRPr="00DF2CE8" w:rsidRDefault="00581207" w:rsidP="00581207">
      <w:pPr>
        <w:tabs>
          <w:tab w:val="left" w:pos="426"/>
        </w:tabs>
        <w:ind w:left="360"/>
        <w:jc w:val="both"/>
        <w:rPr>
          <w:rFonts w:ascii="Cambria" w:hAnsi="Cambria"/>
          <w:i/>
          <w:iCs/>
          <w:sz w:val="20"/>
          <w:szCs w:val="20"/>
        </w:rPr>
      </w:pPr>
      <w:r w:rsidRPr="00DF2CE8">
        <w:rPr>
          <w:rFonts w:ascii="Cambria" w:hAnsi="Cambria"/>
          <w:i/>
          <w:sz w:val="20"/>
          <w:szCs w:val="20"/>
        </w:rPr>
        <w:t xml:space="preserve">Les rapports d’inspection soumis dans le cadre du Programme ICCAT d’inspection conjointe </w:t>
      </w:r>
      <w:r w:rsidR="00E26A7C" w:rsidRPr="00DF2CE8">
        <w:rPr>
          <w:rFonts w:ascii="Cambria" w:hAnsi="Cambria"/>
          <w:i/>
          <w:sz w:val="20"/>
          <w:szCs w:val="20"/>
        </w:rPr>
        <w:t xml:space="preserve">avec infractions </w:t>
      </w:r>
      <w:r w:rsidRPr="00DF2CE8">
        <w:rPr>
          <w:rFonts w:ascii="Cambria" w:hAnsi="Cambria"/>
          <w:i/>
          <w:sz w:val="20"/>
          <w:szCs w:val="20"/>
        </w:rPr>
        <w:t>sont disponibles à l’</w:t>
      </w:r>
      <w:r w:rsidRPr="00DF2CE8">
        <w:rPr>
          <w:rFonts w:ascii="Cambria" w:hAnsi="Cambria"/>
          <w:b/>
          <w:bCs/>
          <w:i/>
          <w:sz w:val="20"/>
          <w:szCs w:val="20"/>
        </w:rPr>
        <w:t>annexe 3</w:t>
      </w:r>
      <w:r w:rsidRPr="00DF2CE8">
        <w:rPr>
          <w:rFonts w:ascii="Cambria" w:hAnsi="Cambria"/>
          <w:i/>
          <w:sz w:val="20"/>
          <w:szCs w:val="20"/>
        </w:rPr>
        <w:t xml:space="preserve"> du </w:t>
      </w:r>
      <w:r w:rsidRPr="00DF2CE8">
        <w:rPr>
          <w:rFonts w:ascii="Cambria" w:hAnsi="Cambria"/>
          <w:b/>
          <w:bCs/>
          <w:i/>
          <w:sz w:val="20"/>
          <w:szCs w:val="20"/>
        </w:rPr>
        <w:t>COC-303/2025</w:t>
      </w:r>
      <w:r w:rsidRPr="00DF2CE8">
        <w:rPr>
          <w:rFonts w:ascii="Cambria" w:hAnsi="Cambria"/>
          <w:i/>
          <w:sz w:val="20"/>
          <w:szCs w:val="20"/>
        </w:rPr>
        <w:t>, tandis que les observations de navires et les communications connexes, le cas échéant se trouvent à l'</w:t>
      </w:r>
      <w:r w:rsidRPr="00DF2CE8">
        <w:rPr>
          <w:rFonts w:ascii="Cambria" w:hAnsi="Cambria"/>
          <w:b/>
          <w:bCs/>
          <w:i/>
          <w:sz w:val="20"/>
          <w:szCs w:val="20"/>
        </w:rPr>
        <w:t>appendice 5</w:t>
      </w:r>
      <w:r w:rsidRPr="00DF2CE8">
        <w:rPr>
          <w:rFonts w:ascii="Cambria" w:hAnsi="Cambria"/>
          <w:i/>
          <w:sz w:val="20"/>
          <w:szCs w:val="20"/>
        </w:rPr>
        <w:t xml:space="preserve"> du </w:t>
      </w:r>
      <w:r w:rsidRPr="00DF2CE8">
        <w:rPr>
          <w:rFonts w:ascii="Cambria" w:hAnsi="Cambria"/>
          <w:b/>
          <w:bCs/>
          <w:i/>
          <w:sz w:val="20"/>
          <w:szCs w:val="20"/>
        </w:rPr>
        <w:t>COC_303/2025</w:t>
      </w:r>
      <w:r w:rsidRPr="00DF2CE8">
        <w:rPr>
          <w:rFonts w:ascii="Cambria" w:hAnsi="Cambria"/>
          <w:i/>
          <w:sz w:val="20"/>
          <w:szCs w:val="20"/>
        </w:rPr>
        <w:t>.</w:t>
      </w:r>
    </w:p>
    <w:p w14:paraId="3240829E" w14:textId="77777777" w:rsidR="00581207" w:rsidRPr="00DF2CE8" w:rsidRDefault="00581207" w:rsidP="00581207">
      <w:pPr>
        <w:tabs>
          <w:tab w:val="left" w:pos="426"/>
        </w:tabs>
        <w:ind w:left="360"/>
        <w:jc w:val="both"/>
        <w:rPr>
          <w:rFonts w:ascii="Cambria" w:hAnsi="Cambria"/>
          <w:i/>
          <w:iCs/>
          <w:sz w:val="20"/>
          <w:szCs w:val="20"/>
        </w:rPr>
      </w:pPr>
    </w:p>
    <w:p w14:paraId="741988F2" w14:textId="0A5B87B2"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 xml:space="preserve">Le « Document de travail sur un programme d'arraisonnement et d'inspection en haute mer (HSBI) pour les mesures de contrôle intégré (IMM) de 2026 » a été soumis par le Canada et l'Union européenne sous la référence </w:t>
      </w:r>
      <w:r w:rsidRPr="00DF2CE8">
        <w:rPr>
          <w:rFonts w:ascii="Cambria" w:hAnsi="Cambria"/>
          <w:b/>
          <w:i/>
          <w:sz w:val="20"/>
          <w:szCs w:val="20"/>
        </w:rPr>
        <w:t>PWG-418/2025</w:t>
      </w:r>
      <w:r w:rsidRPr="00DF2CE8">
        <w:rPr>
          <w:rFonts w:ascii="Cambria" w:hAnsi="Cambria"/>
          <w:i/>
          <w:sz w:val="20"/>
          <w:szCs w:val="20"/>
        </w:rPr>
        <w:t>.</w:t>
      </w:r>
    </w:p>
    <w:p w14:paraId="12A7938B" w14:textId="77777777" w:rsidR="00581207" w:rsidRPr="00DF2CE8" w:rsidRDefault="00581207" w:rsidP="00581207">
      <w:pPr>
        <w:tabs>
          <w:tab w:val="left" w:pos="810"/>
        </w:tabs>
        <w:ind w:left="360"/>
        <w:jc w:val="both"/>
        <w:rPr>
          <w:rFonts w:ascii="Cambria" w:hAnsi="Cambria"/>
          <w:i/>
          <w:iCs/>
          <w:sz w:val="20"/>
          <w:szCs w:val="20"/>
        </w:rPr>
      </w:pPr>
    </w:p>
    <w:p w14:paraId="41D3F710" w14:textId="40FD3890" w:rsidR="00581207" w:rsidRPr="00DF2CE8" w:rsidRDefault="00581207" w:rsidP="00581207">
      <w:pPr>
        <w:tabs>
          <w:tab w:val="left" w:pos="426"/>
        </w:tabs>
        <w:ind w:left="360"/>
        <w:jc w:val="both"/>
        <w:rPr>
          <w:rFonts w:ascii="Cambria" w:eastAsia="Calibri" w:hAnsi="Cambria"/>
          <w:i/>
          <w:iCs/>
          <w:sz w:val="20"/>
          <w:szCs w:val="20"/>
        </w:rPr>
      </w:pPr>
      <w:r w:rsidRPr="00DF2CE8">
        <w:rPr>
          <w:rFonts w:ascii="Cambria" w:hAnsi="Cambria"/>
          <w:i/>
          <w:sz w:val="20"/>
          <w:szCs w:val="20"/>
        </w:rPr>
        <w:t xml:space="preserve"> Le «</w:t>
      </w:r>
      <w:r w:rsidR="00C27A3D" w:rsidRPr="00DF2CE8">
        <w:rPr>
          <w:rFonts w:ascii="Cambria" w:hAnsi="Cambria"/>
          <w:i/>
          <w:sz w:val="20"/>
          <w:szCs w:val="20"/>
        </w:rPr>
        <w:t xml:space="preserve"> </w:t>
      </w:r>
      <w:r w:rsidRPr="00DF2CE8">
        <w:rPr>
          <w:rFonts w:ascii="Cambria" w:hAnsi="Cambria"/>
          <w:i/>
          <w:sz w:val="20"/>
          <w:szCs w:val="20"/>
        </w:rPr>
        <w:t xml:space="preserve">Projet de Recommandation de l’ICCAT concernant le suivi des infractions éventuelles détectées dans le cadre du Programme d'inspection internationale conjointe (JIS) pour le thon rouge et l'espadon » a été soumis par l’Union européenne sous la </w:t>
      </w:r>
      <w:r w:rsidR="00612702" w:rsidRPr="00DF2CE8">
        <w:rPr>
          <w:rFonts w:ascii="Cambria" w:hAnsi="Cambria"/>
          <w:i/>
          <w:sz w:val="20"/>
          <w:szCs w:val="20"/>
        </w:rPr>
        <w:t xml:space="preserve">référence </w:t>
      </w:r>
      <w:r w:rsidR="00612702" w:rsidRPr="00DF2CE8">
        <w:rPr>
          <w:rFonts w:ascii="Cambria" w:hAnsi="Cambria"/>
          <w:b/>
          <w:bCs/>
          <w:i/>
          <w:sz w:val="20"/>
          <w:szCs w:val="20"/>
        </w:rPr>
        <w:t>PWG</w:t>
      </w:r>
      <w:r w:rsidRPr="00DF2CE8">
        <w:rPr>
          <w:rFonts w:ascii="Cambria" w:hAnsi="Cambria"/>
          <w:b/>
          <w:bCs/>
          <w:i/>
          <w:sz w:val="20"/>
          <w:szCs w:val="20"/>
        </w:rPr>
        <w:t>-424</w:t>
      </w:r>
      <w:r w:rsidRPr="00DF2CE8">
        <w:rPr>
          <w:rFonts w:ascii="Cambria" w:hAnsi="Cambria"/>
          <w:b/>
          <w:i/>
          <w:sz w:val="20"/>
          <w:szCs w:val="20"/>
        </w:rPr>
        <w:t>/2025</w:t>
      </w:r>
      <w:r w:rsidRPr="00DF2CE8">
        <w:rPr>
          <w:rFonts w:ascii="Cambria" w:hAnsi="Cambria"/>
          <w:i/>
          <w:sz w:val="20"/>
          <w:szCs w:val="20"/>
        </w:rPr>
        <w:t>.</w:t>
      </w:r>
    </w:p>
    <w:p w14:paraId="7BBA0A29" w14:textId="77777777" w:rsidR="00581207" w:rsidRPr="00DF2CE8" w:rsidRDefault="00581207" w:rsidP="00581207">
      <w:pPr>
        <w:tabs>
          <w:tab w:val="left" w:pos="426"/>
        </w:tabs>
        <w:ind w:left="720"/>
        <w:jc w:val="both"/>
        <w:rPr>
          <w:rFonts w:ascii="Cambria" w:hAnsi="Cambria"/>
          <w:sz w:val="20"/>
          <w:szCs w:val="20"/>
        </w:rPr>
      </w:pPr>
    </w:p>
    <w:p w14:paraId="677B840F" w14:textId="77777777" w:rsidR="00AC299C" w:rsidRPr="00DF2CE8" w:rsidRDefault="00AC299C">
      <w:pPr>
        <w:spacing w:after="160" w:line="259" w:lineRule="auto"/>
        <w:rPr>
          <w:rFonts w:ascii="Cambria" w:hAnsi="Cambria"/>
          <w:sz w:val="20"/>
          <w:szCs w:val="20"/>
        </w:rPr>
      </w:pPr>
      <w:r w:rsidRPr="00DF2CE8">
        <w:rPr>
          <w:rFonts w:ascii="Cambria" w:hAnsi="Cambria"/>
          <w:sz w:val="20"/>
          <w:szCs w:val="20"/>
        </w:rPr>
        <w:br w:type="page"/>
      </w:r>
    </w:p>
    <w:p w14:paraId="2B24AF92" w14:textId="72E21CE5" w:rsidR="00581207" w:rsidRPr="00DF2CE8" w:rsidRDefault="00581207" w:rsidP="00581207">
      <w:pPr>
        <w:tabs>
          <w:tab w:val="left" w:pos="426"/>
        </w:tabs>
        <w:ind w:left="360"/>
        <w:jc w:val="both"/>
        <w:rPr>
          <w:rFonts w:ascii="Cambria" w:hAnsi="Cambria"/>
          <w:sz w:val="20"/>
          <w:szCs w:val="20"/>
        </w:rPr>
      </w:pPr>
      <w:r w:rsidRPr="00DF2CE8">
        <w:rPr>
          <w:rFonts w:ascii="Cambria" w:hAnsi="Cambria"/>
          <w:sz w:val="20"/>
          <w:szCs w:val="20"/>
        </w:rPr>
        <w:t>5.6 Programmes d’inspection au port et autres mesures relevant de l’État du port</w:t>
      </w:r>
    </w:p>
    <w:p w14:paraId="39704470" w14:textId="77777777" w:rsidR="00581207" w:rsidRPr="00DF2CE8" w:rsidRDefault="00581207" w:rsidP="00581207">
      <w:pPr>
        <w:tabs>
          <w:tab w:val="left" w:pos="426"/>
        </w:tabs>
        <w:ind w:left="360"/>
        <w:jc w:val="both"/>
        <w:rPr>
          <w:rFonts w:ascii="Cambria" w:hAnsi="Cambria"/>
          <w:sz w:val="20"/>
          <w:szCs w:val="20"/>
        </w:rPr>
      </w:pPr>
    </w:p>
    <w:p w14:paraId="22FE52B5" w14:textId="77777777" w:rsidR="00581207" w:rsidRPr="00DF2CE8" w:rsidRDefault="00581207" w:rsidP="00581207">
      <w:pPr>
        <w:tabs>
          <w:tab w:val="left" w:pos="426"/>
        </w:tabs>
        <w:ind w:left="360"/>
        <w:jc w:val="both"/>
        <w:rPr>
          <w:rFonts w:ascii="Cambria" w:hAnsi="Cambria"/>
          <w:b/>
          <w:bCs/>
          <w:i/>
          <w:iCs/>
          <w:sz w:val="20"/>
          <w:szCs w:val="20"/>
        </w:rPr>
      </w:pPr>
      <w:r w:rsidRPr="00DF2CE8">
        <w:rPr>
          <w:rFonts w:ascii="Cambria" w:hAnsi="Cambria"/>
          <w:i/>
          <w:sz w:val="20"/>
          <w:szCs w:val="20"/>
        </w:rPr>
        <w:t xml:space="preserve">Le « Rapport sur la mission d'évaluation des besoins en matière d'inspection au port et les missions de formation de l’ICCAT à </w:t>
      </w:r>
      <w:proofErr w:type="spellStart"/>
      <w:r w:rsidRPr="00DF2CE8">
        <w:rPr>
          <w:rFonts w:ascii="Cambria" w:hAnsi="Cambria"/>
          <w:i/>
          <w:sz w:val="20"/>
          <w:szCs w:val="20"/>
        </w:rPr>
        <w:t>Walvis</w:t>
      </w:r>
      <w:proofErr w:type="spellEnd"/>
      <w:r w:rsidRPr="00DF2CE8">
        <w:rPr>
          <w:rFonts w:ascii="Cambria" w:hAnsi="Cambria"/>
          <w:i/>
          <w:sz w:val="20"/>
          <w:szCs w:val="20"/>
        </w:rPr>
        <w:t xml:space="preserve"> Bay, Namibie » est présenté sous la référence </w:t>
      </w:r>
      <w:r w:rsidRPr="00DF2CE8">
        <w:rPr>
          <w:rFonts w:ascii="Cambria" w:hAnsi="Cambria"/>
          <w:b/>
          <w:i/>
          <w:sz w:val="20"/>
          <w:szCs w:val="20"/>
        </w:rPr>
        <w:t>PWG-408/2025.</w:t>
      </w:r>
    </w:p>
    <w:p w14:paraId="11B7B150" w14:textId="77777777" w:rsidR="00581207" w:rsidRPr="00DF2CE8" w:rsidRDefault="00581207" w:rsidP="00581207">
      <w:pPr>
        <w:tabs>
          <w:tab w:val="left" w:pos="426"/>
        </w:tabs>
        <w:ind w:left="360"/>
        <w:jc w:val="both"/>
        <w:rPr>
          <w:rFonts w:ascii="Cambria" w:hAnsi="Cambria"/>
          <w:b/>
          <w:bCs/>
          <w:i/>
          <w:iCs/>
          <w:sz w:val="20"/>
          <w:szCs w:val="20"/>
        </w:rPr>
      </w:pPr>
    </w:p>
    <w:p w14:paraId="4F1A0F72" w14:textId="77777777"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 xml:space="preserve"> Le document « État actuel du mécanisme de communication avec le système mondial d'échange d'informations (GIES) de la FAO » a été préparé par le Secrétariat sous la référence </w:t>
      </w:r>
      <w:r w:rsidRPr="00DF2CE8">
        <w:rPr>
          <w:rFonts w:ascii="Cambria" w:hAnsi="Cambria"/>
          <w:b/>
          <w:i/>
          <w:sz w:val="20"/>
          <w:szCs w:val="20"/>
        </w:rPr>
        <w:t>PWG-411/2025</w:t>
      </w:r>
      <w:r w:rsidRPr="00DF2CE8">
        <w:rPr>
          <w:rFonts w:ascii="Cambria" w:hAnsi="Cambria"/>
          <w:i/>
          <w:sz w:val="20"/>
          <w:szCs w:val="20"/>
        </w:rPr>
        <w:t>.</w:t>
      </w:r>
    </w:p>
    <w:p w14:paraId="35CF69E6" w14:textId="77777777" w:rsidR="00581207" w:rsidRPr="00DF2CE8" w:rsidRDefault="00581207" w:rsidP="00581207">
      <w:pPr>
        <w:tabs>
          <w:tab w:val="left" w:pos="426"/>
        </w:tabs>
        <w:ind w:left="360"/>
        <w:jc w:val="both"/>
        <w:rPr>
          <w:rFonts w:ascii="Cambria" w:hAnsi="Cambria"/>
          <w:b/>
          <w:bCs/>
          <w:i/>
          <w:iCs/>
          <w:sz w:val="20"/>
          <w:szCs w:val="20"/>
        </w:rPr>
      </w:pPr>
    </w:p>
    <w:p w14:paraId="711E5C17" w14:textId="77777777" w:rsidR="00581207" w:rsidRPr="00DF2CE8" w:rsidRDefault="00581207" w:rsidP="00581207">
      <w:pPr>
        <w:tabs>
          <w:tab w:val="left" w:pos="426"/>
        </w:tabs>
        <w:ind w:left="360"/>
        <w:jc w:val="both"/>
        <w:rPr>
          <w:rFonts w:ascii="Cambria" w:eastAsia="Calibri" w:hAnsi="Cambria"/>
          <w:i/>
          <w:iCs/>
          <w:sz w:val="20"/>
          <w:szCs w:val="20"/>
        </w:rPr>
      </w:pPr>
      <w:r w:rsidRPr="00DF2CE8">
        <w:rPr>
          <w:rFonts w:ascii="Cambria" w:hAnsi="Cambria"/>
          <w:i/>
          <w:sz w:val="20"/>
          <w:szCs w:val="20"/>
        </w:rPr>
        <w:t xml:space="preserve"> Le “Projet de recommandation de l’ICCAT amendant la Recommandation 23-17 concernant des mesures du ressort de l’État du port visant à prévenir, contrecarrer et éliminer la pêche illicite, non déclarée et non règlementée (IUU)” a été soumis par le Royaume-Uni sous la référence </w:t>
      </w:r>
      <w:r w:rsidRPr="00DF2CE8">
        <w:rPr>
          <w:rFonts w:ascii="Cambria" w:hAnsi="Cambria"/>
          <w:b/>
          <w:i/>
          <w:sz w:val="20"/>
          <w:szCs w:val="20"/>
        </w:rPr>
        <w:t>PWG-416/2025</w:t>
      </w:r>
      <w:r w:rsidRPr="00DF2CE8">
        <w:rPr>
          <w:rFonts w:ascii="Cambria" w:hAnsi="Cambria"/>
          <w:i/>
          <w:sz w:val="20"/>
          <w:szCs w:val="20"/>
        </w:rPr>
        <w:t>.</w:t>
      </w:r>
    </w:p>
    <w:p w14:paraId="34BFDFC2" w14:textId="77777777" w:rsidR="00581207" w:rsidRPr="00DF2CE8" w:rsidRDefault="00581207" w:rsidP="00581207">
      <w:pPr>
        <w:tabs>
          <w:tab w:val="left" w:pos="426"/>
        </w:tabs>
        <w:ind w:left="360"/>
        <w:jc w:val="both"/>
        <w:rPr>
          <w:rFonts w:ascii="Cambria" w:hAnsi="Cambria"/>
          <w:b/>
          <w:bCs/>
          <w:i/>
          <w:iCs/>
          <w:sz w:val="20"/>
          <w:szCs w:val="20"/>
        </w:rPr>
      </w:pPr>
    </w:p>
    <w:p w14:paraId="3FF7E3A1" w14:textId="77777777" w:rsidR="00581207" w:rsidRPr="00DF2CE8" w:rsidRDefault="00581207" w:rsidP="00581207">
      <w:pPr>
        <w:tabs>
          <w:tab w:val="left" w:pos="426"/>
        </w:tabs>
        <w:ind w:left="360"/>
        <w:jc w:val="both"/>
        <w:rPr>
          <w:rFonts w:ascii="Cambria" w:hAnsi="Cambria"/>
          <w:sz w:val="20"/>
          <w:szCs w:val="20"/>
        </w:rPr>
      </w:pPr>
      <w:r w:rsidRPr="00DF2CE8">
        <w:rPr>
          <w:rFonts w:ascii="Cambria" w:hAnsi="Cambria"/>
          <w:sz w:val="20"/>
          <w:szCs w:val="20"/>
        </w:rPr>
        <w:t>5.7 Exigences d'inscription des navires</w:t>
      </w:r>
    </w:p>
    <w:p w14:paraId="23E45C46" w14:textId="77777777" w:rsidR="00581207" w:rsidRPr="00DF2CE8" w:rsidRDefault="00581207" w:rsidP="00581207">
      <w:pPr>
        <w:tabs>
          <w:tab w:val="left" w:pos="426"/>
        </w:tabs>
        <w:ind w:left="360"/>
        <w:jc w:val="both"/>
        <w:rPr>
          <w:rFonts w:ascii="Cambria" w:hAnsi="Cambria"/>
          <w:sz w:val="20"/>
          <w:szCs w:val="20"/>
        </w:rPr>
      </w:pPr>
    </w:p>
    <w:p w14:paraId="0AB4B988" w14:textId="77777777" w:rsidR="00581207" w:rsidRPr="00DF2CE8" w:rsidRDefault="00581207" w:rsidP="00581207">
      <w:pPr>
        <w:tabs>
          <w:tab w:val="left" w:pos="426"/>
        </w:tabs>
        <w:ind w:left="360"/>
        <w:jc w:val="both"/>
        <w:rPr>
          <w:rFonts w:ascii="Cambria" w:hAnsi="Cambria"/>
          <w:b/>
          <w:bCs/>
          <w:i/>
          <w:iCs/>
          <w:sz w:val="20"/>
          <w:szCs w:val="20"/>
        </w:rPr>
      </w:pPr>
      <w:r w:rsidRPr="00DF2CE8">
        <w:rPr>
          <w:rFonts w:ascii="Cambria" w:hAnsi="Cambria"/>
          <w:i/>
          <w:sz w:val="20"/>
          <w:szCs w:val="20"/>
        </w:rPr>
        <w:t xml:space="preserve">Quelques informations sont présentées dans le document </w:t>
      </w:r>
      <w:r w:rsidRPr="00DF2CE8">
        <w:rPr>
          <w:rFonts w:ascii="Cambria" w:hAnsi="Cambria"/>
          <w:b/>
          <w:bCs/>
          <w:i/>
          <w:sz w:val="20"/>
          <w:szCs w:val="20"/>
        </w:rPr>
        <w:t>PWG-401/2025</w:t>
      </w:r>
      <w:r w:rsidRPr="00DF2CE8">
        <w:rPr>
          <w:rFonts w:ascii="Cambria" w:hAnsi="Cambria"/>
          <w:i/>
          <w:sz w:val="20"/>
          <w:szCs w:val="20"/>
        </w:rPr>
        <w:t>.</w:t>
      </w:r>
    </w:p>
    <w:p w14:paraId="523E508D" w14:textId="77777777" w:rsidR="00581207" w:rsidRPr="00DF2CE8" w:rsidRDefault="00581207" w:rsidP="00581207">
      <w:pPr>
        <w:tabs>
          <w:tab w:val="left" w:pos="426"/>
        </w:tabs>
        <w:ind w:left="360"/>
        <w:jc w:val="both"/>
        <w:rPr>
          <w:rFonts w:ascii="Cambria" w:hAnsi="Cambria"/>
          <w:b/>
          <w:bCs/>
          <w:i/>
          <w:iCs/>
          <w:sz w:val="20"/>
          <w:szCs w:val="20"/>
        </w:rPr>
      </w:pPr>
    </w:p>
    <w:p w14:paraId="3BA50944" w14:textId="77777777" w:rsidR="00581207" w:rsidRPr="00DF2CE8" w:rsidRDefault="00581207" w:rsidP="00581207">
      <w:pPr>
        <w:tabs>
          <w:tab w:val="left" w:pos="426"/>
        </w:tabs>
        <w:ind w:left="360"/>
        <w:jc w:val="both"/>
        <w:rPr>
          <w:rFonts w:ascii="Cambria" w:eastAsia="Calibri" w:hAnsi="Cambria"/>
          <w:i/>
          <w:iCs/>
          <w:sz w:val="20"/>
          <w:szCs w:val="20"/>
        </w:rPr>
      </w:pPr>
      <w:r w:rsidRPr="00DF2CE8">
        <w:rPr>
          <w:rFonts w:ascii="Cambria" w:hAnsi="Cambria"/>
          <w:i/>
          <w:sz w:val="20"/>
          <w:szCs w:val="20"/>
        </w:rPr>
        <w:t xml:space="preserve"> Le “Projet de recommandation de l’ICCAT concernant l’établissement d’un registre ICCAT de navires de 20 mètres ou plus de longueur hors-tout autorisés à opérer dans la zone de la Convention” a été soumis par l’Union européenne sous la référence </w:t>
      </w:r>
      <w:r w:rsidRPr="00DF2CE8">
        <w:rPr>
          <w:rFonts w:ascii="Cambria" w:hAnsi="Cambria"/>
          <w:b/>
          <w:i/>
          <w:sz w:val="20"/>
          <w:szCs w:val="20"/>
        </w:rPr>
        <w:t>PWG-419/2025.</w:t>
      </w:r>
    </w:p>
    <w:p w14:paraId="45613997" w14:textId="77777777" w:rsidR="00581207" w:rsidRPr="00DF2CE8" w:rsidRDefault="00581207" w:rsidP="00581207">
      <w:pPr>
        <w:tabs>
          <w:tab w:val="left" w:pos="426"/>
        </w:tabs>
        <w:ind w:left="360"/>
        <w:jc w:val="both"/>
        <w:rPr>
          <w:rFonts w:ascii="Cambria" w:hAnsi="Cambria"/>
          <w:b/>
          <w:bCs/>
          <w:i/>
          <w:iCs/>
          <w:sz w:val="20"/>
          <w:szCs w:val="20"/>
        </w:rPr>
      </w:pPr>
    </w:p>
    <w:p w14:paraId="3DEB1F10" w14:textId="77777777" w:rsidR="00581207" w:rsidRPr="00DF2CE8" w:rsidRDefault="00581207" w:rsidP="00581207">
      <w:pPr>
        <w:tabs>
          <w:tab w:val="left" w:pos="426"/>
        </w:tabs>
        <w:ind w:left="360"/>
        <w:jc w:val="both"/>
        <w:rPr>
          <w:rFonts w:ascii="Cambria" w:hAnsi="Cambria"/>
          <w:sz w:val="20"/>
          <w:szCs w:val="20"/>
        </w:rPr>
      </w:pPr>
      <w:r w:rsidRPr="00DF2CE8">
        <w:rPr>
          <w:rFonts w:ascii="Cambria" w:hAnsi="Cambria"/>
          <w:sz w:val="20"/>
          <w:szCs w:val="20"/>
        </w:rPr>
        <w:t>5.8 Exigences du système de suivi des navires par satellite</w:t>
      </w:r>
    </w:p>
    <w:p w14:paraId="00136E0D" w14:textId="77777777" w:rsidR="00581207" w:rsidRPr="00DF2CE8" w:rsidRDefault="00581207" w:rsidP="00581207">
      <w:pPr>
        <w:tabs>
          <w:tab w:val="left" w:pos="426"/>
        </w:tabs>
        <w:ind w:left="360"/>
        <w:jc w:val="both"/>
        <w:rPr>
          <w:rFonts w:ascii="Cambria" w:hAnsi="Cambria"/>
          <w:sz w:val="20"/>
          <w:szCs w:val="20"/>
        </w:rPr>
      </w:pPr>
    </w:p>
    <w:p w14:paraId="047195E9" w14:textId="4EE150A6" w:rsidR="00581207" w:rsidRPr="00DF2CE8" w:rsidRDefault="00581207" w:rsidP="00581207">
      <w:pPr>
        <w:tabs>
          <w:tab w:val="left" w:pos="426"/>
        </w:tabs>
        <w:ind w:left="360"/>
        <w:jc w:val="both"/>
        <w:rPr>
          <w:rFonts w:ascii="Cambria" w:hAnsi="Cambria"/>
          <w:b/>
          <w:bCs/>
          <w:i/>
          <w:iCs/>
          <w:sz w:val="20"/>
          <w:szCs w:val="20"/>
        </w:rPr>
      </w:pPr>
      <w:r w:rsidRPr="00DF2CE8">
        <w:rPr>
          <w:rFonts w:ascii="Cambria" w:hAnsi="Cambria"/>
          <w:i/>
          <w:sz w:val="20"/>
          <w:szCs w:val="20"/>
        </w:rPr>
        <w:t xml:space="preserve">Les informations communiquées par le Secrétariat figurent dans le </w:t>
      </w:r>
      <w:r w:rsidRPr="00DF2CE8">
        <w:rPr>
          <w:rFonts w:ascii="Cambria" w:hAnsi="Cambria"/>
          <w:b/>
          <w:bCs/>
          <w:i/>
          <w:sz w:val="20"/>
          <w:szCs w:val="20"/>
        </w:rPr>
        <w:t>COC-303/2025</w:t>
      </w:r>
      <w:r w:rsidRPr="00DF2CE8">
        <w:rPr>
          <w:rFonts w:ascii="Cambria" w:hAnsi="Cambria"/>
          <w:i/>
          <w:sz w:val="20"/>
          <w:szCs w:val="20"/>
        </w:rPr>
        <w:t>.</w:t>
      </w:r>
    </w:p>
    <w:p w14:paraId="1490AD11" w14:textId="77777777" w:rsidR="00581207" w:rsidRPr="00DF2CE8" w:rsidRDefault="00581207" w:rsidP="00581207">
      <w:pPr>
        <w:tabs>
          <w:tab w:val="left" w:pos="426"/>
        </w:tabs>
        <w:ind w:left="360"/>
        <w:jc w:val="both"/>
        <w:rPr>
          <w:rFonts w:ascii="Cambria" w:hAnsi="Cambria"/>
          <w:i/>
          <w:iCs/>
          <w:sz w:val="20"/>
          <w:szCs w:val="20"/>
        </w:rPr>
      </w:pPr>
    </w:p>
    <w:p w14:paraId="0D4C26C3" w14:textId="77777777"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 xml:space="preserve"> La « Proposition de migration du système VMS vers une infrastructure en nuage », a été préparée par le Secrétariat sous la référence </w:t>
      </w:r>
      <w:r w:rsidRPr="00DF2CE8">
        <w:rPr>
          <w:rFonts w:ascii="Cambria" w:hAnsi="Cambria"/>
          <w:b/>
          <w:i/>
          <w:sz w:val="20"/>
          <w:szCs w:val="20"/>
        </w:rPr>
        <w:t>PWG-428/2025</w:t>
      </w:r>
      <w:r w:rsidRPr="00DF2CE8">
        <w:rPr>
          <w:rFonts w:ascii="Cambria" w:hAnsi="Cambria"/>
          <w:i/>
          <w:sz w:val="20"/>
          <w:szCs w:val="20"/>
        </w:rPr>
        <w:t>.</w:t>
      </w:r>
    </w:p>
    <w:p w14:paraId="3D77AFFF" w14:textId="77777777" w:rsidR="00581207" w:rsidRPr="00DF2CE8" w:rsidRDefault="00581207" w:rsidP="00581207">
      <w:pPr>
        <w:tabs>
          <w:tab w:val="left" w:pos="426"/>
        </w:tabs>
        <w:ind w:left="720"/>
        <w:jc w:val="both"/>
        <w:rPr>
          <w:rFonts w:ascii="Cambria" w:hAnsi="Cambria"/>
          <w:sz w:val="20"/>
          <w:szCs w:val="20"/>
        </w:rPr>
      </w:pPr>
    </w:p>
    <w:p w14:paraId="33A790EA" w14:textId="77777777" w:rsidR="00581207" w:rsidRPr="00DF2CE8" w:rsidRDefault="00581207" w:rsidP="00581207">
      <w:pPr>
        <w:tabs>
          <w:tab w:val="left" w:pos="426"/>
        </w:tabs>
        <w:ind w:left="360"/>
        <w:jc w:val="both"/>
        <w:rPr>
          <w:rFonts w:ascii="Cambria" w:hAnsi="Cambria"/>
          <w:sz w:val="20"/>
          <w:szCs w:val="20"/>
        </w:rPr>
      </w:pPr>
      <w:r w:rsidRPr="00DF2CE8">
        <w:rPr>
          <w:rFonts w:ascii="Cambria" w:hAnsi="Cambria"/>
          <w:sz w:val="20"/>
          <w:szCs w:val="20"/>
        </w:rPr>
        <w:t>5.9 Responsabilités de la CPC du pavillon</w:t>
      </w:r>
    </w:p>
    <w:p w14:paraId="3E6F2904" w14:textId="77777777" w:rsidR="00581207" w:rsidRPr="00DF2CE8" w:rsidRDefault="00581207" w:rsidP="00581207">
      <w:pPr>
        <w:tabs>
          <w:tab w:val="left" w:pos="426"/>
        </w:tabs>
        <w:ind w:left="360"/>
        <w:jc w:val="both"/>
        <w:rPr>
          <w:rFonts w:ascii="Cambria" w:hAnsi="Cambria"/>
          <w:sz w:val="20"/>
          <w:szCs w:val="20"/>
        </w:rPr>
      </w:pPr>
    </w:p>
    <w:p w14:paraId="49854748" w14:textId="77777777" w:rsidR="00581207" w:rsidRPr="00DF2CE8" w:rsidRDefault="00581207" w:rsidP="00581207">
      <w:pPr>
        <w:tabs>
          <w:tab w:val="left" w:pos="426"/>
        </w:tabs>
        <w:ind w:left="360"/>
        <w:jc w:val="both"/>
        <w:rPr>
          <w:rFonts w:ascii="Cambria" w:hAnsi="Cambria"/>
          <w:i/>
          <w:iCs/>
          <w:sz w:val="20"/>
          <w:szCs w:val="20"/>
        </w:rPr>
      </w:pPr>
      <w:r w:rsidRPr="00DF2CE8">
        <w:rPr>
          <w:rFonts w:ascii="Cambria" w:hAnsi="Cambria"/>
          <w:i/>
          <w:sz w:val="20"/>
          <w:szCs w:val="20"/>
        </w:rPr>
        <w:t xml:space="preserve"> Le « Projet de Recommandation de l’ICCAT sur les engins de pêche abandonnés, perdus ou rejetés de quelque autre manière » a été soumis par le Canada et la Norvège sous la référence </w:t>
      </w:r>
      <w:r w:rsidRPr="00DF2CE8">
        <w:rPr>
          <w:rFonts w:ascii="Cambria" w:hAnsi="Cambria"/>
          <w:b/>
          <w:i/>
          <w:sz w:val="20"/>
          <w:szCs w:val="20"/>
        </w:rPr>
        <w:t>PWG-415/2025</w:t>
      </w:r>
      <w:r w:rsidRPr="00DF2CE8">
        <w:rPr>
          <w:rFonts w:ascii="Cambria" w:hAnsi="Cambria"/>
          <w:i/>
          <w:sz w:val="20"/>
          <w:szCs w:val="20"/>
        </w:rPr>
        <w:t xml:space="preserve">. </w:t>
      </w:r>
    </w:p>
    <w:p w14:paraId="190C8447" w14:textId="77777777" w:rsidR="00581207" w:rsidRPr="00DF2CE8" w:rsidRDefault="00581207" w:rsidP="00581207">
      <w:pPr>
        <w:tabs>
          <w:tab w:val="left" w:pos="426"/>
        </w:tabs>
        <w:ind w:left="360"/>
        <w:jc w:val="both"/>
        <w:rPr>
          <w:rFonts w:ascii="Cambria" w:hAnsi="Cambria"/>
          <w:i/>
          <w:iCs/>
          <w:sz w:val="20"/>
          <w:szCs w:val="20"/>
        </w:rPr>
      </w:pPr>
    </w:p>
    <w:p w14:paraId="103B5995" w14:textId="77777777" w:rsidR="00581207" w:rsidRPr="00DF2CE8" w:rsidRDefault="00581207" w:rsidP="00581207">
      <w:pPr>
        <w:tabs>
          <w:tab w:val="left" w:pos="426"/>
        </w:tabs>
        <w:ind w:left="360"/>
        <w:jc w:val="both"/>
        <w:rPr>
          <w:rFonts w:ascii="Cambria" w:eastAsia="Calibri" w:hAnsi="Cambria"/>
          <w:i/>
          <w:iCs/>
          <w:sz w:val="20"/>
          <w:szCs w:val="20"/>
        </w:rPr>
      </w:pPr>
      <w:r w:rsidRPr="00DF2CE8">
        <w:rPr>
          <w:rFonts w:ascii="Cambria" w:hAnsi="Cambria"/>
          <w:i/>
          <w:sz w:val="20"/>
          <w:szCs w:val="20"/>
        </w:rPr>
        <w:t xml:space="preserve"> Le « Projet de Recommandation de l’ICCAT amendant la Rec. 06-13 concernant des mesures commerciales » a été soumis par l'Union européenne sous la référence </w:t>
      </w:r>
      <w:r w:rsidRPr="00DF2CE8">
        <w:rPr>
          <w:rFonts w:ascii="Cambria" w:hAnsi="Cambria"/>
          <w:b/>
          <w:i/>
          <w:sz w:val="20"/>
          <w:szCs w:val="20"/>
        </w:rPr>
        <w:t>PWG-420/2025</w:t>
      </w:r>
      <w:r w:rsidRPr="00DF2CE8">
        <w:rPr>
          <w:rFonts w:ascii="Cambria" w:hAnsi="Cambria"/>
          <w:i/>
          <w:sz w:val="20"/>
          <w:szCs w:val="20"/>
        </w:rPr>
        <w:t>.</w:t>
      </w:r>
    </w:p>
    <w:p w14:paraId="74B779B2" w14:textId="77777777" w:rsidR="00066A81" w:rsidRPr="00DF2CE8" w:rsidRDefault="00066A81" w:rsidP="00581207">
      <w:pPr>
        <w:tabs>
          <w:tab w:val="left" w:pos="426"/>
        </w:tabs>
        <w:ind w:left="360"/>
        <w:jc w:val="both"/>
        <w:rPr>
          <w:rFonts w:ascii="Cambria" w:eastAsia="Calibri" w:hAnsi="Cambria"/>
          <w:i/>
          <w:iCs/>
          <w:sz w:val="20"/>
          <w:szCs w:val="20"/>
        </w:rPr>
      </w:pPr>
    </w:p>
    <w:p w14:paraId="3B4BF5C7" w14:textId="5C5E908D" w:rsidR="00066A81" w:rsidRPr="00DF2CE8" w:rsidRDefault="00066A81" w:rsidP="00581207">
      <w:pPr>
        <w:tabs>
          <w:tab w:val="left" w:pos="426"/>
        </w:tabs>
        <w:ind w:left="360"/>
        <w:jc w:val="both"/>
        <w:rPr>
          <w:rFonts w:ascii="Cambria" w:eastAsia="Calibri" w:hAnsi="Cambria"/>
          <w:i/>
          <w:iCs/>
          <w:sz w:val="20"/>
          <w:szCs w:val="20"/>
        </w:rPr>
      </w:pPr>
      <w:r w:rsidRPr="00DF2CE8">
        <w:rPr>
          <w:rFonts w:ascii="Cambria" w:hAnsi="Cambria"/>
          <w:i/>
          <w:sz w:val="20"/>
          <w:szCs w:val="20"/>
        </w:rPr>
        <w:t xml:space="preserve">Le « Projet de Recommandation de l’ICCAT instaurant une interdiction des filets dérivants pour la capture de certaines espèces relevant de </w:t>
      </w:r>
      <w:r w:rsidR="00AB4EDC" w:rsidRPr="00DF2CE8">
        <w:rPr>
          <w:rFonts w:ascii="Cambria" w:hAnsi="Cambria"/>
          <w:i/>
          <w:sz w:val="20"/>
          <w:szCs w:val="20"/>
        </w:rPr>
        <w:t>l’ICCAT »</w:t>
      </w:r>
      <w:r w:rsidRPr="00DF2CE8">
        <w:rPr>
          <w:rFonts w:ascii="Cambria" w:hAnsi="Cambria"/>
          <w:i/>
          <w:sz w:val="20"/>
          <w:szCs w:val="20"/>
        </w:rPr>
        <w:t xml:space="preserve"> a été soumis par l'Union européenne sous la référence </w:t>
      </w:r>
      <w:r w:rsidRPr="00DF2CE8">
        <w:rPr>
          <w:rFonts w:ascii="Cambria" w:hAnsi="Cambria"/>
          <w:b/>
          <w:i/>
          <w:sz w:val="20"/>
          <w:szCs w:val="20"/>
        </w:rPr>
        <w:t>PWG-421/2025</w:t>
      </w:r>
      <w:r w:rsidRPr="00DF2CE8">
        <w:rPr>
          <w:rFonts w:ascii="Cambria" w:hAnsi="Cambria"/>
          <w:i/>
          <w:sz w:val="20"/>
          <w:szCs w:val="20"/>
        </w:rPr>
        <w:t>.</w:t>
      </w:r>
    </w:p>
    <w:p w14:paraId="4FE86F09" w14:textId="77777777" w:rsidR="00581207" w:rsidRPr="00DF2CE8" w:rsidRDefault="00581207" w:rsidP="00581207">
      <w:pPr>
        <w:tabs>
          <w:tab w:val="left" w:pos="426"/>
        </w:tabs>
        <w:ind w:left="720"/>
        <w:jc w:val="both"/>
        <w:rPr>
          <w:rFonts w:ascii="Cambria" w:hAnsi="Cambria"/>
          <w:sz w:val="20"/>
          <w:szCs w:val="20"/>
        </w:rPr>
      </w:pPr>
    </w:p>
    <w:p w14:paraId="22F8982B" w14:textId="77777777" w:rsidR="00581207" w:rsidRPr="00DF2CE8" w:rsidRDefault="00581207" w:rsidP="00581207">
      <w:pPr>
        <w:tabs>
          <w:tab w:val="left" w:pos="426"/>
        </w:tabs>
        <w:ind w:left="360"/>
        <w:jc w:val="both"/>
        <w:rPr>
          <w:rFonts w:ascii="Cambria" w:hAnsi="Cambria"/>
          <w:sz w:val="20"/>
          <w:szCs w:val="20"/>
        </w:rPr>
      </w:pPr>
      <w:r w:rsidRPr="00DF2CE8">
        <w:rPr>
          <w:rFonts w:ascii="Cambria" w:hAnsi="Cambria"/>
          <w:sz w:val="20"/>
          <w:szCs w:val="20"/>
        </w:rPr>
        <w:t>5.10 Autres questions</w:t>
      </w:r>
    </w:p>
    <w:p w14:paraId="35F272AD" w14:textId="77777777" w:rsidR="00581207" w:rsidRPr="00DF2CE8" w:rsidRDefault="00581207" w:rsidP="00581207">
      <w:pPr>
        <w:tabs>
          <w:tab w:val="left" w:pos="426"/>
        </w:tabs>
        <w:ind w:left="360"/>
        <w:jc w:val="both"/>
        <w:rPr>
          <w:rFonts w:ascii="Cambria" w:hAnsi="Cambria"/>
          <w:sz w:val="20"/>
          <w:szCs w:val="20"/>
        </w:rPr>
      </w:pPr>
    </w:p>
    <w:p w14:paraId="5A19CF7C" w14:textId="43D00118" w:rsidR="00581207" w:rsidRPr="00DF2CE8" w:rsidRDefault="00E92ECF" w:rsidP="00581207">
      <w:pPr>
        <w:tabs>
          <w:tab w:val="left" w:pos="810"/>
        </w:tabs>
        <w:ind w:left="360"/>
        <w:jc w:val="both"/>
        <w:rPr>
          <w:rFonts w:ascii="Cambria" w:hAnsi="Cambria"/>
          <w:i/>
          <w:iCs/>
          <w:sz w:val="20"/>
          <w:szCs w:val="20"/>
        </w:rPr>
      </w:pPr>
      <w:r w:rsidRPr="00DF2CE8">
        <w:rPr>
          <w:rFonts w:ascii="Cambria" w:hAnsi="Cambria"/>
          <w:i/>
          <w:sz w:val="20"/>
          <w:szCs w:val="20"/>
        </w:rPr>
        <w:t>L</w:t>
      </w:r>
      <w:proofErr w:type="gramStart"/>
      <w:r w:rsidRPr="00DF2CE8">
        <w:rPr>
          <w:rFonts w:ascii="Cambria" w:hAnsi="Cambria"/>
          <w:i/>
          <w:sz w:val="20"/>
          <w:szCs w:val="20"/>
        </w:rPr>
        <w:t>’</w:t>
      </w:r>
      <w:r w:rsidR="00581207" w:rsidRPr="00DF2CE8">
        <w:rPr>
          <w:rFonts w:ascii="Cambria" w:hAnsi="Cambria"/>
          <w:i/>
          <w:sz w:val="20"/>
          <w:szCs w:val="20"/>
        </w:rPr>
        <w:t>«</w:t>
      </w:r>
      <w:proofErr w:type="gramEnd"/>
      <w:r w:rsidR="00581207" w:rsidRPr="00DF2CE8">
        <w:rPr>
          <w:rFonts w:ascii="Cambria" w:hAnsi="Cambria"/>
          <w:i/>
          <w:sz w:val="20"/>
          <w:szCs w:val="20"/>
        </w:rPr>
        <w:t xml:space="preserve"> Analyse des obligations de déclaration de l’ICCAT » a été soumis par l'Union européenne sous la référence </w:t>
      </w:r>
      <w:r w:rsidR="00581207" w:rsidRPr="00DF2CE8">
        <w:rPr>
          <w:rFonts w:ascii="Cambria" w:hAnsi="Cambria"/>
          <w:b/>
          <w:i/>
          <w:sz w:val="20"/>
          <w:szCs w:val="20"/>
        </w:rPr>
        <w:t>PWG-427/2025</w:t>
      </w:r>
      <w:r w:rsidR="00581207" w:rsidRPr="00DF2CE8">
        <w:rPr>
          <w:rFonts w:ascii="Cambria" w:hAnsi="Cambria"/>
          <w:i/>
          <w:sz w:val="20"/>
          <w:szCs w:val="20"/>
        </w:rPr>
        <w:t>.</w:t>
      </w:r>
    </w:p>
    <w:p w14:paraId="2B39A961" w14:textId="77777777" w:rsidR="00581207" w:rsidRPr="00DF2CE8" w:rsidRDefault="00581207" w:rsidP="00581207">
      <w:pPr>
        <w:tabs>
          <w:tab w:val="left" w:pos="810"/>
        </w:tabs>
        <w:ind w:left="360"/>
        <w:jc w:val="both"/>
        <w:rPr>
          <w:rFonts w:ascii="Cambria" w:hAnsi="Cambria"/>
          <w:i/>
          <w:iCs/>
          <w:sz w:val="20"/>
          <w:szCs w:val="20"/>
        </w:rPr>
      </w:pPr>
    </w:p>
    <w:p w14:paraId="5E23C634" w14:textId="4208D64D" w:rsidR="00581207" w:rsidRPr="00DF2CE8" w:rsidRDefault="00581207" w:rsidP="00581207">
      <w:pPr>
        <w:tabs>
          <w:tab w:val="left" w:pos="810"/>
        </w:tabs>
        <w:ind w:left="360"/>
        <w:jc w:val="both"/>
        <w:rPr>
          <w:rFonts w:ascii="Cambria" w:hAnsi="Cambria"/>
          <w:i/>
          <w:iCs/>
          <w:sz w:val="20"/>
          <w:szCs w:val="20"/>
        </w:rPr>
      </w:pPr>
      <w:r w:rsidRPr="00DF2CE8">
        <w:rPr>
          <w:rFonts w:ascii="Cambria" w:hAnsi="Cambria"/>
          <w:i/>
          <w:sz w:val="20"/>
          <w:szCs w:val="20"/>
        </w:rPr>
        <w:t xml:space="preserve">Le Secrétariat a demandé quelques éclaircissements sur la </w:t>
      </w:r>
      <w:hyperlink r:id="rId29" w:history="1">
        <w:r w:rsidRPr="00DF2CE8">
          <w:rPr>
            <w:rStyle w:val="Hyperlink"/>
            <w:rFonts w:ascii="Cambria" w:hAnsi="Cambria"/>
            <w:i/>
            <w:sz w:val="20"/>
            <w:szCs w:val="20"/>
            <w:u w:val="none"/>
          </w:rPr>
          <w:t>Rec. 24-05</w:t>
        </w:r>
      </w:hyperlink>
      <w:r w:rsidRPr="00DF2CE8">
        <w:rPr>
          <w:rFonts w:ascii="Cambria" w:hAnsi="Cambria"/>
          <w:sz w:val="20"/>
          <w:szCs w:val="20"/>
        </w:rPr>
        <w:t xml:space="preserve"> </w:t>
      </w:r>
      <w:r w:rsidRPr="00DF2CE8">
        <w:rPr>
          <w:rFonts w:ascii="Cambria" w:hAnsi="Cambria"/>
          <w:i/>
          <w:sz w:val="20"/>
          <w:szCs w:val="20"/>
        </w:rPr>
        <w:t xml:space="preserve">; les questions et, le cas échéant, les réponses préliminaires figurent dans le </w:t>
      </w:r>
      <w:r w:rsidRPr="00DF2CE8">
        <w:rPr>
          <w:rFonts w:ascii="Cambria" w:hAnsi="Cambria"/>
          <w:b/>
          <w:i/>
          <w:sz w:val="20"/>
          <w:szCs w:val="20"/>
        </w:rPr>
        <w:t>PA2-606/2025</w:t>
      </w:r>
      <w:r w:rsidRPr="00DF2CE8">
        <w:rPr>
          <w:rFonts w:ascii="Cambria" w:hAnsi="Cambria"/>
          <w:i/>
          <w:sz w:val="20"/>
          <w:szCs w:val="20"/>
        </w:rPr>
        <w:t>. Il s'agit d'un document transversal qui doit être discuté à la fois par la Sous-commission 2 et par le PWG.</w:t>
      </w:r>
    </w:p>
    <w:p w14:paraId="1D779C2C" w14:textId="77777777" w:rsidR="00581207" w:rsidRPr="00DF2CE8" w:rsidRDefault="00581207" w:rsidP="00581207">
      <w:pPr>
        <w:tabs>
          <w:tab w:val="left" w:pos="426"/>
          <w:tab w:val="left" w:pos="851"/>
        </w:tabs>
        <w:ind w:left="360"/>
        <w:jc w:val="both"/>
        <w:rPr>
          <w:rFonts w:ascii="Cambria" w:hAnsi="Cambria"/>
          <w:sz w:val="20"/>
          <w:szCs w:val="20"/>
        </w:rPr>
      </w:pPr>
    </w:p>
    <w:p w14:paraId="10AF1150" w14:textId="5147188D" w:rsidR="00581207" w:rsidRPr="00DF2CE8" w:rsidRDefault="00581207" w:rsidP="00581207">
      <w:pPr>
        <w:pStyle w:val="ListParagraph"/>
        <w:widowControl w:val="0"/>
        <w:numPr>
          <w:ilvl w:val="0"/>
          <w:numId w:val="33"/>
        </w:numPr>
        <w:tabs>
          <w:tab w:val="left" w:pos="426"/>
        </w:tabs>
        <w:jc w:val="both"/>
        <w:rPr>
          <w:rFonts w:ascii="Cambria" w:hAnsi="Cambria"/>
          <w:sz w:val="20"/>
          <w:szCs w:val="20"/>
        </w:rPr>
      </w:pPr>
      <w:r w:rsidRPr="00DF2CE8">
        <w:rPr>
          <w:rFonts w:ascii="Cambria" w:hAnsi="Cambria"/>
          <w:sz w:val="20"/>
          <w:szCs w:val="20"/>
        </w:rPr>
        <w:t xml:space="preserve">Examen et élaboration de la liste de navires présumés avoir exercé des activités de pêche illicite, non déclaré et non réglementé (IUU) </w:t>
      </w:r>
    </w:p>
    <w:p w14:paraId="2737EEEC" w14:textId="77777777" w:rsidR="00581207" w:rsidRPr="00DF2CE8" w:rsidRDefault="00581207" w:rsidP="00581207">
      <w:pPr>
        <w:tabs>
          <w:tab w:val="left" w:pos="426"/>
        </w:tabs>
        <w:jc w:val="both"/>
        <w:rPr>
          <w:rFonts w:ascii="Cambria" w:hAnsi="Cambria"/>
          <w:sz w:val="20"/>
          <w:szCs w:val="20"/>
        </w:rPr>
      </w:pPr>
    </w:p>
    <w:p w14:paraId="27D5AACE" w14:textId="77777777" w:rsidR="00581207" w:rsidRPr="00DF2CE8" w:rsidRDefault="00581207" w:rsidP="00581207">
      <w:pPr>
        <w:tabs>
          <w:tab w:val="left" w:pos="426"/>
        </w:tabs>
        <w:ind w:left="360"/>
        <w:jc w:val="both"/>
        <w:rPr>
          <w:rFonts w:ascii="Cambria" w:hAnsi="Cambria"/>
          <w:b/>
          <w:bCs/>
          <w:i/>
          <w:iCs/>
          <w:sz w:val="20"/>
          <w:szCs w:val="20"/>
        </w:rPr>
      </w:pPr>
      <w:r w:rsidRPr="00DF2CE8">
        <w:rPr>
          <w:rFonts w:ascii="Cambria" w:hAnsi="Cambria"/>
          <w:i/>
          <w:sz w:val="20"/>
          <w:szCs w:val="20"/>
        </w:rPr>
        <w:t xml:space="preserve">Le « Projet de liste de 2025 des navires présumés avoir exercé des activités de pêche IUU » se trouve dans le </w:t>
      </w:r>
      <w:r w:rsidRPr="00DF2CE8">
        <w:rPr>
          <w:rFonts w:ascii="Cambria" w:hAnsi="Cambria"/>
          <w:b/>
          <w:bCs/>
          <w:i/>
          <w:sz w:val="20"/>
          <w:szCs w:val="20"/>
        </w:rPr>
        <w:t>PWG_405/2025</w:t>
      </w:r>
      <w:r w:rsidRPr="00DF2CE8">
        <w:rPr>
          <w:rFonts w:ascii="Cambria" w:hAnsi="Cambria"/>
          <w:i/>
          <w:sz w:val="20"/>
          <w:szCs w:val="20"/>
        </w:rPr>
        <w:t>.</w:t>
      </w:r>
      <w:r w:rsidRPr="00DF2CE8">
        <w:rPr>
          <w:rFonts w:ascii="Cambria" w:hAnsi="Cambria"/>
          <w:b/>
          <w:i/>
          <w:sz w:val="20"/>
          <w:szCs w:val="20"/>
        </w:rPr>
        <w:t xml:space="preserve"> </w:t>
      </w:r>
      <w:r w:rsidRPr="00DF2CE8">
        <w:rPr>
          <w:rFonts w:ascii="Cambria" w:hAnsi="Cambria"/>
          <w:i/>
          <w:sz w:val="20"/>
          <w:szCs w:val="20"/>
        </w:rPr>
        <w:t>Le projet de liste contient de nouveaux navires ainsi que des informations actualisées provenant d'autres ORGP thonières.</w:t>
      </w:r>
    </w:p>
    <w:p w14:paraId="4B0656DC" w14:textId="77777777" w:rsidR="00581207" w:rsidRPr="00DF2CE8" w:rsidRDefault="00581207" w:rsidP="00581207">
      <w:pPr>
        <w:tabs>
          <w:tab w:val="left" w:pos="426"/>
        </w:tabs>
        <w:jc w:val="both"/>
        <w:rPr>
          <w:rFonts w:ascii="Cambria" w:hAnsi="Cambria"/>
          <w:i/>
          <w:iCs/>
          <w:sz w:val="20"/>
          <w:szCs w:val="20"/>
        </w:rPr>
      </w:pPr>
    </w:p>
    <w:p w14:paraId="4D3F0E56" w14:textId="77777777" w:rsidR="00581207" w:rsidRPr="00DF2CE8" w:rsidRDefault="00581207" w:rsidP="00581207">
      <w:pPr>
        <w:pStyle w:val="ListParagraph"/>
        <w:widowControl w:val="0"/>
        <w:numPr>
          <w:ilvl w:val="0"/>
          <w:numId w:val="33"/>
        </w:numPr>
        <w:tabs>
          <w:tab w:val="left" w:pos="426"/>
        </w:tabs>
        <w:jc w:val="both"/>
        <w:rPr>
          <w:rFonts w:ascii="Cambria" w:hAnsi="Cambria"/>
          <w:sz w:val="20"/>
          <w:szCs w:val="20"/>
        </w:rPr>
      </w:pPr>
      <w:r w:rsidRPr="00DF2CE8">
        <w:rPr>
          <w:rFonts w:ascii="Cambria" w:hAnsi="Cambria"/>
          <w:sz w:val="20"/>
          <w:szCs w:val="20"/>
        </w:rPr>
        <w:t>Élection du Président et du Vice-président potentiel</w:t>
      </w:r>
    </w:p>
    <w:p w14:paraId="0715DFF9" w14:textId="77777777" w:rsidR="00581207" w:rsidRPr="00DF2CE8" w:rsidRDefault="00581207" w:rsidP="00581207">
      <w:pPr>
        <w:tabs>
          <w:tab w:val="left" w:pos="426"/>
        </w:tabs>
        <w:jc w:val="both"/>
        <w:rPr>
          <w:rFonts w:ascii="Cambria" w:hAnsi="Cambria"/>
          <w:sz w:val="20"/>
          <w:szCs w:val="20"/>
        </w:rPr>
      </w:pPr>
    </w:p>
    <w:p w14:paraId="6D3E080E" w14:textId="77777777" w:rsidR="00581207" w:rsidRPr="00DF2CE8" w:rsidRDefault="00581207" w:rsidP="00581207">
      <w:pPr>
        <w:pStyle w:val="ListParagraph"/>
        <w:tabs>
          <w:tab w:val="left" w:pos="426"/>
        </w:tabs>
        <w:ind w:left="360"/>
        <w:jc w:val="both"/>
        <w:rPr>
          <w:rFonts w:ascii="Cambria" w:hAnsi="Cambria"/>
          <w:sz w:val="20"/>
          <w:szCs w:val="20"/>
        </w:rPr>
      </w:pPr>
      <w:r w:rsidRPr="00DF2CE8">
        <w:rPr>
          <w:rFonts w:ascii="Cambria" w:hAnsi="Cambria"/>
          <w:i/>
          <w:sz w:val="20"/>
          <w:szCs w:val="20"/>
        </w:rPr>
        <w:t xml:space="preserve">Le Groupe de travail permanent pour l'amélioration des statistiques et des mesures de conservation de l’ICCAT doit élire un Président pour la période biennale 2026/2027. </w:t>
      </w:r>
    </w:p>
    <w:p w14:paraId="7FC7EE8D" w14:textId="77777777" w:rsidR="00581207" w:rsidRPr="00DF2CE8" w:rsidRDefault="00581207" w:rsidP="00581207">
      <w:pPr>
        <w:pStyle w:val="ListParagraph"/>
        <w:rPr>
          <w:rFonts w:ascii="Cambria" w:hAnsi="Cambria"/>
          <w:sz w:val="20"/>
          <w:szCs w:val="20"/>
        </w:rPr>
      </w:pPr>
    </w:p>
    <w:p w14:paraId="3417A5F6" w14:textId="77777777" w:rsidR="00581207" w:rsidRPr="00DF2CE8" w:rsidRDefault="00581207" w:rsidP="00581207">
      <w:pPr>
        <w:tabs>
          <w:tab w:val="left" w:pos="426"/>
        </w:tabs>
        <w:jc w:val="both"/>
        <w:rPr>
          <w:rFonts w:ascii="Cambria" w:hAnsi="Cambria"/>
          <w:sz w:val="20"/>
          <w:szCs w:val="20"/>
        </w:rPr>
      </w:pPr>
      <w:r w:rsidRPr="00DF2CE8">
        <w:rPr>
          <w:rFonts w:ascii="Cambria" w:hAnsi="Cambria"/>
          <w:sz w:val="20"/>
          <w:szCs w:val="20"/>
        </w:rPr>
        <w:t>8.</w:t>
      </w:r>
      <w:r w:rsidRPr="00DF2CE8">
        <w:rPr>
          <w:rFonts w:ascii="Cambria" w:hAnsi="Cambria"/>
          <w:sz w:val="20"/>
          <w:szCs w:val="20"/>
        </w:rPr>
        <w:tab/>
        <w:t>Réunion(s) intersession(s) et groupes de travail</w:t>
      </w:r>
    </w:p>
    <w:p w14:paraId="0A46A942" w14:textId="77777777" w:rsidR="00581207" w:rsidRPr="00DF2CE8" w:rsidRDefault="00581207" w:rsidP="00581207">
      <w:pPr>
        <w:pStyle w:val="ListParagraph"/>
        <w:tabs>
          <w:tab w:val="left" w:pos="426"/>
        </w:tabs>
        <w:ind w:left="360"/>
        <w:jc w:val="both"/>
        <w:rPr>
          <w:rFonts w:ascii="Cambria" w:hAnsi="Cambria"/>
          <w:sz w:val="20"/>
          <w:szCs w:val="20"/>
        </w:rPr>
      </w:pPr>
    </w:p>
    <w:p w14:paraId="53D8091D" w14:textId="77777777" w:rsidR="00581207" w:rsidRPr="00DF2CE8" w:rsidRDefault="00581207" w:rsidP="00581207">
      <w:pPr>
        <w:pStyle w:val="ListParagraph"/>
        <w:widowControl w:val="0"/>
        <w:numPr>
          <w:ilvl w:val="0"/>
          <w:numId w:val="34"/>
        </w:numPr>
        <w:tabs>
          <w:tab w:val="left" w:pos="426"/>
        </w:tabs>
        <w:jc w:val="both"/>
        <w:rPr>
          <w:rFonts w:ascii="Cambria" w:hAnsi="Cambria"/>
          <w:sz w:val="20"/>
          <w:szCs w:val="20"/>
        </w:rPr>
      </w:pPr>
      <w:r w:rsidRPr="00DF2CE8">
        <w:rPr>
          <w:rFonts w:ascii="Cambria" w:hAnsi="Cambria"/>
          <w:sz w:val="20"/>
          <w:szCs w:val="20"/>
        </w:rPr>
        <w:t>Autres questions</w:t>
      </w:r>
    </w:p>
    <w:p w14:paraId="21E289F5" w14:textId="77777777" w:rsidR="00581207" w:rsidRPr="00DF2CE8" w:rsidRDefault="00581207" w:rsidP="00581207">
      <w:pPr>
        <w:tabs>
          <w:tab w:val="left" w:pos="426"/>
        </w:tabs>
        <w:jc w:val="both"/>
        <w:rPr>
          <w:rFonts w:ascii="Cambria" w:hAnsi="Cambria"/>
          <w:sz w:val="20"/>
          <w:szCs w:val="20"/>
          <w:lang w:val="en-GB"/>
        </w:rPr>
      </w:pPr>
    </w:p>
    <w:p w14:paraId="0AD34F7A" w14:textId="77777777" w:rsidR="00581207" w:rsidRPr="00DF2CE8" w:rsidRDefault="00581207" w:rsidP="00581207">
      <w:pPr>
        <w:pStyle w:val="ListParagraph"/>
        <w:ind w:left="360"/>
        <w:rPr>
          <w:rFonts w:ascii="Cambria" w:hAnsi="Cambria"/>
          <w:i/>
          <w:iCs/>
          <w:sz w:val="20"/>
          <w:szCs w:val="20"/>
        </w:rPr>
      </w:pPr>
      <w:r w:rsidRPr="00DF2CE8">
        <w:rPr>
          <w:rFonts w:ascii="Cambria" w:hAnsi="Cambria"/>
          <w:i/>
          <w:sz w:val="20"/>
          <w:szCs w:val="20"/>
        </w:rPr>
        <w:t>Les CPC peuvent soulever toute autre question à inclure dans ce point de l'ordre du jour.</w:t>
      </w:r>
    </w:p>
    <w:p w14:paraId="679CBC22" w14:textId="77777777" w:rsidR="00581207" w:rsidRPr="00DF2CE8" w:rsidRDefault="00581207" w:rsidP="00581207">
      <w:pPr>
        <w:tabs>
          <w:tab w:val="left" w:pos="426"/>
        </w:tabs>
        <w:jc w:val="both"/>
        <w:rPr>
          <w:rFonts w:ascii="Cambria" w:eastAsia="Calibri" w:hAnsi="Cambria"/>
          <w:sz w:val="20"/>
          <w:szCs w:val="20"/>
        </w:rPr>
      </w:pPr>
    </w:p>
    <w:p w14:paraId="02EA42C4" w14:textId="77777777" w:rsidR="00581207" w:rsidRPr="00DF2CE8" w:rsidRDefault="00581207" w:rsidP="00581207">
      <w:pPr>
        <w:tabs>
          <w:tab w:val="left" w:pos="426"/>
        </w:tabs>
        <w:jc w:val="both"/>
        <w:rPr>
          <w:rFonts w:ascii="Cambria" w:hAnsi="Cambria"/>
          <w:sz w:val="20"/>
          <w:szCs w:val="20"/>
        </w:rPr>
      </w:pPr>
      <w:r w:rsidRPr="00DF2CE8">
        <w:rPr>
          <w:rFonts w:ascii="Cambria" w:hAnsi="Cambria"/>
          <w:sz w:val="20"/>
          <w:szCs w:val="20"/>
        </w:rPr>
        <w:t>10.</w:t>
      </w:r>
      <w:r w:rsidRPr="00DF2CE8">
        <w:rPr>
          <w:rFonts w:ascii="Cambria" w:hAnsi="Cambria"/>
          <w:sz w:val="20"/>
          <w:szCs w:val="20"/>
        </w:rPr>
        <w:tab/>
        <w:t xml:space="preserve">Adoption du rapport et clôture </w:t>
      </w:r>
    </w:p>
    <w:p w14:paraId="70100795" w14:textId="77777777" w:rsidR="00581207" w:rsidRPr="00DF2CE8" w:rsidRDefault="00581207" w:rsidP="00581207">
      <w:pPr>
        <w:jc w:val="center"/>
        <w:rPr>
          <w:rFonts w:ascii="Cambria" w:eastAsia="Calibri" w:hAnsi="Cambria"/>
          <w:sz w:val="20"/>
          <w:szCs w:val="20"/>
        </w:rPr>
      </w:pPr>
    </w:p>
    <w:bookmarkEnd w:id="1"/>
    <w:bookmarkEnd w:id="2"/>
    <w:p w14:paraId="31FFC9AE" w14:textId="0CABFE9D" w:rsidR="00AB4EDC" w:rsidRPr="00DF2CE8" w:rsidRDefault="00AB4EDC">
      <w:pPr>
        <w:spacing w:after="160" w:line="259" w:lineRule="auto"/>
        <w:rPr>
          <w:rFonts w:ascii="Cambria" w:hAnsi="Cambria"/>
          <w:b/>
          <w:bCs/>
          <w:sz w:val="20"/>
          <w:szCs w:val="20"/>
        </w:rPr>
      </w:pPr>
      <w:r w:rsidRPr="00DF2CE8">
        <w:rPr>
          <w:rFonts w:ascii="Cambria" w:hAnsi="Cambria"/>
          <w:b/>
          <w:bCs/>
          <w:sz w:val="20"/>
          <w:szCs w:val="20"/>
        </w:rPr>
        <w:br w:type="page"/>
      </w:r>
    </w:p>
    <w:p w14:paraId="250764A2" w14:textId="77777777" w:rsidR="00066705" w:rsidRPr="00DF2CE8" w:rsidRDefault="00066705" w:rsidP="001A68AB">
      <w:pPr>
        <w:autoSpaceDE w:val="0"/>
        <w:autoSpaceDN w:val="0"/>
        <w:adjustRightInd w:val="0"/>
        <w:jc w:val="center"/>
        <w:rPr>
          <w:rFonts w:ascii="Cambria" w:hAnsi="Cambria"/>
          <w:b/>
          <w:sz w:val="20"/>
          <w:szCs w:val="20"/>
        </w:rPr>
      </w:pPr>
    </w:p>
    <w:p w14:paraId="6955FC3A" w14:textId="7CB0C876" w:rsidR="001A68AB" w:rsidRPr="00DF2CE8" w:rsidRDefault="00CD7285" w:rsidP="001A68AB">
      <w:pPr>
        <w:autoSpaceDE w:val="0"/>
        <w:autoSpaceDN w:val="0"/>
        <w:adjustRightInd w:val="0"/>
        <w:jc w:val="center"/>
        <w:rPr>
          <w:rFonts w:ascii="Cambria" w:hAnsi="Cambria"/>
          <w:b/>
          <w:sz w:val="20"/>
          <w:szCs w:val="20"/>
        </w:rPr>
      </w:pPr>
      <w:r w:rsidRPr="00DF2CE8">
        <w:rPr>
          <w:rFonts w:ascii="Cambria" w:hAnsi="Cambria"/>
          <w:b/>
          <w:sz w:val="20"/>
          <w:szCs w:val="20"/>
        </w:rPr>
        <w:t>Comité permanent pour les finances et l’administration (STACFAD)</w:t>
      </w:r>
    </w:p>
    <w:p w14:paraId="22BA3A0E" w14:textId="77777777" w:rsidR="001A68AB" w:rsidRPr="00DF2CE8" w:rsidRDefault="001A68AB" w:rsidP="001A68AB">
      <w:pPr>
        <w:rPr>
          <w:rFonts w:ascii="Cambria" w:hAnsi="Cambria"/>
          <w:b/>
          <w:sz w:val="20"/>
          <w:szCs w:val="20"/>
        </w:rPr>
      </w:pPr>
    </w:p>
    <w:p w14:paraId="5D51DDA9" w14:textId="77777777" w:rsidR="001A68AB" w:rsidRPr="00DF2CE8" w:rsidRDefault="001A68AB" w:rsidP="001A68AB">
      <w:pPr>
        <w:rPr>
          <w:rFonts w:ascii="Cambria" w:hAnsi="Cambria"/>
          <w:bCs/>
          <w:sz w:val="20"/>
          <w:szCs w:val="20"/>
        </w:rPr>
      </w:pPr>
    </w:p>
    <w:p w14:paraId="28B18D8A" w14:textId="77777777" w:rsidR="001A68AB" w:rsidRPr="00DF2CE8" w:rsidRDefault="001A68AB" w:rsidP="001A68AB">
      <w:pPr>
        <w:tabs>
          <w:tab w:val="left" w:pos="426"/>
        </w:tabs>
        <w:ind w:left="426" w:hanging="426"/>
        <w:jc w:val="both"/>
        <w:rPr>
          <w:rFonts w:ascii="Cambria" w:hAnsi="Cambria"/>
          <w:bCs/>
          <w:sz w:val="20"/>
          <w:szCs w:val="20"/>
        </w:rPr>
      </w:pPr>
      <w:r w:rsidRPr="00DF2CE8">
        <w:rPr>
          <w:rFonts w:ascii="Cambria" w:hAnsi="Cambria"/>
          <w:bCs/>
          <w:sz w:val="20"/>
          <w:szCs w:val="20"/>
        </w:rPr>
        <w:t>1.</w:t>
      </w:r>
      <w:r w:rsidRPr="00DF2CE8">
        <w:rPr>
          <w:rFonts w:ascii="Cambria" w:hAnsi="Cambria"/>
          <w:bCs/>
          <w:sz w:val="20"/>
          <w:szCs w:val="20"/>
        </w:rPr>
        <w:tab/>
        <w:t>Ouverture de la réunion</w:t>
      </w:r>
    </w:p>
    <w:p w14:paraId="3E8FA540" w14:textId="77777777" w:rsidR="001A68AB" w:rsidRPr="00DF2CE8" w:rsidRDefault="001A68AB" w:rsidP="001A68AB">
      <w:pPr>
        <w:tabs>
          <w:tab w:val="left" w:pos="426"/>
        </w:tabs>
        <w:ind w:left="426" w:hanging="426"/>
        <w:jc w:val="both"/>
        <w:rPr>
          <w:rFonts w:ascii="Cambria" w:hAnsi="Cambria"/>
          <w:bCs/>
          <w:sz w:val="20"/>
          <w:szCs w:val="20"/>
        </w:rPr>
      </w:pPr>
    </w:p>
    <w:p w14:paraId="27C351FB" w14:textId="77777777" w:rsidR="001A68AB" w:rsidRPr="00DF2CE8" w:rsidRDefault="001A68AB" w:rsidP="001A68AB">
      <w:pPr>
        <w:tabs>
          <w:tab w:val="left" w:pos="426"/>
        </w:tabs>
        <w:ind w:left="884" w:hanging="432"/>
        <w:jc w:val="both"/>
        <w:rPr>
          <w:rFonts w:ascii="Cambria" w:hAnsi="Cambria"/>
          <w:bCs/>
          <w:sz w:val="20"/>
          <w:szCs w:val="20"/>
        </w:rPr>
      </w:pPr>
      <w:r w:rsidRPr="00DF2CE8">
        <w:rPr>
          <w:rFonts w:ascii="Cambria" w:hAnsi="Cambria"/>
          <w:i/>
          <w:sz w:val="20"/>
          <w:szCs w:val="20"/>
        </w:rPr>
        <w:t xml:space="preserve">Mme </w:t>
      </w:r>
      <w:proofErr w:type="spellStart"/>
      <w:r w:rsidRPr="00DF2CE8">
        <w:rPr>
          <w:rFonts w:ascii="Cambria" w:hAnsi="Cambria"/>
          <w:i/>
          <w:sz w:val="20"/>
          <w:szCs w:val="20"/>
        </w:rPr>
        <w:t>Deirdre</w:t>
      </w:r>
      <w:proofErr w:type="spellEnd"/>
      <w:r w:rsidRPr="00DF2CE8">
        <w:rPr>
          <w:rFonts w:ascii="Cambria" w:hAnsi="Cambria"/>
          <w:i/>
          <w:sz w:val="20"/>
          <w:szCs w:val="20"/>
        </w:rPr>
        <w:t xml:space="preserve"> Warner-Kramer (États-Unis), Présidente du STACFAD, ouvrira la réunion. </w:t>
      </w:r>
    </w:p>
    <w:p w14:paraId="0B2CD9D6" w14:textId="77777777" w:rsidR="001A68AB" w:rsidRPr="00DF2CE8" w:rsidRDefault="001A68AB" w:rsidP="001A68AB">
      <w:pPr>
        <w:tabs>
          <w:tab w:val="left" w:pos="426"/>
        </w:tabs>
        <w:ind w:left="426" w:hanging="426"/>
        <w:jc w:val="both"/>
        <w:rPr>
          <w:rFonts w:ascii="Cambria" w:hAnsi="Cambria"/>
          <w:bCs/>
          <w:sz w:val="20"/>
          <w:szCs w:val="20"/>
        </w:rPr>
      </w:pPr>
    </w:p>
    <w:p w14:paraId="52AD9D70" w14:textId="77777777" w:rsidR="001A68AB" w:rsidRPr="00DF2CE8" w:rsidRDefault="001A68AB" w:rsidP="001A68AB">
      <w:pPr>
        <w:tabs>
          <w:tab w:val="left" w:pos="426"/>
        </w:tabs>
        <w:ind w:left="426" w:hanging="426"/>
        <w:jc w:val="both"/>
        <w:rPr>
          <w:rFonts w:ascii="Cambria" w:hAnsi="Cambria"/>
          <w:bCs/>
          <w:sz w:val="20"/>
          <w:szCs w:val="20"/>
        </w:rPr>
      </w:pPr>
      <w:r w:rsidRPr="00DF2CE8">
        <w:rPr>
          <w:rFonts w:ascii="Cambria" w:hAnsi="Cambria"/>
          <w:bCs/>
          <w:sz w:val="20"/>
          <w:szCs w:val="20"/>
        </w:rPr>
        <w:t>2.</w:t>
      </w:r>
      <w:r w:rsidRPr="00DF2CE8">
        <w:rPr>
          <w:rFonts w:ascii="Cambria" w:hAnsi="Cambria"/>
          <w:bCs/>
          <w:sz w:val="20"/>
          <w:szCs w:val="20"/>
        </w:rPr>
        <w:tab/>
        <w:t>Désignation du rapporteur</w:t>
      </w:r>
    </w:p>
    <w:p w14:paraId="27115604" w14:textId="77777777" w:rsidR="00120AE6" w:rsidRPr="00DF2CE8" w:rsidRDefault="00120AE6" w:rsidP="001A68AB">
      <w:pPr>
        <w:tabs>
          <w:tab w:val="left" w:pos="426"/>
        </w:tabs>
        <w:ind w:left="426" w:hanging="426"/>
        <w:jc w:val="both"/>
        <w:rPr>
          <w:rFonts w:ascii="Cambria" w:hAnsi="Cambria"/>
          <w:b/>
          <w:sz w:val="20"/>
          <w:szCs w:val="20"/>
        </w:rPr>
      </w:pPr>
    </w:p>
    <w:p w14:paraId="3B9EE54A" w14:textId="58CE3E55" w:rsidR="00120AE6" w:rsidRPr="00DF2CE8" w:rsidRDefault="00120AE6" w:rsidP="001A68AB">
      <w:pPr>
        <w:tabs>
          <w:tab w:val="left" w:pos="426"/>
        </w:tabs>
        <w:ind w:left="426" w:hanging="426"/>
        <w:jc w:val="both"/>
        <w:rPr>
          <w:rFonts w:ascii="Cambria" w:hAnsi="Cambria"/>
          <w:bCs/>
          <w:i/>
          <w:iCs/>
          <w:sz w:val="20"/>
          <w:szCs w:val="20"/>
        </w:rPr>
      </w:pPr>
      <w:r w:rsidRPr="00DF2CE8">
        <w:rPr>
          <w:rFonts w:ascii="Cambria" w:hAnsi="Cambria"/>
          <w:i/>
          <w:sz w:val="20"/>
          <w:szCs w:val="20"/>
        </w:rPr>
        <w:tab/>
        <w:t>Le Secrétariat fera office de rapporteur.</w:t>
      </w:r>
    </w:p>
    <w:p w14:paraId="697DC274" w14:textId="77777777" w:rsidR="001A68AB" w:rsidRPr="00DF2CE8" w:rsidRDefault="001A68AB" w:rsidP="001A68AB">
      <w:pPr>
        <w:tabs>
          <w:tab w:val="left" w:pos="426"/>
        </w:tabs>
        <w:ind w:left="426" w:hanging="426"/>
        <w:jc w:val="both"/>
        <w:rPr>
          <w:rFonts w:ascii="Cambria" w:hAnsi="Cambria"/>
          <w:bCs/>
          <w:sz w:val="20"/>
          <w:szCs w:val="20"/>
        </w:rPr>
      </w:pPr>
    </w:p>
    <w:p w14:paraId="1899C425" w14:textId="4BA4047F" w:rsidR="001A68AB" w:rsidRPr="00DF2CE8" w:rsidRDefault="001A68AB" w:rsidP="001A68AB">
      <w:pPr>
        <w:tabs>
          <w:tab w:val="left" w:pos="426"/>
        </w:tabs>
        <w:ind w:left="426" w:hanging="426"/>
        <w:jc w:val="both"/>
        <w:rPr>
          <w:rFonts w:ascii="Cambria" w:hAnsi="Cambria"/>
          <w:bCs/>
          <w:sz w:val="20"/>
          <w:szCs w:val="20"/>
        </w:rPr>
      </w:pPr>
      <w:r w:rsidRPr="00DF2CE8">
        <w:rPr>
          <w:rFonts w:ascii="Cambria" w:hAnsi="Cambria"/>
          <w:bCs/>
          <w:sz w:val="20"/>
          <w:szCs w:val="20"/>
        </w:rPr>
        <w:t>3.</w:t>
      </w:r>
      <w:r w:rsidRPr="00DF2CE8">
        <w:rPr>
          <w:rFonts w:ascii="Cambria" w:hAnsi="Cambria"/>
          <w:bCs/>
          <w:sz w:val="20"/>
          <w:szCs w:val="20"/>
        </w:rPr>
        <w:tab/>
        <w:t>Adoption de l'ordre du jour</w:t>
      </w:r>
    </w:p>
    <w:p w14:paraId="5E067769" w14:textId="77777777" w:rsidR="001A68AB" w:rsidRPr="00DF2CE8" w:rsidRDefault="001A68AB" w:rsidP="001A68AB">
      <w:pPr>
        <w:tabs>
          <w:tab w:val="left" w:pos="426"/>
        </w:tabs>
        <w:ind w:left="426" w:hanging="426"/>
        <w:jc w:val="both"/>
        <w:rPr>
          <w:rFonts w:ascii="Cambria" w:hAnsi="Cambria"/>
          <w:bCs/>
          <w:sz w:val="20"/>
          <w:szCs w:val="20"/>
        </w:rPr>
      </w:pPr>
    </w:p>
    <w:p w14:paraId="391FEB49" w14:textId="39654578" w:rsidR="001A68AB" w:rsidRPr="00DF2CE8" w:rsidRDefault="001A68AB" w:rsidP="001A68AB">
      <w:pPr>
        <w:tabs>
          <w:tab w:val="left" w:pos="426"/>
        </w:tabs>
        <w:ind w:left="446"/>
        <w:jc w:val="both"/>
        <w:rPr>
          <w:rFonts w:ascii="Cambria" w:hAnsi="Cambria"/>
          <w:bCs/>
          <w:sz w:val="20"/>
          <w:szCs w:val="20"/>
        </w:rPr>
      </w:pPr>
      <w:r w:rsidRPr="00DF2CE8">
        <w:rPr>
          <w:rFonts w:ascii="Cambria" w:hAnsi="Cambria"/>
          <w:i/>
          <w:sz w:val="20"/>
          <w:szCs w:val="20"/>
        </w:rPr>
        <w:t xml:space="preserve">L’ordre du jour a été diffusé sous la référence </w:t>
      </w:r>
      <w:r w:rsidRPr="00DF2CE8">
        <w:rPr>
          <w:rFonts w:ascii="Cambria" w:hAnsi="Cambria"/>
          <w:b/>
          <w:i/>
          <w:sz w:val="20"/>
          <w:szCs w:val="20"/>
        </w:rPr>
        <w:t>STF_200</w:t>
      </w:r>
      <w:r w:rsidR="000A2399" w:rsidRPr="00DF2CE8">
        <w:rPr>
          <w:rFonts w:ascii="Cambria" w:hAnsi="Cambria"/>
          <w:b/>
          <w:i/>
          <w:sz w:val="20"/>
          <w:szCs w:val="20"/>
        </w:rPr>
        <w:t>_REV_1</w:t>
      </w:r>
      <w:r w:rsidRPr="00DF2CE8">
        <w:rPr>
          <w:rFonts w:ascii="Cambria" w:hAnsi="Cambria"/>
          <w:b/>
          <w:i/>
          <w:sz w:val="20"/>
          <w:szCs w:val="20"/>
        </w:rPr>
        <w:t>/2025</w:t>
      </w:r>
      <w:r w:rsidRPr="00DF2CE8">
        <w:rPr>
          <w:rFonts w:ascii="Cambria" w:hAnsi="Cambria"/>
          <w:i/>
          <w:sz w:val="20"/>
          <w:szCs w:val="20"/>
        </w:rPr>
        <w:t>.</w:t>
      </w:r>
    </w:p>
    <w:p w14:paraId="189217D4" w14:textId="77777777" w:rsidR="001A68AB" w:rsidRPr="00DF2CE8" w:rsidRDefault="001A68AB" w:rsidP="001A68AB">
      <w:pPr>
        <w:tabs>
          <w:tab w:val="left" w:pos="426"/>
        </w:tabs>
        <w:ind w:left="426" w:hanging="426"/>
        <w:jc w:val="both"/>
        <w:rPr>
          <w:rFonts w:ascii="Cambria" w:hAnsi="Cambria"/>
          <w:bCs/>
          <w:sz w:val="20"/>
          <w:szCs w:val="20"/>
        </w:rPr>
      </w:pPr>
    </w:p>
    <w:p w14:paraId="37A8DE5B" w14:textId="77777777" w:rsidR="001A68AB" w:rsidRPr="00DF2CE8" w:rsidRDefault="001A68AB" w:rsidP="001A68AB">
      <w:pPr>
        <w:tabs>
          <w:tab w:val="left" w:pos="426"/>
        </w:tabs>
        <w:ind w:left="432" w:hanging="432"/>
        <w:jc w:val="both"/>
        <w:rPr>
          <w:rFonts w:ascii="Cambria" w:hAnsi="Cambria"/>
          <w:bCs/>
          <w:sz w:val="20"/>
          <w:szCs w:val="20"/>
        </w:rPr>
      </w:pPr>
      <w:r w:rsidRPr="00DF2CE8">
        <w:rPr>
          <w:rFonts w:ascii="Cambria" w:hAnsi="Cambria"/>
          <w:bCs/>
          <w:sz w:val="20"/>
          <w:szCs w:val="20"/>
        </w:rPr>
        <w:t>4.</w:t>
      </w:r>
      <w:r w:rsidRPr="00DF2CE8">
        <w:rPr>
          <w:rFonts w:ascii="Cambria" w:hAnsi="Cambria"/>
          <w:bCs/>
          <w:sz w:val="20"/>
          <w:szCs w:val="20"/>
        </w:rPr>
        <w:tab/>
        <w:t>Rapports du Secrétariat</w:t>
      </w:r>
    </w:p>
    <w:p w14:paraId="646727B1" w14:textId="77777777" w:rsidR="001A68AB" w:rsidRPr="00DF2CE8" w:rsidRDefault="001A68AB" w:rsidP="001A68AB">
      <w:pPr>
        <w:tabs>
          <w:tab w:val="left" w:pos="426"/>
        </w:tabs>
        <w:ind w:left="426" w:hanging="426"/>
        <w:jc w:val="both"/>
        <w:rPr>
          <w:rFonts w:ascii="Cambria" w:hAnsi="Cambria"/>
          <w:bCs/>
          <w:sz w:val="20"/>
          <w:szCs w:val="20"/>
        </w:rPr>
      </w:pPr>
    </w:p>
    <w:p w14:paraId="646A9AF3" w14:textId="02660980" w:rsidR="001A68AB" w:rsidRPr="00DF2CE8" w:rsidRDefault="001A68AB" w:rsidP="001A68AB">
      <w:pPr>
        <w:tabs>
          <w:tab w:val="left" w:pos="426"/>
          <w:tab w:val="left" w:pos="851"/>
        </w:tabs>
        <w:jc w:val="both"/>
        <w:rPr>
          <w:rFonts w:ascii="Cambria" w:hAnsi="Cambria"/>
          <w:bCs/>
          <w:iCs/>
          <w:sz w:val="20"/>
          <w:szCs w:val="20"/>
        </w:rPr>
      </w:pPr>
      <w:r w:rsidRPr="00DF2CE8">
        <w:rPr>
          <w:rFonts w:ascii="Cambria" w:hAnsi="Cambria"/>
          <w:bCs/>
          <w:iCs/>
          <w:sz w:val="20"/>
          <w:szCs w:val="20"/>
        </w:rPr>
        <w:tab/>
        <w:t>4.1</w:t>
      </w:r>
      <w:r w:rsidRPr="00DF2CE8">
        <w:rPr>
          <w:rFonts w:ascii="Cambria" w:hAnsi="Cambria"/>
          <w:bCs/>
          <w:iCs/>
          <w:sz w:val="20"/>
          <w:szCs w:val="20"/>
        </w:rPr>
        <w:tab/>
        <w:t>Rapport administratif de 2025</w:t>
      </w:r>
    </w:p>
    <w:p w14:paraId="5E2A0DAD" w14:textId="77777777" w:rsidR="00B3628C" w:rsidRPr="00DF2CE8" w:rsidRDefault="00B3628C" w:rsidP="001A68AB">
      <w:pPr>
        <w:tabs>
          <w:tab w:val="left" w:pos="426"/>
          <w:tab w:val="left" w:pos="851"/>
        </w:tabs>
        <w:jc w:val="both"/>
        <w:rPr>
          <w:rFonts w:ascii="Cambria" w:hAnsi="Cambria"/>
          <w:bCs/>
          <w:sz w:val="20"/>
          <w:szCs w:val="20"/>
        </w:rPr>
      </w:pPr>
    </w:p>
    <w:p w14:paraId="68C73A76" w14:textId="1F871F8F" w:rsidR="001A68AB" w:rsidRPr="00DF2CE8" w:rsidRDefault="001A68AB" w:rsidP="001A68AB">
      <w:pPr>
        <w:tabs>
          <w:tab w:val="left" w:pos="426"/>
          <w:tab w:val="left" w:pos="851"/>
        </w:tabs>
        <w:ind w:left="446"/>
        <w:jc w:val="both"/>
        <w:rPr>
          <w:rFonts w:ascii="Cambria" w:hAnsi="Cambria"/>
          <w:bCs/>
          <w:i/>
          <w:iCs/>
          <w:sz w:val="20"/>
          <w:szCs w:val="20"/>
        </w:rPr>
      </w:pPr>
      <w:r w:rsidRPr="00DF2CE8">
        <w:rPr>
          <w:rFonts w:ascii="Cambria" w:hAnsi="Cambria"/>
          <w:i/>
          <w:sz w:val="20"/>
          <w:szCs w:val="20"/>
        </w:rPr>
        <w:t xml:space="preserve">Le rapport a été publié sous la référence </w:t>
      </w:r>
      <w:r w:rsidRPr="00DF2CE8">
        <w:rPr>
          <w:rFonts w:ascii="Cambria" w:hAnsi="Cambria"/>
          <w:b/>
          <w:i/>
          <w:sz w:val="20"/>
          <w:szCs w:val="20"/>
        </w:rPr>
        <w:t>STF_201/2025</w:t>
      </w:r>
      <w:r w:rsidRPr="00DF2CE8">
        <w:rPr>
          <w:rFonts w:ascii="Cambria" w:hAnsi="Cambria"/>
          <w:i/>
          <w:sz w:val="20"/>
          <w:szCs w:val="20"/>
        </w:rPr>
        <w:t>.</w:t>
      </w:r>
    </w:p>
    <w:p w14:paraId="3E1AA712" w14:textId="77777777" w:rsidR="001A68AB" w:rsidRPr="00DF2CE8" w:rsidRDefault="001A68AB" w:rsidP="001A68AB">
      <w:pPr>
        <w:tabs>
          <w:tab w:val="left" w:pos="426"/>
          <w:tab w:val="left" w:pos="851"/>
        </w:tabs>
        <w:jc w:val="both"/>
        <w:rPr>
          <w:rFonts w:ascii="Cambria" w:hAnsi="Cambria"/>
          <w:bCs/>
          <w:sz w:val="20"/>
          <w:szCs w:val="20"/>
        </w:rPr>
      </w:pPr>
    </w:p>
    <w:p w14:paraId="1F882E17" w14:textId="1DD2834D" w:rsidR="001A68AB" w:rsidRPr="00DF2CE8" w:rsidRDefault="001A68AB" w:rsidP="001A68AB">
      <w:pPr>
        <w:tabs>
          <w:tab w:val="left" w:pos="426"/>
          <w:tab w:val="left" w:pos="851"/>
        </w:tabs>
        <w:jc w:val="both"/>
        <w:rPr>
          <w:rFonts w:ascii="Cambria" w:hAnsi="Cambria"/>
          <w:bCs/>
          <w:iCs/>
          <w:sz w:val="20"/>
          <w:szCs w:val="20"/>
        </w:rPr>
      </w:pPr>
      <w:r w:rsidRPr="00DF2CE8">
        <w:rPr>
          <w:rFonts w:ascii="Cambria" w:hAnsi="Cambria"/>
          <w:bCs/>
          <w:iCs/>
          <w:sz w:val="20"/>
          <w:szCs w:val="20"/>
        </w:rPr>
        <w:tab/>
        <w:t>4.2 Rapport financier de 2025</w:t>
      </w:r>
    </w:p>
    <w:p w14:paraId="6BD03FF9" w14:textId="77777777" w:rsidR="00B3628C" w:rsidRPr="00DF2CE8" w:rsidRDefault="00B3628C" w:rsidP="001A68AB">
      <w:pPr>
        <w:tabs>
          <w:tab w:val="left" w:pos="426"/>
          <w:tab w:val="left" w:pos="851"/>
        </w:tabs>
        <w:jc w:val="both"/>
        <w:rPr>
          <w:rFonts w:ascii="Cambria" w:hAnsi="Cambria"/>
          <w:bCs/>
          <w:sz w:val="20"/>
          <w:szCs w:val="20"/>
        </w:rPr>
      </w:pPr>
    </w:p>
    <w:p w14:paraId="465CE5F2" w14:textId="5D9DB4DC" w:rsidR="001A68AB" w:rsidRPr="00DF2CE8" w:rsidRDefault="001A68AB" w:rsidP="001A68AB">
      <w:pPr>
        <w:tabs>
          <w:tab w:val="left" w:pos="450"/>
        </w:tabs>
        <w:ind w:left="446"/>
        <w:jc w:val="both"/>
        <w:rPr>
          <w:rFonts w:ascii="Cambria" w:hAnsi="Cambria"/>
          <w:bCs/>
          <w:i/>
          <w:iCs/>
          <w:sz w:val="20"/>
          <w:szCs w:val="20"/>
        </w:rPr>
      </w:pPr>
      <w:r w:rsidRPr="00DF2CE8">
        <w:rPr>
          <w:rFonts w:ascii="Cambria" w:hAnsi="Cambria"/>
          <w:i/>
          <w:sz w:val="20"/>
          <w:szCs w:val="20"/>
        </w:rPr>
        <w:t>Le Rapport financier a été publié sous la référence</w:t>
      </w:r>
      <w:r w:rsidRPr="00DF2CE8">
        <w:rPr>
          <w:rFonts w:ascii="Cambria" w:hAnsi="Cambria"/>
          <w:b/>
          <w:i/>
          <w:sz w:val="20"/>
          <w:szCs w:val="20"/>
        </w:rPr>
        <w:t xml:space="preserve"> STF_202</w:t>
      </w:r>
      <w:r w:rsidR="000A2399" w:rsidRPr="00DF2CE8">
        <w:rPr>
          <w:rFonts w:ascii="Cambria" w:hAnsi="Cambria"/>
          <w:b/>
          <w:i/>
          <w:sz w:val="20"/>
          <w:szCs w:val="20"/>
        </w:rPr>
        <w:t>_REV_1</w:t>
      </w:r>
      <w:r w:rsidRPr="00DF2CE8">
        <w:rPr>
          <w:rFonts w:ascii="Cambria" w:hAnsi="Cambria"/>
          <w:b/>
          <w:i/>
          <w:sz w:val="20"/>
          <w:szCs w:val="20"/>
        </w:rPr>
        <w:t xml:space="preserve">/2025. </w:t>
      </w:r>
    </w:p>
    <w:p w14:paraId="74EE5A97" w14:textId="77777777" w:rsidR="001A68AB" w:rsidRPr="00DF2CE8" w:rsidRDefault="001A68AB" w:rsidP="001A68AB">
      <w:pPr>
        <w:tabs>
          <w:tab w:val="left" w:pos="426"/>
          <w:tab w:val="left" w:pos="851"/>
        </w:tabs>
        <w:jc w:val="both"/>
        <w:rPr>
          <w:rFonts w:ascii="Cambria" w:hAnsi="Cambria"/>
          <w:bCs/>
          <w:sz w:val="20"/>
          <w:szCs w:val="20"/>
        </w:rPr>
      </w:pPr>
    </w:p>
    <w:p w14:paraId="77163F59" w14:textId="0AC8A7E0" w:rsidR="001A68AB" w:rsidRPr="00DF2CE8" w:rsidRDefault="001A68AB" w:rsidP="00257170">
      <w:pPr>
        <w:ind w:left="426"/>
        <w:jc w:val="both"/>
        <w:rPr>
          <w:rFonts w:ascii="Cambria" w:hAnsi="Cambria"/>
          <w:bCs/>
          <w:iCs/>
          <w:sz w:val="20"/>
          <w:szCs w:val="20"/>
        </w:rPr>
      </w:pPr>
      <w:r w:rsidRPr="00DF2CE8">
        <w:rPr>
          <w:rFonts w:ascii="Cambria" w:hAnsi="Cambria"/>
          <w:bCs/>
          <w:iCs/>
          <w:sz w:val="20"/>
          <w:szCs w:val="20"/>
        </w:rPr>
        <w:t>4.3</w:t>
      </w:r>
      <w:r w:rsidR="00257170" w:rsidRPr="00DF2CE8">
        <w:rPr>
          <w:rFonts w:ascii="Cambria" w:hAnsi="Cambria"/>
          <w:bCs/>
          <w:iCs/>
          <w:sz w:val="20"/>
          <w:szCs w:val="20"/>
        </w:rPr>
        <w:t xml:space="preserve"> </w:t>
      </w:r>
      <w:r w:rsidRPr="00DF2CE8">
        <w:rPr>
          <w:rFonts w:ascii="Cambria" w:hAnsi="Cambria"/>
          <w:bCs/>
          <w:iCs/>
          <w:sz w:val="20"/>
          <w:szCs w:val="20"/>
        </w:rPr>
        <w:t>Examen des progrès réalisés en ce qui concerne le paiement des arriérés de contributions et les droits de vote</w:t>
      </w:r>
    </w:p>
    <w:p w14:paraId="561BBC90" w14:textId="77777777" w:rsidR="00B3628C" w:rsidRPr="00DF2CE8" w:rsidRDefault="00B3628C" w:rsidP="001A68AB">
      <w:pPr>
        <w:tabs>
          <w:tab w:val="left" w:pos="426"/>
          <w:tab w:val="left" w:pos="851"/>
        </w:tabs>
        <w:jc w:val="both"/>
        <w:rPr>
          <w:rFonts w:ascii="Cambria" w:hAnsi="Cambria"/>
          <w:bCs/>
          <w:sz w:val="20"/>
          <w:szCs w:val="20"/>
        </w:rPr>
      </w:pPr>
    </w:p>
    <w:p w14:paraId="2B893A23" w14:textId="3223A14D" w:rsidR="001A68AB" w:rsidRPr="00DF2CE8" w:rsidRDefault="001A68AB" w:rsidP="001A68AB">
      <w:pPr>
        <w:tabs>
          <w:tab w:val="left" w:pos="426"/>
          <w:tab w:val="left" w:pos="851"/>
        </w:tabs>
        <w:ind w:left="446"/>
        <w:jc w:val="both"/>
        <w:rPr>
          <w:rFonts w:ascii="Cambria" w:hAnsi="Cambria"/>
          <w:bCs/>
          <w:i/>
          <w:sz w:val="20"/>
          <w:szCs w:val="20"/>
        </w:rPr>
      </w:pPr>
      <w:r w:rsidRPr="00DF2CE8">
        <w:rPr>
          <w:rFonts w:ascii="Cambria" w:hAnsi="Cambria"/>
          <w:i/>
          <w:sz w:val="20"/>
          <w:szCs w:val="20"/>
        </w:rPr>
        <w:t xml:space="preserve">Les informations seront diffusées lors de la réunion en tenant compte des informations les plus actualisées disponibles à travers le </w:t>
      </w:r>
      <w:r w:rsidR="00787037" w:rsidRPr="00DF2CE8">
        <w:rPr>
          <w:rFonts w:ascii="Cambria" w:hAnsi="Cambria"/>
          <w:i/>
          <w:sz w:val="20"/>
          <w:szCs w:val="20"/>
        </w:rPr>
        <w:t>document « </w:t>
      </w:r>
      <w:r w:rsidRPr="00DF2CE8">
        <w:rPr>
          <w:rFonts w:ascii="Cambria" w:hAnsi="Cambria"/>
          <w:i/>
          <w:sz w:val="20"/>
          <w:szCs w:val="20"/>
        </w:rPr>
        <w:t>Informations sur les arriérés de contributions et les plans de paiement des arriérés</w:t>
      </w:r>
      <w:r w:rsidR="00787037" w:rsidRPr="00DF2CE8">
        <w:rPr>
          <w:rFonts w:ascii="Cambria" w:hAnsi="Cambria"/>
          <w:i/>
          <w:sz w:val="20"/>
          <w:szCs w:val="20"/>
        </w:rPr>
        <w:t xml:space="preserve"> » </w:t>
      </w:r>
      <w:r w:rsidR="009744EB" w:rsidRPr="00DF2CE8">
        <w:rPr>
          <w:rFonts w:ascii="Cambria" w:hAnsi="Cambria"/>
          <w:i/>
          <w:sz w:val="20"/>
          <w:szCs w:val="20"/>
        </w:rPr>
        <w:t>(</w:t>
      </w:r>
      <w:r w:rsidR="00787037" w:rsidRPr="00DF2CE8">
        <w:rPr>
          <w:rFonts w:ascii="Cambria" w:hAnsi="Cambria"/>
          <w:b/>
          <w:i/>
          <w:sz w:val="20"/>
          <w:szCs w:val="20"/>
        </w:rPr>
        <w:t>STF_205_REV_1/2025</w:t>
      </w:r>
      <w:r w:rsidR="009744EB" w:rsidRPr="00DF2CE8">
        <w:rPr>
          <w:rFonts w:ascii="Cambria" w:hAnsi="Cambria"/>
          <w:b/>
          <w:i/>
          <w:sz w:val="20"/>
          <w:szCs w:val="20"/>
        </w:rPr>
        <w:t>)</w:t>
      </w:r>
      <w:r w:rsidRPr="00DF2CE8">
        <w:rPr>
          <w:rFonts w:ascii="Cambria" w:hAnsi="Cambria"/>
          <w:i/>
          <w:sz w:val="20"/>
          <w:szCs w:val="20"/>
        </w:rPr>
        <w:t>.</w:t>
      </w:r>
    </w:p>
    <w:p w14:paraId="4A880D7B" w14:textId="77777777" w:rsidR="001A68AB" w:rsidRPr="00DF2CE8" w:rsidRDefault="001A68AB" w:rsidP="001A68AB">
      <w:pPr>
        <w:tabs>
          <w:tab w:val="left" w:pos="426"/>
          <w:tab w:val="left" w:pos="851"/>
        </w:tabs>
        <w:jc w:val="both"/>
        <w:rPr>
          <w:rFonts w:ascii="Cambria" w:hAnsi="Cambria"/>
          <w:bCs/>
          <w:sz w:val="20"/>
          <w:szCs w:val="20"/>
        </w:rPr>
      </w:pPr>
    </w:p>
    <w:p w14:paraId="607A0D6F" w14:textId="77777777" w:rsidR="001A68AB" w:rsidRPr="00DF2CE8" w:rsidRDefault="001A68AB" w:rsidP="001A68AB">
      <w:pPr>
        <w:ind w:left="432" w:hanging="432"/>
        <w:jc w:val="both"/>
        <w:rPr>
          <w:rFonts w:ascii="Cambria" w:hAnsi="Cambria"/>
          <w:bCs/>
          <w:sz w:val="20"/>
          <w:szCs w:val="20"/>
        </w:rPr>
      </w:pPr>
      <w:bookmarkStart w:id="5" w:name="_Hlk104888643"/>
      <w:r w:rsidRPr="00DF2CE8">
        <w:rPr>
          <w:rFonts w:ascii="Cambria" w:hAnsi="Cambria"/>
          <w:bCs/>
          <w:sz w:val="20"/>
          <w:szCs w:val="20"/>
        </w:rPr>
        <w:t>5.</w:t>
      </w:r>
      <w:r w:rsidRPr="00DF2CE8">
        <w:rPr>
          <w:rFonts w:ascii="Cambria" w:hAnsi="Cambria"/>
          <w:bCs/>
          <w:sz w:val="20"/>
          <w:szCs w:val="20"/>
        </w:rPr>
        <w:tab/>
        <w:t>Assistance aux CPC en développement</w:t>
      </w:r>
    </w:p>
    <w:p w14:paraId="45624ECA" w14:textId="77777777" w:rsidR="001A68AB" w:rsidRPr="00DF2CE8" w:rsidRDefault="001A68AB" w:rsidP="001A68AB">
      <w:pPr>
        <w:rPr>
          <w:rFonts w:ascii="Cambria" w:hAnsi="Cambria"/>
          <w:bCs/>
          <w:sz w:val="20"/>
          <w:szCs w:val="20"/>
        </w:rPr>
      </w:pPr>
    </w:p>
    <w:p w14:paraId="677571B3" w14:textId="77777777" w:rsidR="001A68AB" w:rsidRPr="00DF2CE8" w:rsidRDefault="001A68AB" w:rsidP="009B7444">
      <w:pPr>
        <w:ind w:left="446"/>
        <w:jc w:val="both"/>
        <w:rPr>
          <w:rFonts w:ascii="Cambria" w:hAnsi="Cambria"/>
          <w:bCs/>
          <w:iCs/>
          <w:sz w:val="20"/>
          <w:szCs w:val="20"/>
        </w:rPr>
      </w:pPr>
      <w:r w:rsidRPr="00DF2CE8">
        <w:rPr>
          <w:rFonts w:ascii="Cambria" w:hAnsi="Cambria"/>
          <w:bCs/>
          <w:iCs/>
          <w:sz w:val="20"/>
          <w:szCs w:val="20"/>
        </w:rPr>
        <w:t>5.1 Révision des procédures et du financement du Fonds de participation aux réunions (MPF)</w:t>
      </w:r>
    </w:p>
    <w:p w14:paraId="1F97C376" w14:textId="77777777" w:rsidR="001A68AB" w:rsidRPr="00DF2CE8" w:rsidRDefault="001A68AB" w:rsidP="001A68AB">
      <w:pPr>
        <w:ind w:left="446"/>
        <w:rPr>
          <w:rFonts w:ascii="Cambria" w:hAnsi="Cambria"/>
          <w:bCs/>
          <w:sz w:val="20"/>
          <w:szCs w:val="20"/>
        </w:rPr>
      </w:pPr>
    </w:p>
    <w:p w14:paraId="148BBD81" w14:textId="2E99A0E9" w:rsidR="00560E13" w:rsidRPr="00DF2CE8" w:rsidRDefault="00560E13" w:rsidP="00AE7CC5">
      <w:pPr>
        <w:tabs>
          <w:tab w:val="left" w:pos="426"/>
          <w:tab w:val="left" w:pos="851"/>
        </w:tabs>
        <w:ind w:left="446"/>
        <w:jc w:val="both"/>
        <w:rPr>
          <w:rFonts w:ascii="Cambria" w:hAnsi="Cambria"/>
          <w:b/>
          <w:bCs/>
          <w:i/>
          <w:iCs/>
          <w:sz w:val="20"/>
          <w:szCs w:val="20"/>
        </w:rPr>
      </w:pPr>
      <w:r w:rsidRPr="00DF2CE8">
        <w:rPr>
          <w:rFonts w:ascii="Cambria" w:hAnsi="Cambria"/>
          <w:i/>
          <w:iCs/>
          <w:sz w:val="20"/>
          <w:szCs w:val="20"/>
        </w:rPr>
        <w:t xml:space="preserve">Les informations sur les dépenses du </w:t>
      </w:r>
      <w:r w:rsidR="004E7D53" w:rsidRPr="00DF2CE8">
        <w:rPr>
          <w:rFonts w:ascii="Cambria" w:hAnsi="Cambria"/>
          <w:i/>
          <w:iCs/>
          <w:sz w:val="20"/>
          <w:szCs w:val="20"/>
        </w:rPr>
        <w:t>F</w:t>
      </w:r>
      <w:r w:rsidRPr="00DF2CE8">
        <w:rPr>
          <w:rFonts w:ascii="Cambria" w:hAnsi="Cambria"/>
          <w:i/>
          <w:iCs/>
          <w:sz w:val="20"/>
          <w:szCs w:val="20"/>
        </w:rPr>
        <w:t>onds de participation aux réunions</w:t>
      </w:r>
      <w:r w:rsidR="003D5E37" w:rsidRPr="00DF2CE8">
        <w:rPr>
          <w:rFonts w:ascii="Cambria" w:hAnsi="Cambria"/>
          <w:i/>
          <w:iCs/>
          <w:sz w:val="20"/>
          <w:szCs w:val="20"/>
        </w:rPr>
        <w:t xml:space="preserve"> sont fournies dans le</w:t>
      </w:r>
      <w:r w:rsidR="003D5E37" w:rsidRPr="00DF2CE8">
        <w:rPr>
          <w:rFonts w:ascii="Cambria" w:hAnsi="Cambria"/>
          <w:b/>
          <w:bCs/>
          <w:i/>
          <w:iCs/>
          <w:sz w:val="20"/>
          <w:szCs w:val="20"/>
        </w:rPr>
        <w:t xml:space="preserve"> STF-206/2025.</w:t>
      </w:r>
    </w:p>
    <w:p w14:paraId="0461021A" w14:textId="77777777" w:rsidR="004E7D53" w:rsidRPr="00DF2CE8" w:rsidRDefault="004E7D53" w:rsidP="00AE7CC5">
      <w:pPr>
        <w:tabs>
          <w:tab w:val="left" w:pos="426"/>
          <w:tab w:val="left" w:pos="851"/>
        </w:tabs>
        <w:ind w:left="446"/>
        <w:jc w:val="both"/>
        <w:rPr>
          <w:rFonts w:ascii="Cambria" w:hAnsi="Cambria"/>
          <w:b/>
          <w:bCs/>
          <w:i/>
          <w:iCs/>
          <w:sz w:val="20"/>
          <w:szCs w:val="20"/>
        </w:rPr>
      </w:pPr>
    </w:p>
    <w:p w14:paraId="3A0F4E1E" w14:textId="77777777" w:rsidR="004E7D53" w:rsidRPr="00DF2CE8" w:rsidRDefault="004E7D53" w:rsidP="004E7D53">
      <w:pPr>
        <w:tabs>
          <w:tab w:val="left" w:pos="426"/>
          <w:tab w:val="left" w:pos="851"/>
        </w:tabs>
        <w:ind w:left="446"/>
        <w:jc w:val="both"/>
        <w:rPr>
          <w:rFonts w:ascii="Cambria" w:hAnsi="Cambria"/>
          <w:i/>
          <w:iCs/>
          <w:sz w:val="20"/>
          <w:szCs w:val="20"/>
        </w:rPr>
      </w:pPr>
      <w:r w:rsidRPr="00DF2CE8">
        <w:rPr>
          <w:rFonts w:ascii="Cambria" w:hAnsi="Cambria"/>
          <w:i/>
          <w:iCs/>
          <w:sz w:val="20"/>
          <w:szCs w:val="20"/>
        </w:rPr>
        <w:t xml:space="preserve">Les informations concernant les « Règles de procédure pour l’administration du fonds spécial de participation aux réunions » sont détaillées dans le </w:t>
      </w:r>
      <w:r w:rsidRPr="00DF2CE8">
        <w:rPr>
          <w:rFonts w:ascii="Cambria" w:hAnsi="Cambria"/>
          <w:b/>
          <w:i/>
          <w:iCs/>
          <w:sz w:val="20"/>
          <w:szCs w:val="20"/>
        </w:rPr>
        <w:t>STF_218/2025</w:t>
      </w:r>
      <w:r w:rsidRPr="00DF2CE8">
        <w:rPr>
          <w:rFonts w:ascii="Cambria" w:hAnsi="Cambria"/>
          <w:i/>
          <w:iCs/>
          <w:sz w:val="20"/>
          <w:szCs w:val="20"/>
        </w:rPr>
        <w:t>.</w:t>
      </w:r>
    </w:p>
    <w:p w14:paraId="70F675BA" w14:textId="77777777" w:rsidR="004E7D53" w:rsidRPr="00DF2CE8" w:rsidRDefault="004E7D53" w:rsidP="00AE7CC5">
      <w:pPr>
        <w:tabs>
          <w:tab w:val="left" w:pos="426"/>
          <w:tab w:val="left" w:pos="851"/>
        </w:tabs>
        <w:ind w:left="446"/>
        <w:jc w:val="both"/>
        <w:rPr>
          <w:rFonts w:ascii="Cambria" w:hAnsi="Cambria"/>
          <w:bCs/>
          <w:i/>
          <w:iCs/>
          <w:sz w:val="20"/>
          <w:szCs w:val="20"/>
        </w:rPr>
      </w:pPr>
    </w:p>
    <w:p w14:paraId="3D7B66E4" w14:textId="1CD50B88" w:rsidR="001A68AB" w:rsidRPr="00DF2CE8" w:rsidRDefault="003948C5" w:rsidP="00F77019">
      <w:pPr>
        <w:ind w:left="426"/>
        <w:jc w:val="both"/>
        <w:rPr>
          <w:rFonts w:ascii="Cambria" w:hAnsi="Cambria"/>
          <w:bCs/>
          <w:i/>
          <w:iCs/>
          <w:sz w:val="20"/>
          <w:szCs w:val="20"/>
        </w:rPr>
      </w:pPr>
      <w:r w:rsidRPr="00DF2CE8">
        <w:rPr>
          <w:rFonts w:ascii="Cambria" w:hAnsi="Cambria"/>
          <w:i/>
          <w:sz w:val="20"/>
          <w:szCs w:val="20"/>
        </w:rPr>
        <w:t xml:space="preserve">L'Égypte a présenté un </w:t>
      </w:r>
      <w:r w:rsidR="001B446C" w:rsidRPr="00DF2CE8">
        <w:rPr>
          <w:rFonts w:ascii="Cambria" w:hAnsi="Cambria"/>
          <w:i/>
          <w:sz w:val="20"/>
          <w:szCs w:val="20"/>
        </w:rPr>
        <w:t>« </w:t>
      </w:r>
      <w:r w:rsidR="00BC3999" w:rsidRPr="00DF2CE8">
        <w:rPr>
          <w:rFonts w:ascii="Cambria" w:hAnsi="Cambria"/>
          <w:sz w:val="20"/>
          <w:szCs w:val="20"/>
          <w:lang w:eastAsia="es-ES"/>
        </w:rPr>
        <w:t>Projet de règles de procédure pour l’administration</w:t>
      </w:r>
      <w:r w:rsidR="0048168A" w:rsidRPr="00DF2CE8">
        <w:rPr>
          <w:rFonts w:ascii="Cambria" w:hAnsi="Cambria"/>
          <w:sz w:val="20"/>
          <w:szCs w:val="20"/>
          <w:lang w:eastAsia="es-ES"/>
        </w:rPr>
        <w:t xml:space="preserve"> </w:t>
      </w:r>
      <w:r w:rsidR="00BC3999" w:rsidRPr="00DF2CE8">
        <w:rPr>
          <w:rFonts w:ascii="Cambria" w:hAnsi="Cambria"/>
          <w:sz w:val="20"/>
          <w:szCs w:val="20"/>
          <w:lang w:eastAsia="es-ES"/>
        </w:rPr>
        <w:t>du fonds spécial de participation aux réunions »</w:t>
      </w:r>
      <w:r w:rsidR="00BC3999" w:rsidRPr="00DF2CE8">
        <w:rPr>
          <w:rFonts w:ascii="Cambria" w:hAnsi="Cambria"/>
          <w:b/>
          <w:bCs/>
          <w:sz w:val="20"/>
          <w:szCs w:val="20"/>
          <w:lang w:eastAsia="es-ES"/>
        </w:rPr>
        <w:t xml:space="preserve"> </w:t>
      </w:r>
      <w:r w:rsidRPr="00DF2CE8">
        <w:rPr>
          <w:rFonts w:ascii="Cambria" w:hAnsi="Cambria"/>
          <w:i/>
          <w:sz w:val="20"/>
          <w:szCs w:val="20"/>
        </w:rPr>
        <w:t>(</w:t>
      </w:r>
      <w:r w:rsidRPr="00DF2CE8">
        <w:rPr>
          <w:rFonts w:ascii="Cambria" w:hAnsi="Cambria"/>
          <w:b/>
          <w:bCs/>
          <w:i/>
          <w:sz w:val="20"/>
          <w:szCs w:val="20"/>
        </w:rPr>
        <w:t>STF_213/2025</w:t>
      </w:r>
      <w:r w:rsidRPr="00DF2CE8">
        <w:rPr>
          <w:rFonts w:ascii="Cambria" w:hAnsi="Cambria"/>
          <w:i/>
          <w:sz w:val="20"/>
          <w:szCs w:val="20"/>
        </w:rPr>
        <w:t>)</w:t>
      </w:r>
      <w:r w:rsidR="003E47F6" w:rsidRPr="00DF2CE8">
        <w:rPr>
          <w:rFonts w:ascii="Cambria" w:hAnsi="Cambria"/>
          <w:i/>
          <w:sz w:val="20"/>
          <w:szCs w:val="20"/>
        </w:rPr>
        <w:t xml:space="preserve"> et un</w:t>
      </w:r>
      <w:r w:rsidRPr="00DF2CE8">
        <w:rPr>
          <w:rFonts w:ascii="Cambria" w:hAnsi="Cambria"/>
          <w:i/>
          <w:sz w:val="20"/>
          <w:szCs w:val="20"/>
        </w:rPr>
        <w:t xml:space="preserve"> </w:t>
      </w:r>
      <w:r w:rsidR="00DA512A" w:rsidRPr="00DF2CE8">
        <w:rPr>
          <w:rFonts w:ascii="Cambria" w:hAnsi="Cambria"/>
          <w:i/>
          <w:sz w:val="20"/>
          <w:szCs w:val="20"/>
        </w:rPr>
        <w:t>« </w:t>
      </w:r>
      <w:r w:rsidR="00DA512A" w:rsidRPr="00DF2CE8">
        <w:rPr>
          <w:rFonts w:ascii="Cambria" w:eastAsia="MS Mincho" w:hAnsi="Cambria"/>
          <w:sz w:val="20"/>
          <w:szCs w:val="20"/>
          <w:lang w:eastAsia="ja-JP"/>
        </w:rPr>
        <w:t>Projet de recommandation amendant la Recommandation 20-09 sur l’établissement d’un fonds de participation aux réunions destiné aux Parties contractantes en développement de l’ICCAT »</w:t>
      </w:r>
      <w:r w:rsidR="00DA512A" w:rsidRPr="00DF2CE8">
        <w:rPr>
          <w:rFonts w:ascii="Cambria" w:eastAsia="MS Mincho" w:hAnsi="Cambria"/>
          <w:b/>
          <w:bCs/>
          <w:sz w:val="20"/>
          <w:szCs w:val="20"/>
          <w:lang w:eastAsia="ja-JP"/>
        </w:rPr>
        <w:t xml:space="preserve"> </w:t>
      </w:r>
      <w:r w:rsidRPr="00DF2CE8">
        <w:rPr>
          <w:rFonts w:ascii="Cambria" w:hAnsi="Cambria"/>
          <w:i/>
          <w:sz w:val="20"/>
          <w:szCs w:val="20"/>
        </w:rPr>
        <w:t>(</w:t>
      </w:r>
      <w:r w:rsidRPr="00DF2CE8">
        <w:rPr>
          <w:rFonts w:ascii="Cambria" w:hAnsi="Cambria"/>
          <w:b/>
          <w:bCs/>
          <w:i/>
          <w:sz w:val="20"/>
          <w:szCs w:val="20"/>
        </w:rPr>
        <w:t>STF_214/2025</w:t>
      </w:r>
      <w:r w:rsidRPr="00DF2CE8">
        <w:rPr>
          <w:rFonts w:ascii="Cambria" w:hAnsi="Cambria"/>
          <w:i/>
          <w:sz w:val="20"/>
          <w:szCs w:val="20"/>
        </w:rPr>
        <w:t>) et l'Algérie et la Tunisie</w:t>
      </w:r>
      <w:r w:rsidR="00F77019" w:rsidRPr="00DF2CE8">
        <w:rPr>
          <w:rFonts w:ascii="Cambria" w:hAnsi="Cambria"/>
          <w:i/>
          <w:sz w:val="20"/>
          <w:szCs w:val="20"/>
        </w:rPr>
        <w:t xml:space="preserve"> ont présenté une «</w:t>
      </w:r>
      <w:r w:rsidR="00F77019" w:rsidRPr="00DF2CE8">
        <w:rPr>
          <w:rFonts w:ascii="Cambria" w:hAnsi="Cambria"/>
          <w:i/>
          <w:color w:val="000000" w:themeColor="text1"/>
          <w:sz w:val="20"/>
          <w:szCs w:val="20"/>
        </w:rPr>
        <w:t> </w:t>
      </w:r>
      <w:r w:rsidR="00F77019" w:rsidRPr="00DF2CE8">
        <w:rPr>
          <w:rFonts w:ascii="Cambria" w:eastAsia="MS Mincho" w:hAnsi="Cambria"/>
          <w:bCs/>
          <w:color w:val="000000" w:themeColor="text1"/>
          <w:sz w:val="20"/>
          <w:szCs w:val="20"/>
          <w:lang w:eastAsia="ja-JP"/>
        </w:rPr>
        <w:t xml:space="preserve">Proposition de l’Algérie et la Tunisie relative à l’augmentation du nombre de représentants financés par délégation pour les réunions de la Commission » </w:t>
      </w:r>
      <w:r w:rsidRPr="00DF2CE8">
        <w:rPr>
          <w:rFonts w:ascii="Cambria" w:hAnsi="Cambria"/>
          <w:i/>
          <w:sz w:val="20"/>
          <w:szCs w:val="20"/>
        </w:rPr>
        <w:t>(</w:t>
      </w:r>
      <w:r w:rsidRPr="00DF2CE8">
        <w:rPr>
          <w:rFonts w:ascii="Cambria" w:hAnsi="Cambria"/>
          <w:b/>
          <w:bCs/>
          <w:i/>
          <w:sz w:val="20"/>
          <w:szCs w:val="20"/>
        </w:rPr>
        <w:t>STF_215/2025</w:t>
      </w:r>
      <w:r w:rsidRPr="00DF2CE8">
        <w:rPr>
          <w:rFonts w:ascii="Cambria" w:hAnsi="Cambria"/>
          <w:i/>
          <w:sz w:val="20"/>
          <w:szCs w:val="20"/>
        </w:rPr>
        <w:t>) pour examen par le STACFAD.</w:t>
      </w:r>
    </w:p>
    <w:p w14:paraId="42270E2C" w14:textId="77777777" w:rsidR="001A68AB" w:rsidRPr="00DF2CE8" w:rsidRDefault="001A68AB" w:rsidP="00F77019">
      <w:pPr>
        <w:ind w:left="426"/>
        <w:rPr>
          <w:rFonts w:ascii="Cambria" w:hAnsi="Cambria"/>
          <w:bCs/>
          <w:sz w:val="20"/>
          <w:szCs w:val="20"/>
        </w:rPr>
      </w:pPr>
    </w:p>
    <w:p w14:paraId="786377E7" w14:textId="45401552" w:rsidR="00976996" w:rsidRPr="00DF2CE8" w:rsidRDefault="00976996" w:rsidP="001A68AB">
      <w:pPr>
        <w:ind w:left="446"/>
        <w:rPr>
          <w:rFonts w:ascii="Cambria" w:hAnsi="Cambria"/>
          <w:bCs/>
          <w:sz w:val="20"/>
          <w:szCs w:val="20"/>
        </w:rPr>
      </w:pPr>
      <w:r w:rsidRPr="00DF2CE8">
        <w:rPr>
          <w:rFonts w:ascii="Cambria" w:hAnsi="Cambria"/>
          <w:bCs/>
          <w:sz w:val="20"/>
          <w:szCs w:val="20"/>
        </w:rPr>
        <w:t>5.2 Mécanismes de financement pour d’autres activités de renforcement des capacités</w:t>
      </w:r>
    </w:p>
    <w:p w14:paraId="09B735BD" w14:textId="77777777" w:rsidR="00976996" w:rsidRPr="00DF2CE8" w:rsidRDefault="00976996" w:rsidP="001A68AB">
      <w:pPr>
        <w:ind w:left="446"/>
        <w:rPr>
          <w:rFonts w:ascii="Cambria" w:hAnsi="Cambria"/>
          <w:bCs/>
          <w:sz w:val="20"/>
          <w:szCs w:val="20"/>
        </w:rPr>
      </w:pPr>
    </w:p>
    <w:bookmarkEnd w:id="5"/>
    <w:p w14:paraId="0B5EA2B3" w14:textId="33471666" w:rsidR="001A68AB" w:rsidRPr="00DF2CE8" w:rsidRDefault="001A68AB" w:rsidP="001A68AB">
      <w:pPr>
        <w:tabs>
          <w:tab w:val="left" w:pos="426"/>
        </w:tabs>
        <w:jc w:val="both"/>
        <w:rPr>
          <w:rFonts w:ascii="Cambria" w:hAnsi="Cambria"/>
          <w:bCs/>
          <w:sz w:val="20"/>
          <w:szCs w:val="20"/>
        </w:rPr>
      </w:pPr>
      <w:r w:rsidRPr="00DF2CE8">
        <w:rPr>
          <w:rFonts w:ascii="Cambria" w:hAnsi="Cambria"/>
          <w:bCs/>
          <w:sz w:val="20"/>
          <w:szCs w:val="20"/>
        </w:rPr>
        <w:t>6.</w:t>
      </w:r>
      <w:r w:rsidRPr="00DF2CE8">
        <w:rPr>
          <w:rFonts w:ascii="Cambria" w:hAnsi="Cambria"/>
          <w:bCs/>
          <w:sz w:val="20"/>
          <w:szCs w:val="20"/>
        </w:rPr>
        <w:tab/>
        <w:t xml:space="preserve">Accords institutionnels </w:t>
      </w:r>
    </w:p>
    <w:p w14:paraId="489464D9" w14:textId="77777777" w:rsidR="001A68AB" w:rsidRPr="00DF2CE8" w:rsidRDefault="001A68AB" w:rsidP="001A68AB">
      <w:pPr>
        <w:tabs>
          <w:tab w:val="left" w:pos="426"/>
        </w:tabs>
        <w:jc w:val="both"/>
        <w:rPr>
          <w:rFonts w:ascii="Cambria" w:hAnsi="Cambria"/>
          <w:bCs/>
          <w:sz w:val="20"/>
          <w:szCs w:val="20"/>
        </w:rPr>
      </w:pPr>
    </w:p>
    <w:p w14:paraId="0AC53AFC" w14:textId="783156E0" w:rsidR="0066614E" w:rsidRPr="00DF2CE8" w:rsidRDefault="004A6437" w:rsidP="001A68AB">
      <w:pPr>
        <w:tabs>
          <w:tab w:val="left" w:pos="426"/>
        </w:tabs>
        <w:ind w:left="450"/>
        <w:jc w:val="both"/>
        <w:rPr>
          <w:rFonts w:ascii="Cambria" w:hAnsi="Cambria"/>
          <w:bCs/>
          <w:i/>
          <w:sz w:val="20"/>
          <w:szCs w:val="20"/>
        </w:rPr>
      </w:pPr>
      <w:r w:rsidRPr="00DF2CE8">
        <w:rPr>
          <w:rFonts w:ascii="Cambria" w:hAnsi="Cambria"/>
          <w:bCs/>
          <w:i/>
          <w:sz w:val="20"/>
          <w:szCs w:val="20"/>
        </w:rPr>
        <w:t>6.1 Examen de la mise à jour de la Convention de Siège entre l'État espagnol et la Commission internationale pour la conservation des thonidés de l'Atlantique.</w:t>
      </w:r>
    </w:p>
    <w:p w14:paraId="7FC59A85" w14:textId="77777777" w:rsidR="009E4284" w:rsidRPr="00DF2CE8" w:rsidRDefault="009E4284" w:rsidP="001A68AB">
      <w:pPr>
        <w:tabs>
          <w:tab w:val="left" w:pos="426"/>
        </w:tabs>
        <w:ind w:left="450"/>
        <w:jc w:val="both"/>
        <w:rPr>
          <w:rFonts w:ascii="Cambria" w:hAnsi="Cambria"/>
          <w:bCs/>
          <w:i/>
          <w:sz w:val="20"/>
          <w:szCs w:val="20"/>
        </w:rPr>
      </w:pPr>
    </w:p>
    <w:p w14:paraId="533260FE" w14:textId="1D42B677" w:rsidR="009E4284" w:rsidRPr="00DF2CE8" w:rsidRDefault="009E4284" w:rsidP="001A68AB">
      <w:pPr>
        <w:tabs>
          <w:tab w:val="left" w:pos="426"/>
        </w:tabs>
        <w:ind w:left="450"/>
        <w:jc w:val="both"/>
        <w:rPr>
          <w:rFonts w:ascii="Cambria" w:hAnsi="Cambria"/>
          <w:bCs/>
          <w:i/>
          <w:iCs/>
          <w:sz w:val="20"/>
          <w:szCs w:val="20"/>
        </w:rPr>
      </w:pPr>
      <w:r w:rsidRPr="00DF2CE8">
        <w:rPr>
          <w:rFonts w:ascii="Cambria" w:hAnsi="Cambria"/>
          <w:i/>
          <w:sz w:val="20"/>
          <w:szCs w:val="20"/>
        </w:rPr>
        <w:t>Le Secrétariat a préparé un document relatif à l'examen de la mise à jour de la Convention de Siège (</w:t>
      </w:r>
      <w:r w:rsidRPr="00DF2CE8">
        <w:rPr>
          <w:rFonts w:ascii="Cambria" w:hAnsi="Cambria"/>
          <w:b/>
          <w:bCs/>
          <w:i/>
          <w:sz w:val="20"/>
          <w:szCs w:val="20"/>
        </w:rPr>
        <w:t>STF-210/2025</w:t>
      </w:r>
      <w:r w:rsidRPr="00DF2CE8">
        <w:rPr>
          <w:rFonts w:ascii="Cambria" w:hAnsi="Cambria"/>
          <w:i/>
          <w:sz w:val="20"/>
          <w:szCs w:val="20"/>
        </w:rPr>
        <w:t>), qui contient un résumé des mesures prises à ce jour.</w:t>
      </w:r>
    </w:p>
    <w:p w14:paraId="1EE44638" w14:textId="77777777" w:rsidR="0066614E" w:rsidRPr="00DF2CE8" w:rsidRDefault="0066614E" w:rsidP="001A68AB">
      <w:pPr>
        <w:tabs>
          <w:tab w:val="left" w:pos="426"/>
        </w:tabs>
        <w:ind w:left="450"/>
        <w:jc w:val="both"/>
        <w:rPr>
          <w:rFonts w:ascii="Cambria" w:hAnsi="Cambria"/>
          <w:bCs/>
          <w:i/>
          <w:sz w:val="20"/>
          <w:szCs w:val="20"/>
        </w:rPr>
      </w:pPr>
    </w:p>
    <w:p w14:paraId="2DD53556" w14:textId="77777777" w:rsidR="00087667" w:rsidRPr="00DF2CE8" w:rsidRDefault="0066614E" w:rsidP="001A68AB">
      <w:pPr>
        <w:tabs>
          <w:tab w:val="left" w:pos="426"/>
        </w:tabs>
        <w:ind w:left="450"/>
        <w:jc w:val="both"/>
        <w:rPr>
          <w:rFonts w:ascii="Cambria" w:hAnsi="Cambria"/>
          <w:bCs/>
          <w:i/>
          <w:sz w:val="20"/>
          <w:szCs w:val="20"/>
        </w:rPr>
      </w:pPr>
      <w:r w:rsidRPr="00DF2CE8">
        <w:rPr>
          <w:rFonts w:ascii="Cambria" w:hAnsi="Cambria"/>
          <w:bCs/>
          <w:i/>
          <w:sz w:val="20"/>
          <w:szCs w:val="20"/>
        </w:rPr>
        <w:t>6.2 Questions et implications concernant l'état actuel du Siège de l’ICCAT</w:t>
      </w:r>
    </w:p>
    <w:p w14:paraId="2BFD3C5D" w14:textId="77777777" w:rsidR="00087667" w:rsidRPr="00DF2CE8" w:rsidRDefault="00087667" w:rsidP="001A68AB">
      <w:pPr>
        <w:tabs>
          <w:tab w:val="left" w:pos="426"/>
        </w:tabs>
        <w:ind w:left="450"/>
        <w:jc w:val="both"/>
        <w:rPr>
          <w:rFonts w:ascii="Cambria" w:hAnsi="Cambria"/>
          <w:bCs/>
          <w:i/>
          <w:sz w:val="20"/>
          <w:szCs w:val="20"/>
        </w:rPr>
      </w:pPr>
    </w:p>
    <w:p w14:paraId="352DD5B6" w14:textId="5E63FE03" w:rsidR="00087667" w:rsidRPr="00DF2CE8" w:rsidRDefault="00087667" w:rsidP="001A68AB">
      <w:pPr>
        <w:tabs>
          <w:tab w:val="left" w:pos="426"/>
        </w:tabs>
        <w:ind w:left="450"/>
        <w:jc w:val="both"/>
        <w:rPr>
          <w:rFonts w:ascii="Cambria" w:hAnsi="Cambria"/>
          <w:bCs/>
          <w:i/>
          <w:iCs/>
          <w:sz w:val="20"/>
          <w:szCs w:val="20"/>
        </w:rPr>
      </w:pPr>
      <w:r w:rsidRPr="00DF2CE8">
        <w:rPr>
          <w:rFonts w:ascii="Cambria" w:hAnsi="Cambria"/>
          <w:i/>
          <w:sz w:val="20"/>
          <w:szCs w:val="20"/>
        </w:rPr>
        <w:t xml:space="preserve">Le Secrétariat a fait part au ministère des Affaires étrangères, Union européenne et Coopération de la nécessité d'améliorer l'édifice qui abrite le </w:t>
      </w:r>
      <w:r w:rsidR="002B2E04" w:rsidRPr="00DF2CE8">
        <w:rPr>
          <w:rFonts w:ascii="Cambria" w:hAnsi="Cambria"/>
          <w:i/>
          <w:sz w:val="20"/>
          <w:szCs w:val="20"/>
        </w:rPr>
        <w:t>S</w:t>
      </w:r>
      <w:r w:rsidRPr="00DF2CE8">
        <w:rPr>
          <w:rFonts w:ascii="Cambria" w:hAnsi="Cambria"/>
          <w:i/>
          <w:sz w:val="20"/>
          <w:szCs w:val="20"/>
        </w:rPr>
        <w:t>iège de l’ICCAT. Le Secrétariat communiquera les informations futures dont il disposera à ce sujet.</w:t>
      </w:r>
    </w:p>
    <w:p w14:paraId="7A89EA47" w14:textId="77777777" w:rsidR="00087667" w:rsidRPr="00DF2CE8" w:rsidRDefault="00087667" w:rsidP="001A68AB">
      <w:pPr>
        <w:tabs>
          <w:tab w:val="left" w:pos="426"/>
        </w:tabs>
        <w:ind w:left="450"/>
        <w:jc w:val="both"/>
        <w:rPr>
          <w:rFonts w:ascii="Cambria" w:hAnsi="Cambria"/>
          <w:bCs/>
          <w:i/>
          <w:iCs/>
          <w:sz w:val="20"/>
          <w:szCs w:val="20"/>
        </w:rPr>
      </w:pPr>
    </w:p>
    <w:p w14:paraId="021511F6" w14:textId="2E2C5C69" w:rsidR="001A68AB" w:rsidRPr="00DF2CE8" w:rsidRDefault="001A68AB" w:rsidP="00695BFD">
      <w:pPr>
        <w:tabs>
          <w:tab w:val="left" w:pos="426"/>
        </w:tabs>
        <w:ind w:left="426" w:hanging="426"/>
        <w:jc w:val="both"/>
        <w:rPr>
          <w:rFonts w:ascii="Cambria" w:hAnsi="Cambria"/>
          <w:bCs/>
          <w:sz w:val="20"/>
          <w:szCs w:val="20"/>
        </w:rPr>
      </w:pPr>
      <w:r w:rsidRPr="00DF2CE8">
        <w:rPr>
          <w:rFonts w:ascii="Cambria" w:hAnsi="Cambria"/>
          <w:bCs/>
          <w:sz w:val="20"/>
          <w:szCs w:val="20"/>
        </w:rPr>
        <w:t>7.</w:t>
      </w:r>
      <w:r w:rsidRPr="00DF2CE8">
        <w:rPr>
          <w:rFonts w:ascii="Cambria" w:hAnsi="Cambria"/>
          <w:bCs/>
          <w:sz w:val="20"/>
          <w:szCs w:val="20"/>
        </w:rPr>
        <w:tab/>
        <w:t xml:space="preserve">Examen des conclusions des réunions intersessions du Groupe de travail virtuel sur la situation financière durable de l’ICCAT (VWG-SF) </w:t>
      </w:r>
    </w:p>
    <w:p w14:paraId="7D5EAA49" w14:textId="77777777" w:rsidR="001A68AB" w:rsidRPr="00DF2CE8" w:rsidRDefault="001A68AB" w:rsidP="001A68AB">
      <w:pPr>
        <w:tabs>
          <w:tab w:val="left" w:pos="426"/>
        </w:tabs>
        <w:jc w:val="both"/>
        <w:rPr>
          <w:rFonts w:ascii="Cambria" w:hAnsi="Cambria"/>
          <w:bCs/>
          <w:sz w:val="20"/>
          <w:szCs w:val="20"/>
        </w:rPr>
      </w:pPr>
    </w:p>
    <w:p w14:paraId="33B79AE6" w14:textId="470B2E9F" w:rsidR="001A68AB" w:rsidRPr="00DF2CE8" w:rsidRDefault="001A68AB" w:rsidP="001A68AB">
      <w:pPr>
        <w:tabs>
          <w:tab w:val="left" w:pos="360"/>
        </w:tabs>
        <w:ind w:left="450"/>
        <w:jc w:val="both"/>
        <w:rPr>
          <w:rFonts w:ascii="Cambria" w:hAnsi="Cambria"/>
          <w:b/>
          <w:i/>
          <w:strike/>
          <w:sz w:val="20"/>
          <w:szCs w:val="20"/>
        </w:rPr>
      </w:pPr>
      <w:r w:rsidRPr="00DF2CE8">
        <w:rPr>
          <w:rFonts w:ascii="Cambria" w:hAnsi="Cambria"/>
          <w:i/>
          <w:sz w:val="20"/>
          <w:szCs w:val="20"/>
        </w:rPr>
        <w:t xml:space="preserve">La Présidente du STACFAD informera également la Commission des progrès réalisés par le Groupe de travail virtuel sur la situation financière durable de l’ICCAT (VWG-SF). Les rapports des réunions tenues par le VWG-SF ont été publiés sous la référence </w:t>
      </w:r>
      <w:r w:rsidRPr="00DF2CE8">
        <w:rPr>
          <w:rFonts w:ascii="Cambria" w:hAnsi="Cambria"/>
          <w:b/>
          <w:i/>
          <w:sz w:val="20"/>
          <w:szCs w:val="20"/>
        </w:rPr>
        <w:t>STF_211/2025</w:t>
      </w:r>
      <w:r w:rsidRPr="00DF2CE8">
        <w:rPr>
          <w:rFonts w:ascii="Cambria" w:hAnsi="Cambria"/>
          <w:i/>
          <w:sz w:val="20"/>
          <w:szCs w:val="20"/>
        </w:rPr>
        <w:t xml:space="preserve"> et </w:t>
      </w:r>
      <w:r w:rsidRPr="00DF2CE8">
        <w:rPr>
          <w:rFonts w:ascii="Cambria" w:hAnsi="Cambria"/>
          <w:b/>
          <w:i/>
          <w:sz w:val="20"/>
          <w:szCs w:val="20"/>
        </w:rPr>
        <w:t>STF_212/2025.</w:t>
      </w:r>
    </w:p>
    <w:p w14:paraId="25BE3502" w14:textId="77777777" w:rsidR="001A68AB" w:rsidRPr="00DF2CE8" w:rsidRDefault="001A68AB" w:rsidP="001A68AB">
      <w:pPr>
        <w:tabs>
          <w:tab w:val="left" w:pos="426"/>
        </w:tabs>
        <w:jc w:val="both"/>
        <w:rPr>
          <w:rFonts w:ascii="Cambria" w:hAnsi="Cambria"/>
          <w:bCs/>
          <w:sz w:val="20"/>
          <w:szCs w:val="20"/>
        </w:rPr>
      </w:pPr>
    </w:p>
    <w:p w14:paraId="5F909095" w14:textId="76E2032E" w:rsidR="00152E0C" w:rsidRPr="00DF2CE8" w:rsidRDefault="001A68AB" w:rsidP="001A68AB">
      <w:pPr>
        <w:tabs>
          <w:tab w:val="left" w:pos="426"/>
        </w:tabs>
        <w:jc w:val="both"/>
        <w:rPr>
          <w:rFonts w:ascii="Cambria" w:hAnsi="Cambria"/>
          <w:bCs/>
          <w:sz w:val="20"/>
          <w:szCs w:val="20"/>
        </w:rPr>
      </w:pPr>
      <w:r w:rsidRPr="00DF2CE8">
        <w:rPr>
          <w:rFonts w:ascii="Cambria" w:hAnsi="Cambria"/>
          <w:bCs/>
          <w:sz w:val="20"/>
          <w:szCs w:val="20"/>
        </w:rPr>
        <w:t>8.</w:t>
      </w:r>
      <w:r w:rsidRPr="00DF2CE8">
        <w:rPr>
          <w:rFonts w:ascii="Cambria" w:hAnsi="Cambria"/>
          <w:bCs/>
          <w:sz w:val="20"/>
          <w:szCs w:val="20"/>
        </w:rPr>
        <w:tab/>
        <w:t>Information sur les pensions du personnel et sur les mesures à prendre à l'avenir</w:t>
      </w:r>
    </w:p>
    <w:p w14:paraId="3A77E931" w14:textId="77777777" w:rsidR="00152E0C" w:rsidRPr="00DF2CE8" w:rsidRDefault="00152E0C" w:rsidP="001A68AB">
      <w:pPr>
        <w:tabs>
          <w:tab w:val="left" w:pos="426"/>
        </w:tabs>
        <w:jc w:val="both"/>
        <w:rPr>
          <w:rFonts w:ascii="Cambria" w:hAnsi="Cambria"/>
          <w:bCs/>
          <w:sz w:val="20"/>
          <w:szCs w:val="20"/>
        </w:rPr>
      </w:pPr>
    </w:p>
    <w:p w14:paraId="778F170E" w14:textId="29E460D1" w:rsidR="009632D3" w:rsidRPr="00DF2CE8" w:rsidRDefault="009632D3" w:rsidP="009632D3">
      <w:pPr>
        <w:tabs>
          <w:tab w:val="left" w:pos="360"/>
        </w:tabs>
        <w:ind w:left="450"/>
        <w:jc w:val="both"/>
        <w:rPr>
          <w:rFonts w:ascii="Cambria" w:hAnsi="Cambria"/>
          <w:bCs/>
          <w:i/>
          <w:iCs/>
          <w:sz w:val="20"/>
          <w:szCs w:val="20"/>
        </w:rPr>
      </w:pPr>
      <w:r w:rsidRPr="00DF2CE8">
        <w:rPr>
          <w:rFonts w:ascii="Cambria" w:hAnsi="Cambria"/>
          <w:i/>
          <w:iCs/>
          <w:sz w:val="20"/>
          <w:szCs w:val="20"/>
        </w:rPr>
        <w:t xml:space="preserve">Le Secrétariat </w:t>
      </w:r>
      <w:r w:rsidR="00FF45FF" w:rsidRPr="00DF2CE8">
        <w:rPr>
          <w:rFonts w:ascii="Cambria" w:hAnsi="Cambria"/>
          <w:i/>
          <w:iCs/>
          <w:sz w:val="20"/>
          <w:szCs w:val="20"/>
        </w:rPr>
        <w:t xml:space="preserve">a </w:t>
      </w:r>
      <w:r w:rsidRPr="00DF2CE8">
        <w:rPr>
          <w:rFonts w:ascii="Cambria" w:hAnsi="Cambria"/>
          <w:i/>
          <w:iCs/>
          <w:sz w:val="20"/>
          <w:szCs w:val="20"/>
        </w:rPr>
        <w:t>présent</w:t>
      </w:r>
      <w:r w:rsidR="00FF45FF" w:rsidRPr="00DF2CE8">
        <w:rPr>
          <w:rFonts w:ascii="Cambria" w:hAnsi="Cambria"/>
          <w:i/>
          <w:iCs/>
          <w:sz w:val="20"/>
          <w:szCs w:val="20"/>
        </w:rPr>
        <w:t>é</w:t>
      </w:r>
      <w:r w:rsidRPr="00DF2CE8">
        <w:rPr>
          <w:rFonts w:ascii="Cambria" w:hAnsi="Cambria"/>
          <w:i/>
          <w:iCs/>
          <w:sz w:val="20"/>
          <w:szCs w:val="20"/>
        </w:rPr>
        <w:t xml:space="preserve"> le « Rapport juridique et financier sur le système de retraite du Secrétariat de l'ICCAT » qui contient davantage d'informations sur les pensions du personnel et les mesures à prendre à l’avenir (</w:t>
      </w:r>
      <w:r w:rsidRPr="00DF2CE8">
        <w:rPr>
          <w:rFonts w:ascii="Cambria" w:hAnsi="Cambria"/>
          <w:b/>
          <w:i/>
          <w:iCs/>
          <w:sz w:val="20"/>
          <w:szCs w:val="20"/>
        </w:rPr>
        <w:t>STF_219/2025</w:t>
      </w:r>
      <w:r w:rsidRPr="00DF2CE8">
        <w:rPr>
          <w:rFonts w:ascii="Cambria" w:hAnsi="Cambria"/>
          <w:i/>
          <w:iCs/>
          <w:sz w:val="20"/>
          <w:szCs w:val="20"/>
        </w:rPr>
        <w:t xml:space="preserve">). </w:t>
      </w:r>
    </w:p>
    <w:p w14:paraId="1C45704F" w14:textId="77777777" w:rsidR="001A68AB" w:rsidRPr="00DF2CE8" w:rsidRDefault="001A68AB" w:rsidP="001A68AB">
      <w:pPr>
        <w:tabs>
          <w:tab w:val="left" w:pos="426"/>
        </w:tabs>
        <w:jc w:val="both"/>
        <w:rPr>
          <w:rFonts w:ascii="Cambria" w:hAnsi="Cambria"/>
          <w:bCs/>
          <w:i/>
          <w:iCs/>
          <w:sz w:val="20"/>
          <w:szCs w:val="20"/>
        </w:rPr>
      </w:pPr>
    </w:p>
    <w:p w14:paraId="2EF25779" w14:textId="78AE0828" w:rsidR="001A68AB" w:rsidRPr="00DF2CE8" w:rsidRDefault="000D11D4" w:rsidP="001A68AB">
      <w:pPr>
        <w:tabs>
          <w:tab w:val="left" w:pos="426"/>
        </w:tabs>
        <w:ind w:left="450" w:hanging="450"/>
        <w:jc w:val="both"/>
        <w:rPr>
          <w:rFonts w:ascii="Cambria" w:hAnsi="Cambria"/>
          <w:bCs/>
          <w:sz w:val="20"/>
          <w:szCs w:val="20"/>
        </w:rPr>
      </w:pPr>
      <w:r w:rsidRPr="00DF2CE8">
        <w:rPr>
          <w:rFonts w:ascii="Cambria" w:hAnsi="Cambria"/>
          <w:bCs/>
          <w:sz w:val="20"/>
          <w:szCs w:val="20"/>
        </w:rPr>
        <w:t>9.</w:t>
      </w:r>
      <w:r w:rsidRPr="00DF2CE8">
        <w:rPr>
          <w:rFonts w:ascii="Cambria" w:hAnsi="Cambria"/>
          <w:bCs/>
          <w:sz w:val="20"/>
          <w:szCs w:val="20"/>
        </w:rPr>
        <w:tab/>
        <w:t>Examen des implications financières des mesures de conservation et de gestion proposées par l’ICCAT</w:t>
      </w:r>
    </w:p>
    <w:p w14:paraId="22128F75" w14:textId="77777777" w:rsidR="001A68AB" w:rsidRPr="00DF2CE8" w:rsidRDefault="001A68AB" w:rsidP="001A68AB">
      <w:pPr>
        <w:tabs>
          <w:tab w:val="left" w:pos="426"/>
        </w:tabs>
        <w:jc w:val="both"/>
        <w:rPr>
          <w:rFonts w:ascii="Cambria" w:hAnsi="Cambria"/>
          <w:bCs/>
          <w:sz w:val="20"/>
          <w:szCs w:val="20"/>
        </w:rPr>
      </w:pPr>
    </w:p>
    <w:p w14:paraId="3D162E75" w14:textId="4776772F" w:rsidR="001A68AB" w:rsidRPr="00DF2CE8" w:rsidRDefault="001A68AB" w:rsidP="001A68AB">
      <w:pPr>
        <w:tabs>
          <w:tab w:val="left" w:pos="426"/>
        </w:tabs>
        <w:ind w:left="446"/>
        <w:jc w:val="both"/>
        <w:rPr>
          <w:rFonts w:ascii="Cambria" w:hAnsi="Cambria"/>
          <w:bCs/>
          <w:i/>
          <w:sz w:val="20"/>
          <w:szCs w:val="20"/>
        </w:rPr>
      </w:pPr>
      <w:r w:rsidRPr="00DF2CE8">
        <w:rPr>
          <w:rFonts w:ascii="Cambria" w:hAnsi="Cambria"/>
          <w:i/>
          <w:sz w:val="20"/>
          <w:szCs w:val="20"/>
        </w:rPr>
        <w:t xml:space="preserve">Après une décision de la Commission en 2019, chaque proposition devrait être accompagnée d'une estimation des ressources supplémentaires nécessaires, en particulier de la part du Secrétariat de l’ICCAT, pour la mise en œuvre de toute nouvelle exigence en matière de </w:t>
      </w:r>
      <w:r w:rsidR="002E52AC" w:rsidRPr="00DF2CE8">
        <w:rPr>
          <w:rFonts w:ascii="Cambria" w:hAnsi="Cambria"/>
          <w:i/>
          <w:sz w:val="20"/>
          <w:szCs w:val="20"/>
        </w:rPr>
        <w:t>déclaration</w:t>
      </w:r>
      <w:r w:rsidRPr="00DF2CE8">
        <w:rPr>
          <w:rFonts w:ascii="Cambria" w:hAnsi="Cambria"/>
          <w:i/>
          <w:sz w:val="20"/>
          <w:szCs w:val="20"/>
        </w:rPr>
        <w:t xml:space="preserve"> ou d'autres tâches qu'elle contient (</w:t>
      </w:r>
      <w:r w:rsidRPr="00DF2CE8">
        <w:rPr>
          <w:rFonts w:ascii="Cambria" w:hAnsi="Cambria"/>
          <w:b/>
          <w:i/>
          <w:sz w:val="20"/>
          <w:szCs w:val="20"/>
        </w:rPr>
        <w:t>STF_209/2025</w:t>
      </w:r>
      <w:r w:rsidRPr="00DF2CE8">
        <w:rPr>
          <w:rFonts w:ascii="Cambria" w:hAnsi="Cambria"/>
          <w:i/>
          <w:sz w:val="20"/>
          <w:szCs w:val="20"/>
        </w:rPr>
        <w:t>).</w:t>
      </w:r>
    </w:p>
    <w:p w14:paraId="730565CB" w14:textId="77777777" w:rsidR="004E7B8E" w:rsidRPr="00DF2CE8" w:rsidRDefault="004E7B8E" w:rsidP="001A68AB">
      <w:pPr>
        <w:tabs>
          <w:tab w:val="left" w:pos="426"/>
        </w:tabs>
        <w:ind w:left="446"/>
        <w:jc w:val="both"/>
        <w:rPr>
          <w:rFonts w:ascii="Cambria" w:hAnsi="Cambria"/>
          <w:bCs/>
          <w:i/>
          <w:sz w:val="20"/>
          <w:szCs w:val="20"/>
        </w:rPr>
      </w:pPr>
    </w:p>
    <w:p w14:paraId="54D31829" w14:textId="3D4601BC" w:rsidR="004E7B8E" w:rsidRPr="00DF2CE8" w:rsidRDefault="004E7B8E" w:rsidP="00743EF7">
      <w:pPr>
        <w:tabs>
          <w:tab w:val="left" w:pos="450"/>
        </w:tabs>
        <w:jc w:val="both"/>
        <w:rPr>
          <w:rFonts w:ascii="Cambria" w:hAnsi="Cambria"/>
          <w:bCs/>
          <w:iCs/>
          <w:sz w:val="20"/>
          <w:szCs w:val="20"/>
        </w:rPr>
      </w:pPr>
      <w:r w:rsidRPr="00DF2CE8">
        <w:rPr>
          <w:rFonts w:ascii="Cambria" w:hAnsi="Cambria"/>
          <w:bCs/>
          <w:sz w:val="20"/>
          <w:szCs w:val="20"/>
        </w:rPr>
        <w:t xml:space="preserve">10.  Examen du </w:t>
      </w:r>
      <w:r w:rsidR="00AE7CC5" w:rsidRPr="00DF2CE8">
        <w:rPr>
          <w:rFonts w:ascii="Cambria" w:hAnsi="Cambria"/>
          <w:bCs/>
          <w:sz w:val="20"/>
          <w:szCs w:val="20"/>
        </w:rPr>
        <w:t>Fonds</w:t>
      </w:r>
      <w:r w:rsidRPr="00DF2CE8">
        <w:rPr>
          <w:rFonts w:ascii="Cambria" w:hAnsi="Cambria"/>
          <w:bCs/>
          <w:sz w:val="20"/>
          <w:szCs w:val="20"/>
        </w:rPr>
        <w:t xml:space="preserve"> de roulement</w:t>
      </w:r>
    </w:p>
    <w:p w14:paraId="1E702BF2" w14:textId="77777777" w:rsidR="004E7B8E" w:rsidRPr="00DF2CE8" w:rsidRDefault="004E7B8E" w:rsidP="004E7B8E">
      <w:pPr>
        <w:tabs>
          <w:tab w:val="left" w:pos="450"/>
        </w:tabs>
        <w:ind w:left="446"/>
        <w:jc w:val="both"/>
        <w:rPr>
          <w:rFonts w:ascii="Cambria" w:hAnsi="Cambria"/>
          <w:bCs/>
          <w:sz w:val="20"/>
          <w:szCs w:val="20"/>
        </w:rPr>
      </w:pPr>
    </w:p>
    <w:p w14:paraId="47E8BEF4" w14:textId="75B47E76" w:rsidR="004E7B8E" w:rsidRPr="00DF2CE8" w:rsidRDefault="004E7B8E" w:rsidP="002C12A9">
      <w:pPr>
        <w:tabs>
          <w:tab w:val="left" w:pos="450"/>
        </w:tabs>
        <w:ind w:left="446"/>
        <w:jc w:val="both"/>
        <w:rPr>
          <w:rFonts w:ascii="Cambria" w:hAnsi="Cambria"/>
          <w:bCs/>
          <w:i/>
          <w:sz w:val="20"/>
          <w:szCs w:val="20"/>
        </w:rPr>
      </w:pPr>
      <w:r w:rsidRPr="00DF2CE8">
        <w:rPr>
          <w:rFonts w:ascii="Cambria" w:hAnsi="Cambria"/>
          <w:i/>
          <w:sz w:val="20"/>
          <w:szCs w:val="20"/>
        </w:rPr>
        <w:t xml:space="preserve"> La Présidente du STACFAD fera part de la « Proposition concernant la gestion du fonds de roulement » (</w:t>
      </w:r>
      <w:r w:rsidRPr="00DF2CE8">
        <w:rPr>
          <w:rFonts w:ascii="Cambria" w:hAnsi="Cambria"/>
          <w:b/>
          <w:i/>
          <w:sz w:val="20"/>
          <w:szCs w:val="20"/>
        </w:rPr>
        <w:t>STF-217/2025</w:t>
      </w:r>
      <w:r w:rsidRPr="00DF2CE8">
        <w:rPr>
          <w:rFonts w:ascii="Cambria" w:hAnsi="Cambria"/>
          <w:i/>
          <w:sz w:val="20"/>
          <w:szCs w:val="20"/>
        </w:rPr>
        <w:t>), qui est disponible conjointement avec le document « Situation du Fonds de roulement de l'ICCAT » (</w:t>
      </w:r>
      <w:r w:rsidRPr="00DF2CE8">
        <w:rPr>
          <w:rFonts w:ascii="Cambria" w:hAnsi="Cambria"/>
          <w:b/>
          <w:i/>
          <w:sz w:val="20"/>
          <w:szCs w:val="20"/>
        </w:rPr>
        <w:t>STF_207/2025</w:t>
      </w:r>
      <w:r w:rsidRPr="00DF2CE8">
        <w:rPr>
          <w:rFonts w:ascii="Cambria" w:hAnsi="Cambria"/>
          <w:i/>
          <w:sz w:val="20"/>
          <w:szCs w:val="20"/>
        </w:rPr>
        <w:t>).</w:t>
      </w:r>
    </w:p>
    <w:p w14:paraId="190F1E13" w14:textId="46F26970" w:rsidR="004E7B8E" w:rsidRPr="00DF2CE8" w:rsidRDefault="004E7B8E" w:rsidP="00743EF7">
      <w:pPr>
        <w:tabs>
          <w:tab w:val="left" w:pos="426"/>
        </w:tabs>
        <w:jc w:val="both"/>
        <w:rPr>
          <w:rFonts w:ascii="Cambria" w:hAnsi="Cambria"/>
          <w:bCs/>
          <w:i/>
          <w:iCs/>
          <w:sz w:val="20"/>
          <w:szCs w:val="20"/>
        </w:rPr>
      </w:pPr>
    </w:p>
    <w:p w14:paraId="1D46D9B7" w14:textId="48129AFF" w:rsidR="001A68AB" w:rsidRPr="00DF2CE8" w:rsidRDefault="001A68AB" w:rsidP="001A68AB">
      <w:pPr>
        <w:tabs>
          <w:tab w:val="left" w:pos="426"/>
        </w:tabs>
        <w:jc w:val="both"/>
        <w:rPr>
          <w:rFonts w:ascii="Cambria" w:hAnsi="Cambria"/>
          <w:bCs/>
          <w:sz w:val="20"/>
          <w:szCs w:val="20"/>
        </w:rPr>
      </w:pPr>
      <w:r w:rsidRPr="00DF2CE8">
        <w:rPr>
          <w:rFonts w:ascii="Cambria" w:hAnsi="Cambria"/>
          <w:bCs/>
          <w:sz w:val="20"/>
          <w:szCs w:val="20"/>
        </w:rPr>
        <w:t>11.</w:t>
      </w:r>
      <w:r w:rsidRPr="00DF2CE8">
        <w:rPr>
          <w:rFonts w:ascii="Cambria" w:hAnsi="Cambria"/>
          <w:bCs/>
          <w:sz w:val="20"/>
          <w:szCs w:val="20"/>
        </w:rPr>
        <w:tab/>
        <w:t>Budget et contributions des Parties contractantes pour 2026/2027</w:t>
      </w:r>
    </w:p>
    <w:p w14:paraId="421B0D15" w14:textId="77777777" w:rsidR="001A68AB" w:rsidRPr="00DF2CE8" w:rsidRDefault="001A68AB" w:rsidP="001A68AB">
      <w:pPr>
        <w:tabs>
          <w:tab w:val="left" w:pos="426"/>
        </w:tabs>
        <w:jc w:val="both"/>
        <w:rPr>
          <w:rFonts w:ascii="Cambria" w:hAnsi="Cambria"/>
          <w:bCs/>
          <w:sz w:val="20"/>
          <w:szCs w:val="20"/>
        </w:rPr>
      </w:pPr>
    </w:p>
    <w:p w14:paraId="22D1C309" w14:textId="7B97C02C" w:rsidR="001A68AB" w:rsidRPr="00DF2CE8" w:rsidRDefault="001A68AB" w:rsidP="001A68AB">
      <w:pPr>
        <w:tabs>
          <w:tab w:val="left" w:pos="426"/>
        </w:tabs>
        <w:ind w:left="450"/>
        <w:jc w:val="both"/>
        <w:rPr>
          <w:rFonts w:ascii="Cambria" w:hAnsi="Cambria"/>
          <w:bCs/>
          <w:i/>
          <w:iCs/>
          <w:sz w:val="20"/>
          <w:szCs w:val="20"/>
        </w:rPr>
      </w:pPr>
      <w:r w:rsidRPr="00DF2CE8">
        <w:rPr>
          <w:rFonts w:ascii="Cambria" w:hAnsi="Cambria"/>
          <w:i/>
          <w:sz w:val="20"/>
          <w:szCs w:val="20"/>
        </w:rPr>
        <w:t xml:space="preserve">Le projet de budget ordinaire </w:t>
      </w:r>
      <w:r w:rsidR="00AE7CC5" w:rsidRPr="00DF2CE8">
        <w:rPr>
          <w:rFonts w:ascii="Cambria" w:hAnsi="Cambria"/>
          <w:i/>
          <w:sz w:val="20"/>
          <w:szCs w:val="20"/>
        </w:rPr>
        <w:t xml:space="preserve">pour les </w:t>
      </w:r>
      <w:r w:rsidR="004F2132" w:rsidRPr="00DF2CE8">
        <w:rPr>
          <w:rFonts w:ascii="Cambria" w:hAnsi="Cambria"/>
          <w:i/>
          <w:sz w:val="20"/>
          <w:szCs w:val="20"/>
        </w:rPr>
        <w:t xml:space="preserve">exercices financiers 2026-2027 </w:t>
      </w:r>
      <w:r w:rsidRPr="00DF2CE8">
        <w:rPr>
          <w:rFonts w:ascii="Cambria" w:hAnsi="Cambria"/>
          <w:i/>
          <w:sz w:val="20"/>
          <w:szCs w:val="20"/>
        </w:rPr>
        <w:t>a été diffusé à l'avance</w:t>
      </w:r>
      <w:r w:rsidR="004F2132" w:rsidRPr="00DF2CE8">
        <w:rPr>
          <w:rFonts w:ascii="Cambria" w:hAnsi="Cambria"/>
          <w:i/>
          <w:sz w:val="20"/>
          <w:szCs w:val="20"/>
        </w:rPr>
        <w:t> ; il</w:t>
      </w:r>
      <w:r w:rsidRPr="00DF2CE8">
        <w:rPr>
          <w:rFonts w:ascii="Cambria" w:hAnsi="Cambria"/>
          <w:i/>
          <w:sz w:val="20"/>
          <w:szCs w:val="20"/>
        </w:rPr>
        <w:t xml:space="preserve"> est disponible dans le </w:t>
      </w:r>
      <w:r w:rsidRPr="00DF2CE8">
        <w:rPr>
          <w:rFonts w:ascii="Cambria" w:hAnsi="Cambria"/>
          <w:b/>
          <w:i/>
          <w:sz w:val="20"/>
          <w:szCs w:val="20"/>
        </w:rPr>
        <w:t>STF_203</w:t>
      </w:r>
      <w:r w:rsidR="00E93108" w:rsidRPr="00DF2CE8">
        <w:rPr>
          <w:rFonts w:ascii="Cambria" w:hAnsi="Cambria"/>
          <w:b/>
          <w:i/>
          <w:sz w:val="20"/>
          <w:szCs w:val="20"/>
        </w:rPr>
        <w:t>_REV_1</w:t>
      </w:r>
      <w:r w:rsidRPr="00DF2CE8">
        <w:rPr>
          <w:rFonts w:ascii="Cambria" w:hAnsi="Cambria"/>
          <w:b/>
          <w:i/>
          <w:sz w:val="20"/>
          <w:szCs w:val="20"/>
        </w:rPr>
        <w:t>/2025</w:t>
      </w:r>
      <w:r w:rsidRPr="00DF2CE8">
        <w:rPr>
          <w:rFonts w:ascii="Cambria" w:hAnsi="Cambria"/>
          <w:i/>
          <w:sz w:val="20"/>
          <w:szCs w:val="20"/>
        </w:rPr>
        <w:t xml:space="preserve">. Le budget pour l'eBCD </w:t>
      </w:r>
      <w:r w:rsidR="00E93108" w:rsidRPr="00DF2CE8">
        <w:rPr>
          <w:rFonts w:ascii="Cambria" w:hAnsi="Cambria"/>
          <w:i/>
          <w:sz w:val="20"/>
          <w:szCs w:val="20"/>
        </w:rPr>
        <w:t xml:space="preserve">pour les exercices financiers 2026-2027 </w:t>
      </w:r>
      <w:r w:rsidRPr="00DF2CE8">
        <w:rPr>
          <w:rFonts w:ascii="Cambria" w:hAnsi="Cambria"/>
          <w:i/>
          <w:sz w:val="20"/>
          <w:szCs w:val="20"/>
        </w:rPr>
        <w:t>a été diffusé 60 jours à l’avance</w:t>
      </w:r>
      <w:r w:rsidR="00F01324" w:rsidRPr="00DF2CE8">
        <w:rPr>
          <w:rFonts w:ascii="Cambria" w:hAnsi="Cambria"/>
          <w:i/>
          <w:sz w:val="20"/>
          <w:szCs w:val="20"/>
        </w:rPr>
        <w:t xml:space="preserve"> ; </w:t>
      </w:r>
      <w:r w:rsidRPr="00DF2CE8">
        <w:rPr>
          <w:rFonts w:ascii="Cambria" w:hAnsi="Cambria"/>
          <w:i/>
          <w:sz w:val="20"/>
          <w:szCs w:val="20"/>
        </w:rPr>
        <w:t xml:space="preserve">il est disponible dans le </w:t>
      </w:r>
      <w:r w:rsidRPr="00DF2CE8">
        <w:rPr>
          <w:rFonts w:ascii="Cambria" w:hAnsi="Cambria"/>
          <w:b/>
          <w:i/>
          <w:sz w:val="20"/>
          <w:szCs w:val="20"/>
        </w:rPr>
        <w:t>STF_204/2025</w:t>
      </w:r>
      <w:r w:rsidRPr="00DF2CE8">
        <w:rPr>
          <w:rFonts w:ascii="Cambria" w:hAnsi="Cambria"/>
          <w:i/>
          <w:sz w:val="20"/>
          <w:szCs w:val="20"/>
        </w:rPr>
        <w:t>.</w:t>
      </w:r>
    </w:p>
    <w:p w14:paraId="5853C288" w14:textId="77777777" w:rsidR="001A68AB" w:rsidRPr="00DF2CE8" w:rsidRDefault="001A68AB" w:rsidP="001A68AB">
      <w:pPr>
        <w:tabs>
          <w:tab w:val="left" w:pos="426"/>
        </w:tabs>
        <w:jc w:val="both"/>
        <w:rPr>
          <w:rFonts w:ascii="Cambria" w:hAnsi="Cambria"/>
          <w:bCs/>
          <w:sz w:val="20"/>
          <w:szCs w:val="20"/>
        </w:rPr>
      </w:pPr>
    </w:p>
    <w:p w14:paraId="205ACFB2" w14:textId="59A05C87" w:rsidR="001A68AB" w:rsidRPr="00DF2CE8" w:rsidRDefault="001A68AB" w:rsidP="001A68AB">
      <w:pPr>
        <w:tabs>
          <w:tab w:val="left" w:pos="426"/>
        </w:tabs>
        <w:jc w:val="both"/>
        <w:rPr>
          <w:rFonts w:ascii="Cambria" w:hAnsi="Cambria"/>
          <w:bCs/>
          <w:sz w:val="20"/>
          <w:szCs w:val="20"/>
        </w:rPr>
      </w:pPr>
      <w:r w:rsidRPr="00DF2CE8">
        <w:rPr>
          <w:rFonts w:ascii="Cambria" w:hAnsi="Cambria"/>
          <w:bCs/>
          <w:sz w:val="20"/>
          <w:szCs w:val="20"/>
        </w:rPr>
        <w:t>12.</w:t>
      </w:r>
      <w:r w:rsidRPr="00DF2CE8">
        <w:rPr>
          <w:rFonts w:ascii="Cambria" w:hAnsi="Cambria"/>
          <w:bCs/>
          <w:sz w:val="20"/>
          <w:szCs w:val="20"/>
        </w:rPr>
        <w:tab/>
        <w:t>Élection du Président et de l’éventuel Vice-président</w:t>
      </w:r>
    </w:p>
    <w:p w14:paraId="56DEB5E8" w14:textId="77777777" w:rsidR="001A68AB" w:rsidRPr="00DF2CE8" w:rsidRDefault="001A68AB" w:rsidP="001A68AB">
      <w:pPr>
        <w:tabs>
          <w:tab w:val="left" w:pos="426"/>
        </w:tabs>
        <w:jc w:val="both"/>
        <w:rPr>
          <w:rFonts w:ascii="Cambria" w:hAnsi="Cambria"/>
          <w:bCs/>
          <w:sz w:val="20"/>
          <w:szCs w:val="20"/>
        </w:rPr>
      </w:pPr>
    </w:p>
    <w:p w14:paraId="38F561BE" w14:textId="5B7055FC" w:rsidR="001A68AB" w:rsidRPr="00DF2CE8" w:rsidRDefault="001A68AB" w:rsidP="001A68AB">
      <w:pPr>
        <w:tabs>
          <w:tab w:val="left" w:pos="426"/>
        </w:tabs>
        <w:jc w:val="both"/>
        <w:rPr>
          <w:rFonts w:ascii="Cambria" w:hAnsi="Cambria"/>
          <w:bCs/>
          <w:sz w:val="20"/>
          <w:szCs w:val="20"/>
        </w:rPr>
      </w:pPr>
      <w:r w:rsidRPr="00DF2CE8">
        <w:rPr>
          <w:rFonts w:ascii="Cambria" w:hAnsi="Cambria"/>
          <w:i/>
          <w:sz w:val="20"/>
          <w:szCs w:val="20"/>
        </w:rPr>
        <w:tab/>
        <w:t>Le STACFAD élira un président et un éventuel vice-président pour la période biennale de 2026/2027.</w:t>
      </w:r>
    </w:p>
    <w:p w14:paraId="38B39568" w14:textId="77777777" w:rsidR="001A68AB" w:rsidRPr="00DF2CE8" w:rsidRDefault="001A68AB" w:rsidP="001A68AB">
      <w:pPr>
        <w:tabs>
          <w:tab w:val="left" w:pos="426"/>
        </w:tabs>
        <w:jc w:val="both"/>
        <w:rPr>
          <w:rFonts w:ascii="Cambria" w:hAnsi="Cambria"/>
          <w:bCs/>
          <w:sz w:val="20"/>
          <w:szCs w:val="20"/>
        </w:rPr>
      </w:pPr>
    </w:p>
    <w:p w14:paraId="5C779963" w14:textId="258104F9" w:rsidR="001A68AB" w:rsidRPr="00DF2CE8" w:rsidRDefault="001A68AB" w:rsidP="001A68AB">
      <w:pPr>
        <w:tabs>
          <w:tab w:val="left" w:pos="426"/>
        </w:tabs>
        <w:jc w:val="both"/>
        <w:rPr>
          <w:rFonts w:ascii="Cambria" w:hAnsi="Cambria"/>
          <w:bCs/>
          <w:sz w:val="20"/>
          <w:szCs w:val="20"/>
        </w:rPr>
      </w:pPr>
      <w:r w:rsidRPr="00DF2CE8">
        <w:rPr>
          <w:rFonts w:ascii="Cambria" w:hAnsi="Cambria"/>
          <w:bCs/>
          <w:sz w:val="20"/>
          <w:szCs w:val="20"/>
        </w:rPr>
        <w:t>13.</w:t>
      </w:r>
      <w:r w:rsidRPr="00DF2CE8">
        <w:rPr>
          <w:rFonts w:ascii="Cambria" w:hAnsi="Cambria"/>
          <w:bCs/>
          <w:sz w:val="20"/>
          <w:szCs w:val="20"/>
        </w:rPr>
        <w:tab/>
        <w:t>Autres questions</w:t>
      </w:r>
    </w:p>
    <w:p w14:paraId="108F20C8" w14:textId="77777777" w:rsidR="003426C8" w:rsidRPr="00DF2CE8" w:rsidRDefault="003426C8" w:rsidP="001A68AB">
      <w:pPr>
        <w:tabs>
          <w:tab w:val="left" w:pos="426"/>
        </w:tabs>
        <w:jc w:val="both"/>
        <w:rPr>
          <w:rFonts w:ascii="Cambria" w:hAnsi="Cambria"/>
          <w:bCs/>
          <w:iCs/>
          <w:sz w:val="20"/>
          <w:szCs w:val="20"/>
        </w:rPr>
      </w:pPr>
    </w:p>
    <w:p w14:paraId="787CF136" w14:textId="6DA31A22" w:rsidR="003426C8" w:rsidRPr="00DF2CE8" w:rsidRDefault="003426C8" w:rsidP="00743EF7">
      <w:pPr>
        <w:tabs>
          <w:tab w:val="left" w:pos="426"/>
        </w:tabs>
        <w:ind w:left="426"/>
        <w:jc w:val="both"/>
        <w:rPr>
          <w:rFonts w:ascii="Cambria" w:hAnsi="Cambria"/>
          <w:bCs/>
          <w:iCs/>
          <w:sz w:val="20"/>
          <w:szCs w:val="20"/>
        </w:rPr>
      </w:pPr>
      <w:r w:rsidRPr="00DF2CE8">
        <w:rPr>
          <w:rFonts w:ascii="Cambria" w:hAnsi="Cambria"/>
          <w:bCs/>
          <w:iCs/>
          <w:sz w:val="20"/>
          <w:szCs w:val="20"/>
        </w:rPr>
        <w:t>13.1 Examen de la nécessité de tenir une réunion intersessions en 2026 du Groupe de travail virtuel sur la situation financière durable de l’ICCAT (VWG-SF)</w:t>
      </w:r>
    </w:p>
    <w:p w14:paraId="7E98F9A1" w14:textId="77777777" w:rsidR="00C12426" w:rsidRPr="00DF2CE8" w:rsidRDefault="00C12426" w:rsidP="001A68AB">
      <w:pPr>
        <w:tabs>
          <w:tab w:val="left" w:pos="426"/>
        </w:tabs>
        <w:jc w:val="both"/>
        <w:rPr>
          <w:rFonts w:ascii="Cambria" w:hAnsi="Cambria"/>
          <w:bCs/>
          <w:iCs/>
          <w:sz w:val="20"/>
          <w:szCs w:val="20"/>
        </w:rPr>
      </w:pPr>
    </w:p>
    <w:p w14:paraId="65C262E5" w14:textId="252E7D98" w:rsidR="008B3DC1" w:rsidRPr="00DF2CE8" w:rsidRDefault="008B3DC1" w:rsidP="00743EF7">
      <w:pPr>
        <w:tabs>
          <w:tab w:val="left" w:pos="426"/>
        </w:tabs>
        <w:ind w:left="426"/>
        <w:jc w:val="both"/>
        <w:rPr>
          <w:rFonts w:ascii="Cambria" w:hAnsi="Cambria"/>
          <w:bCs/>
          <w:iCs/>
          <w:sz w:val="20"/>
          <w:szCs w:val="20"/>
        </w:rPr>
      </w:pPr>
      <w:r w:rsidRPr="00DF2CE8">
        <w:rPr>
          <w:rFonts w:ascii="Cambria" w:hAnsi="Cambria"/>
          <w:bCs/>
          <w:iCs/>
          <w:sz w:val="20"/>
          <w:szCs w:val="20"/>
        </w:rPr>
        <w:t>13.2 Considérations relatives à l'utilisation d'autres statistiques sur les captures et la mise en conserve des thonidés pour le calcul des contributions des CPC</w:t>
      </w:r>
    </w:p>
    <w:p w14:paraId="7D54803A" w14:textId="77777777" w:rsidR="008B3DC1" w:rsidRPr="00DF2CE8" w:rsidRDefault="008B3DC1" w:rsidP="004E6F3B">
      <w:pPr>
        <w:tabs>
          <w:tab w:val="left" w:pos="426"/>
        </w:tabs>
        <w:jc w:val="both"/>
        <w:rPr>
          <w:rFonts w:ascii="Cambria" w:hAnsi="Cambria"/>
          <w:bCs/>
          <w:sz w:val="20"/>
          <w:szCs w:val="20"/>
        </w:rPr>
      </w:pPr>
    </w:p>
    <w:p w14:paraId="3243CCAB" w14:textId="69598113" w:rsidR="004E6F3B" w:rsidRPr="00DF2CE8" w:rsidRDefault="00D72773" w:rsidP="00743EF7">
      <w:pPr>
        <w:tabs>
          <w:tab w:val="left" w:pos="426"/>
        </w:tabs>
        <w:ind w:left="426"/>
        <w:jc w:val="both"/>
        <w:rPr>
          <w:rFonts w:ascii="Cambria" w:hAnsi="Cambria"/>
          <w:i/>
          <w:iCs/>
          <w:sz w:val="20"/>
          <w:szCs w:val="20"/>
        </w:rPr>
      </w:pPr>
      <w:r w:rsidRPr="00DF2CE8">
        <w:rPr>
          <w:rFonts w:ascii="Cambria" w:hAnsi="Cambria"/>
          <w:i/>
          <w:sz w:val="20"/>
          <w:szCs w:val="20"/>
        </w:rPr>
        <w:t>Le Secrétariat présentera à la Commission une proposition sur la source qu’il convient d’utiliser pour obtenir des données relatives aux statistiques sur la capture et la mise en conserve des thonidés requises pour le calcul de la contribution (</w:t>
      </w:r>
      <w:r w:rsidRPr="00DF2CE8">
        <w:rPr>
          <w:rFonts w:ascii="Cambria" w:hAnsi="Cambria"/>
          <w:b/>
          <w:i/>
          <w:sz w:val="20"/>
          <w:szCs w:val="20"/>
        </w:rPr>
        <w:t>STF_208/2025</w:t>
      </w:r>
      <w:r w:rsidRPr="00DF2CE8">
        <w:rPr>
          <w:rFonts w:ascii="Cambria" w:hAnsi="Cambria"/>
          <w:i/>
          <w:sz w:val="20"/>
          <w:szCs w:val="20"/>
        </w:rPr>
        <w:t>).</w:t>
      </w:r>
    </w:p>
    <w:p w14:paraId="7344464D" w14:textId="77777777" w:rsidR="001A68AB" w:rsidRPr="00DF2CE8" w:rsidRDefault="001A68AB" w:rsidP="001A68AB">
      <w:pPr>
        <w:tabs>
          <w:tab w:val="left" w:pos="426"/>
        </w:tabs>
        <w:jc w:val="both"/>
        <w:rPr>
          <w:rFonts w:ascii="Cambria" w:hAnsi="Cambria"/>
          <w:bCs/>
          <w:sz w:val="20"/>
          <w:szCs w:val="20"/>
        </w:rPr>
      </w:pPr>
    </w:p>
    <w:p w14:paraId="366CEE94" w14:textId="257E9B35" w:rsidR="001A68AB" w:rsidRPr="00DF2CE8" w:rsidRDefault="001A68AB" w:rsidP="001A68AB">
      <w:pPr>
        <w:tabs>
          <w:tab w:val="left" w:pos="426"/>
        </w:tabs>
        <w:jc w:val="both"/>
        <w:rPr>
          <w:rFonts w:ascii="Cambria" w:hAnsi="Cambria"/>
          <w:bCs/>
          <w:sz w:val="20"/>
          <w:szCs w:val="20"/>
        </w:rPr>
      </w:pPr>
      <w:r w:rsidRPr="00DF2CE8">
        <w:rPr>
          <w:rFonts w:ascii="Cambria" w:hAnsi="Cambria"/>
          <w:bCs/>
          <w:sz w:val="20"/>
          <w:szCs w:val="20"/>
        </w:rPr>
        <w:t>14.</w:t>
      </w:r>
      <w:r w:rsidRPr="00DF2CE8">
        <w:rPr>
          <w:rFonts w:ascii="Cambria" w:hAnsi="Cambria"/>
          <w:bCs/>
          <w:sz w:val="20"/>
          <w:szCs w:val="20"/>
        </w:rPr>
        <w:tab/>
        <w:t>Adoption du rapport et clôture</w:t>
      </w:r>
    </w:p>
    <w:p w14:paraId="0C09876C" w14:textId="77777777" w:rsidR="001A68AB" w:rsidRPr="00DF2CE8" w:rsidRDefault="001A68AB" w:rsidP="001A68AB">
      <w:pPr>
        <w:rPr>
          <w:rFonts w:ascii="Cambria" w:hAnsi="Cambria"/>
          <w:bCs/>
          <w:i/>
          <w:iCs/>
          <w:sz w:val="20"/>
          <w:szCs w:val="20"/>
        </w:rPr>
      </w:pPr>
      <w:r w:rsidRPr="00DF2CE8">
        <w:rPr>
          <w:rFonts w:ascii="Cambria" w:hAnsi="Cambria"/>
          <w:sz w:val="20"/>
          <w:szCs w:val="20"/>
        </w:rPr>
        <w:br w:type="page"/>
      </w:r>
    </w:p>
    <w:p w14:paraId="25685CA8" w14:textId="77777777" w:rsidR="00DD4C39" w:rsidRPr="00DF2CE8" w:rsidRDefault="00DD4C39" w:rsidP="00BB63F0">
      <w:pPr>
        <w:tabs>
          <w:tab w:val="left" w:pos="300"/>
        </w:tabs>
        <w:rPr>
          <w:rFonts w:ascii="Cambria" w:hAnsi="Cambria"/>
          <w:bCs/>
          <w:iCs/>
          <w:sz w:val="20"/>
          <w:szCs w:val="20"/>
        </w:rPr>
      </w:pPr>
    </w:p>
    <w:p w14:paraId="3CBE28AB" w14:textId="77777777" w:rsidR="002A70B6" w:rsidRPr="00DF2CE8" w:rsidRDefault="002A70B6" w:rsidP="002A70B6">
      <w:pPr>
        <w:tabs>
          <w:tab w:val="left" w:pos="300"/>
        </w:tabs>
        <w:jc w:val="center"/>
        <w:rPr>
          <w:rFonts w:ascii="Cambria" w:hAnsi="Cambria"/>
          <w:b/>
          <w:bCs/>
          <w:iCs/>
          <w:sz w:val="20"/>
          <w:szCs w:val="20"/>
        </w:rPr>
      </w:pPr>
      <w:r w:rsidRPr="00DF2CE8">
        <w:rPr>
          <w:rFonts w:ascii="Cambria" w:hAnsi="Cambria"/>
          <w:b/>
          <w:sz w:val="20"/>
          <w:szCs w:val="20"/>
        </w:rPr>
        <w:t>Sous-commission 1</w:t>
      </w:r>
    </w:p>
    <w:p w14:paraId="662B0CD3" w14:textId="77777777" w:rsidR="002A70B6" w:rsidRPr="00DF2CE8" w:rsidRDefault="002A70B6" w:rsidP="002A70B6">
      <w:pPr>
        <w:tabs>
          <w:tab w:val="left" w:pos="300"/>
        </w:tabs>
        <w:jc w:val="center"/>
        <w:rPr>
          <w:rFonts w:ascii="Cambria" w:hAnsi="Cambria"/>
          <w:sz w:val="20"/>
          <w:szCs w:val="20"/>
        </w:rPr>
      </w:pPr>
    </w:p>
    <w:p w14:paraId="1C97D94A" w14:textId="77777777" w:rsidR="002A70B6" w:rsidRPr="00DF2CE8" w:rsidRDefault="002A70B6" w:rsidP="002A70B6">
      <w:pPr>
        <w:tabs>
          <w:tab w:val="left" w:pos="300"/>
        </w:tabs>
        <w:jc w:val="center"/>
        <w:rPr>
          <w:rFonts w:ascii="Cambria" w:hAnsi="Cambria"/>
          <w:sz w:val="20"/>
          <w:szCs w:val="20"/>
        </w:rPr>
      </w:pPr>
    </w:p>
    <w:p w14:paraId="0877AF2C" w14:textId="77777777" w:rsidR="002A70B6" w:rsidRPr="00DF2CE8" w:rsidRDefault="002A70B6" w:rsidP="002A70B6">
      <w:pPr>
        <w:pStyle w:val="ListParagraph"/>
        <w:widowControl w:val="0"/>
        <w:numPr>
          <w:ilvl w:val="0"/>
          <w:numId w:val="38"/>
        </w:numPr>
        <w:tabs>
          <w:tab w:val="left" w:pos="426"/>
        </w:tabs>
        <w:jc w:val="both"/>
        <w:rPr>
          <w:rFonts w:ascii="Cambria" w:hAnsi="Cambria"/>
          <w:sz w:val="20"/>
          <w:szCs w:val="20"/>
        </w:rPr>
      </w:pPr>
      <w:r w:rsidRPr="00DF2CE8">
        <w:rPr>
          <w:rFonts w:ascii="Cambria" w:hAnsi="Cambria"/>
          <w:sz w:val="20"/>
          <w:szCs w:val="20"/>
        </w:rPr>
        <w:t>Ouverture de la réunion</w:t>
      </w:r>
    </w:p>
    <w:p w14:paraId="7287E2CE" w14:textId="77777777" w:rsidR="002A70B6" w:rsidRPr="00DF2CE8" w:rsidRDefault="002A70B6" w:rsidP="002A70B6">
      <w:pPr>
        <w:tabs>
          <w:tab w:val="left" w:pos="426"/>
        </w:tabs>
        <w:jc w:val="both"/>
        <w:rPr>
          <w:rFonts w:ascii="Cambria" w:hAnsi="Cambria"/>
          <w:sz w:val="20"/>
          <w:szCs w:val="20"/>
          <w:lang w:val="en-GB"/>
        </w:rPr>
      </w:pPr>
    </w:p>
    <w:p w14:paraId="6214DF09" w14:textId="77777777" w:rsidR="002A70B6" w:rsidRPr="00DF2CE8" w:rsidRDefault="002A70B6" w:rsidP="002A70B6">
      <w:pPr>
        <w:tabs>
          <w:tab w:val="left" w:pos="426"/>
        </w:tabs>
        <w:jc w:val="both"/>
        <w:rPr>
          <w:rFonts w:ascii="Cambria" w:hAnsi="Cambria"/>
          <w:i/>
          <w:iCs/>
          <w:sz w:val="20"/>
          <w:szCs w:val="20"/>
        </w:rPr>
      </w:pPr>
      <w:r w:rsidRPr="00DF2CE8">
        <w:rPr>
          <w:rFonts w:ascii="Cambria" w:hAnsi="Cambria"/>
          <w:i/>
          <w:sz w:val="20"/>
          <w:szCs w:val="20"/>
        </w:rPr>
        <w:tab/>
        <w:t xml:space="preserve">M. Emmanuel Kwame </w:t>
      </w:r>
      <w:proofErr w:type="spellStart"/>
      <w:r w:rsidRPr="00DF2CE8">
        <w:rPr>
          <w:rFonts w:ascii="Cambria" w:hAnsi="Cambria"/>
          <w:i/>
          <w:sz w:val="20"/>
          <w:szCs w:val="20"/>
        </w:rPr>
        <w:t>Dovlo</w:t>
      </w:r>
      <w:proofErr w:type="spellEnd"/>
      <w:r w:rsidRPr="00DF2CE8">
        <w:rPr>
          <w:rFonts w:ascii="Cambria" w:hAnsi="Cambria"/>
          <w:i/>
          <w:sz w:val="20"/>
          <w:szCs w:val="20"/>
        </w:rPr>
        <w:t xml:space="preserve"> (Ghana), Président de la Sous-commission 1, ouvrira la réunion.</w:t>
      </w:r>
    </w:p>
    <w:p w14:paraId="55BD532E" w14:textId="77777777" w:rsidR="002A70B6" w:rsidRPr="00DF2CE8" w:rsidRDefault="002A70B6" w:rsidP="002A70B6">
      <w:pPr>
        <w:tabs>
          <w:tab w:val="left" w:pos="426"/>
        </w:tabs>
        <w:jc w:val="both"/>
        <w:rPr>
          <w:rFonts w:ascii="Cambria" w:hAnsi="Cambria"/>
          <w:sz w:val="20"/>
          <w:szCs w:val="20"/>
        </w:rPr>
      </w:pPr>
    </w:p>
    <w:p w14:paraId="5B2CEFAA" w14:textId="77777777" w:rsidR="002A70B6" w:rsidRPr="00DF2CE8" w:rsidRDefault="002A70B6" w:rsidP="002A70B6">
      <w:pPr>
        <w:pStyle w:val="ListParagraph"/>
        <w:widowControl w:val="0"/>
        <w:numPr>
          <w:ilvl w:val="0"/>
          <w:numId w:val="38"/>
        </w:numPr>
        <w:tabs>
          <w:tab w:val="left" w:pos="426"/>
        </w:tabs>
        <w:jc w:val="both"/>
        <w:rPr>
          <w:rFonts w:ascii="Cambria" w:hAnsi="Cambria"/>
          <w:sz w:val="20"/>
          <w:szCs w:val="20"/>
        </w:rPr>
      </w:pPr>
      <w:r w:rsidRPr="00DF2CE8">
        <w:rPr>
          <w:rFonts w:ascii="Cambria" w:hAnsi="Cambria"/>
          <w:sz w:val="20"/>
          <w:szCs w:val="20"/>
        </w:rPr>
        <w:t xml:space="preserve">Désignation du Rapporteur </w:t>
      </w:r>
    </w:p>
    <w:p w14:paraId="65F3326F" w14:textId="77777777" w:rsidR="002A70B6" w:rsidRPr="00DF2CE8" w:rsidRDefault="002A70B6" w:rsidP="002A70B6">
      <w:pPr>
        <w:tabs>
          <w:tab w:val="left" w:pos="426"/>
        </w:tabs>
        <w:jc w:val="both"/>
        <w:rPr>
          <w:rFonts w:ascii="Cambria" w:hAnsi="Cambria"/>
          <w:sz w:val="20"/>
          <w:szCs w:val="20"/>
          <w:lang w:val="en-GB"/>
        </w:rPr>
      </w:pPr>
    </w:p>
    <w:p w14:paraId="3DE2B8D2" w14:textId="77777777" w:rsidR="002A70B6" w:rsidRPr="00DF2CE8" w:rsidRDefault="002A70B6" w:rsidP="002A70B6">
      <w:pPr>
        <w:pStyle w:val="ListParagraph"/>
        <w:widowControl w:val="0"/>
        <w:numPr>
          <w:ilvl w:val="0"/>
          <w:numId w:val="38"/>
        </w:numPr>
        <w:tabs>
          <w:tab w:val="left" w:pos="426"/>
        </w:tabs>
        <w:jc w:val="both"/>
        <w:rPr>
          <w:rFonts w:ascii="Cambria" w:hAnsi="Cambria"/>
          <w:sz w:val="20"/>
          <w:szCs w:val="20"/>
        </w:rPr>
      </w:pPr>
      <w:r w:rsidRPr="00DF2CE8">
        <w:rPr>
          <w:rFonts w:ascii="Cambria" w:hAnsi="Cambria"/>
          <w:sz w:val="20"/>
          <w:szCs w:val="20"/>
        </w:rPr>
        <w:t>Adoption de l’ordre du jour</w:t>
      </w:r>
    </w:p>
    <w:p w14:paraId="3DD92ABA" w14:textId="77777777" w:rsidR="002A70B6" w:rsidRPr="00DF2CE8" w:rsidRDefault="002A70B6" w:rsidP="002A70B6">
      <w:pPr>
        <w:pStyle w:val="ListParagraph"/>
        <w:jc w:val="both"/>
        <w:rPr>
          <w:rFonts w:ascii="Cambria" w:hAnsi="Cambria"/>
          <w:sz w:val="20"/>
          <w:szCs w:val="20"/>
          <w:lang w:val="en-GB"/>
        </w:rPr>
      </w:pPr>
    </w:p>
    <w:p w14:paraId="4F4904A0" w14:textId="77777777" w:rsidR="002A70B6" w:rsidRPr="00DF2CE8" w:rsidRDefault="002A70B6" w:rsidP="002A70B6">
      <w:pPr>
        <w:ind w:firstLine="360"/>
        <w:jc w:val="both"/>
        <w:rPr>
          <w:rFonts w:ascii="Cambria" w:hAnsi="Cambria"/>
          <w:sz w:val="20"/>
          <w:szCs w:val="20"/>
        </w:rPr>
      </w:pPr>
      <w:r w:rsidRPr="00DF2CE8">
        <w:rPr>
          <w:rFonts w:ascii="Cambria" w:hAnsi="Cambria"/>
          <w:i/>
          <w:sz w:val="20"/>
          <w:szCs w:val="20"/>
        </w:rPr>
        <w:t>L’ordre du jour de la Sous-commission 1 est disponible sous la référence</w:t>
      </w:r>
      <w:r w:rsidRPr="00DF2CE8">
        <w:rPr>
          <w:rFonts w:ascii="Cambria" w:hAnsi="Cambria"/>
          <w:b/>
          <w:bCs/>
          <w:i/>
          <w:sz w:val="20"/>
          <w:szCs w:val="20"/>
        </w:rPr>
        <w:t xml:space="preserve"> PA1-500/2025.</w:t>
      </w:r>
    </w:p>
    <w:p w14:paraId="3F434CE9" w14:textId="77777777" w:rsidR="002A70B6" w:rsidRPr="00DF2CE8" w:rsidRDefault="002A70B6" w:rsidP="002A70B6">
      <w:pPr>
        <w:tabs>
          <w:tab w:val="left" w:pos="426"/>
        </w:tabs>
        <w:jc w:val="both"/>
        <w:rPr>
          <w:rFonts w:ascii="Cambria" w:hAnsi="Cambria"/>
          <w:sz w:val="20"/>
          <w:szCs w:val="20"/>
        </w:rPr>
      </w:pPr>
    </w:p>
    <w:p w14:paraId="13EA57DF" w14:textId="77777777" w:rsidR="002A70B6" w:rsidRPr="00DF2CE8" w:rsidRDefault="002A70B6" w:rsidP="002A70B6">
      <w:pPr>
        <w:pStyle w:val="ListParagraph"/>
        <w:widowControl w:val="0"/>
        <w:numPr>
          <w:ilvl w:val="0"/>
          <w:numId w:val="38"/>
        </w:numPr>
        <w:tabs>
          <w:tab w:val="left" w:pos="426"/>
        </w:tabs>
        <w:jc w:val="both"/>
        <w:rPr>
          <w:rFonts w:ascii="Cambria" w:hAnsi="Cambria"/>
          <w:sz w:val="20"/>
          <w:szCs w:val="20"/>
        </w:rPr>
      </w:pPr>
      <w:r w:rsidRPr="00DF2CE8">
        <w:rPr>
          <w:rFonts w:ascii="Cambria" w:hAnsi="Cambria"/>
          <w:sz w:val="20"/>
          <w:szCs w:val="20"/>
        </w:rPr>
        <w:t>Examen de la composition de la Sous-commission</w:t>
      </w:r>
    </w:p>
    <w:p w14:paraId="2039B598" w14:textId="77777777" w:rsidR="002A70B6" w:rsidRPr="00DF2CE8" w:rsidRDefault="002A70B6" w:rsidP="002A70B6">
      <w:pPr>
        <w:tabs>
          <w:tab w:val="left" w:pos="426"/>
        </w:tabs>
        <w:jc w:val="both"/>
        <w:rPr>
          <w:rFonts w:ascii="Cambria" w:hAnsi="Cambria"/>
          <w:sz w:val="20"/>
          <w:szCs w:val="20"/>
        </w:rPr>
      </w:pPr>
    </w:p>
    <w:p w14:paraId="60F848CE" w14:textId="77777777" w:rsidR="002A70B6" w:rsidRPr="00DF2CE8" w:rsidRDefault="002A70B6" w:rsidP="002A70B6">
      <w:pPr>
        <w:ind w:left="360"/>
        <w:jc w:val="both"/>
        <w:rPr>
          <w:rFonts w:ascii="Cambria" w:hAnsi="Cambria"/>
          <w:sz w:val="20"/>
          <w:szCs w:val="20"/>
        </w:rPr>
      </w:pPr>
      <w:r w:rsidRPr="00DF2CE8">
        <w:rPr>
          <w:rFonts w:ascii="Cambria" w:hAnsi="Cambria"/>
          <w:i/>
          <w:sz w:val="20"/>
          <w:szCs w:val="20"/>
        </w:rPr>
        <w:t>La liste des membres de la Sous-commission figure dans le document</w:t>
      </w:r>
      <w:r w:rsidRPr="00DF2CE8">
        <w:rPr>
          <w:rFonts w:ascii="Cambria" w:hAnsi="Cambria"/>
          <w:b/>
          <w:bCs/>
          <w:i/>
          <w:sz w:val="20"/>
          <w:szCs w:val="20"/>
        </w:rPr>
        <w:t xml:space="preserve"> GEN-004/2025.</w:t>
      </w:r>
      <w:r w:rsidRPr="00DF2CE8">
        <w:rPr>
          <w:rFonts w:ascii="Cambria" w:hAnsi="Cambria"/>
          <w:i/>
          <w:sz w:val="20"/>
          <w:szCs w:val="20"/>
        </w:rPr>
        <w:t xml:space="preserve"> Le Secrétaire exécutif informera la Sous-commission des éventuels changements de sa composition.</w:t>
      </w:r>
    </w:p>
    <w:p w14:paraId="300DF6B5" w14:textId="77777777" w:rsidR="002A70B6" w:rsidRPr="00DF2CE8" w:rsidRDefault="002A70B6" w:rsidP="002A70B6">
      <w:pPr>
        <w:tabs>
          <w:tab w:val="left" w:pos="426"/>
        </w:tabs>
        <w:jc w:val="both"/>
        <w:rPr>
          <w:rFonts w:ascii="Cambria" w:hAnsi="Cambria"/>
          <w:sz w:val="20"/>
          <w:szCs w:val="20"/>
        </w:rPr>
      </w:pPr>
    </w:p>
    <w:p w14:paraId="22BE3880" w14:textId="77777777" w:rsidR="002A70B6" w:rsidRPr="00DF2CE8" w:rsidRDefault="002A70B6" w:rsidP="002A70B6">
      <w:pPr>
        <w:pStyle w:val="ListParagraph"/>
        <w:widowControl w:val="0"/>
        <w:numPr>
          <w:ilvl w:val="0"/>
          <w:numId w:val="38"/>
        </w:numPr>
        <w:tabs>
          <w:tab w:val="left" w:pos="426"/>
        </w:tabs>
        <w:jc w:val="both"/>
        <w:rPr>
          <w:rFonts w:ascii="Cambria" w:hAnsi="Cambria"/>
          <w:sz w:val="20"/>
          <w:szCs w:val="20"/>
        </w:rPr>
      </w:pPr>
      <w:r w:rsidRPr="00DF2CE8">
        <w:rPr>
          <w:rFonts w:ascii="Cambria" w:hAnsi="Cambria"/>
          <w:sz w:val="20"/>
          <w:szCs w:val="20"/>
        </w:rPr>
        <w:t>Rapport du Comité Permanent pour la Recherche et les Statistiques (SCRS)</w:t>
      </w:r>
    </w:p>
    <w:p w14:paraId="768A498F" w14:textId="77777777" w:rsidR="002A70B6" w:rsidRPr="00DF2CE8" w:rsidRDefault="002A70B6" w:rsidP="002A70B6">
      <w:pPr>
        <w:tabs>
          <w:tab w:val="left" w:pos="426"/>
        </w:tabs>
        <w:jc w:val="both"/>
        <w:rPr>
          <w:rFonts w:ascii="Cambria" w:hAnsi="Cambria"/>
          <w:sz w:val="20"/>
          <w:szCs w:val="20"/>
        </w:rPr>
      </w:pPr>
    </w:p>
    <w:p w14:paraId="3234E298" w14:textId="77777777" w:rsidR="002A70B6" w:rsidRPr="00DF2CE8" w:rsidRDefault="002A70B6" w:rsidP="002A70B6">
      <w:pPr>
        <w:tabs>
          <w:tab w:val="left" w:pos="360"/>
        </w:tabs>
        <w:ind w:left="360"/>
        <w:jc w:val="both"/>
        <w:rPr>
          <w:rFonts w:ascii="Cambria" w:hAnsi="Cambria"/>
          <w:sz w:val="20"/>
          <w:szCs w:val="20"/>
        </w:rPr>
      </w:pPr>
      <w:r w:rsidRPr="00DF2CE8">
        <w:rPr>
          <w:rFonts w:ascii="Cambria" w:hAnsi="Cambria"/>
          <w:i/>
          <w:sz w:val="20"/>
          <w:szCs w:val="20"/>
        </w:rPr>
        <w:t>Le rapport du SCRS figure dans le</w:t>
      </w:r>
      <w:r w:rsidRPr="00DF2CE8">
        <w:rPr>
          <w:rFonts w:ascii="Cambria" w:hAnsi="Cambria"/>
          <w:b/>
          <w:bCs/>
          <w:i/>
          <w:sz w:val="20"/>
          <w:szCs w:val="20"/>
        </w:rPr>
        <w:t xml:space="preserve"> PLE-104/2025.</w:t>
      </w:r>
      <w:r w:rsidRPr="00DF2CE8">
        <w:rPr>
          <w:rFonts w:ascii="Cambria" w:hAnsi="Cambria"/>
          <w:i/>
          <w:sz w:val="20"/>
          <w:szCs w:val="20"/>
        </w:rPr>
        <w:t xml:space="preserve"> Le Président du SCRS/Vice-président du SCRS présentera les conclusions du Comité concernant la Sous-commission 1 et répondra aux questions posées sur les espèces des régions tempérées du Nord. Le Président/Vice-président du SCRS informera également la Sous-commission des initiatives de recherche en cours.</w:t>
      </w:r>
    </w:p>
    <w:p w14:paraId="31E5AD92" w14:textId="77777777" w:rsidR="002A70B6" w:rsidRPr="00DF2CE8" w:rsidRDefault="002A70B6" w:rsidP="002A70B6">
      <w:pPr>
        <w:pStyle w:val="ListParagraph"/>
        <w:jc w:val="both"/>
        <w:rPr>
          <w:rFonts w:ascii="Cambria" w:hAnsi="Cambria"/>
          <w:sz w:val="20"/>
          <w:szCs w:val="20"/>
        </w:rPr>
      </w:pPr>
    </w:p>
    <w:p w14:paraId="53409766" w14:textId="77777777" w:rsidR="002A70B6" w:rsidRPr="00DF2CE8" w:rsidRDefault="002A70B6" w:rsidP="002A70B6">
      <w:pPr>
        <w:pStyle w:val="ListParagraph"/>
        <w:widowControl w:val="0"/>
        <w:numPr>
          <w:ilvl w:val="1"/>
          <w:numId w:val="38"/>
        </w:numPr>
        <w:tabs>
          <w:tab w:val="left" w:pos="426"/>
        </w:tabs>
        <w:jc w:val="both"/>
        <w:rPr>
          <w:rFonts w:ascii="Cambria" w:hAnsi="Cambria"/>
          <w:sz w:val="20"/>
          <w:szCs w:val="20"/>
        </w:rPr>
      </w:pPr>
      <w:r w:rsidRPr="00DF2CE8">
        <w:rPr>
          <w:rFonts w:ascii="Cambria" w:hAnsi="Cambria"/>
          <w:sz w:val="20"/>
          <w:szCs w:val="20"/>
        </w:rPr>
        <w:t>Recherche et réponses à la Commission</w:t>
      </w:r>
    </w:p>
    <w:p w14:paraId="6FFD0A54" w14:textId="77777777" w:rsidR="002A70B6" w:rsidRPr="00DF2CE8" w:rsidRDefault="002A70B6" w:rsidP="002A70B6">
      <w:pPr>
        <w:tabs>
          <w:tab w:val="left" w:pos="426"/>
        </w:tabs>
        <w:jc w:val="both"/>
        <w:rPr>
          <w:rFonts w:ascii="Cambria" w:hAnsi="Cambria"/>
          <w:sz w:val="20"/>
          <w:szCs w:val="20"/>
        </w:rPr>
      </w:pPr>
    </w:p>
    <w:p w14:paraId="59823665" w14:textId="77777777" w:rsidR="002A70B6" w:rsidRPr="00DF2CE8" w:rsidRDefault="002A70B6" w:rsidP="002A70B6">
      <w:pPr>
        <w:pStyle w:val="ListParagraph"/>
        <w:widowControl w:val="0"/>
        <w:numPr>
          <w:ilvl w:val="0"/>
          <w:numId w:val="38"/>
        </w:numPr>
        <w:tabs>
          <w:tab w:val="left" w:pos="426"/>
        </w:tabs>
        <w:jc w:val="both"/>
        <w:rPr>
          <w:rFonts w:ascii="Cambria" w:hAnsi="Cambria"/>
          <w:sz w:val="20"/>
          <w:szCs w:val="20"/>
        </w:rPr>
      </w:pPr>
      <w:r w:rsidRPr="00DF2CE8">
        <w:rPr>
          <w:rFonts w:ascii="Cambria" w:hAnsi="Cambria"/>
          <w:sz w:val="20"/>
          <w:szCs w:val="20"/>
        </w:rPr>
        <w:t>Examen des commentaires et/ou des demandes de clarification concernant les déclarations et les plans annuels de pêche, de gestion et de capacité, ainsi que leurs plans de gestion des DCP, le cas échéant, et examen de toute action nécessaire</w:t>
      </w:r>
    </w:p>
    <w:p w14:paraId="736DA086" w14:textId="77777777" w:rsidR="002A70B6" w:rsidRPr="00DF2CE8" w:rsidRDefault="002A70B6" w:rsidP="002A70B6">
      <w:pPr>
        <w:tabs>
          <w:tab w:val="left" w:pos="426"/>
        </w:tabs>
        <w:jc w:val="both"/>
        <w:rPr>
          <w:rFonts w:ascii="Cambria" w:hAnsi="Cambria"/>
          <w:i/>
          <w:iCs/>
          <w:sz w:val="20"/>
          <w:szCs w:val="20"/>
        </w:rPr>
      </w:pPr>
    </w:p>
    <w:p w14:paraId="4FB41ABB" w14:textId="4BCB7A29" w:rsidR="002A70B6" w:rsidRPr="00DF2CE8" w:rsidRDefault="002A70B6" w:rsidP="002A70B6">
      <w:pPr>
        <w:tabs>
          <w:tab w:val="left" w:pos="426"/>
        </w:tabs>
        <w:ind w:left="360"/>
        <w:jc w:val="both"/>
        <w:rPr>
          <w:rFonts w:ascii="Cambria" w:hAnsi="Cambria"/>
          <w:sz w:val="20"/>
          <w:szCs w:val="20"/>
        </w:rPr>
      </w:pPr>
      <w:r w:rsidRPr="00DF2CE8">
        <w:rPr>
          <w:rFonts w:ascii="Cambria" w:hAnsi="Cambria"/>
          <w:i/>
          <w:sz w:val="20"/>
          <w:szCs w:val="20"/>
        </w:rPr>
        <w:t xml:space="preserve"> Les versions les plus récentes des déclarations et des plans annuels de pêche, de gestion et de capacité, ainsi que leurs plans de gestion des DCP le cas échéant, ont été traduites et sont disponibles dans le </w:t>
      </w:r>
      <w:hyperlink r:id="rId30" w:history="1">
        <w:r w:rsidRPr="00DF2CE8">
          <w:rPr>
            <w:rStyle w:val="Hyperlink"/>
            <w:rFonts w:ascii="Cambria" w:hAnsi="Cambria"/>
            <w:i/>
            <w:sz w:val="20"/>
            <w:szCs w:val="20"/>
            <w:u w:val="none"/>
          </w:rPr>
          <w:t xml:space="preserve">dossier </w:t>
        </w:r>
        <w:proofErr w:type="spellStart"/>
        <w:r w:rsidRPr="00DF2CE8">
          <w:rPr>
            <w:rStyle w:val="Hyperlink"/>
            <w:rFonts w:ascii="Cambria" w:hAnsi="Cambria"/>
            <w:i/>
            <w:sz w:val="20"/>
            <w:szCs w:val="20"/>
            <w:u w:val="none"/>
          </w:rPr>
          <w:t>NextCloud</w:t>
        </w:r>
        <w:proofErr w:type="spellEnd"/>
        <w:r w:rsidRPr="00DF2CE8">
          <w:rPr>
            <w:rStyle w:val="Hyperlink"/>
            <w:rFonts w:ascii="Cambria" w:hAnsi="Cambria"/>
            <w:i/>
            <w:sz w:val="20"/>
            <w:szCs w:val="20"/>
            <w:u w:val="none"/>
          </w:rPr>
          <w:t xml:space="preserve"> de la</w:t>
        </w:r>
      </w:hyperlink>
      <w:r w:rsidRPr="00DF2CE8">
        <w:rPr>
          <w:rFonts w:ascii="Cambria" w:hAnsi="Cambria"/>
          <w:i/>
          <w:sz w:val="20"/>
          <w:szCs w:val="20"/>
        </w:rPr>
        <w:t xml:space="preserve"> </w:t>
      </w:r>
      <w:hyperlink r:id="rId31" w:history="1">
        <w:r w:rsidRPr="00DF2CE8">
          <w:rPr>
            <w:rStyle w:val="Hyperlink"/>
            <w:rFonts w:ascii="Cambria" w:hAnsi="Cambria"/>
            <w:i/>
            <w:sz w:val="20"/>
            <w:szCs w:val="20"/>
            <w:u w:val="none"/>
          </w:rPr>
          <w:t>Sous-commission 1</w:t>
        </w:r>
      </w:hyperlink>
      <w:r w:rsidR="00DF3F67" w:rsidRPr="00DF2CE8">
        <w:rPr>
          <w:rFonts w:ascii="Cambria" w:hAnsi="Cambria"/>
          <w:sz w:val="20"/>
          <w:szCs w:val="20"/>
        </w:rPr>
        <w:t>.</w:t>
      </w:r>
      <w:r w:rsidRPr="00DF2CE8">
        <w:rPr>
          <w:rFonts w:ascii="Cambria" w:hAnsi="Cambria"/>
          <w:i/>
          <w:sz w:val="20"/>
          <w:szCs w:val="20"/>
        </w:rPr>
        <w:t xml:space="preserve"> </w:t>
      </w:r>
    </w:p>
    <w:p w14:paraId="4B72610F" w14:textId="77777777" w:rsidR="002A70B6" w:rsidRPr="00DF2CE8" w:rsidRDefault="002A70B6" w:rsidP="002A70B6">
      <w:pPr>
        <w:tabs>
          <w:tab w:val="left" w:pos="426"/>
        </w:tabs>
        <w:jc w:val="both"/>
        <w:rPr>
          <w:rFonts w:ascii="Cambria" w:hAnsi="Cambria"/>
          <w:sz w:val="20"/>
          <w:szCs w:val="20"/>
        </w:rPr>
      </w:pPr>
    </w:p>
    <w:p w14:paraId="7E025037" w14:textId="77777777" w:rsidR="002A70B6" w:rsidRPr="00DF2CE8" w:rsidRDefault="002A70B6" w:rsidP="002A70B6">
      <w:pPr>
        <w:pStyle w:val="ListParagraph"/>
        <w:widowControl w:val="0"/>
        <w:numPr>
          <w:ilvl w:val="0"/>
          <w:numId w:val="38"/>
        </w:numPr>
        <w:tabs>
          <w:tab w:val="left" w:pos="5108"/>
        </w:tabs>
        <w:jc w:val="both"/>
        <w:rPr>
          <w:rFonts w:ascii="Cambria" w:hAnsi="Cambria"/>
          <w:sz w:val="20"/>
          <w:szCs w:val="20"/>
        </w:rPr>
      </w:pPr>
      <w:r w:rsidRPr="00DF2CE8">
        <w:rPr>
          <w:rFonts w:ascii="Cambria" w:hAnsi="Cambria"/>
          <w:sz w:val="20"/>
          <w:szCs w:val="20"/>
        </w:rPr>
        <w:t>Examen des tableaux d’application</w:t>
      </w:r>
    </w:p>
    <w:p w14:paraId="39CC5108" w14:textId="77777777" w:rsidR="002A70B6" w:rsidRPr="00DF2CE8" w:rsidRDefault="002A70B6" w:rsidP="002A70B6">
      <w:pPr>
        <w:pStyle w:val="ListParagraph"/>
        <w:tabs>
          <w:tab w:val="left" w:pos="5108"/>
        </w:tabs>
        <w:ind w:left="360"/>
        <w:jc w:val="both"/>
        <w:rPr>
          <w:rFonts w:ascii="Cambria" w:hAnsi="Cambria"/>
          <w:sz w:val="20"/>
          <w:szCs w:val="20"/>
          <w:lang w:val="en-GB"/>
        </w:rPr>
      </w:pPr>
    </w:p>
    <w:p w14:paraId="6E4D6DE7" w14:textId="169EBBED" w:rsidR="002A70B6" w:rsidRPr="00DF2CE8" w:rsidRDefault="002A70B6" w:rsidP="002A70B6">
      <w:pPr>
        <w:pStyle w:val="ListParagraph"/>
        <w:tabs>
          <w:tab w:val="left" w:pos="5108"/>
        </w:tabs>
        <w:ind w:left="360"/>
        <w:jc w:val="both"/>
        <w:rPr>
          <w:rFonts w:ascii="Cambria" w:hAnsi="Cambria"/>
          <w:i/>
          <w:iCs/>
          <w:sz w:val="20"/>
          <w:szCs w:val="20"/>
        </w:rPr>
      </w:pPr>
      <w:r w:rsidRPr="00DF2CE8">
        <w:rPr>
          <w:rFonts w:ascii="Cambria" w:hAnsi="Cambria"/>
          <w:i/>
          <w:sz w:val="20"/>
          <w:szCs w:val="20"/>
        </w:rPr>
        <w:t>Le</w:t>
      </w:r>
      <w:proofErr w:type="gramStart"/>
      <w:r w:rsidRPr="00DF2CE8">
        <w:rPr>
          <w:rFonts w:ascii="Cambria" w:hAnsi="Cambria"/>
          <w:i/>
          <w:sz w:val="20"/>
          <w:szCs w:val="20"/>
        </w:rPr>
        <w:t xml:space="preserve"> «</w:t>
      </w:r>
      <w:r w:rsidR="00FE6EB5" w:rsidRPr="00DF2CE8">
        <w:rPr>
          <w:rFonts w:ascii="Cambria" w:hAnsi="Cambria"/>
          <w:i/>
          <w:sz w:val="20"/>
          <w:szCs w:val="20"/>
        </w:rPr>
        <w:t>Projet</w:t>
      </w:r>
      <w:proofErr w:type="gramEnd"/>
      <w:r w:rsidR="00FE6EB5" w:rsidRPr="00DF2CE8">
        <w:rPr>
          <w:rFonts w:ascii="Cambria" w:hAnsi="Cambria"/>
          <w:i/>
          <w:sz w:val="20"/>
          <w:szCs w:val="20"/>
        </w:rPr>
        <w:t xml:space="preserve"> de</w:t>
      </w:r>
      <w:r w:rsidR="00154970" w:rsidRPr="00DF2CE8">
        <w:rPr>
          <w:rFonts w:ascii="Cambria" w:hAnsi="Cambria"/>
          <w:i/>
          <w:sz w:val="20"/>
          <w:szCs w:val="20"/>
        </w:rPr>
        <w:t xml:space="preserve"> </w:t>
      </w:r>
      <w:r w:rsidRPr="00DF2CE8">
        <w:rPr>
          <w:rFonts w:ascii="Cambria" w:hAnsi="Cambria"/>
          <w:i/>
          <w:sz w:val="20"/>
          <w:szCs w:val="20"/>
        </w:rPr>
        <w:t xml:space="preserve">tableaux d’application de 2024 reçus en 2025 » </w:t>
      </w:r>
      <w:r w:rsidR="00154970" w:rsidRPr="00DF2CE8">
        <w:rPr>
          <w:rFonts w:ascii="Cambria" w:hAnsi="Cambria"/>
          <w:i/>
          <w:sz w:val="20"/>
          <w:szCs w:val="20"/>
        </w:rPr>
        <w:t>a</w:t>
      </w:r>
      <w:r w:rsidRPr="00DF2CE8">
        <w:rPr>
          <w:rFonts w:ascii="Cambria" w:hAnsi="Cambria"/>
          <w:i/>
          <w:sz w:val="20"/>
          <w:szCs w:val="20"/>
        </w:rPr>
        <w:t xml:space="preserve"> été publié en tant que document </w:t>
      </w:r>
      <w:r w:rsidRPr="00DF2CE8">
        <w:rPr>
          <w:rFonts w:ascii="Cambria" w:hAnsi="Cambria"/>
          <w:b/>
          <w:i/>
          <w:sz w:val="20"/>
          <w:szCs w:val="20"/>
        </w:rPr>
        <w:t>COC-304</w:t>
      </w:r>
      <w:r w:rsidR="00AC4618" w:rsidRPr="00DF2CE8">
        <w:rPr>
          <w:rFonts w:ascii="Cambria" w:hAnsi="Cambria"/>
          <w:b/>
          <w:i/>
          <w:sz w:val="20"/>
          <w:szCs w:val="20"/>
        </w:rPr>
        <w:t>_</w:t>
      </w:r>
      <w:r w:rsidR="00F859B9" w:rsidRPr="00DF2CE8">
        <w:rPr>
          <w:rFonts w:ascii="Cambria" w:hAnsi="Cambria"/>
          <w:b/>
          <w:i/>
          <w:sz w:val="20"/>
          <w:szCs w:val="20"/>
        </w:rPr>
        <w:t>TRI</w:t>
      </w:r>
      <w:r w:rsidR="006D2F19" w:rsidRPr="00DF2CE8">
        <w:rPr>
          <w:rFonts w:ascii="Cambria" w:hAnsi="Cambria"/>
          <w:b/>
          <w:i/>
          <w:sz w:val="20"/>
          <w:szCs w:val="20"/>
        </w:rPr>
        <w:t>_</w:t>
      </w:r>
      <w:r w:rsidR="00AC4618" w:rsidRPr="00DF2CE8">
        <w:rPr>
          <w:rFonts w:ascii="Cambria" w:hAnsi="Cambria"/>
          <w:b/>
          <w:i/>
          <w:sz w:val="20"/>
          <w:szCs w:val="20"/>
        </w:rPr>
        <w:t>REV_3</w:t>
      </w:r>
      <w:r w:rsidRPr="00DF2CE8">
        <w:rPr>
          <w:rFonts w:ascii="Cambria" w:hAnsi="Cambria"/>
          <w:b/>
          <w:i/>
          <w:sz w:val="20"/>
          <w:szCs w:val="20"/>
        </w:rPr>
        <w:t>/2025.</w:t>
      </w:r>
    </w:p>
    <w:p w14:paraId="2B7E3A7E" w14:textId="77777777" w:rsidR="002A70B6" w:rsidRPr="00DF2CE8" w:rsidRDefault="002A70B6" w:rsidP="002A70B6">
      <w:pPr>
        <w:pStyle w:val="ListParagraph"/>
        <w:tabs>
          <w:tab w:val="left" w:pos="5108"/>
        </w:tabs>
        <w:jc w:val="both"/>
        <w:rPr>
          <w:rFonts w:ascii="Cambria" w:hAnsi="Cambria"/>
          <w:sz w:val="20"/>
          <w:szCs w:val="20"/>
        </w:rPr>
      </w:pPr>
    </w:p>
    <w:p w14:paraId="2496CC1E" w14:textId="77777777" w:rsidR="002A70B6" w:rsidRPr="00DF2CE8" w:rsidRDefault="002A70B6" w:rsidP="002A70B6">
      <w:pPr>
        <w:pStyle w:val="ListParagraph"/>
        <w:widowControl w:val="0"/>
        <w:numPr>
          <w:ilvl w:val="0"/>
          <w:numId w:val="38"/>
        </w:numPr>
        <w:tabs>
          <w:tab w:val="left" w:pos="5108"/>
        </w:tabs>
        <w:jc w:val="both"/>
        <w:rPr>
          <w:rFonts w:ascii="Cambria" w:hAnsi="Cambria"/>
          <w:sz w:val="20"/>
          <w:szCs w:val="20"/>
        </w:rPr>
      </w:pPr>
      <w:r w:rsidRPr="00DF2CE8">
        <w:rPr>
          <w:rFonts w:ascii="Cambria" w:hAnsi="Cambria"/>
          <w:sz w:val="20"/>
          <w:szCs w:val="20"/>
        </w:rPr>
        <w:t>Examen de l'état d'avancement de l’évaluation de la stratégie de gestion (MSE) pour le listao de l’Ouest et les thonidés tropicaux multi-stocks</w:t>
      </w:r>
    </w:p>
    <w:p w14:paraId="4821544B" w14:textId="77777777" w:rsidR="002A70B6" w:rsidRPr="00DF2CE8" w:rsidRDefault="002A70B6" w:rsidP="002A70B6">
      <w:pPr>
        <w:tabs>
          <w:tab w:val="left" w:pos="5108"/>
        </w:tabs>
        <w:jc w:val="both"/>
        <w:rPr>
          <w:rFonts w:ascii="Cambria" w:hAnsi="Cambria"/>
          <w:sz w:val="20"/>
          <w:szCs w:val="20"/>
        </w:rPr>
      </w:pPr>
    </w:p>
    <w:p w14:paraId="41ABA055" w14:textId="77777777" w:rsidR="002A70B6" w:rsidRPr="00DF2CE8" w:rsidRDefault="002A70B6" w:rsidP="002A70B6">
      <w:pPr>
        <w:ind w:left="360"/>
        <w:jc w:val="both"/>
        <w:rPr>
          <w:rFonts w:ascii="Cambria" w:hAnsi="Cambria"/>
          <w:sz w:val="20"/>
          <w:szCs w:val="20"/>
        </w:rPr>
      </w:pPr>
      <w:r w:rsidRPr="00DF2CE8">
        <w:rPr>
          <w:rFonts w:ascii="Cambria" w:hAnsi="Cambria"/>
          <w:i/>
          <w:sz w:val="20"/>
          <w:szCs w:val="20"/>
        </w:rPr>
        <w:t xml:space="preserve">Le « Rapport de la réunion intersessions de la Sous-commission 1 sur l’évaluation de la stratégie de gestion (MSE) pour les thonidés tropicaux » est disponible sous la référence </w:t>
      </w:r>
      <w:r w:rsidRPr="00DF2CE8">
        <w:rPr>
          <w:rFonts w:ascii="Cambria" w:hAnsi="Cambria"/>
          <w:b/>
          <w:i/>
          <w:sz w:val="20"/>
          <w:szCs w:val="20"/>
        </w:rPr>
        <w:t>PA1-501/2025.</w:t>
      </w:r>
    </w:p>
    <w:p w14:paraId="7032A39C" w14:textId="77777777" w:rsidR="002A70B6" w:rsidRPr="00DF2CE8" w:rsidRDefault="002A70B6" w:rsidP="002A70B6">
      <w:pPr>
        <w:tabs>
          <w:tab w:val="left" w:pos="5108"/>
        </w:tabs>
        <w:ind w:left="294"/>
        <w:jc w:val="both"/>
        <w:rPr>
          <w:rFonts w:ascii="Cambria" w:hAnsi="Cambria"/>
          <w:sz w:val="20"/>
          <w:szCs w:val="20"/>
        </w:rPr>
      </w:pPr>
    </w:p>
    <w:p w14:paraId="61BB837E" w14:textId="3FB905E6" w:rsidR="002A70B6" w:rsidRPr="00DF2CE8" w:rsidRDefault="002A70B6" w:rsidP="002A70B6">
      <w:pPr>
        <w:pStyle w:val="ListParagraph"/>
        <w:widowControl w:val="0"/>
        <w:numPr>
          <w:ilvl w:val="0"/>
          <w:numId w:val="38"/>
        </w:numPr>
        <w:tabs>
          <w:tab w:val="left" w:pos="5108"/>
        </w:tabs>
        <w:jc w:val="both"/>
        <w:rPr>
          <w:rFonts w:ascii="Cambria" w:hAnsi="Cambria"/>
          <w:sz w:val="20"/>
          <w:szCs w:val="20"/>
        </w:rPr>
      </w:pPr>
      <w:r w:rsidRPr="00DF2CE8">
        <w:rPr>
          <w:rFonts w:ascii="Cambria" w:hAnsi="Cambria"/>
          <w:sz w:val="20"/>
          <w:szCs w:val="20"/>
        </w:rPr>
        <w:t xml:space="preserve">Mesures de conservation des stocks et mise en œuvre de la </w:t>
      </w:r>
      <w:hyperlink r:id="rId32" w:history="1">
        <w:r w:rsidRPr="00DF2CE8">
          <w:rPr>
            <w:rStyle w:val="Hyperlink"/>
            <w:rFonts w:ascii="Cambria" w:hAnsi="Cambria"/>
            <w:i/>
            <w:sz w:val="20"/>
            <w:szCs w:val="20"/>
            <w:u w:val="none"/>
          </w:rPr>
          <w:t>Résolution de l’ICCAT portant sur les critères pour l’allocation de possibilités de pêche (Rés. 15-13).</w:t>
        </w:r>
      </w:hyperlink>
    </w:p>
    <w:p w14:paraId="71B0614C" w14:textId="77777777" w:rsidR="002A70B6" w:rsidRPr="00DF2CE8" w:rsidRDefault="002A70B6" w:rsidP="002A70B6">
      <w:pPr>
        <w:tabs>
          <w:tab w:val="left" w:pos="5108"/>
        </w:tabs>
        <w:jc w:val="both"/>
        <w:rPr>
          <w:rFonts w:ascii="Cambria" w:hAnsi="Cambria"/>
          <w:sz w:val="20"/>
          <w:szCs w:val="20"/>
        </w:rPr>
      </w:pPr>
    </w:p>
    <w:p w14:paraId="1691895D" w14:textId="7FDBF6AD" w:rsidR="002A70B6" w:rsidRPr="00DF2CE8" w:rsidRDefault="002A70B6" w:rsidP="002A70B6">
      <w:pPr>
        <w:ind w:left="426"/>
        <w:jc w:val="both"/>
        <w:rPr>
          <w:rFonts w:ascii="Cambria" w:hAnsi="Cambria" w:cstheme="minorHAnsi"/>
          <w:i/>
          <w:iCs/>
          <w:sz w:val="20"/>
          <w:szCs w:val="20"/>
        </w:rPr>
      </w:pPr>
      <w:r w:rsidRPr="00DF2CE8">
        <w:rPr>
          <w:rFonts w:ascii="Cambria" w:hAnsi="Cambria"/>
          <w:sz w:val="20"/>
          <w:szCs w:val="20"/>
        </w:rPr>
        <w:t xml:space="preserve">La </w:t>
      </w:r>
      <w:hyperlink r:id="rId33" w:history="1">
        <w:r w:rsidRPr="00DF2CE8">
          <w:rPr>
            <w:rStyle w:val="Hyperlink"/>
            <w:rFonts w:ascii="Cambria" w:hAnsi="Cambria"/>
            <w:i/>
            <w:sz w:val="20"/>
            <w:szCs w:val="20"/>
            <w:u w:val="none"/>
          </w:rPr>
          <w:t>Rec. 24-01</w:t>
        </w:r>
      </w:hyperlink>
      <w:r w:rsidRPr="00DF2CE8">
        <w:rPr>
          <w:rFonts w:ascii="Cambria" w:hAnsi="Cambria"/>
          <w:sz w:val="20"/>
          <w:szCs w:val="20"/>
        </w:rPr>
        <w:t xml:space="preserve"> </w:t>
      </w:r>
      <w:r w:rsidRPr="00DF2CE8">
        <w:rPr>
          <w:rFonts w:ascii="Cambria" w:hAnsi="Cambria"/>
          <w:i/>
          <w:sz w:val="20"/>
          <w:szCs w:val="20"/>
        </w:rPr>
        <w:t>prévoit ce qui suit : « 3.  Le total admissible de captures (TAC) annuel s’appliquant au thon obèse devra être fixé à 73.011 t pour 2025. Ce niveau de TAC devra être maintenu pour 2026 et 2027 si l'évaluation du stock à réaliser en 2025 indique que la probabilité que le stock se trouve dans le quadrant vert en 2034 de la K2SM (ci-après dénommée « la probabilité ») est supérieure ou égale à 65 %.</w:t>
      </w:r>
    </w:p>
    <w:p w14:paraId="684F65DC" w14:textId="77777777" w:rsidR="002A70B6" w:rsidRPr="00DF2CE8" w:rsidRDefault="002A70B6" w:rsidP="002A70B6">
      <w:pPr>
        <w:ind w:left="426"/>
        <w:jc w:val="both"/>
        <w:rPr>
          <w:rFonts w:ascii="Cambria" w:hAnsi="Cambria" w:cstheme="minorHAnsi"/>
          <w:i/>
          <w:iCs/>
          <w:sz w:val="20"/>
          <w:szCs w:val="20"/>
        </w:rPr>
      </w:pPr>
    </w:p>
    <w:p w14:paraId="4903A826" w14:textId="77777777" w:rsidR="002A70B6" w:rsidRPr="00DF2CE8" w:rsidRDefault="002A70B6" w:rsidP="002A70B6">
      <w:pPr>
        <w:ind w:left="426"/>
        <w:jc w:val="both"/>
        <w:rPr>
          <w:rFonts w:ascii="Cambria" w:hAnsi="Cambria" w:cstheme="minorHAnsi"/>
          <w:i/>
          <w:iCs/>
          <w:color w:val="0563C1" w:themeColor="hyperlink"/>
          <w:sz w:val="20"/>
          <w:szCs w:val="20"/>
        </w:rPr>
      </w:pPr>
      <w:r w:rsidRPr="00DF2CE8">
        <w:rPr>
          <w:rFonts w:ascii="Cambria" w:hAnsi="Cambria"/>
          <w:i/>
          <w:sz w:val="20"/>
          <w:szCs w:val="20"/>
        </w:rPr>
        <w:t>Paragraphe 31. [...] La Commission devra envisager, le cas échéant, sur la base des travaux du SCRS, de modifier la période de fermeture des DCP ou d'établir des mesures supplémentaires à sa réunion ordinaire de 2025. »</w:t>
      </w:r>
    </w:p>
    <w:p w14:paraId="2C56A3FB" w14:textId="77777777" w:rsidR="002A70B6" w:rsidRPr="00DF2CE8" w:rsidRDefault="002A70B6" w:rsidP="002A70B6">
      <w:pPr>
        <w:tabs>
          <w:tab w:val="left" w:pos="5108"/>
        </w:tabs>
        <w:jc w:val="both"/>
        <w:rPr>
          <w:rFonts w:ascii="Cambria" w:hAnsi="Cambria"/>
          <w:sz w:val="20"/>
          <w:szCs w:val="20"/>
        </w:rPr>
      </w:pPr>
    </w:p>
    <w:p w14:paraId="59E07697" w14:textId="6BE66BBA" w:rsidR="002A70B6" w:rsidRPr="00DF2CE8" w:rsidRDefault="002A70B6" w:rsidP="00016C1C">
      <w:pPr>
        <w:ind w:left="426"/>
        <w:jc w:val="both"/>
        <w:rPr>
          <w:rFonts w:ascii="Cambria" w:hAnsi="Cambria" w:cstheme="minorHAnsi"/>
          <w:i/>
          <w:iCs/>
          <w:sz w:val="20"/>
          <w:szCs w:val="20"/>
        </w:rPr>
      </w:pPr>
      <w:r w:rsidRPr="00DF2CE8">
        <w:rPr>
          <w:rFonts w:ascii="Cambria" w:hAnsi="Cambria"/>
          <w:sz w:val="20"/>
          <w:szCs w:val="20"/>
        </w:rPr>
        <w:t xml:space="preserve">La </w:t>
      </w:r>
      <w:hyperlink r:id="rId34" w:history="1">
        <w:r w:rsidRPr="00DF2CE8">
          <w:rPr>
            <w:rStyle w:val="Hyperlink"/>
            <w:rFonts w:ascii="Cambria" w:hAnsi="Cambria"/>
            <w:i/>
            <w:sz w:val="20"/>
            <w:szCs w:val="20"/>
            <w:u w:val="none"/>
          </w:rPr>
          <w:t>Rec. 24-04</w:t>
        </w:r>
      </w:hyperlink>
      <w:r w:rsidRPr="00DF2CE8">
        <w:rPr>
          <w:rFonts w:ascii="Cambria" w:hAnsi="Cambria"/>
          <w:sz w:val="20"/>
          <w:szCs w:val="20"/>
        </w:rPr>
        <w:t xml:space="preserve"> </w:t>
      </w:r>
      <w:r w:rsidRPr="00DF2CE8">
        <w:rPr>
          <w:rFonts w:ascii="Cambria" w:hAnsi="Cambria"/>
          <w:i/>
          <w:sz w:val="20"/>
          <w:szCs w:val="20"/>
        </w:rPr>
        <w:t>prévoit ce qui suit : « 8.  En 2025, le SCRS devra finaliser le calibrage de la MP afin d'atteindre l'objectif d'état spécifié au paragraphe 2, pour examen et adoption par la Commission lors de sa réunion annuelle de 2025. Cette mesure sera révisée en 2025 et les spécifications finales de la MP deviendront l'annexe 3 de la présente Recommandation.</w:t>
      </w:r>
    </w:p>
    <w:p w14:paraId="13325207" w14:textId="77777777" w:rsidR="002A70B6" w:rsidRPr="00DF2CE8" w:rsidRDefault="002A70B6" w:rsidP="00016C1C">
      <w:pPr>
        <w:ind w:left="426"/>
        <w:jc w:val="both"/>
        <w:rPr>
          <w:rFonts w:ascii="Cambria" w:hAnsi="Cambria" w:cstheme="minorHAnsi"/>
          <w:i/>
          <w:iCs/>
          <w:sz w:val="20"/>
          <w:szCs w:val="20"/>
        </w:rPr>
      </w:pPr>
    </w:p>
    <w:p w14:paraId="642ACA5C" w14:textId="37C8C6D7" w:rsidR="002A70B6" w:rsidRPr="00DF2CE8" w:rsidRDefault="002A70B6" w:rsidP="00016C1C">
      <w:pPr>
        <w:ind w:left="426"/>
        <w:jc w:val="both"/>
        <w:rPr>
          <w:rFonts w:ascii="Cambria" w:hAnsi="Cambria" w:cstheme="minorHAnsi"/>
          <w:i/>
          <w:iCs/>
          <w:sz w:val="20"/>
          <w:szCs w:val="20"/>
        </w:rPr>
      </w:pPr>
      <w:r w:rsidRPr="00DF2CE8">
        <w:rPr>
          <w:rFonts w:ascii="Cambria" w:hAnsi="Cambria"/>
          <w:i/>
          <w:sz w:val="20"/>
          <w:szCs w:val="20"/>
        </w:rPr>
        <w:t>Paragraphe 9. La Sous-commission 1 devra élaborer une approche visant à maintenir les captures dans les limites du TAC, qui sera examinée et adoptée par la Commission lors de sa réunion annuelle de 2025.</w:t>
      </w:r>
    </w:p>
    <w:p w14:paraId="58A22508" w14:textId="77777777" w:rsidR="002A70B6" w:rsidRPr="00DF2CE8" w:rsidRDefault="002A70B6" w:rsidP="00016C1C">
      <w:pPr>
        <w:ind w:left="426"/>
        <w:jc w:val="both"/>
        <w:rPr>
          <w:rFonts w:ascii="Cambria" w:hAnsi="Cambria" w:cstheme="minorHAnsi"/>
          <w:i/>
          <w:iCs/>
          <w:sz w:val="20"/>
          <w:szCs w:val="20"/>
        </w:rPr>
      </w:pPr>
    </w:p>
    <w:p w14:paraId="6B89871E" w14:textId="0E432F11" w:rsidR="002A70B6" w:rsidRPr="00DF2CE8" w:rsidRDefault="002A70B6" w:rsidP="00016C1C">
      <w:pPr>
        <w:ind w:left="426"/>
        <w:jc w:val="both"/>
        <w:rPr>
          <w:rFonts w:ascii="Cambria" w:hAnsi="Cambria" w:cstheme="minorHAnsi"/>
          <w:i/>
          <w:iCs/>
          <w:color w:val="0563C1" w:themeColor="hyperlink"/>
          <w:sz w:val="20"/>
          <w:szCs w:val="20"/>
        </w:rPr>
      </w:pPr>
      <w:r w:rsidRPr="00DF2CE8">
        <w:rPr>
          <w:rFonts w:ascii="Cambria" w:hAnsi="Cambria"/>
          <w:i/>
          <w:sz w:val="20"/>
          <w:szCs w:val="20"/>
        </w:rPr>
        <w:t>Paragraphe 10. La Sous-commission 1, avec l’orientation scientifique du SCRS, devra élaborer le protocole de circonstances exceptionnelles pour cette MP, pour examen et adoption par la Commission à sa réunion annuelle de 2025, ou dès que possible par la suite. Une fois adopté, le protocole deviendra l'annexe 4 de la présente Recommandation. »</w:t>
      </w:r>
    </w:p>
    <w:p w14:paraId="161183E2" w14:textId="77777777" w:rsidR="002A70B6" w:rsidRPr="00DF2CE8" w:rsidRDefault="002A70B6" w:rsidP="00016C1C">
      <w:pPr>
        <w:jc w:val="both"/>
        <w:rPr>
          <w:rFonts w:ascii="Cambria" w:hAnsi="Cambria" w:cstheme="minorHAnsi"/>
          <w:sz w:val="20"/>
          <w:szCs w:val="20"/>
        </w:rPr>
      </w:pPr>
    </w:p>
    <w:p w14:paraId="38FD43DA" w14:textId="77777777" w:rsidR="002A70B6" w:rsidRPr="00DF2CE8" w:rsidRDefault="002A70B6" w:rsidP="00016C1C">
      <w:pPr>
        <w:ind w:firstLine="360"/>
        <w:jc w:val="both"/>
        <w:rPr>
          <w:rFonts w:ascii="Cambria" w:hAnsi="Cambria"/>
          <w:sz w:val="20"/>
          <w:szCs w:val="20"/>
        </w:rPr>
      </w:pPr>
      <w:r w:rsidRPr="00DF2CE8">
        <w:rPr>
          <w:rFonts w:ascii="Cambria" w:hAnsi="Cambria"/>
          <w:sz w:val="20"/>
          <w:szCs w:val="20"/>
        </w:rPr>
        <w:t>Les documents suivants ont été présentés par les CPC :</w:t>
      </w:r>
    </w:p>
    <w:p w14:paraId="6720D85C" w14:textId="77777777" w:rsidR="002A70B6" w:rsidRPr="00DF2CE8" w:rsidRDefault="002A70B6" w:rsidP="00016C1C">
      <w:pPr>
        <w:pStyle w:val="ListParagraph"/>
        <w:ind w:left="360"/>
        <w:jc w:val="both"/>
        <w:rPr>
          <w:rFonts w:ascii="Cambria" w:hAnsi="Cambria"/>
          <w:sz w:val="20"/>
          <w:szCs w:val="20"/>
        </w:rPr>
      </w:pPr>
      <w:r w:rsidRPr="00DF2CE8">
        <w:rPr>
          <w:rFonts w:ascii="Cambria" w:hAnsi="Cambria"/>
          <w:sz w:val="20"/>
          <w:szCs w:val="20"/>
        </w:rPr>
        <w:t xml:space="preserve"> </w:t>
      </w:r>
    </w:p>
    <w:p w14:paraId="72193D47" w14:textId="77777777" w:rsidR="002A70B6" w:rsidRPr="00DF2CE8" w:rsidRDefault="002A70B6" w:rsidP="00016C1C">
      <w:pPr>
        <w:pStyle w:val="ListParagraph"/>
        <w:ind w:left="360"/>
        <w:jc w:val="both"/>
        <w:rPr>
          <w:rFonts w:ascii="Cambria" w:hAnsi="Cambria"/>
          <w:b/>
          <w:bCs/>
          <w:i/>
          <w:iCs/>
          <w:color w:val="000000" w:themeColor="text1"/>
          <w:sz w:val="20"/>
          <w:szCs w:val="20"/>
        </w:rPr>
      </w:pPr>
      <w:r w:rsidRPr="00DF2CE8">
        <w:rPr>
          <w:rFonts w:ascii="Cambria" w:hAnsi="Cambria"/>
          <w:i/>
          <w:color w:val="000000" w:themeColor="text1"/>
          <w:sz w:val="20"/>
          <w:szCs w:val="20"/>
        </w:rPr>
        <w:t>Le « Projet de Recommandation de l’ICCAT concernant un projet pilote d'élevage du thon rouge (</w:t>
      </w:r>
      <w:proofErr w:type="spellStart"/>
      <w:r w:rsidRPr="00DF2CE8">
        <w:rPr>
          <w:rFonts w:ascii="Cambria" w:hAnsi="Cambria"/>
          <w:i/>
          <w:color w:val="000000" w:themeColor="text1"/>
          <w:sz w:val="20"/>
          <w:szCs w:val="20"/>
        </w:rPr>
        <w:t>Thunnus</w:t>
      </w:r>
      <w:proofErr w:type="spellEnd"/>
      <w:r w:rsidRPr="00DF2CE8">
        <w:rPr>
          <w:rFonts w:ascii="Cambria" w:hAnsi="Cambria"/>
          <w:i/>
          <w:color w:val="000000" w:themeColor="text1"/>
          <w:sz w:val="20"/>
          <w:szCs w:val="20"/>
        </w:rPr>
        <w:t xml:space="preserve"> </w:t>
      </w:r>
      <w:proofErr w:type="spellStart"/>
      <w:r w:rsidRPr="00DF2CE8">
        <w:rPr>
          <w:rFonts w:ascii="Cambria" w:hAnsi="Cambria"/>
          <w:i/>
          <w:color w:val="000000" w:themeColor="text1"/>
          <w:sz w:val="20"/>
          <w:szCs w:val="20"/>
        </w:rPr>
        <w:t>thynnus</w:t>
      </w:r>
      <w:proofErr w:type="spellEnd"/>
      <w:r w:rsidRPr="00DF2CE8">
        <w:rPr>
          <w:rFonts w:ascii="Cambria" w:hAnsi="Cambria"/>
          <w:i/>
          <w:color w:val="000000" w:themeColor="text1"/>
          <w:sz w:val="20"/>
          <w:szCs w:val="20"/>
        </w:rPr>
        <w:t>) et de l'albacore (</w:t>
      </w:r>
      <w:proofErr w:type="spellStart"/>
      <w:r w:rsidRPr="00DF2CE8">
        <w:rPr>
          <w:rFonts w:ascii="Cambria" w:hAnsi="Cambria"/>
          <w:i/>
          <w:color w:val="000000" w:themeColor="text1"/>
          <w:sz w:val="20"/>
          <w:szCs w:val="20"/>
        </w:rPr>
        <w:t>Thunnus</w:t>
      </w:r>
      <w:proofErr w:type="spellEnd"/>
      <w:r w:rsidRPr="00DF2CE8">
        <w:rPr>
          <w:rFonts w:ascii="Cambria" w:hAnsi="Cambria"/>
          <w:i/>
          <w:color w:val="000000" w:themeColor="text1"/>
          <w:sz w:val="20"/>
          <w:szCs w:val="20"/>
        </w:rPr>
        <w:t xml:space="preserve"> </w:t>
      </w:r>
      <w:proofErr w:type="spellStart"/>
      <w:r w:rsidRPr="00DF2CE8">
        <w:rPr>
          <w:rFonts w:ascii="Cambria" w:hAnsi="Cambria"/>
          <w:i/>
          <w:color w:val="000000" w:themeColor="text1"/>
          <w:sz w:val="20"/>
          <w:szCs w:val="20"/>
        </w:rPr>
        <w:t>albacares</w:t>
      </w:r>
      <w:proofErr w:type="spellEnd"/>
      <w:r w:rsidRPr="00DF2CE8">
        <w:rPr>
          <w:rFonts w:ascii="Cambria" w:hAnsi="Cambria"/>
          <w:i/>
          <w:color w:val="000000" w:themeColor="text1"/>
          <w:sz w:val="20"/>
          <w:szCs w:val="20"/>
        </w:rPr>
        <w:t xml:space="preserve">) dans les eaux des îles Canaries » a été soumis par l’Union européenne sous la référence </w:t>
      </w:r>
      <w:r w:rsidRPr="00DF2CE8">
        <w:rPr>
          <w:rFonts w:ascii="Cambria" w:hAnsi="Cambria"/>
          <w:b/>
          <w:i/>
          <w:color w:val="000000" w:themeColor="text1"/>
          <w:sz w:val="20"/>
          <w:szCs w:val="20"/>
        </w:rPr>
        <w:t>PA1-502/2025.</w:t>
      </w:r>
    </w:p>
    <w:p w14:paraId="4D50B04C" w14:textId="77777777" w:rsidR="002A70B6" w:rsidRPr="00DF2CE8" w:rsidRDefault="002A70B6" w:rsidP="00016C1C">
      <w:pPr>
        <w:pStyle w:val="ListParagraph"/>
        <w:ind w:left="360"/>
        <w:jc w:val="both"/>
        <w:rPr>
          <w:rFonts w:ascii="Cambria" w:hAnsi="Cambria"/>
          <w:b/>
          <w:bCs/>
          <w:i/>
          <w:iCs/>
          <w:color w:val="000000" w:themeColor="text1"/>
          <w:sz w:val="20"/>
          <w:szCs w:val="20"/>
        </w:rPr>
      </w:pPr>
    </w:p>
    <w:p w14:paraId="2B8835D8" w14:textId="6C6088F1" w:rsidR="002A70B6" w:rsidRPr="00DF2CE8" w:rsidRDefault="002A70B6" w:rsidP="00016C1C">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La « Lettre aux membres de la Sous-commission 1 concernant la réunion annuelle » a été soumise par le Président de la Sous-commission 1 sous la référence </w:t>
      </w:r>
      <w:r w:rsidRPr="00DF2CE8">
        <w:rPr>
          <w:rFonts w:ascii="Cambria" w:hAnsi="Cambria"/>
          <w:b/>
          <w:i/>
          <w:color w:val="000000" w:themeColor="text1"/>
          <w:sz w:val="20"/>
          <w:szCs w:val="20"/>
        </w:rPr>
        <w:t>PA1-503/2025</w:t>
      </w:r>
      <w:r w:rsidRPr="00DF2CE8">
        <w:rPr>
          <w:rFonts w:ascii="Cambria" w:hAnsi="Cambria"/>
          <w:i/>
          <w:color w:val="000000" w:themeColor="text1"/>
          <w:sz w:val="20"/>
          <w:szCs w:val="20"/>
        </w:rPr>
        <w:t>.</w:t>
      </w:r>
    </w:p>
    <w:p w14:paraId="238657F7" w14:textId="77777777" w:rsidR="002A70B6" w:rsidRPr="00DF2CE8" w:rsidRDefault="002A70B6" w:rsidP="00016C1C">
      <w:pPr>
        <w:jc w:val="both"/>
        <w:rPr>
          <w:rFonts w:ascii="Cambria" w:hAnsi="Cambria"/>
          <w:sz w:val="20"/>
          <w:szCs w:val="20"/>
        </w:rPr>
      </w:pPr>
    </w:p>
    <w:p w14:paraId="422C9634" w14:textId="77777777" w:rsidR="00A173C8" w:rsidRPr="00DF2CE8" w:rsidRDefault="00A173C8" w:rsidP="00016C1C">
      <w:pPr>
        <w:pStyle w:val="ListParagraph"/>
        <w:ind w:left="360"/>
        <w:jc w:val="both"/>
        <w:rPr>
          <w:rFonts w:ascii="Cambria" w:hAnsi="Cambria"/>
          <w:b/>
          <w:bCs/>
          <w:i/>
          <w:iCs/>
          <w:color w:val="000000" w:themeColor="text1"/>
          <w:sz w:val="20"/>
          <w:szCs w:val="20"/>
        </w:rPr>
      </w:pPr>
      <w:r w:rsidRPr="00DF2CE8">
        <w:rPr>
          <w:rFonts w:ascii="Cambria" w:hAnsi="Cambria"/>
          <w:i/>
          <w:color w:val="000000" w:themeColor="text1"/>
          <w:sz w:val="20"/>
          <w:szCs w:val="20"/>
        </w:rPr>
        <w:t xml:space="preserve">Le « Projet de Recommandation de l’ICCAT amendant la Recommandation 24-01 sur un programme pluriannuel de conservation et de gestion pour les thonidés tropicaux » a été présenté par l'Union européenne sous la référence </w:t>
      </w:r>
      <w:r w:rsidRPr="00DF2CE8">
        <w:rPr>
          <w:rFonts w:ascii="Cambria" w:hAnsi="Cambria"/>
          <w:b/>
          <w:bCs/>
          <w:i/>
          <w:color w:val="000000" w:themeColor="text1"/>
          <w:sz w:val="20"/>
          <w:szCs w:val="20"/>
        </w:rPr>
        <w:t>PA1-504/2025.</w:t>
      </w:r>
    </w:p>
    <w:p w14:paraId="438B1099" w14:textId="77777777" w:rsidR="00A173C8" w:rsidRPr="00DF2CE8" w:rsidRDefault="00A173C8" w:rsidP="00016C1C">
      <w:pPr>
        <w:pStyle w:val="ListParagraph"/>
        <w:ind w:left="360"/>
        <w:jc w:val="both"/>
        <w:rPr>
          <w:rFonts w:ascii="Cambria" w:hAnsi="Cambria"/>
          <w:b/>
          <w:bCs/>
          <w:i/>
          <w:iCs/>
          <w:color w:val="000000" w:themeColor="text1"/>
          <w:sz w:val="20"/>
          <w:szCs w:val="20"/>
        </w:rPr>
      </w:pPr>
    </w:p>
    <w:p w14:paraId="490890E7" w14:textId="77777777" w:rsidR="00A173C8" w:rsidRPr="00DF2CE8" w:rsidRDefault="00A173C8" w:rsidP="00016C1C">
      <w:pPr>
        <w:pStyle w:val="ListParagraph"/>
        <w:ind w:left="360"/>
        <w:jc w:val="both"/>
        <w:rPr>
          <w:rFonts w:ascii="Cambria" w:hAnsi="Cambria"/>
          <w:b/>
          <w:bCs/>
          <w:i/>
          <w:iCs/>
          <w:color w:val="000000" w:themeColor="text1"/>
          <w:sz w:val="20"/>
          <w:szCs w:val="20"/>
        </w:rPr>
      </w:pPr>
      <w:r w:rsidRPr="00DF2CE8">
        <w:rPr>
          <w:rFonts w:ascii="Cambria" w:hAnsi="Cambria"/>
          <w:i/>
          <w:color w:val="000000" w:themeColor="text1"/>
          <w:sz w:val="20"/>
          <w:szCs w:val="20"/>
        </w:rPr>
        <w:t xml:space="preserve">Le « Projet de Recommandation de l’ICCAT sur une procédure de gestion potentielle pour le listao de l'Atlantique Ouest » a été soumis par le Brésil sous la référence </w:t>
      </w:r>
      <w:r w:rsidRPr="00DF2CE8">
        <w:rPr>
          <w:rFonts w:ascii="Cambria" w:hAnsi="Cambria"/>
          <w:b/>
          <w:i/>
          <w:color w:val="000000" w:themeColor="text1"/>
          <w:sz w:val="20"/>
          <w:szCs w:val="20"/>
        </w:rPr>
        <w:t>PA1-505/2025</w:t>
      </w:r>
      <w:r w:rsidRPr="00DF2CE8">
        <w:rPr>
          <w:rFonts w:ascii="Cambria" w:hAnsi="Cambria"/>
          <w:i/>
          <w:color w:val="000000" w:themeColor="text1"/>
          <w:sz w:val="20"/>
          <w:szCs w:val="20"/>
        </w:rPr>
        <w:t>.</w:t>
      </w:r>
    </w:p>
    <w:p w14:paraId="5FC1A8C7" w14:textId="77777777" w:rsidR="00A173C8" w:rsidRPr="00DF2CE8" w:rsidRDefault="00A173C8" w:rsidP="00016C1C">
      <w:pPr>
        <w:jc w:val="both"/>
        <w:rPr>
          <w:rFonts w:ascii="Cambria" w:hAnsi="Cambria"/>
          <w:sz w:val="20"/>
          <w:szCs w:val="20"/>
        </w:rPr>
      </w:pPr>
    </w:p>
    <w:p w14:paraId="73E976EB" w14:textId="7A5EE0AD" w:rsidR="002A70B6" w:rsidRPr="00DF2CE8" w:rsidRDefault="002A70B6" w:rsidP="00016C1C">
      <w:pPr>
        <w:pStyle w:val="ListParagraph"/>
        <w:widowControl w:val="0"/>
        <w:numPr>
          <w:ilvl w:val="0"/>
          <w:numId w:val="38"/>
        </w:numPr>
        <w:tabs>
          <w:tab w:val="left" w:pos="5108"/>
        </w:tabs>
        <w:jc w:val="both"/>
        <w:rPr>
          <w:rFonts w:ascii="Cambria" w:hAnsi="Cambria"/>
          <w:sz w:val="20"/>
          <w:szCs w:val="20"/>
        </w:rPr>
      </w:pPr>
      <w:r w:rsidRPr="00DF2CE8">
        <w:rPr>
          <w:rFonts w:ascii="Cambria" w:hAnsi="Cambria"/>
          <w:sz w:val="20"/>
          <w:szCs w:val="20"/>
        </w:rPr>
        <w:t>Identification de</w:t>
      </w:r>
      <w:r w:rsidR="00DB20E7" w:rsidRPr="00DF2CE8">
        <w:rPr>
          <w:rFonts w:ascii="Cambria" w:hAnsi="Cambria"/>
          <w:sz w:val="20"/>
          <w:szCs w:val="20"/>
        </w:rPr>
        <w:t>s</w:t>
      </w:r>
      <w:r w:rsidRPr="00DF2CE8">
        <w:rPr>
          <w:rFonts w:ascii="Cambria" w:hAnsi="Cambria"/>
          <w:sz w:val="20"/>
          <w:szCs w:val="20"/>
        </w:rPr>
        <w:t xml:space="preserve"> mesure</w:t>
      </w:r>
      <w:r w:rsidR="00DB20E7" w:rsidRPr="00DF2CE8">
        <w:rPr>
          <w:rFonts w:ascii="Cambria" w:hAnsi="Cambria"/>
          <w:sz w:val="20"/>
          <w:szCs w:val="20"/>
        </w:rPr>
        <w:t>s</w:t>
      </w:r>
      <w:r w:rsidRPr="00DF2CE8">
        <w:rPr>
          <w:rFonts w:ascii="Cambria" w:hAnsi="Cambria"/>
          <w:sz w:val="20"/>
          <w:szCs w:val="20"/>
        </w:rPr>
        <w:t xml:space="preserve"> obsolète</w:t>
      </w:r>
      <w:r w:rsidR="00DB20E7" w:rsidRPr="00DF2CE8">
        <w:rPr>
          <w:rFonts w:ascii="Cambria" w:hAnsi="Cambria"/>
          <w:sz w:val="20"/>
          <w:szCs w:val="20"/>
        </w:rPr>
        <w:t>s</w:t>
      </w:r>
      <w:r w:rsidRPr="00DF2CE8">
        <w:rPr>
          <w:rFonts w:ascii="Cambria" w:hAnsi="Cambria"/>
          <w:sz w:val="20"/>
          <w:szCs w:val="20"/>
        </w:rPr>
        <w:t xml:space="preserve"> sur la base du point 9 ci-dessus</w:t>
      </w:r>
    </w:p>
    <w:p w14:paraId="5E840D8E" w14:textId="77777777" w:rsidR="002A70B6" w:rsidRPr="00DF2CE8" w:rsidRDefault="002A70B6" w:rsidP="00016C1C">
      <w:pPr>
        <w:pStyle w:val="ListParagraph"/>
        <w:tabs>
          <w:tab w:val="left" w:pos="5108"/>
        </w:tabs>
        <w:ind w:left="360"/>
        <w:jc w:val="both"/>
        <w:rPr>
          <w:rFonts w:ascii="Cambria" w:hAnsi="Cambria"/>
          <w:sz w:val="20"/>
          <w:szCs w:val="20"/>
        </w:rPr>
      </w:pPr>
    </w:p>
    <w:p w14:paraId="6FB5C1FD" w14:textId="018CB6F3" w:rsidR="002A70B6" w:rsidRPr="00DF2CE8" w:rsidRDefault="002A70B6" w:rsidP="00016C1C">
      <w:pPr>
        <w:pStyle w:val="ListParagraph"/>
        <w:tabs>
          <w:tab w:val="left" w:pos="5108"/>
        </w:tabs>
        <w:ind w:left="360"/>
        <w:jc w:val="both"/>
        <w:rPr>
          <w:rFonts w:ascii="Cambria" w:hAnsi="Cambria"/>
          <w:i/>
          <w:iCs/>
          <w:sz w:val="20"/>
          <w:szCs w:val="20"/>
        </w:rPr>
      </w:pPr>
      <w:r w:rsidRPr="00DF2CE8">
        <w:rPr>
          <w:rFonts w:ascii="Cambria" w:hAnsi="Cambria"/>
          <w:i/>
          <w:sz w:val="20"/>
          <w:szCs w:val="20"/>
        </w:rPr>
        <w:t>Si les mesures antérieures doivent être abrogées lors de l'adoption de nouvelles mesures, cela devrait être précisé,</w:t>
      </w:r>
      <w:r w:rsidR="00016C1C" w:rsidRPr="00DF2CE8">
        <w:rPr>
          <w:rFonts w:ascii="Cambria" w:hAnsi="Cambria"/>
          <w:i/>
          <w:sz w:val="20"/>
          <w:szCs w:val="20"/>
        </w:rPr>
        <w:t xml:space="preserve"> </w:t>
      </w:r>
      <w:r w:rsidRPr="00DF2CE8">
        <w:rPr>
          <w:rFonts w:ascii="Cambria" w:hAnsi="Cambria"/>
          <w:i/>
          <w:sz w:val="20"/>
          <w:szCs w:val="20"/>
        </w:rPr>
        <w:t>de préférence dans la Recommandation, ou au moins clairement indiqué par la Sous-commission.</w:t>
      </w:r>
    </w:p>
    <w:p w14:paraId="2ADFF9C7" w14:textId="77777777" w:rsidR="002A70B6" w:rsidRPr="00DF2CE8" w:rsidRDefault="002A70B6" w:rsidP="00016C1C">
      <w:pPr>
        <w:pStyle w:val="ListParagraph"/>
        <w:jc w:val="both"/>
        <w:rPr>
          <w:rFonts w:ascii="Cambria" w:hAnsi="Cambria"/>
          <w:sz w:val="20"/>
          <w:szCs w:val="20"/>
        </w:rPr>
      </w:pPr>
    </w:p>
    <w:p w14:paraId="6D7E0C4D" w14:textId="77777777" w:rsidR="002A70B6" w:rsidRPr="00DF2CE8" w:rsidRDefault="002A70B6" w:rsidP="00016C1C">
      <w:pPr>
        <w:pStyle w:val="ListParagraph"/>
        <w:widowControl w:val="0"/>
        <w:numPr>
          <w:ilvl w:val="0"/>
          <w:numId w:val="38"/>
        </w:numPr>
        <w:tabs>
          <w:tab w:val="left" w:pos="5108"/>
        </w:tabs>
        <w:jc w:val="both"/>
        <w:rPr>
          <w:rFonts w:ascii="Cambria" w:hAnsi="Cambria"/>
          <w:sz w:val="20"/>
          <w:szCs w:val="20"/>
        </w:rPr>
      </w:pPr>
      <w:r w:rsidRPr="00DF2CE8">
        <w:rPr>
          <w:rFonts w:ascii="Cambria" w:hAnsi="Cambria"/>
          <w:sz w:val="20"/>
          <w:szCs w:val="20"/>
        </w:rPr>
        <w:t>Élection du Président et du Vice-président potentiel</w:t>
      </w:r>
    </w:p>
    <w:p w14:paraId="17AACAFB" w14:textId="77777777" w:rsidR="002A70B6" w:rsidRPr="00DF2CE8" w:rsidRDefault="002A70B6" w:rsidP="00016C1C">
      <w:pPr>
        <w:tabs>
          <w:tab w:val="left" w:pos="5108"/>
        </w:tabs>
        <w:jc w:val="both"/>
        <w:rPr>
          <w:rFonts w:ascii="Cambria" w:hAnsi="Cambria"/>
          <w:sz w:val="20"/>
          <w:szCs w:val="20"/>
        </w:rPr>
      </w:pPr>
    </w:p>
    <w:p w14:paraId="0E39ACF8" w14:textId="77777777" w:rsidR="002A70B6" w:rsidRPr="00DF2CE8" w:rsidRDefault="002A70B6" w:rsidP="00016C1C">
      <w:pPr>
        <w:ind w:left="450"/>
        <w:jc w:val="both"/>
        <w:rPr>
          <w:rFonts w:ascii="Cambria" w:hAnsi="Cambria"/>
          <w:i/>
          <w:iCs/>
          <w:sz w:val="20"/>
          <w:szCs w:val="20"/>
        </w:rPr>
      </w:pPr>
      <w:r w:rsidRPr="00DF2CE8">
        <w:rPr>
          <w:rFonts w:ascii="Cambria" w:hAnsi="Cambria"/>
          <w:i/>
          <w:sz w:val="20"/>
          <w:szCs w:val="20"/>
        </w:rPr>
        <w:t>La Sous-commission 1 devra élire son Président pour la période biennale 2026-2027.</w:t>
      </w:r>
    </w:p>
    <w:p w14:paraId="55AD58E5" w14:textId="77777777" w:rsidR="002A70B6" w:rsidRPr="00DF2CE8" w:rsidRDefault="002A70B6" w:rsidP="00016C1C">
      <w:pPr>
        <w:pStyle w:val="ListParagraph"/>
        <w:jc w:val="both"/>
        <w:rPr>
          <w:rFonts w:ascii="Cambria" w:hAnsi="Cambria"/>
          <w:sz w:val="20"/>
          <w:szCs w:val="20"/>
        </w:rPr>
      </w:pPr>
    </w:p>
    <w:p w14:paraId="763828DF" w14:textId="77777777" w:rsidR="002A70B6" w:rsidRPr="00DF2CE8" w:rsidRDefault="002A70B6" w:rsidP="00016C1C">
      <w:pPr>
        <w:pStyle w:val="ListParagraph"/>
        <w:widowControl w:val="0"/>
        <w:numPr>
          <w:ilvl w:val="0"/>
          <w:numId w:val="38"/>
        </w:numPr>
        <w:tabs>
          <w:tab w:val="left" w:pos="5108"/>
        </w:tabs>
        <w:jc w:val="both"/>
        <w:rPr>
          <w:rFonts w:ascii="Cambria" w:hAnsi="Cambria"/>
          <w:sz w:val="20"/>
          <w:szCs w:val="20"/>
        </w:rPr>
      </w:pPr>
      <w:r w:rsidRPr="00DF2CE8">
        <w:rPr>
          <w:rFonts w:ascii="Cambria" w:hAnsi="Cambria"/>
          <w:sz w:val="20"/>
          <w:szCs w:val="20"/>
        </w:rPr>
        <w:t>Autres questions</w:t>
      </w:r>
    </w:p>
    <w:p w14:paraId="6384F17D" w14:textId="77777777" w:rsidR="002A70B6" w:rsidRPr="00DF2CE8" w:rsidRDefault="002A70B6" w:rsidP="00016C1C">
      <w:pPr>
        <w:pStyle w:val="ListParagraph"/>
        <w:jc w:val="both"/>
        <w:rPr>
          <w:rFonts w:ascii="Cambria" w:hAnsi="Cambria"/>
          <w:sz w:val="20"/>
          <w:szCs w:val="20"/>
          <w:lang w:val="en-GB"/>
        </w:rPr>
      </w:pPr>
    </w:p>
    <w:p w14:paraId="7E3139A0" w14:textId="77777777" w:rsidR="002A70B6" w:rsidRPr="00DF2CE8" w:rsidRDefault="002A70B6" w:rsidP="00016C1C">
      <w:pPr>
        <w:pStyle w:val="ListParagraph"/>
        <w:tabs>
          <w:tab w:val="left" w:pos="5108"/>
        </w:tabs>
        <w:ind w:left="360"/>
        <w:jc w:val="both"/>
        <w:rPr>
          <w:rFonts w:ascii="Cambria" w:hAnsi="Cambria"/>
          <w:sz w:val="20"/>
          <w:szCs w:val="20"/>
        </w:rPr>
      </w:pPr>
      <w:r w:rsidRPr="00DF2CE8">
        <w:rPr>
          <w:rFonts w:ascii="Cambria" w:hAnsi="Cambria"/>
          <w:sz w:val="20"/>
          <w:szCs w:val="20"/>
        </w:rPr>
        <w:t>12.1 Examen de la nécessité et de la date de la prochaine réunion intersessions</w:t>
      </w:r>
    </w:p>
    <w:p w14:paraId="417C9A93" w14:textId="77777777" w:rsidR="002A70B6" w:rsidRPr="00DF2CE8" w:rsidRDefault="002A70B6" w:rsidP="002A70B6">
      <w:pPr>
        <w:pStyle w:val="ListParagraph"/>
        <w:tabs>
          <w:tab w:val="left" w:pos="5108"/>
        </w:tabs>
        <w:ind w:left="360"/>
        <w:jc w:val="both"/>
        <w:rPr>
          <w:rFonts w:ascii="Cambria" w:hAnsi="Cambria"/>
          <w:sz w:val="20"/>
          <w:szCs w:val="20"/>
        </w:rPr>
      </w:pPr>
    </w:p>
    <w:p w14:paraId="6442BF29" w14:textId="77777777" w:rsidR="002A70B6" w:rsidRPr="00DF2CE8" w:rsidRDefault="002A70B6" w:rsidP="002A70B6">
      <w:pPr>
        <w:pStyle w:val="ListParagraph"/>
        <w:widowControl w:val="0"/>
        <w:numPr>
          <w:ilvl w:val="0"/>
          <w:numId w:val="38"/>
        </w:numPr>
        <w:tabs>
          <w:tab w:val="left" w:pos="5108"/>
        </w:tabs>
        <w:jc w:val="both"/>
        <w:rPr>
          <w:rFonts w:ascii="Cambria" w:hAnsi="Cambria"/>
          <w:sz w:val="20"/>
          <w:szCs w:val="20"/>
        </w:rPr>
      </w:pPr>
      <w:r w:rsidRPr="00DF2CE8">
        <w:rPr>
          <w:rFonts w:ascii="Cambria" w:hAnsi="Cambria"/>
          <w:sz w:val="20"/>
          <w:szCs w:val="20"/>
        </w:rPr>
        <w:t>Adoption du rapport et clôture</w:t>
      </w:r>
    </w:p>
    <w:p w14:paraId="1958DB27" w14:textId="77777777" w:rsidR="00BB63F0" w:rsidRPr="00DF2CE8" w:rsidRDefault="00BB63F0" w:rsidP="00BB63F0">
      <w:pPr>
        <w:tabs>
          <w:tab w:val="left" w:pos="300"/>
        </w:tabs>
        <w:rPr>
          <w:rFonts w:ascii="Cambria" w:hAnsi="Cambria"/>
          <w:bCs/>
          <w:sz w:val="20"/>
          <w:szCs w:val="20"/>
          <w:lang w:val="en-GB"/>
        </w:rPr>
      </w:pPr>
    </w:p>
    <w:bookmarkEnd w:id="0"/>
    <w:p w14:paraId="4CFB7DFB" w14:textId="77777777" w:rsidR="000B0920" w:rsidRPr="00DF2CE8" w:rsidRDefault="000B0920" w:rsidP="000B0920">
      <w:pPr>
        <w:jc w:val="center"/>
        <w:rPr>
          <w:rFonts w:ascii="Cambria" w:hAnsi="Cambria"/>
          <w:b/>
          <w:bCs/>
          <w:sz w:val="20"/>
          <w:szCs w:val="20"/>
        </w:rPr>
      </w:pPr>
      <w:r w:rsidRPr="00DF2CE8">
        <w:rPr>
          <w:rFonts w:ascii="Cambria" w:hAnsi="Cambria"/>
          <w:sz w:val="20"/>
          <w:szCs w:val="20"/>
        </w:rPr>
        <w:br w:type="page"/>
      </w:r>
    </w:p>
    <w:p w14:paraId="240DAEAF" w14:textId="764EED88" w:rsidR="000B0920" w:rsidRPr="00DF2CE8" w:rsidRDefault="000B0920" w:rsidP="000B0920">
      <w:pPr>
        <w:jc w:val="center"/>
        <w:rPr>
          <w:rFonts w:ascii="Cambria" w:hAnsi="Cambria"/>
          <w:b/>
          <w:bCs/>
          <w:sz w:val="20"/>
          <w:szCs w:val="20"/>
        </w:rPr>
      </w:pPr>
      <w:r w:rsidRPr="00DF2CE8">
        <w:rPr>
          <w:rFonts w:ascii="Cambria" w:hAnsi="Cambria"/>
          <w:b/>
          <w:sz w:val="20"/>
          <w:szCs w:val="20"/>
        </w:rPr>
        <w:t>Sous-commission 2</w:t>
      </w:r>
    </w:p>
    <w:p w14:paraId="3BF32779" w14:textId="77777777" w:rsidR="000B0920" w:rsidRPr="00DF2CE8" w:rsidRDefault="000B0920" w:rsidP="000B0920">
      <w:pPr>
        <w:jc w:val="center"/>
        <w:rPr>
          <w:rFonts w:ascii="Cambria" w:hAnsi="Cambria"/>
          <w:b/>
          <w:bCs/>
          <w:sz w:val="20"/>
          <w:szCs w:val="20"/>
          <w:lang w:val="en-GB"/>
        </w:rPr>
      </w:pPr>
    </w:p>
    <w:p w14:paraId="31692E51" w14:textId="77777777" w:rsidR="006B3200" w:rsidRPr="00DF2CE8" w:rsidRDefault="006B3200" w:rsidP="006B3200">
      <w:pPr>
        <w:jc w:val="both"/>
        <w:rPr>
          <w:rFonts w:ascii="Cambria" w:hAnsi="Cambria"/>
          <w:b/>
          <w:bCs/>
          <w:sz w:val="20"/>
          <w:szCs w:val="20"/>
          <w:lang w:val="en-GB"/>
        </w:rPr>
      </w:pPr>
    </w:p>
    <w:p w14:paraId="2B22B31E" w14:textId="77777777"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Ouverture de la réunion</w:t>
      </w:r>
    </w:p>
    <w:p w14:paraId="6D3E49A2" w14:textId="77777777" w:rsidR="006B3200" w:rsidRPr="00DF2CE8" w:rsidRDefault="006B3200" w:rsidP="006B3200">
      <w:pPr>
        <w:jc w:val="both"/>
        <w:rPr>
          <w:rFonts w:ascii="Cambria" w:hAnsi="Cambria"/>
          <w:sz w:val="20"/>
          <w:szCs w:val="20"/>
          <w:lang w:val="en-GB"/>
        </w:rPr>
      </w:pPr>
    </w:p>
    <w:p w14:paraId="099BAD7D" w14:textId="77777777" w:rsidR="006B3200" w:rsidRPr="00DF2CE8" w:rsidRDefault="006B3200" w:rsidP="006B3200">
      <w:pPr>
        <w:pStyle w:val="ListParagraph"/>
        <w:tabs>
          <w:tab w:val="left" w:pos="426"/>
        </w:tabs>
        <w:ind w:left="432"/>
        <w:jc w:val="both"/>
        <w:rPr>
          <w:rFonts w:ascii="Cambria" w:hAnsi="Cambria"/>
          <w:i/>
          <w:iCs/>
          <w:sz w:val="20"/>
          <w:szCs w:val="20"/>
        </w:rPr>
      </w:pPr>
      <w:r w:rsidRPr="00DF2CE8">
        <w:rPr>
          <w:rFonts w:ascii="Cambria" w:hAnsi="Cambria"/>
          <w:i/>
          <w:sz w:val="20"/>
          <w:szCs w:val="20"/>
        </w:rPr>
        <w:t>La réunion sera ouverte par M. Shingo Ota (Japon), qui assure la présidence de la Sous-commission 2.</w:t>
      </w:r>
    </w:p>
    <w:p w14:paraId="345B3B99" w14:textId="77777777" w:rsidR="006B3200" w:rsidRPr="00DF2CE8" w:rsidRDefault="006B3200" w:rsidP="006B3200">
      <w:pPr>
        <w:jc w:val="both"/>
        <w:rPr>
          <w:rFonts w:ascii="Cambria" w:hAnsi="Cambria"/>
          <w:sz w:val="20"/>
          <w:szCs w:val="20"/>
        </w:rPr>
      </w:pPr>
    </w:p>
    <w:p w14:paraId="2B0A3659" w14:textId="77777777"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Désignation du Rapporteur</w:t>
      </w:r>
    </w:p>
    <w:p w14:paraId="41D3BF09" w14:textId="77777777" w:rsidR="006B3200" w:rsidRPr="00DF2CE8" w:rsidRDefault="006B3200" w:rsidP="006B3200">
      <w:pPr>
        <w:ind w:left="450" w:hanging="450"/>
        <w:jc w:val="both"/>
        <w:rPr>
          <w:rFonts w:ascii="Cambria" w:hAnsi="Cambria"/>
          <w:sz w:val="20"/>
          <w:szCs w:val="20"/>
          <w:lang w:val="en-GB"/>
        </w:rPr>
      </w:pPr>
    </w:p>
    <w:p w14:paraId="735499C7" w14:textId="77777777"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Adoption de l’ordre du jour</w:t>
      </w:r>
    </w:p>
    <w:p w14:paraId="0F9C5B83" w14:textId="77777777" w:rsidR="006B3200" w:rsidRPr="00DF2CE8" w:rsidRDefault="006B3200" w:rsidP="006B3200">
      <w:pPr>
        <w:pStyle w:val="ListParagraph"/>
        <w:ind w:left="0"/>
        <w:jc w:val="both"/>
        <w:rPr>
          <w:rFonts w:ascii="Cambria" w:hAnsi="Cambria"/>
          <w:sz w:val="20"/>
          <w:szCs w:val="20"/>
          <w:lang w:val="en-GB"/>
        </w:rPr>
      </w:pPr>
    </w:p>
    <w:p w14:paraId="7C6F5992" w14:textId="77777777" w:rsidR="006B3200" w:rsidRPr="00DF2CE8" w:rsidRDefault="006B3200" w:rsidP="006B3200">
      <w:pPr>
        <w:pStyle w:val="ListParagraph"/>
        <w:ind w:left="450"/>
        <w:jc w:val="both"/>
        <w:rPr>
          <w:rFonts w:ascii="Cambria" w:hAnsi="Cambria"/>
          <w:sz w:val="20"/>
          <w:szCs w:val="20"/>
        </w:rPr>
      </w:pPr>
      <w:r w:rsidRPr="00DF2CE8">
        <w:rPr>
          <w:rFonts w:ascii="Cambria" w:hAnsi="Cambria"/>
          <w:i/>
          <w:sz w:val="20"/>
          <w:szCs w:val="20"/>
        </w:rPr>
        <w:t>L’ordre du jour de la Sous-commission 2 est disponible sous la référence</w:t>
      </w:r>
      <w:r w:rsidRPr="00DF2CE8">
        <w:rPr>
          <w:rFonts w:ascii="Cambria" w:hAnsi="Cambria"/>
          <w:b/>
          <w:bCs/>
          <w:i/>
          <w:sz w:val="20"/>
          <w:szCs w:val="20"/>
        </w:rPr>
        <w:t xml:space="preserve"> PA2-600/2025.</w:t>
      </w:r>
    </w:p>
    <w:p w14:paraId="56CC43F4" w14:textId="77777777" w:rsidR="006B3200" w:rsidRPr="00DF2CE8" w:rsidRDefault="006B3200" w:rsidP="006B3200">
      <w:pPr>
        <w:pStyle w:val="ListParagraph"/>
        <w:ind w:left="0"/>
        <w:jc w:val="both"/>
        <w:rPr>
          <w:rFonts w:ascii="Cambria" w:hAnsi="Cambria"/>
          <w:sz w:val="20"/>
          <w:szCs w:val="20"/>
        </w:rPr>
      </w:pPr>
    </w:p>
    <w:p w14:paraId="7557C2AD" w14:textId="77777777"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Examen de la composition de la Sous-commission</w:t>
      </w:r>
    </w:p>
    <w:p w14:paraId="42D45B49" w14:textId="77777777" w:rsidR="006B3200" w:rsidRPr="00DF2CE8" w:rsidRDefault="006B3200" w:rsidP="006B3200">
      <w:pPr>
        <w:pStyle w:val="ListParagraph"/>
        <w:ind w:left="0"/>
        <w:jc w:val="both"/>
        <w:rPr>
          <w:rFonts w:ascii="Cambria" w:hAnsi="Cambria"/>
          <w:sz w:val="20"/>
          <w:szCs w:val="20"/>
        </w:rPr>
      </w:pPr>
    </w:p>
    <w:p w14:paraId="67BEE3D9" w14:textId="77777777" w:rsidR="006B3200" w:rsidRPr="00DF2CE8" w:rsidRDefault="006B3200" w:rsidP="006B3200">
      <w:pPr>
        <w:pStyle w:val="ListParagraph"/>
        <w:ind w:left="450"/>
        <w:jc w:val="both"/>
        <w:rPr>
          <w:rFonts w:ascii="Cambria" w:hAnsi="Cambria"/>
          <w:sz w:val="20"/>
          <w:szCs w:val="20"/>
        </w:rPr>
      </w:pPr>
      <w:r w:rsidRPr="00DF2CE8">
        <w:rPr>
          <w:rFonts w:ascii="Cambria" w:hAnsi="Cambria"/>
          <w:i/>
          <w:sz w:val="20"/>
          <w:szCs w:val="20"/>
        </w:rPr>
        <w:t xml:space="preserve">La liste des membres de la Sous-commission figure dans le document </w:t>
      </w:r>
      <w:r w:rsidRPr="00DF2CE8">
        <w:rPr>
          <w:rFonts w:ascii="Cambria" w:hAnsi="Cambria"/>
          <w:b/>
          <w:bCs/>
          <w:i/>
          <w:sz w:val="20"/>
          <w:szCs w:val="20"/>
        </w:rPr>
        <w:t>GEN-004/2025</w:t>
      </w:r>
      <w:r w:rsidRPr="00DF2CE8">
        <w:rPr>
          <w:rFonts w:ascii="Cambria" w:hAnsi="Cambria"/>
          <w:i/>
          <w:sz w:val="20"/>
          <w:szCs w:val="20"/>
        </w:rPr>
        <w:t>. Le Secrétaire exécutif informera la Sous-commission des éventuels changements de sa composition.</w:t>
      </w:r>
    </w:p>
    <w:p w14:paraId="2137DDFE" w14:textId="77777777" w:rsidR="006B3200" w:rsidRPr="00DF2CE8" w:rsidRDefault="006B3200" w:rsidP="006B3200">
      <w:pPr>
        <w:pStyle w:val="ListParagraph"/>
        <w:ind w:left="0"/>
        <w:jc w:val="both"/>
        <w:rPr>
          <w:rFonts w:ascii="Cambria" w:hAnsi="Cambria"/>
          <w:sz w:val="20"/>
          <w:szCs w:val="20"/>
        </w:rPr>
      </w:pPr>
    </w:p>
    <w:p w14:paraId="774C0ACC" w14:textId="77777777"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Rapport du Comité Permanent pour la Recherche et les Statistiques (SCRS)</w:t>
      </w:r>
    </w:p>
    <w:p w14:paraId="3B4736C9" w14:textId="77777777" w:rsidR="006B3200" w:rsidRPr="00DF2CE8" w:rsidRDefault="006B3200" w:rsidP="006B3200">
      <w:pPr>
        <w:pStyle w:val="ListParagraph"/>
        <w:ind w:left="0"/>
        <w:jc w:val="both"/>
        <w:rPr>
          <w:rFonts w:ascii="Cambria" w:hAnsi="Cambria"/>
          <w:sz w:val="20"/>
          <w:szCs w:val="20"/>
        </w:rPr>
      </w:pPr>
    </w:p>
    <w:p w14:paraId="360D8E78" w14:textId="77777777" w:rsidR="006B3200" w:rsidRPr="00DF2CE8" w:rsidRDefault="006B3200" w:rsidP="006B3200">
      <w:pPr>
        <w:pStyle w:val="ListParagraph"/>
        <w:ind w:left="450"/>
        <w:jc w:val="both"/>
        <w:rPr>
          <w:rFonts w:ascii="Cambria" w:hAnsi="Cambria"/>
          <w:sz w:val="20"/>
          <w:szCs w:val="20"/>
        </w:rPr>
      </w:pPr>
      <w:r w:rsidRPr="00DF2CE8">
        <w:rPr>
          <w:rFonts w:ascii="Cambria" w:hAnsi="Cambria"/>
          <w:i/>
          <w:sz w:val="20"/>
          <w:szCs w:val="20"/>
        </w:rPr>
        <w:t>Le rapport du SCRS figure dans le</w:t>
      </w:r>
      <w:r w:rsidRPr="00DF2CE8">
        <w:rPr>
          <w:rFonts w:ascii="Cambria" w:hAnsi="Cambria"/>
          <w:b/>
          <w:bCs/>
          <w:i/>
          <w:sz w:val="20"/>
          <w:szCs w:val="20"/>
        </w:rPr>
        <w:t xml:space="preserve"> PLE-104/2025.</w:t>
      </w:r>
      <w:r w:rsidRPr="00DF2CE8">
        <w:rPr>
          <w:rFonts w:ascii="Cambria" w:hAnsi="Cambria"/>
          <w:i/>
          <w:sz w:val="20"/>
          <w:szCs w:val="20"/>
        </w:rPr>
        <w:t xml:space="preserve"> Le Président du SCRS/Vice-président du SCRS présentera les conclusions du Comité concernant la Sous-commission 2 et répondra aux questions posées sur les espèces des régions tempérées du Nord. Le Président/Vice-président du SCRS informera également la Sous-commission des initiatives de recherche en cours.</w:t>
      </w:r>
    </w:p>
    <w:p w14:paraId="411F5614" w14:textId="77777777" w:rsidR="006B3200" w:rsidRPr="00DF2CE8" w:rsidRDefault="006B3200" w:rsidP="006B3200">
      <w:pPr>
        <w:pStyle w:val="ListParagraph"/>
        <w:ind w:left="450"/>
        <w:jc w:val="both"/>
        <w:rPr>
          <w:rFonts w:ascii="Cambria" w:hAnsi="Cambria"/>
          <w:sz w:val="20"/>
          <w:szCs w:val="20"/>
        </w:rPr>
      </w:pPr>
    </w:p>
    <w:p w14:paraId="6A3617DA" w14:textId="77777777" w:rsidR="006B3200" w:rsidRPr="00DF2CE8" w:rsidRDefault="006B3200" w:rsidP="006B3200">
      <w:pPr>
        <w:pStyle w:val="ListParagraph"/>
        <w:ind w:left="878" w:hanging="432"/>
        <w:jc w:val="both"/>
        <w:rPr>
          <w:rFonts w:ascii="Cambria" w:hAnsi="Cambria"/>
          <w:sz w:val="20"/>
          <w:szCs w:val="20"/>
        </w:rPr>
      </w:pPr>
      <w:r w:rsidRPr="00DF2CE8">
        <w:rPr>
          <w:rFonts w:ascii="Cambria" w:hAnsi="Cambria"/>
          <w:sz w:val="20"/>
          <w:szCs w:val="20"/>
        </w:rPr>
        <w:t>5.1 Recherche et réponses à la Commission</w:t>
      </w:r>
    </w:p>
    <w:p w14:paraId="383DF730" w14:textId="77777777" w:rsidR="006B3200" w:rsidRPr="00DF2CE8" w:rsidRDefault="006B3200" w:rsidP="006B3200">
      <w:pPr>
        <w:pStyle w:val="ListParagraph"/>
        <w:ind w:left="0"/>
        <w:jc w:val="both"/>
        <w:rPr>
          <w:rFonts w:ascii="Cambria" w:hAnsi="Cambria"/>
          <w:sz w:val="20"/>
          <w:szCs w:val="20"/>
        </w:rPr>
      </w:pPr>
    </w:p>
    <w:p w14:paraId="3C40C2FB" w14:textId="77777777"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Examen du rapport de la réunion intersessions de la Sous-commission 2 et examen de toute action nécessaire</w:t>
      </w:r>
    </w:p>
    <w:p w14:paraId="1B84E928" w14:textId="77777777" w:rsidR="006B3200" w:rsidRPr="00DF2CE8" w:rsidRDefault="006B3200" w:rsidP="006B3200">
      <w:pPr>
        <w:pStyle w:val="ListParagraph"/>
        <w:ind w:left="0"/>
        <w:jc w:val="both"/>
        <w:rPr>
          <w:rFonts w:ascii="Cambria" w:hAnsi="Cambria"/>
          <w:sz w:val="20"/>
          <w:szCs w:val="20"/>
        </w:rPr>
      </w:pPr>
    </w:p>
    <w:p w14:paraId="4DBFCA11" w14:textId="2DADACF5" w:rsidR="006B3200" w:rsidRPr="00DF2CE8" w:rsidRDefault="006B3200" w:rsidP="00CC2E37">
      <w:pPr>
        <w:ind w:left="450"/>
        <w:rPr>
          <w:rFonts w:ascii="Cambria" w:hAnsi="Cambria"/>
          <w:i/>
          <w:iCs/>
          <w:sz w:val="20"/>
          <w:szCs w:val="20"/>
        </w:rPr>
      </w:pPr>
      <w:r w:rsidRPr="00DF2CE8">
        <w:rPr>
          <w:rFonts w:ascii="Cambria" w:hAnsi="Cambria"/>
          <w:i/>
          <w:sz w:val="20"/>
          <w:szCs w:val="20"/>
        </w:rPr>
        <w:t xml:space="preserve">Le « rapport de la réunion intersessions de la Sous-commission 2 » est disponible sous la référence </w:t>
      </w:r>
      <w:r w:rsidRPr="00DF2CE8">
        <w:rPr>
          <w:rFonts w:ascii="Cambria" w:hAnsi="Cambria"/>
          <w:b/>
          <w:i/>
          <w:sz w:val="20"/>
          <w:szCs w:val="20"/>
        </w:rPr>
        <w:t>PA2-602/2025.</w:t>
      </w:r>
      <w:r w:rsidRPr="00DF2CE8">
        <w:rPr>
          <w:rFonts w:ascii="Cambria" w:hAnsi="Cambria"/>
          <w:i/>
          <w:sz w:val="20"/>
          <w:szCs w:val="20"/>
        </w:rPr>
        <w:t xml:space="preserve"> Le Président de la Sous-commission 2 expliquera brièvement les résultats de la réunion.</w:t>
      </w:r>
    </w:p>
    <w:p w14:paraId="51B7BB6D" w14:textId="77777777" w:rsidR="006B3200" w:rsidRPr="00DF2CE8" w:rsidRDefault="006B3200" w:rsidP="006B3200">
      <w:pPr>
        <w:pStyle w:val="ListParagraph"/>
        <w:ind w:left="0"/>
        <w:jc w:val="both"/>
        <w:rPr>
          <w:rFonts w:ascii="Cambria" w:hAnsi="Cambria"/>
          <w:sz w:val="20"/>
          <w:szCs w:val="20"/>
        </w:rPr>
      </w:pPr>
    </w:p>
    <w:p w14:paraId="109E28DB" w14:textId="77777777"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Examen des tableaux d’application</w:t>
      </w:r>
    </w:p>
    <w:p w14:paraId="1E920E63" w14:textId="77777777" w:rsidR="006B3200" w:rsidRPr="00DF2CE8" w:rsidRDefault="006B3200" w:rsidP="006B3200">
      <w:pPr>
        <w:pStyle w:val="ListParagraph"/>
        <w:ind w:left="0"/>
        <w:jc w:val="both"/>
        <w:rPr>
          <w:rFonts w:ascii="Cambria" w:hAnsi="Cambria"/>
          <w:sz w:val="20"/>
          <w:szCs w:val="20"/>
          <w:lang w:val="en-GB"/>
        </w:rPr>
      </w:pPr>
    </w:p>
    <w:p w14:paraId="643EA19D" w14:textId="12F71620" w:rsidR="006B3200" w:rsidRPr="00DF2CE8" w:rsidRDefault="006B3200" w:rsidP="006B3200">
      <w:pPr>
        <w:tabs>
          <w:tab w:val="left" w:pos="426"/>
        </w:tabs>
        <w:ind w:left="432" w:hanging="432"/>
        <w:jc w:val="both"/>
        <w:rPr>
          <w:rFonts w:ascii="Cambria" w:hAnsi="Cambria"/>
          <w:b/>
          <w:bCs/>
          <w:i/>
          <w:iCs/>
          <w:sz w:val="20"/>
          <w:szCs w:val="20"/>
        </w:rPr>
      </w:pPr>
      <w:r w:rsidRPr="00DF2CE8">
        <w:rPr>
          <w:rFonts w:ascii="Cambria" w:hAnsi="Cambria"/>
          <w:i/>
          <w:sz w:val="20"/>
          <w:szCs w:val="20"/>
        </w:rPr>
        <w:tab/>
        <w:t xml:space="preserve">Le « Projet de tableaux d’application de 2024 reçu en 2025 » a été publié sous la référence </w:t>
      </w:r>
      <w:r w:rsidRPr="00DF2CE8">
        <w:rPr>
          <w:rFonts w:ascii="Cambria" w:hAnsi="Cambria"/>
          <w:b/>
          <w:i/>
          <w:sz w:val="20"/>
          <w:szCs w:val="20"/>
        </w:rPr>
        <w:t>COC-304</w:t>
      </w:r>
      <w:r w:rsidR="005052D2" w:rsidRPr="00DF2CE8">
        <w:rPr>
          <w:rFonts w:ascii="Cambria" w:hAnsi="Cambria"/>
          <w:b/>
          <w:i/>
          <w:sz w:val="20"/>
          <w:szCs w:val="20"/>
        </w:rPr>
        <w:t>_TRI_REV_3</w:t>
      </w:r>
      <w:r w:rsidRPr="00DF2CE8">
        <w:rPr>
          <w:rFonts w:ascii="Cambria" w:hAnsi="Cambria"/>
          <w:b/>
          <w:i/>
          <w:sz w:val="20"/>
          <w:szCs w:val="20"/>
        </w:rPr>
        <w:t>/2025.</w:t>
      </w:r>
    </w:p>
    <w:p w14:paraId="51CADFF9" w14:textId="77777777" w:rsidR="006B3200" w:rsidRPr="00DF2CE8" w:rsidRDefault="006B3200" w:rsidP="006B3200">
      <w:pPr>
        <w:tabs>
          <w:tab w:val="left" w:pos="426"/>
        </w:tabs>
        <w:ind w:left="432" w:hanging="432"/>
        <w:jc w:val="both"/>
        <w:rPr>
          <w:rFonts w:ascii="Cambria" w:hAnsi="Cambria"/>
          <w:sz w:val="20"/>
          <w:szCs w:val="20"/>
        </w:rPr>
      </w:pPr>
    </w:p>
    <w:p w14:paraId="6EFF286C" w14:textId="0B93B69B" w:rsidR="006B3200" w:rsidRPr="00DF2CE8" w:rsidRDefault="006B3200" w:rsidP="006B3200">
      <w:pPr>
        <w:tabs>
          <w:tab w:val="left" w:pos="426"/>
        </w:tabs>
        <w:ind w:left="432" w:hanging="432"/>
        <w:jc w:val="both"/>
        <w:rPr>
          <w:rFonts w:ascii="Cambria" w:hAnsi="Cambria"/>
          <w:i/>
          <w:iCs/>
          <w:sz w:val="20"/>
          <w:szCs w:val="20"/>
        </w:rPr>
      </w:pPr>
      <w:r w:rsidRPr="00DF2CE8">
        <w:rPr>
          <w:rFonts w:ascii="Cambria" w:hAnsi="Cambria"/>
          <w:i/>
          <w:sz w:val="20"/>
          <w:szCs w:val="20"/>
        </w:rPr>
        <w:tab/>
        <w:t xml:space="preserve">Les tableaux sur le thon rouge et le germon du Nord contenus dans le </w:t>
      </w:r>
      <w:r w:rsidRPr="00DF2CE8">
        <w:rPr>
          <w:rFonts w:ascii="Cambria" w:hAnsi="Cambria"/>
          <w:b/>
          <w:bCs/>
          <w:i/>
          <w:sz w:val="20"/>
          <w:szCs w:val="20"/>
        </w:rPr>
        <w:t>COC-304</w:t>
      </w:r>
      <w:r w:rsidR="005052D2" w:rsidRPr="00DF2CE8">
        <w:rPr>
          <w:rFonts w:ascii="Cambria" w:hAnsi="Cambria"/>
          <w:b/>
          <w:i/>
          <w:sz w:val="20"/>
          <w:szCs w:val="20"/>
        </w:rPr>
        <w:t>_TRI_REV_3</w:t>
      </w:r>
      <w:r w:rsidRPr="00DF2CE8">
        <w:rPr>
          <w:rFonts w:ascii="Cambria" w:hAnsi="Cambria"/>
          <w:b/>
          <w:bCs/>
          <w:i/>
          <w:sz w:val="20"/>
          <w:szCs w:val="20"/>
        </w:rPr>
        <w:t>/2025</w:t>
      </w:r>
      <w:r w:rsidRPr="00DF2CE8">
        <w:rPr>
          <w:rFonts w:ascii="Cambria" w:hAnsi="Cambria"/>
          <w:i/>
          <w:sz w:val="20"/>
          <w:szCs w:val="20"/>
        </w:rPr>
        <w:t xml:space="preserve"> devraient être examinés le plus tôt possible afin de déterminer si des modifications sont nécessaires ou si des mesures pourraient être requises par le Comité d’application.</w:t>
      </w:r>
    </w:p>
    <w:p w14:paraId="4DBEB6B0" w14:textId="77777777" w:rsidR="006B3200" w:rsidRPr="00DF2CE8" w:rsidRDefault="006B3200" w:rsidP="006B3200">
      <w:pPr>
        <w:pStyle w:val="ListParagraph"/>
        <w:ind w:left="0"/>
        <w:jc w:val="both"/>
        <w:rPr>
          <w:rFonts w:ascii="Cambria" w:hAnsi="Cambria"/>
          <w:sz w:val="20"/>
          <w:szCs w:val="20"/>
        </w:rPr>
      </w:pPr>
    </w:p>
    <w:p w14:paraId="18D198A7" w14:textId="5C63933D"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 xml:space="preserve">Mesures de conservation des stocks et mise en œuvre de la </w:t>
      </w:r>
      <w:hyperlink r:id="rId35" w:history="1">
        <w:r w:rsidRPr="00DF2CE8">
          <w:rPr>
            <w:rStyle w:val="Hyperlink"/>
            <w:rFonts w:ascii="Cambria" w:hAnsi="Cambria"/>
            <w:i/>
            <w:iCs/>
            <w:sz w:val="20"/>
            <w:szCs w:val="20"/>
            <w:u w:val="none"/>
          </w:rPr>
          <w:t xml:space="preserve">Résolution de l’ICCAT portant sur les critères pour l’allocation de possibilités de </w:t>
        </w:r>
        <w:r w:rsidR="00117EA2" w:rsidRPr="00DF2CE8">
          <w:rPr>
            <w:rStyle w:val="Hyperlink"/>
            <w:rFonts w:ascii="Cambria" w:hAnsi="Cambria"/>
            <w:i/>
            <w:iCs/>
            <w:sz w:val="20"/>
            <w:szCs w:val="20"/>
            <w:u w:val="none"/>
          </w:rPr>
          <w:t>pêche (</w:t>
        </w:r>
        <w:r w:rsidRPr="00DF2CE8">
          <w:rPr>
            <w:rStyle w:val="Hyperlink"/>
            <w:rFonts w:ascii="Cambria" w:hAnsi="Cambria"/>
            <w:i/>
            <w:iCs/>
            <w:sz w:val="20"/>
            <w:szCs w:val="20"/>
            <w:u w:val="none"/>
          </w:rPr>
          <w:t>Rés. 15-13).</w:t>
        </w:r>
      </w:hyperlink>
    </w:p>
    <w:p w14:paraId="3BDA07B9" w14:textId="77777777" w:rsidR="006B3200" w:rsidRPr="00DF2CE8" w:rsidRDefault="006B3200" w:rsidP="006B3200">
      <w:pPr>
        <w:pStyle w:val="ListParagraph"/>
        <w:ind w:left="0"/>
        <w:jc w:val="both"/>
        <w:rPr>
          <w:rFonts w:ascii="Cambria" w:hAnsi="Cambria"/>
          <w:sz w:val="20"/>
          <w:szCs w:val="20"/>
        </w:rPr>
      </w:pPr>
    </w:p>
    <w:p w14:paraId="366721DE" w14:textId="6382D963" w:rsidR="006B3200" w:rsidRPr="00DF2CE8" w:rsidRDefault="006B3200" w:rsidP="006B3200">
      <w:pPr>
        <w:ind w:left="426"/>
        <w:jc w:val="both"/>
        <w:rPr>
          <w:rFonts w:ascii="Cambria" w:hAnsi="Cambria"/>
          <w:i/>
          <w:iCs/>
          <w:color w:val="0563C1" w:themeColor="hyperlink"/>
          <w:sz w:val="20"/>
          <w:szCs w:val="20"/>
        </w:rPr>
      </w:pPr>
      <w:r w:rsidRPr="00DF2CE8">
        <w:rPr>
          <w:rFonts w:ascii="Cambria" w:hAnsi="Cambria"/>
          <w:sz w:val="20"/>
          <w:szCs w:val="20"/>
        </w:rPr>
        <w:t xml:space="preserve">La </w:t>
      </w:r>
      <w:hyperlink r:id="rId36" w:history="1">
        <w:r w:rsidRPr="00DF2CE8">
          <w:rPr>
            <w:rStyle w:val="Hyperlink"/>
            <w:rFonts w:ascii="Cambria" w:hAnsi="Cambria"/>
            <w:i/>
            <w:sz w:val="20"/>
            <w:szCs w:val="20"/>
            <w:u w:val="none"/>
          </w:rPr>
          <w:t>Rec. 24-05</w:t>
        </w:r>
      </w:hyperlink>
      <w:r w:rsidRPr="00DF2CE8">
        <w:rPr>
          <w:rFonts w:ascii="Cambria" w:hAnsi="Cambria"/>
          <w:i/>
          <w:color w:val="0563C1" w:themeColor="hyperlink"/>
          <w:sz w:val="20"/>
          <w:szCs w:val="20"/>
        </w:rPr>
        <w:t xml:space="preserve"> </w:t>
      </w:r>
      <w:r w:rsidRPr="00DF2CE8">
        <w:rPr>
          <w:rFonts w:ascii="Cambria" w:hAnsi="Cambria"/>
          <w:i/>
          <w:sz w:val="20"/>
          <w:szCs w:val="20"/>
        </w:rPr>
        <w:t>prévoit que « Les TAC pour 2026 et les années suivantes devront être décidés lors de la réunion annuelle de la Commission de 2025 conformément à la procédure de gestion (MP) ».</w:t>
      </w:r>
    </w:p>
    <w:p w14:paraId="2D8B1D70" w14:textId="77777777" w:rsidR="006B3200" w:rsidRPr="00DF2CE8" w:rsidRDefault="006B3200" w:rsidP="006B3200">
      <w:pPr>
        <w:ind w:left="426"/>
        <w:jc w:val="both"/>
        <w:rPr>
          <w:rFonts w:ascii="Cambria" w:hAnsi="Cambria"/>
          <w:i/>
          <w:iCs/>
          <w:color w:val="0563C1" w:themeColor="hyperlink"/>
          <w:sz w:val="20"/>
          <w:szCs w:val="20"/>
        </w:rPr>
      </w:pPr>
    </w:p>
    <w:p w14:paraId="4CF518B8" w14:textId="77777777" w:rsidR="006B3200" w:rsidRPr="00DF2CE8" w:rsidRDefault="006B3200" w:rsidP="006B3200">
      <w:pPr>
        <w:ind w:left="426"/>
        <w:jc w:val="both"/>
        <w:rPr>
          <w:rFonts w:ascii="Cambria" w:hAnsi="Cambria"/>
          <w:i/>
          <w:iCs/>
          <w:sz w:val="20"/>
          <w:szCs w:val="20"/>
        </w:rPr>
      </w:pPr>
      <w:r w:rsidRPr="00DF2CE8">
        <w:rPr>
          <w:rFonts w:ascii="Cambria" w:hAnsi="Cambria"/>
          <w:i/>
          <w:iCs/>
          <w:sz w:val="20"/>
          <w:szCs w:val="20"/>
        </w:rPr>
        <w:t>Les documents suivants ont été présentés par les CPC :</w:t>
      </w:r>
    </w:p>
    <w:p w14:paraId="71C22C2C" w14:textId="77777777" w:rsidR="006B3200" w:rsidRPr="00DF2CE8" w:rsidRDefault="006B3200" w:rsidP="006B3200">
      <w:pPr>
        <w:ind w:left="426"/>
        <w:jc w:val="both"/>
        <w:rPr>
          <w:rFonts w:ascii="Cambria" w:hAnsi="Cambria"/>
          <w:i/>
          <w:iCs/>
          <w:color w:val="0563C1" w:themeColor="hyperlink"/>
          <w:sz w:val="20"/>
          <w:szCs w:val="20"/>
        </w:rPr>
      </w:pPr>
    </w:p>
    <w:p w14:paraId="41259250" w14:textId="092DD713" w:rsidR="006B3200" w:rsidRPr="00DF2CE8" w:rsidRDefault="006B3200" w:rsidP="006B3200">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La « Demande d’allocation de limites de capture de thon rouge (BFT) pour la République du Panama à compter du 1er janvier 2026 et présentation d'informations complémentaires</w:t>
      </w:r>
      <w:r w:rsidR="00824669" w:rsidRPr="00DF2CE8">
        <w:rPr>
          <w:rFonts w:ascii="Cambria" w:hAnsi="Cambria"/>
          <w:i/>
          <w:color w:val="000000" w:themeColor="text1"/>
          <w:sz w:val="20"/>
          <w:szCs w:val="20"/>
        </w:rPr>
        <w:t> »</w:t>
      </w:r>
      <w:r w:rsidRPr="00DF2CE8">
        <w:rPr>
          <w:rFonts w:ascii="Cambria" w:hAnsi="Cambria"/>
          <w:i/>
          <w:color w:val="000000" w:themeColor="text1"/>
          <w:sz w:val="20"/>
          <w:szCs w:val="20"/>
        </w:rPr>
        <w:t xml:space="preserve"> a été soumise par le Panama sous la référence </w:t>
      </w:r>
      <w:r w:rsidRPr="00DF2CE8">
        <w:rPr>
          <w:rFonts w:ascii="Cambria" w:hAnsi="Cambria"/>
          <w:b/>
          <w:i/>
          <w:color w:val="000000" w:themeColor="text1"/>
          <w:sz w:val="20"/>
          <w:szCs w:val="20"/>
        </w:rPr>
        <w:t>PA2-603/2025</w:t>
      </w:r>
      <w:r w:rsidRPr="00DF2CE8">
        <w:rPr>
          <w:rFonts w:ascii="Cambria" w:hAnsi="Cambria"/>
          <w:i/>
          <w:color w:val="000000" w:themeColor="text1"/>
          <w:sz w:val="20"/>
          <w:szCs w:val="20"/>
        </w:rPr>
        <w:t>.</w:t>
      </w:r>
    </w:p>
    <w:p w14:paraId="596AEA7E" w14:textId="77777777" w:rsidR="006B3200" w:rsidRPr="00DF2CE8" w:rsidRDefault="006B3200" w:rsidP="006B3200">
      <w:pPr>
        <w:ind w:left="426"/>
        <w:jc w:val="both"/>
        <w:rPr>
          <w:rFonts w:ascii="Cambria" w:hAnsi="Cambria"/>
          <w:i/>
          <w:iCs/>
          <w:color w:val="000000" w:themeColor="text1"/>
          <w:sz w:val="20"/>
          <w:szCs w:val="20"/>
        </w:rPr>
      </w:pPr>
    </w:p>
    <w:p w14:paraId="75B2BF08" w14:textId="29543CB5" w:rsidR="006B3200" w:rsidRPr="00DF2CE8" w:rsidRDefault="006B3200" w:rsidP="006B3200">
      <w:pPr>
        <w:ind w:left="426"/>
        <w:jc w:val="both"/>
        <w:rPr>
          <w:rFonts w:ascii="Cambria" w:hAnsi="Cambria"/>
          <w:b/>
          <w:bCs/>
          <w:i/>
          <w:iCs/>
          <w:color w:val="000000" w:themeColor="text1"/>
          <w:sz w:val="20"/>
          <w:szCs w:val="20"/>
        </w:rPr>
      </w:pPr>
      <w:r w:rsidRPr="00DF2CE8">
        <w:rPr>
          <w:rFonts w:ascii="Cambria" w:hAnsi="Cambria"/>
          <w:i/>
          <w:color w:val="000000" w:themeColor="text1"/>
          <w:sz w:val="20"/>
          <w:szCs w:val="20"/>
        </w:rPr>
        <w:t xml:space="preserve">Le « Projet de Résolution de l’ICCAT amendant la Résolution 22-07 sur un projet pilote de stockage de courte durée du thon rouge vivant » a été présenté par la Norvège sous la référence </w:t>
      </w:r>
      <w:r w:rsidRPr="00DF2CE8">
        <w:rPr>
          <w:rFonts w:ascii="Cambria" w:hAnsi="Cambria"/>
          <w:b/>
          <w:i/>
          <w:color w:val="000000" w:themeColor="text1"/>
          <w:sz w:val="20"/>
          <w:szCs w:val="20"/>
        </w:rPr>
        <w:t>PA2-604</w:t>
      </w:r>
      <w:r w:rsidR="0006745A" w:rsidRPr="00DF2CE8">
        <w:rPr>
          <w:rFonts w:ascii="Cambria" w:hAnsi="Cambria"/>
          <w:b/>
          <w:i/>
          <w:color w:val="000000" w:themeColor="text1"/>
          <w:sz w:val="20"/>
          <w:szCs w:val="20"/>
        </w:rPr>
        <w:t>_REV_1</w:t>
      </w:r>
      <w:r w:rsidRPr="00DF2CE8">
        <w:rPr>
          <w:rFonts w:ascii="Cambria" w:hAnsi="Cambria"/>
          <w:b/>
          <w:i/>
          <w:color w:val="000000" w:themeColor="text1"/>
          <w:sz w:val="20"/>
          <w:szCs w:val="20"/>
        </w:rPr>
        <w:t>/2025.</w:t>
      </w:r>
    </w:p>
    <w:p w14:paraId="65579F3F" w14:textId="77777777" w:rsidR="006B3200" w:rsidRPr="00DF2CE8" w:rsidRDefault="006B3200" w:rsidP="006B3200">
      <w:pPr>
        <w:ind w:left="426"/>
        <w:jc w:val="both"/>
        <w:rPr>
          <w:rFonts w:ascii="Cambria" w:hAnsi="Cambria"/>
          <w:b/>
          <w:bCs/>
          <w:i/>
          <w:iCs/>
          <w:color w:val="000000" w:themeColor="text1"/>
          <w:sz w:val="20"/>
          <w:szCs w:val="20"/>
        </w:rPr>
      </w:pPr>
    </w:p>
    <w:p w14:paraId="6D853223" w14:textId="4EFBE804" w:rsidR="006B3200" w:rsidRPr="00DF2CE8" w:rsidRDefault="006B3200" w:rsidP="006B3200">
      <w:pPr>
        <w:ind w:left="426"/>
        <w:jc w:val="both"/>
        <w:rPr>
          <w:rFonts w:ascii="Cambria" w:hAnsi="Cambria"/>
          <w:b/>
          <w:bCs/>
          <w:i/>
          <w:iCs/>
          <w:color w:val="000000" w:themeColor="text1"/>
          <w:sz w:val="20"/>
          <w:szCs w:val="20"/>
        </w:rPr>
      </w:pPr>
      <w:r w:rsidRPr="00DF2CE8">
        <w:rPr>
          <w:rFonts w:ascii="Cambria" w:hAnsi="Cambria"/>
          <w:i/>
          <w:color w:val="000000" w:themeColor="text1"/>
          <w:sz w:val="20"/>
          <w:szCs w:val="20"/>
        </w:rPr>
        <w:t>La « Demande d’augmentation du quota du thon rouge de l’Atlantique Est (</w:t>
      </w:r>
      <w:proofErr w:type="spellStart"/>
      <w:r w:rsidRPr="00DF2CE8">
        <w:rPr>
          <w:rFonts w:ascii="Cambria" w:hAnsi="Cambria"/>
          <w:i/>
          <w:color w:val="000000" w:themeColor="text1"/>
          <w:sz w:val="20"/>
          <w:szCs w:val="20"/>
        </w:rPr>
        <w:t>Thunnus</w:t>
      </w:r>
      <w:proofErr w:type="spellEnd"/>
      <w:r w:rsidRPr="00DF2CE8">
        <w:rPr>
          <w:rFonts w:ascii="Cambria" w:hAnsi="Cambria"/>
          <w:i/>
          <w:color w:val="000000" w:themeColor="text1"/>
          <w:sz w:val="20"/>
          <w:szCs w:val="20"/>
        </w:rPr>
        <w:t xml:space="preserve"> </w:t>
      </w:r>
      <w:proofErr w:type="spellStart"/>
      <w:r w:rsidRPr="00DF2CE8">
        <w:rPr>
          <w:rFonts w:ascii="Cambria" w:hAnsi="Cambria"/>
          <w:i/>
          <w:color w:val="000000" w:themeColor="text1"/>
          <w:sz w:val="20"/>
          <w:szCs w:val="20"/>
        </w:rPr>
        <w:t>thynnus</w:t>
      </w:r>
      <w:proofErr w:type="spellEnd"/>
      <w:r w:rsidRPr="00DF2CE8">
        <w:rPr>
          <w:rFonts w:ascii="Cambria" w:hAnsi="Cambria"/>
          <w:i/>
          <w:color w:val="000000" w:themeColor="text1"/>
          <w:sz w:val="20"/>
          <w:szCs w:val="20"/>
        </w:rPr>
        <w:t xml:space="preserve">) (BFT) pour l’Algérie » a été présentée par l'Algérie sous la référence </w:t>
      </w:r>
      <w:r w:rsidRPr="00DF2CE8">
        <w:rPr>
          <w:rFonts w:ascii="Cambria" w:hAnsi="Cambria"/>
          <w:b/>
          <w:i/>
          <w:color w:val="000000" w:themeColor="text1"/>
          <w:sz w:val="20"/>
          <w:szCs w:val="20"/>
        </w:rPr>
        <w:t>PA2-607/2025.</w:t>
      </w:r>
    </w:p>
    <w:p w14:paraId="29E16B64" w14:textId="77777777" w:rsidR="006B3200" w:rsidRPr="00DF2CE8" w:rsidRDefault="006B3200" w:rsidP="006B3200">
      <w:pPr>
        <w:ind w:left="426"/>
        <w:jc w:val="both"/>
        <w:rPr>
          <w:rFonts w:ascii="Cambria" w:hAnsi="Cambria"/>
          <w:i/>
          <w:iCs/>
          <w:color w:val="000000" w:themeColor="text1"/>
          <w:sz w:val="20"/>
          <w:szCs w:val="20"/>
        </w:rPr>
      </w:pPr>
    </w:p>
    <w:p w14:paraId="47E1ACC6" w14:textId="77777777" w:rsidR="006B3200" w:rsidRPr="00DF2CE8" w:rsidRDefault="006B3200" w:rsidP="006B3200">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Plan de développement des pêcheries de thon rouge du Royaume-Uni 2026-2028 » a été soumis par le Royaume-Uni sous la référence </w:t>
      </w:r>
      <w:r w:rsidRPr="00DF2CE8">
        <w:rPr>
          <w:rFonts w:ascii="Cambria" w:hAnsi="Cambria"/>
          <w:b/>
          <w:i/>
          <w:color w:val="000000" w:themeColor="text1"/>
          <w:sz w:val="20"/>
          <w:szCs w:val="20"/>
        </w:rPr>
        <w:t>PA2-608/2025</w:t>
      </w:r>
      <w:r w:rsidRPr="00DF2CE8">
        <w:rPr>
          <w:rFonts w:ascii="Cambria" w:hAnsi="Cambria"/>
          <w:i/>
          <w:color w:val="000000" w:themeColor="text1"/>
          <w:sz w:val="20"/>
          <w:szCs w:val="20"/>
        </w:rPr>
        <w:t>.</w:t>
      </w:r>
    </w:p>
    <w:p w14:paraId="37AE12C7" w14:textId="77777777" w:rsidR="006B3200" w:rsidRPr="00DF2CE8" w:rsidRDefault="006B3200" w:rsidP="006B3200">
      <w:pPr>
        <w:ind w:left="426"/>
        <w:jc w:val="both"/>
        <w:rPr>
          <w:rFonts w:ascii="Cambria" w:hAnsi="Cambria"/>
          <w:i/>
          <w:iCs/>
          <w:color w:val="000000" w:themeColor="text1"/>
          <w:sz w:val="20"/>
          <w:szCs w:val="20"/>
        </w:rPr>
      </w:pPr>
    </w:p>
    <w:p w14:paraId="2C1336E2" w14:textId="78B9AE95" w:rsidR="006B3200" w:rsidRPr="00DF2CE8" w:rsidRDefault="006B3200" w:rsidP="006B3200">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Le « Projet de Recommandation de l’ICCAT concernant un projet pilote d'élevage du thon rouge (</w:t>
      </w:r>
      <w:proofErr w:type="spellStart"/>
      <w:r w:rsidRPr="00DF2CE8">
        <w:rPr>
          <w:rFonts w:ascii="Cambria" w:hAnsi="Cambria"/>
          <w:i/>
          <w:color w:val="000000" w:themeColor="text1"/>
          <w:sz w:val="20"/>
          <w:szCs w:val="20"/>
        </w:rPr>
        <w:t>Thunnus</w:t>
      </w:r>
      <w:proofErr w:type="spellEnd"/>
      <w:r w:rsidRPr="00DF2CE8">
        <w:rPr>
          <w:rFonts w:ascii="Cambria" w:hAnsi="Cambria"/>
          <w:i/>
          <w:color w:val="000000" w:themeColor="text1"/>
          <w:sz w:val="20"/>
          <w:szCs w:val="20"/>
        </w:rPr>
        <w:t xml:space="preserve"> </w:t>
      </w:r>
      <w:proofErr w:type="spellStart"/>
      <w:r w:rsidRPr="00DF2CE8">
        <w:rPr>
          <w:rFonts w:ascii="Cambria" w:hAnsi="Cambria"/>
          <w:i/>
          <w:color w:val="000000" w:themeColor="text1"/>
          <w:sz w:val="20"/>
          <w:szCs w:val="20"/>
        </w:rPr>
        <w:t>thynnus</w:t>
      </w:r>
      <w:proofErr w:type="spellEnd"/>
      <w:r w:rsidRPr="00DF2CE8">
        <w:rPr>
          <w:rFonts w:ascii="Cambria" w:hAnsi="Cambria"/>
          <w:i/>
          <w:color w:val="000000" w:themeColor="text1"/>
          <w:sz w:val="20"/>
          <w:szCs w:val="20"/>
        </w:rPr>
        <w:t>) et de l'albacore (</w:t>
      </w:r>
      <w:proofErr w:type="spellStart"/>
      <w:r w:rsidRPr="00DF2CE8">
        <w:rPr>
          <w:rFonts w:ascii="Cambria" w:hAnsi="Cambria"/>
          <w:i/>
          <w:color w:val="000000" w:themeColor="text1"/>
          <w:sz w:val="20"/>
          <w:szCs w:val="20"/>
        </w:rPr>
        <w:t>Thunnus</w:t>
      </w:r>
      <w:proofErr w:type="spellEnd"/>
      <w:r w:rsidRPr="00DF2CE8">
        <w:rPr>
          <w:rFonts w:ascii="Cambria" w:hAnsi="Cambria"/>
          <w:i/>
          <w:color w:val="000000" w:themeColor="text1"/>
          <w:sz w:val="20"/>
          <w:szCs w:val="20"/>
        </w:rPr>
        <w:t xml:space="preserve"> </w:t>
      </w:r>
      <w:proofErr w:type="spellStart"/>
      <w:r w:rsidRPr="00DF2CE8">
        <w:rPr>
          <w:rFonts w:ascii="Cambria" w:hAnsi="Cambria"/>
          <w:i/>
          <w:color w:val="000000" w:themeColor="text1"/>
          <w:sz w:val="20"/>
          <w:szCs w:val="20"/>
        </w:rPr>
        <w:t>albacares</w:t>
      </w:r>
      <w:proofErr w:type="spellEnd"/>
      <w:r w:rsidRPr="00DF2CE8">
        <w:rPr>
          <w:rFonts w:ascii="Cambria" w:hAnsi="Cambria"/>
          <w:i/>
          <w:color w:val="000000" w:themeColor="text1"/>
          <w:sz w:val="20"/>
          <w:szCs w:val="20"/>
        </w:rPr>
        <w:t xml:space="preserve">) dans les eaux des îles Canaries » a été soumis par l’Union européenne sous la référence </w:t>
      </w:r>
      <w:r w:rsidRPr="00DF2CE8">
        <w:rPr>
          <w:rFonts w:ascii="Cambria" w:hAnsi="Cambria"/>
          <w:b/>
          <w:i/>
          <w:color w:val="000000" w:themeColor="text1"/>
          <w:sz w:val="20"/>
          <w:szCs w:val="20"/>
        </w:rPr>
        <w:t>PA2-609/2025</w:t>
      </w:r>
      <w:r w:rsidRPr="00DF2CE8">
        <w:rPr>
          <w:rFonts w:ascii="Cambria" w:hAnsi="Cambria"/>
          <w:i/>
          <w:color w:val="000000" w:themeColor="text1"/>
          <w:sz w:val="20"/>
          <w:szCs w:val="20"/>
        </w:rPr>
        <w:t>.</w:t>
      </w:r>
    </w:p>
    <w:p w14:paraId="782D46BA" w14:textId="77777777" w:rsidR="006B3200" w:rsidRPr="00DF2CE8" w:rsidRDefault="006B3200" w:rsidP="006B3200">
      <w:pPr>
        <w:ind w:left="426"/>
        <w:jc w:val="both"/>
        <w:rPr>
          <w:rFonts w:ascii="Cambria" w:hAnsi="Cambria"/>
          <w:i/>
          <w:iCs/>
          <w:color w:val="000000" w:themeColor="text1"/>
          <w:sz w:val="20"/>
          <w:szCs w:val="20"/>
        </w:rPr>
      </w:pPr>
    </w:p>
    <w:p w14:paraId="7BFF4A79" w14:textId="77777777" w:rsidR="006B3200" w:rsidRPr="00DF2CE8" w:rsidRDefault="006B3200" w:rsidP="006B3200">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Projet de Recommandation de l’ICCAT établissant un plan pluriannuel de gestion du thon rouge dans l’Atlantique Est et la Méditerranée » a été soumis par l’Union européenne sous la référence </w:t>
      </w:r>
      <w:r w:rsidRPr="00DF2CE8">
        <w:rPr>
          <w:rFonts w:ascii="Cambria" w:hAnsi="Cambria"/>
          <w:b/>
          <w:i/>
          <w:color w:val="000000" w:themeColor="text1"/>
          <w:sz w:val="20"/>
          <w:szCs w:val="20"/>
        </w:rPr>
        <w:t>PA2-610/2025</w:t>
      </w:r>
      <w:r w:rsidRPr="00DF2CE8">
        <w:rPr>
          <w:rFonts w:ascii="Cambria" w:hAnsi="Cambria"/>
          <w:i/>
          <w:color w:val="000000" w:themeColor="text1"/>
          <w:sz w:val="20"/>
          <w:szCs w:val="20"/>
        </w:rPr>
        <w:t>.</w:t>
      </w:r>
    </w:p>
    <w:p w14:paraId="0BD8FC5F" w14:textId="77777777" w:rsidR="006B3200" w:rsidRPr="00DF2CE8" w:rsidRDefault="006B3200" w:rsidP="006B3200">
      <w:pPr>
        <w:ind w:left="426"/>
        <w:jc w:val="both"/>
        <w:rPr>
          <w:rFonts w:ascii="Cambria" w:hAnsi="Cambria"/>
          <w:i/>
          <w:iCs/>
          <w:color w:val="000000" w:themeColor="text1"/>
          <w:sz w:val="20"/>
          <w:szCs w:val="20"/>
        </w:rPr>
      </w:pPr>
    </w:p>
    <w:p w14:paraId="7649F14E" w14:textId="54A61C61" w:rsidR="006B3200" w:rsidRPr="00DF2CE8" w:rsidRDefault="006B3200" w:rsidP="006B3200">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Projet de recommandation de l’ICCAT concernant un plan de conservation et de gestion du thon rouge de l’Atlantique Ouest » a été soumis par l’Union européenne sous la référence </w:t>
      </w:r>
      <w:r w:rsidRPr="00DF2CE8">
        <w:rPr>
          <w:rFonts w:ascii="Cambria" w:hAnsi="Cambria"/>
          <w:b/>
          <w:i/>
          <w:color w:val="000000" w:themeColor="text1"/>
          <w:sz w:val="20"/>
          <w:szCs w:val="20"/>
        </w:rPr>
        <w:t>PA2-611/2025</w:t>
      </w:r>
      <w:r w:rsidRPr="00DF2CE8">
        <w:rPr>
          <w:rFonts w:ascii="Cambria" w:hAnsi="Cambria"/>
          <w:i/>
          <w:color w:val="000000" w:themeColor="text1"/>
          <w:sz w:val="20"/>
          <w:szCs w:val="20"/>
        </w:rPr>
        <w:t>.</w:t>
      </w:r>
      <w:r w:rsidRPr="00DF2CE8">
        <w:rPr>
          <w:rFonts w:ascii="Cambria" w:hAnsi="Cambria"/>
          <w:i/>
          <w:color w:val="000000" w:themeColor="text1"/>
          <w:sz w:val="20"/>
          <w:szCs w:val="20"/>
        </w:rPr>
        <w:cr/>
      </w:r>
    </w:p>
    <w:p w14:paraId="0DBB2D35" w14:textId="77777777" w:rsidR="006B3200" w:rsidRPr="00DF2CE8" w:rsidRDefault="006B3200" w:rsidP="006B3200">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Projet de plan d’allocation pour le stock de thon rouge de l’Atlantique Est et de la Méditerranée » a été soumis par le Président de la Sous-commission 2 sous la référence </w:t>
      </w:r>
      <w:r w:rsidRPr="00DF2CE8">
        <w:rPr>
          <w:rFonts w:ascii="Cambria" w:hAnsi="Cambria"/>
          <w:b/>
          <w:i/>
          <w:color w:val="000000" w:themeColor="text1"/>
          <w:sz w:val="20"/>
          <w:szCs w:val="20"/>
        </w:rPr>
        <w:t>PA2-612/2025</w:t>
      </w:r>
      <w:r w:rsidRPr="00DF2CE8">
        <w:rPr>
          <w:rFonts w:ascii="Cambria" w:hAnsi="Cambria"/>
          <w:i/>
          <w:color w:val="000000" w:themeColor="text1"/>
          <w:sz w:val="20"/>
          <w:szCs w:val="20"/>
        </w:rPr>
        <w:t>.</w:t>
      </w:r>
    </w:p>
    <w:p w14:paraId="60C20512" w14:textId="77777777" w:rsidR="006B3200" w:rsidRPr="00DF2CE8" w:rsidRDefault="006B3200" w:rsidP="006B3200">
      <w:pPr>
        <w:ind w:left="426"/>
        <w:jc w:val="both"/>
        <w:rPr>
          <w:rFonts w:ascii="Cambria" w:hAnsi="Cambria"/>
          <w:i/>
          <w:iCs/>
          <w:color w:val="000000" w:themeColor="text1"/>
          <w:sz w:val="20"/>
          <w:szCs w:val="20"/>
        </w:rPr>
      </w:pPr>
    </w:p>
    <w:p w14:paraId="0E4973EF" w14:textId="77777777" w:rsidR="006B3200" w:rsidRPr="00DF2CE8" w:rsidRDefault="006B3200" w:rsidP="006B3200">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Projet de système d’allocation pour le stock de thon rouge de l’Atlantique Est et de la Méditerranée » a été soumis par la Corée sous la référence </w:t>
      </w:r>
      <w:r w:rsidRPr="00DF2CE8">
        <w:rPr>
          <w:rFonts w:ascii="Cambria" w:hAnsi="Cambria"/>
          <w:b/>
          <w:i/>
          <w:color w:val="000000" w:themeColor="text1"/>
          <w:sz w:val="20"/>
          <w:szCs w:val="20"/>
        </w:rPr>
        <w:t>PA2-613/2025</w:t>
      </w:r>
      <w:r w:rsidRPr="00DF2CE8">
        <w:rPr>
          <w:rFonts w:ascii="Cambria" w:hAnsi="Cambria"/>
          <w:i/>
          <w:color w:val="000000" w:themeColor="text1"/>
          <w:sz w:val="20"/>
          <w:szCs w:val="20"/>
        </w:rPr>
        <w:t>.</w:t>
      </w:r>
    </w:p>
    <w:p w14:paraId="32F15CFC" w14:textId="77777777" w:rsidR="006B3200" w:rsidRPr="00DF2CE8" w:rsidRDefault="006B3200" w:rsidP="006B3200">
      <w:pPr>
        <w:ind w:left="426"/>
        <w:jc w:val="both"/>
        <w:rPr>
          <w:rFonts w:ascii="Cambria" w:hAnsi="Cambria"/>
          <w:i/>
          <w:iCs/>
          <w:color w:val="000000" w:themeColor="text1"/>
          <w:sz w:val="20"/>
          <w:szCs w:val="20"/>
        </w:rPr>
      </w:pPr>
    </w:p>
    <w:p w14:paraId="7088FC1F" w14:textId="77777777" w:rsidR="006B3200" w:rsidRPr="00DF2CE8" w:rsidRDefault="006B3200" w:rsidP="006B3200">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Projet de système d’allocation pour le thon rouge de l’Atlantique Est et la Méditerranée » a été soumis par l’Union européenne sous la référence </w:t>
      </w:r>
      <w:r w:rsidRPr="00DF2CE8">
        <w:rPr>
          <w:rFonts w:ascii="Cambria" w:hAnsi="Cambria"/>
          <w:b/>
          <w:i/>
          <w:color w:val="000000" w:themeColor="text1"/>
          <w:sz w:val="20"/>
          <w:szCs w:val="20"/>
        </w:rPr>
        <w:t>PA2-614/2025</w:t>
      </w:r>
      <w:r w:rsidRPr="00DF2CE8">
        <w:rPr>
          <w:rFonts w:ascii="Cambria" w:hAnsi="Cambria"/>
          <w:i/>
          <w:color w:val="000000" w:themeColor="text1"/>
          <w:sz w:val="20"/>
          <w:szCs w:val="20"/>
        </w:rPr>
        <w:t>.</w:t>
      </w:r>
    </w:p>
    <w:p w14:paraId="523D2387" w14:textId="77777777" w:rsidR="006B3200" w:rsidRPr="00DF2CE8" w:rsidRDefault="006B3200" w:rsidP="006B3200">
      <w:pPr>
        <w:ind w:left="426"/>
        <w:jc w:val="both"/>
        <w:rPr>
          <w:rFonts w:ascii="Cambria" w:hAnsi="Cambria"/>
          <w:i/>
          <w:iCs/>
          <w:color w:val="000000" w:themeColor="text1"/>
          <w:sz w:val="20"/>
          <w:szCs w:val="20"/>
        </w:rPr>
      </w:pPr>
    </w:p>
    <w:p w14:paraId="0E88CC09" w14:textId="77777777" w:rsidR="006B3200" w:rsidRPr="00DF2CE8" w:rsidRDefault="006B3200" w:rsidP="006B3200">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Projet de Recommandation de l’ICCAT concernant un plan de conservation et de gestion du thon rouge de l’Atlantique Ouest » a été soumis par le Canada sous la référence </w:t>
      </w:r>
      <w:r w:rsidRPr="00DF2CE8">
        <w:rPr>
          <w:rFonts w:ascii="Cambria" w:hAnsi="Cambria"/>
          <w:b/>
          <w:i/>
          <w:color w:val="000000" w:themeColor="text1"/>
          <w:sz w:val="20"/>
          <w:szCs w:val="20"/>
        </w:rPr>
        <w:t>PA2-616/2025</w:t>
      </w:r>
      <w:r w:rsidRPr="00DF2CE8">
        <w:rPr>
          <w:rFonts w:ascii="Cambria" w:hAnsi="Cambria"/>
          <w:i/>
          <w:color w:val="000000" w:themeColor="text1"/>
          <w:sz w:val="20"/>
          <w:szCs w:val="20"/>
        </w:rPr>
        <w:t>.</w:t>
      </w:r>
    </w:p>
    <w:p w14:paraId="31082E84" w14:textId="77777777" w:rsidR="006B3200" w:rsidRPr="00DF2CE8" w:rsidRDefault="006B3200" w:rsidP="006B3200">
      <w:pPr>
        <w:ind w:left="426"/>
        <w:jc w:val="both"/>
        <w:rPr>
          <w:rFonts w:ascii="Cambria" w:hAnsi="Cambria"/>
          <w:i/>
          <w:iCs/>
          <w:color w:val="000000" w:themeColor="text1"/>
          <w:sz w:val="20"/>
          <w:szCs w:val="20"/>
        </w:rPr>
      </w:pPr>
    </w:p>
    <w:p w14:paraId="21ED4F1A" w14:textId="77777777" w:rsidR="006B3200" w:rsidRPr="00DF2CE8" w:rsidRDefault="006B3200" w:rsidP="006B3200">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Projet de Recommandation de l’ICCAT amendant la Recommandation 22-10 et la Recommandation 24-05 » a été soumis par les États-Unis sous la référence </w:t>
      </w:r>
      <w:r w:rsidRPr="00DF2CE8">
        <w:rPr>
          <w:rFonts w:ascii="Cambria" w:hAnsi="Cambria"/>
          <w:b/>
          <w:i/>
          <w:color w:val="000000" w:themeColor="text1"/>
          <w:sz w:val="20"/>
          <w:szCs w:val="20"/>
        </w:rPr>
        <w:t>PA2- 617/2025</w:t>
      </w:r>
      <w:r w:rsidRPr="00DF2CE8">
        <w:rPr>
          <w:rFonts w:ascii="Cambria" w:hAnsi="Cambria"/>
          <w:i/>
          <w:color w:val="000000" w:themeColor="text1"/>
          <w:sz w:val="20"/>
          <w:szCs w:val="20"/>
        </w:rPr>
        <w:t>.</w:t>
      </w:r>
    </w:p>
    <w:p w14:paraId="2800676C" w14:textId="77777777" w:rsidR="006B3200" w:rsidRPr="00DF2CE8" w:rsidRDefault="006B3200" w:rsidP="006B3200">
      <w:pPr>
        <w:ind w:left="426"/>
        <w:jc w:val="both"/>
        <w:rPr>
          <w:rFonts w:ascii="Cambria" w:hAnsi="Cambria"/>
          <w:i/>
          <w:iCs/>
          <w:color w:val="000000" w:themeColor="text1"/>
          <w:sz w:val="20"/>
          <w:szCs w:val="20"/>
        </w:rPr>
      </w:pPr>
    </w:p>
    <w:p w14:paraId="2E3F5ED8" w14:textId="036B4683" w:rsidR="00CC2E37" w:rsidRPr="00DF2CE8" w:rsidRDefault="00CC2E37" w:rsidP="00CC2E37">
      <w:pPr>
        <w:ind w:left="426"/>
        <w:jc w:val="both"/>
        <w:rPr>
          <w:rFonts w:ascii="Cambria" w:hAnsi="Cambria"/>
          <w:i/>
          <w:color w:val="000000" w:themeColor="text1"/>
          <w:sz w:val="20"/>
          <w:szCs w:val="20"/>
        </w:rPr>
      </w:pPr>
      <w:r w:rsidRPr="00DF2CE8">
        <w:rPr>
          <w:rFonts w:ascii="Cambria" w:hAnsi="Cambria"/>
          <w:i/>
          <w:color w:val="000000" w:themeColor="text1"/>
          <w:sz w:val="20"/>
          <w:szCs w:val="20"/>
        </w:rPr>
        <w:t>La « Réponse du Royaume-Uni au « Projet de système d’allocation pour le stock de thon rouge de l’Atlantique Est et de la Méditerranée » (PA2_612/2025) </w:t>
      </w:r>
      <w:r w:rsidR="002A62CC" w:rsidRPr="00DF2CE8">
        <w:rPr>
          <w:rFonts w:ascii="Cambria" w:hAnsi="Cambria"/>
          <w:i/>
          <w:color w:val="000000" w:themeColor="text1"/>
          <w:sz w:val="20"/>
          <w:szCs w:val="20"/>
        </w:rPr>
        <w:t>soumis par le Président</w:t>
      </w:r>
      <w:r w:rsidR="00236A12" w:rsidRPr="00DF2CE8">
        <w:rPr>
          <w:rFonts w:ascii="Cambria" w:hAnsi="Cambria"/>
          <w:i/>
          <w:color w:val="000000" w:themeColor="text1"/>
          <w:sz w:val="20"/>
          <w:szCs w:val="20"/>
        </w:rPr>
        <w:t xml:space="preserve"> </w:t>
      </w:r>
      <w:r w:rsidRPr="00DF2CE8">
        <w:rPr>
          <w:rFonts w:ascii="Cambria" w:hAnsi="Cambria"/>
          <w:i/>
          <w:color w:val="000000" w:themeColor="text1"/>
          <w:sz w:val="20"/>
          <w:szCs w:val="20"/>
        </w:rPr>
        <w:t xml:space="preserve">» a été </w:t>
      </w:r>
      <w:r w:rsidR="00565954" w:rsidRPr="00DF2CE8">
        <w:rPr>
          <w:rFonts w:ascii="Cambria" w:hAnsi="Cambria"/>
          <w:i/>
          <w:color w:val="000000" w:themeColor="text1"/>
          <w:sz w:val="20"/>
          <w:szCs w:val="20"/>
        </w:rPr>
        <w:t>présentée</w:t>
      </w:r>
      <w:r w:rsidRPr="00DF2CE8">
        <w:rPr>
          <w:rFonts w:ascii="Cambria" w:hAnsi="Cambria"/>
          <w:i/>
          <w:color w:val="000000" w:themeColor="text1"/>
          <w:sz w:val="20"/>
          <w:szCs w:val="20"/>
        </w:rPr>
        <w:t xml:space="preserve"> par le Royaume-Uni sous la référence </w:t>
      </w:r>
      <w:r w:rsidRPr="00DF2CE8">
        <w:rPr>
          <w:rFonts w:ascii="Cambria" w:hAnsi="Cambria"/>
          <w:b/>
          <w:i/>
          <w:color w:val="000000" w:themeColor="text1"/>
          <w:sz w:val="20"/>
          <w:szCs w:val="20"/>
        </w:rPr>
        <w:t>PA2-620/2025</w:t>
      </w:r>
      <w:r w:rsidRPr="00DF2CE8">
        <w:rPr>
          <w:rFonts w:ascii="Cambria" w:hAnsi="Cambria"/>
          <w:i/>
          <w:color w:val="000000" w:themeColor="text1"/>
          <w:sz w:val="20"/>
          <w:szCs w:val="20"/>
        </w:rPr>
        <w:t>.</w:t>
      </w:r>
    </w:p>
    <w:p w14:paraId="04DFBFE1" w14:textId="77777777" w:rsidR="00E46176" w:rsidRPr="00DF2CE8" w:rsidRDefault="00E46176" w:rsidP="00CC2E37">
      <w:pPr>
        <w:ind w:left="426"/>
        <w:jc w:val="both"/>
        <w:rPr>
          <w:rFonts w:ascii="Cambria" w:hAnsi="Cambria"/>
          <w:i/>
          <w:color w:val="000000" w:themeColor="text1"/>
          <w:sz w:val="20"/>
          <w:szCs w:val="20"/>
        </w:rPr>
      </w:pPr>
    </w:p>
    <w:p w14:paraId="757CAB3E" w14:textId="17D3F9FC" w:rsidR="00E46176" w:rsidRPr="00DF2CE8" w:rsidRDefault="00A51BEB" w:rsidP="00A51BEB">
      <w:pPr>
        <w:ind w:left="426"/>
        <w:jc w:val="both"/>
        <w:rPr>
          <w:rFonts w:ascii="Cambria" w:hAnsi="Cambria"/>
          <w:bCs/>
          <w:i/>
          <w:iCs/>
          <w:sz w:val="20"/>
          <w:u w:val="single"/>
        </w:rPr>
      </w:pPr>
      <w:r w:rsidRPr="00DF2CE8">
        <w:rPr>
          <w:rFonts w:ascii="Cambria" w:hAnsi="Cambria"/>
          <w:bCs/>
          <w:i/>
          <w:iCs/>
          <w:sz w:val="20"/>
          <w:u w:val="single"/>
        </w:rPr>
        <w:t>La « </w:t>
      </w:r>
      <w:r w:rsidR="00E46176" w:rsidRPr="00DF2CE8">
        <w:rPr>
          <w:rFonts w:ascii="Cambria" w:hAnsi="Cambria"/>
          <w:bCs/>
          <w:i/>
          <w:iCs/>
          <w:sz w:val="20"/>
          <w:u w:val="single"/>
        </w:rPr>
        <w:t>Demande de la Namibie d'augmenter son quota de</w:t>
      </w:r>
      <w:r w:rsidRPr="00DF2CE8">
        <w:rPr>
          <w:rFonts w:ascii="Cambria" w:hAnsi="Cambria"/>
          <w:bCs/>
          <w:i/>
          <w:iCs/>
          <w:sz w:val="20"/>
          <w:u w:val="single"/>
        </w:rPr>
        <w:t xml:space="preserve"> </w:t>
      </w:r>
      <w:r w:rsidR="00E46176" w:rsidRPr="00DF2CE8">
        <w:rPr>
          <w:rFonts w:ascii="Cambria" w:hAnsi="Cambria"/>
          <w:bCs/>
          <w:i/>
          <w:iCs/>
          <w:sz w:val="20"/>
          <w:u w:val="single"/>
        </w:rPr>
        <w:t>thon rouge de l’Atlantique Est et de la Méditerranée (BFT) pour le porter à 600 t</w:t>
      </w:r>
      <w:r w:rsidRPr="00DF2CE8">
        <w:rPr>
          <w:rFonts w:ascii="Cambria" w:hAnsi="Cambria"/>
          <w:bCs/>
          <w:i/>
          <w:iCs/>
          <w:sz w:val="20"/>
          <w:u w:val="single"/>
        </w:rPr>
        <w:t xml:space="preserve"> » a été soumise par la Namibie sous la référence </w:t>
      </w:r>
      <w:r w:rsidRPr="00DF2CE8">
        <w:rPr>
          <w:rFonts w:ascii="Cambria" w:hAnsi="Cambria"/>
          <w:b/>
          <w:i/>
          <w:iCs/>
          <w:sz w:val="20"/>
          <w:u w:val="single"/>
        </w:rPr>
        <w:t>PA2-624/2025</w:t>
      </w:r>
      <w:r w:rsidRPr="00DF2CE8">
        <w:rPr>
          <w:rFonts w:ascii="Cambria" w:hAnsi="Cambria"/>
          <w:bCs/>
          <w:i/>
          <w:iCs/>
          <w:sz w:val="20"/>
          <w:u w:val="single"/>
        </w:rPr>
        <w:t>.</w:t>
      </w:r>
    </w:p>
    <w:p w14:paraId="61C659B2" w14:textId="77777777" w:rsidR="00E46176" w:rsidRPr="00DF2CE8" w:rsidRDefault="00E46176" w:rsidP="00A51BEB">
      <w:pPr>
        <w:ind w:left="426"/>
        <w:jc w:val="both"/>
        <w:rPr>
          <w:rFonts w:ascii="Cambria" w:hAnsi="Cambria"/>
          <w:bCs/>
          <w:i/>
          <w:iCs/>
          <w:color w:val="000000" w:themeColor="text1"/>
          <w:sz w:val="20"/>
          <w:szCs w:val="20"/>
        </w:rPr>
      </w:pPr>
    </w:p>
    <w:p w14:paraId="376A11A0" w14:textId="3FC15955"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Identification des mesures obsolètes sur la base du point 8 ci-dessus</w:t>
      </w:r>
    </w:p>
    <w:p w14:paraId="7B32FECA" w14:textId="77777777" w:rsidR="006B3200" w:rsidRPr="00DF2CE8" w:rsidRDefault="006B3200" w:rsidP="006B3200">
      <w:pPr>
        <w:pStyle w:val="ListParagraph"/>
        <w:ind w:left="0"/>
        <w:jc w:val="both"/>
        <w:rPr>
          <w:rFonts w:ascii="Cambria" w:hAnsi="Cambria"/>
          <w:sz w:val="20"/>
          <w:szCs w:val="20"/>
        </w:rPr>
      </w:pPr>
    </w:p>
    <w:p w14:paraId="6E657926" w14:textId="77777777" w:rsidR="006B3200" w:rsidRPr="00DF2CE8" w:rsidRDefault="006B3200" w:rsidP="006B3200">
      <w:pPr>
        <w:pStyle w:val="ListParagraph"/>
        <w:ind w:left="450"/>
        <w:jc w:val="both"/>
        <w:rPr>
          <w:rFonts w:ascii="Cambria" w:hAnsi="Cambria"/>
          <w:sz w:val="20"/>
          <w:szCs w:val="20"/>
        </w:rPr>
      </w:pPr>
      <w:r w:rsidRPr="00DF2CE8">
        <w:rPr>
          <w:rFonts w:ascii="Cambria" w:hAnsi="Cambria"/>
          <w:i/>
          <w:sz w:val="20"/>
          <w:szCs w:val="20"/>
        </w:rPr>
        <w:t>Si des mesures antérieures doivent être annulées lors de l'adoption de nouvelles mesures, cela devrait être identifié, de préférence dans la recommandation, ou au moins clairement indiqué par la Sous-commission.</w:t>
      </w:r>
    </w:p>
    <w:p w14:paraId="45E5AB0E" w14:textId="77777777" w:rsidR="006B3200" w:rsidRPr="00DF2CE8" w:rsidRDefault="006B3200" w:rsidP="006B3200">
      <w:pPr>
        <w:pStyle w:val="ListParagraph"/>
        <w:ind w:left="0"/>
        <w:jc w:val="both"/>
        <w:rPr>
          <w:rFonts w:ascii="Cambria" w:hAnsi="Cambria"/>
          <w:sz w:val="20"/>
          <w:szCs w:val="20"/>
        </w:rPr>
      </w:pPr>
    </w:p>
    <w:p w14:paraId="16E0027E" w14:textId="77777777"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Élection du Président et du Vice-président potentiel</w:t>
      </w:r>
    </w:p>
    <w:p w14:paraId="2ACC5D6A" w14:textId="77777777" w:rsidR="006B3200" w:rsidRPr="00DF2CE8" w:rsidRDefault="006B3200" w:rsidP="006B3200">
      <w:pPr>
        <w:jc w:val="both"/>
        <w:rPr>
          <w:rFonts w:ascii="Cambria" w:hAnsi="Cambria"/>
          <w:sz w:val="20"/>
          <w:szCs w:val="20"/>
        </w:rPr>
      </w:pPr>
    </w:p>
    <w:p w14:paraId="7D28637A" w14:textId="77777777" w:rsidR="006B3200" w:rsidRPr="00DF2CE8" w:rsidRDefault="006B3200" w:rsidP="006B3200">
      <w:pPr>
        <w:ind w:left="450"/>
        <w:jc w:val="both"/>
        <w:rPr>
          <w:rFonts w:ascii="Cambria" w:hAnsi="Cambria"/>
          <w:i/>
          <w:iCs/>
          <w:sz w:val="20"/>
          <w:szCs w:val="20"/>
        </w:rPr>
      </w:pPr>
      <w:r w:rsidRPr="00DF2CE8">
        <w:rPr>
          <w:rFonts w:ascii="Cambria" w:hAnsi="Cambria"/>
          <w:i/>
          <w:sz w:val="20"/>
          <w:szCs w:val="20"/>
        </w:rPr>
        <w:t>La Sous-commission 2 devra élire son Président pour la période biennale 2026-2027.</w:t>
      </w:r>
    </w:p>
    <w:p w14:paraId="117D3376" w14:textId="77777777" w:rsidR="006B3200" w:rsidRPr="00DF2CE8" w:rsidRDefault="006B3200" w:rsidP="006B3200">
      <w:pPr>
        <w:pStyle w:val="ListParagraph"/>
        <w:ind w:left="0"/>
        <w:jc w:val="both"/>
        <w:rPr>
          <w:rFonts w:ascii="Cambria" w:hAnsi="Cambria"/>
          <w:sz w:val="20"/>
          <w:szCs w:val="20"/>
        </w:rPr>
      </w:pPr>
    </w:p>
    <w:p w14:paraId="0B2BFE54" w14:textId="77777777"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Autres questions</w:t>
      </w:r>
    </w:p>
    <w:p w14:paraId="31C8826E" w14:textId="77777777" w:rsidR="006B3200" w:rsidRPr="00DF2CE8" w:rsidRDefault="006B3200" w:rsidP="006B3200">
      <w:pPr>
        <w:pStyle w:val="ListParagraph"/>
        <w:ind w:left="0"/>
        <w:jc w:val="both"/>
        <w:rPr>
          <w:rFonts w:ascii="Cambria" w:hAnsi="Cambria"/>
          <w:sz w:val="20"/>
          <w:szCs w:val="20"/>
          <w:lang w:val="en-GB"/>
        </w:rPr>
      </w:pPr>
    </w:p>
    <w:p w14:paraId="74408C5A" w14:textId="77777777" w:rsidR="006B3200" w:rsidRPr="00DF2CE8" w:rsidRDefault="006B3200" w:rsidP="006B3200">
      <w:pPr>
        <w:pStyle w:val="ListParagraph"/>
        <w:tabs>
          <w:tab w:val="left" w:pos="426"/>
          <w:tab w:val="left" w:pos="4090"/>
        </w:tabs>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Rapport sur la mise en œuvre du programme régional d'observateurs de l’ICCAT pour le thon rouge de l'Atlantique Est et de la Méditerranée (ROP-BFT) » a été publié sous la référence </w:t>
      </w:r>
      <w:r w:rsidRPr="00DF2CE8">
        <w:rPr>
          <w:rFonts w:ascii="Cambria" w:hAnsi="Cambria"/>
          <w:b/>
          <w:i/>
          <w:color w:val="000000" w:themeColor="text1"/>
          <w:sz w:val="20"/>
          <w:szCs w:val="20"/>
        </w:rPr>
        <w:t>PA2-601/2025.</w:t>
      </w:r>
      <w:r w:rsidRPr="00DF2CE8">
        <w:rPr>
          <w:rFonts w:ascii="Cambria" w:hAnsi="Cambria"/>
          <w:i/>
          <w:color w:val="000000" w:themeColor="text1"/>
          <w:sz w:val="20"/>
          <w:szCs w:val="20"/>
        </w:rPr>
        <w:t xml:space="preserve"> </w:t>
      </w:r>
    </w:p>
    <w:p w14:paraId="6B554317" w14:textId="77777777" w:rsidR="006B3200" w:rsidRPr="00DF2CE8" w:rsidRDefault="006B3200" w:rsidP="006B3200">
      <w:pPr>
        <w:pStyle w:val="ListParagraph"/>
        <w:tabs>
          <w:tab w:val="left" w:pos="426"/>
          <w:tab w:val="left" w:pos="4090"/>
        </w:tabs>
        <w:ind w:left="426"/>
        <w:jc w:val="both"/>
        <w:rPr>
          <w:rFonts w:ascii="Cambria" w:hAnsi="Cambria"/>
          <w:i/>
          <w:iCs/>
          <w:color w:val="000000" w:themeColor="text1"/>
          <w:sz w:val="20"/>
          <w:szCs w:val="20"/>
        </w:rPr>
      </w:pPr>
    </w:p>
    <w:p w14:paraId="40FBC6DC" w14:textId="77777777" w:rsidR="006B3200" w:rsidRPr="00DF2CE8" w:rsidRDefault="006B3200" w:rsidP="006B3200">
      <w:pPr>
        <w:pStyle w:val="ListParagraph"/>
        <w:tabs>
          <w:tab w:val="left" w:pos="426"/>
          <w:tab w:val="left" w:pos="4090"/>
        </w:tabs>
        <w:ind w:left="426"/>
        <w:jc w:val="both"/>
        <w:rPr>
          <w:rFonts w:ascii="Cambria" w:hAnsi="Cambria"/>
          <w:color w:val="000000" w:themeColor="text1"/>
          <w:sz w:val="20"/>
          <w:szCs w:val="20"/>
        </w:rPr>
      </w:pPr>
      <w:r w:rsidRPr="00DF2CE8">
        <w:rPr>
          <w:rFonts w:ascii="Cambria" w:hAnsi="Cambria"/>
          <w:i/>
          <w:sz w:val="20"/>
          <w:szCs w:val="20"/>
        </w:rPr>
        <w:t xml:space="preserve">Le Secrétariat, en consultation avec les membres de la Sous-commission 2 et le Président de la Sous-commission 2, a préparé un projet de modèle révisé pour le tableau de capacité des plans de pêche, d'élevage, d'inspection et de gestion de la capacité pour le thon rouge de l'Atlantique Est et de la Méditerranée, qui est présenté sous la référence </w:t>
      </w:r>
      <w:r w:rsidRPr="00DF2CE8">
        <w:rPr>
          <w:rFonts w:ascii="Cambria" w:hAnsi="Cambria"/>
          <w:b/>
          <w:i/>
          <w:color w:val="000000" w:themeColor="text1"/>
          <w:sz w:val="20"/>
          <w:szCs w:val="20"/>
        </w:rPr>
        <w:t>PA2-605/2025</w:t>
      </w:r>
      <w:r w:rsidRPr="00DF2CE8">
        <w:rPr>
          <w:rFonts w:ascii="Cambria" w:hAnsi="Cambria"/>
          <w:i/>
          <w:color w:val="000000" w:themeColor="text1"/>
          <w:sz w:val="20"/>
          <w:szCs w:val="20"/>
        </w:rPr>
        <w:t xml:space="preserve">. </w:t>
      </w:r>
    </w:p>
    <w:p w14:paraId="1608C95B" w14:textId="77777777" w:rsidR="006B3200" w:rsidRPr="00DF2CE8" w:rsidRDefault="006B3200" w:rsidP="006B3200">
      <w:pPr>
        <w:pStyle w:val="ListParagraph"/>
        <w:tabs>
          <w:tab w:val="left" w:pos="426"/>
          <w:tab w:val="left" w:pos="4090"/>
        </w:tabs>
        <w:ind w:left="426"/>
        <w:jc w:val="both"/>
        <w:rPr>
          <w:rFonts w:ascii="Cambria" w:hAnsi="Cambria"/>
          <w:i/>
          <w:iCs/>
          <w:color w:val="000000" w:themeColor="text1"/>
          <w:sz w:val="20"/>
          <w:szCs w:val="20"/>
        </w:rPr>
      </w:pPr>
    </w:p>
    <w:p w14:paraId="6A215CF5" w14:textId="1F939AA2" w:rsidR="006B3200" w:rsidRPr="00DF2CE8" w:rsidRDefault="006B3200" w:rsidP="006B3200">
      <w:pPr>
        <w:tabs>
          <w:tab w:val="left" w:pos="810"/>
        </w:tabs>
        <w:ind w:left="360"/>
        <w:jc w:val="both"/>
        <w:rPr>
          <w:rFonts w:ascii="Cambria" w:hAnsi="Cambria"/>
          <w:i/>
          <w:iCs/>
          <w:sz w:val="20"/>
          <w:szCs w:val="20"/>
        </w:rPr>
      </w:pPr>
      <w:r w:rsidRPr="00DF2CE8">
        <w:rPr>
          <w:rFonts w:ascii="Cambria" w:hAnsi="Cambria"/>
          <w:i/>
          <w:sz w:val="20"/>
          <w:szCs w:val="20"/>
        </w:rPr>
        <w:t xml:space="preserve">Le Secrétariat a demandé quelques éclaircissements sur la </w:t>
      </w:r>
      <w:hyperlink r:id="rId37" w:history="1">
        <w:r w:rsidRPr="00DF2CE8">
          <w:rPr>
            <w:rStyle w:val="Hyperlink"/>
            <w:rFonts w:ascii="Cambria" w:hAnsi="Cambria"/>
            <w:i/>
            <w:sz w:val="20"/>
            <w:szCs w:val="20"/>
            <w:u w:val="none"/>
          </w:rPr>
          <w:t>Rec. 24-05</w:t>
        </w:r>
      </w:hyperlink>
      <w:r w:rsidRPr="00DF2CE8">
        <w:rPr>
          <w:rFonts w:ascii="Cambria" w:hAnsi="Cambria"/>
          <w:sz w:val="20"/>
          <w:szCs w:val="20"/>
        </w:rPr>
        <w:t xml:space="preserve"> </w:t>
      </w:r>
      <w:r w:rsidRPr="00DF2CE8">
        <w:rPr>
          <w:rFonts w:ascii="Cambria" w:hAnsi="Cambria"/>
          <w:i/>
          <w:sz w:val="20"/>
          <w:szCs w:val="20"/>
        </w:rPr>
        <w:t xml:space="preserve">; les questions et, le cas échéant, les réponses préliminaires figurent dans le </w:t>
      </w:r>
      <w:r w:rsidRPr="00DF2CE8">
        <w:rPr>
          <w:rFonts w:ascii="Cambria" w:hAnsi="Cambria"/>
          <w:b/>
          <w:i/>
          <w:sz w:val="20"/>
          <w:szCs w:val="20"/>
        </w:rPr>
        <w:t>PA2-606/2025</w:t>
      </w:r>
      <w:r w:rsidRPr="00DF2CE8">
        <w:rPr>
          <w:rFonts w:ascii="Cambria" w:hAnsi="Cambria"/>
          <w:i/>
          <w:sz w:val="20"/>
          <w:szCs w:val="20"/>
        </w:rPr>
        <w:t>. Il s'agit d'un document transversal qui doit être discuté au sein de la Sous-commission 2 et du Groupe de travail permanent pour l'amélioration des statistiques et des mesures de conservation de l'ICCAT (PWG).</w:t>
      </w:r>
    </w:p>
    <w:p w14:paraId="1CF805FD" w14:textId="617FF744" w:rsidR="006B3200" w:rsidRPr="00DF2CE8" w:rsidRDefault="006B3200" w:rsidP="006B3200">
      <w:pPr>
        <w:pStyle w:val="ListParagraph"/>
        <w:tabs>
          <w:tab w:val="left" w:pos="426"/>
          <w:tab w:val="left" w:pos="4090"/>
        </w:tabs>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Rapport du projet pilote norvégien pour le stockage de courte durée du thon rouge vivant en 2025 » a été soumis par la Norvège et </w:t>
      </w:r>
      <w:r w:rsidR="008872A1" w:rsidRPr="00DF2CE8">
        <w:rPr>
          <w:rFonts w:ascii="Cambria" w:hAnsi="Cambria"/>
          <w:i/>
          <w:color w:val="000000" w:themeColor="text1"/>
          <w:sz w:val="20"/>
          <w:szCs w:val="20"/>
        </w:rPr>
        <w:t xml:space="preserve">sera </w:t>
      </w:r>
      <w:r w:rsidRPr="00DF2CE8">
        <w:rPr>
          <w:rFonts w:ascii="Cambria" w:hAnsi="Cambria"/>
          <w:i/>
          <w:color w:val="000000" w:themeColor="text1"/>
          <w:sz w:val="20"/>
          <w:szCs w:val="20"/>
        </w:rPr>
        <w:t xml:space="preserve">publié sous la référence </w:t>
      </w:r>
      <w:r w:rsidRPr="00DF2CE8">
        <w:rPr>
          <w:rFonts w:ascii="Cambria" w:hAnsi="Cambria"/>
          <w:b/>
          <w:i/>
          <w:color w:val="000000" w:themeColor="text1"/>
          <w:sz w:val="20"/>
          <w:szCs w:val="20"/>
        </w:rPr>
        <w:t>PA2-615/2025</w:t>
      </w:r>
      <w:r w:rsidRPr="00DF2CE8">
        <w:rPr>
          <w:rFonts w:ascii="Cambria" w:hAnsi="Cambria"/>
          <w:i/>
          <w:color w:val="000000" w:themeColor="text1"/>
          <w:sz w:val="20"/>
          <w:szCs w:val="20"/>
        </w:rPr>
        <w:t xml:space="preserve">. </w:t>
      </w:r>
    </w:p>
    <w:p w14:paraId="720A6C5C" w14:textId="77777777" w:rsidR="006B3200" w:rsidRPr="00DF2CE8" w:rsidRDefault="006B3200" w:rsidP="006B3200">
      <w:pPr>
        <w:pStyle w:val="ListParagraph"/>
        <w:tabs>
          <w:tab w:val="left" w:pos="426"/>
          <w:tab w:val="left" w:pos="4090"/>
        </w:tabs>
        <w:ind w:left="426"/>
        <w:jc w:val="both"/>
        <w:rPr>
          <w:rFonts w:ascii="Cambria" w:hAnsi="Cambria"/>
          <w:i/>
          <w:iCs/>
          <w:color w:val="000000" w:themeColor="text1"/>
          <w:sz w:val="20"/>
          <w:szCs w:val="20"/>
        </w:rPr>
      </w:pPr>
    </w:p>
    <w:p w14:paraId="14EC0122" w14:textId="74143923" w:rsidR="006B3200" w:rsidRPr="00DF2CE8" w:rsidRDefault="006B3200" w:rsidP="006B3200">
      <w:pPr>
        <w:pStyle w:val="ListParagraph"/>
        <w:tabs>
          <w:tab w:val="left" w:pos="426"/>
          <w:tab w:val="left" w:pos="4090"/>
        </w:tabs>
        <w:ind w:left="426"/>
        <w:jc w:val="both"/>
        <w:rPr>
          <w:rFonts w:ascii="Cambria" w:hAnsi="Cambria"/>
          <w:i/>
          <w:iCs/>
          <w:color w:val="000000" w:themeColor="text1"/>
          <w:sz w:val="20"/>
          <w:szCs w:val="20"/>
        </w:rPr>
      </w:pPr>
      <w:r w:rsidRPr="00DF2CE8">
        <w:rPr>
          <w:rFonts w:ascii="Cambria" w:hAnsi="Cambria"/>
          <w:i/>
          <w:color w:val="000000" w:themeColor="text1"/>
          <w:sz w:val="20"/>
          <w:szCs w:val="20"/>
        </w:rPr>
        <w:t>Le « Rapport sur la mise en œuvre du projet pilote pour l'élevage du thon rouge dans la mer Cantabrique » a été soumis</w:t>
      </w:r>
      <w:r w:rsidR="006B6DA6" w:rsidRPr="00DF2CE8">
        <w:rPr>
          <w:rFonts w:ascii="Cambria" w:hAnsi="Cambria"/>
          <w:i/>
          <w:color w:val="000000" w:themeColor="text1"/>
          <w:sz w:val="20"/>
          <w:szCs w:val="20"/>
        </w:rPr>
        <w:t xml:space="preserve"> par</w:t>
      </w:r>
      <w:r w:rsidRPr="00DF2CE8">
        <w:rPr>
          <w:rFonts w:ascii="Cambria" w:hAnsi="Cambria"/>
          <w:i/>
          <w:color w:val="000000" w:themeColor="text1"/>
          <w:sz w:val="20"/>
          <w:szCs w:val="20"/>
        </w:rPr>
        <w:t xml:space="preserve"> l'Union européenne et</w:t>
      </w:r>
      <w:r w:rsidR="008872A1" w:rsidRPr="00DF2CE8">
        <w:rPr>
          <w:rFonts w:ascii="Cambria" w:hAnsi="Cambria"/>
          <w:i/>
          <w:color w:val="000000" w:themeColor="text1"/>
          <w:sz w:val="20"/>
          <w:szCs w:val="20"/>
        </w:rPr>
        <w:t xml:space="preserve"> sera</w:t>
      </w:r>
      <w:r w:rsidRPr="00DF2CE8">
        <w:rPr>
          <w:rFonts w:ascii="Cambria" w:hAnsi="Cambria"/>
          <w:i/>
          <w:color w:val="000000" w:themeColor="text1"/>
          <w:sz w:val="20"/>
          <w:szCs w:val="20"/>
        </w:rPr>
        <w:t xml:space="preserve"> publié sous la référence </w:t>
      </w:r>
      <w:r w:rsidRPr="00DF2CE8">
        <w:rPr>
          <w:rFonts w:ascii="Cambria" w:hAnsi="Cambria"/>
          <w:b/>
          <w:i/>
          <w:color w:val="000000" w:themeColor="text1"/>
          <w:sz w:val="20"/>
          <w:szCs w:val="20"/>
        </w:rPr>
        <w:t>PA2-619/2025</w:t>
      </w:r>
      <w:r w:rsidRPr="00DF2CE8">
        <w:rPr>
          <w:rFonts w:ascii="Cambria" w:hAnsi="Cambria"/>
          <w:i/>
          <w:color w:val="000000" w:themeColor="text1"/>
          <w:sz w:val="20"/>
          <w:szCs w:val="20"/>
        </w:rPr>
        <w:t xml:space="preserve">. </w:t>
      </w:r>
    </w:p>
    <w:p w14:paraId="7D2E25ED" w14:textId="77777777" w:rsidR="006B3200" w:rsidRPr="00DF2CE8" w:rsidRDefault="006B3200" w:rsidP="006B3200">
      <w:pPr>
        <w:pStyle w:val="ListParagraph"/>
        <w:ind w:left="864" w:hanging="432"/>
        <w:jc w:val="both"/>
        <w:rPr>
          <w:rFonts w:ascii="Cambria" w:hAnsi="Cambria"/>
          <w:color w:val="000000" w:themeColor="text1"/>
          <w:sz w:val="20"/>
          <w:szCs w:val="20"/>
        </w:rPr>
      </w:pPr>
    </w:p>
    <w:p w14:paraId="6E71F573" w14:textId="778CE99E" w:rsidR="006B3200" w:rsidRPr="00DF2CE8" w:rsidRDefault="006B3200" w:rsidP="006B3200">
      <w:pPr>
        <w:pStyle w:val="ListParagraph"/>
        <w:ind w:left="864" w:hanging="432"/>
        <w:jc w:val="both"/>
        <w:rPr>
          <w:rFonts w:ascii="Cambria" w:hAnsi="Cambria"/>
          <w:color w:val="000000" w:themeColor="text1"/>
          <w:sz w:val="20"/>
          <w:szCs w:val="20"/>
        </w:rPr>
      </w:pPr>
      <w:r w:rsidRPr="00DF2CE8">
        <w:rPr>
          <w:rFonts w:ascii="Cambria" w:hAnsi="Cambria"/>
          <w:color w:val="000000" w:themeColor="text1"/>
          <w:sz w:val="20"/>
          <w:szCs w:val="20"/>
        </w:rPr>
        <w:t>11.1</w:t>
      </w:r>
      <w:r w:rsidRPr="00DF2CE8">
        <w:rPr>
          <w:rFonts w:ascii="Cambria" w:hAnsi="Cambria"/>
          <w:color w:val="000000" w:themeColor="text1"/>
          <w:sz w:val="20"/>
          <w:szCs w:val="20"/>
        </w:rPr>
        <w:tab/>
        <w:t>Examen de la date de la prochaine réunion intersessions</w:t>
      </w:r>
    </w:p>
    <w:p w14:paraId="24E21C76" w14:textId="77777777" w:rsidR="006B3200" w:rsidRPr="00DF2CE8" w:rsidRDefault="006B3200" w:rsidP="006B3200">
      <w:pPr>
        <w:pStyle w:val="ListParagraph"/>
        <w:ind w:left="0"/>
        <w:jc w:val="both"/>
        <w:rPr>
          <w:rFonts w:ascii="Cambria" w:hAnsi="Cambria"/>
          <w:sz w:val="20"/>
          <w:szCs w:val="20"/>
        </w:rPr>
      </w:pPr>
    </w:p>
    <w:p w14:paraId="116AB310" w14:textId="77777777" w:rsidR="006B3200" w:rsidRPr="00DF2CE8" w:rsidRDefault="006B3200" w:rsidP="006B3200">
      <w:pPr>
        <w:pStyle w:val="ListParagraph"/>
        <w:numPr>
          <w:ilvl w:val="0"/>
          <w:numId w:val="35"/>
        </w:numPr>
        <w:ind w:left="450" w:hanging="450"/>
        <w:contextualSpacing/>
        <w:jc w:val="both"/>
        <w:rPr>
          <w:rFonts w:ascii="Cambria" w:hAnsi="Cambria"/>
          <w:sz w:val="20"/>
          <w:szCs w:val="20"/>
        </w:rPr>
      </w:pPr>
      <w:r w:rsidRPr="00DF2CE8">
        <w:rPr>
          <w:rFonts w:ascii="Cambria" w:hAnsi="Cambria"/>
          <w:sz w:val="20"/>
          <w:szCs w:val="20"/>
        </w:rPr>
        <w:t>Adoption du rapport et clôture</w:t>
      </w:r>
    </w:p>
    <w:p w14:paraId="281EE73E" w14:textId="157CE0AE" w:rsidR="002A70B6" w:rsidRPr="00DF2CE8" w:rsidRDefault="002A70B6" w:rsidP="0054428A">
      <w:pPr>
        <w:pStyle w:val="ListParagraph"/>
        <w:numPr>
          <w:ilvl w:val="0"/>
          <w:numId w:val="35"/>
        </w:numPr>
        <w:spacing w:after="160" w:line="259" w:lineRule="auto"/>
        <w:ind w:left="450" w:hanging="450"/>
        <w:contextualSpacing/>
        <w:jc w:val="both"/>
        <w:rPr>
          <w:rFonts w:ascii="Cambria" w:hAnsi="Cambria"/>
          <w:bCs/>
          <w:sz w:val="20"/>
          <w:szCs w:val="20"/>
        </w:rPr>
      </w:pPr>
      <w:r w:rsidRPr="00DF2CE8">
        <w:rPr>
          <w:rFonts w:ascii="Cambria" w:hAnsi="Cambria"/>
          <w:sz w:val="20"/>
          <w:szCs w:val="20"/>
        </w:rPr>
        <w:br w:type="page"/>
      </w:r>
    </w:p>
    <w:p w14:paraId="79C9710D" w14:textId="3719DFA4" w:rsidR="002A70B6" w:rsidRPr="00DF2CE8" w:rsidRDefault="002A70B6" w:rsidP="002A70B6">
      <w:pPr>
        <w:tabs>
          <w:tab w:val="left" w:pos="300"/>
        </w:tabs>
        <w:jc w:val="center"/>
        <w:rPr>
          <w:rFonts w:ascii="Cambria" w:hAnsi="Cambria"/>
          <w:b/>
          <w:bCs/>
          <w:iCs/>
          <w:sz w:val="20"/>
          <w:szCs w:val="20"/>
        </w:rPr>
      </w:pPr>
      <w:r w:rsidRPr="00DF2CE8">
        <w:rPr>
          <w:rFonts w:ascii="Cambria" w:hAnsi="Cambria"/>
          <w:b/>
          <w:sz w:val="20"/>
          <w:szCs w:val="20"/>
        </w:rPr>
        <w:t>Sous-commission 3</w:t>
      </w:r>
    </w:p>
    <w:p w14:paraId="36C51CAC" w14:textId="77777777" w:rsidR="00A42CDF" w:rsidRPr="00DF2CE8" w:rsidRDefault="00A42CDF" w:rsidP="00A42CDF">
      <w:pPr>
        <w:tabs>
          <w:tab w:val="left" w:pos="300"/>
        </w:tabs>
        <w:jc w:val="center"/>
        <w:rPr>
          <w:rFonts w:ascii="Cambria" w:hAnsi="Cambria"/>
          <w:b/>
          <w:bCs/>
          <w:iCs/>
          <w:sz w:val="20"/>
          <w:szCs w:val="20"/>
          <w:lang w:val="en-GB"/>
        </w:rPr>
      </w:pPr>
    </w:p>
    <w:p w14:paraId="42E9BB04" w14:textId="77777777" w:rsidR="00A42CDF" w:rsidRPr="00DF2CE8" w:rsidRDefault="00A42CDF" w:rsidP="00A42CDF">
      <w:pPr>
        <w:rPr>
          <w:rFonts w:ascii="Cambria" w:hAnsi="Cambria"/>
          <w:bCs/>
          <w:sz w:val="20"/>
          <w:szCs w:val="20"/>
          <w:lang w:val="en-GB"/>
        </w:rPr>
      </w:pPr>
    </w:p>
    <w:p w14:paraId="1BB85BB3" w14:textId="77777777" w:rsidR="00A42CDF" w:rsidRPr="00DF2CE8" w:rsidRDefault="00A42CDF" w:rsidP="00A42CDF">
      <w:pPr>
        <w:pStyle w:val="ListParagraph"/>
        <w:widowControl w:val="0"/>
        <w:numPr>
          <w:ilvl w:val="0"/>
          <w:numId w:val="37"/>
        </w:numPr>
        <w:ind w:left="778" w:hanging="418"/>
        <w:jc w:val="both"/>
        <w:rPr>
          <w:rFonts w:ascii="Cambria" w:hAnsi="Cambria"/>
          <w:sz w:val="20"/>
          <w:szCs w:val="20"/>
        </w:rPr>
      </w:pPr>
      <w:r w:rsidRPr="00DF2CE8">
        <w:rPr>
          <w:rFonts w:ascii="Cambria" w:hAnsi="Cambria"/>
          <w:sz w:val="20"/>
          <w:szCs w:val="20"/>
        </w:rPr>
        <w:t>Ouverture de la réunion</w:t>
      </w:r>
    </w:p>
    <w:p w14:paraId="0AA2B44D" w14:textId="77777777" w:rsidR="00A42CDF" w:rsidRPr="00DF2CE8" w:rsidRDefault="00A42CDF" w:rsidP="00A42CDF">
      <w:pPr>
        <w:jc w:val="both"/>
        <w:rPr>
          <w:rFonts w:ascii="Cambria" w:hAnsi="Cambria"/>
          <w:sz w:val="20"/>
          <w:szCs w:val="20"/>
          <w:lang w:val="en-GB"/>
        </w:rPr>
      </w:pPr>
    </w:p>
    <w:p w14:paraId="1EEBB262" w14:textId="4A6AF2B9" w:rsidR="00A42CDF" w:rsidRPr="00DF2CE8" w:rsidRDefault="00A42CDF" w:rsidP="008724BD">
      <w:pPr>
        <w:pStyle w:val="ListParagraph"/>
        <w:ind w:left="780"/>
        <w:jc w:val="both"/>
        <w:rPr>
          <w:rFonts w:ascii="Cambria" w:hAnsi="Cambria"/>
          <w:i/>
          <w:iCs/>
          <w:sz w:val="20"/>
          <w:szCs w:val="20"/>
        </w:rPr>
      </w:pPr>
      <w:r w:rsidRPr="00DF2CE8">
        <w:rPr>
          <w:rFonts w:ascii="Cambria" w:hAnsi="Cambria"/>
          <w:i/>
          <w:sz w:val="20"/>
          <w:szCs w:val="20"/>
        </w:rPr>
        <w:t xml:space="preserve">La réunion sera ouverte par </w:t>
      </w:r>
      <w:r w:rsidR="00D36F02" w:rsidRPr="00DF2CE8">
        <w:rPr>
          <w:rFonts w:ascii="Cambria" w:hAnsi="Cambria"/>
          <w:i/>
          <w:sz w:val="20"/>
          <w:szCs w:val="20"/>
        </w:rPr>
        <w:t xml:space="preserve">M </w:t>
      </w:r>
      <w:proofErr w:type="spellStart"/>
      <w:r w:rsidRPr="00DF2CE8">
        <w:rPr>
          <w:rFonts w:ascii="Cambria" w:hAnsi="Cambria"/>
          <w:i/>
          <w:sz w:val="20"/>
          <w:szCs w:val="20"/>
        </w:rPr>
        <w:t>Qayiso</w:t>
      </w:r>
      <w:proofErr w:type="spellEnd"/>
      <w:r w:rsidRPr="00DF2CE8">
        <w:rPr>
          <w:rFonts w:ascii="Cambria" w:hAnsi="Cambria"/>
          <w:i/>
          <w:sz w:val="20"/>
          <w:szCs w:val="20"/>
        </w:rPr>
        <w:t xml:space="preserve"> </w:t>
      </w:r>
      <w:proofErr w:type="spellStart"/>
      <w:r w:rsidRPr="00DF2CE8">
        <w:rPr>
          <w:rFonts w:ascii="Cambria" w:hAnsi="Cambria"/>
          <w:i/>
          <w:sz w:val="20"/>
          <w:szCs w:val="20"/>
        </w:rPr>
        <w:t>Mketsu</w:t>
      </w:r>
      <w:proofErr w:type="spellEnd"/>
      <w:r w:rsidRPr="00DF2CE8">
        <w:rPr>
          <w:rFonts w:ascii="Cambria" w:hAnsi="Cambria"/>
          <w:i/>
          <w:sz w:val="20"/>
          <w:szCs w:val="20"/>
        </w:rPr>
        <w:t xml:space="preserve"> (Afrique du </w:t>
      </w:r>
      <w:r w:rsidR="00FA21C1" w:rsidRPr="00DF2CE8">
        <w:rPr>
          <w:rFonts w:ascii="Cambria" w:hAnsi="Cambria"/>
          <w:i/>
          <w:sz w:val="20"/>
          <w:szCs w:val="20"/>
        </w:rPr>
        <w:t>Sud</w:t>
      </w:r>
      <w:r w:rsidRPr="00DF2CE8">
        <w:rPr>
          <w:rFonts w:ascii="Cambria" w:hAnsi="Cambria"/>
          <w:i/>
          <w:sz w:val="20"/>
          <w:szCs w:val="20"/>
        </w:rPr>
        <w:t>), qui assure la présidence de la Sous-commission 3.</w:t>
      </w:r>
    </w:p>
    <w:p w14:paraId="53272D38" w14:textId="77777777" w:rsidR="00A42CDF" w:rsidRPr="00DF2CE8" w:rsidRDefault="00A42CDF" w:rsidP="00A42CDF">
      <w:pPr>
        <w:jc w:val="both"/>
        <w:rPr>
          <w:rFonts w:ascii="Cambria" w:hAnsi="Cambria"/>
          <w:sz w:val="20"/>
          <w:szCs w:val="20"/>
        </w:rPr>
      </w:pPr>
    </w:p>
    <w:p w14:paraId="20FEB275" w14:textId="3B74CC54" w:rsidR="00A42CDF" w:rsidRPr="00DF2CE8" w:rsidRDefault="00A42CDF" w:rsidP="00A42CDF">
      <w:pPr>
        <w:pStyle w:val="ListParagraph"/>
        <w:widowControl w:val="0"/>
        <w:numPr>
          <w:ilvl w:val="0"/>
          <w:numId w:val="37"/>
        </w:numPr>
        <w:jc w:val="both"/>
        <w:rPr>
          <w:rFonts w:ascii="Cambria" w:hAnsi="Cambria"/>
          <w:sz w:val="20"/>
          <w:szCs w:val="20"/>
        </w:rPr>
      </w:pPr>
      <w:r w:rsidRPr="00DF2CE8">
        <w:rPr>
          <w:rFonts w:ascii="Cambria" w:hAnsi="Cambria"/>
          <w:sz w:val="20"/>
          <w:szCs w:val="20"/>
        </w:rPr>
        <w:t xml:space="preserve">Désignation du </w:t>
      </w:r>
      <w:r w:rsidR="00EF4A04" w:rsidRPr="00DF2CE8">
        <w:rPr>
          <w:rFonts w:ascii="Cambria" w:hAnsi="Cambria"/>
          <w:sz w:val="20"/>
          <w:szCs w:val="20"/>
        </w:rPr>
        <w:t>r</w:t>
      </w:r>
      <w:r w:rsidRPr="00DF2CE8">
        <w:rPr>
          <w:rFonts w:ascii="Cambria" w:hAnsi="Cambria"/>
          <w:sz w:val="20"/>
          <w:szCs w:val="20"/>
        </w:rPr>
        <w:t>apporteur</w:t>
      </w:r>
    </w:p>
    <w:p w14:paraId="661108AB" w14:textId="77777777" w:rsidR="00A42CDF" w:rsidRPr="00DF2CE8" w:rsidRDefault="00A42CDF" w:rsidP="00A42CDF">
      <w:pPr>
        <w:jc w:val="both"/>
        <w:rPr>
          <w:rFonts w:ascii="Cambria" w:hAnsi="Cambria"/>
          <w:sz w:val="20"/>
          <w:szCs w:val="20"/>
          <w:lang w:val="en-GB"/>
        </w:rPr>
      </w:pPr>
    </w:p>
    <w:p w14:paraId="368683FA" w14:textId="77777777" w:rsidR="00A42CDF" w:rsidRPr="00DF2CE8" w:rsidRDefault="00A42CDF" w:rsidP="00A42CDF">
      <w:pPr>
        <w:pStyle w:val="ListParagraph"/>
        <w:widowControl w:val="0"/>
        <w:numPr>
          <w:ilvl w:val="0"/>
          <w:numId w:val="37"/>
        </w:numPr>
        <w:jc w:val="both"/>
        <w:rPr>
          <w:rFonts w:ascii="Cambria" w:hAnsi="Cambria"/>
          <w:sz w:val="20"/>
          <w:szCs w:val="20"/>
        </w:rPr>
      </w:pPr>
      <w:r w:rsidRPr="00DF2CE8">
        <w:rPr>
          <w:rFonts w:ascii="Cambria" w:hAnsi="Cambria"/>
          <w:sz w:val="20"/>
          <w:szCs w:val="20"/>
        </w:rPr>
        <w:t>Adoption de l’ordre du jour</w:t>
      </w:r>
    </w:p>
    <w:p w14:paraId="6181F153" w14:textId="77777777" w:rsidR="00A42CDF" w:rsidRPr="00DF2CE8" w:rsidRDefault="00A42CDF" w:rsidP="00A42CDF">
      <w:pPr>
        <w:jc w:val="both"/>
        <w:rPr>
          <w:rFonts w:ascii="Cambria" w:hAnsi="Cambria"/>
          <w:sz w:val="20"/>
          <w:szCs w:val="20"/>
          <w:lang w:val="en-GB"/>
        </w:rPr>
      </w:pPr>
    </w:p>
    <w:p w14:paraId="5113DF62" w14:textId="77777777" w:rsidR="00A42CDF" w:rsidRPr="00DF2CE8" w:rsidRDefault="00A42CDF" w:rsidP="00A42CDF">
      <w:pPr>
        <w:pStyle w:val="ListParagraph"/>
        <w:ind w:left="450" w:firstLine="270"/>
        <w:jc w:val="both"/>
        <w:rPr>
          <w:rFonts w:ascii="Cambria" w:hAnsi="Cambria"/>
          <w:sz w:val="20"/>
          <w:szCs w:val="20"/>
        </w:rPr>
      </w:pPr>
      <w:r w:rsidRPr="00DF2CE8">
        <w:rPr>
          <w:rFonts w:ascii="Cambria" w:hAnsi="Cambria"/>
          <w:i/>
          <w:sz w:val="20"/>
          <w:szCs w:val="20"/>
        </w:rPr>
        <w:t>L’ordre du jour de la Sous-commission 3 est disponible sous la référence</w:t>
      </w:r>
      <w:r w:rsidRPr="00DF2CE8">
        <w:rPr>
          <w:rFonts w:ascii="Cambria" w:hAnsi="Cambria"/>
          <w:b/>
          <w:bCs/>
          <w:i/>
          <w:sz w:val="20"/>
          <w:szCs w:val="20"/>
        </w:rPr>
        <w:t xml:space="preserve"> PA3-700/2025.</w:t>
      </w:r>
    </w:p>
    <w:p w14:paraId="026D9177" w14:textId="77777777" w:rsidR="00A42CDF" w:rsidRPr="00DF2CE8" w:rsidRDefault="00A42CDF" w:rsidP="00A42CDF">
      <w:pPr>
        <w:jc w:val="both"/>
        <w:rPr>
          <w:rFonts w:ascii="Cambria" w:hAnsi="Cambria"/>
          <w:sz w:val="20"/>
          <w:szCs w:val="20"/>
        </w:rPr>
      </w:pPr>
    </w:p>
    <w:p w14:paraId="4072340F" w14:textId="77777777" w:rsidR="00A42CDF" w:rsidRPr="00DF2CE8" w:rsidRDefault="00A42CDF" w:rsidP="00A42CDF">
      <w:pPr>
        <w:pStyle w:val="ListParagraph"/>
        <w:widowControl w:val="0"/>
        <w:numPr>
          <w:ilvl w:val="0"/>
          <w:numId w:val="37"/>
        </w:numPr>
        <w:jc w:val="both"/>
        <w:rPr>
          <w:rFonts w:ascii="Cambria" w:hAnsi="Cambria"/>
          <w:sz w:val="20"/>
          <w:szCs w:val="20"/>
        </w:rPr>
      </w:pPr>
      <w:r w:rsidRPr="00DF2CE8">
        <w:rPr>
          <w:rFonts w:ascii="Cambria" w:hAnsi="Cambria"/>
          <w:sz w:val="20"/>
          <w:szCs w:val="20"/>
        </w:rPr>
        <w:t>Examen de la composition de la Sous-commission</w:t>
      </w:r>
    </w:p>
    <w:p w14:paraId="7843F545" w14:textId="77777777" w:rsidR="00A42CDF" w:rsidRPr="00DF2CE8" w:rsidRDefault="00A42CDF" w:rsidP="00A42CDF">
      <w:pPr>
        <w:jc w:val="both"/>
        <w:rPr>
          <w:rFonts w:ascii="Cambria" w:hAnsi="Cambria"/>
          <w:sz w:val="20"/>
          <w:szCs w:val="20"/>
        </w:rPr>
      </w:pPr>
    </w:p>
    <w:p w14:paraId="62255665" w14:textId="77777777" w:rsidR="00A42CDF" w:rsidRPr="00DF2CE8" w:rsidRDefault="00A42CDF" w:rsidP="00A42CDF">
      <w:pPr>
        <w:pStyle w:val="ListParagraph"/>
        <w:ind w:left="780"/>
        <w:jc w:val="both"/>
        <w:rPr>
          <w:rFonts w:ascii="Cambria" w:hAnsi="Cambria"/>
          <w:sz w:val="20"/>
          <w:szCs w:val="20"/>
        </w:rPr>
      </w:pPr>
      <w:r w:rsidRPr="00DF2CE8">
        <w:rPr>
          <w:rFonts w:ascii="Cambria" w:hAnsi="Cambria"/>
          <w:i/>
          <w:sz w:val="20"/>
          <w:szCs w:val="20"/>
        </w:rPr>
        <w:t xml:space="preserve">La liste des membres de la Sous-commission figure dans le document </w:t>
      </w:r>
      <w:r w:rsidRPr="00DF2CE8">
        <w:rPr>
          <w:rFonts w:ascii="Cambria" w:hAnsi="Cambria"/>
          <w:b/>
          <w:bCs/>
          <w:i/>
          <w:sz w:val="20"/>
          <w:szCs w:val="20"/>
        </w:rPr>
        <w:t>GEN-004/2025.</w:t>
      </w:r>
      <w:r w:rsidRPr="00DF2CE8">
        <w:rPr>
          <w:rFonts w:ascii="Cambria" w:hAnsi="Cambria"/>
          <w:i/>
          <w:sz w:val="20"/>
          <w:szCs w:val="20"/>
        </w:rPr>
        <w:t xml:space="preserve"> Le Secrétaire exécutif informera la Sous-commission des éventuels changements de sa composition.</w:t>
      </w:r>
    </w:p>
    <w:p w14:paraId="4D70441F" w14:textId="77777777" w:rsidR="00A42CDF" w:rsidRPr="00DF2CE8" w:rsidRDefault="00A42CDF" w:rsidP="00A42CDF">
      <w:pPr>
        <w:jc w:val="both"/>
        <w:rPr>
          <w:rFonts w:ascii="Cambria" w:hAnsi="Cambria"/>
          <w:sz w:val="20"/>
          <w:szCs w:val="20"/>
        </w:rPr>
      </w:pPr>
    </w:p>
    <w:p w14:paraId="66F23486" w14:textId="52D00EE1" w:rsidR="00A42CDF" w:rsidRPr="00DF2CE8" w:rsidRDefault="00A42CDF" w:rsidP="00A42CDF">
      <w:pPr>
        <w:pStyle w:val="ListParagraph"/>
        <w:widowControl w:val="0"/>
        <w:numPr>
          <w:ilvl w:val="0"/>
          <w:numId w:val="37"/>
        </w:numPr>
        <w:jc w:val="both"/>
        <w:rPr>
          <w:rFonts w:ascii="Cambria" w:hAnsi="Cambria"/>
          <w:sz w:val="20"/>
          <w:szCs w:val="20"/>
        </w:rPr>
      </w:pPr>
      <w:r w:rsidRPr="00DF2CE8">
        <w:rPr>
          <w:rFonts w:ascii="Cambria" w:hAnsi="Cambria"/>
          <w:sz w:val="20"/>
          <w:szCs w:val="20"/>
        </w:rPr>
        <w:t xml:space="preserve">Rapport du Comité </w:t>
      </w:r>
      <w:r w:rsidR="00402763" w:rsidRPr="00DF2CE8">
        <w:rPr>
          <w:rFonts w:ascii="Cambria" w:hAnsi="Cambria"/>
          <w:sz w:val="20"/>
          <w:szCs w:val="20"/>
        </w:rPr>
        <w:t>permanent</w:t>
      </w:r>
      <w:r w:rsidRPr="00DF2CE8">
        <w:rPr>
          <w:rFonts w:ascii="Cambria" w:hAnsi="Cambria"/>
          <w:sz w:val="20"/>
          <w:szCs w:val="20"/>
        </w:rPr>
        <w:t xml:space="preserve"> pour la </w:t>
      </w:r>
      <w:r w:rsidR="00402763" w:rsidRPr="00DF2CE8">
        <w:rPr>
          <w:rFonts w:ascii="Cambria" w:hAnsi="Cambria"/>
          <w:sz w:val="20"/>
          <w:szCs w:val="20"/>
        </w:rPr>
        <w:t>recherche</w:t>
      </w:r>
      <w:r w:rsidRPr="00DF2CE8">
        <w:rPr>
          <w:rFonts w:ascii="Cambria" w:hAnsi="Cambria"/>
          <w:sz w:val="20"/>
          <w:szCs w:val="20"/>
        </w:rPr>
        <w:t xml:space="preserve"> et les </w:t>
      </w:r>
      <w:r w:rsidR="00402763" w:rsidRPr="00DF2CE8">
        <w:rPr>
          <w:rFonts w:ascii="Cambria" w:hAnsi="Cambria"/>
          <w:sz w:val="20"/>
          <w:szCs w:val="20"/>
        </w:rPr>
        <w:t>statistiques</w:t>
      </w:r>
      <w:r w:rsidRPr="00DF2CE8">
        <w:rPr>
          <w:rFonts w:ascii="Cambria" w:hAnsi="Cambria"/>
          <w:sz w:val="20"/>
          <w:szCs w:val="20"/>
        </w:rPr>
        <w:t xml:space="preserve"> (SCRS)</w:t>
      </w:r>
    </w:p>
    <w:p w14:paraId="74D5DBA8" w14:textId="77777777" w:rsidR="00A42CDF" w:rsidRPr="00DF2CE8" w:rsidRDefault="00A42CDF" w:rsidP="00A42CDF">
      <w:pPr>
        <w:jc w:val="both"/>
        <w:rPr>
          <w:rFonts w:ascii="Cambria" w:hAnsi="Cambria"/>
          <w:sz w:val="20"/>
          <w:szCs w:val="20"/>
        </w:rPr>
      </w:pPr>
    </w:p>
    <w:p w14:paraId="4B58BA36" w14:textId="784F221B" w:rsidR="00A42CDF" w:rsidRPr="00DF2CE8" w:rsidRDefault="00A42CDF" w:rsidP="00A42CDF">
      <w:pPr>
        <w:pStyle w:val="ListParagraph"/>
        <w:jc w:val="both"/>
        <w:rPr>
          <w:rFonts w:ascii="Cambria" w:hAnsi="Cambria"/>
          <w:sz w:val="20"/>
          <w:szCs w:val="20"/>
        </w:rPr>
      </w:pPr>
      <w:r w:rsidRPr="00DF2CE8">
        <w:rPr>
          <w:rFonts w:ascii="Cambria" w:hAnsi="Cambria"/>
          <w:i/>
          <w:sz w:val="20"/>
          <w:szCs w:val="20"/>
        </w:rPr>
        <w:t>Le rapport du SCRS figure dans le</w:t>
      </w:r>
      <w:r w:rsidRPr="00DF2CE8">
        <w:rPr>
          <w:rFonts w:ascii="Cambria" w:hAnsi="Cambria"/>
          <w:b/>
          <w:bCs/>
          <w:i/>
          <w:sz w:val="20"/>
          <w:szCs w:val="20"/>
        </w:rPr>
        <w:t xml:space="preserve"> PLE-104/2025.</w:t>
      </w:r>
      <w:r w:rsidRPr="00DF2CE8">
        <w:rPr>
          <w:rFonts w:ascii="Cambria" w:hAnsi="Cambria"/>
          <w:i/>
          <w:sz w:val="20"/>
          <w:szCs w:val="20"/>
        </w:rPr>
        <w:t xml:space="preserve"> </w:t>
      </w:r>
      <w:r w:rsidR="001C74AA" w:rsidRPr="00DF2CE8">
        <w:rPr>
          <w:rFonts w:ascii="Cambria" w:hAnsi="Cambria"/>
          <w:i/>
          <w:sz w:val="20"/>
          <w:szCs w:val="20"/>
        </w:rPr>
        <w:t xml:space="preserve">Le </w:t>
      </w:r>
      <w:r w:rsidRPr="00DF2CE8">
        <w:rPr>
          <w:rFonts w:ascii="Cambria" w:hAnsi="Cambria"/>
          <w:i/>
          <w:sz w:val="20"/>
          <w:szCs w:val="20"/>
        </w:rPr>
        <w:t>Président/</w:t>
      </w:r>
      <w:r w:rsidR="001C74AA" w:rsidRPr="00DF2CE8">
        <w:rPr>
          <w:rFonts w:ascii="Cambria" w:hAnsi="Cambria"/>
          <w:i/>
          <w:sz w:val="20"/>
          <w:szCs w:val="20"/>
        </w:rPr>
        <w:t xml:space="preserve"> </w:t>
      </w:r>
      <w:r w:rsidRPr="00DF2CE8">
        <w:rPr>
          <w:rFonts w:ascii="Cambria" w:hAnsi="Cambria"/>
          <w:i/>
          <w:sz w:val="20"/>
          <w:szCs w:val="20"/>
        </w:rPr>
        <w:t xml:space="preserve">Vice-président du SCRS présentera les conclusions du Comité concernant la Sous-commission </w:t>
      </w:r>
      <w:r w:rsidR="00DC6568" w:rsidRPr="00DF2CE8">
        <w:rPr>
          <w:rFonts w:ascii="Cambria" w:hAnsi="Cambria"/>
          <w:i/>
          <w:sz w:val="20"/>
          <w:szCs w:val="20"/>
        </w:rPr>
        <w:t>4</w:t>
      </w:r>
      <w:r w:rsidRPr="00DF2CE8">
        <w:rPr>
          <w:rFonts w:ascii="Cambria" w:hAnsi="Cambria"/>
          <w:i/>
          <w:sz w:val="20"/>
          <w:szCs w:val="20"/>
        </w:rPr>
        <w:t>. Le Président/Vice-président du SCRS informera également la Sous-commission des initiatives de recherche en cours.</w:t>
      </w:r>
    </w:p>
    <w:p w14:paraId="25EC7EF6" w14:textId="77777777" w:rsidR="00A42CDF" w:rsidRPr="00DF2CE8" w:rsidRDefault="00A42CDF" w:rsidP="00A42CDF">
      <w:pPr>
        <w:jc w:val="both"/>
        <w:rPr>
          <w:rFonts w:ascii="Cambria" w:hAnsi="Cambria"/>
          <w:sz w:val="20"/>
          <w:szCs w:val="20"/>
        </w:rPr>
      </w:pPr>
    </w:p>
    <w:p w14:paraId="7CCF78EF" w14:textId="77777777" w:rsidR="00A42CDF" w:rsidRPr="00DF2CE8" w:rsidRDefault="00A42CDF" w:rsidP="00A42CDF">
      <w:pPr>
        <w:pStyle w:val="ListParagraph"/>
        <w:widowControl w:val="0"/>
        <w:numPr>
          <w:ilvl w:val="1"/>
          <w:numId w:val="37"/>
        </w:numPr>
        <w:ind w:left="1170"/>
        <w:jc w:val="both"/>
        <w:rPr>
          <w:rFonts w:ascii="Cambria" w:hAnsi="Cambria"/>
          <w:sz w:val="20"/>
          <w:szCs w:val="20"/>
        </w:rPr>
      </w:pPr>
      <w:r w:rsidRPr="00DF2CE8">
        <w:rPr>
          <w:rFonts w:ascii="Cambria" w:hAnsi="Cambria"/>
          <w:sz w:val="20"/>
          <w:szCs w:val="20"/>
        </w:rPr>
        <w:t>Recherche et réponses à la Commission</w:t>
      </w:r>
    </w:p>
    <w:p w14:paraId="3E5F534C" w14:textId="77777777" w:rsidR="00A42CDF" w:rsidRPr="00DF2CE8" w:rsidRDefault="00A42CDF" w:rsidP="00A42CDF">
      <w:pPr>
        <w:jc w:val="both"/>
        <w:rPr>
          <w:rFonts w:ascii="Cambria" w:hAnsi="Cambria"/>
          <w:sz w:val="20"/>
          <w:szCs w:val="20"/>
        </w:rPr>
      </w:pPr>
    </w:p>
    <w:p w14:paraId="6A0B68CB" w14:textId="77777777" w:rsidR="00A42CDF" w:rsidRPr="00DF2CE8" w:rsidRDefault="00A42CDF" w:rsidP="00A42CDF">
      <w:pPr>
        <w:pStyle w:val="ListParagraph"/>
        <w:widowControl w:val="0"/>
        <w:numPr>
          <w:ilvl w:val="0"/>
          <w:numId w:val="37"/>
        </w:numPr>
        <w:tabs>
          <w:tab w:val="left" w:pos="426"/>
        </w:tabs>
        <w:jc w:val="both"/>
        <w:rPr>
          <w:rFonts w:ascii="Cambria" w:hAnsi="Cambria"/>
          <w:sz w:val="20"/>
          <w:szCs w:val="20"/>
        </w:rPr>
      </w:pPr>
      <w:r w:rsidRPr="00DF2CE8">
        <w:rPr>
          <w:rFonts w:ascii="Cambria" w:hAnsi="Cambria"/>
          <w:sz w:val="20"/>
          <w:szCs w:val="20"/>
        </w:rPr>
        <w:t>Examen des tableaux d’application</w:t>
      </w:r>
    </w:p>
    <w:p w14:paraId="52C019F3" w14:textId="77777777" w:rsidR="00A42CDF" w:rsidRPr="00DF2CE8" w:rsidRDefault="00A42CDF" w:rsidP="00A42CDF">
      <w:pPr>
        <w:pStyle w:val="ListParagraph"/>
        <w:tabs>
          <w:tab w:val="left" w:pos="426"/>
        </w:tabs>
        <w:ind w:left="780"/>
        <w:jc w:val="both"/>
        <w:rPr>
          <w:rFonts w:ascii="Cambria" w:hAnsi="Cambria"/>
          <w:sz w:val="20"/>
          <w:szCs w:val="20"/>
          <w:lang w:val="en-GB"/>
        </w:rPr>
      </w:pPr>
    </w:p>
    <w:p w14:paraId="2EB04FD4" w14:textId="335EC5B1" w:rsidR="00A42CDF" w:rsidRPr="00DF2CE8" w:rsidRDefault="00A42CDF" w:rsidP="00A42CDF">
      <w:pPr>
        <w:ind w:left="851" w:hanging="71"/>
        <w:jc w:val="both"/>
        <w:rPr>
          <w:rFonts w:ascii="Cambria" w:hAnsi="Cambria"/>
          <w:b/>
          <w:bCs/>
          <w:i/>
          <w:iCs/>
          <w:sz w:val="20"/>
          <w:szCs w:val="20"/>
        </w:rPr>
      </w:pPr>
      <w:bookmarkStart w:id="6" w:name="_Hlk214041205"/>
      <w:r w:rsidRPr="00DF2CE8">
        <w:rPr>
          <w:rFonts w:ascii="Cambria" w:hAnsi="Cambria"/>
          <w:i/>
          <w:sz w:val="20"/>
          <w:szCs w:val="20"/>
        </w:rPr>
        <w:t>Le «</w:t>
      </w:r>
      <w:r w:rsidR="00F97D76" w:rsidRPr="00DF2CE8">
        <w:rPr>
          <w:rFonts w:ascii="Cambria" w:hAnsi="Cambria"/>
          <w:i/>
          <w:sz w:val="20"/>
          <w:szCs w:val="20"/>
        </w:rPr>
        <w:t> </w:t>
      </w:r>
      <w:r w:rsidRPr="00DF2CE8">
        <w:rPr>
          <w:rFonts w:ascii="Cambria" w:hAnsi="Cambria"/>
          <w:i/>
          <w:sz w:val="20"/>
          <w:szCs w:val="20"/>
        </w:rPr>
        <w:t xml:space="preserve">Projet de tableaux d’application de 2024 reçu en 2025 » a été publié sous la référence </w:t>
      </w:r>
      <w:r w:rsidRPr="00DF2CE8">
        <w:rPr>
          <w:rFonts w:ascii="Cambria" w:hAnsi="Cambria"/>
          <w:b/>
          <w:i/>
          <w:sz w:val="20"/>
          <w:szCs w:val="20"/>
        </w:rPr>
        <w:t>COC-304</w:t>
      </w:r>
      <w:r w:rsidR="008724BD" w:rsidRPr="00DF2CE8">
        <w:rPr>
          <w:rFonts w:ascii="Cambria" w:hAnsi="Cambria"/>
          <w:b/>
          <w:i/>
          <w:sz w:val="20"/>
          <w:szCs w:val="20"/>
        </w:rPr>
        <w:t>_TRI_REV_1</w:t>
      </w:r>
      <w:r w:rsidRPr="00DF2CE8">
        <w:rPr>
          <w:rFonts w:ascii="Cambria" w:hAnsi="Cambria"/>
          <w:b/>
          <w:i/>
          <w:sz w:val="20"/>
          <w:szCs w:val="20"/>
        </w:rPr>
        <w:t>/2025.</w:t>
      </w:r>
    </w:p>
    <w:bookmarkEnd w:id="6"/>
    <w:p w14:paraId="3CF3359B" w14:textId="77777777" w:rsidR="00A42CDF" w:rsidRPr="00DF2CE8" w:rsidRDefault="00A42CDF" w:rsidP="00A42CDF">
      <w:pPr>
        <w:tabs>
          <w:tab w:val="left" w:pos="426"/>
        </w:tabs>
        <w:ind w:left="354" w:firstLine="426"/>
        <w:jc w:val="both"/>
        <w:rPr>
          <w:rFonts w:ascii="Cambria" w:hAnsi="Cambria"/>
          <w:b/>
          <w:bCs/>
          <w:i/>
          <w:iCs/>
          <w:sz w:val="20"/>
          <w:szCs w:val="20"/>
        </w:rPr>
      </w:pPr>
    </w:p>
    <w:p w14:paraId="595C60FC" w14:textId="457FD5FC" w:rsidR="00A42CDF" w:rsidRPr="00DF2CE8" w:rsidRDefault="00A42CDF" w:rsidP="00A42CDF">
      <w:pPr>
        <w:pStyle w:val="ListParagraph"/>
        <w:tabs>
          <w:tab w:val="left" w:pos="426"/>
        </w:tabs>
        <w:ind w:left="780"/>
        <w:jc w:val="both"/>
        <w:rPr>
          <w:rFonts w:ascii="Cambria" w:hAnsi="Cambria"/>
          <w:sz w:val="20"/>
          <w:szCs w:val="20"/>
        </w:rPr>
      </w:pPr>
      <w:r w:rsidRPr="00DF2CE8">
        <w:rPr>
          <w:rFonts w:ascii="Cambria" w:hAnsi="Cambria"/>
          <w:i/>
          <w:sz w:val="20"/>
          <w:szCs w:val="20"/>
        </w:rPr>
        <w:t xml:space="preserve">La Sous-commission examinera le </w:t>
      </w:r>
      <w:r w:rsidR="00512791" w:rsidRPr="00DF2CE8">
        <w:rPr>
          <w:rFonts w:ascii="Cambria" w:hAnsi="Cambria"/>
          <w:i/>
          <w:sz w:val="20"/>
          <w:szCs w:val="20"/>
        </w:rPr>
        <w:t>« </w:t>
      </w:r>
      <w:r w:rsidRPr="00DF2CE8">
        <w:rPr>
          <w:rFonts w:ascii="Cambria" w:hAnsi="Cambria"/>
          <w:i/>
          <w:sz w:val="20"/>
          <w:szCs w:val="20"/>
        </w:rPr>
        <w:t>Projet de tableaux d’application de 2024 reçu en 2025</w:t>
      </w:r>
      <w:r w:rsidR="00512791" w:rsidRPr="00DF2CE8">
        <w:rPr>
          <w:rFonts w:ascii="Cambria" w:hAnsi="Cambria"/>
          <w:i/>
          <w:sz w:val="20"/>
          <w:szCs w:val="20"/>
        </w:rPr>
        <w:t> »</w:t>
      </w:r>
      <w:r w:rsidRPr="00DF2CE8">
        <w:rPr>
          <w:rFonts w:ascii="Cambria" w:hAnsi="Cambria"/>
          <w:i/>
          <w:sz w:val="20"/>
          <w:szCs w:val="20"/>
        </w:rPr>
        <w:t xml:space="preserve">, afin de s'assurer que toutes les entrées du tableau sont conformes au paragraphe 4 de la </w:t>
      </w:r>
      <w:hyperlink r:id="rId38" w:history="1">
        <w:r w:rsidRPr="00DF2CE8">
          <w:rPr>
            <w:rStyle w:val="Hyperlink"/>
            <w:rFonts w:ascii="Cambria" w:hAnsi="Cambria"/>
            <w:i/>
            <w:sz w:val="20"/>
            <w:szCs w:val="20"/>
            <w:u w:val="none"/>
          </w:rPr>
          <w:t>Rec. 22-06</w:t>
        </w:r>
      </w:hyperlink>
      <w:r w:rsidRPr="00DF2CE8">
        <w:rPr>
          <w:rFonts w:ascii="Cambria" w:hAnsi="Cambria"/>
          <w:sz w:val="20"/>
          <w:szCs w:val="20"/>
        </w:rPr>
        <w:t>.</w:t>
      </w:r>
    </w:p>
    <w:p w14:paraId="4801900B" w14:textId="77777777" w:rsidR="00A42CDF" w:rsidRPr="00DF2CE8" w:rsidRDefault="00A42CDF" w:rsidP="00A42CDF">
      <w:pPr>
        <w:pStyle w:val="ListParagraph"/>
        <w:tabs>
          <w:tab w:val="left" w:pos="426"/>
        </w:tabs>
        <w:ind w:left="780"/>
        <w:jc w:val="both"/>
        <w:rPr>
          <w:rFonts w:ascii="Cambria" w:hAnsi="Cambria"/>
          <w:sz w:val="20"/>
          <w:szCs w:val="20"/>
        </w:rPr>
      </w:pPr>
    </w:p>
    <w:p w14:paraId="7EFFD06E" w14:textId="77777777" w:rsidR="00A42CDF" w:rsidRPr="00DF2CE8" w:rsidRDefault="00A42CDF" w:rsidP="00A42CDF">
      <w:pPr>
        <w:pStyle w:val="ListParagraph"/>
        <w:widowControl w:val="0"/>
        <w:numPr>
          <w:ilvl w:val="0"/>
          <w:numId w:val="37"/>
        </w:numPr>
        <w:tabs>
          <w:tab w:val="left" w:pos="426"/>
        </w:tabs>
        <w:jc w:val="both"/>
        <w:rPr>
          <w:rFonts w:ascii="Cambria" w:hAnsi="Cambria"/>
          <w:sz w:val="20"/>
          <w:szCs w:val="20"/>
        </w:rPr>
      </w:pPr>
      <w:r w:rsidRPr="00DF2CE8">
        <w:rPr>
          <w:rFonts w:ascii="Cambria" w:hAnsi="Cambria"/>
          <w:sz w:val="20"/>
          <w:szCs w:val="20"/>
        </w:rPr>
        <w:t>Examen de l'état d'avancement de l'évaluation de la stratégie de gestion (MSE) pour le germon de l'Atlantique Sud</w:t>
      </w:r>
    </w:p>
    <w:p w14:paraId="36EC1561" w14:textId="77777777" w:rsidR="00A42CDF" w:rsidRPr="00DF2CE8" w:rsidRDefault="00A42CDF" w:rsidP="00A42CDF">
      <w:pPr>
        <w:tabs>
          <w:tab w:val="left" w:pos="426"/>
        </w:tabs>
        <w:jc w:val="both"/>
        <w:rPr>
          <w:rFonts w:ascii="Cambria" w:hAnsi="Cambria"/>
          <w:sz w:val="20"/>
          <w:szCs w:val="20"/>
        </w:rPr>
      </w:pPr>
    </w:p>
    <w:p w14:paraId="19FD092D" w14:textId="54410474" w:rsidR="00A42CDF" w:rsidRPr="00DF2CE8" w:rsidRDefault="00A42CDF" w:rsidP="00A42CDF">
      <w:pPr>
        <w:pStyle w:val="ListParagraph"/>
        <w:widowControl w:val="0"/>
        <w:numPr>
          <w:ilvl w:val="0"/>
          <w:numId w:val="37"/>
        </w:numPr>
        <w:jc w:val="both"/>
        <w:rPr>
          <w:rFonts w:ascii="Cambria" w:hAnsi="Cambria"/>
          <w:color w:val="0563C1" w:themeColor="hyperlink"/>
          <w:sz w:val="20"/>
          <w:szCs w:val="20"/>
        </w:rPr>
      </w:pPr>
      <w:r w:rsidRPr="00DF2CE8">
        <w:rPr>
          <w:rFonts w:ascii="Cambria" w:hAnsi="Cambria"/>
          <w:sz w:val="20"/>
          <w:szCs w:val="20"/>
        </w:rPr>
        <w:t xml:space="preserve">Mesures de conservation des stocks et mise en œuvre de la </w:t>
      </w:r>
      <w:hyperlink r:id="rId39" w:history="1">
        <w:r w:rsidRPr="00DF2CE8">
          <w:rPr>
            <w:rStyle w:val="Hyperlink"/>
            <w:rFonts w:ascii="Cambria" w:hAnsi="Cambria"/>
            <w:i/>
            <w:iCs/>
            <w:sz w:val="20"/>
            <w:szCs w:val="20"/>
            <w:u w:val="none"/>
          </w:rPr>
          <w:t xml:space="preserve">Résolution de l’ICCAT portant sur les critères pour l’allocation de possibilités de pêche </w:t>
        </w:r>
        <w:r w:rsidRPr="00DF2CE8">
          <w:rPr>
            <w:rStyle w:val="Hyperlink"/>
            <w:rFonts w:ascii="Cambria" w:hAnsi="Cambria"/>
            <w:sz w:val="20"/>
            <w:szCs w:val="20"/>
            <w:u w:val="none"/>
          </w:rPr>
          <w:t>(Rés. 15-13)</w:t>
        </w:r>
      </w:hyperlink>
    </w:p>
    <w:p w14:paraId="1B55BC25" w14:textId="77777777" w:rsidR="00A42CDF" w:rsidRPr="00DF2CE8" w:rsidRDefault="00A42CDF" w:rsidP="00A42CDF">
      <w:pPr>
        <w:pStyle w:val="ListParagraph"/>
        <w:rPr>
          <w:rStyle w:val="Hyperlink"/>
          <w:rFonts w:ascii="Cambria" w:hAnsi="Cambria"/>
          <w:sz w:val="20"/>
          <w:szCs w:val="20"/>
          <w:u w:val="none"/>
        </w:rPr>
      </w:pPr>
    </w:p>
    <w:p w14:paraId="431FA524" w14:textId="77777777" w:rsidR="00A42CDF" w:rsidRPr="00DF2CE8" w:rsidRDefault="00A42CDF" w:rsidP="00A42CDF">
      <w:pPr>
        <w:pStyle w:val="ListParagraph"/>
        <w:widowControl w:val="0"/>
        <w:numPr>
          <w:ilvl w:val="0"/>
          <w:numId w:val="37"/>
        </w:numPr>
        <w:jc w:val="both"/>
        <w:rPr>
          <w:rFonts w:ascii="Cambria" w:hAnsi="Cambria"/>
          <w:iCs/>
          <w:sz w:val="20"/>
          <w:szCs w:val="20"/>
        </w:rPr>
      </w:pPr>
      <w:r w:rsidRPr="00DF2CE8">
        <w:rPr>
          <w:rFonts w:ascii="Cambria" w:hAnsi="Cambria"/>
          <w:sz w:val="20"/>
          <w:szCs w:val="20"/>
        </w:rPr>
        <w:t>Identification des mesures obsolètes sur la base du point 8 ci-dessus</w:t>
      </w:r>
    </w:p>
    <w:p w14:paraId="300F3DC8" w14:textId="77777777" w:rsidR="00A42CDF" w:rsidRPr="00DF2CE8" w:rsidRDefault="00A42CDF" w:rsidP="00A42CDF">
      <w:pPr>
        <w:jc w:val="both"/>
        <w:rPr>
          <w:rFonts w:ascii="Cambria" w:hAnsi="Cambria"/>
          <w:iCs/>
          <w:sz w:val="20"/>
          <w:szCs w:val="20"/>
        </w:rPr>
      </w:pPr>
    </w:p>
    <w:p w14:paraId="50593128" w14:textId="12BCD557" w:rsidR="00A42CDF" w:rsidRPr="00DF2CE8" w:rsidRDefault="00A42CDF" w:rsidP="00A42CDF">
      <w:pPr>
        <w:ind w:left="720"/>
        <w:jc w:val="both"/>
        <w:rPr>
          <w:rFonts w:ascii="Cambria" w:hAnsi="Cambria"/>
          <w:i/>
          <w:iCs/>
          <w:sz w:val="20"/>
          <w:szCs w:val="20"/>
        </w:rPr>
      </w:pPr>
      <w:r w:rsidRPr="00DF2CE8">
        <w:rPr>
          <w:rFonts w:ascii="Cambria" w:hAnsi="Cambria"/>
          <w:i/>
          <w:sz w:val="20"/>
          <w:szCs w:val="20"/>
        </w:rPr>
        <w:t>Si les mesures antérieures doivent être abrogées lors de l'adoption de nouvelles mesures, cela devrait être précisé,</w:t>
      </w:r>
      <w:r w:rsidR="008068B2" w:rsidRPr="00DF2CE8">
        <w:rPr>
          <w:rFonts w:ascii="Cambria" w:hAnsi="Cambria"/>
          <w:i/>
          <w:sz w:val="20"/>
          <w:szCs w:val="20"/>
        </w:rPr>
        <w:t xml:space="preserve"> </w:t>
      </w:r>
      <w:r w:rsidRPr="00DF2CE8">
        <w:rPr>
          <w:rFonts w:ascii="Cambria" w:hAnsi="Cambria"/>
          <w:i/>
          <w:sz w:val="20"/>
          <w:szCs w:val="20"/>
        </w:rPr>
        <w:t>de préférence dans la Recommandation, ou au moins clairement indiqué par la Sous-commission.</w:t>
      </w:r>
    </w:p>
    <w:p w14:paraId="08BFB8B5" w14:textId="77777777" w:rsidR="00A42CDF" w:rsidRPr="00DF2CE8" w:rsidRDefault="00A42CDF" w:rsidP="00A42CDF">
      <w:pPr>
        <w:pStyle w:val="ListParagraph"/>
        <w:rPr>
          <w:rFonts w:ascii="Cambria" w:hAnsi="Cambria"/>
          <w:iCs/>
          <w:sz w:val="20"/>
          <w:szCs w:val="20"/>
        </w:rPr>
      </w:pPr>
    </w:p>
    <w:p w14:paraId="3E1D9DD1" w14:textId="77777777" w:rsidR="00A42CDF" w:rsidRPr="00DF2CE8" w:rsidRDefault="00A42CDF" w:rsidP="00A42CDF">
      <w:pPr>
        <w:pStyle w:val="ListParagraph"/>
        <w:widowControl w:val="0"/>
        <w:numPr>
          <w:ilvl w:val="0"/>
          <w:numId w:val="37"/>
        </w:numPr>
        <w:tabs>
          <w:tab w:val="left" w:pos="426"/>
        </w:tabs>
        <w:jc w:val="both"/>
        <w:rPr>
          <w:rFonts w:ascii="Cambria" w:hAnsi="Cambria"/>
          <w:sz w:val="20"/>
          <w:szCs w:val="20"/>
        </w:rPr>
      </w:pPr>
      <w:r w:rsidRPr="00DF2CE8">
        <w:rPr>
          <w:rFonts w:ascii="Cambria" w:hAnsi="Cambria"/>
          <w:sz w:val="20"/>
          <w:szCs w:val="20"/>
        </w:rPr>
        <w:t>Élection du Président et du Vice-président potentiel</w:t>
      </w:r>
    </w:p>
    <w:p w14:paraId="113C3F42" w14:textId="77777777" w:rsidR="00A42CDF" w:rsidRPr="00DF2CE8" w:rsidRDefault="00A42CDF" w:rsidP="00A42CDF">
      <w:pPr>
        <w:tabs>
          <w:tab w:val="left" w:pos="426"/>
        </w:tabs>
        <w:jc w:val="both"/>
        <w:rPr>
          <w:rFonts w:ascii="Cambria" w:hAnsi="Cambria"/>
          <w:sz w:val="20"/>
          <w:szCs w:val="20"/>
        </w:rPr>
      </w:pPr>
    </w:p>
    <w:p w14:paraId="4F5382C5" w14:textId="77777777" w:rsidR="00A42CDF" w:rsidRPr="00DF2CE8" w:rsidRDefault="00A42CDF" w:rsidP="00A42CDF">
      <w:pPr>
        <w:ind w:left="450" w:firstLine="270"/>
        <w:jc w:val="both"/>
        <w:rPr>
          <w:rFonts w:ascii="Cambria" w:hAnsi="Cambria"/>
          <w:i/>
          <w:iCs/>
          <w:sz w:val="20"/>
          <w:szCs w:val="20"/>
        </w:rPr>
      </w:pPr>
      <w:r w:rsidRPr="00DF2CE8">
        <w:rPr>
          <w:rFonts w:ascii="Cambria" w:hAnsi="Cambria"/>
          <w:i/>
          <w:sz w:val="20"/>
          <w:szCs w:val="20"/>
        </w:rPr>
        <w:t>La Sous-commission 3 devra élire son Président pour la période biennale 2026-2027.</w:t>
      </w:r>
    </w:p>
    <w:p w14:paraId="51CC9775" w14:textId="77777777" w:rsidR="00A42CDF" w:rsidRPr="00DF2CE8" w:rsidRDefault="00A42CDF" w:rsidP="00A42CDF">
      <w:pPr>
        <w:jc w:val="both"/>
        <w:rPr>
          <w:rFonts w:ascii="Cambria" w:hAnsi="Cambria"/>
          <w:iCs/>
          <w:sz w:val="20"/>
          <w:szCs w:val="20"/>
        </w:rPr>
      </w:pPr>
    </w:p>
    <w:p w14:paraId="30DB3FD1" w14:textId="77777777" w:rsidR="00A42CDF" w:rsidRPr="00DF2CE8" w:rsidRDefault="00A42CDF" w:rsidP="00A42CDF">
      <w:pPr>
        <w:pStyle w:val="ListParagraph"/>
        <w:widowControl w:val="0"/>
        <w:numPr>
          <w:ilvl w:val="0"/>
          <w:numId w:val="37"/>
        </w:numPr>
        <w:tabs>
          <w:tab w:val="left" w:pos="426"/>
          <w:tab w:val="left" w:pos="4090"/>
        </w:tabs>
        <w:jc w:val="both"/>
        <w:rPr>
          <w:rFonts w:ascii="Cambria" w:hAnsi="Cambria"/>
          <w:sz w:val="20"/>
          <w:szCs w:val="20"/>
        </w:rPr>
      </w:pPr>
      <w:r w:rsidRPr="00DF2CE8">
        <w:rPr>
          <w:rFonts w:ascii="Cambria" w:hAnsi="Cambria"/>
          <w:sz w:val="20"/>
          <w:szCs w:val="20"/>
        </w:rPr>
        <w:t>Autres questions</w:t>
      </w:r>
    </w:p>
    <w:p w14:paraId="662C065F" w14:textId="77777777" w:rsidR="00A42CDF" w:rsidRPr="00DF2CE8" w:rsidRDefault="00A42CDF" w:rsidP="00A42CDF">
      <w:pPr>
        <w:pStyle w:val="ListParagraph"/>
        <w:rPr>
          <w:rFonts w:ascii="Cambria" w:hAnsi="Cambria"/>
          <w:sz w:val="20"/>
          <w:szCs w:val="20"/>
          <w:lang w:val="en-GB"/>
        </w:rPr>
      </w:pPr>
    </w:p>
    <w:p w14:paraId="41FD555C" w14:textId="77777777" w:rsidR="00A42CDF" w:rsidRPr="00DF2CE8" w:rsidRDefault="00A42CDF" w:rsidP="00A42CDF">
      <w:pPr>
        <w:pStyle w:val="ListParagraph"/>
        <w:widowControl w:val="0"/>
        <w:numPr>
          <w:ilvl w:val="0"/>
          <w:numId w:val="37"/>
        </w:numPr>
        <w:tabs>
          <w:tab w:val="left" w:pos="426"/>
        </w:tabs>
        <w:jc w:val="both"/>
        <w:rPr>
          <w:rFonts w:ascii="Cambria" w:hAnsi="Cambria"/>
          <w:sz w:val="20"/>
          <w:szCs w:val="20"/>
        </w:rPr>
      </w:pPr>
      <w:r w:rsidRPr="00DF2CE8">
        <w:rPr>
          <w:rFonts w:ascii="Cambria" w:hAnsi="Cambria"/>
          <w:sz w:val="20"/>
          <w:szCs w:val="20"/>
        </w:rPr>
        <w:t>Adoption du rapport et clôture</w:t>
      </w:r>
    </w:p>
    <w:p w14:paraId="099932B6" w14:textId="2369364B" w:rsidR="002A70B6" w:rsidRPr="00DF2CE8" w:rsidRDefault="002A70B6">
      <w:pPr>
        <w:spacing w:after="160" w:line="259" w:lineRule="auto"/>
        <w:rPr>
          <w:rFonts w:ascii="Cambria" w:hAnsi="Cambria"/>
          <w:b/>
          <w:bCs/>
          <w:iCs/>
          <w:sz w:val="20"/>
          <w:szCs w:val="20"/>
          <w:lang w:val="en-GB"/>
        </w:rPr>
      </w:pPr>
    </w:p>
    <w:p w14:paraId="476F77B8" w14:textId="77777777" w:rsidR="00321018" w:rsidRPr="00DF2CE8" w:rsidRDefault="00321018">
      <w:pPr>
        <w:spacing w:after="160" w:line="259" w:lineRule="auto"/>
        <w:rPr>
          <w:rFonts w:ascii="Cambria" w:hAnsi="Cambria"/>
          <w:b/>
          <w:bCs/>
          <w:iCs/>
          <w:sz w:val="20"/>
          <w:szCs w:val="20"/>
        </w:rPr>
      </w:pPr>
      <w:r w:rsidRPr="00DF2CE8">
        <w:rPr>
          <w:rFonts w:ascii="Cambria" w:hAnsi="Cambria"/>
          <w:sz w:val="20"/>
          <w:szCs w:val="20"/>
        </w:rPr>
        <w:br w:type="page"/>
      </w:r>
    </w:p>
    <w:p w14:paraId="5066952E" w14:textId="7DD09EF7" w:rsidR="002A70B6" w:rsidRPr="00DF2CE8" w:rsidRDefault="002A70B6" w:rsidP="002A70B6">
      <w:pPr>
        <w:tabs>
          <w:tab w:val="left" w:pos="300"/>
        </w:tabs>
        <w:jc w:val="center"/>
        <w:rPr>
          <w:rFonts w:ascii="Cambria" w:hAnsi="Cambria"/>
          <w:b/>
          <w:bCs/>
          <w:iCs/>
          <w:sz w:val="20"/>
          <w:szCs w:val="20"/>
        </w:rPr>
      </w:pPr>
      <w:r w:rsidRPr="00DF2CE8">
        <w:rPr>
          <w:rFonts w:ascii="Cambria" w:hAnsi="Cambria"/>
          <w:b/>
          <w:sz w:val="20"/>
          <w:szCs w:val="20"/>
        </w:rPr>
        <w:t>Sous-commission 4</w:t>
      </w:r>
    </w:p>
    <w:p w14:paraId="0A75E94B" w14:textId="77777777" w:rsidR="002A70B6" w:rsidRPr="00DF2CE8" w:rsidRDefault="002A70B6" w:rsidP="002A70B6">
      <w:pPr>
        <w:tabs>
          <w:tab w:val="left" w:pos="300"/>
        </w:tabs>
        <w:jc w:val="center"/>
        <w:rPr>
          <w:rFonts w:ascii="Cambria" w:hAnsi="Cambria"/>
          <w:b/>
          <w:bCs/>
          <w:iCs/>
          <w:sz w:val="20"/>
          <w:szCs w:val="20"/>
          <w:lang w:val="en-GB"/>
        </w:rPr>
      </w:pPr>
    </w:p>
    <w:p w14:paraId="6883A514" w14:textId="77777777" w:rsidR="002A70B6" w:rsidRPr="00DF2CE8" w:rsidRDefault="002A70B6" w:rsidP="002A70B6">
      <w:pPr>
        <w:rPr>
          <w:rFonts w:ascii="Cambria" w:hAnsi="Cambria"/>
          <w:bCs/>
          <w:sz w:val="20"/>
          <w:szCs w:val="20"/>
        </w:rPr>
      </w:pPr>
      <w:bookmarkStart w:id="7" w:name="_Hlk11940241"/>
    </w:p>
    <w:bookmarkEnd w:id="7"/>
    <w:p w14:paraId="1D60F15F" w14:textId="77777777" w:rsidR="002A70B6" w:rsidRPr="00DF2CE8" w:rsidRDefault="002A70B6" w:rsidP="002A70B6">
      <w:pPr>
        <w:pStyle w:val="ListParagraph"/>
        <w:widowControl w:val="0"/>
        <w:numPr>
          <w:ilvl w:val="0"/>
          <w:numId w:val="36"/>
        </w:numPr>
        <w:jc w:val="both"/>
        <w:rPr>
          <w:rFonts w:ascii="Cambria" w:hAnsi="Cambria"/>
          <w:sz w:val="20"/>
          <w:szCs w:val="20"/>
        </w:rPr>
      </w:pPr>
      <w:r w:rsidRPr="00DF2CE8">
        <w:rPr>
          <w:rFonts w:ascii="Cambria" w:hAnsi="Cambria"/>
          <w:sz w:val="20"/>
          <w:szCs w:val="20"/>
        </w:rPr>
        <w:t>Ouverture de la réunion</w:t>
      </w:r>
    </w:p>
    <w:p w14:paraId="2B187BB7" w14:textId="77777777" w:rsidR="002A70B6" w:rsidRPr="00DF2CE8" w:rsidRDefault="002A70B6" w:rsidP="002A70B6">
      <w:pPr>
        <w:jc w:val="both"/>
        <w:rPr>
          <w:rFonts w:ascii="Cambria" w:hAnsi="Cambria"/>
          <w:sz w:val="20"/>
          <w:szCs w:val="20"/>
          <w:lang w:val="en-GB"/>
        </w:rPr>
      </w:pPr>
    </w:p>
    <w:p w14:paraId="654EE9C7" w14:textId="77777777" w:rsidR="002A70B6" w:rsidRPr="00DF2CE8" w:rsidRDefault="002A70B6" w:rsidP="002A70B6">
      <w:pPr>
        <w:ind w:left="360"/>
        <w:jc w:val="both"/>
        <w:rPr>
          <w:rFonts w:ascii="Cambria" w:hAnsi="Cambria"/>
          <w:i/>
          <w:iCs/>
          <w:sz w:val="20"/>
          <w:szCs w:val="20"/>
        </w:rPr>
      </w:pPr>
      <w:r w:rsidRPr="00DF2CE8">
        <w:rPr>
          <w:rFonts w:ascii="Cambria" w:hAnsi="Cambria"/>
          <w:i/>
          <w:sz w:val="20"/>
          <w:szCs w:val="20"/>
        </w:rPr>
        <w:t>La réunion sera ouverte par M. Amar Ouchelli (Algérie), qui assure la présidence de la Sous-commission 4.</w:t>
      </w:r>
    </w:p>
    <w:p w14:paraId="1F6B7061" w14:textId="77777777" w:rsidR="002A70B6" w:rsidRPr="00DF2CE8" w:rsidRDefault="002A70B6" w:rsidP="002A70B6">
      <w:pPr>
        <w:ind w:left="360"/>
        <w:jc w:val="both"/>
        <w:rPr>
          <w:rFonts w:ascii="Cambria" w:hAnsi="Cambria"/>
          <w:sz w:val="20"/>
          <w:szCs w:val="20"/>
        </w:rPr>
      </w:pPr>
    </w:p>
    <w:p w14:paraId="77C30117" w14:textId="7F1CAFD0" w:rsidR="002A70B6" w:rsidRPr="00DF2CE8" w:rsidRDefault="002A70B6" w:rsidP="002A70B6">
      <w:pPr>
        <w:pStyle w:val="ListParagraph"/>
        <w:widowControl w:val="0"/>
        <w:numPr>
          <w:ilvl w:val="0"/>
          <w:numId w:val="36"/>
        </w:numPr>
        <w:jc w:val="both"/>
        <w:rPr>
          <w:rFonts w:ascii="Cambria" w:hAnsi="Cambria"/>
          <w:sz w:val="20"/>
          <w:szCs w:val="20"/>
        </w:rPr>
      </w:pPr>
      <w:r w:rsidRPr="00DF2CE8">
        <w:rPr>
          <w:rFonts w:ascii="Cambria" w:hAnsi="Cambria"/>
          <w:sz w:val="20"/>
          <w:szCs w:val="20"/>
        </w:rPr>
        <w:t xml:space="preserve">Désignation du </w:t>
      </w:r>
      <w:r w:rsidR="003B7388" w:rsidRPr="00DF2CE8">
        <w:rPr>
          <w:rFonts w:ascii="Cambria" w:hAnsi="Cambria"/>
          <w:sz w:val="20"/>
          <w:szCs w:val="20"/>
        </w:rPr>
        <w:t>r</w:t>
      </w:r>
      <w:r w:rsidRPr="00DF2CE8">
        <w:rPr>
          <w:rFonts w:ascii="Cambria" w:hAnsi="Cambria"/>
          <w:sz w:val="20"/>
          <w:szCs w:val="20"/>
        </w:rPr>
        <w:t xml:space="preserve">apporteur </w:t>
      </w:r>
    </w:p>
    <w:p w14:paraId="0F0DD6FB" w14:textId="77777777" w:rsidR="002A70B6" w:rsidRPr="00DF2CE8" w:rsidRDefault="002A70B6" w:rsidP="002A70B6">
      <w:pPr>
        <w:jc w:val="both"/>
        <w:rPr>
          <w:rFonts w:ascii="Cambria" w:hAnsi="Cambria"/>
          <w:sz w:val="20"/>
          <w:szCs w:val="20"/>
          <w:lang w:val="en-GB"/>
        </w:rPr>
      </w:pPr>
    </w:p>
    <w:p w14:paraId="20FD05F8" w14:textId="77777777" w:rsidR="002A70B6" w:rsidRPr="00DF2CE8" w:rsidRDefault="002A70B6" w:rsidP="002A70B6">
      <w:pPr>
        <w:pStyle w:val="ListParagraph"/>
        <w:widowControl w:val="0"/>
        <w:numPr>
          <w:ilvl w:val="0"/>
          <w:numId w:val="36"/>
        </w:numPr>
        <w:jc w:val="both"/>
        <w:rPr>
          <w:rFonts w:ascii="Cambria" w:hAnsi="Cambria"/>
          <w:sz w:val="20"/>
          <w:szCs w:val="20"/>
        </w:rPr>
      </w:pPr>
      <w:r w:rsidRPr="00DF2CE8">
        <w:rPr>
          <w:rFonts w:ascii="Cambria" w:hAnsi="Cambria"/>
          <w:sz w:val="20"/>
          <w:szCs w:val="20"/>
        </w:rPr>
        <w:t>Adoption de l’ordre du jour</w:t>
      </w:r>
    </w:p>
    <w:p w14:paraId="25DACA12" w14:textId="77777777" w:rsidR="002A70B6" w:rsidRPr="00DF2CE8" w:rsidRDefault="002A70B6" w:rsidP="002A70B6">
      <w:pPr>
        <w:pStyle w:val="ListParagraph"/>
        <w:rPr>
          <w:rFonts w:ascii="Cambria" w:hAnsi="Cambria"/>
          <w:sz w:val="20"/>
          <w:szCs w:val="20"/>
          <w:lang w:val="en-GB"/>
        </w:rPr>
      </w:pPr>
    </w:p>
    <w:p w14:paraId="5586D93F" w14:textId="77777777" w:rsidR="002A70B6" w:rsidRPr="00DF2CE8" w:rsidRDefault="002A70B6" w:rsidP="002A70B6">
      <w:pPr>
        <w:ind w:left="360"/>
        <w:jc w:val="both"/>
        <w:rPr>
          <w:rFonts w:ascii="Cambria" w:hAnsi="Cambria"/>
          <w:i/>
          <w:iCs/>
          <w:sz w:val="20"/>
          <w:szCs w:val="20"/>
        </w:rPr>
      </w:pPr>
      <w:r w:rsidRPr="00DF2CE8">
        <w:rPr>
          <w:rFonts w:ascii="Cambria" w:hAnsi="Cambria"/>
          <w:i/>
          <w:sz w:val="20"/>
          <w:szCs w:val="20"/>
        </w:rPr>
        <w:t xml:space="preserve">L’ordre du jour de la Sous-commission 4 est disponible en tant que </w:t>
      </w:r>
      <w:r w:rsidRPr="00DF2CE8">
        <w:rPr>
          <w:rFonts w:ascii="Cambria" w:hAnsi="Cambria"/>
          <w:b/>
          <w:bCs/>
          <w:i/>
          <w:sz w:val="20"/>
          <w:szCs w:val="20"/>
        </w:rPr>
        <w:t>PA4-800/2025</w:t>
      </w:r>
      <w:r w:rsidRPr="00DF2CE8">
        <w:rPr>
          <w:rFonts w:ascii="Cambria" w:hAnsi="Cambria"/>
          <w:i/>
          <w:sz w:val="20"/>
          <w:szCs w:val="20"/>
        </w:rPr>
        <w:t>.</w:t>
      </w:r>
    </w:p>
    <w:p w14:paraId="31493562" w14:textId="77777777" w:rsidR="002A70B6" w:rsidRPr="00DF2CE8" w:rsidRDefault="002A70B6" w:rsidP="002A70B6">
      <w:pPr>
        <w:jc w:val="both"/>
        <w:rPr>
          <w:rFonts w:ascii="Cambria" w:hAnsi="Cambria"/>
          <w:sz w:val="20"/>
          <w:szCs w:val="20"/>
        </w:rPr>
      </w:pPr>
    </w:p>
    <w:p w14:paraId="6091AEDE" w14:textId="77777777" w:rsidR="002A70B6" w:rsidRPr="00DF2CE8" w:rsidRDefault="002A70B6" w:rsidP="002A70B6">
      <w:pPr>
        <w:pStyle w:val="ListParagraph"/>
        <w:widowControl w:val="0"/>
        <w:numPr>
          <w:ilvl w:val="0"/>
          <w:numId w:val="36"/>
        </w:numPr>
        <w:jc w:val="both"/>
        <w:rPr>
          <w:rFonts w:ascii="Cambria" w:hAnsi="Cambria"/>
          <w:sz w:val="20"/>
          <w:szCs w:val="20"/>
        </w:rPr>
      </w:pPr>
      <w:r w:rsidRPr="00DF2CE8">
        <w:rPr>
          <w:rFonts w:ascii="Cambria" w:hAnsi="Cambria"/>
          <w:sz w:val="20"/>
          <w:szCs w:val="20"/>
        </w:rPr>
        <w:t>Examen de la composition de la Sous-commission</w:t>
      </w:r>
    </w:p>
    <w:p w14:paraId="4FEE5250" w14:textId="77777777" w:rsidR="002A70B6" w:rsidRPr="00DF2CE8" w:rsidRDefault="002A70B6" w:rsidP="002A70B6">
      <w:pPr>
        <w:jc w:val="both"/>
        <w:rPr>
          <w:rFonts w:ascii="Cambria" w:hAnsi="Cambria"/>
          <w:sz w:val="20"/>
          <w:szCs w:val="20"/>
        </w:rPr>
      </w:pPr>
    </w:p>
    <w:p w14:paraId="089E2D31" w14:textId="434A1A32" w:rsidR="002A70B6" w:rsidRPr="00DF2CE8" w:rsidRDefault="002A70B6" w:rsidP="002A70B6">
      <w:pPr>
        <w:ind w:left="360"/>
        <w:jc w:val="both"/>
        <w:rPr>
          <w:rFonts w:ascii="Cambria" w:hAnsi="Cambria"/>
          <w:i/>
          <w:iCs/>
          <w:sz w:val="20"/>
          <w:szCs w:val="20"/>
        </w:rPr>
      </w:pPr>
      <w:r w:rsidRPr="00DF2CE8">
        <w:rPr>
          <w:rFonts w:ascii="Cambria" w:hAnsi="Cambria"/>
          <w:i/>
          <w:sz w:val="20"/>
          <w:szCs w:val="20"/>
        </w:rPr>
        <w:t xml:space="preserve">La liste des membres de la Sous-commission figure dans le document </w:t>
      </w:r>
      <w:r w:rsidRPr="00DF2CE8">
        <w:rPr>
          <w:rFonts w:ascii="Cambria" w:hAnsi="Cambria"/>
          <w:b/>
          <w:bCs/>
          <w:i/>
          <w:sz w:val="20"/>
          <w:szCs w:val="20"/>
        </w:rPr>
        <w:t>GEN-004/2025</w:t>
      </w:r>
      <w:r w:rsidRPr="00DF2CE8">
        <w:rPr>
          <w:rFonts w:ascii="Cambria" w:hAnsi="Cambria"/>
          <w:i/>
          <w:sz w:val="20"/>
          <w:szCs w:val="20"/>
        </w:rPr>
        <w:t>. Le Secrétaire exécutif informera la</w:t>
      </w:r>
      <w:r w:rsidR="008068B2" w:rsidRPr="00DF2CE8">
        <w:rPr>
          <w:rFonts w:ascii="Cambria" w:hAnsi="Cambria"/>
          <w:i/>
          <w:sz w:val="20"/>
          <w:szCs w:val="20"/>
        </w:rPr>
        <w:t xml:space="preserve"> </w:t>
      </w:r>
      <w:r w:rsidRPr="00DF2CE8">
        <w:rPr>
          <w:rFonts w:ascii="Cambria" w:hAnsi="Cambria"/>
          <w:i/>
          <w:sz w:val="20"/>
          <w:szCs w:val="20"/>
        </w:rPr>
        <w:t>Sous-commission de tout changement de membres.</w:t>
      </w:r>
    </w:p>
    <w:p w14:paraId="3738742A" w14:textId="77777777" w:rsidR="002A70B6" w:rsidRPr="00DF2CE8" w:rsidRDefault="002A70B6" w:rsidP="002A70B6">
      <w:pPr>
        <w:jc w:val="both"/>
        <w:rPr>
          <w:rFonts w:ascii="Cambria" w:hAnsi="Cambria"/>
          <w:sz w:val="20"/>
          <w:szCs w:val="20"/>
        </w:rPr>
      </w:pPr>
    </w:p>
    <w:p w14:paraId="0BCD2E0D" w14:textId="2F5C78A4" w:rsidR="002A70B6" w:rsidRPr="00DF2CE8" w:rsidRDefault="002A70B6" w:rsidP="002A70B6">
      <w:pPr>
        <w:pStyle w:val="ListParagraph"/>
        <w:widowControl w:val="0"/>
        <w:numPr>
          <w:ilvl w:val="0"/>
          <w:numId w:val="36"/>
        </w:numPr>
        <w:jc w:val="both"/>
        <w:rPr>
          <w:rFonts w:ascii="Cambria" w:hAnsi="Cambria"/>
          <w:sz w:val="20"/>
          <w:szCs w:val="20"/>
        </w:rPr>
      </w:pPr>
      <w:r w:rsidRPr="00DF2CE8">
        <w:rPr>
          <w:rFonts w:ascii="Cambria" w:hAnsi="Cambria"/>
          <w:sz w:val="20"/>
          <w:szCs w:val="20"/>
        </w:rPr>
        <w:t xml:space="preserve">Rapport du Comité </w:t>
      </w:r>
      <w:r w:rsidR="003B7388" w:rsidRPr="00DF2CE8">
        <w:rPr>
          <w:rFonts w:ascii="Cambria" w:hAnsi="Cambria"/>
          <w:sz w:val="20"/>
          <w:szCs w:val="20"/>
        </w:rPr>
        <w:t>permanent</w:t>
      </w:r>
      <w:r w:rsidRPr="00DF2CE8">
        <w:rPr>
          <w:rFonts w:ascii="Cambria" w:hAnsi="Cambria"/>
          <w:sz w:val="20"/>
          <w:szCs w:val="20"/>
        </w:rPr>
        <w:t xml:space="preserve"> pour la </w:t>
      </w:r>
      <w:r w:rsidR="003B7388" w:rsidRPr="00DF2CE8">
        <w:rPr>
          <w:rFonts w:ascii="Cambria" w:hAnsi="Cambria"/>
          <w:sz w:val="20"/>
          <w:szCs w:val="20"/>
        </w:rPr>
        <w:t>recherche</w:t>
      </w:r>
      <w:r w:rsidRPr="00DF2CE8">
        <w:rPr>
          <w:rFonts w:ascii="Cambria" w:hAnsi="Cambria"/>
          <w:sz w:val="20"/>
          <w:szCs w:val="20"/>
        </w:rPr>
        <w:t xml:space="preserve"> et les </w:t>
      </w:r>
      <w:r w:rsidR="003B7388" w:rsidRPr="00DF2CE8">
        <w:rPr>
          <w:rFonts w:ascii="Cambria" w:hAnsi="Cambria"/>
          <w:sz w:val="20"/>
          <w:szCs w:val="20"/>
        </w:rPr>
        <w:t>statistiques</w:t>
      </w:r>
      <w:r w:rsidRPr="00DF2CE8">
        <w:rPr>
          <w:rFonts w:ascii="Cambria" w:hAnsi="Cambria"/>
          <w:sz w:val="20"/>
          <w:szCs w:val="20"/>
        </w:rPr>
        <w:t xml:space="preserve"> (SCRS)</w:t>
      </w:r>
    </w:p>
    <w:p w14:paraId="596C6470" w14:textId="77777777" w:rsidR="002A70B6" w:rsidRPr="00DF2CE8" w:rsidRDefault="002A70B6" w:rsidP="002A70B6">
      <w:pPr>
        <w:jc w:val="both"/>
        <w:rPr>
          <w:rFonts w:ascii="Cambria" w:hAnsi="Cambria"/>
          <w:sz w:val="20"/>
          <w:szCs w:val="20"/>
        </w:rPr>
      </w:pPr>
    </w:p>
    <w:p w14:paraId="2E5613FA" w14:textId="013EC725" w:rsidR="002A70B6" w:rsidRPr="00DF2CE8" w:rsidRDefault="002A70B6" w:rsidP="002A70B6">
      <w:pPr>
        <w:ind w:left="360"/>
        <w:jc w:val="both"/>
        <w:rPr>
          <w:rFonts w:ascii="Cambria" w:hAnsi="Cambria"/>
          <w:i/>
          <w:iCs/>
          <w:sz w:val="20"/>
          <w:szCs w:val="20"/>
        </w:rPr>
      </w:pPr>
      <w:r w:rsidRPr="00DF2CE8">
        <w:rPr>
          <w:rFonts w:ascii="Cambria" w:hAnsi="Cambria"/>
          <w:i/>
          <w:sz w:val="20"/>
          <w:szCs w:val="20"/>
        </w:rPr>
        <w:t xml:space="preserve">Le rapport du SCRS figure dans le </w:t>
      </w:r>
      <w:r w:rsidRPr="00DF2CE8">
        <w:rPr>
          <w:rFonts w:ascii="Cambria" w:hAnsi="Cambria"/>
          <w:b/>
          <w:bCs/>
          <w:i/>
          <w:sz w:val="20"/>
          <w:szCs w:val="20"/>
        </w:rPr>
        <w:t>PLE-104/2025</w:t>
      </w:r>
      <w:r w:rsidRPr="00DF2CE8">
        <w:rPr>
          <w:rFonts w:ascii="Cambria" w:hAnsi="Cambria"/>
          <w:i/>
          <w:sz w:val="20"/>
          <w:szCs w:val="20"/>
        </w:rPr>
        <w:t xml:space="preserve">. </w:t>
      </w:r>
      <w:r w:rsidR="003B7388" w:rsidRPr="00DF2CE8">
        <w:rPr>
          <w:rFonts w:ascii="Cambria" w:hAnsi="Cambria"/>
          <w:i/>
          <w:sz w:val="20"/>
          <w:szCs w:val="20"/>
        </w:rPr>
        <w:t xml:space="preserve">Le </w:t>
      </w:r>
      <w:r w:rsidRPr="00DF2CE8">
        <w:rPr>
          <w:rFonts w:ascii="Cambria" w:hAnsi="Cambria"/>
          <w:i/>
          <w:sz w:val="20"/>
          <w:szCs w:val="20"/>
        </w:rPr>
        <w:t>Président/Vice-président du SCRS présentera les conclusions du Comité concernant la Sous-commission 4. Le Président/Vice-président du SCRS informera également la Sous-commission des initiatives de recherche en cours.</w:t>
      </w:r>
    </w:p>
    <w:p w14:paraId="374917E4" w14:textId="77777777" w:rsidR="002A70B6" w:rsidRPr="00DF2CE8" w:rsidRDefault="002A70B6" w:rsidP="002A70B6">
      <w:pPr>
        <w:pStyle w:val="ListParagraph"/>
        <w:ind w:left="360"/>
        <w:jc w:val="both"/>
        <w:rPr>
          <w:rFonts w:ascii="Cambria" w:hAnsi="Cambria"/>
          <w:sz w:val="20"/>
          <w:szCs w:val="20"/>
        </w:rPr>
      </w:pPr>
    </w:p>
    <w:p w14:paraId="0A2656E7" w14:textId="77777777" w:rsidR="002A70B6" w:rsidRPr="00DF2CE8" w:rsidRDefault="002A70B6" w:rsidP="002A70B6">
      <w:pPr>
        <w:pStyle w:val="ListParagraph"/>
        <w:widowControl w:val="0"/>
        <w:numPr>
          <w:ilvl w:val="1"/>
          <w:numId w:val="36"/>
        </w:numPr>
        <w:jc w:val="both"/>
        <w:rPr>
          <w:rFonts w:ascii="Cambria" w:hAnsi="Cambria"/>
          <w:sz w:val="20"/>
          <w:szCs w:val="20"/>
        </w:rPr>
      </w:pPr>
      <w:r w:rsidRPr="00DF2CE8">
        <w:rPr>
          <w:rFonts w:ascii="Cambria" w:hAnsi="Cambria"/>
          <w:sz w:val="20"/>
          <w:szCs w:val="20"/>
        </w:rPr>
        <w:t>Recherche et réponses à la Commission</w:t>
      </w:r>
    </w:p>
    <w:p w14:paraId="7BE0A3EC" w14:textId="77777777" w:rsidR="002A70B6" w:rsidRPr="00DF2CE8" w:rsidRDefault="002A70B6" w:rsidP="002A70B6">
      <w:pPr>
        <w:jc w:val="both"/>
        <w:rPr>
          <w:rFonts w:ascii="Cambria" w:hAnsi="Cambria"/>
          <w:sz w:val="20"/>
          <w:szCs w:val="20"/>
        </w:rPr>
      </w:pPr>
    </w:p>
    <w:p w14:paraId="73FD83ED" w14:textId="77777777" w:rsidR="002A70B6" w:rsidRPr="00DF2CE8" w:rsidRDefault="002A70B6" w:rsidP="002A70B6">
      <w:pPr>
        <w:ind w:left="720"/>
        <w:jc w:val="both"/>
        <w:rPr>
          <w:rFonts w:ascii="Cambria" w:hAnsi="Cambria"/>
          <w:sz w:val="20"/>
          <w:szCs w:val="20"/>
        </w:rPr>
      </w:pPr>
      <w:r w:rsidRPr="00DF2CE8">
        <w:rPr>
          <w:rFonts w:ascii="Cambria" w:hAnsi="Cambria"/>
          <w:i/>
          <w:sz w:val="20"/>
          <w:szCs w:val="20"/>
        </w:rPr>
        <w:t>Le Président/Vice-président du SCRS informera la Sous-commission des initiatives de recherche en cours, y compris des résultats ou des recommandations pertinentes.</w:t>
      </w:r>
    </w:p>
    <w:p w14:paraId="5FBB0A37" w14:textId="77777777" w:rsidR="002A70B6" w:rsidRPr="00DF2CE8" w:rsidRDefault="002A70B6" w:rsidP="002A70B6">
      <w:pPr>
        <w:tabs>
          <w:tab w:val="left" w:pos="426"/>
        </w:tabs>
        <w:jc w:val="both"/>
        <w:rPr>
          <w:rFonts w:ascii="Cambria" w:hAnsi="Cambria"/>
          <w:sz w:val="20"/>
          <w:szCs w:val="20"/>
        </w:rPr>
      </w:pPr>
    </w:p>
    <w:p w14:paraId="2583C835" w14:textId="77777777" w:rsidR="002A70B6" w:rsidRPr="00DF2CE8" w:rsidRDefault="002A70B6" w:rsidP="002A70B6">
      <w:pPr>
        <w:pStyle w:val="ListParagraph"/>
        <w:widowControl w:val="0"/>
        <w:numPr>
          <w:ilvl w:val="0"/>
          <w:numId w:val="36"/>
        </w:numPr>
        <w:jc w:val="both"/>
        <w:rPr>
          <w:rFonts w:ascii="Cambria" w:hAnsi="Cambria"/>
          <w:sz w:val="20"/>
          <w:szCs w:val="20"/>
        </w:rPr>
      </w:pPr>
      <w:r w:rsidRPr="00DF2CE8">
        <w:rPr>
          <w:rFonts w:ascii="Cambria" w:hAnsi="Cambria"/>
          <w:sz w:val="20"/>
          <w:szCs w:val="20"/>
        </w:rPr>
        <w:t>Examen des tableaux d’application</w:t>
      </w:r>
    </w:p>
    <w:p w14:paraId="4BA46621" w14:textId="77777777" w:rsidR="002A70B6" w:rsidRPr="00DF2CE8" w:rsidRDefault="002A70B6" w:rsidP="002A70B6">
      <w:pPr>
        <w:jc w:val="both"/>
        <w:rPr>
          <w:rFonts w:ascii="Cambria" w:hAnsi="Cambria"/>
          <w:sz w:val="20"/>
          <w:szCs w:val="20"/>
          <w:lang w:val="en-GB"/>
        </w:rPr>
      </w:pPr>
    </w:p>
    <w:p w14:paraId="797CAC57" w14:textId="77777777" w:rsidR="009D2316" w:rsidRPr="00DF2CE8" w:rsidRDefault="009D2316" w:rsidP="009D2316">
      <w:pPr>
        <w:ind w:left="360"/>
        <w:jc w:val="both"/>
        <w:rPr>
          <w:rFonts w:ascii="Cambria" w:hAnsi="Cambria"/>
          <w:b/>
          <w:bCs/>
          <w:i/>
          <w:iCs/>
          <w:sz w:val="20"/>
          <w:szCs w:val="20"/>
        </w:rPr>
      </w:pPr>
      <w:r w:rsidRPr="00DF2CE8">
        <w:rPr>
          <w:rFonts w:ascii="Cambria" w:hAnsi="Cambria"/>
          <w:i/>
          <w:sz w:val="20"/>
          <w:szCs w:val="20"/>
        </w:rPr>
        <w:t xml:space="preserve">Le « Projet de tableaux d’application de 2024 reçu en 2025 » a été publié sous la référence </w:t>
      </w:r>
      <w:r w:rsidRPr="00DF2CE8">
        <w:rPr>
          <w:rFonts w:ascii="Cambria" w:hAnsi="Cambria"/>
          <w:b/>
          <w:i/>
          <w:sz w:val="20"/>
          <w:szCs w:val="20"/>
        </w:rPr>
        <w:t>COC-304_TRI_REV_1/2025.</w:t>
      </w:r>
    </w:p>
    <w:p w14:paraId="743E13A1" w14:textId="77777777" w:rsidR="002A70B6" w:rsidRPr="00DF2CE8" w:rsidRDefault="002A70B6" w:rsidP="002A70B6">
      <w:pPr>
        <w:ind w:left="360"/>
        <w:jc w:val="both"/>
        <w:rPr>
          <w:rFonts w:ascii="Cambria" w:hAnsi="Cambria"/>
          <w:i/>
          <w:iCs/>
          <w:sz w:val="20"/>
          <w:szCs w:val="20"/>
        </w:rPr>
      </w:pPr>
    </w:p>
    <w:p w14:paraId="0C8407FE" w14:textId="77777777" w:rsidR="002A70B6" w:rsidRPr="00DF2CE8" w:rsidRDefault="002A70B6" w:rsidP="002A70B6">
      <w:pPr>
        <w:pStyle w:val="ListParagraph"/>
        <w:widowControl w:val="0"/>
        <w:numPr>
          <w:ilvl w:val="0"/>
          <w:numId w:val="36"/>
        </w:numPr>
        <w:tabs>
          <w:tab w:val="left" w:pos="426"/>
        </w:tabs>
        <w:jc w:val="both"/>
        <w:rPr>
          <w:rFonts w:ascii="Cambria" w:hAnsi="Cambria"/>
          <w:sz w:val="20"/>
          <w:szCs w:val="20"/>
        </w:rPr>
      </w:pPr>
      <w:r w:rsidRPr="00DF2CE8">
        <w:rPr>
          <w:rFonts w:ascii="Cambria" w:hAnsi="Cambria"/>
          <w:sz w:val="20"/>
          <w:szCs w:val="20"/>
        </w:rPr>
        <w:t>Examen de l'état d'avancement de l'évaluation de la stratégie de gestion (MSE) pour l'espadon de l'Atlantique Nord et le requin peau bleue de l'Atlantique</w:t>
      </w:r>
    </w:p>
    <w:p w14:paraId="40336288" w14:textId="77777777" w:rsidR="002A70B6" w:rsidRPr="00DF2CE8" w:rsidRDefault="002A70B6" w:rsidP="002A70B6">
      <w:pPr>
        <w:tabs>
          <w:tab w:val="left" w:pos="426"/>
        </w:tabs>
        <w:jc w:val="both"/>
        <w:rPr>
          <w:rFonts w:ascii="Cambria" w:hAnsi="Cambria"/>
          <w:sz w:val="20"/>
          <w:szCs w:val="20"/>
        </w:rPr>
      </w:pPr>
    </w:p>
    <w:p w14:paraId="0E57CB48" w14:textId="06C65843" w:rsidR="002A70B6" w:rsidRPr="00DF2CE8" w:rsidRDefault="002A70B6" w:rsidP="002A70B6">
      <w:pPr>
        <w:pStyle w:val="ListParagraph"/>
        <w:widowControl w:val="0"/>
        <w:numPr>
          <w:ilvl w:val="0"/>
          <w:numId w:val="36"/>
        </w:numPr>
        <w:jc w:val="both"/>
        <w:rPr>
          <w:rFonts w:ascii="Cambria" w:hAnsi="Cambria"/>
          <w:color w:val="0563C1" w:themeColor="hyperlink"/>
          <w:sz w:val="20"/>
          <w:szCs w:val="20"/>
        </w:rPr>
      </w:pPr>
      <w:r w:rsidRPr="00DF2CE8">
        <w:rPr>
          <w:rFonts w:ascii="Cambria" w:hAnsi="Cambria"/>
          <w:sz w:val="20"/>
          <w:szCs w:val="20"/>
        </w:rPr>
        <w:t xml:space="preserve">Mesures de conservation des stocks et mise en œuvre de la </w:t>
      </w:r>
      <w:hyperlink r:id="rId40" w:history="1">
        <w:r w:rsidRPr="00DF2CE8">
          <w:rPr>
            <w:rStyle w:val="Hyperlink"/>
            <w:rFonts w:ascii="Cambria" w:hAnsi="Cambria"/>
            <w:i/>
            <w:iCs/>
            <w:sz w:val="20"/>
            <w:szCs w:val="20"/>
            <w:u w:val="none"/>
          </w:rPr>
          <w:t>Résolution de l’ICCAT portant sur les critères pour l’allocation de possibilités de pêche (Rés. 15-13).</w:t>
        </w:r>
      </w:hyperlink>
    </w:p>
    <w:p w14:paraId="591E54C2" w14:textId="77777777" w:rsidR="002A70B6" w:rsidRPr="00DF2CE8" w:rsidRDefault="002A70B6" w:rsidP="002A70B6">
      <w:pPr>
        <w:pStyle w:val="ListParagraph"/>
        <w:rPr>
          <w:rStyle w:val="Hyperlink"/>
          <w:rFonts w:ascii="Cambria" w:hAnsi="Cambria"/>
          <w:sz w:val="20"/>
          <w:szCs w:val="20"/>
          <w:u w:val="none"/>
        </w:rPr>
      </w:pPr>
    </w:p>
    <w:p w14:paraId="7BA67AE1" w14:textId="3924C7A3" w:rsidR="002A70B6" w:rsidRPr="00DF2CE8" w:rsidRDefault="002A70B6" w:rsidP="002A70B6">
      <w:pPr>
        <w:ind w:left="426"/>
        <w:jc w:val="both"/>
        <w:rPr>
          <w:rFonts w:ascii="Cambria" w:hAnsi="Cambria"/>
          <w:i/>
          <w:iCs/>
          <w:sz w:val="20"/>
          <w:szCs w:val="20"/>
        </w:rPr>
      </w:pPr>
      <w:r w:rsidRPr="00DF2CE8">
        <w:rPr>
          <w:rFonts w:ascii="Cambria" w:hAnsi="Cambria"/>
          <w:i/>
          <w:iCs/>
          <w:sz w:val="20"/>
          <w:szCs w:val="20"/>
        </w:rPr>
        <w:t xml:space="preserve">La </w:t>
      </w:r>
      <w:hyperlink r:id="rId41" w:history="1">
        <w:r w:rsidRPr="00DF2CE8">
          <w:rPr>
            <w:rStyle w:val="Hyperlink"/>
            <w:rFonts w:ascii="Cambria" w:hAnsi="Cambria"/>
            <w:i/>
            <w:sz w:val="20"/>
            <w:szCs w:val="20"/>
            <w:u w:val="none"/>
          </w:rPr>
          <w:t>Rec. 19-05</w:t>
        </w:r>
      </w:hyperlink>
      <w:r w:rsidRPr="00DF2CE8">
        <w:rPr>
          <w:rFonts w:ascii="Cambria" w:hAnsi="Cambria"/>
          <w:i/>
          <w:iCs/>
          <w:sz w:val="20"/>
          <w:szCs w:val="20"/>
        </w:rPr>
        <w:t xml:space="preserve"> prévoit que « le SCRS devra effectuer des évaluations du makaire bleu en 2024 et du makaire blanc/makaire épée en 2025 ».</w:t>
      </w:r>
    </w:p>
    <w:p w14:paraId="3CC4F2DD" w14:textId="77777777" w:rsidR="002A70B6" w:rsidRPr="00DF2CE8" w:rsidRDefault="002A70B6" w:rsidP="002A70B6">
      <w:pPr>
        <w:ind w:left="426"/>
        <w:jc w:val="both"/>
        <w:rPr>
          <w:rFonts w:ascii="Cambria" w:hAnsi="Cambria"/>
          <w:i/>
          <w:iCs/>
          <w:sz w:val="20"/>
          <w:szCs w:val="20"/>
        </w:rPr>
      </w:pPr>
    </w:p>
    <w:p w14:paraId="6AA5DC21" w14:textId="7D7AA0F5" w:rsidR="002A70B6" w:rsidRPr="00DF2CE8" w:rsidRDefault="002A70B6" w:rsidP="002A70B6">
      <w:pPr>
        <w:ind w:left="426"/>
        <w:jc w:val="both"/>
        <w:rPr>
          <w:rFonts w:ascii="Cambria" w:hAnsi="Cambria"/>
          <w:i/>
          <w:iCs/>
          <w:color w:val="0563C1" w:themeColor="hyperlink"/>
          <w:sz w:val="20"/>
          <w:szCs w:val="20"/>
        </w:rPr>
      </w:pPr>
      <w:r w:rsidRPr="00DF2CE8">
        <w:rPr>
          <w:rFonts w:ascii="Cambria" w:hAnsi="Cambria"/>
          <w:i/>
          <w:sz w:val="20"/>
          <w:szCs w:val="20"/>
        </w:rPr>
        <w:t xml:space="preserve">La </w:t>
      </w:r>
      <w:hyperlink r:id="rId42" w:history="1">
        <w:r w:rsidRPr="00DF2CE8">
          <w:rPr>
            <w:rStyle w:val="Hyperlink"/>
            <w:rFonts w:ascii="Cambria" w:hAnsi="Cambria"/>
            <w:i/>
            <w:sz w:val="20"/>
            <w:szCs w:val="20"/>
            <w:u w:val="none"/>
          </w:rPr>
          <w:t>Rec. 22-11</w:t>
        </w:r>
      </w:hyperlink>
      <w:r w:rsidRPr="00DF2CE8">
        <w:rPr>
          <w:rFonts w:ascii="Cambria" w:hAnsi="Cambria"/>
          <w:i/>
          <w:sz w:val="20"/>
          <w:szCs w:val="20"/>
        </w:rPr>
        <w:t xml:space="preserve"> prévoit que « la Commission devra réexaminer cette mesure au plus tard lors de sa réunion annuelle de 2025 afin d'envisager des mesures supplémentaires pour réduire la mortalité totale par pêche. »</w:t>
      </w:r>
    </w:p>
    <w:p w14:paraId="77FAC1A4" w14:textId="77777777" w:rsidR="002A70B6" w:rsidRPr="00DF2CE8" w:rsidRDefault="002A70B6" w:rsidP="002A70B6">
      <w:pPr>
        <w:ind w:left="426"/>
        <w:jc w:val="both"/>
        <w:rPr>
          <w:rFonts w:ascii="Cambria" w:hAnsi="Cambria"/>
          <w:i/>
          <w:iCs/>
          <w:sz w:val="20"/>
          <w:szCs w:val="20"/>
        </w:rPr>
      </w:pPr>
    </w:p>
    <w:p w14:paraId="69E3A0BE" w14:textId="4AC71D39" w:rsidR="002A70B6" w:rsidRPr="00DF2CE8" w:rsidRDefault="002A70B6" w:rsidP="002A70B6">
      <w:pPr>
        <w:ind w:left="426"/>
        <w:jc w:val="both"/>
        <w:rPr>
          <w:rFonts w:ascii="Cambria" w:hAnsi="Cambria"/>
          <w:i/>
          <w:iCs/>
          <w:color w:val="0563C1" w:themeColor="hyperlink"/>
          <w:sz w:val="20"/>
          <w:szCs w:val="20"/>
        </w:rPr>
      </w:pPr>
      <w:r w:rsidRPr="00DF2CE8">
        <w:rPr>
          <w:rFonts w:ascii="Cambria" w:hAnsi="Cambria"/>
          <w:i/>
          <w:sz w:val="20"/>
          <w:szCs w:val="20"/>
        </w:rPr>
        <w:t xml:space="preserve">La </w:t>
      </w:r>
      <w:hyperlink r:id="rId43" w:history="1">
        <w:r w:rsidRPr="00DF2CE8">
          <w:rPr>
            <w:rStyle w:val="Hyperlink"/>
            <w:rFonts w:ascii="Cambria" w:hAnsi="Cambria"/>
            <w:i/>
            <w:sz w:val="20"/>
            <w:szCs w:val="20"/>
            <w:u w:val="none"/>
          </w:rPr>
          <w:t>Rec. 23-10</w:t>
        </w:r>
      </w:hyperlink>
      <w:r w:rsidRPr="00DF2CE8">
        <w:rPr>
          <w:rFonts w:ascii="Cambria" w:hAnsi="Cambria"/>
          <w:i/>
          <w:sz w:val="20"/>
          <w:szCs w:val="20"/>
        </w:rPr>
        <w:t xml:space="preserve"> prévoit que « pour donner suite à la tâche confiée dans la Recommandation 19-07, le SCRS devra informer la Commission, d'ici 2025, de la faisabilité, des coûts, des options et de la feuille de route provisoire pour l'élaboration d'un cadre de MSE (y compris, entre autres, la HCR avec ses points de référence limites, cibles et seuils associés) pour la gestion de ce stock dans la zone de la Convention de l’ICCAT. »</w:t>
      </w:r>
    </w:p>
    <w:p w14:paraId="5C9A9614" w14:textId="77777777" w:rsidR="002A70B6" w:rsidRPr="00DF2CE8" w:rsidRDefault="002A70B6" w:rsidP="00324073">
      <w:pPr>
        <w:ind w:left="426"/>
        <w:jc w:val="both"/>
        <w:rPr>
          <w:rFonts w:ascii="Cambria" w:hAnsi="Cambria"/>
          <w:i/>
          <w:iCs/>
          <w:sz w:val="20"/>
          <w:szCs w:val="20"/>
        </w:rPr>
      </w:pPr>
    </w:p>
    <w:p w14:paraId="0B0F4E02" w14:textId="6A334850" w:rsidR="002A70B6" w:rsidRPr="00DF2CE8" w:rsidRDefault="002A70B6" w:rsidP="002A70B6">
      <w:pPr>
        <w:ind w:left="426"/>
        <w:jc w:val="both"/>
        <w:rPr>
          <w:rFonts w:ascii="Cambria" w:hAnsi="Cambria"/>
          <w:i/>
          <w:iCs/>
          <w:sz w:val="20"/>
          <w:szCs w:val="20"/>
        </w:rPr>
      </w:pPr>
      <w:r w:rsidRPr="00DF2CE8">
        <w:rPr>
          <w:rFonts w:ascii="Cambria" w:hAnsi="Cambria"/>
          <w:i/>
          <w:sz w:val="20"/>
          <w:szCs w:val="20"/>
        </w:rPr>
        <w:t xml:space="preserve">La </w:t>
      </w:r>
      <w:hyperlink r:id="rId44" w:history="1">
        <w:r w:rsidRPr="00DF2CE8">
          <w:rPr>
            <w:rStyle w:val="Hyperlink"/>
            <w:rFonts w:ascii="Cambria" w:hAnsi="Cambria"/>
            <w:i/>
            <w:sz w:val="20"/>
            <w:szCs w:val="20"/>
            <w:u w:val="none"/>
          </w:rPr>
          <w:t xml:space="preserve">Rec. </w:t>
        </w:r>
        <w:bookmarkStart w:id="8" w:name="_Hlt214041391"/>
        <w:bookmarkStart w:id="9" w:name="_Hlt214041392"/>
        <w:bookmarkEnd w:id="8"/>
        <w:bookmarkEnd w:id="9"/>
        <w:r w:rsidRPr="00DF2CE8">
          <w:rPr>
            <w:rStyle w:val="Hyperlink"/>
            <w:rFonts w:ascii="Cambria" w:hAnsi="Cambria"/>
            <w:i/>
            <w:sz w:val="20"/>
            <w:szCs w:val="20"/>
            <w:u w:val="none"/>
          </w:rPr>
          <w:t>23-11</w:t>
        </w:r>
      </w:hyperlink>
      <w:r w:rsidRPr="00DF2CE8">
        <w:rPr>
          <w:rFonts w:ascii="Cambria" w:hAnsi="Cambria"/>
          <w:i/>
          <w:sz w:val="20"/>
          <w:szCs w:val="20"/>
        </w:rPr>
        <w:t xml:space="preserve"> prévoit que « </w:t>
      </w:r>
      <w:r w:rsidR="009621A4" w:rsidRPr="00DF2CE8">
        <w:rPr>
          <w:rFonts w:ascii="Cambria" w:hAnsi="Cambria"/>
          <w:i/>
          <w:iCs/>
          <w:sz w:val="20"/>
          <w:szCs w:val="20"/>
        </w:rPr>
        <w:t>Pour</w:t>
      </w:r>
      <w:r w:rsidRPr="00DF2CE8">
        <w:rPr>
          <w:rFonts w:ascii="Cambria" w:hAnsi="Cambria"/>
          <w:i/>
          <w:sz w:val="20"/>
          <w:szCs w:val="20"/>
        </w:rPr>
        <w:t xml:space="preserve"> donner suite à la tâche confiée dans la Recommandation 19-08, le SCRS devra informer la Commission, d'ici 2025, de la faisabilité, des coûts, des options et de la feuille de route provisoire pour l'élaboration d'un cadre de MSE (y compris, entre autres, la HCR </w:t>
      </w:r>
      <w:r w:rsidR="002B6387" w:rsidRPr="00DF2CE8">
        <w:rPr>
          <w:rFonts w:ascii="Cambria" w:hAnsi="Cambria"/>
          <w:i/>
          <w:iCs/>
          <w:sz w:val="20"/>
          <w:szCs w:val="20"/>
        </w:rPr>
        <w:t xml:space="preserve">potentielle </w:t>
      </w:r>
      <w:r w:rsidRPr="00DF2CE8">
        <w:rPr>
          <w:rFonts w:ascii="Cambria" w:hAnsi="Cambria"/>
          <w:i/>
          <w:sz w:val="20"/>
          <w:szCs w:val="20"/>
        </w:rPr>
        <w:t>avec ses points de référence limites, cibles et seuils</w:t>
      </w:r>
      <w:r w:rsidR="009621A4" w:rsidRPr="00DF2CE8">
        <w:rPr>
          <w:rFonts w:ascii="Cambria" w:hAnsi="Cambria"/>
          <w:i/>
          <w:iCs/>
          <w:sz w:val="20"/>
          <w:szCs w:val="20"/>
        </w:rPr>
        <w:t>,</w:t>
      </w:r>
      <w:r w:rsidRPr="00DF2CE8">
        <w:rPr>
          <w:rFonts w:ascii="Cambria" w:hAnsi="Cambria"/>
          <w:i/>
          <w:sz w:val="20"/>
          <w:szCs w:val="20"/>
        </w:rPr>
        <w:t xml:space="preserve"> associés</w:t>
      </w:r>
      <w:r w:rsidR="002B6387" w:rsidRPr="00DF2CE8">
        <w:rPr>
          <w:rFonts w:ascii="Cambria" w:hAnsi="Cambria"/>
          <w:i/>
          <w:iCs/>
          <w:sz w:val="20"/>
          <w:szCs w:val="20"/>
        </w:rPr>
        <w:t xml:space="preserve"> potentiels</w:t>
      </w:r>
      <w:r w:rsidRPr="00DF2CE8">
        <w:rPr>
          <w:rFonts w:ascii="Cambria" w:hAnsi="Cambria"/>
          <w:i/>
          <w:sz w:val="20"/>
          <w:szCs w:val="20"/>
        </w:rPr>
        <w:t>)</w:t>
      </w:r>
      <w:r w:rsidR="00D97B0C" w:rsidRPr="00DF2CE8">
        <w:rPr>
          <w:rFonts w:ascii="Cambria" w:hAnsi="Cambria"/>
          <w:i/>
          <w:sz w:val="20"/>
          <w:szCs w:val="20"/>
        </w:rPr>
        <w:t xml:space="preserve"> </w:t>
      </w:r>
      <w:r w:rsidRPr="00DF2CE8">
        <w:rPr>
          <w:rFonts w:ascii="Cambria" w:hAnsi="Cambria"/>
          <w:i/>
          <w:sz w:val="20"/>
          <w:szCs w:val="20"/>
        </w:rPr>
        <w:t>pour la gestion de ce stock dans la zone de la Convention de l’ICCAT</w:t>
      </w:r>
      <w:r w:rsidRPr="00DF2CE8">
        <w:rPr>
          <w:rFonts w:ascii="Cambria" w:hAnsi="Cambria"/>
          <w:i/>
          <w:iCs/>
          <w:sz w:val="20"/>
          <w:szCs w:val="20"/>
        </w:rPr>
        <w:t> »</w:t>
      </w:r>
      <w:r w:rsidR="009621A4" w:rsidRPr="00DF2CE8">
        <w:rPr>
          <w:rFonts w:ascii="Cambria" w:hAnsi="Cambria"/>
          <w:i/>
          <w:iCs/>
          <w:sz w:val="20"/>
          <w:szCs w:val="20"/>
        </w:rPr>
        <w:t>.</w:t>
      </w:r>
    </w:p>
    <w:p w14:paraId="65306137" w14:textId="77777777" w:rsidR="002A70B6" w:rsidRPr="00DF2CE8" w:rsidRDefault="002A70B6" w:rsidP="002A70B6">
      <w:pPr>
        <w:ind w:left="426"/>
        <w:jc w:val="both"/>
        <w:rPr>
          <w:rFonts w:ascii="Cambria" w:hAnsi="Cambria"/>
          <w:i/>
          <w:iCs/>
          <w:sz w:val="20"/>
          <w:szCs w:val="20"/>
        </w:rPr>
      </w:pPr>
    </w:p>
    <w:p w14:paraId="687A5E8A" w14:textId="77777777" w:rsidR="002A70B6" w:rsidRPr="00DF2CE8" w:rsidRDefault="002A70B6" w:rsidP="009349D9">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Les « plans de développement ou de pêche/gestion de l'espadon de l'Atlantique Nord » soumis par les CPC en 2025 sont contenus dans le document </w:t>
      </w:r>
      <w:r w:rsidRPr="00DF2CE8">
        <w:rPr>
          <w:rFonts w:ascii="Cambria" w:hAnsi="Cambria"/>
          <w:b/>
          <w:i/>
          <w:color w:val="000000" w:themeColor="text1"/>
          <w:sz w:val="20"/>
          <w:szCs w:val="20"/>
        </w:rPr>
        <w:t>PA4-801/2025</w:t>
      </w:r>
      <w:r w:rsidRPr="00DF2CE8">
        <w:rPr>
          <w:rFonts w:ascii="Cambria" w:hAnsi="Cambria"/>
          <w:i/>
          <w:color w:val="000000" w:themeColor="text1"/>
          <w:sz w:val="20"/>
          <w:szCs w:val="20"/>
        </w:rPr>
        <w:t xml:space="preserve"> et les « plans de pêche de l'espadon de la Méditerranée » soumis en 2025 sont contenus dans le document </w:t>
      </w:r>
      <w:r w:rsidRPr="00DF2CE8">
        <w:rPr>
          <w:rFonts w:ascii="Cambria" w:hAnsi="Cambria"/>
          <w:b/>
          <w:i/>
          <w:color w:val="000000" w:themeColor="text1"/>
          <w:sz w:val="20"/>
          <w:szCs w:val="20"/>
        </w:rPr>
        <w:t>PA4-802/2025</w:t>
      </w:r>
      <w:r w:rsidRPr="00DF2CE8">
        <w:rPr>
          <w:rFonts w:ascii="Cambria" w:hAnsi="Cambria"/>
          <w:i/>
          <w:color w:val="000000" w:themeColor="text1"/>
          <w:sz w:val="20"/>
          <w:szCs w:val="20"/>
        </w:rPr>
        <w:t>.</w:t>
      </w:r>
    </w:p>
    <w:p w14:paraId="3989C9C5" w14:textId="77777777" w:rsidR="002A70B6" w:rsidRPr="00DF2CE8" w:rsidRDefault="002A70B6" w:rsidP="002A70B6">
      <w:pPr>
        <w:ind w:left="360"/>
        <w:jc w:val="both"/>
        <w:rPr>
          <w:rFonts w:ascii="Cambria" w:hAnsi="Cambria"/>
          <w:i/>
          <w:iCs/>
          <w:color w:val="000000" w:themeColor="text1"/>
          <w:sz w:val="20"/>
          <w:szCs w:val="20"/>
        </w:rPr>
      </w:pPr>
    </w:p>
    <w:p w14:paraId="760E6B25" w14:textId="41FB6687" w:rsidR="002A70B6" w:rsidRPr="00DF2CE8" w:rsidRDefault="002A70B6" w:rsidP="002A70B6">
      <w:pPr>
        <w:ind w:left="426"/>
        <w:jc w:val="both"/>
        <w:rPr>
          <w:rFonts w:ascii="Cambria" w:hAnsi="Cambria"/>
          <w:sz w:val="20"/>
          <w:szCs w:val="20"/>
        </w:rPr>
      </w:pPr>
      <w:r w:rsidRPr="00DF2CE8">
        <w:rPr>
          <w:rFonts w:ascii="Cambria" w:hAnsi="Cambria"/>
          <w:sz w:val="20"/>
          <w:szCs w:val="20"/>
        </w:rPr>
        <w:t>Les documents suivants ont été présentés par les CPC</w:t>
      </w:r>
      <w:r w:rsidR="00A50D90" w:rsidRPr="00DF2CE8">
        <w:rPr>
          <w:rFonts w:ascii="Cambria" w:hAnsi="Cambria"/>
          <w:sz w:val="20"/>
          <w:szCs w:val="20"/>
        </w:rPr>
        <w:t> </w:t>
      </w:r>
      <w:r w:rsidRPr="00DF2CE8">
        <w:rPr>
          <w:rFonts w:ascii="Cambria" w:hAnsi="Cambria"/>
          <w:sz w:val="20"/>
          <w:szCs w:val="20"/>
        </w:rPr>
        <w:t>:</w:t>
      </w:r>
    </w:p>
    <w:p w14:paraId="22316FD1" w14:textId="77777777" w:rsidR="002A70B6" w:rsidRPr="00DF2CE8" w:rsidRDefault="002A70B6" w:rsidP="002A70B6">
      <w:pPr>
        <w:ind w:left="360"/>
        <w:jc w:val="both"/>
        <w:rPr>
          <w:rFonts w:ascii="Cambria" w:hAnsi="Cambria"/>
          <w:color w:val="000000" w:themeColor="text1"/>
          <w:sz w:val="20"/>
          <w:szCs w:val="20"/>
        </w:rPr>
      </w:pPr>
    </w:p>
    <w:p w14:paraId="5D9B64B0" w14:textId="342F6084" w:rsidR="002A70B6" w:rsidRPr="00DF2CE8" w:rsidRDefault="002A70B6" w:rsidP="002A70B6">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La « Demande de quota sous condition de réserve pour la pêche du requin peau bleue (</w:t>
      </w:r>
      <w:proofErr w:type="spellStart"/>
      <w:r w:rsidRPr="00DF2CE8">
        <w:rPr>
          <w:rFonts w:ascii="Cambria" w:hAnsi="Cambria"/>
          <w:color w:val="000000" w:themeColor="text1"/>
          <w:sz w:val="20"/>
          <w:szCs w:val="20"/>
        </w:rPr>
        <w:t>Prionace</w:t>
      </w:r>
      <w:proofErr w:type="spellEnd"/>
      <w:r w:rsidRPr="00DF2CE8">
        <w:rPr>
          <w:rFonts w:ascii="Cambria" w:hAnsi="Cambria"/>
          <w:color w:val="000000" w:themeColor="text1"/>
          <w:sz w:val="20"/>
          <w:szCs w:val="20"/>
        </w:rPr>
        <w:t xml:space="preserve"> glauca</w:t>
      </w:r>
      <w:r w:rsidRPr="00DF2CE8">
        <w:rPr>
          <w:rFonts w:ascii="Cambria" w:hAnsi="Cambria"/>
          <w:i/>
          <w:color w:val="000000" w:themeColor="text1"/>
          <w:sz w:val="20"/>
          <w:szCs w:val="20"/>
        </w:rPr>
        <w:t>) et de l'espadon (</w:t>
      </w:r>
      <w:r w:rsidRPr="00DF2CE8">
        <w:rPr>
          <w:rFonts w:ascii="Cambria" w:hAnsi="Cambria"/>
          <w:color w:val="000000" w:themeColor="text1"/>
          <w:sz w:val="20"/>
          <w:szCs w:val="20"/>
        </w:rPr>
        <w:t xml:space="preserve">Xiphias </w:t>
      </w:r>
      <w:proofErr w:type="spellStart"/>
      <w:r w:rsidRPr="00DF2CE8">
        <w:rPr>
          <w:rFonts w:ascii="Cambria" w:hAnsi="Cambria"/>
          <w:color w:val="000000" w:themeColor="text1"/>
          <w:sz w:val="20"/>
          <w:szCs w:val="20"/>
        </w:rPr>
        <w:t>gladius</w:t>
      </w:r>
      <w:proofErr w:type="spellEnd"/>
      <w:r w:rsidRPr="00DF2CE8">
        <w:rPr>
          <w:rFonts w:ascii="Cambria" w:hAnsi="Cambria"/>
          <w:i/>
          <w:color w:val="000000" w:themeColor="text1"/>
          <w:sz w:val="20"/>
          <w:szCs w:val="20"/>
        </w:rPr>
        <w:t xml:space="preserve">) par la flottille battant pavillon du Cabo Verde dans la zone de la Convention de l’ICCAT » a été soumise par le Cabo Verde en tant que document </w:t>
      </w:r>
      <w:r w:rsidRPr="00DF2CE8">
        <w:rPr>
          <w:rFonts w:ascii="Cambria" w:hAnsi="Cambria"/>
          <w:b/>
          <w:bCs/>
          <w:i/>
          <w:color w:val="000000" w:themeColor="text1"/>
          <w:sz w:val="20"/>
          <w:szCs w:val="20"/>
        </w:rPr>
        <w:t>PA4-803/2025</w:t>
      </w:r>
      <w:r w:rsidRPr="00DF2CE8">
        <w:rPr>
          <w:rFonts w:ascii="Cambria" w:hAnsi="Cambria"/>
          <w:i/>
          <w:color w:val="000000" w:themeColor="text1"/>
          <w:sz w:val="20"/>
          <w:szCs w:val="20"/>
        </w:rPr>
        <w:t>.</w:t>
      </w:r>
    </w:p>
    <w:p w14:paraId="2D72A3E2" w14:textId="77777777" w:rsidR="002A70B6" w:rsidRPr="00DF2CE8" w:rsidRDefault="002A70B6" w:rsidP="002A70B6">
      <w:pPr>
        <w:ind w:left="360"/>
        <w:jc w:val="both"/>
        <w:rPr>
          <w:rFonts w:ascii="Cambria" w:hAnsi="Cambria"/>
          <w:i/>
          <w:iCs/>
          <w:color w:val="000000" w:themeColor="text1"/>
          <w:sz w:val="20"/>
          <w:szCs w:val="20"/>
        </w:rPr>
      </w:pPr>
    </w:p>
    <w:p w14:paraId="2205D6D1" w14:textId="62D5F9E5" w:rsidR="002A70B6" w:rsidRPr="00DF2CE8" w:rsidRDefault="002A70B6" w:rsidP="002A70B6">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w:t>
      </w:r>
      <w:r w:rsidR="008C65CB" w:rsidRPr="00DF2CE8">
        <w:rPr>
          <w:rFonts w:ascii="Cambria" w:hAnsi="Cambria"/>
          <w:i/>
          <w:color w:val="000000" w:themeColor="text1"/>
          <w:sz w:val="20"/>
          <w:szCs w:val="20"/>
        </w:rPr>
        <w:t>« </w:t>
      </w:r>
      <w:r w:rsidRPr="00DF2CE8">
        <w:rPr>
          <w:rFonts w:ascii="Cambria" w:hAnsi="Cambria"/>
          <w:i/>
          <w:color w:val="000000" w:themeColor="text1"/>
          <w:sz w:val="20"/>
          <w:szCs w:val="20"/>
        </w:rPr>
        <w:t>Projet de Recommandation de l'ICCAT concernant la conservation et la gestion des requins capturés en association avec les pêcheries de l’ICCAT</w:t>
      </w:r>
      <w:r w:rsidR="008C65CB" w:rsidRPr="00DF2CE8">
        <w:rPr>
          <w:rFonts w:ascii="Cambria" w:hAnsi="Cambria"/>
          <w:i/>
          <w:color w:val="000000" w:themeColor="text1"/>
          <w:sz w:val="20"/>
          <w:szCs w:val="20"/>
        </w:rPr>
        <w:t> »</w:t>
      </w:r>
      <w:r w:rsidRPr="00DF2CE8">
        <w:rPr>
          <w:rFonts w:ascii="Cambria" w:hAnsi="Cambria"/>
          <w:i/>
          <w:color w:val="000000" w:themeColor="text1"/>
          <w:sz w:val="20"/>
          <w:szCs w:val="20"/>
        </w:rPr>
        <w:t xml:space="preserve">, a été soumis par le Japon en tant que document </w:t>
      </w:r>
      <w:r w:rsidRPr="00DF2CE8">
        <w:rPr>
          <w:rFonts w:ascii="Cambria" w:hAnsi="Cambria"/>
          <w:b/>
          <w:i/>
          <w:color w:val="000000" w:themeColor="text1"/>
          <w:sz w:val="20"/>
          <w:szCs w:val="20"/>
        </w:rPr>
        <w:t>PA4-804/2025</w:t>
      </w:r>
      <w:r w:rsidRPr="00DF2CE8">
        <w:rPr>
          <w:rFonts w:ascii="Cambria" w:hAnsi="Cambria"/>
          <w:i/>
          <w:color w:val="000000" w:themeColor="text1"/>
          <w:sz w:val="20"/>
          <w:szCs w:val="20"/>
        </w:rPr>
        <w:t>.</w:t>
      </w:r>
    </w:p>
    <w:p w14:paraId="550ECEDD" w14:textId="77777777" w:rsidR="002A70B6" w:rsidRPr="00DF2CE8" w:rsidRDefault="002A70B6" w:rsidP="002A70B6">
      <w:pPr>
        <w:ind w:left="426"/>
        <w:jc w:val="both"/>
        <w:rPr>
          <w:rFonts w:ascii="Cambria" w:hAnsi="Cambria"/>
          <w:i/>
          <w:iCs/>
          <w:color w:val="000000" w:themeColor="text1"/>
          <w:sz w:val="20"/>
          <w:szCs w:val="20"/>
        </w:rPr>
      </w:pPr>
    </w:p>
    <w:p w14:paraId="3422E44E" w14:textId="689DF9AF" w:rsidR="002A70B6" w:rsidRPr="00DF2CE8" w:rsidRDefault="002A70B6" w:rsidP="002A70B6">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Le « Projet de Recommandation de l'ICCAT concernant la conservation des requins capturés en association avec les pêcheries gérées par l’ICCAT</w:t>
      </w:r>
      <w:r w:rsidR="00D97B0C" w:rsidRPr="00DF2CE8">
        <w:rPr>
          <w:rFonts w:ascii="Cambria" w:hAnsi="Cambria"/>
          <w:i/>
          <w:color w:val="000000" w:themeColor="text1"/>
          <w:sz w:val="20"/>
          <w:szCs w:val="20"/>
        </w:rPr>
        <w:t> »</w:t>
      </w:r>
      <w:r w:rsidRPr="00DF2CE8">
        <w:rPr>
          <w:rFonts w:ascii="Cambria" w:hAnsi="Cambria"/>
          <w:i/>
          <w:color w:val="000000" w:themeColor="text1"/>
          <w:sz w:val="20"/>
          <w:szCs w:val="20"/>
        </w:rPr>
        <w:t xml:space="preserve"> a été soumis par les États-Unis en tant que document </w:t>
      </w:r>
      <w:r w:rsidRPr="00DF2CE8">
        <w:rPr>
          <w:rFonts w:ascii="Cambria" w:hAnsi="Cambria"/>
          <w:b/>
          <w:bCs/>
          <w:i/>
          <w:color w:val="000000" w:themeColor="text1"/>
          <w:sz w:val="20"/>
          <w:szCs w:val="20"/>
        </w:rPr>
        <w:t>PA4-805/2025.</w:t>
      </w:r>
    </w:p>
    <w:p w14:paraId="399D4D04" w14:textId="77777777" w:rsidR="002A70B6" w:rsidRPr="00DF2CE8" w:rsidRDefault="002A70B6" w:rsidP="002A70B6">
      <w:pPr>
        <w:ind w:left="426"/>
        <w:jc w:val="both"/>
        <w:rPr>
          <w:rFonts w:ascii="Cambria" w:hAnsi="Cambria"/>
          <w:i/>
          <w:iCs/>
          <w:color w:val="000000" w:themeColor="text1"/>
          <w:sz w:val="20"/>
          <w:szCs w:val="20"/>
        </w:rPr>
      </w:pPr>
    </w:p>
    <w:p w14:paraId="62A073A2" w14:textId="43230CD4" w:rsidR="002A70B6" w:rsidRPr="00DF2CE8" w:rsidRDefault="002A70B6" w:rsidP="002A70B6">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Projet de </w:t>
      </w:r>
      <w:r w:rsidR="007F12C3" w:rsidRPr="00DF2CE8">
        <w:rPr>
          <w:rFonts w:ascii="Cambria" w:hAnsi="Cambria"/>
          <w:i/>
          <w:color w:val="000000" w:themeColor="text1"/>
          <w:sz w:val="20"/>
          <w:szCs w:val="20"/>
        </w:rPr>
        <w:t>Recommandation</w:t>
      </w:r>
      <w:r w:rsidRPr="00DF2CE8">
        <w:rPr>
          <w:rFonts w:ascii="Cambria" w:hAnsi="Cambria"/>
          <w:i/>
          <w:color w:val="000000" w:themeColor="text1"/>
          <w:sz w:val="20"/>
          <w:szCs w:val="20"/>
        </w:rPr>
        <w:t xml:space="preserve"> de l’ICCAT amendant la Recommandation 19-05 visant à établir des programmes de rétablissement pour le makaire bleu et le makaire blanc/makaire-épée</w:t>
      </w:r>
      <w:proofErr w:type="gramStart"/>
      <w:r w:rsidRPr="00DF2CE8">
        <w:rPr>
          <w:rFonts w:ascii="Cambria" w:hAnsi="Cambria"/>
          <w:i/>
          <w:color w:val="000000" w:themeColor="text1"/>
          <w:sz w:val="20"/>
          <w:szCs w:val="20"/>
        </w:rPr>
        <w:t> »a</w:t>
      </w:r>
      <w:proofErr w:type="gramEnd"/>
      <w:r w:rsidRPr="00DF2CE8">
        <w:rPr>
          <w:rFonts w:ascii="Cambria" w:hAnsi="Cambria"/>
          <w:i/>
          <w:color w:val="000000" w:themeColor="text1"/>
          <w:sz w:val="20"/>
          <w:szCs w:val="20"/>
        </w:rPr>
        <w:t xml:space="preserve"> été soumis par le Costa Rica en tant que document </w:t>
      </w:r>
      <w:r w:rsidRPr="00DF2CE8">
        <w:rPr>
          <w:rFonts w:ascii="Cambria" w:hAnsi="Cambria"/>
          <w:b/>
          <w:i/>
          <w:color w:val="000000" w:themeColor="text1"/>
          <w:sz w:val="20"/>
          <w:szCs w:val="20"/>
        </w:rPr>
        <w:t>PA4-806/2025</w:t>
      </w:r>
      <w:r w:rsidRPr="00DF2CE8">
        <w:rPr>
          <w:rFonts w:ascii="Cambria" w:hAnsi="Cambria"/>
          <w:i/>
          <w:color w:val="000000" w:themeColor="text1"/>
          <w:sz w:val="20"/>
          <w:szCs w:val="20"/>
        </w:rPr>
        <w:t>.</w:t>
      </w:r>
    </w:p>
    <w:p w14:paraId="4080FE3F" w14:textId="77777777" w:rsidR="002A70B6" w:rsidRPr="00DF2CE8" w:rsidRDefault="002A70B6" w:rsidP="002A70B6">
      <w:pPr>
        <w:ind w:left="426"/>
        <w:jc w:val="both"/>
        <w:rPr>
          <w:rFonts w:ascii="Cambria" w:hAnsi="Cambria"/>
          <w:i/>
          <w:iCs/>
          <w:color w:val="000000" w:themeColor="text1"/>
          <w:sz w:val="20"/>
          <w:szCs w:val="20"/>
        </w:rPr>
      </w:pPr>
    </w:p>
    <w:p w14:paraId="2FA67C0C" w14:textId="18872340" w:rsidR="002A70B6" w:rsidRPr="00DF2CE8" w:rsidRDefault="002A70B6" w:rsidP="002A70B6">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Le « Projet de Recommandation de l’ICCAT instituant l’obligation de conserver les ailerons naturellement attachés afin d’en empêcher le prélèvement » a été soumis par l'Union européenne</w:t>
      </w:r>
      <w:r w:rsidR="002A1FF6" w:rsidRPr="00DF2CE8">
        <w:rPr>
          <w:rFonts w:ascii="Cambria" w:hAnsi="Cambria"/>
          <w:i/>
          <w:color w:val="000000" w:themeColor="text1"/>
          <w:sz w:val="20"/>
          <w:szCs w:val="20"/>
        </w:rPr>
        <w:t xml:space="preserve">, </w:t>
      </w:r>
      <w:r w:rsidR="00497882" w:rsidRPr="00DF2CE8">
        <w:rPr>
          <w:rFonts w:ascii="Cambria" w:hAnsi="Cambria"/>
          <w:i/>
          <w:color w:val="000000" w:themeColor="text1"/>
          <w:sz w:val="20"/>
          <w:szCs w:val="20"/>
        </w:rPr>
        <w:t>l’</w:t>
      </w:r>
      <w:r w:rsidR="002A1FF6" w:rsidRPr="00DF2CE8">
        <w:rPr>
          <w:rFonts w:ascii="Cambria" w:hAnsi="Cambria"/>
          <w:i/>
          <w:color w:val="000000" w:themeColor="text1"/>
          <w:sz w:val="20"/>
          <w:szCs w:val="20"/>
        </w:rPr>
        <w:t xml:space="preserve">Albanie, </w:t>
      </w:r>
      <w:r w:rsidR="00497882" w:rsidRPr="00DF2CE8">
        <w:rPr>
          <w:rFonts w:ascii="Cambria" w:hAnsi="Cambria"/>
          <w:i/>
          <w:color w:val="000000" w:themeColor="text1"/>
          <w:sz w:val="20"/>
          <w:szCs w:val="20"/>
        </w:rPr>
        <w:t>la</w:t>
      </w:r>
      <w:r w:rsidR="002A1FF6" w:rsidRPr="00DF2CE8">
        <w:rPr>
          <w:rFonts w:ascii="Cambria" w:hAnsi="Cambria"/>
          <w:i/>
          <w:color w:val="000000" w:themeColor="text1"/>
          <w:sz w:val="20"/>
          <w:szCs w:val="20"/>
        </w:rPr>
        <w:t xml:space="preserve"> Barbade, </w:t>
      </w:r>
      <w:r w:rsidR="00497882" w:rsidRPr="00DF2CE8">
        <w:rPr>
          <w:rFonts w:ascii="Cambria" w:hAnsi="Cambria"/>
          <w:i/>
          <w:color w:val="000000" w:themeColor="text1"/>
          <w:sz w:val="20"/>
          <w:szCs w:val="20"/>
        </w:rPr>
        <w:t xml:space="preserve">le </w:t>
      </w:r>
      <w:r w:rsidR="002A1FF6" w:rsidRPr="00DF2CE8">
        <w:rPr>
          <w:rFonts w:ascii="Cambria" w:hAnsi="Cambria"/>
          <w:i/>
          <w:color w:val="000000" w:themeColor="text1"/>
          <w:sz w:val="20"/>
          <w:szCs w:val="20"/>
        </w:rPr>
        <w:t xml:space="preserve">Canada, </w:t>
      </w:r>
      <w:r w:rsidR="00497882" w:rsidRPr="00DF2CE8">
        <w:rPr>
          <w:rFonts w:ascii="Cambria" w:hAnsi="Cambria"/>
          <w:i/>
          <w:color w:val="000000" w:themeColor="text1"/>
          <w:sz w:val="20"/>
          <w:szCs w:val="20"/>
        </w:rPr>
        <w:t xml:space="preserve">le </w:t>
      </w:r>
      <w:r w:rsidR="002A1FF6" w:rsidRPr="00DF2CE8">
        <w:rPr>
          <w:rFonts w:ascii="Cambria" w:hAnsi="Cambria"/>
          <w:i/>
          <w:color w:val="000000" w:themeColor="text1"/>
          <w:sz w:val="20"/>
          <w:szCs w:val="20"/>
        </w:rPr>
        <w:t xml:space="preserve">Costa Rica, </w:t>
      </w:r>
      <w:r w:rsidR="00497882" w:rsidRPr="00DF2CE8">
        <w:rPr>
          <w:rFonts w:ascii="Cambria" w:hAnsi="Cambria"/>
          <w:i/>
          <w:color w:val="000000" w:themeColor="text1"/>
          <w:sz w:val="20"/>
          <w:szCs w:val="20"/>
        </w:rPr>
        <w:t xml:space="preserve">le </w:t>
      </w:r>
      <w:r w:rsidR="002A1FF6" w:rsidRPr="00DF2CE8">
        <w:rPr>
          <w:rFonts w:ascii="Cambria" w:hAnsi="Cambria"/>
          <w:i/>
          <w:color w:val="000000" w:themeColor="text1"/>
          <w:sz w:val="20"/>
          <w:szCs w:val="20"/>
        </w:rPr>
        <w:t xml:space="preserve">Honduras, </w:t>
      </w:r>
      <w:r w:rsidR="00497882" w:rsidRPr="00DF2CE8">
        <w:rPr>
          <w:rFonts w:ascii="Cambria" w:hAnsi="Cambria"/>
          <w:i/>
          <w:color w:val="000000" w:themeColor="text1"/>
          <w:sz w:val="20"/>
          <w:szCs w:val="20"/>
        </w:rPr>
        <w:t xml:space="preserve">le </w:t>
      </w:r>
      <w:r w:rsidR="002A1FF6" w:rsidRPr="00DF2CE8">
        <w:rPr>
          <w:rFonts w:ascii="Cambria" w:hAnsi="Cambria"/>
          <w:i/>
          <w:color w:val="000000" w:themeColor="text1"/>
          <w:sz w:val="20"/>
          <w:szCs w:val="20"/>
        </w:rPr>
        <w:t xml:space="preserve">Libéria, </w:t>
      </w:r>
      <w:r w:rsidR="005628E2" w:rsidRPr="00DF2CE8">
        <w:rPr>
          <w:rFonts w:ascii="Cambria" w:hAnsi="Cambria"/>
          <w:i/>
          <w:color w:val="000000" w:themeColor="text1"/>
          <w:sz w:val="20"/>
          <w:szCs w:val="20"/>
        </w:rPr>
        <w:t xml:space="preserve">le </w:t>
      </w:r>
      <w:r w:rsidR="002A1FF6" w:rsidRPr="00DF2CE8">
        <w:rPr>
          <w:rFonts w:ascii="Cambria" w:hAnsi="Cambria"/>
          <w:i/>
          <w:color w:val="000000" w:themeColor="text1"/>
          <w:sz w:val="20"/>
          <w:szCs w:val="20"/>
        </w:rPr>
        <w:t xml:space="preserve">Nicaragua, </w:t>
      </w:r>
      <w:r w:rsidR="005628E2" w:rsidRPr="00DF2CE8">
        <w:rPr>
          <w:rFonts w:ascii="Cambria" w:hAnsi="Cambria"/>
          <w:i/>
          <w:color w:val="000000" w:themeColor="text1"/>
          <w:sz w:val="20"/>
          <w:szCs w:val="20"/>
        </w:rPr>
        <w:t xml:space="preserve">le </w:t>
      </w:r>
      <w:r w:rsidR="002A1FF6" w:rsidRPr="00DF2CE8">
        <w:rPr>
          <w:rFonts w:ascii="Cambria" w:hAnsi="Cambria"/>
          <w:i/>
          <w:color w:val="000000" w:themeColor="text1"/>
          <w:sz w:val="20"/>
          <w:szCs w:val="20"/>
        </w:rPr>
        <w:t xml:space="preserve">Nigéria, </w:t>
      </w:r>
      <w:r w:rsidR="005628E2" w:rsidRPr="00DF2CE8">
        <w:rPr>
          <w:rFonts w:ascii="Cambria" w:hAnsi="Cambria"/>
          <w:i/>
          <w:color w:val="000000" w:themeColor="text1"/>
          <w:sz w:val="20"/>
          <w:szCs w:val="20"/>
        </w:rPr>
        <w:t xml:space="preserve">la </w:t>
      </w:r>
      <w:r w:rsidR="002A1FF6" w:rsidRPr="00DF2CE8">
        <w:rPr>
          <w:rFonts w:ascii="Cambria" w:hAnsi="Cambria"/>
          <w:i/>
          <w:color w:val="000000" w:themeColor="text1"/>
          <w:sz w:val="20"/>
          <w:szCs w:val="20"/>
        </w:rPr>
        <w:t xml:space="preserve">Norvège, </w:t>
      </w:r>
      <w:r w:rsidR="005628E2" w:rsidRPr="00DF2CE8">
        <w:rPr>
          <w:rFonts w:ascii="Cambria" w:hAnsi="Cambria"/>
          <w:i/>
          <w:color w:val="000000" w:themeColor="text1"/>
          <w:sz w:val="20"/>
          <w:szCs w:val="20"/>
        </w:rPr>
        <w:t xml:space="preserve">le </w:t>
      </w:r>
      <w:r w:rsidR="002A1FF6" w:rsidRPr="00DF2CE8">
        <w:rPr>
          <w:rFonts w:ascii="Cambria" w:hAnsi="Cambria"/>
          <w:i/>
          <w:color w:val="000000" w:themeColor="text1"/>
          <w:sz w:val="20"/>
          <w:szCs w:val="20"/>
        </w:rPr>
        <w:t xml:space="preserve">Panama, </w:t>
      </w:r>
      <w:r w:rsidR="005628E2" w:rsidRPr="00DF2CE8">
        <w:rPr>
          <w:rFonts w:ascii="Cambria" w:hAnsi="Cambria"/>
          <w:i/>
          <w:color w:val="000000" w:themeColor="text1"/>
          <w:sz w:val="20"/>
          <w:szCs w:val="20"/>
        </w:rPr>
        <w:t xml:space="preserve">les </w:t>
      </w:r>
      <w:r w:rsidR="002A1FF6" w:rsidRPr="00DF2CE8">
        <w:rPr>
          <w:rFonts w:ascii="Cambria" w:hAnsi="Cambria"/>
          <w:i/>
          <w:color w:val="000000" w:themeColor="text1"/>
          <w:sz w:val="20"/>
          <w:szCs w:val="20"/>
        </w:rPr>
        <w:t xml:space="preserve">Philippines, </w:t>
      </w:r>
      <w:r w:rsidR="005628E2" w:rsidRPr="00DF2CE8">
        <w:rPr>
          <w:rFonts w:ascii="Cambria" w:hAnsi="Cambria"/>
          <w:i/>
          <w:color w:val="000000" w:themeColor="text1"/>
          <w:sz w:val="20"/>
          <w:szCs w:val="20"/>
        </w:rPr>
        <w:t>l’</w:t>
      </w:r>
      <w:r w:rsidR="002A1FF6" w:rsidRPr="00DF2CE8">
        <w:rPr>
          <w:rFonts w:ascii="Cambria" w:hAnsi="Cambria"/>
          <w:i/>
          <w:color w:val="000000" w:themeColor="text1"/>
          <w:sz w:val="20"/>
          <w:szCs w:val="20"/>
        </w:rPr>
        <w:t xml:space="preserve">Afrique du Sud, </w:t>
      </w:r>
      <w:r w:rsidR="005628E2" w:rsidRPr="00DF2CE8">
        <w:rPr>
          <w:rFonts w:ascii="Cambria" w:hAnsi="Cambria"/>
          <w:i/>
          <w:color w:val="000000" w:themeColor="text1"/>
          <w:sz w:val="20"/>
          <w:szCs w:val="20"/>
        </w:rPr>
        <w:t xml:space="preserve">le </w:t>
      </w:r>
      <w:r w:rsidR="002A1FF6" w:rsidRPr="00DF2CE8">
        <w:rPr>
          <w:rFonts w:ascii="Cambria" w:hAnsi="Cambria"/>
          <w:i/>
          <w:color w:val="000000" w:themeColor="text1"/>
          <w:sz w:val="20"/>
          <w:szCs w:val="20"/>
        </w:rPr>
        <w:t xml:space="preserve">Royaume-Uni et </w:t>
      </w:r>
      <w:r w:rsidR="005628E2" w:rsidRPr="00DF2CE8">
        <w:rPr>
          <w:rFonts w:ascii="Cambria" w:hAnsi="Cambria"/>
          <w:i/>
          <w:color w:val="000000" w:themeColor="text1"/>
          <w:sz w:val="20"/>
          <w:szCs w:val="20"/>
        </w:rPr>
        <w:t xml:space="preserve">le </w:t>
      </w:r>
      <w:r w:rsidR="002A1FF6" w:rsidRPr="00DF2CE8">
        <w:rPr>
          <w:rFonts w:ascii="Cambria" w:hAnsi="Cambria"/>
          <w:i/>
          <w:color w:val="000000" w:themeColor="text1"/>
          <w:sz w:val="20"/>
          <w:szCs w:val="20"/>
        </w:rPr>
        <w:t>Venezuela</w:t>
      </w:r>
      <w:r w:rsidRPr="00DF2CE8">
        <w:rPr>
          <w:rFonts w:ascii="Cambria" w:hAnsi="Cambria"/>
          <w:i/>
          <w:color w:val="000000" w:themeColor="text1"/>
          <w:sz w:val="20"/>
          <w:szCs w:val="20"/>
        </w:rPr>
        <w:t xml:space="preserve"> en tant que document </w:t>
      </w:r>
      <w:r w:rsidRPr="00DF2CE8">
        <w:rPr>
          <w:rFonts w:ascii="Cambria" w:hAnsi="Cambria"/>
          <w:b/>
          <w:i/>
          <w:color w:val="000000" w:themeColor="text1"/>
          <w:sz w:val="20"/>
          <w:szCs w:val="20"/>
        </w:rPr>
        <w:t>PA4-807/2025</w:t>
      </w:r>
      <w:r w:rsidR="00FB25DD" w:rsidRPr="00DF2CE8">
        <w:rPr>
          <w:rFonts w:ascii="Cambria" w:hAnsi="Cambria"/>
          <w:b/>
          <w:i/>
          <w:color w:val="000000" w:themeColor="text1"/>
          <w:sz w:val="20"/>
          <w:szCs w:val="20"/>
        </w:rPr>
        <w:t>_SPONS_1</w:t>
      </w:r>
      <w:r w:rsidRPr="00DF2CE8">
        <w:rPr>
          <w:rFonts w:ascii="Cambria" w:hAnsi="Cambria"/>
          <w:b/>
          <w:i/>
          <w:color w:val="000000" w:themeColor="text1"/>
          <w:sz w:val="20"/>
          <w:szCs w:val="20"/>
        </w:rPr>
        <w:t>.</w:t>
      </w:r>
    </w:p>
    <w:p w14:paraId="20F1A4F0" w14:textId="77777777" w:rsidR="002A70B6" w:rsidRPr="00DF2CE8" w:rsidRDefault="002A70B6" w:rsidP="002A70B6">
      <w:pPr>
        <w:ind w:left="426"/>
        <w:jc w:val="both"/>
        <w:rPr>
          <w:rFonts w:ascii="Cambria" w:hAnsi="Cambria"/>
          <w:i/>
          <w:iCs/>
          <w:color w:val="000000" w:themeColor="text1"/>
          <w:sz w:val="20"/>
          <w:szCs w:val="20"/>
        </w:rPr>
      </w:pPr>
    </w:p>
    <w:p w14:paraId="71515716" w14:textId="77777777" w:rsidR="002A70B6" w:rsidRPr="00DF2CE8" w:rsidRDefault="002A70B6" w:rsidP="002A70B6">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Projet de Recommandation de l'ICCAT concernant la conservation et la gestion des requins capturés en association avec les pêcheries de l’ICCAT » a été soumis par l'Union européenne en tant que document </w:t>
      </w:r>
      <w:r w:rsidRPr="00DF2CE8">
        <w:rPr>
          <w:rFonts w:ascii="Cambria" w:hAnsi="Cambria"/>
          <w:b/>
          <w:i/>
          <w:color w:val="000000" w:themeColor="text1"/>
          <w:sz w:val="20"/>
          <w:szCs w:val="20"/>
        </w:rPr>
        <w:t>PA4-808/2025</w:t>
      </w:r>
      <w:r w:rsidRPr="00DF2CE8">
        <w:rPr>
          <w:rFonts w:ascii="Cambria" w:hAnsi="Cambria"/>
          <w:i/>
          <w:color w:val="000000" w:themeColor="text1"/>
          <w:sz w:val="20"/>
          <w:szCs w:val="20"/>
        </w:rPr>
        <w:t>.</w:t>
      </w:r>
    </w:p>
    <w:p w14:paraId="5886E745" w14:textId="77777777" w:rsidR="002A70B6" w:rsidRPr="00DF2CE8" w:rsidRDefault="002A70B6" w:rsidP="002A70B6">
      <w:pPr>
        <w:ind w:left="426"/>
        <w:jc w:val="both"/>
        <w:rPr>
          <w:rFonts w:ascii="Cambria" w:hAnsi="Cambria"/>
          <w:i/>
          <w:iCs/>
          <w:color w:val="000000" w:themeColor="text1"/>
          <w:sz w:val="20"/>
          <w:szCs w:val="20"/>
        </w:rPr>
      </w:pPr>
    </w:p>
    <w:p w14:paraId="68ED2728" w14:textId="6C27AA6B" w:rsidR="000D7C81" w:rsidRPr="00DF2CE8" w:rsidRDefault="000D7C81" w:rsidP="000D7C81">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Le « Projet de Recommandation de </w:t>
      </w:r>
      <w:r w:rsidR="00CC0317" w:rsidRPr="00DF2CE8">
        <w:rPr>
          <w:rFonts w:ascii="Cambria" w:hAnsi="Cambria"/>
          <w:i/>
          <w:color w:val="000000" w:themeColor="text1"/>
          <w:sz w:val="20"/>
          <w:szCs w:val="20"/>
        </w:rPr>
        <w:t>l’ICCAT</w:t>
      </w:r>
      <w:r w:rsidRPr="00DF2CE8">
        <w:rPr>
          <w:rFonts w:ascii="Cambria" w:hAnsi="Cambria"/>
          <w:i/>
          <w:color w:val="000000" w:themeColor="text1"/>
          <w:sz w:val="20"/>
          <w:szCs w:val="20"/>
        </w:rPr>
        <w:t xml:space="preserve"> amendant la Recommandation 19-05 visant à établir des programmes de rétablissement pour le makaire bleu et le makaire blanc/makaire épée </w:t>
      </w:r>
      <w:r w:rsidR="00CC0317" w:rsidRPr="00DF2CE8">
        <w:rPr>
          <w:rFonts w:ascii="Cambria" w:hAnsi="Cambria"/>
          <w:i/>
          <w:color w:val="000000" w:themeColor="text1"/>
          <w:sz w:val="20"/>
          <w:szCs w:val="20"/>
        </w:rPr>
        <w:t>et à inclure des dispositions particulières pour les CPC qui sont de petites îles</w:t>
      </w:r>
      <w:r w:rsidRPr="00DF2CE8">
        <w:rPr>
          <w:rFonts w:ascii="Cambria" w:hAnsi="Cambria"/>
          <w:i/>
          <w:color w:val="000000" w:themeColor="text1"/>
          <w:sz w:val="20"/>
          <w:szCs w:val="20"/>
        </w:rPr>
        <w:t xml:space="preserve"> en développement (</w:t>
      </w:r>
      <w:r w:rsidR="00CC0317" w:rsidRPr="00DF2CE8">
        <w:rPr>
          <w:rFonts w:ascii="Cambria" w:hAnsi="Cambria"/>
          <w:i/>
          <w:color w:val="000000" w:themeColor="text1"/>
          <w:sz w:val="20"/>
          <w:szCs w:val="20"/>
        </w:rPr>
        <w:t>SID</w:t>
      </w:r>
      <w:r w:rsidRPr="00DF2CE8">
        <w:rPr>
          <w:rFonts w:ascii="Cambria" w:hAnsi="Cambria"/>
          <w:i/>
          <w:color w:val="000000" w:themeColor="text1"/>
          <w:sz w:val="20"/>
          <w:szCs w:val="20"/>
        </w:rPr>
        <w:t>) des Caraïbes</w:t>
      </w:r>
      <w:r w:rsidR="00CC0317" w:rsidRPr="00DF2CE8">
        <w:rPr>
          <w:rFonts w:ascii="Cambria" w:hAnsi="Cambria"/>
          <w:i/>
          <w:color w:val="000000" w:themeColor="text1"/>
          <w:sz w:val="20"/>
          <w:szCs w:val="20"/>
        </w:rPr>
        <w:t xml:space="preserve"> conformément à la Résolution 15-13</w:t>
      </w:r>
      <w:r w:rsidRPr="00DF2CE8">
        <w:rPr>
          <w:rFonts w:ascii="Cambria" w:hAnsi="Cambria"/>
          <w:i/>
          <w:color w:val="000000" w:themeColor="text1"/>
          <w:sz w:val="20"/>
          <w:szCs w:val="20"/>
        </w:rPr>
        <w:t> » a été soumis par la Barbade</w:t>
      </w:r>
      <w:r w:rsidR="00425FF4" w:rsidRPr="00DF2CE8">
        <w:rPr>
          <w:rFonts w:ascii="Cambria" w:hAnsi="Cambria"/>
          <w:i/>
          <w:iCs/>
          <w:color w:val="000000" w:themeColor="text1"/>
          <w:sz w:val="20"/>
          <w:szCs w:val="20"/>
        </w:rPr>
        <w:t>, le Belize, G</w:t>
      </w:r>
      <w:r w:rsidR="00DC3173" w:rsidRPr="00DF2CE8">
        <w:rPr>
          <w:rFonts w:ascii="Cambria" w:hAnsi="Cambria"/>
          <w:i/>
          <w:iCs/>
          <w:color w:val="000000" w:themeColor="text1"/>
          <w:sz w:val="20"/>
          <w:szCs w:val="20"/>
        </w:rPr>
        <w:t>renad</w:t>
      </w:r>
      <w:r w:rsidR="009E1DFC" w:rsidRPr="00DF2CE8">
        <w:rPr>
          <w:rFonts w:ascii="Cambria" w:hAnsi="Cambria"/>
          <w:i/>
          <w:iCs/>
          <w:color w:val="000000" w:themeColor="text1"/>
          <w:sz w:val="20"/>
          <w:szCs w:val="20"/>
        </w:rPr>
        <w:t>e</w:t>
      </w:r>
      <w:r w:rsidR="00425FF4" w:rsidRPr="00DF2CE8">
        <w:rPr>
          <w:rFonts w:ascii="Cambria" w:hAnsi="Cambria"/>
          <w:i/>
          <w:iCs/>
          <w:color w:val="000000" w:themeColor="text1"/>
          <w:sz w:val="20"/>
          <w:szCs w:val="20"/>
        </w:rPr>
        <w:t xml:space="preserve">, St. Vincent </w:t>
      </w:r>
      <w:r w:rsidR="00883AD0" w:rsidRPr="00DF2CE8">
        <w:rPr>
          <w:rFonts w:ascii="Cambria" w:hAnsi="Cambria"/>
          <w:i/>
          <w:iCs/>
          <w:color w:val="000000" w:themeColor="text1"/>
          <w:sz w:val="20"/>
          <w:szCs w:val="20"/>
        </w:rPr>
        <w:t>et les</w:t>
      </w:r>
      <w:r w:rsidR="00425FF4" w:rsidRPr="00DF2CE8">
        <w:rPr>
          <w:rFonts w:ascii="Cambria" w:hAnsi="Cambria"/>
          <w:i/>
          <w:iCs/>
          <w:color w:val="000000" w:themeColor="text1"/>
          <w:sz w:val="20"/>
          <w:szCs w:val="20"/>
        </w:rPr>
        <w:t xml:space="preserve"> Grenadines </w:t>
      </w:r>
      <w:r w:rsidR="00883AD0" w:rsidRPr="00DF2CE8">
        <w:rPr>
          <w:rFonts w:ascii="Cambria" w:hAnsi="Cambria"/>
          <w:i/>
          <w:iCs/>
          <w:color w:val="000000" w:themeColor="text1"/>
          <w:sz w:val="20"/>
          <w:szCs w:val="20"/>
        </w:rPr>
        <w:t>et</w:t>
      </w:r>
      <w:r w:rsidR="00425FF4" w:rsidRPr="00DF2CE8">
        <w:rPr>
          <w:rFonts w:ascii="Cambria" w:hAnsi="Cambria"/>
          <w:i/>
          <w:iCs/>
          <w:color w:val="000000" w:themeColor="text1"/>
          <w:sz w:val="20"/>
          <w:szCs w:val="20"/>
        </w:rPr>
        <w:t xml:space="preserve"> Trini</w:t>
      </w:r>
      <w:r w:rsidR="00883AD0" w:rsidRPr="00DF2CE8">
        <w:rPr>
          <w:rFonts w:ascii="Cambria" w:hAnsi="Cambria"/>
          <w:i/>
          <w:iCs/>
          <w:color w:val="000000" w:themeColor="text1"/>
          <w:sz w:val="20"/>
          <w:szCs w:val="20"/>
        </w:rPr>
        <w:t>té-et-</w:t>
      </w:r>
      <w:r w:rsidRPr="00DF2CE8">
        <w:rPr>
          <w:rFonts w:ascii="Cambria" w:hAnsi="Cambria"/>
          <w:i/>
          <w:color w:val="000000" w:themeColor="text1"/>
          <w:sz w:val="20"/>
          <w:szCs w:val="20"/>
        </w:rPr>
        <w:t>Tobago</w:t>
      </w:r>
      <w:r w:rsidR="00425FF4" w:rsidRPr="00DF2CE8">
        <w:rPr>
          <w:rFonts w:ascii="Cambria" w:hAnsi="Cambria"/>
          <w:i/>
          <w:iCs/>
          <w:color w:val="000000" w:themeColor="text1"/>
          <w:sz w:val="20"/>
          <w:szCs w:val="20"/>
        </w:rPr>
        <w:t>)</w:t>
      </w:r>
      <w:r w:rsidRPr="00DF2CE8">
        <w:rPr>
          <w:rFonts w:ascii="Cambria" w:hAnsi="Cambria"/>
          <w:i/>
          <w:color w:val="000000" w:themeColor="text1"/>
          <w:sz w:val="20"/>
          <w:szCs w:val="20"/>
        </w:rPr>
        <w:t xml:space="preserve"> en tant que document </w:t>
      </w:r>
      <w:r w:rsidRPr="00DF2CE8">
        <w:rPr>
          <w:rFonts w:ascii="Cambria" w:hAnsi="Cambria"/>
          <w:b/>
          <w:i/>
          <w:color w:val="000000" w:themeColor="text1"/>
          <w:sz w:val="20"/>
          <w:szCs w:val="20"/>
        </w:rPr>
        <w:t>PA4-809</w:t>
      </w:r>
      <w:r w:rsidR="00D97B0C" w:rsidRPr="00DF2CE8">
        <w:rPr>
          <w:rFonts w:ascii="Cambria" w:hAnsi="Cambria"/>
          <w:b/>
          <w:i/>
          <w:color w:val="000000" w:themeColor="text1"/>
          <w:sz w:val="20"/>
          <w:szCs w:val="20"/>
        </w:rPr>
        <w:t>_REV_1</w:t>
      </w:r>
      <w:r w:rsidRPr="00DF2CE8">
        <w:rPr>
          <w:rFonts w:ascii="Cambria" w:hAnsi="Cambria"/>
          <w:b/>
          <w:i/>
          <w:color w:val="000000" w:themeColor="text1"/>
          <w:sz w:val="20"/>
          <w:szCs w:val="20"/>
        </w:rPr>
        <w:t>/2025</w:t>
      </w:r>
      <w:r w:rsidRPr="00DF2CE8">
        <w:rPr>
          <w:rFonts w:ascii="Cambria" w:hAnsi="Cambria"/>
          <w:i/>
          <w:color w:val="000000" w:themeColor="text1"/>
          <w:sz w:val="20"/>
          <w:szCs w:val="20"/>
        </w:rPr>
        <w:t>.</w:t>
      </w:r>
    </w:p>
    <w:p w14:paraId="57046705" w14:textId="77777777" w:rsidR="002A70B6" w:rsidRPr="00DF2CE8" w:rsidRDefault="002A70B6" w:rsidP="002A70B6">
      <w:pPr>
        <w:ind w:left="426"/>
        <w:jc w:val="both"/>
        <w:rPr>
          <w:rFonts w:ascii="Cambria" w:hAnsi="Cambria"/>
          <w:i/>
          <w:iCs/>
          <w:color w:val="000000" w:themeColor="text1"/>
          <w:sz w:val="20"/>
          <w:szCs w:val="20"/>
        </w:rPr>
      </w:pPr>
    </w:p>
    <w:p w14:paraId="5EF11FC7" w14:textId="77777777" w:rsidR="002A70B6" w:rsidRPr="00DF2CE8" w:rsidRDefault="002A70B6" w:rsidP="002A70B6">
      <w:pPr>
        <w:ind w:left="426"/>
        <w:jc w:val="both"/>
        <w:rPr>
          <w:rFonts w:ascii="Cambria" w:hAnsi="Cambria"/>
          <w:i/>
          <w:iCs/>
          <w:color w:val="000000" w:themeColor="text1"/>
          <w:sz w:val="20"/>
          <w:szCs w:val="20"/>
        </w:rPr>
      </w:pPr>
      <w:r w:rsidRPr="00DF2CE8">
        <w:rPr>
          <w:rFonts w:ascii="Cambria" w:hAnsi="Cambria"/>
          <w:i/>
          <w:color w:val="000000" w:themeColor="text1"/>
          <w:sz w:val="20"/>
          <w:szCs w:val="20"/>
        </w:rPr>
        <w:t xml:space="preserve">La « Déclaration de la République bolivarienne du Venezuela concernant les limites de débarquement du makaire bleu et du makaire blanc/makaire-épée » a été soumise par le Venezuela en tant que document </w:t>
      </w:r>
      <w:r w:rsidRPr="00DF2CE8">
        <w:rPr>
          <w:rFonts w:ascii="Cambria" w:hAnsi="Cambria"/>
          <w:b/>
          <w:i/>
          <w:color w:val="000000" w:themeColor="text1"/>
          <w:sz w:val="20"/>
          <w:szCs w:val="20"/>
        </w:rPr>
        <w:t>PA4-810/2025</w:t>
      </w:r>
      <w:r w:rsidRPr="00DF2CE8">
        <w:rPr>
          <w:rFonts w:ascii="Cambria" w:hAnsi="Cambria"/>
          <w:i/>
          <w:color w:val="000000" w:themeColor="text1"/>
          <w:sz w:val="20"/>
          <w:szCs w:val="20"/>
        </w:rPr>
        <w:t>.</w:t>
      </w:r>
    </w:p>
    <w:p w14:paraId="635D03E3" w14:textId="77777777" w:rsidR="002A70B6" w:rsidRPr="00DF2CE8" w:rsidRDefault="002A70B6" w:rsidP="002A70B6">
      <w:pPr>
        <w:jc w:val="both"/>
        <w:rPr>
          <w:rStyle w:val="Hyperlink"/>
          <w:rFonts w:ascii="Cambria" w:hAnsi="Cambria"/>
          <w:sz w:val="20"/>
          <w:szCs w:val="20"/>
          <w:u w:val="none"/>
        </w:rPr>
      </w:pPr>
    </w:p>
    <w:p w14:paraId="3F92588C" w14:textId="5C32CA5C" w:rsidR="000D7C81" w:rsidRPr="00DF2CE8" w:rsidRDefault="000D7C81" w:rsidP="000D7C81">
      <w:pPr>
        <w:ind w:left="426"/>
        <w:jc w:val="both"/>
        <w:rPr>
          <w:rFonts w:ascii="Cambria" w:hAnsi="Cambria"/>
          <w:i/>
          <w:iCs/>
          <w:sz w:val="20"/>
          <w:szCs w:val="20"/>
        </w:rPr>
      </w:pPr>
      <w:r w:rsidRPr="00DF2CE8">
        <w:rPr>
          <w:rFonts w:ascii="Cambria" w:hAnsi="Cambria"/>
          <w:i/>
          <w:sz w:val="20"/>
          <w:szCs w:val="20"/>
        </w:rPr>
        <w:t xml:space="preserve">Le </w:t>
      </w:r>
      <w:r w:rsidR="009524AB" w:rsidRPr="00DF2CE8">
        <w:rPr>
          <w:rFonts w:ascii="Cambria" w:hAnsi="Cambria"/>
          <w:i/>
          <w:sz w:val="20"/>
          <w:szCs w:val="20"/>
        </w:rPr>
        <w:t>« </w:t>
      </w:r>
      <w:r w:rsidRPr="00DF2CE8">
        <w:rPr>
          <w:rFonts w:ascii="Cambria" w:hAnsi="Cambria"/>
          <w:i/>
          <w:sz w:val="20"/>
          <w:szCs w:val="20"/>
        </w:rPr>
        <w:t>Projet de recommandation de l’ICCAT visant à amender la Recommandation 07-07 et la Recommandation supplémentaire 11-09 sur la réduction des prises accidentelles d'oiseaux de mer dans les pêcheries palangrières de l’ICCAT</w:t>
      </w:r>
      <w:r w:rsidR="009524AB" w:rsidRPr="00DF2CE8">
        <w:rPr>
          <w:rFonts w:ascii="Cambria" w:hAnsi="Cambria"/>
          <w:i/>
          <w:sz w:val="20"/>
          <w:szCs w:val="20"/>
        </w:rPr>
        <w:t> »</w:t>
      </w:r>
      <w:r w:rsidRPr="00DF2CE8">
        <w:rPr>
          <w:rFonts w:ascii="Cambria" w:hAnsi="Cambria"/>
          <w:i/>
          <w:sz w:val="20"/>
          <w:szCs w:val="20"/>
        </w:rPr>
        <w:t xml:space="preserve">, soumis par le Royaume-Uni en tant que document </w:t>
      </w:r>
      <w:r w:rsidRPr="00DF2CE8">
        <w:rPr>
          <w:rFonts w:ascii="Cambria" w:hAnsi="Cambria"/>
          <w:b/>
          <w:i/>
          <w:sz w:val="20"/>
          <w:szCs w:val="20"/>
        </w:rPr>
        <w:t>PA4-811/2025</w:t>
      </w:r>
      <w:r w:rsidRPr="00DF2CE8">
        <w:rPr>
          <w:rFonts w:ascii="Cambria" w:hAnsi="Cambria"/>
          <w:i/>
          <w:sz w:val="20"/>
          <w:szCs w:val="20"/>
        </w:rPr>
        <w:t>.</w:t>
      </w:r>
    </w:p>
    <w:p w14:paraId="6C5BB64B" w14:textId="77777777" w:rsidR="000D7C81" w:rsidRPr="00DF2CE8" w:rsidRDefault="000D7C81" w:rsidP="000D7C81">
      <w:pPr>
        <w:ind w:left="426"/>
        <w:jc w:val="both"/>
        <w:rPr>
          <w:rFonts w:ascii="Cambria" w:hAnsi="Cambria"/>
          <w:i/>
          <w:iCs/>
          <w:sz w:val="20"/>
          <w:szCs w:val="20"/>
        </w:rPr>
      </w:pPr>
    </w:p>
    <w:p w14:paraId="156D475F" w14:textId="4CB46B4D" w:rsidR="000D7C81" w:rsidRPr="00DF2CE8" w:rsidRDefault="000D7C81" w:rsidP="000D7C81">
      <w:pPr>
        <w:ind w:left="426"/>
        <w:jc w:val="both"/>
        <w:rPr>
          <w:rFonts w:ascii="Cambria" w:hAnsi="Cambria"/>
          <w:i/>
          <w:iCs/>
          <w:sz w:val="20"/>
          <w:szCs w:val="20"/>
        </w:rPr>
      </w:pPr>
      <w:r w:rsidRPr="00DF2CE8">
        <w:rPr>
          <w:rFonts w:ascii="Cambria" w:hAnsi="Cambria"/>
          <w:i/>
          <w:sz w:val="20"/>
          <w:szCs w:val="20"/>
        </w:rPr>
        <w:t xml:space="preserve">Le « Projet de Recommandation de l'ICCAT sur le requin pèlerin et le </w:t>
      </w:r>
      <w:r w:rsidR="007213AE" w:rsidRPr="00DF2CE8">
        <w:rPr>
          <w:rFonts w:ascii="Cambria" w:hAnsi="Cambria"/>
          <w:i/>
          <w:sz w:val="20"/>
          <w:szCs w:val="20"/>
        </w:rPr>
        <w:t xml:space="preserve">grand </w:t>
      </w:r>
      <w:r w:rsidRPr="00DF2CE8">
        <w:rPr>
          <w:rFonts w:ascii="Cambria" w:hAnsi="Cambria"/>
          <w:i/>
          <w:sz w:val="20"/>
          <w:szCs w:val="20"/>
        </w:rPr>
        <w:t xml:space="preserve">requin blanc capturés en association avec les pêcheries gérées par l’ICCAT » a été soumis par le Royaume-Uni en tant que document </w:t>
      </w:r>
      <w:r w:rsidRPr="00DF2CE8">
        <w:rPr>
          <w:rFonts w:ascii="Cambria" w:hAnsi="Cambria"/>
          <w:b/>
          <w:i/>
          <w:sz w:val="20"/>
          <w:szCs w:val="20"/>
        </w:rPr>
        <w:t>PA4-812/2025</w:t>
      </w:r>
      <w:r w:rsidRPr="00DF2CE8">
        <w:rPr>
          <w:rFonts w:ascii="Cambria" w:hAnsi="Cambria"/>
          <w:i/>
          <w:sz w:val="20"/>
          <w:szCs w:val="20"/>
        </w:rPr>
        <w:t>.</w:t>
      </w:r>
    </w:p>
    <w:p w14:paraId="1C57BF30" w14:textId="77777777" w:rsidR="000D7C81" w:rsidRPr="00DF2CE8" w:rsidRDefault="000D7C81" w:rsidP="000D7C81">
      <w:pPr>
        <w:ind w:left="426"/>
        <w:jc w:val="both"/>
        <w:rPr>
          <w:rFonts w:ascii="Cambria" w:hAnsi="Cambria"/>
          <w:i/>
          <w:iCs/>
          <w:sz w:val="20"/>
          <w:szCs w:val="20"/>
        </w:rPr>
      </w:pPr>
    </w:p>
    <w:p w14:paraId="6D4E4656" w14:textId="77777777" w:rsidR="000D7C81" w:rsidRPr="00DF2CE8" w:rsidRDefault="000D7C81" w:rsidP="000D7C81">
      <w:pPr>
        <w:ind w:left="426"/>
        <w:jc w:val="both"/>
        <w:rPr>
          <w:rFonts w:ascii="Cambria" w:hAnsi="Cambria"/>
          <w:i/>
          <w:iCs/>
          <w:sz w:val="20"/>
          <w:szCs w:val="20"/>
        </w:rPr>
      </w:pPr>
      <w:r w:rsidRPr="00DF2CE8">
        <w:rPr>
          <w:rFonts w:ascii="Cambria" w:hAnsi="Cambria"/>
          <w:i/>
          <w:sz w:val="20"/>
          <w:szCs w:val="20"/>
        </w:rPr>
        <w:t xml:space="preserve">Le « Projet de Résolution de l’ICCAT sur des objectifs de gestion opérationnels pour le requin peau bleue de l'Atlantique » a été soumis par l'Union européenne en tant que document </w:t>
      </w:r>
      <w:r w:rsidRPr="00DF2CE8">
        <w:rPr>
          <w:rFonts w:ascii="Cambria" w:hAnsi="Cambria"/>
          <w:b/>
          <w:i/>
          <w:sz w:val="20"/>
          <w:szCs w:val="20"/>
        </w:rPr>
        <w:t>PA4-813/2025</w:t>
      </w:r>
      <w:r w:rsidRPr="00DF2CE8">
        <w:rPr>
          <w:rFonts w:ascii="Cambria" w:hAnsi="Cambria"/>
          <w:i/>
          <w:sz w:val="20"/>
          <w:szCs w:val="20"/>
        </w:rPr>
        <w:t>.</w:t>
      </w:r>
    </w:p>
    <w:p w14:paraId="6EED5065" w14:textId="77777777" w:rsidR="000D7C81" w:rsidRPr="00DF2CE8" w:rsidRDefault="000D7C81" w:rsidP="000D7C81">
      <w:pPr>
        <w:ind w:left="426"/>
        <w:jc w:val="both"/>
        <w:rPr>
          <w:rFonts w:ascii="Cambria" w:hAnsi="Cambria"/>
          <w:i/>
          <w:iCs/>
          <w:sz w:val="20"/>
          <w:szCs w:val="20"/>
        </w:rPr>
      </w:pPr>
    </w:p>
    <w:p w14:paraId="213215F9" w14:textId="421184C3" w:rsidR="000D7C81" w:rsidRPr="00DF2CE8" w:rsidRDefault="000D7C81" w:rsidP="000D7C81">
      <w:pPr>
        <w:ind w:left="426"/>
        <w:jc w:val="both"/>
        <w:rPr>
          <w:rFonts w:ascii="Cambria" w:hAnsi="Cambria"/>
          <w:i/>
          <w:iCs/>
          <w:sz w:val="20"/>
          <w:szCs w:val="20"/>
        </w:rPr>
      </w:pPr>
      <w:r w:rsidRPr="00DF2CE8">
        <w:rPr>
          <w:rFonts w:ascii="Cambria" w:hAnsi="Cambria"/>
          <w:i/>
          <w:sz w:val="20"/>
          <w:szCs w:val="20"/>
        </w:rPr>
        <w:t xml:space="preserve">Le « Projet de Recommandation de </w:t>
      </w:r>
      <w:r w:rsidR="00793B29" w:rsidRPr="00DF2CE8">
        <w:rPr>
          <w:rFonts w:ascii="Cambria" w:hAnsi="Cambria"/>
          <w:i/>
          <w:sz w:val="20"/>
          <w:szCs w:val="20"/>
        </w:rPr>
        <w:t>l’ICCAT visant à amender la Recommandation 22-11</w:t>
      </w:r>
      <w:r w:rsidRPr="00DF2CE8">
        <w:rPr>
          <w:rFonts w:ascii="Cambria" w:hAnsi="Cambria"/>
          <w:i/>
          <w:sz w:val="20"/>
          <w:szCs w:val="20"/>
        </w:rPr>
        <w:t xml:space="preserve"> sur la conservation du stock de requin-taupe bleu de l'Atlantique Sud capturé en association avec les pêcheries de l’ICCAT</w:t>
      </w:r>
      <w:r w:rsidR="00793B29" w:rsidRPr="00DF2CE8">
        <w:rPr>
          <w:rFonts w:ascii="Cambria" w:hAnsi="Cambria"/>
          <w:i/>
          <w:sz w:val="20"/>
          <w:szCs w:val="20"/>
        </w:rPr>
        <w:t> </w:t>
      </w:r>
      <w:r w:rsidRPr="00DF2CE8">
        <w:rPr>
          <w:rFonts w:ascii="Cambria" w:hAnsi="Cambria"/>
          <w:i/>
          <w:sz w:val="20"/>
          <w:szCs w:val="20"/>
        </w:rPr>
        <w:t xml:space="preserve">» a été soumis par l'Union européenne en tant que document </w:t>
      </w:r>
      <w:r w:rsidRPr="00DF2CE8">
        <w:rPr>
          <w:rFonts w:ascii="Cambria" w:hAnsi="Cambria"/>
          <w:b/>
          <w:i/>
          <w:sz w:val="20"/>
          <w:szCs w:val="20"/>
        </w:rPr>
        <w:t>PA4-814/2025</w:t>
      </w:r>
      <w:r w:rsidRPr="00DF2CE8">
        <w:rPr>
          <w:rFonts w:ascii="Cambria" w:hAnsi="Cambria"/>
          <w:i/>
          <w:sz w:val="20"/>
          <w:szCs w:val="20"/>
        </w:rPr>
        <w:t>.</w:t>
      </w:r>
    </w:p>
    <w:p w14:paraId="1981BEDC" w14:textId="77777777" w:rsidR="000D7C81" w:rsidRPr="00DF2CE8" w:rsidRDefault="000D7C81" w:rsidP="000D7C81">
      <w:pPr>
        <w:ind w:left="426"/>
        <w:jc w:val="both"/>
        <w:rPr>
          <w:rFonts w:ascii="Cambria" w:hAnsi="Cambria"/>
          <w:i/>
          <w:iCs/>
          <w:sz w:val="20"/>
          <w:szCs w:val="20"/>
        </w:rPr>
      </w:pPr>
    </w:p>
    <w:p w14:paraId="2183C9C0" w14:textId="77777777" w:rsidR="000D7C81" w:rsidRPr="00DF2CE8" w:rsidRDefault="000D7C81" w:rsidP="000D7C81">
      <w:pPr>
        <w:ind w:left="426"/>
        <w:jc w:val="both"/>
        <w:rPr>
          <w:rFonts w:ascii="Cambria" w:hAnsi="Cambria"/>
          <w:i/>
          <w:iCs/>
          <w:sz w:val="20"/>
          <w:szCs w:val="20"/>
        </w:rPr>
      </w:pPr>
      <w:r w:rsidRPr="00DF2CE8">
        <w:rPr>
          <w:rFonts w:ascii="Cambria" w:hAnsi="Cambria"/>
          <w:i/>
          <w:sz w:val="20"/>
          <w:szCs w:val="20"/>
        </w:rPr>
        <w:t xml:space="preserve">Le « Projet de Recommandation de l’ICCAT sur l’utilisation expérimentale des lignes de piégeage » a été soumis par l'Union européenne en tant que document </w:t>
      </w:r>
      <w:r w:rsidRPr="00DF2CE8">
        <w:rPr>
          <w:rFonts w:ascii="Cambria" w:hAnsi="Cambria"/>
          <w:b/>
          <w:i/>
          <w:sz w:val="20"/>
          <w:szCs w:val="20"/>
        </w:rPr>
        <w:t>PA4-815/2025</w:t>
      </w:r>
      <w:r w:rsidRPr="00DF2CE8">
        <w:rPr>
          <w:rFonts w:ascii="Cambria" w:hAnsi="Cambria"/>
          <w:i/>
          <w:sz w:val="20"/>
          <w:szCs w:val="20"/>
        </w:rPr>
        <w:t>.</w:t>
      </w:r>
    </w:p>
    <w:p w14:paraId="57DF9DB2" w14:textId="77777777" w:rsidR="000D7C81" w:rsidRPr="00DF2CE8" w:rsidRDefault="000D7C81" w:rsidP="000D7C81">
      <w:pPr>
        <w:ind w:left="426"/>
        <w:jc w:val="both"/>
        <w:rPr>
          <w:rFonts w:ascii="Cambria" w:hAnsi="Cambria"/>
          <w:i/>
          <w:iCs/>
          <w:sz w:val="20"/>
          <w:szCs w:val="20"/>
        </w:rPr>
      </w:pPr>
    </w:p>
    <w:p w14:paraId="38B1926D" w14:textId="0D12F25A" w:rsidR="000D7C81" w:rsidRPr="00DF2CE8" w:rsidRDefault="000D7C81" w:rsidP="000D7C81">
      <w:pPr>
        <w:ind w:left="426"/>
        <w:jc w:val="both"/>
        <w:rPr>
          <w:rFonts w:ascii="Cambria" w:hAnsi="Cambria"/>
          <w:i/>
          <w:iCs/>
          <w:sz w:val="20"/>
          <w:szCs w:val="20"/>
        </w:rPr>
      </w:pPr>
      <w:r w:rsidRPr="00DF2CE8">
        <w:rPr>
          <w:rFonts w:ascii="Cambria" w:hAnsi="Cambria"/>
          <w:i/>
          <w:sz w:val="20"/>
          <w:szCs w:val="20"/>
        </w:rPr>
        <w:t xml:space="preserve">Le « Projet de Recommandation de l’ICCAT sur un protocole de circonstances exceptionnelles </w:t>
      </w:r>
      <w:r w:rsidR="00A41856" w:rsidRPr="00DF2CE8">
        <w:rPr>
          <w:rFonts w:ascii="Cambria" w:hAnsi="Cambria"/>
          <w:i/>
          <w:sz w:val="20"/>
          <w:szCs w:val="20"/>
        </w:rPr>
        <w:t xml:space="preserve">(ECP) </w:t>
      </w:r>
      <w:r w:rsidRPr="00DF2CE8">
        <w:rPr>
          <w:rFonts w:ascii="Cambria" w:hAnsi="Cambria"/>
          <w:i/>
          <w:sz w:val="20"/>
          <w:szCs w:val="20"/>
        </w:rPr>
        <w:t>pour l'espadon de l'Atlantique Nord »</w:t>
      </w:r>
      <w:r w:rsidRPr="00DF2CE8">
        <w:rPr>
          <w:rFonts w:ascii="Cambria" w:hAnsi="Cambria"/>
          <w:b/>
          <w:i/>
          <w:sz w:val="20"/>
          <w:szCs w:val="20"/>
        </w:rPr>
        <w:t>,</w:t>
      </w:r>
      <w:r w:rsidRPr="00DF2CE8">
        <w:rPr>
          <w:rFonts w:ascii="Cambria" w:hAnsi="Cambria"/>
          <w:i/>
          <w:sz w:val="20"/>
          <w:szCs w:val="20"/>
        </w:rPr>
        <w:t xml:space="preserve"> a été soumis par le Canada en tant que document </w:t>
      </w:r>
      <w:r w:rsidRPr="00DF2CE8">
        <w:rPr>
          <w:rFonts w:ascii="Cambria" w:hAnsi="Cambria"/>
          <w:b/>
          <w:bCs/>
          <w:i/>
          <w:sz w:val="20"/>
          <w:szCs w:val="20"/>
        </w:rPr>
        <w:t>PA4-816/2025</w:t>
      </w:r>
      <w:r w:rsidRPr="00DF2CE8">
        <w:rPr>
          <w:rFonts w:ascii="Cambria" w:hAnsi="Cambria"/>
          <w:i/>
          <w:sz w:val="20"/>
          <w:szCs w:val="20"/>
        </w:rPr>
        <w:t>.</w:t>
      </w:r>
    </w:p>
    <w:p w14:paraId="038C44A9" w14:textId="77777777" w:rsidR="00793B29" w:rsidRPr="00DF2CE8" w:rsidRDefault="00793B29" w:rsidP="000D7C81">
      <w:pPr>
        <w:ind w:left="426"/>
        <w:jc w:val="both"/>
        <w:rPr>
          <w:rFonts w:ascii="Cambria" w:hAnsi="Cambria"/>
          <w:i/>
          <w:iCs/>
          <w:sz w:val="20"/>
          <w:szCs w:val="20"/>
        </w:rPr>
      </w:pPr>
    </w:p>
    <w:p w14:paraId="026AF934" w14:textId="77777777" w:rsidR="002A70B6" w:rsidRPr="00DF2CE8" w:rsidRDefault="002A70B6" w:rsidP="002A70B6">
      <w:pPr>
        <w:pStyle w:val="ListParagraph"/>
        <w:widowControl w:val="0"/>
        <w:numPr>
          <w:ilvl w:val="0"/>
          <w:numId w:val="36"/>
        </w:numPr>
        <w:jc w:val="both"/>
        <w:rPr>
          <w:rFonts w:ascii="Cambria" w:hAnsi="Cambria"/>
          <w:iCs/>
          <w:sz w:val="20"/>
          <w:szCs w:val="20"/>
        </w:rPr>
      </w:pPr>
      <w:r w:rsidRPr="00DF2CE8">
        <w:rPr>
          <w:rFonts w:ascii="Cambria" w:hAnsi="Cambria"/>
          <w:sz w:val="20"/>
          <w:szCs w:val="20"/>
        </w:rPr>
        <w:t>Identification des mesures obsolètes sur la base du point 8 ci-dessus</w:t>
      </w:r>
    </w:p>
    <w:p w14:paraId="5CE6FC48" w14:textId="77777777" w:rsidR="002A70B6" w:rsidRPr="00DF2CE8" w:rsidRDefault="002A70B6" w:rsidP="002A70B6">
      <w:pPr>
        <w:jc w:val="both"/>
        <w:rPr>
          <w:rFonts w:ascii="Cambria" w:hAnsi="Cambria"/>
          <w:iCs/>
          <w:sz w:val="20"/>
          <w:szCs w:val="20"/>
        </w:rPr>
      </w:pPr>
    </w:p>
    <w:p w14:paraId="74B357AB" w14:textId="5A478679" w:rsidR="002A70B6" w:rsidRPr="00DF2CE8" w:rsidRDefault="002A70B6" w:rsidP="002A70B6">
      <w:pPr>
        <w:ind w:left="360"/>
        <w:jc w:val="both"/>
        <w:rPr>
          <w:rFonts w:ascii="Cambria" w:hAnsi="Cambria"/>
          <w:i/>
          <w:iCs/>
          <w:sz w:val="20"/>
          <w:szCs w:val="20"/>
        </w:rPr>
      </w:pPr>
      <w:r w:rsidRPr="00DF2CE8">
        <w:rPr>
          <w:rFonts w:ascii="Cambria" w:hAnsi="Cambria"/>
          <w:i/>
          <w:sz w:val="20"/>
          <w:szCs w:val="20"/>
        </w:rPr>
        <w:t>Si les mesures antérieures doivent être abrogées lors de l'adoption de nouvelles mesures, cela devrait être précisé,</w:t>
      </w:r>
      <w:r w:rsidR="0049056B" w:rsidRPr="00DF2CE8">
        <w:rPr>
          <w:rFonts w:ascii="Cambria" w:hAnsi="Cambria"/>
          <w:i/>
          <w:sz w:val="20"/>
          <w:szCs w:val="20"/>
        </w:rPr>
        <w:t xml:space="preserve"> </w:t>
      </w:r>
      <w:r w:rsidRPr="00DF2CE8">
        <w:rPr>
          <w:rFonts w:ascii="Cambria" w:hAnsi="Cambria"/>
          <w:i/>
          <w:sz w:val="20"/>
          <w:szCs w:val="20"/>
        </w:rPr>
        <w:t>de préférence dans la Recommandation, ou au moins clairement indiqué par la Sous-commission.</w:t>
      </w:r>
    </w:p>
    <w:p w14:paraId="1F372CDD" w14:textId="77777777" w:rsidR="002A70B6" w:rsidRPr="00DF2CE8" w:rsidRDefault="002A70B6" w:rsidP="002A70B6">
      <w:pPr>
        <w:ind w:left="360"/>
        <w:jc w:val="both"/>
        <w:rPr>
          <w:rFonts w:ascii="Cambria" w:hAnsi="Cambria"/>
          <w:i/>
          <w:iCs/>
          <w:sz w:val="20"/>
          <w:szCs w:val="20"/>
        </w:rPr>
      </w:pPr>
    </w:p>
    <w:p w14:paraId="22C0E9F0" w14:textId="77777777" w:rsidR="002A70B6" w:rsidRPr="00DF2CE8" w:rsidRDefault="002A70B6" w:rsidP="002A70B6">
      <w:pPr>
        <w:pStyle w:val="ListParagraph"/>
        <w:widowControl w:val="0"/>
        <w:numPr>
          <w:ilvl w:val="0"/>
          <w:numId w:val="36"/>
        </w:numPr>
        <w:tabs>
          <w:tab w:val="left" w:pos="426"/>
        </w:tabs>
        <w:jc w:val="both"/>
        <w:rPr>
          <w:rFonts w:ascii="Cambria" w:hAnsi="Cambria"/>
          <w:sz w:val="20"/>
          <w:szCs w:val="20"/>
        </w:rPr>
      </w:pPr>
      <w:r w:rsidRPr="00DF2CE8">
        <w:rPr>
          <w:rFonts w:ascii="Cambria" w:hAnsi="Cambria"/>
          <w:sz w:val="20"/>
          <w:szCs w:val="20"/>
        </w:rPr>
        <w:t>Élection du Président et du Vice-président potentiel</w:t>
      </w:r>
    </w:p>
    <w:p w14:paraId="5DDB52E2" w14:textId="77777777" w:rsidR="002A70B6" w:rsidRPr="00DF2CE8" w:rsidRDefault="002A70B6" w:rsidP="002A70B6">
      <w:pPr>
        <w:tabs>
          <w:tab w:val="left" w:pos="426"/>
        </w:tabs>
        <w:jc w:val="both"/>
        <w:rPr>
          <w:rFonts w:ascii="Cambria" w:hAnsi="Cambria"/>
          <w:sz w:val="20"/>
          <w:szCs w:val="20"/>
        </w:rPr>
      </w:pPr>
    </w:p>
    <w:p w14:paraId="420798DE" w14:textId="77777777" w:rsidR="002A70B6" w:rsidRPr="00DF2CE8" w:rsidRDefault="002A70B6" w:rsidP="002A70B6">
      <w:pPr>
        <w:ind w:firstLine="360"/>
        <w:jc w:val="both"/>
        <w:rPr>
          <w:rFonts w:ascii="Cambria" w:hAnsi="Cambria"/>
          <w:i/>
          <w:iCs/>
          <w:sz w:val="20"/>
          <w:szCs w:val="20"/>
        </w:rPr>
      </w:pPr>
      <w:r w:rsidRPr="00DF2CE8">
        <w:rPr>
          <w:rFonts w:ascii="Cambria" w:hAnsi="Cambria"/>
          <w:i/>
          <w:sz w:val="20"/>
          <w:szCs w:val="20"/>
        </w:rPr>
        <w:t>La Sous-commission 4 devra élire son Président pour la période biennale 2026-2027.</w:t>
      </w:r>
    </w:p>
    <w:p w14:paraId="388064A6" w14:textId="77777777" w:rsidR="002A70B6" w:rsidRPr="00DF2CE8" w:rsidRDefault="002A70B6" w:rsidP="002A70B6">
      <w:pPr>
        <w:jc w:val="both"/>
        <w:rPr>
          <w:rFonts w:ascii="Cambria" w:hAnsi="Cambria"/>
          <w:iCs/>
          <w:sz w:val="20"/>
          <w:szCs w:val="20"/>
        </w:rPr>
      </w:pPr>
    </w:p>
    <w:p w14:paraId="30A212A4" w14:textId="77777777" w:rsidR="002A70B6" w:rsidRPr="00DF2CE8" w:rsidRDefault="002A70B6" w:rsidP="002A70B6">
      <w:pPr>
        <w:pStyle w:val="ListParagraph"/>
        <w:widowControl w:val="0"/>
        <w:numPr>
          <w:ilvl w:val="0"/>
          <w:numId w:val="36"/>
        </w:numPr>
        <w:tabs>
          <w:tab w:val="left" w:pos="426"/>
          <w:tab w:val="left" w:pos="4090"/>
        </w:tabs>
        <w:jc w:val="both"/>
        <w:rPr>
          <w:rFonts w:ascii="Cambria" w:hAnsi="Cambria"/>
          <w:sz w:val="20"/>
          <w:szCs w:val="20"/>
        </w:rPr>
      </w:pPr>
      <w:r w:rsidRPr="00DF2CE8">
        <w:rPr>
          <w:rFonts w:ascii="Cambria" w:hAnsi="Cambria"/>
          <w:sz w:val="20"/>
          <w:szCs w:val="20"/>
        </w:rPr>
        <w:t>Autres questions</w:t>
      </w:r>
    </w:p>
    <w:p w14:paraId="54B1EB5A" w14:textId="77777777" w:rsidR="002A70B6" w:rsidRPr="00DF2CE8" w:rsidRDefault="002A70B6" w:rsidP="002A70B6">
      <w:pPr>
        <w:pStyle w:val="ListParagraph"/>
        <w:rPr>
          <w:rFonts w:ascii="Cambria" w:hAnsi="Cambria"/>
          <w:sz w:val="20"/>
          <w:szCs w:val="20"/>
          <w:lang w:val="en-GB"/>
        </w:rPr>
      </w:pPr>
    </w:p>
    <w:p w14:paraId="489ECA5D" w14:textId="77777777" w:rsidR="002A70B6" w:rsidRPr="00DF2CE8" w:rsidRDefault="002A70B6" w:rsidP="002A70B6">
      <w:pPr>
        <w:pStyle w:val="ListParagraph"/>
        <w:widowControl w:val="0"/>
        <w:numPr>
          <w:ilvl w:val="1"/>
          <w:numId w:val="36"/>
        </w:numPr>
        <w:tabs>
          <w:tab w:val="left" w:pos="426"/>
          <w:tab w:val="left" w:pos="4090"/>
        </w:tabs>
        <w:jc w:val="both"/>
        <w:rPr>
          <w:rFonts w:ascii="Cambria" w:hAnsi="Cambria"/>
          <w:sz w:val="20"/>
          <w:szCs w:val="20"/>
        </w:rPr>
      </w:pPr>
      <w:r w:rsidRPr="00DF2CE8">
        <w:rPr>
          <w:rFonts w:ascii="Cambria" w:hAnsi="Cambria"/>
          <w:sz w:val="20"/>
          <w:szCs w:val="20"/>
        </w:rPr>
        <w:t>Examen de la nécessité et de la date de la prochaine réunion intersessions</w:t>
      </w:r>
    </w:p>
    <w:p w14:paraId="0EC6367E" w14:textId="77777777" w:rsidR="002A70B6" w:rsidRPr="00DF2CE8" w:rsidRDefault="002A70B6" w:rsidP="002A70B6">
      <w:pPr>
        <w:tabs>
          <w:tab w:val="left" w:pos="426"/>
          <w:tab w:val="left" w:pos="4090"/>
        </w:tabs>
        <w:jc w:val="both"/>
        <w:rPr>
          <w:rFonts w:ascii="Cambria" w:hAnsi="Cambria"/>
          <w:sz w:val="20"/>
          <w:szCs w:val="20"/>
        </w:rPr>
      </w:pPr>
    </w:p>
    <w:p w14:paraId="6525380B" w14:textId="77777777" w:rsidR="002A70B6" w:rsidRPr="00DF2CE8" w:rsidRDefault="002A70B6" w:rsidP="002A70B6">
      <w:pPr>
        <w:pStyle w:val="ListParagraph"/>
        <w:widowControl w:val="0"/>
        <w:numPr>
          <w:ilvl w:val="0"/>
          <w:numId w:val="36"/>
        </w:numPr>
        <w:tabs>
          <w:tab w:val="left" w:pos="426"/>
        </w:tabs>
        <w:jc w:val="both"/>
        <w:rPr>
          <w:rFonts w:ascii="Cambria" w:hAnsi="Cambria"/>
          <w:sz w:val="20"/>
          <w:szCs w:val="20"/>
        </w:rPr>
      </w:pPr>
      <w:r w:rsidRPr="00DF2CE8">
        <w:rPr>
          <w:rFonts w:ascii="Cambria" w:hAnsi="Cambria"/>
          <w:sz w:val="20"/>
          <w:szCs w:val="20"/>
        </w:rPr>
        <w:t>Adoption du rapport et clôture</w:t>
      </w:r>
    </w:p>
    <w:p w14:paraId="7F5BEAC9" w14:textId="77777777" w:rsidR="000B0920" w:rsidRPr="003B7A18" w:rsidRDefault="000B0920">
      <w:pPr>
        <w:spacing w:after="160" w:line="259" w:lineRule="auto"/>
        <w:rPr>
          <w:rFonts w:ascii="Cambria" w:hAnsi="Cambria"/>
          <w:bCs/>
          <w:sz w:val="20"/>
          <w:szCs w:val="20"/>
          <w:lang w:val="en-GB"/>
        </w:rPr>
      </w:pPr>
    </w:p>
    <w:sectPr w:rsidR="000B0920" w:rsidRPr="003B7A18" w:rsidSect="009B2781">
      <w:headerReference w:type="default" r:id="rId45"/>
      <w:footerReference w:type="default" r:id="rId46"/>
      <w:pgSz w:w="11907" w:h="16840"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2D128" w14:textId="77777777" w:rsidR="007F578D" w:rsidRDefault="007F578D" w:rsidP="00DD4C39">
      <w:r>
        <w:separator/>
      </w:r>
    </w:p>
  </w:endnote>
  <w:endnote w:type="continuationSeparator" w:id="0">
    <w:p w14:paraId="39BA634E" w14:textId="77777777" w:rsidR="007F578D" w:rsidRDefault="007F578D" w:rsidP="00DD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3931" w14:textId="5F29B062" w:rsidR="004F39B9" w:rsidRPr="004F39B9" w:rsidRDefault="00DF2CE8" w:rsidP="004F39B9">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PAGE </w:instrText>
        </w:r>
        <w:r w:rsidR="004F39B9" w:rsidRPr="00713AD4">
          <w:rPr>
            <w:rFonts w:ascii="Cambria" w:eastAsia="Calibri" w:hAnsi="Cambria" w:cs="Calibri"/>
            <w:sz w:val="20"/>
          </w:rPr>
          <w:fldChar w:fldCharType="separate"/>
        </w:r>
        <w:r w:rsidR="004F39B9">
          <w:rPr>
            <w:rFonts w:ascii="Cambria" w:eastAsia="Calibri" w:hAnsi="Cambria" w:cs="Calibri"/>
            <w:sz w:val="20"/>
          </w:rPr>
          <w:t>1</w:t>
        </w:r>
        <w:r w:rsidR="004F39B9" w:rsidRPr="00713AD4">
          <w:rPr>
            <w:rFonts w:ascii="Cambria" w:eastAsia="Calibri" w:hAnsi="Cambria" w:cs="Calibri"/>
            <w:sz w:val="20"/>
          </w:rPr>
          <w:fldChar w:fldCharType="end"/>
        </w:r>
        <w:r w:rsidR="009F2048">
          <w:rPr>
            <w:rFonts w:ascii="Cambria" w:hAnsi="Cambria"/>
            <w:sz w:val="20"/>
          </w:rPr>
          <w:t xml:space="preserve"> / </w:t>
        </w:r>
        <w:r w:rsidR="004F39B9" w:rsidRPr="00713AD4">
          <w:rPr>
            <w:rFonts w:ascii="Cambria" w:eastAsia="Calibri" w:hAnsi="Cambria" w:cs="Calibri"/>
            <w:sz w:val="20"/>
          </w:rPr>
          <w:fldChar w:fldCharType="begin"/>
        </w:r>
        <w:r w:rsidR="004F39B9" w:rsidRPr="00713AD4">
          <w:rPr>
            <w:rFonts w:ascii="Cambria" w:eastAsia="Calibri" w:hAnsi="Cambria" w:cs="Calibri"/>
            <w:sz w:val="20"/>
          </w:rPr>
          <w:instrText xml:space="preserve"> NUMPAGES  </w:instrText>
        </w:r>
        <w:r w:rsidR="004F39B9" w:rsidRPr="00713AD4">
          <w:rPr>
            <w:rFonts w:ascii="Cambria" w:eastAsia="Calibri" w:hAnsi="Cambria" w:cs="Calibri"/>
            <w:sz w:val="20"/>
          </w:rPr>
          <w:fldChar w:fldCharType="separate"/>
        </w:r>
        <w:r w:rsidR="004F39B9">
          <w:rPr>
            <w:rFonts w:ascii="Cambria" w:eastAsia="Calibri" w:hAnsi="Cambria" w:cs="Calibri"/>
            <w:sz w:val="20"/>
          </w:rPr>
          <w:t>2</w:t>
        </w:r>
        <w:r w:rsidR="004F39B9"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A606F" w14:textId="77777777" w:rsidR="007F578D" w:rsidRDefault="007F578D" w:rsidP="00DD4C39">
      <w:r>
        <w:separator/>
      </w:r>
    </w:p>
  </w:footnote>
  <w:footnote w:type="continuationSeparator" w:id="0">
    <w:p w14:paraId="4D52F284" w14:textId="77777777" w:rsidR="007F578D" w:rsidRDefault="007F578D" w:rsidP="00DD4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28AA" w14:textId="30D23A3A" w:rsidR="004F39B9" w:rsidRPr="00793F38" w:rsidRDefault="004F39B9" w:rsidP="004F39B9">
    <w:pPr>
      <w:tabs>
        <w:tab w:val="center" w:pos="4680"/>
        <w:tab w:val="left" w:pos="6520"/>
        <w:tab w:val="right" w:pos="9360"/>
        <w:tab w:val="right" w:pos="14240"/>
      </w:tabs>
      <w:jc w:val="right"/>
      <w:rPr>
        <w:rFonts w:ascii="Cambria" w:eastAsia="Calibri" w:hAnsi="Cambria"/>
        <w:b/>
        <w:bCs/>
        <w:sz w:val="20"/>
        <w:szCs w:val="20"/>
      </w:rPr>
    </w:pPr>
    <w:bookmarkStart w:id="10" w:name="_Hlk107908354"/>
    <w:bookmarkStart w:id="11" w:name="_Hlk107908355"/>
    <w:bookmarkStart w:id="12" w:name="_Hlk107908359"/>
    <w:bookmarkStart w:id="13" w:name="_Hlk107908360"/>
    <w:bookmarkStart w:id="14" w:name="_Hlk107908361"/>
    <w:bookmarkStart w:id="15" w:name="_Hlk107908362"/>
    <w:r>
      <w:rPr>
        <w:rFonts w:ascii="Cambria" w:hAnsi="Cambria"/>
        <w:b/>
        <w:sz w:val="20"/>
      </w:rPr>
      <w:t>GEN_001</w:t>
    </w:r>
    <w:r w:rsidR="002836AE">
      <w:rPr>
        <w:rFonts w:ascii="Cambria" w:hAnsi="Cambria"/>
        <w:b/>
        <w:sz w:val="20"/>
      </w:rPr>
      <w:t>_REV_</w:t>
    </w:r>
    <w:r w:rsidR="00AF6514">
      <w:rPr>
        <w:rFonts w:ascii="Cambria" w:hAnsi="Cambria"/>
        <w:b/>
        <w:sz w:val="20"/>
      </w:rPr>
      <w:t>2</w:t>
    </w:r>
    <w:r>
      <w:rPr>
        <w:rFonts w:ascii="Cambria" w:hAnsi="Cambria"/>
        <w:b/>
        <w:sz w:val="20"/>
      </w:rPr>
      <w:t>/2025</w:t>
    </w:r>
  </w:p>
  <w:p w14:paraId="76609AFE" w14:textId="7D691EF2" w:rsidR="004F39B9" w:rsidRPr="004F39B9" w:rsidRDefault="004F39B9" w:rsidP="004F39B9">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5F6BB3">
      <w:rPr>
        <w:rFonts w:ascii="Cambria" w:hAnsi="Cambria"/>
        <w:b/>
        <w:noProof/>
        <w:sz w:val="16"/>
      </w:rPr>
      <w:t>16/11/2025 8:52</w:t>
    </w:r>
    <w:r w:rsidRPr="00793F38">
      <w:rPr>
        <w:rFonts w:ascii="Cambria" w:hAnsi="Cambria"/>
        <w:b/>
        <w:bCs/>
        <w:sz w:val="16"/>
        <w:szCs w:val="16"/>
        <w:lang w:val="es-ES_tradnl"/>
      </w:rPr>
      <w:fldChar w:fldCharType="end"/>
    </w:r>
    <w:bookmarkEnd w:id="10"/>
    <w:bookmarkEnd w:id="11"/>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AE2"/>
    <w:multiLevelType w:val="hybridMultilevel"/>
    <w:tmpl w:val="C3728716"/>
    <w:lvl w:ilvl="0" w:tplc="19D68B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1533A"/>
    <w:multiLevelType w:val="multilevel"/>
    <w:tmpl w:val="49A4ACE8"/>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E841C0"/>
    <w:multiLevelType w:val="multilevel"/>
    <w:tmpl w:val="A3A6CAC2"/>
    <w:lvl w:ilvl="0">
      <w:start w:val="1"/>
      <w:numFmt w:val="decimal"/>
      <w:lvlText w:val="%1."/>
      <w:lvlJc w:val="left"/>
      <w:pPr>
        <w:ind w:left="780" w:hanging="420"/>
      </w:pPr>
      <w:rPr>
        <w:rFonts w:hint="default"/>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077D74"/>
    <w:multiLevelType w:val="hybridMultilevel"/>
    <w:tmpl w:val="7F569F7C"/>
    <w:lvl w:ilvl="0" w:tplc="7BA6EB32">
      <w:start w:val="4"/>
      <w:numFmt w:val="bullet"/>
      <w:lvlText w:val="-"/>
      <w:lvlJc w:val="left"/>
      <w:pPr>
        <w:ind w:left="720" w:hanging="360"/>
      </w:pPr>
      <w:rPr>
        <w:rFonts w:ascii="Cambria" w:eastAsia="Times New Roman" w:hAnsi="Cambria"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D78E3"/>
    <w:multiLevelType w:val="hybridMultilevel"/>
    <w:tmpl w:val="0BB69D2A"/>
    <w:lvl w:ilvl="0" w:tplc="560A1B2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6" w15:restartNumberingAfterBreak="0">
    <w:nsid w:val="193B2056"/>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7" w15:restartNumberingAfterBreak="0">
    <w:nsid w:val="1D0911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A83AD5"/>
    <w:multiLevelType w:val="hybridMultilevel"/>
    <w:tmpl w:val="4B20887C"/>
    <w:lvl w:ilvl="0" w:tplc="DB8E674C">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02CC1"/>
    <w:multiLevelType w:val="hybridMultilevel"/>
    <w:tmpl w:val="DDB4D152"/>
    <w:lvl w:ilvl="0" w:tplc="505C6584">
      <w:start w:val="1"/>
      <w:numFmt w:val="decimal"/>
      <w:lvlText w:val="%1."/>
      <w:lvlJc w:val="left"/>
      <w:pPr>
        <w:ind w:left="790" w:hanging="43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227397"/>
    <w:multiLevelType w:val="multilevel"/>
    <w:tmpl w:val="78A6DA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AF377C1"/>
    <w:multiLevelType w:val="hybridMultilevel"/>
    <w:tmpl w:val="23467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B1FCD"/>
    <w:multiLevelType w:val="multilevel"/>
    <w:tmpl w:val="66AC5AA6"/>
    <w:lvl w:ilvl="0">
      <w:start w:val="4"/>
      <w:numFmt w:val="lowerLetter"/>
      <w:lvlText w:val="%1."/>
      <w:lvlJc w:val="left"/>
      <w:pPr>
        <w:tabs>
          <w:tab w:val="num" w:pos="1276"/>
        </w:tabs>
        <w:ind w:left="1276" w:hanging="360"/>
      </w:pPr>
    </w:lvl>
    <w:lvl w:ilvl="1" w:tentative="1">
      <w:start w:val="1"/>
      <w:numFmt w:val="lowerLetter"/>
      <w:lvlText w:val="%2."/>
      <w:lvlJc w:val="left"/>
      <w:pPr>
        <w:tabs>
          <w:tab w:val="num" w:pos="1996"/>
        </w:tabs>
        <w:ind w:left="1996" w:hanging="360"/>
      </w:pPr>
    </w:lvl>
    <w:lvl w:ilvl="2" w:tentative="1">
      <w:start w:val="1"/>
      <w:numFmt w:val="lowerLetter"/>
      <w:lvlText w:val="%3."/>
      <w:lvlJc w:val="left"/>
      <w:pPr>
        <w:tabs>
          <w:tab w:val="num" w:pos="2716"/>
        </w:tabs>
        <w:ind w:left="2716" w:hanging="360"/>
      </w:pPr>
    </w:lvl>
    <w:lvl w:ilvl="3" w:tentative="1">
      <w:start w:val="1"/>
      <w:numFmt w:val="lowerLetter"/>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Letter"/>
      <w:lvlText w:val="%6."/>
      <w:lvlJc w:val="left"/>
      <w:pPr>
        <w:tabs>
          <w:tab w:val="num" w:pos="4876"/>
        </w:tabs>
        <w:ind w:left="4876" w:hanging="360"/>
      </w:pPr>
    </w:lvl>
    <w:lvl w:ilvl="6" w:tentative="1">
      <w:start w:val="1"/>
      <w:numFmt w:val="lowerLetter"/>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Letter"/>
      <w:lvlText w:val="%9."/>
      <w:lvlJc w:val="left"/>
      <w:pPr>
        <w:tabs>
          <w:tab w:val="num" w:pos="7036"/>
        </w:tabs>
        <w:ind w:left="7036" w:hanging="360"/>
      </w:pPr>
    </w:lvl>
  </w:abstractNum>
  <w:abstractNum w:abstractNumId="13" w15:restartNumberingAfterBreak="0">
    <w:nsid w:val="35ED0BB4"/>
    <w:multiLevelType w:val="multilevel"/>
    <w:tmpl w:val="51BE7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F103F9"/>
    <w:multiLevelType w:val="hybridMultilevel"/>
    <w:tmpl w:val="8DC897CC"/>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B93869"/>
    <w:multiLevelType w:val="multilevel"/>
    <w:tmpl w:val="A0D47B4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B0B4BC9"/>
    <w:multiLevelType w:val="multilevel"/>
    <w:tmpl w:val="0E624B0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0E5D8C"/>
    <w:multiLevelType w:val="multilevel"/>
    <w:tmpl w:val="38A47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3E24E5"/>
    <w:multiLevelType w:val="hybridMultilevel"/>
    <w:tmpl w:val="748A6AAA"/>
    <w:lvl w:ilvl="0" w:tplc="13C6D560">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C4F34A4"/>
    <w:multiLevelType w:val="hybridMultilevel"/>
    <w:tmpl w:val="E9E235EC"/>
    <w:lvl w:ilvl="0" w:tplc="EA44CFB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5B0435"/>
    <w:multiLevelType w:val="hybridMultilevel"/>
    <w:tmpl w:val="100259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4D685163"/>
    <w:multiLevelType w:val="multilevel"/>
    <w:tmpl w:val="013A87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CB4CE6"/>
    <w:multiLevelType w:val="multilevel"/>
    <w:tmpl w:val="1B48F66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AB7F25"/>
    <w:multiLevelType w:val="multilevel"/>
    <w:tmpl w:val="03E4A7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BD094C"/>
    <w:multiLevelType w:val="multilevel"/>
    <w:tmpl w:val="9B8856F4"/>
    <w:lvl w:ilvl="0">
      <w:start w:val="2"/>
      <w:numFmt w:val="lowerLetter"/>
      <w:lvlText w:val="%1."/>
      <w:lvlJc w:val="left"/>
      <w:pPr>
        <w:tabs>
          <w:tab w:val="num" w:pos="998"/>
        </w:tabs>
        <w:ind w:left="998" w:hanging="360"/>
      </w:pPr>
    </w:lvl>
    <w:lvl w:ilvl="1" w:tentative="1">
      <w:start w:val="1"/>
      <w:numFmt w:val="lowerLetter"/>
      <w:lvlText w:val="%2."/>
      <w:lvlJc w:val="left"/>
      <w:pPr>
        <w:tabs>
          <w:tab w:val="num" w:pos="1718"/>
        </w:tabs>
        <w:ind w:left="1718" w:hanging="360"/>
      </w:pPr>
    </w:lvl>
    <w:lvl w:ilvl="2" w:tentative="1">
      <w:start w:val="1"/>
      <w:numFmt w:val="lowerLetter"/>
      <w:lvlText w:val="%3."/>
      <w:lvlJc w:val="left"/>
      <w:pPr>
        <w:tabs>
          <w:tab w:val="num" w:pos="2438"/>
        </w:tabs>
        <w:ind w:left="2438" w:hanging="360"/>
      </w:pPr>
    </w:lvl>
    <w:lvl w:ilvl="3" w:tentative="1">
      <w:start w:val="1"/>
      <w:numFmt w:val="lowerLetter"/>
      <w:lvlText w:val="%4."/>
      <w:lvlJc w:val="left"/>
      <w:pPr>
        <w:tabs>
          <w:tab w:val="num" w:pos="3158"/>
        </w:tabs>
        <w:ind w:left="3158" w:hanging="360"/>
      </w:pPr>
    </w:lvl>
    <w:lvl w:ilvl="4" w:tentative="1">
      <w:start w:val="1"/>
      <w:numFmt w:val="lowerLetter"/>
      <w:lvlText w:val="%5."/>
      <w:lvlJc w:val="left"/>
      <w:pPr>
        <w:tabs>
          <w:tab w:val="num" w:pos="3878"/>
        </w:tabs>
        <w:ind w:left="3878" w:hanging="360"/>
      </w:pPr>
    </w:lvl>
    <w:lvl w:ilvl="5" w:tentative="1">
      <w:start w:val="1"/>
      <w:numFmt w:val="lowerLetter"/>
      <w:lvlText w:val="%6."/>
      <w:lvlJc w:val="left"/>
      <w:pPr>
        <w:tabs>
          <w:tab w:val="num" w:pos="4598"/>
        </w:tabs>
        <w:ind w:left="4598" w:hanging="360"/>
      </w:pPr>
    </w:lvl>
    <w:lvl w:ilvl="6" w:tentative="1">
      <w:start w:val="1"/>
      <w:numFmt w:val="lowerLetter"/>
      <w:lvlText w:val="%7."/>
      <w:lvlJc w:val="left"/>
      <w:pPr>
        <w:tabs>
          <w:tab w:val="num" w:pos="5318"/>
        </w:tabs>
        <w:ind w:left="5318" w:hanging="360"/>
      </w:pPr>
    </w:lvl>
    <w:lvl w:ilvl="7" w:tentative="1">
      <w:start w:val="1"/>
      <w:numFmt w:val="lowerLetter"/>
      <w:lvlText w:val="%8."/>
      <w:lvlJc w:val="left"/>
      <w:pPr>
        <w:tabs>
          <w:tab w:val="num" w:pos="6038"/>
        </w:tabs>
        <w:ind w:left="6038" w:hanging="360"/>
      </w:pPr>
    </w:lvl>
    <w:lvl w:ilvl="8" w:tentative="1">
      <w:start w:val="1"/>
      <w:numFmt w:val="lowerLetter"/>
      <w:lvlText w:val="%9."/>
      <w:lvlJc w:val="left"/>
      <w:pPr>
        <w:tabs>
          <w:tab w:val="num" w:pos="6758"/>
        </w:tabs>
        <w:ind w:left="6758" w:hanging="360"/>
      </w:pPr>
    </w:lvl>
  </w:abstractNum>
  <w:abstractNum w:abstractNumId="25" w15:restartNumberingAfterBreak="0">
    <w:nsid w:val="58F739BE"/>
    <w:multiLevelType w:val="multilevel"/>
    <w:tmpl w:val="DA1AB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995643"/>
    <w:multiLevelType w:val="hybridMultilevel"/>
    <w:tmpl w:val="A18E6F28"/>
    <w:lvl w:ilvl="0" w:tplc="CA221E60">
      <w:start w:val="1"/>
      <w:numFmt w:val="lowerLetter"/>
      <w:lvlText w:val="%1)"/>
      <w:lvlJc w:val="left"/>
      <w:pPr>
        <w:ind w:left="790"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27" w15:restartNumberingAfterBreak="0">
    <w:nsid w:val="5D9271F8"/>
    <w:multiLevelType w:val="multilevel"/>
    <w:tmpl w:val="00681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B069EA"/>
    <w:multiLevelType w:val="multilevel"/>
    <w:tmpl w:val="F11670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3341C23"/>
    <w:multiLevelType w:val="hybridMultilevel"/>
    <w:tmpl w:val="6EC853B0"/>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30" w15:restartNumberingAfterBreak="0">
    <w:nsid w:val="63E35756"/>
    <w:multiLevelType w:val="multilevel"/>
    <w:tmpl w:val="94365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9C7A24"/>
    <w:multiLevelType w:val="multilevel"/>
    <w:tmpl w:val="145ED3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FE199A"/>
    <w:multiLevelType w:val="multilevel"/>
    <w:tmpl w:val="A7BC63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2F4AFD"/>
    <w:multiLevelType w:val="hybridMultilevel"/>
    <w:tmpl w:val="1DFA4142"/>
    <w:lvl w:ilvl="0" w:tplc="D8525C72">
      <w:start w:val="1"/>
      <w:numFmt w:val="decimal"/>
      <w:lvlText w:val="%1."/>
      <w:lvlJc w:val="left"/>
      <w:pPr>
        <w:ind w:left="785" w:hanging="4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AF5461"/>
    <w:multiLevelType w:val="multilevel"/>
    <w:tmpl w:val="C00662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F0260B"/>
    <w:multiLevelType w:val="multilevel"/>
    <w:tmpl w:val="FF9C962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23421499">
    <w:abstractNumId w:val="9"/>
  </w:num>
  <w:num w:numId="2" w16cid:durableId="1449546622">
    <w:abstractNumId w:val="5"/>
  </w:num>
  <w:num w:numId="3" w16cid:durableId="1669477334">
    <w:abstractNumId w:val="26"/>
  </w:num>
  <w:num w:numId="4" w16cid:durableId="2062551615">
    <w:abstractNumId w:val="29"/>
  </w:num>
  <w:num w:numId="5" w16cid:durableId="1334332422">
    <w:abstractNumId w:val="6"/>
  </w:num>
  <w:num w:numId="6" w16cid:durableId="1425516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3663394">
    <w:abstractNumId w:val="14"/>
  </w:num>
  <w:num w:numId="8" w16cid:durableId="1031148757">
    <w:abstractNumId w:val="8"/>
  </w:num>
  <w:num w:numId="9" w16cid:durableId="1366442034">
    <w:abstractNumId w:val="11"/>
  </w:num>
  <w:num w:numId="10" w16cid:durableId="593592016">
    <w:abstractNumId w:val="19"/>
  </w:num>
  <w:num w:numId="11" w16cid:durableId="1440175051">
    <w:abstractNumId w:val="33"/>
  </w:num>
  <w:num w:numId="12" w16cid:durableId="982851329">
    <w:abstractNumId w:val="18"/>
  </w:num>
  <w:num w:numId="13" w16cid:durableId="77144801">
    <w:abstractNumId w:val="20"/>
  </w:num>
  <w:num w:numId="14" w16cid:durableId="1647279085">
    <w:abstractNumId w:val="4"/>
  </w:num>
  <w:num w:numId="15" w16cid:durableId="271133236">
    <w:abstractNumId w:val="13"/>
  </w:num>
  <w:num w:numId="16" w16cid:durableId="1738623123">
    <w:abstractNumId w:val="27"/>
  </w:num>
  <w:num w:numId="17" w16cid:durableId="913320329">
    <w:abstractNumId w:val="25"/>
  </w:num>
  <w:num w:numId="18" w16cid:durableId="418794546">
    <w:abstractNumId w:val="31"/>
  </w:num>
  <w:num w:numId="19" w16cid:durableId="1472021529">
    <w:abstractNumId w:val="21"/>
  </w:num>
  <w:num w:numId="20" w16cid:durableId="2017075213">
    <w:abstractNumId w:val="34"/>
  </w:num>
  <w:num w:numId="21" w16cid:durableId="591548215">
    <w:abstractNumId w:val="23"/>
  </w:num>
  <w:num w:numId="22" w16cid:durableId="1404647861">
    <w:abstractNumId w:val="10"/>
  </w:num>
  <w:num w:numId="23" w16cid:durableId="174223927">
    <w:abstractNumId w:val="12"/>
  </w:num>
  <w:num w:numId="24" w16cid:durableId="1101417208">
    <w:abstractNumId w:val="32"/>
  </w:num>
  <w:num w:numId="25" w16cid:durableId="801313979">
    <w:abstractNumId w:val="24"/>
  </w:num>
  <w:num w:numId="26" w16cid:durableId="1469083396">
    <w:abstractNumId w:val="15"/>
  </w:num>
  <w:num w:numId="27" w16cid:durableId="994603209">
    <w:abstractNumId w:val="28"/>
  </w:num>
  <w:num w:numId="28" w16cid:durableId="1157379616">
    <w:abstractNumId w:val="30"/>
  </w:num>
  <w:num w:numId="29" w16cid:durableId="438067770">
    <w:abstractNumId w:val="17"/>
  </w:num>
  <w:num w:numId="30" w16cid:durableId="2108188645">
    <w:abstractNumId w:val="36"/>
  </w:num>
  <w:num w:numId="31" w16cid:durableId="637416884">
    <w:abstractNumId w:val="1"/>
  </w:num>
  <w:num w:numId="32" w16cid:durableId="1707027479">
    <w:abstractNumId w:val="7"/>
  </w:num>
  <w:num w:numId="33" w16cid:durableId="220675060">
    <w:abstractNumId w:val="16"/>
  </w:num>
  <w:num w:numId="34" w16cid:durableId="683478542">
    <w:abstractNumId w:val="22"/>
  </w:num>
  <w:num w:numId="35" w16cid:durableId="374165365">
    <w:abstractNumId w:val="0"/>
  </w:num>
  <w:num w:numId="36" w16cid:durableId="133135331">
    <w:abstractNumId w:val="2"/>
  </w:num>
  <w:num w:numId="37" w16cid:durableId="1939672181">
    <w:abstractNumId w:val="3"/>
  </w:num>
  <w:num w:numId="38" w16cid:durableId="90506799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1NzY0Mrc0MjYwsrRQ0lEKTi0uzszPAykwqgUAQZFtqSwAAAA="/>
  </w:docVars>
  <w:rsids>
    <w:rsidRoot w:val="00DD4C39"/>
    <w:rsid w:val="00004835"/>
    <w:rsid w:val="00004B63"/>
    <w:rsid w:val="00007744"/>
    <w:rsid w:val="00016C1C"/>
    <w:rsid w:val="00017135"/>
    <w:rsid w:val="00023580"/>
    <w:rsid w:val="00025B70"/>
    <w:rsid w:val="00031322"/>
    <w:rsid w:val="00037897"/>
    <w:rsid w:val="00043A65"/>
    <w:rsid w:val="0004418A"/>
    <w:rsid w:val="000517FA"/>
    <w:rsid w:val="00051ACC"/>
    <w:rsid w:val="00052B90"/>
    <w:rsid w:val="000554E0"/>
    <w:rsid w:val="00055C1C"/>
    <w:rsid w:val="000578FB"/>
    <w:rsid w:val="00060FB1"/>
    <w:rsid w:val="000614FA"/>
    <w:rsid w:val="00064640"/>
    <w:rsid w:val="00066705"/>
    <w:rsid w:val="00066A81"/>
    <w:rsid w:val="0006745A"/>
    <w:rsid w:val="00070901"/>
    <w:rsid w:val="00071189"/>
    <w:rsid w:val="00074F2A"/>
    <w:rsid w:val="00075116"/>
    <w:rsid w:val="00087667"/>
    <w:rsid w:val="00090861"/>
    <w:rsid w:val="00095C30"/>
    <w:rsid w:val="00097733"/>
    <w:rsid w:val="00097856"/>
    <w:rsid w:val="000A1303"/>
    <w:rsid w:val="000A2399"/>
    <w:rsid w:val="000A2BB3"/>
    <w:rsid w:val="000A5EFA"/>
    <w:rsid w:val="000A6DB2"/>
    <w:rsid w:val="000A75A4"/>
    <w:rsid w:val="000A777B"/>
    <w:rsid w:val="000B0920"/>
    <w:rsid w:val="000B478C"/>
    <w:rsid w:val="000C2D54"/>
    <w:rsid w:val="000C7D41"/>
    <w:rsid w:val="000D11D4"/>
    <w:rsid w:val="000D5959"/>
    <w:rsid w:val="000D673E"/>
    <w:rsid w:val="000D7C81"/>
    <w:rsid w:val="000E14B9"/>
    <w:rsid w:val="000E250A"/>
    <w:rsid w:val="000E6023"/>
    <w:rsid w:val="000E7785"/>
    <w:rsid w:val="00100330"/>
    <w:rsid w:val="0010246F"/>
    <w:rsid w:val="001031B7"/>
    <w:rsid w:val="00103686"/>
    <w:rsid w:val="00111C08"/>
    <w:rsid w:val="0011743A"/>
    <w:rsid w:val="00117EA2"/>
    <w:rsid w:val="00120AE6"/>
    <w:rsid w:val="00124AD6"/>
    <w:rsid w:val="00127194"/>
    <w:rsid w:val="00131C64"/>
    <w:rsid w:val="00137A63"/>
    <w:rsid w:val="001476CD"/>
    <w:rsid w:val="00147A4F"/>
    <w:rsid w:val="001527D8"/>
    <w:rsid w:val="00152B06"/>
    <w:rsid w:val="00152E0C"/>
    <w:rsid w:val="00154970"/>
    <w:rsid w:val="00155506"/>
    <w:rsid w:val="00156337"/>
    <w:rsid w:val="00157B26"/>
    <w:rsid w:val="00160A09"/>
    <w:rsid w:val="001630E3"/>
    <w:rsid w:val="00173393"/>
    <w:rsid w:val="001827ED"/>
    <w:rsid w:val="00182CFC"/>
    <w:rsid w:val="001838A7"/>
    <w:rsid w:val="001840C6"/>
    <w:rsid w:val="001900C8"/>
    <w:rsid w:val="00190654"/>
    <w:rsid w:val="00190FB1"/>
    <w:rsid w:val="001939BC"/>
    <w:rsid w:val="001A4969"/>
    <w:rsid w:val="001A570C"/>
    <w:rsid w:val="001A68AB"/>
    <w:rsid w:val="001B112D"/>
    <w:rsid w:val="001B446C"/>
    <w:rsid w:val="001C05A3"/>
    <w:rsid w:val="001C74AA"/>
    <w:rsid w:val="001D0FB6"/>
    <w:rsid w:val="001D1E59"/>
    <w:rsid w:val="001D478C"/>
    <w:rsid w:val="001D677B"/>
    <w:rsid w:val="001D7AE4"/>
    <w:rsid w:val="001E0A22"/>
    <w:rsid w:val="001E234F"/>
    <w:rsid w:val="001E47A9"/>
    <w:rsid w:val="001E5194"/>
    <w:rsid w:val="001F03E7"/>
    <w:rsid w:val="001F5768"/>
    <w:rsid w:val="001F67DE"/>
    <w:rsid w:val="001F6925"/>
    <w:rsid w:val="001F7E88"/>
    <w:rsid w:val="0021625A"/>
    <w:rsid w:val="002209DA"/>
    <w:rsid w:val="002213FF"/>
    <w:rsid w:val="002254CF"/>
    <w:rsid w:val="00225BB2"/>
    <w:rsid w:val="002263E3"/>
    <w:rsid w:val="00226609"/>
    <w:rsid w:val="002317E7"/>
    <w:rsid w:val="00232D1D"/>
    <w:rsid w:val="00233B23"/>
    <w:rsid w:val="00236A12"/>
    <w:rsid w:val="00242111"/>
    <w:rsid w:val="00242BC6"/>
    <w:rsid w:val="002437AA"/>
    <w:rsid w:val="0024623F"/>
    <w:rsid w:val="00246631"/>
    <w:rsid w:val="00247B9A"/>
    <w:rsid w:val="002540F1"/>
    <w:rsid w:val="00257170"/>
    <w:rsid w:val="0026489C"/>
    <w:rsid w:val="0027149A"/>
    <w:rsid w:val="0027164B"/>
    <w:rsid w:val="00276A49"/>
    <w:rsid w:val="002836AE"/>
    <w:rsid w:val="0028560B"/>
    <w:rsid w:val="00285655"/>
    <w:rsid w:val="002868AF"/>
    <w:rsid w:val="00293F37"/>
    <w:rsid w:val="00295305"/>
    <w:rsid w:val="00295E2E"/>
    <w:rsid w:val="00297821"/>
    <w:rsid w:val="002A1FF6"/>
    <w:rsid w:val="002A2405"/>
    <w:rsid w:val="002A3E1B"/>
    <w:rsid w:val="002A5046"/>
    <w:rsid w:val="002A62CC"/>
    <w:rsid w:val="002A70B6"/>
    <w:rsid w:val="002B158F"/>
    <w:rsid w:val="002B2E04"/>
    <w:rsid w:val="002B6387"/>
    <w:rsid w:val="002C12A9"/>
    <w:rsid w:val="002C399C"/>
    <w:rsid w:val="002D1035"/>
    <w:rsid w:val="002D365C"/>
    <w:rsid w:val="002D4EB8"/>
    <w:rsid w:val="002D7AD8"/>
    <w:rsid w:val="002E24FF"/>
    <w:rsid w:val="002E25F5"/>
    <w:rsid w:val="002E52AC"/>
    <w:rsid w:val="002E658B"/>
    <w:rsid w:val="002E724A"/>
    <w:rsid w:val="002F54EC"/>
    <w:rsid w:val="00305FA6"/>
    <w:rsid w:val="00312A0A"/>
    <w:rsid w:val="003172D0"/>
    <w:rsid w:val="00317865"/>
    <w:rsid w:val="00321018"/>
    <w:rsid w:val="00322F0E"/>
    <w:rsid w:val="00324073"/>
    <w:rsid w:val="00325293"/>
    <w:rsid w:val="0032583A"/>
    <w:rsid w:val="00326D20"/>
    <w:rsid w:val="00334B35"/>
    <w:rsid w:val="0033714C"/>
    <w:rsid w:val="003426C8"/>
    <w:rsid w:val="003517D4"/>
    <w:rsid w:val="003519D1"/>
    <w:rsid w:val="0035289C"/>
    <w:rsid w:val="00352DFA"/>
    <w:rsid w:val="003604AB"/>
    <w:rsid w:val="00360D3F"/>
    <w:rsid w:val="0037129A"/>
    <w:rsid w:val="00373619"/>
    <w:rsid w:val="00380483"/>
    <w:rsid w:val="003917CB"/>
    <w:rsid w:val="003919F8"/>
    <w:rsid w:val="003948C5"/>
    <w:rsid w:val="00394EFC"/>
    <w:rsid w:val="00396EE8"/>
    <w:rsid w:val="00397E51"/>
    <w:rsid w:val="003A33A1"/>
    <w:rsid w:val="003A49F5"/>
    <w:rsid w:val="003A752C"/>
    <w:rsid w:val="003B1B2E"/>
    <w:rsid w:val="003B474B"/>
    <w:rsid w:val="003B7388"/>
    <w:rsid w:val="003B7A18"/>
    <w:rsid w:val="003C1BFB"/>
    <w:rsid w:val="003C22FC"/>
    <w:rsid w:val="003D0374"/>
    <w:rsid w:val="003D1A6C"/>
    <w:rsid w:val="003D22D2"/>
    <w:rsid w:val="003D3807"/>
    <w:rsid w:val="003D5E37"/>
    <w:rsid w:val="003D6EE5"/>
    <w:rsid w:val="003E266B"/>
    <w:rsid w:val="003E28FF"/>
    <w:rsid w:val="003E3614"/>
    <w:rsid w:val="003E47F6"/>
    <w:rsid w:val="003E7A5F"/>
    <w:rsid w:val="003E7F59"/>
    <w:rsid w:val="00402763"/>
    <w:rsid w:val="00406CCF"/>
    <w:rsid w:val="00410A2C"/>
    <w:rsid w:val="0041562C"/>
    <w:rsid w:val="004169F0"/>
    <w:rsid w:val="00420909"/>
    <w:rsid w:val="00422679"/>
    <w:rsid w:val="00425FF4"/>
    <w:rsid w:val="004313C0"/>
    <w:rsid w:val="00435A8B"/>
    <w:rsid w:val="00436588"/>
    <w:rsid w:val="00443067"/>
    <w:rsid w:val="004475DB"/>
    <w:rsid w:val="00453C8A"/>
    <w:rsid w:val="00460AA1"/>
    <w:rsid w:val="0046156B"/>
    <w:rsid w:val="00467A1D"/>
    <w:rsid w:val="00467EDA"/>
    <w:rsid w:val="0048168A"/>
    <w:rsid w:val="00482A9E"/>
    <w:rsid w:val="0048365D"/>
    <w:rsid w:val="004852AB"/>
    <w:rsid w:val="00485575"/>
    <w:rsid w:val="0049056B"/>
    <w:rsid w:val="00492262"/>
    <w:rsid w:val="00492F08"/>
    <w:rsid w:val="00495E22"/>
    <w:rsid w:val="00497882"/>
    <w:rsid w:val="004A4169"/>
    <w:rsid w:val="004A6437"/>
    <w:rsid w:val="004B39F7"/>
    <w:rsid w:val="004B6FBD"/>
    <w:rsid w:val="004C5D1E"/>
    <w:rsid w:val="004C7E91"/>
    <w:rsid w:val="004D2B65"/>
    <w:rsid w:val="004D3EA4"/>
    <w:rsid w:val="004D5B52"/>
    <w:rsid w:val="004E01C5"/>
    <w:rsid w:val="004E12AF"/>
    <w:rsid w:val="004E2035"/>
    <w:rsid w:val="004E2396"/>
    <w:rsid w:val="004E68B8"/>
    <w:rsid w:val="004E6BB3"/>
    <w:rsid w:val="004E6F3B"/>
    <w:rsid w:val="004E7B8E"/>
    <w:rsid w:val="004E7D53"/>
    <w:rsid w:val="004F061A"/>
    <w:rsid w:val="004F2132"/>
    <w:rsid w:val="004F39B9"/>
    <w:rsid w:val="004F5048"/>
    <w:rsid w:val="004F597B"/>
    <w:rsid w:val="004F6310"/>
    <w:rsid w:val="004F6EE4"/>
    <w:rsid w:val="004F7857"/>
    <w:rsid w:val="004F7D57"/>
    <w:rsid w:val="00500AF3"/>
    <w:rsid w:val="00502206"/>
    <w:rsid w:val="00502568"/>
    <w:rsid w:val="0050275D"/>
    <w:rsid w:val="005052D2"/>
    <w:rsid w:val="00506617"/>
    <w:rsid w:val="00512791"/>
    <w:rsid w:val="00513361"/>
    <w:rsid w:val="00513F5C"/>
    <w:rsid w:val="0051419B"/>
    <w:rsid w:val="00514D75"/>
    <w:rsid w:val="005155C7"/>
    <w:rsid w:val="0051582C"/>
    <w:rsid w:val="00520FBB"/>
    <w:rsid w:val="00524F9F"/>
    <w:rsid w:val="00525084"/>
    <w:rsid w:val="005262AC"/>
    <w:rsid w:val="005300EB"/>
    <w:rsid w:val="0054141A"/>
    <w:rsid w:val="0054428A"/>
    <w:rsid w:val="00544A2C"/>
    <w:rsid w:val="005529B8"/>
    <w:rsid w:val="005541D3"/>
    <w:rsid w:val="00555EF1"/>
    <w:rsid w:val="00560E13"/>
    <w:rsid w:val="00560E37"/>
    <w:rsid w:val="0056180A"/>
    <w:rsid w:val="00561E0D"/>
    <w:rsid w:val="005628E2"/>
    <w:rsid w:val="005644A2"/>
    <w:rsid w:val="00565954"/>
    <w:rsid w:val="00571E4A"/>
    <w:rsid w:val="005727F9"/>
    <w:rsid w:val="00574629"/>
    <w:rsid w:val="00574F9E"/>
    <w:rsid w:val="005759DF"/>
    <w:rsid w:val="00577188"/>
    <w:rsid w:val="00581207"/>
    <w:rsid w:val="005847DE"/>
    <w:rsid w:val="00586D4A"/>
    <w:rsid w:val="005915D1"/>
    <w:rsid w:val="00592137"/>
    <w:rsid w:val="00592631"/>
    <w:rsid w:val="00593A75"/>
    <w:rsid w:val="00594D79"/>
    <w:rsid w:val="00595988"/>
    <w:rsid w:val="00597C04"/>
    <w:rsid w:val="005A1BE5"/>
    <w:rsid w:val="005A2315"/>
    <w:rsid w:val="005B012A"/>
    <w:rsid w:val="005B0AB8"/>
    <w:rsid w:val="005B0B6E"/>
    <w:rsid w:val="005B164B"/>
    <w:rsid w:val="005B1C74"/>
    <w:rsid w:val="005B255C"/>
    <w:rsid w:val="005C0416"/>
    <w:rsid w:val="005C35E0"/>
    <w:rsid w:val="005C3E3A"/>
    <w:rsid w:val="005C618B"/>
    <w:rsid w:val="005D2E30"/>
    <w:rsid w:val="005D3C54"/>
    <w:rsid w:val="005D6B27"/>
    <w:rsid w:val="005E14AA"/>
    <w:rsid w:val="005E2A13"/>
    <w:rsid w:val="005E3E46"/>
    <w:rsid w:val="005E6985"/>
    <w:rsid w:val="005F12D6"/>
    <w:rsid w:val="005F439A"/>
    <w:rsid w:val="005F6BB3"/>
    <w:rsid w:val="00601C14"/>
    <w:rsid w:val="00605B6D"/>
    <w:rsid w:val="0060646E"/>
    <w:rsid w:val="00612702"/>
    <w:rsid w:val="00614F8F"/>
    <w:rsid w:val="00615422"/>
    <w:rsid w:val="006155E3"/>
    <w:rsid w:val="00616C33"/>
    <w:rsid w:val="00620802"/>
    <w:rsid w:val="00625670"/>
    <w:rsid w:val="006263AF"/>
    <w:rsid w:val="00630BEA"/>
    <w:rsid w:val="00630C1F"/>
    <w:rsid w:val="00631B05"/>
    <w:rsid w:val="00635265"/>
    <w:rsid w:val="00635B47"/>
    <w:rsid w:val="00635DBD"/>
    <w:rsid w:val="00642E30"/>
    <w:rsid w:val="00650AE3"/>
    <w:rsid w:val="006519FE"/>
    <w:rsid w:val="00651E68"/>
    <w:rsid w:val="00652C5F"/>
    <w:rsid w:val="0065311C"/>
    <w:rsid w:val="0065703C"/>
    <w:rsid w:val="00657B11"/>
    <w:rsid w:val="00660C2A"/>
    <w:rsid w:val="006629AF"/>
    <w:rsid w:val="00662FA6"/>
    <w:rsid w:val="00664A83"/>
    <w:rsid w:val="0066614E"/>
    <w:rsid w:val="006668DF"/>
    <w:rsid w:val="00667F40"/>
    <w:rsid w:val="00671533"/>
    <w:rsid w:val="006730CB"/>
    <w:rsid w:val="00675158"/>
    <w:rsid w:val="00675FA6"/>
    <w:rsid w:val="00681875"/>
    <w:rsid w:val="006827AF"/>
    <w:rsid w:val="00690C15"/>
    <w:rsid w:val="00691676"/>
    <w:rsid w:val="006934A4"/>
    <w:rsid w:val="00694524"/>
    <w:rsid w:val="00695BFD"/>
    <w:rsid w:val="006969DC"/>
    <w:rsid w:val="006A24E3"/>
    <w:rsid w:val="006A4C92"/>
    <w:rsid w:val="006A513B"/>
    <w:rsid w:val="006A5A3E"/>
    <w:rsid w:val="006A6EF0"/>
    <w:rsid w:val="006A7268"/>
    <w:rsid w:val="006B11F5"/>
    <w:rsid w:val="006B3200"/>
    <w:rsid w:val="006B517C"/>
    <w:rsid w:val="006B6DA6"/>
    <w:rsid w:val="006C17C9"/>
    <w:rsid w:val="006C7650"/>
    <w:rsid w:val="006D0B0F"/>
    <w:rsid w:val="006D0D69"/>
    <w:rsid w:val="006D1CF8"/>
    <w:rsid w:val="006D2F19"/>
    <w:rsid w:val="006E59F0"/>
    <w:rsid w:val="006E6DA2"/>
    <w:rsid w:val="006E70BB"/>
    <w:rsid w:val="006F21D4"/>
    <w:rsid w:val="006F3876"/>
    <w:rsid w:val="006F5949"/>
    <w:rsid w:val="006F621A"/>
    <w:rsid w:val="006F63B5"/>
    <w:rsid w:val="007170F9"/>
    <w:rsid w:val="00720C29"/>
    <w:rsid w:val="007213AE"/>
    <w:rsid w:val="00730A15"/>
    <w:rsid w:val="0073293B"/>
    <w:rsid w:val="0073417A"/>
    <w:rsid w:val="00735255"/>
    <w:rsid w:val="007355DF"/>
    <w:rsid w:val="0073576C"/>
    <w:rsid w:val="0074052A"/>
    <w:rsid w:val="00740724"/>
    <w:rsid w:val="0074337D"/>
    <w:rsid w:val="00743EF7"/>
    <w:rsid w:val="00745602"/>
    <w:rsid w:val="00747BA9"/>
    <w:rsid w:val="007503FC"/>
    <w:rsid w:val="007519E9"/>
    <w:rsid w:val="00752795"/>
    <w:rsid w:val="00754A87"/>
    <w:rsid w:val="007551D2"/>
    <w:rsid w:val="00755F8C"/>
    <w:rsid w:val="007631B9"/>
    <w:rsid w:val="007678A5"/>
    <w:rsid w:val="00773D08"/>
    <w:rsid w:val="00774632"/>
    <w:rsid w:val="00774870"/>
    <w:rsid w:val="00775899"/>
    <w:rsid w:val="00776564"/>
    <w:rsid w:val="00785B87"/>
    <w:rsid w:val="00787037"/>
    <w:rsid w:val="0079089F"/>
    <w:rsid w:val="0079175F"/>
    <w:rsid w:val="0079380E"/>
    <w:rsid w:val="00793B29"/>
    <w:rsid w:val="007A6645"/>
    <w:rsid w:val="007B10F9"/>
    <w:rsid w:val="007B2DE7"/>
    <w:rsid w:val="007B5FB0"/>
    <w:rsid w:val="007C003B"/>
    <w:rsid w:val="007C1B20"/>
    <w:rsid w:val="007C4A02"/>
    <w:rsid w:val="007C4E4F"/>
    <w:rsid w:val="007D7CAE"/>
    <w:rsid w:val="007E4C2D"/>
    <w:rsid w:val="007E654F"/>
    <w:rsid w:val="007F12C3"/>
    <w:rsid w:val="007F4258"/>
    <w:rsid w:val="007F4EF3"/>
    <w:rsid w:val="007F578D"/>
    <w:rsid w:val="007F7183"/>
    <w:rsid w:val="00805EFF"/>
    <w:rsid w:val="008068B2"/>
    <w:rsid w:val="00811FA1"/>
    <w:rsid w:val="00813D36"/>
    <w:rsid w:val="00816217"/>
    <w:rsid w:val="008207DE"/>
    <w:rsid w:val="00821CFF"/>
    <w:rsid w:val="008234F6"/>
    <w:rsid w:val="00824669"/>
    <w:rsid w:val="00824B0A"/>
    <w:rsid w:val="00824DEF"/>
    <w:rsid w:val="00825C70"/>
    <w:rsid w:val="00835FA1"/>
    <w:rsid w:val="00841449"/>
    <w:rsid w:val="00841ADE"/>
    <w:rsid w:val="00841D80"/>
    <w:rsid w:val="008452F5"/>
    <w:rsid w:val="008523C2"/>
    <w:rsid w:val="00853A01"/>
    <w:rsid w:val="00861DD4"/>
    <w:rsid w:val="00863C66"/>
    <w:rsid w:val="00864BA1"/>
    <w:rsid w:val="00865BF5"/>
    <w:rsid w:val="00866DEF"/>
    <w:rsid w:val="008723D3"/>
    <w:rsid w:val="008724BD"/>
    <w:rsid w:val="0087283C"/>
    <w:rsid w:val="008751B8"/>
    <w:rsid w:val="00880D26"/>
    <w:rsid w:val="00880F44"/>
    <w:rsid w:val="00881307"/>
    <w:rsid w:val="0088186C"/>
    <w:rsid w:val="00883055"/>
    <w:rsid w:val="00883AD0"/>
    <w:rsid w:val="008872A1"/>
    <w:rsid w:val="00890C67"/>
    <w:rsid w:val="00894708"/>
    <w:rsid w:val="008A2E56"/>
    <w:rsid w:val="008A418E"/>
    <w:rsid w:val="008A480E"/>
    <w:rsid w:val="008B0264"/>
    <w:rsid w:val="008B11A1"/>
    <w:rsid w:val="008B27AD"/>
    <w:rsid w:val="008B2E2E"/>
    <w:rsid w:val="008B3DC1"/>
    <w:rsid w:val="008B581C"/>
    <w:rsid w:val="008B6444"/>
    <w:rsid w:val="008C2411"/>
    <w:rsid w:val="008C3957"/>
    <w:rsid w:val="008C4D61"/>
    <w:rsid w:val="008C65CB"/>
    <w:rsid w:val="008C6751"/>
    <w:rsid w:val="008C6B06"/>
    <w:rsid w:val="008E243F"/>
    <w:rsid w:val="008E37BD"/>
    <w:rsid w:val="008E5413"/>
    <w:rsid w:val="008F5322"/>
    <w:rsid w:val="008F6C24"/>
    <w:rsid w:val="008F73C9"/>
    <w:rsid w:val="009009B8"/>
    <w:rsid w:val="00915234"/>
    <w:rsid w:val="00915D5B"/>
    <w:rsid w:val="00926560"/>
    <w:rsid w:val="0093035A"/>
    <w:rsid w:val="009320AA"/>
    <w:rsid w:val="00932594"/>
    <w:rsid w:val="009349D9"/>
    <w:rsid w:val="009373EA"/>
    <w:rsid w:val="00951460"/>
    <w:rsid w:val="009524AB"/>
    <w:rsid w:val="00952C5B"/>
    <w:rsid w:val="0095464C"/>
    <w:rsid w:val="009621A4"/>
    <w:rsid w:val="009632D3"/>
    <w:rsid w:val="009664D3"/>
    <w:rsid w:val="00967B85"/>
    <w:rsid w:val="0097119E"/>
    <w:rsid w:val="009744EB"/>
    <w:rsid w:val="00975089"/>
    <w:rsid w:val="0097663E"/>
    <w:rsid w:val="00976996"/>
    <w:rsid w:val="00991363"/>
    <w:rsid w:val="0099649A"/>
    <w:rsid w:val="009A0A4D"/>
    <w:rsid w:val="009A1A60"/>
    <w:rsid w:val="009A7DD7"/>
    <w:rsid w:val="009B2781"/>
    <w:rsid w:val="009B7444"/>
    <w:rsid w:val="009C3BF9"/>
    <w:rsid w:val="009C4673"/>
    <w:rsid w:val="009D1E03"/>
    <w:rsid w:val="009D2316"/>
    <w:rsid w:val="009D397B"/>
    <w:rsid w:val="009E0AD0"/>
    <w:rsid w:val="009E1DFC"/>
    <w:rsid w:val="009E4284"/>
    <w:rsid w:val="009E5F15"/>
    <w:rsid w:val="009F09A9"/>
    <w:rsid w:val="009F1336"/>
    <w:rsid w:val="009F2048"/>
    <w:rsid w:val="009F5948"/>
    <w:rsid w:val="009F75B4"/>
    <w:rsid w:val="00A046E7"/>
    <w:rsid w:val="00A10153"/>
    <w:rsid w:val="00A173C8"/>
    <w:rsid w:val="00A246F2"/>
    <w:rsid w:val="00A25934"/>
    <w:rsid w:val="00A34209"/>
    <w:rsid w:val="00A34E65"/>
    <w:rsid w:val="00A3547D"/>
    <w:rsid w:val="00A3548A"/>
    <w:rsid w:val="00A370AA"/>
    <w:rsid w:val="00A40E8A"/>
    <w:rsid w:val="00A41856"/>
    <w:rsid w:val="00A42629"/>
    <w:rsid w:val="00A42CDF"/>
    <w:rsid w:val="00A43AFF"/>
    <w:rsid w:val="00A43C99"/>
    <w:rsid w:val="00A44901"/>
    <w:rsid w:val="00A471D7"/>
    <w:rsid w:val="00A47386"/>
    <w:rsid w:val="00A50095"/>
    <w:rsid w:val="00A50D90"/>
    <w:rsid w:val="00A51A48"/>
    <w:rsid w:val="00A51BEB"/>
    <w:rsid w:val="00A526B0"/>
    <w:rsid w:val="00A552BF"/>
    <w:rsid w:val="00A73325"/>
    <w:rsid w:val="00A734A9"/>
    <w:rsid w:val="00A7511C"/>
    <w:rsid w:val="00A758FB"/>
    <w:rsid w:val="00A77209"/>
    <w:rsid w:val="00A80F7D"/>
    <w:rsid w:val="00A836C5"/>
    <w:rsid w:val="00A85C55"/>
    <w:rsid w:val="00A86721"/>
    <w:rsid w:val="00A94350"/>
    <w:rsid w:val="00AA34BE"/>
    <w:rsid w:val="00AA6F06"/>
    <w:rsid w:val="00AB0B6F"/>
    <w:rsid w:val="00AB2C68"/>
    <w:rsid w:val="00AB4EDC"/>
    <w:rsid w:val="00AB6005"/>
    <w:rsid w:val="00AB6B4E"/>
    <w:rsid w:val="00AC07E5"/>
    <w:rsid w:val="00AC299C"/>
    <w:rsid w:val="00AC2BA9"/>
    <w:rsid w:val="00AC339E"/>
    <w:rsid w:val="00AC4618"/>
    <w:rsid w:val="00AC5E5F"/>
    <w:rsid w:val="00AD2163"/>
    <w:rsid w:val="00AD3849"/>
    <w:rsid w:val="00AD62E3"/>
    <w:rsid w:val="00AE0D28"/>
    <w:rsid w:val="00AE1A46"/>
    <w:rsid w:val="00AE2F03"/>
    <w:rsid w:val="00AE39D4"/>
    <w:rsid w:val="00AE7CC5"/>
    <w:rsid w:val="00AF0EEA"/>
    <w:rsid w:val="00AF220B"/>
    <w:rsid w:val="00AF2285"/>
    <w:rsid w:val="00AF6037"/>
    <w:rsid w:val="00AF6514"/>
    <w:rsid w:val="00AF6F63"/>
    <w:rsid w:val="00B0104F"/>
    <w:rsid w:val="00B0169E"/>
    <w:rsid w:val="00B01D65"/>
    <w:rsid w:val="00B05173"/>
    <w:rsid w:val="00B05282"/>
    <w:rsid w:val="00B20A06"/>
    <w:rsid w:val="00B20D6A"/>
    <w:rsid w:val="00B20FCC"/>
    <w:rsid w:val="00B2266D"/>
    <w:rsid w:val="00B2285F"/>
    <w:rsid w:val="00B231EF"/>
    <w:rsid w:val="00B31712"/>
    <w:rsid w:val="00B323B9"/>
    <w:rsid w:val="00B3628C"/>
    <w:rsid w:val="00B416C8"/>
    <w:rsid w:val="00B425B1"/>
    <w:rsid w:val="00B42DBE"/>
    <w:rsid w:val="00B474B6"/>
    <w:rsid w:val="00B50939"/>
    <w:rsid w:val="00B52143"/>
    <w:rsid w:val="00B55D25"/>
    <w:rsid w:val="00B57CF7"/>
    <w:rsid w:val="00B611AA"/>
    <w:rsid w:val="00B62537"/>
    <w:rsid w:val="00B64F5D"/>
    <w:rsid w:val="00B67F03"/>
    <w:rsid w:val="00B7305B"/>
    <w:rsid w:val="00B730AE"/>
    <w:rsid w:val="00B7393F"/>
    <w:rsid w:val="00B741BE"/>
    <w:rsid w:val="00B80598"/>
    <w:rsid w:val="00B823ED"/>
    <w:rsid w:val="00B84B24"/>
    <w:rsid w:val="00B865A5"/>
    <w:rsid w:val="00B865B6"/>
    <w:rsid w:val="00B90E2B"/>
    <w:rsid w:val="00B931D2"/>
    <w:rsid w:val="00B94C0B"/>
    <w:rsid w:val="00BA0669"/>
    <w:rsid w:val="00BA354A"/>
    <w:rsid w:val="00BA6D9F"/>
    <w:rsid w:val="00BA6F52"/>
    <w:rsid w:val="00BB0EEB"/>
    <w:rsid w:val="00BB220B"/>
    <w:rsid w:val="00BB5896"/>
    <w:rsid w:val="00BB63F0"/>
    <w:rsid w:val="00BC3999"/>
    <w:rsid w:val="00BC592A"/>
    <w:rsid w:val="00BD07D4"/>
    <w:rsid w:val="00BD24FA"/>
    <w:rsid w:val="00BD6844"/>
    <w:rsid w:val="00BE3A57"/>
    <w:rsid w:val="00BE4E01"/>
    <w:rsid w:val="00BF334C"/>
    <w:rsid w:val="00BF3A15"/>
    <w:rsid w:val="00BF560B"/>
    <w:rsid w:val="00C03B13"/>
    <w:rsid w:val="00C03F15"/>
    <w:rsid w:val="00C12426"/>
    <w:rsid w:val="00C14930"/>
    <w:rsid w:val="00C15EF2"/>
    <w:rsid w:val="00C160F6"/>
    <w:rsid w:val="00C208F5"/>
    <w:rsid w:val="00C23619"/>
    <w:rsid w:val="00C246EC"/>
    <w:rsid w:val="00C27A3D"/>
    <w:rsid w:val="00C32ABE"/>
    <w:rsid w:val="00C40A02"/>
    <w:rsid w:val="00C4264F"/>
    <w:rsid w:val="00C527E5"/>
    <w:rsid w:val="00C54F37"/>
    <w:rsid w:val="00C56E2E"/>
    <w:rsid w:val="00C66782"/>
    <w:rsid w:val="00C708E5"/>
    <w:rsid w:val="00C72269"/>
    <w:rsid w:val="00C74DED"/>
    <w:rsid w:val="00C8065B"/>
    <w:rsid w:val="00C817DD"/>
    <w:rsid w:val="00C82FB3"/>
    <w:rsid w:val="00C84FF0"/>
    <w:rsid w:val="00C85E5B"/>
    <w:rsid w:val="00C87626"/>
    <w:rsid w:val="00C87AF3"/>
    <w:rsid w:val="00C916B6"/>
    <w:rsid w:val="00C95774"/>
    <w:rsid w:val="00CA04AD"/>
    <w:rsid w:val="00CA0F93"/>
    <w:rsid w:val="00CA741F"/>
    <w:rsid w:val="00CA7E7D"/>
    <w:rsid w:val="00CB13C0"/>
    <w:rsid w:val="00CB3BF6"/>
    <w:rsid w:val="00CC0317"/>
    <w:rsid w:val="00CC2898"/>
    <w:rsid w:val="00CC28FF"/>
    <w:rsid w:val="00CC2E2D"/>
    <w:rsid w:val="00CC2E37"/>
    <w:rsid w:val="00CC40A4"/>
    <w:rsid w:val="00CC5949"/>
    <w:rsid w:val="00CC5C1A"/>
    <w:rsid w:val="00CD2FE0"/>
    <w:rsid w:val="00CD343D"/>
    <w:rsid w:val="00CD7285"/>
    <w:rsid w:val="00CE60D2"/>
    <w:rsid w:val="00CE6260"/>
    <w:rsid w:val="00CE6E0D"/>
    <w:rsid w:val="00CE7C90"/>
    <w:rsid w:val="00CF220B"/>
    <w:rsid w:val="00CF4014"/>
    <w:rsid w:val="00D03363"/>
    <w:rsid w:val="00D044B3"/>
    <w:rsid w:val="00D0610E"/>
    <w:rsid w:val="00D11FBB"/>
    <w:rsid w:val="00D122FD"/>
    <w:rsid w:val="00D160C2"/>
    <w:rsid w:val="00D20F42"/>
    <w:rsid w:val="00D23010"/>
    <w:rsid w:val="00D2359F"/>
    <w:rsid w:val="00D24637"/>
    <w:rsid w:val="00D24B98"/>
    <w:rsid w:val="00D24DA6"/>
    <w:rsid w:val="00D271AA"/>
    <w:rsid w:val="00D320C6"/>
    <w:rsid w:val="00D32B64"/>
    <w:rsid w:val="00D3328D"/>
    <w:rsid w:val="00D34980"/>
    <w:rsid w:val="00D36F02"/>
    <w:rsid w:val="00D376C1"/>
    <w:rsid w:val="00D3781A"/>
    <w:rsid w:val="00D468EB"/>
    <w:rsid w:val="00D50CFF"/>
    <w:rsid w:val="00D52017"/>
    <w:rsid w:val="00D53F70"/>
    <w:rsid w:val="00D554B0"/>
    <w:rsid w:val="00D56A8E"/>
    <w:rsid w:val="00D6211D"/>
    <w:rsid w:val="00D66B07"/>
    <w:rsid w:val="00D708E9"/>
    <w:rsid w:val="00D70996"/>
    <w:rsid w:val="00D72773"/>
    <w:rsid w:val="00D745DF"/>
    <w:rsid w:val="00D7460D"/>
    <w:rsid w:val="00D74C15"/>
    <w:rsid w:val="00D75D19"/>
    <w:rsid w:val="00D97B0C"/>
    <w:rsid w:val="00D97C35"/>
    <w:rsid w:val="00DA02E4"/>
    <w:rsid w:val="00DA3223"/>
    <w:rsid w:val="00DA512A"/>
    <w:rsid w:val="00DA711E"/>
    <w:rsid w:val="00DB026B"/>
    <w:rsid w:val="00DB0508"/>
    <w:rsid w:val="00DB0973"/>
    <w:rsid w:val="00DB20E7"/>
    <w:rsid w:val="00DB2942"/>
    <w:rsid w:val="00DB3557"/>
    <w:rsid w:val="00DB796C"/>
    <w:rsid w:val="00DC3173"/>
    <w:rsid w:val="00DC6568"/>
    <w:rsid w:val="00DD1B58"/>
    <w:rsid w:val="00DD4C39"/>
    <w:rsid w:val="00DD6737"/>
    <w:rsid w:val="00DE0FD1"/>
    <w:rsid w:val="00DF0742"/>
    <w:rsid w:val="00DF09DD"/>
    <w:rsid w:val="00DF2CE8"/>
    <w:rsid w:val="00DF350F"/>
    <w:rsid w:val="00DF3F67"/>
    <w:rsid w:val="00E01932"/>
    <w:rsid w:val="00E019ED"/>
    <w:rsid w:val="00E10259"/>
    <w:rsid w:val="00E207E9"/>
    <w:rsid w:val="00E2165E"/>
    <w:rsid w:val="00E219BD"/>
    <w:rsid w:val="00E234E9"/>
    <w:rsid w:val="00E25001"/>
    <w:rsid w:val="00E259C9"/>
    <w:rsid w:val="00E25D26"/>
    <w:rsid w:val="00E25E04"/>
    <w:rsid w:val="00E26A7C"/>
    <w:rsid w:val="00E27463"/>
    <w:rsid w:val="00E3036F"/>
    <w:rsid w:val="00E305FB"/>
    <w:rsid w:val="00E36FCE"/>
    <w:rsid w:val="00E3707C"/>
    <w:rsid w:val="00E41EE6"/>
    <w:rsid w:val="00E4458D"/>
    <w:rsid w:val="00E45CF8"/>
    <w:rsid w:val="00E46176"/>
    <w:rsid w:val="00E466CC"/>
    <w:rsid w:val="00E53BF8"/>
    <w:rsid w:val="00E649BF"/>
    <w:rsid w:val="00E6529E"/>
    <w:rsid w:val="00E65734"/>
    <w:rsid w:val="00E65864"/>
    <w:rsid w:val="00E66132"/>
    <w:rsid w:val="00E67222"/>
    <w:rsid w:val="00E67B15"/>
    <w:rsid w:val="00E73F32"/>
    <w:rsid w:val="00E80F57"/>
    <w:rsid w:val="00E82995"/>
    <w:rsid w:val="00E90614"/>
    <w:rsid w:val="00E918AB"/>
    <w:rsid w:val="00E92ECF"/>
    <w:rsid w:val="00E93108"/>
    <w:rsid w:val="00E933EC"/>
    <w:rsid w:val="00E94A94"/>
    <w:rsid w:val="00E94BAC"/>
    <w:rsid w:val="00E96651"/>
    <w:rsid w:val="00EA3339"/>
    <w:rsid w:val="00EA68FF"/>
    <w:rsid w:val="00EA7258"/>
    <w:rsid w:val="00EB0236"/>
    <w:rsid w:val="00EB0481"/>
    <w:rsid w:val="00EB3412"/>
    <w:rsid w:val="00EB5380"/>
    <w:rsid w:val="00EC45D0"/>
    <w:rsid w:val="00EC5A9B"/>
    <w:rsid w:val="00EC633E"/>
    <w:rsid w:val="00EC6595"/>
    <w:rsid w:val="00EC73B9"/>
    <w:rsid w:val="00EE697E"/>
    <w:rsid w:val="00EF0D17"/>
    <w:rsid w:val="00EF1148"/>
    <w:rsid w:val="00EF24E1"/>
    <w:rsid w:val="00EF4A04"/>
    <w:rsid w:val="00EF5A6F"/>
    <w:rsid w:val="00F01324"/>
    <w:rsid w:val="00F02E39"/>
    <w:rsid w:val="00F075E4"/>
    <w:rsid w:val="00F129FA"/>
    <w:rsid w:val="00F149CE"/>
    <w:rsid w:val="00F158B3"/>
    <w:rsid w:val="00F17E4A"/>
    <w:rsid w:val="00F200B9"/>
    <w:rsid w:val="00F2297A"/>
    <w:rsid w:val="00F25884"/>
    <w:rsid w:val="00F30F1E"/>
    <w:rsid w:val="00F3432F"/>
    <w:rsid w:val="00F355AB"/>
    <w:rsid w:val="00F451A1"/>
    <w:rsid w:val="00F50BD0"/>
    <w:rsid w:val="00F60A2E"/>
    <w:rsid w:val="00F61A4C"/>
    <w:rsid w:val="00F62427"/>
    <w:rsid w:val="00F630A8"/>
    <w:rsid w:val="00F63359"/>
    <w:rsid w:val="00F63CFC"/>
    <w:rsid w:val="00F71A6C"/>
    <w:rsid w:val="00F749AD"/>
    <w:rsid w:val="00F75AA3"/>
    <w:rsid w:val="00F77019"/>
    <w:rsid w:val="00F82C2F"/>
    <w:rsid w:val="00F847C5"/>
    <w:rsid w:val="00F84A3A"/>
    <w:rsid w:val="00F85802"/>
    <w:rsid w:val="00F859B9"/>
    <w:rsid w:val="00F91AB4"/>
    <w:rsid w:val="00F95928"/>
    <w:rsid w:val="00F97D76"/>
    <w:rsid w:val="00FA0F38"/>
    <w:rsid w:val="00FA21C1"/>
    <w:rsid w:val="00FA3CDD"/>
    <w:rsid w:val="00FA4FA0"/>
    <w:rsid w:val="00FA670F"/>
    <w:rsid w:val="00FA7DE2"/>
    <w:rsid w:val="00FB2466"/>
    <w:rsid w:val="00FB25DD"/>
    <w:rsid w:val="00FB4497"/>
    <w:rsid w:val="00FB6884"/>
    <w:rsid w:val="00FC0923"/>
    <w:rsid w:val="00FC1865"/>
    <w:rsid w:val="00FC1C55"/>
    <w:rsid w:val="00FC256E"/>
    <w:rsid w:val="00FD1972"/>
    <w:rsid w:val="00FD1D26"/>
    <w:rsid w:val="00FD6700"/>
    <w:rsid w:val="00FD67D9"/>
    <w:rsid w:val="00FD6E5E"/>
    <w:rsid w:val="00FD7334"/>
    <w:rsid w:val="00FE48CD"/>
    <w:rsid w:val="00FE514F"/>
    <w:rsid w:val="00FE6EB5"/>
    <w:rsid w:val="00FF0A40"/>
    <w:rsid w:val="00FF45FF"/>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8DED"/>
  <w15:docId w15:val="{CEDD1442-6E8F-4095-A808-BC4F39CD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F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39"/>
    <w:pPr>
      <w:ind w:left="720"/>
    </w:pPr>
    <w:rPr>
      <w:rFonts w:ascii="Calibri" w:eastAsiaTheme="minorHAnsi" w:hAnsi="Calibri" w:cs="Calibri"/>
      <w:sz w:val="22"/>
      <w:szCs w:val="22"/>
      <w:lang w:eastAsia="es-ES"/>
    </w:rPr>
  </w:style>
  <w:style w:type="paragraph" w:customStyle="1" w:styleId="Normal1">
    <w:name w:val="Normal1"/>
    <w:link w:val="normalChar"/>
    <w:qFormat/>
    <w:rsid w:val="00DD4C39"/>
    <w:pPr>
      <w:widowControl w:val="0"/>
      <w:suppressAutoHyphens/>
      <w:spacing w:after="0" w:line="240" w:lineRule="auto"/>
      <w:textAlignment w:val="baseline"/>
    </w:pPr>
    <w:rPr>
      <w:rFonts w:ascii="Courier" w:eastAsia="SimSun" w:hAnsi="Courier" w:cs="Courier"/>
      <w:sz w:val="24"/>
      <w:szCs w:val="24"/>
      <w:lang w:eastAsia="zh-CN"/>
    </w:rPr>
  </w:style>
  <w:style w:type="character" w:customStyle="1" w:styleId="normalChar">
    <w:name w:val="normal Char"/>
    <w:basedOn w:val="DefaultParagraphFont"/>
    <w:link w:val="Normal1"/>
    <w:rsid w:val="00DD4C39"/>
    <w:rPr>
      <w:rFonts w:ascii="Courier" w:eastAsia="SimSun" w:hAnsi="Courier" w:cs="Courier"/>
      <w:sz w:val="24"/>
      <w:szCs w:val="24"/>
      <w:lang w:eastAsia="zh-CN"/>
    </w:rPr>
  </w:style>
  <w:style w:type="paragraph" w:styleId="BodyText">
    <w:name w:val="Body Text"/>
    <w:basedOn w:val="Normal"/>
    <w:link w:val="BodyTextChar"/>
    <w:rsid w:val="00DD4C39"/>
    <w:pPr>
      <w:jc w:val="center"/>
    </w:pPr>
    <w:rPr>
      <w:b/>
      <w:bCs/>
      <w:lang w:eastAsia="es-ES"/>
    </w:rPr>
  </w:style>
  <w:style w:type="character" w:customStyle="1" w:styleId="BodyTextChar">
    <w:name w:val="Body Text Char"/>
    <w:basedOn w:val="DefaultParagraphFont"/>
    <w:link w:val="BodyText"/>
    <w:rsid w:val="00DD4C39"/>
    <w:rPr>
      <w:rFonts w:ascii="Times New Roman" w:eastAsia="Times New Roman" w:hAnsi="Times New Roman" w:cs="Times New Roman"/>
      <w:b/>
      <w:bCs/>
      <w:sz w:val="24"/>
      <w:szCs w:val="24"/>
      <w:lang w:val="fr-FR" w:eastAsia="es-ES"/>
    </w:rPr>
  </w:style>
  <w:style w:type="character" w:styleId="Hyperlink">
    <w:name w:val="Hyperlink"/>
    <w:basedOn w:val="DefaultParagraphFont"/>
    <w:uiPriority w:val="99"/>
    <w:unhideWhenUsed/>
    <w:rsid w:val="00DD4C39"/>
    <w:rPr>
      <w:color w:val="0563C1" w:themeColor="hyperlink"/>
      <w:u w:val="single"/>
    </w:rPr>
  </w:style>
  <w:style w:type="paragraph" w:styleId="FootnoteText">
    <w:name w:val="footnote text"/>
    <w:basedOn w:val="Normal"/>
    <w:link w:val="FootnoteTextChar"/>
    <w:semiHidden/>
    <w:unhideWhenUsed/>
    <w:rsid w:val="00DD4C39"/>
    <w:rPr>
      <w:sz w:val="20"/>
      <w:szCs w:val="20"/>
    </w:rPr>
  </w:style>
  <w:style w:type="character" w:customStyle="1" w:styleId="FootnoteTextChar">
    <w:name w:val="Footnote Text Char"/>
    <w:basedOn w:val="DefaultParagraphFont"/>
    <w:link w:val="FootnoteText"/>
    <w:semiHidden/>
    <w:rsid w:val="00DD4C39"/>
    <w:rPr>
      <w:rFonts w:ascii="Times New Roman" w:eastAsia="Times New Roman" w:hAnsi="Times New Roman" w:cs="Times New Roman"/>
      <w:sz w:val="20"/>
      <w:szCs w:val="20"/>
      <w:lang w:val="fr-FR"/>
    </w:rPr>
  </w:style>
  <w:style w:type="character" w:styleId="FootnoteReference">
    <w:name w:val="footnote reference"/>
    <w:basedOn w:val="DefaultParagraphFont"/>
    <w:semiHidden/>
    <w:unhideWhenUsed/>
    <w:rsid w:val="00DD4C39"/>
    <w:rPr>
      <w:vertAlign w:val="superscript"/>
    </w:rPr>
  </w:style>
  <w:style w:type="character" w:styleId="CommentReference">
    <w:name w:val="annotation reference"/>
    <w:basedOn w:val="DefaultParagraphFont"/>
    <w:uiPriority w:val="99"/>
    <w:unhideWhenUsed/>
    <w:qFormat/>
    <w:rsid w:val="00FC1C55"/>
    <w:rPr>
      <w:sz w:val="16"/>
      <w:szCs w:val="16"/>
    </w:rPr>
  </w:style>
  <w:style w:type="paragraph" w:styleId="CommentText">
    <w:name w:val="annotation text"/>
    <w:basedOn w:val="Normal"/>
    <w:link w:val="CommentTextChar"/>
    <w:uiPriority w:val="99"/>
    <w:unhideWhenUsed/>
    <w:qFormat/>
    <w:rsid w:val="00FC1C55"/>
    <w:rPr>
      <w:sz w:val="20"/>
      <w:szCs w:val="20"/>
    </w:rPr>
  </w:style>
  <w:style w:type="character" w:customStyle="1" w:styleId="CommentTextChar">
    <w:name w:val="Comment Text Char"/>
    <w:basedOn w:val="DefaultParagraphFont"/>
    <w:link w:val="CommentText"/>
    <w:uiPriority w:val="99"/>
    <w:rsid w:val="00FC1C55"/>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FC1C55"/>
    <w:rPr>
      <w:b/>
      <w:bCs/>
    </w:rPr>
  </w:style>
  <w:style w:type="character" w:customStyle="1" w:styleId="CommentSubjectChar">
    <w:name w:val="Comment Subject Char"/>
    <w:basedOn w:val="CommentTextChar"/>
    <w:link w:val="CommentSubject"/>
    <w:uiPriority w:val="99"/>
    <w:semiHidden/>
    <w:rsid w:val="00FC1C55"/>
    <w:rPr>
      <w:rFonts w:ascii="Times New Roman" w:eastAsia="Times New Roman" w:hAnsi="Times New Roman" w:cs="Times New Roman"/>
      <w:b/>
      <w:bCs/>
      <w:sz w:val="20"/>
      <w:szCs w:val="20"/>
      <w:lang w:val="fr-FR"/>
    </w:rPr>
  </w:style>
  <w:style w:type="paragraph" w:styleId="Revision">
    <w:name w:val="Revision"/>
    <w:hidden/>
    <w:uiPriority w:val="99"/>
    <w:semiHidden/>
    <w:rsid w:val="00CF220B"/>
    <w:pPr>
      <w:spacing w:after="0" w:line="240" w:lineRule="auto"/>
    </w:pPr>
    <w:rPr>
      <w:rFonts w:ascii="Times New Roman" w:eastAsia="Times New Roman" w:hAnsi="Times New Roman" w:cs="Times New Roman"/>
      <w:sz w:val="24"/>
      <w:szCs w:val="24"/>
    </w:rPr>
  </w:style>
  <w:style w:type="paragraph" w:customStyle="1" w:styleId="Default">
    <w:name w:val="Default"/>
    <w:link w:val="DefaultChar"/>
    <w:qFormat/>
    <w:rsid w:val="00043A65"/>
    <w:pPr>
      <w:autoSpaceDE w:val="0"/>
      <w:autoSpaceDN w:val="0"/>
      <w:adjustRightInd w:val="0"/>
      <w:spacing w:after="0" w:line="240" w:lineRule="auto"/>
    </w:pPr>
    <w:rPr>
      <w:rFonts w:ascii="Cambria" w:hAnsi="Cambria" w:cs="Cambria"/>
      <w:color w:val="000000"/>
      <w:sz w:val="24"/>
      <w:szCs w:val="24"/>
    </w:rPr>
  </w:style>
  <w:style w:type="character" w:customStyle="1" w:styleId="cf01">
    <w:name w:val="cf01"/>
    <w:basedOn w:val="DefaultParagraphFont"/>
    <w:rsid w:val="00506617"/>
    <w:rPr>
      <w:rFonts w:ascii="Segoe UI" w:hAnsi="Segoe UI" w:cs="Segoe UI" w:hint="default"/>
      <w:b/>
      <w:bCs/>
      <w:sz w:val="18"/>
      <w:szCs w:val="18"/>
    </w:rPr>
  </w:style>
  <w:style w:type="character" w:styleId="FollowedHyperlink">
    <w:name w:val="FollowedHyperlink"/>
    <w:basedOn w:val="DefaultParagraphFont"/>
    <w:uiPriority w:val="99"/>
    <w:semiHidden/>
    <w:unhideWhenUsed/>
    <w:rsid w:val="00E234E9"/>
    <w:rPr>
      <w:color w:val="954F72" w:themeColor="followedHyperlink"/>
      <w:u w:val="single"/>
    </w:rPr>
  </w:style>
  <w:style w:type="paragraph" w:customStyle="1" w:styleId="msonormal0">
    <w:name w:val="msonormal"/>
    <w:basedOn w:val="Normal"/>
    <w:rsid w:val="004F39B9"/>
    <w:pPr>
      <w:spacing w:before="100" w:beforeAutospacing="1" w:after="100" w:afterAutospacing="1"/>
    </w:pPr>
  </w:style>
  <w:style w:type="paragraph" w:customStyle="1" w:styleId="paragraph">
    <w:name w:val="paragraph"/>
    <w:basedOn w:val="Normal"/>
    <w:rsid w:val="004F39B9"/>
    <w:pPr>
      <w:spacing w:before="100" w:beforeAutospacing="1" w:after="100" w:afterAutospacing="1"/>
    </w:pPr>
  </w:style>
  <w:style w:type="character" w:customStyle="1" w:styleId="textrun">
    <w:name w:val="textrun"/>
    <w:basedOn w:val="DefaultParagraphFont"/>
    <w:rsid w:val="004F39B9"/>
  </w:style>
  <w:style w:type="character" w:customStyle="1" w:styleId="normaltextrun">
    <w:name w:val="normaltextrun"/>
    <w:basedOn w:val="DefaultParagraphFont"/>
    <w:rsid w:val="004F39B9"/>
  </w:style>
  <w:style w:type="character" w:customStyle="1" w:styleId="eop">
    <w:name w:val="eop"/>
    <w:basedOn w:val="DefaultParagraphFont"/>
    <w:rsid w:val="004F39B9"/>
  </w:style>
  <w:style w:type="paragraph" w:customStyle="1" w:styleId="outlineelement">
    <w:name w:val="outlineelement"/>
    <w:basedOn w:val="Normal"/>
    <w:rsid w:val="004F39B9"/>
    <w:pPr>
      <w:spacing w:before="100" w:beforeAutospacing="1" w:after="100" w:afterAutospacing="1"/>
    </w:pPr>
  </w:style>
  <w:style w:type="character" w:customStyle="1" w:styleId="tabrun">
    <w:name w:val="tabrun"/>
    <w:basedOn w:val="DefaultParagraphFont"/>
    <w:rsid w:val="004F39B9"/>
  </w:style>
  <w:style w:type="character" w:customStyle="1" w:styleId="tabchar">
    <w:name w:val="tabchar"/>
    <w:basedOn w:val="DefaultParagraphFont"/>
    <w:rsid w:val="004F39B9"/>
  </w:style>
  <w:style w:type="character" w:customStyle="1" w:styleId="tableaderchars">
    <w:name w:val="tableaderchars"/>
    <w:basedOn w:val="DefaultParagraphFont"/>
    <w:rsid w:val="004F39B9"/>
  </w:style>
  <w:style w:type="character" w:customStyle="1" w:styleId="pagebreakblob">
    <w:name w:val="pagebreakblob"/>
    <w:basedOn w:val="DefaultParagraphFont"/>
    <w:rsid w:val="004F39B9"/>
  </w:style>
  <w:style w:type="character" w:customStyle="1" w:styleId="pagebreakborderspan">
    <w:name w:val="pagebreakborderspan"/>
    <w:basedOn w:val="DefaultParagraphFont"/>
    <w:rsid w:val="004F39B9"/>
  </w:style>
  <w:style w:type="character" w:customStyle="1" w:styleId="pagebreaktextspan">
    <w:name w:val="pagebreaktextspan"/>
    <w:basedOn w:val="DefaultParagraphFont"/>
    <w:rsid w:val="004F39B9"/>
  </w:style>
  <w:style w:type="character" w:customStyle="1" w:styleId="linebreakblob">
    <w:name w:val="linebreakblob"/>
    <w:basedOn w:val="DefaultParagraphFont"/>
    <w:rsid w:val="004F39B9"/>
  </w:style>
  <w:style w:type="character" w:customStyle="1" w:styleId="scxw138215210">
    <w:name w:val="scxw138215210"/>
    <w:basedOn w:val="DefaultParagraphFont"/>
    <w:rsid w:val="004F39B9"/>
  </w:style>
  <w:style w:type="paragraph" w:styleId="Header">
    <w:name w:val="header"/>
    <w:basedOn w:val="Normal"/>
    <w:link w:val="HeaderChar"/>
    <w:uiPriority w:val="99"/>
    <w:unhideWhenUsed/>
    <w:rsid w:val="004F39B9"/>
    <w:pPr>
      <w:tabs>
        <w:tab w:val="center" w:pos="4680"/>
        <w:tab w:val="right" w:pos="9360"/>
      </w:tabs>
    </w:pPr>
  </w:style>
  <w:style w:type="character" w:customStyle="1" w:styleId="HeaderChar">
    <w:name w:val="Header Char"/>
    <w:basedOn w:val="DefaultParagraphFont"/>
    <w:link w:val="Header"/>
    <w:uiPriority w:val="99"/>
    <w:rsid w:val="004F39B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39B9"/>
    <w:pPr>
      <w:tabs>
        <w:tab w:val="center" w:pos="4680"/>
        <w:tab w:val="right" w:pos="9360"/>
      </w:tabs>
    </w:pPr>
  </w:style>
  <w:style w:type="character" w:customStyle="1" w:styleId="FooterChar">
    <w:name w:val="Footer Char"/>
    <w:basedOn w:val="DefaultParagraphFont"/>
    <w:link w:val="Footer"/>
    <w:uiPriority w:val="99"/>
    <w:rsid w:val="004F39B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2BB3"/>
    <w:rPr>
      <w:color w:val="605E5C"/>
      <w:shd w:val="clear" w:color="auto" w:fill="E1DFDD"/>
    </w:rPr>
  </w:style>
  <w:style w:type="character" w:customStyle="1" w:styleId="DefaultChar">
    <w:name w:val="Default Char"/>
    <w:basedOn w:val="DefaultParagraphFont"/>
    <w:link w:val="Default"/>
    <w:locked/>
    <w:rsid w:val="00743EF7"/>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941">
      <w:bodyDiv w:val="1"/>
      <w:marLeft w:val="0"/>
      <w:marRight w:val="0"/>
      <w:marTop w:val="0"/>
      <w:marBottom w:val="0"/>
      <w:divBdr>
        <w:top w:val="none" w:sz="0" w:space="0" w:color="auto"/>
        <w:left w:val="none" w:sz="0" w:space="0" w:color="auto"/>
        <w:bottom w:val="none" w:sz="0" w:space="0" w:color="auto"/>
        <w:right w:val="none" w:sz="0" w:space="0" w:color="auto"/>
      </w:divBdr>
    </w:div>
    <w:div w:id="103812293">
      <w:bodyDiv w:val="1"/>
      <w:marLeft w:val="0"/>
      <w:marRight w:val="0"/>
      <w:marTop w:val="0"/>
      <w:marBottom w:val="0"/>
      <w:divBdr>
        <w:top w:val="none" w:sz="0" w:space="0" w:color="auto"/>
        <w:left w:val="none" w:sz="0" w:space="0" w:color="auto"/>
        <w:bottom w:val="none" w:sz="0" w:space="0" w:color="auto"/>
        <w:right w:val="none" w:sz="0" w:space="0" w:color="auto"/>
      </w:divBdr>
    </w:div>
    <w:div w:id="105003840">
      <w:bodyDiv w:val="1"/>
      <w:marLeft w:val="0"/>
      <w:marRight w:val="0"/>
      <w:marTop w:val="0"/>
      <w:marBottom w:val="0"/>
      <w:divBdr>
        <w:top w:val="none" w:sz="0" w:space="0" w:color="auto"/>
        <w:left w:val="none" w:sz="0" w:space="0" w:color="auto"/>
        <w:bottom w:val="none" w:sz="0" w:space="0" w:color="auto"/>
        <w:right w:val="none" w:sz="0" w:space="0" w:color="auto"/>
      </w:divBdr>
    </w:div>
    <w:div w:id="220295132">
      <w:bodyDiv w:val="1"/>
      <w:marLeft w:val="0"/>
      <w:marRight w:val="0"/>
      <w:marTop w:val="0"/>
      <w:marBottom w:val="0"/>
      <w:divBdr>
        <w:top w:val="none" w:sz="0" w:space="0" w:color="auto"/>
        <w:left w:val="none" w:sz="0" w:space="0" w:color="auto"/>
        <w:bottom w:val="none" w:sz="0" w:space="0" w:color="auto"/>
        <w:right w:val="none" w:sz="0" w:space="0" w:color="auto"/>
      </w:divBdr>
    </w:div>
    <w:div w:id="297689912">
      <w:bodyDiv w:val="1"/>
      <w:marLeft w:val="0"/>
      <w:marRight w:val="0"/>
      <w:marTop w:val="0"/>
      <w:marBottom w:val="0"/>
      <w:divBdr>
        <w:top w:val="none" w:sz="0" w:space="0" w:color="auto"/>
        <w:left w:val="none" w:sz="0" w:space="0" w:color="auto"/>
        <w:bottom w:val="none" w:sz="0" w:space="0" w:color="auto"/>
        <w:right w:val="none" w:sz="0" w:space="0" w:color="auto"/>
      </w:divBdr>
    </w:div>
    <w:div w:id="371152014">
      <w:bodyDiv w:val="1"/>
      <w:marLeft w:val="0"/>
      <w:marRight w:val="0"/>
      <w:marTop w:val="0"/>
      <w:marBottom w:val="0"/>
      <w:divBdr>
        <w:top w:val="none" w:sz="0" w:space="0" w:color="auto"/>
        <w:left w:val="none" w:sz="0" w:space="0" w:color="auto"/>
        <w:bottom w:val="none" w:sz="0" w:space="0" w:color="auto"/>
        <w:right w:val="none" w:sz="0" w:space="0" w:color="auto"/>
      </w:divBdr>
    </w:div>
    <w:div w:id="664356266">
      <w:bodyDiv w:val="1"/>
      <w:marLeft w:val="0"/>
      <w:marRight w:val="0"/>
      <w:marTop w:val="0"/>
      <w:marBottom w:val="0"/>
      <w:divBdr>
        <w:top w:val="none" w:sz="0" w:space="0" w:color="auto"/>
        <w:left w:val="none" w:sz="0" w:space="0" w:color="auto"/>
        <w:bottom w:val="none" w:sz="0" w:space="0" w:color="auto"/>
        <w:right w:val="none" w:sz="0" w:space="0" w:color="auto"/>
      </w:divBdr>
    </w:div>
    <w:div w:id="940917987">
      <w:bodyDiv w:val="1"/>
      <w:marLeft w:val="0"/>
      <w:marRight w:val="0"/>
      <w:marTop w:val="0"/>
      <w:marBottom w:val="0"/>
      <w:divBdr>
        <w:top w:val="none" w:sz="0" w:space="0" w:color="auto"/>
        <w:left w:val="none" w:sz="0" w:space="0" w:color="auto"/>
        <w:bottom w:val="none" w:sz="0" w:space="0" w:color="auto"/>
        <w:right w:val="none" w:sz="0" w:space="0" w:color="auto"/>
      </w:divBdr>
    </w:div>
    <w:div w:id="1235310330">
      <w:bodyDiv w:val="1"/>
      <w:marLeft w:val="0"/>
      <w:marRight w:val="0"/>
      <w:marTop w:val="0"/>
      <w:marBottom w:val="0"/>
      <w:divBdr>
        <w:top w:val="none" w:sz="0" w:space="0" w:color="auto"/>
        <w:left w:val="none" w:sz="0" w:space="0" w:color="auto"/>
        <w:bottom w:val="none" w:sz="0" w:space="0" w:color="auto"/>
        <w:right w:val="none" w:sz="0" w:space="0" w:color="auto"/>
      </w:divBdr>
    </w:div>
    <w:div w:id="1382286211">
      <w:bodyDiv w:val="1"/>
      <w:marLeft w:val="0"/>
      <w:marRight w:val="0"/>
      <w:marTop w:val="0"/>
      <w:marBottom w:val="0"/>
      <w:divBdr>
        <w:top w:val="none" w:sz="0" w:space="0" w:color="auto"/>
        <w:left w:val="none" w:sz="0" w:space="0" w:color="auto"/>
        <w:bottom w:val="none" w:sz="0" w:space="0" w:color="auto"/>
        <w:right w:val="none" w:sz="0" w:space="0" w:color="auto"/>
      </w:divBdr>
    </w:div>
    <w:div w:id="1413160078">
      <w:bodyDiv w:val="1"/>
      <w:marLeft w:val="0"/>
      <w:marRight w:val="0"/>
      <w:marTop w:val="0"/>
      <w:marBottom w:val="0"/>
      <w:divBdr>
        <w:top w:val="none" w:sz="0" w:space="0" w:color="auto"/>
        <w:left w:val="none" w:sz="0" w:space="0" w:color="auto"/>
        <w:bottom w:val="none" w:sz="0" w:space="0" w:color="auto"/>
        <w:right w:val="none" w:sz="0" w:space="0" w:color="auto"/>
      </w:divBdr>
    </w:div>
    <w:div w:id="1496073320">
      <w:bodyDiv w:val="1"/>
      <w:marLeft w:val="0"/>
      <w:marRight w:val="0"/>
      <w:marTop w:val="0"/>
      <w:marBottom w:val="0"/>
      <w:divBdr>
        <w:top w:val="none" w:sz="0" w:space="0" w:color="auto"/>
        <w:left w:val="none" w:sz="0" w:space="0" w:color="auto"/>
        <w:bottom w:val="none" w:sz="0" w:space="0" w:color="auto"/>
        <w:right w:val="none" w:sz="0" w:space="0" w:color="auto"/>
      </w:divBdr>
    </w:div>
    <w:div w:id="1516189415">
      <w:bodyDiv w:val="1"/>
      <w:marLeft w:val="0"/>
      <w:marRight w:val="0"/>
      <w:marTop w:val="0"/>
      <w:marBottom w:val="0"/>
      <w:divBdr>
        <w:top w:val="none" w:sz="0" w:space="0" w:color="auto"/>
        <w:left w:val="none" w:sz="0" w:space="0" w:color="auto"/>
        <w:bottom w:val="none" w:sz="0" w:space="0" w:color="auto"/>
        <w:right w:val="none" w:sz="0" w:space="0" w:color="auto"/>
      </w:divBdr>
      <w:divsChild>
        <w:div w:id="596002">
          <w:marLeft w:val="0"/>
          <w:marRight w:val="0"/>
          <w:marTop w:val="0"/>
          <w:marBottom w:val="0"/>
          <w:divBdr>
            <w:top w:val="none" w:sz="0" w:space="0" w:color="auto"/>
            <w:left w:val="none" w:sz="0" w:space="0" w:color="auto"/>
            <w:bottom w:val="none" w:sz="0" w:space="0" w:color="auto"/>
            <w:right w:val="none" w:sz="0" w:space="0" w:color="auto"/>
          </w:divBdr>
        </w:div>
        <w:div w:id="19934295">
          <w:marLeft w:val="0"/>
          <w:marRight w:val="0"/>
          <w:marTop w:val="0"/>
          <w:marBottom w:val="0"/>
          <w:divBdr>
            <w:top w:val="none" w:sz="0" w:space="0" w:color="auto"/>
            <w:left w:val="none" w:sz="0" w:space="0" w:color="auto"/>
            <w:bottom w:val="none" w:sz="0" w:space="0" w:color="auto"/>
            <w:right w:val="none" w:sz="0" w:space="0" w:color="auto"/>
          </w:divBdr>
        </w:div>
        <w:div w:id="53311593">
          <w:marLeft w:val="0"/>
          <w:marRight w:val="0"/>
          <w:marTop w:val="0"/>
          <w:marBottom w:val="0"/>
          <w:divBdr>
            <w:top w:val="none" w:sz="0" w:space="0" w:color="auto"/>
            <w:left w:val="none" w:sz="0" w:space="0" w:color="auto"/>
            <w:bottom w:val="none" w:sz="0" w:space="0" w:color="auto"/>
            <w:right w:val="none" w:sz="0" w:space="0" w:color="auto"/>
          </w:divBdr>
        </w:div>
        <w:div w:id="72747576">
          <w:marLeft w:val="0"/>
          <w:marRight w:val="0"/>
          <w:marTop w:val="0"/>
          <w:marBottom w:val="0"/>
          <w:divBdr>
            <w:top w:val="none" w:sz="0" w:space="0" w:color="auto"/>
            <w:left w:val="none" w:sz="0" w:space="0" w:color="auto"/>
            <w:bottom w:val="none" w:sz="0" w:space="0" w:color="auto"/>
            <w:right w:val="none" w:sz="0" w:space="0" w:color="auto"/>
          </w:divBdr>
        </w:div>
        <w:div w:id="77604553">
          <w:marLeft w:val="0"/>
          <w:marRight w:val="0"/>
          <w:marTop w:val="0"/>
          <w:marBottom w:val="0"/>
          <w:divBdr>
            <w:top w:val="none" w:sz="0" w:space="0" w:color="auto"/>
            <w:left w:val="none" w:sz="0" w:space="0" w:color="auto"/>
            <w:bottom w:val="none" w:sz="0" w:space="0" w:color="auto"/>
            <w:right w:val="none" w:sz="0" w:space="0" w:color="auto"/>
          </w:divBdr>
        </w:div>
        <w:div w:id="79524482">
          <w:marLeft w:val="0"/>
          <w:marRight w:val="0"/>
          <w:marTop w:val="0"/>
          <w:marBottom w:val="0"/>
          <w:divBdr>
            <w:top w:val="none" w:sz="0" w:space="0" w:color="auto"/>
            <w:left w:val="none" w:sz="0" w:space="0" w:color="auto"/>
            <w:bottom w:val="none" w:sz="0" w:space="0" w:color="auto"/>
            <w:right w:val="none" w:sz="0" w:space="0" w:color="auto"/>
          </w:divBdr>
        </w:div>
        <w:div w:id="89936321">
          <w:marLeft w:val="0"/>
          <w:marRight w:val="0"/>
          <w:marTop w:val="0"/>
          <w:marBottom w:val="0"/>
          <w:divBdr>
            <w:top w:val="none" w:sz="0" w:space="0" w:color="auto"/>
            <w:left w:val="none" w:sz="0" w:space="0" w:color="auto"/>
            <w:bottom w:val="none" w:sz="0" w:space="0" w:color="auto"/>
            <w:right w:val="none" w:sz="0" w:space="0" w:color="auto"/>
          </w:divBdr>
        </w:div>
        <w:div w:id="91055738">
          <w:marLeft w:val="0"/>
          <w:marRight w:val="0"/>
          <w:marTop w:val="0"/>
          <w:marBottom w:val="0"/>
          <w:divBdr>
            <w:top w:val="none" w:sz="0" w:space="0" w:color="auto"/>
            <w:left w:val="none" w:sz="0" w:space="0" w:color="auto"/>
            <w:bottom w:val="none" w:sz="0" w:space="0" w:color="auto"/>
            <w:right w:val="none" w:sz="0" w:space="0" w:color="auto"/>
          </w:divBdr>
        </w:div>
        <w:div w:id="92869904">
          <w:marLeft w:val="0"/>
          <w:marRight w:val="0"/>
          <w:marTop w:val="0"/>
          <w:marBottom w:val="0"/>
          <w:divBdr>
            <w:top w:val="none" w:sz="0" w:space="0" w:color="auto"/>
            <w:left w:val="none" w:sz="0" w:space="0" w:color="auto"/>
            <w:bottom w:val="none" w:sz="0" w:space="0" w:color="auto"/>
            <w:right w:val="none" w:sz="0" w:space="0" w:color="auto"/>
          </w:divBdr>
        </w:div>
        <w:div w:id="99226303">
          <w:marLeft w:val="0"/>
          <w:marRight w:val="0"/>
          <w:marTop w:val="0"/>
          <w:marBottom w:val="0"/>
          <w:divBdr>
            <w:top w:val="none" w:sz="0" w:space="0" w:color="auto"/>
            <w:left w:val="none" w:sz="0" w:space="0" w:color="auto"/>
            <w:bottom w:val="none" w:sz="0" w:space="0" w:color="auto"/>
            <w:right w:val="none" w:sz="0" w:space="0" w:color="auto"/>
          </w:divBdr>
        </w:div>
        <w:div w:id="108278061">
          <w:marLeft w:val="0"/>
          <w:marRight w:val="0"/>
          <w:marTop w:val="0"/>
          <w:marBottom w:val="0"/>
          <w:divBdr>
            <w:top w:val="none" w:sz="0" w:space="0" w:color="auto"/>
            <w:left w:val="none" w:sz="0" w:space="0" w:color="auto"/>
            <w:bottom w:val="none" w:sz="0" w:space="0" w:color="auto"/>
            <w:right w:val="none" w:sz="0" w:space="0" w:color="auto"/>
          </w:divBdr>
        </w:div>
        <w:div w:id="114561314">
          <w:marLeft w:val="0"/>
          <w:marRight w:val="0"/>
          <w:marTop w:val="0"/>
          <w:marBottom w:val="0"/>
          <w:divBdr>
            <w:top w:val="none" w:sz="0" w:space="0" w:color="auto"/>
            <w:left w:val="none" w:sz="0" w:space="0" w:color="auto"/>
            <w:bottom w:val="none" w:sz="0" w:space="0" w:color="auto"/>
            <w:right w:val="none" w:sz="0" w:space="0" w:color="auto"/>
          </w:divBdr>
        </w:div>
        <w:div w:id="114645056">
          <w:marLeft w:val="0"/>
          <w:marRight w:val="0"/>
          <w:marTop w:val="0"/>
          <w:marBottom w:val="0"/>
          <w:divBdr>
            <w:top w:val="none" w:sz="0" w:space="0" w:color="auto"/>
            <w:left w:val="none" w:sz="0" w:space="0" w:color="auto"/>
            <w:bottom w:val="none" w:sz="0" w:space="0" w:color="auto"/>
            <w:right w:val="none" w:sz="0" w:space="0" w:color="auto"/>
          </w:divBdr>
        </w:div>
        <w:div w:id="120154559">
          <w:marLeft w:val="0"/>
          <w:marRight w:val="0"/>
          <w:marTop w:val="0"/>
          <w:marBottom w:val="0"/>
          <w:divBdr>
            <w:top w:val="none" w:sz="0" w:space="0" w:color="auto"/>
            <w:left w:val="none" w:sz="0" w:space="0" w:color="auto"/>
            <w:bottom w:val="none" w:sz="0" w:space="0" w:color="auto"/>
            <w:right w:val="none" w:sz="0" w:space="0" w:color="auto"/>
          </w:divBdr>
        </w:div>
        <w:div w:id="127405629">
          <w:marLeft w:val="0"/>
          <w:marRight w:val="0"/>
          <w:marTop w:val="0"/>
          <w:marBottom w:val="0"/>
          <w:divBdr>
            <w:top w:val="none" w:sz="0" w:space="0" w:color="auto"/>
            <w:left w:val="none" w:sz="0" w:space="0" w:color="auto"/>
            <w:bottom w:val="none" w:sz="0" w:space="0" w:color="auto"/>
            <w:right w:val="none" w:sz="0" w:space="0" w:color="auto"/>
          </w:divBdr>
        </w:div>
        <w:div w:id="130365244">
          <w:marLeft w:val="0"/>
          <w:marRight w:val="0"/>
          <w:marTop w:val="0"/>
          <w:marBottom w:val="0"/>
          <w:divBdr>
            <w:top w:val="none" w:sz="0" w:space="0" w:color="auto"/>
            <w:left w:val="none" w:sz="0" w:space="0" w:color="auto"/>
            <w:bottom w:val="none" w:sz="0" w:space="0" w:color="auto"/>
            <w:right w:val="none" w:sz="0" w:space="0" w:color="auto"/>
          </w:divBdr>
        </w:div>
        <w:div w:id="172303857">
          <w:marLeft w:val="0"/>
          <w:marRight w:val="0"/>
          <w:marTop w:val="0"/>
          <w:marBottom w:val="0"/>
          <w:divBdr>
            <w:top w:val="none" w:sz="0" w:space="0" w:color="auto"/>
            <w:left w:val="none" w:sz="0" w:space="0" w:color="auto"/>
            <w:bottom w:val="none" w:sz="0" w:space="0" w:color="auto"/>
            <w:right w:val="none" w:sz="0" w:space="0" w:color="auto"/>
          </w:divBdr>
        </w:div>
        <w:div w:id="172768418">
          <w:marLeft w:val="0"/>
          <w:marRight w:val="0"/>
          <w:marTop w:val="0"/>
          <w:marBottom w:val="0"/>
          <w:divBdr>
            <w:top w:val="none" w:sz="0" w:space="0" w:color="auto"/>
            <w:left w:val="none" w:sz="0" w:space="0" w:color="auto"/>
            <w:bottom w:val="none" w:sz="0" w:space="0" w:color="auto"/>
            <w:right w:val="none" w:sz="0" w:space="0" w:color="auto"/>
          </w:divBdr>
        </w:div>
        <w:div w:id="189490237">
          <w:marLeft w:val="0"/>
          <w:marRight w:val="0"/>
          <w:marTop w:val="0"/>
          <w:marBottom w:val="0"/>
          <w:divBdr>
            <w:top w:val="none" w:sz="0" w:space="0" w:color="auto"/>
            <w:left w:val="none" w:sz="0" w:space="0" w:color="auto"/>
            <w:bottom w:val="none" w:sz="0" w:space="0" w:color="auto"/>
            <w:right w:val="none" w:sz="0" w:space="0" w:color="auto"/>
          </w:divBdr>
        </w:div>
        <w:div w:id="212428120">
          <w:marLeft w:val="0"/>
          <w:marRight w:val="0"/>
          <w:marTop w:val="0"/>
          <w:marBottom w:val="0"/>
          <w:divBdr>
            <w:top w:val="none" w:sz="0" w:space="0" w:color="auto"/>
            <w:left w:val="none" w:sz="0" w:space="0" w:color="auto"/>
            <w:bottom w:val="none" w:sz="0" w:space="0" w:color="auto"/>
            <w:right w:val="none" w:sz="0" w:space="0" w:color="auto"/>
          </w:divBdr>
        </w:div>
        <w:div w:id="246965377">
          <w:marLeft w:val="0"/>
          <w:marRight w:val="0"/>
          <w:marTop w:val="0"/>
          <w:marBottom w:val="0"/>
          <w:divBdr>
            <w:top w:val="none" w:sz="0" w:space="0" w:color="auto"/>
            <w:left w:val="none" w:sz="0" w:space="0" w:color="auto"/>
            <w:bottom w:val="none" w:sz="0" w:space="0" w:color="auto"/>
            <w:right w:val="none" w:sz="0" w:space="0" w:color="auto"/>
          </w:divBdr>
        </w:div>
        <w:div w:id="252055879">
          <w:marLeft w:val="0"/>
          <w:marRight w:val="0"/>
          <w:marTop w:val="0"/>
          <w:marBottom w:val="0"/>
          <w:divBdr>
            <w:top w:val="none" w:sz="0" w:space="0" w:color="auto"/>
            <w:left w:val="none" w:sz="0" w:space="0" w:color="auto"/>
            <w:bottom w:val="none" w:sz="0" w:space="0" w:color="auto"/>
            <w:right w:val="none" w:sz="0" w:space="0" w:color="auto"/>
          </w:divBdr>
        </w:div>
        <w:div w:id="269824012">
          <w:marLeft w:val="0"/>
          <w:marRight w:val="0"/>
          <w:marTop w:val="0"/>
          <w:marBottom w:val="0"/>
          <w:divBdr>
            <w:top w:val="none" w:sz="0" w:space="0" w:color="auto"/>
            <w:left w:val="none" w:sz="0" w:space="0" w:color="auto"/>
            <w:bottom w:val="none" w:sz="0" w:space="0" w:color="auto"/>
            <w:right w:val="none" w:sz="0" w:space="0" w:color="auto"/>
          </w:divBdr>
        </w:div>
        <w:div w:id="273447169">
          <w:marLeft w:val="0"/>
          <w:marRight w:val="0"/>
          <w:marTop w:val="0"/>
          <w:marBottom w:val="0"/>
          <w:divBdr>
            <w:top w:val="none" w:sz="0" w:space="0" w:color="auto"/>
            <w:left w:val="none" w:sz="0" w:space="0" w:color="auto"/>
            <w:bottom w:val="none" w:sz="0" w:space="0" w:color="auto"/>
            <w:right w:val="none" w:sz="0" w:space="0" w:color="auto"/>
          </w:divBdr>
        </w:div>
        <w:div w:id="273752185">
          <w:marLeft w:val="0"/>
          <w:marRight w:val="0"/>
          <w:marTop w:val="0"/>
          <w:marBottom w:val="0"/>
          <w:divBdr>
            <w:top w:val="none" w:sz="0" w:space="0" w:color="auto"/>
            <w:left w:val="none" w:sz="0" w:space="0" w:color="auto"/>
            <w:bottom w:val="none" w:sz="0" w:space="0" w:color="auto"/>
            <w:right w:val="none" w:sz="0" w:space="0" w:color="auto"/>
          </w:divBdr>
        </w:div>
        <w:div w:id="275986929">
          <w:marLeft w:val="0"/>
          <w:marRight w:val="0"/>
          <w:marTop w:val="0"/>
          <w:marBottom w:val="0"/>
          <w:divBdr>
            <w:top w:val="none" w:sz="0" w:space="0" w:color="auto"/>
            <w:left w:val="none" w:sz="0" w:space="0" w:color="auto"/>
            <w:bottom w:val="none" w:sz="0" w:space="0" w:color="auto"/>
            <w:right w:val="none" w:sz="0" w:space="0" w:color="auto"/>
          </w:divBdr>
        </w:div>
        <w:div w:id="276378139">
          <w:marLeft w:val="0"/>
          <w:marRight w:val="0"/>
          <w:marTop w:val="0"/>
          <w:marBottom w:val="0"/>
          <w:divBdr>
            <w:top w:val="none" w:sz="0" w:space="0" w:color="auto"/>
            <w:left w:val="none" w:sz="0" w:space="0" w:color="auto"/>
            <w:bottom w:val="none" w:sz="0" w:space="0" w:color="auto"/>
            <w:right w:val="none" w:sz="0" w:space="0" w:color="auto"/>
          </w:divBdr>
        </w:div>
        <w:div w:id="281421714">
          <w:marLeft w:val="0"/>
          <w:marRight w:val="0"/>
          <w:marTop w:val="0"/>
          <w:marBottom w:val="0"/>
          <w:divBdr>
            <w:top w:val="none" w:sz="0" w:space="0" w:color="auto"/>
            <w:left w:val="none" w:sz="0" w:space="0" w:color="auto"/>
            <w:bottom w:val="none" w:sz="0" w:space="0" w:color="auto"/>
            <w:right w:val="none" w:sz="0" w:space="0" w:color="auto"/>
          </w:divBdr>
        </w:div>
        <w:div w:id="310402605">
          <w:marLeft w:val="0"/>
          <w:marRight w:val="0"/>
          <w:marTop w:val="0"/>
          <w:marBottom w:val="0"/>
          <w:divBdr>
            <w:top w:val="none" w:sz="0" w:space="0" w:color="auto"/>
            <w:left w:val="none" w:sz="0" w:space="0" w:color="auto"/>
            <w:bottom w:val="none" w:sz="0" w:space="0" w:color="auto"/>
            <w:right w:val="none" w:sz="0" w:space="0" w:color="auto"/>
          </w:divBdr>
        </w:div>
        <w:div w:id="314074066">
          <w:marLeft w:val="0"/>
          <w:marRight w:val="0"/>
          <w:marTop w:val="0"/>
          <w:marBottom w:val="0"/>
          <w:divBdr>
            <w:top w:val="none" w:sz="0" w:space="0" w:color="auto"/>
            <w:left w:val="none" w:sz="0" w:space="0" w:color="auto"/>
            <w:bottom w:val="none" w:sz="0" w:space="0" w:color="auto"/>
            <w:right w:val="none" w:sz="0" w:space="0" w:color="auto"/>
          </w:divBdr>
        </w:div>
        <w:div w:id="320739038">
          <w:marLeft w:val="0"/>
          <w:marRight w:val="0"/>
          <w:marTop w:val="0"/>
          <w:marBottom w:val="0"/>
          <w:divBdr>
            <w:top w:val="none" w:sz="0" w:space="0" w:color="auto"/>
            <w:left w:val="none" w:sz="0" w:space="0" w:color="auto"/>
            <w:bottom w:val="none" w:sz="0" w:space="0" w:color="auto"/>
            <w:right w:val="none" w:sz="0" w:space="0" w:color="auto"/>
          </w:divBdr>
        </w:div>
        <w:div w:id="323969292">
          <w:marLeft w:val="0"/>
          <w:marRight w:val="0"/>
          <w:marTop w:val="0"/>
          <w:marBottom w:val="0"/>
          <w:divBdr>
            <w:top w:val="none" w:sz="0" w:space="0" w:color="auto"/>
            <w:left w:val="none" w:sz="0" w:space="0" w:color="auto"/>
            <w:bottom w:val="none" w:sz="0" w:space="0" w:color="auto"/>
            <w:right w:val="none" w:sz="0" w:space="0" w:color="auto"/>
          </w:divBdr>
        </w:div>
        <w:div w:id="336428288">
          <w:marLeft w:val="0"/>
          <w:marRight w:val="0"/>
          <w:marTop w:val="0"/>
          <w:marBottom w:val="0"/>
          <w:divBdr>
            <w:top w:val="none" w:sz="0" w:space="0" w:color="auto"/>
            <w:left w:val="none" w:sz="0" w:space="0" w:color="auto"/>
            <w:bottom w:val="none" w:sz="0" w:space="0" w:color="auto"/>
            <w:right w:val="none" w:sz="0" w:space="0" w:color="auto"/>
          </w:divBdr>
        </w:div>
        <w:div w:id="341512514">
          <w:marLeft w:val="0"/>
          <w:marRight w:val="0"/>
          <w:marTop w:val="0"/>
          <w:marBottom w:val="0"/>
          <w:divBdr>
            <w:top w:val="none" w:sz="0" w:space="0" w:color="auto"/>
            <w:left w:val="none" w:sz="0" w:space="0" w:color="auto"/>
            <w:bottom w:val="none" w:sz="0" w:space="0" w:color="auto"/>
            <w:right w:val="none" w:sz="0" w:space="0" w:color="auto"/>
          </w:divBdr>
        </w:div>
        <w:div w:id="356006804">
          <w:marLeft w:val="0"/>
          <w:marRight w:val="0"/>
          <w:marTop w:val="0"/>
          <w:marBottom w:val="0"/>
          <w:divBdr>
            <w:top w:val="none" w:sz="0" w:space="0" w:color="auto"/>
            <w:left w:val="none" w:sz="0" w:space="0" w:color="auto"/>
            <w:bottom w:val="none" w:sz="0" w:space="0" w:color="auto"/>
            <w:right w:val="none" w:sz="0" w:space="0" w:color="auto"/>
          </w:divBdr>
        </w:div>
        <w:div w:id="360320245">
          <w:marLeft w:val="0"/>
          <w:marRight w:val="0"/>
          <w:marTop w:val="0"/>
          <w:marBottom w:val="0"/>
          <w:divBdr>
            <w:top w:val="none" w:sz="0" w:space="0" w:color="auto"/>
            <w:left w:val="none" w:sz="0" w:space="0" w:color="auto"/>
            <w:bottom w:val="none" w:sz="0" w:space="0" w:color="auto"/>
            <w:right w:val="none" w:sz="0" w:space="0" w:color="auto"/>
          </w:divBdr>
        </w:div>
        <w:div w:id="367418310">
          <w:marLeft w:val="0"/>
          <w:marRight w:val="0"/>
          <w:marTop w:val="0"/>
          <w:marBottom w:val="0"/>
          <w:divBdr>
            <w:top w:val="none" w:sz="0" w:space="0" w:color="auto"/>
            <w:left w:val="none" w:sz="0" w:space="0" w:color="auto"/>
            <w:bottom w:val="none" w:sz="0" w:space="0" w:color="auto"/>
            <w:right w:val="none" w:sz="0" w:space="0" w:color="auto"/>
          </w:divBdr>
        </w:div>
        <w:div w:id="369309419">
          <w:marLeft w:val="0"/>
          <w:marRight w:val="0"/>
          <w:marTop w:val="0"/>
          <w:marBottom w:val="0"/>
          <w:divBdr>
            <w:top w:val="none" w:sz="0" w:space="0" w:color="auto"/>
            <w:left w:val="none" w:sz="0" w:space="0" w:color="auto"/>
            <w:bottom w:val="none" w:sz="0" w:space="0" w:color="auto"/>
            <w:right w:val="none" w:sz="0" w:space="0" w:color="auto"/>
          </w:divBdr>
        </w:div>
        <w:div w:id="384837690">
          <w:marLeft w:val="0"/>
          <w:marRight w:val="0"/>
          <w:marTop w:val="0"/>
          <w:marBottom w:val="0"/>
          <w:divBdr>
            <w:top w:val="none" w:sz="0" w:space="0" w:color="auto"/>
            <w:left w:val="none" w:sz="0" w:space="0" w:color="auto"/>
            <w:bottom w:val="none" w:sz="0" w:space="0" w:color="auto"/>
            <w:right w:val="none" w:sz="0" w:space="0" w:color="auto"/>
          </w:divBdr>
        </w:div>
        <w:div w:id="385688128">
          <w:marLeft w:val="0"/>
          <w:marRight w:val="0"/>
          <w:marTop w:val="0"/>
          <w:marBottom w:val="0"/>
          <w:divBdr>
            <w:top w:val="none" w:sz="0" w:space="0" w:color="auto"/>
            <w:left w:val="none" w:sz="0" w:space="0" w:color="auto"/>
            <w:bottom w:val="none" w:sz="0" w:space="0" w:color="auto"/>
            <w:right w:val="none" w:sz="0" w:space="0" w:color="auto"/>
          </w:divBdr>
        </w:div>
        <w:div w:id="391268548">
          <w:marLeft w:val="0"/>
          <w:marRight w:val="0"/>
          <w:marTop w:val="0"/>
          <w:marBottom w:val="0"/>
          <w:divBdr>
            <w:top w:val="none" w:sz="0" w:space="0" w:color="auto"/>
            <w:left w:val="none" w:sz="0" w:space="0" w:color="auto"/>
            <w:bottom w:val="none" w:sz="0" w:space="0" w:color="auto"/>
            <w:right w:val="none" w:sz="0" w:space="0" w:color="auto"/>
          </w:divBdr>
        </w:div>
        <w:div w:id="394665699">
          <w:marLeft w:val="0"/>
          <w:marRight w:val="0"/>
          <w:marTop w:val="0"/>
          <w:marBottom w:val="0"/>
          <w:divBdr>
            <w:top w:val="none" w:sz="0" w:space="0" w:color="auto"/>
            <w:left w:val="none" w:sz="0" w:space="0" w:color="auto"/>
            <w:bottom w:val="none" w:sz="0" w:space="0" w:color="auto"/>
            <w:right w:val="none" w:sz="0" w:space="0" w:color="auto"/>
          </w:divBdr>
          <w:divsChild>
            <w:div w:id="84502205">
              <w:marLeft w:val="0"/>
              <w:marRight w:val="0"/>
              <w:marTop w:val="0"/>
              <w:marBottom w:val="0"/>
              <w:divBdr>
                <w:top w:val="none" w:sz="0" w:space="0" w:color="auto"/>
                <w:left w:val="none" w:sz="0" w:space="0" w:color="auto"/>
                <w:bottom w:val="none" w:sz="0" w:space="0" w:color="auto"/>
                <w:right w:val="none" w:sz="0" w:space="0" w:color="auto"/>
              </w:divBdr>
            </w:div>
            <w:div w:id="157187983">
              <w:marLeft w:val="0"/>
              <w:marRight w:val="0"/>
              <w:marTop w:val="0"/>
              <w:marBottom w:val="0"/>
              <w:divBdr>
                <w:top w:val="none" w:sz="0" w:space="0" w:color="auto"/>
                <w:left w:val="none" w:sz="0" w:space="0" w:color="auto"/>
                <w:bottom w:val="none" w:sz="0" w:space="0" w:color="auto"/>
                <w:right w:val="none" w:sz="0" w:space="0" w:color="auto"/>
              </w:divBdr>
            </w:div>
            <w:div w:id="179272674">
              <w:marLeft w:val="0"/>
              <w:marRight w:val="0"/>
              <w:marTop w:val="0"/>
              <w:marBottom w:val="0"/>
              <w:divBdr>
                <w:top w:val="none" w:sz="0" w:space="0" w:color="auto"/>
                <w:left w:val="none" w:sz="0" w:space="0" w:color="auto"/>
                <w:bottom w:val="none" w:sz="0" w:space="0" w:color="auto"/>
                <w:right w:val="none" w:sz="0" w:space="0" w:color="auto"/>
              </w:divBdr>
            </w:div>
            <w:div w:id="268390551">
              <w:marLeft w:val="0"/>
              <w:marRight w:val="0"/>
              <w:marTop w:val="0"/>
              <w:marBottom w:val="0"/>
              <w:divBdr>
                <w:top w:val="none" w:sz="0" w:space="0" w:color="auto"/>
                <w:left w:val="none" w:sz="0" w:space="0" w:color="auto"/>
                <w:bottom w:val="none" w:sz="0" w:space="0" w:color="auto"/>
                <w:right w:val="none" w:sz="0" w:space="0" w:color="auto"/>
              </w:divBdr>
            </w:div>
            <w:div w:id="513109027">
              <w:marLeft w:val="0"/>
              <w:marRight w:val="0"/>
              <w:marTop w:val="0"/>
              <w:marBottom w:val="0"/>
              <w:divBdr>
                <w:top w:val="none" w:sz="0" w:space="0" w:color="auto"/>
                <w:left w:val="none" w:sz="0" w:space="0" w:color="auto"/>
                <w:bottom w:val="none" w:sz="0" w:space="0" w:color="auto"/>
                <w:right w:val="none" w:sz="0" w:space="0" w:color="auto"/>
              </w:divBdr>
            </w:div>
            <w:div w:id="736706366">
              <w:marLeft w:val="0"/>
              <w:marRight w:val="0"/>
              <w:marTop w:val="0"/>
              <w:marBottom w:val="0"/>
              <w:divBdr>
                <w:top w:val="none" w:sz="0" w:space="0" w:color="auto"/>
                <w:left w:val="none" w:sz="0" w:space="0" w:color="auto"/>
                <w:bottom w:val="none" w:sz="0" w:space="0" w:color="auto"/>
                <w:right w:val="none" w:sz="0" w:space="0" w:color="auto"/>
              </w:divBdr>
            </w:div>
            <w:div w:id="785930904">
              <w:marLeft w:val="0"/>
              <w:marRight w:val="0"/>
              <w:marTop w:val="0"/>
              <w:marBottom w:val="0"/>
              <w:divBdr>
                <w:top w:val="none" w:sz="0" w:space="0" w:color="auto"/>
                <w:left w:val="none" w:sz="0" w:space="0" w:color="auto"/>
                <w:bottom w:val="none" w:sz="0" w:space="0" w:color="auto"/>
                <w:right w:val="none" w:sz="0" w:space="0" w:color="auto"/>
              </w:divBdr>
            </w:div>
            <w:div w:id="798954008">
              <w:marLeft w:val="0"/>
              <w:marRight w:val="0"/>
              <w:marTop w:val="0"/>
              <w:marBottom w:val="0"/>
              <w:divBdr>
                <w:top w:val="none" w:sz="0" w:space="0" w:color="auto"/>
                <w:left w:val="none" w:sz="0" w:space="0" w:color="auto"/>
                <w:bottom w:val="none" w:sz="0" w:space="0" w:color="auto"/>
                <w:right w:val="none" w:sz="0" w:space="0" w:color="auto"/>
              </w:divBdr>
            </w:div>
            <w:div w:id="825585790">
              <w:marLeft w:val="0"/>
              <w:marRight w:val="0"/>
              <w:marTop w:val="0"/>
              <w:marBottom w:val="0"/>
              <w:divBdr>
                <w:top w:val="none" w:sz="0" w:space="0" w:color="auto"/>
                <w:left w:val="none" w:sz="0" w:space="0" w:color="auto"/>
                <w:bottom w:val="none" w:sz="0" w:space="0" w:color="auto"/>
                <w:right w:val="none" w:sz="0" w:space="0" w:color="auto"/>
              </w:divBdr>
            </w:div>
            <w:div w:id="843544625">
              <w:marLeft w:val="0"/>
              <w:marRight w:val="0"/>
              <w:marTop w:val="0"/>
              <w:marBottom w:val="0"/>
              <w:divBdr>
                <w:top w:val="none" w:sz="0" w:space="0" w:color="auto"/>
                <w:left w:val="none" w:sz="0" w:space="0" w:color="auto"/>
                <w:bottom w:val="none" w:sz="0" w:space="0" w:color="auto"/>
                <w:right w:val="none" w:sz="0" w:space="0" w:color="auto"/>
              </w:divBdr>
            </w:div>
            <w:div w:id="1097944785">
              <w:marLeft w:val="0"/>
              <w:marRight w:val="0"/>
              <w:marTop w:val="0"/>
              <w:marBottom w:val="0"/>
              <w:divBdr>
                <w:top w:val="none" w:sz="0" w:space="0" w:color="auto"/>
                <w:left w:val="none" w:sz="0" w:space="0" w:color="auto"/>
                <w:bottom w:val="none" w:sz="0" w:space="0" w:color="auto"/>
                <w:right w:val="none" w:sz="0" w:space="0" w:color="auto"/>
              </w:divBdr>
            </w:div>
            <w:div w:id="1177692839">
              <w:marLeft w:val="0"/>
              <w:marRight w:val="0"/>
              <w:marTop w:val="0"/>
              <w:marBottom w:val="0"/>
              <w:divBdr>
                <w:top w:val="none" w:sz="0" w:space="0" w:color="auto"/>
                <w:left w:val="none" w:sz="0" w:space="0" w:color="auto"/>
                <w:bottom w:val="none" w:sz="0" w:space="0" w:color="auto"/>
                <w:right w:val="none" w:sz="0" w:space="0" w:color="auto"/>
              </w:divBdr>
            </w:div>
            <w:div w:id="1185754284">
              <w:marLeft w:val="0"/>
              <w:marRight w:val="0"/>
              <w:marTop w:val="0"/>
              <w:marBottom w:val="0"/>
              <w:divBdr>
                <w:top w:val="none" w:sz="0" w:space="0" w:color="auto"/>
                <w:left w:val="none" w:sz="0" w:space="0" w:color="auto"/>
                <w:bottom w:val="none" w:sz="0" w:space="0" w:color="auto"/>
                <w:right w:val="none" w:sz="0" w:space="0" w:color="auto"/>
              </w:divBdr>
            </w:div>
            <w:div w:id="1192762086">
              <w:marLeft w:val="0"/>
              <w:marRight w:val="0"/>
              <w:marTop w:val="0"/>
              <w:marBottom w:val="0"/>
              <w:divBdr>
                <w:top w:val="none" w:sz="0" w:space="0" w:color="auto"/>
                <w:left w:val="none" w:sz="0" w:space="0" w:color="auto"/>
                <w:bottom w:val="none" w:sz="0" w:space="0" w:color="auto"/>
                <w:right w:val="none" w:sz="0" w:space="0" w:color="auto"/>
              </w:divBdr>
            </w:div>
            <w:div w:id="1216694881">
              <w:marLeft w:val="0"/>
              <w:marRight w:val="0"/>
              <w:marTop w:val="0"/>
              <w:marBottom w:val="0"/>
              <w:divBdr>
                <w:top w:val="none" w:sz="0" w:space="0" w:color="auto"/>
                <w:left w:val="none" w:sz="0" w:space="0" w:color="auto"/>
                <w:bottom w:val="none" w:sz="0" w:space="0" w:color="auto"/>
                <w:right w:val="none" w:sz="0" w:space="0" w:color="auto"/>
              </w:divBdr>
            </w:div>
            <w:div w:id="1312246511">
              <w:marLeft w:val="0"/>
              <w:marRight w:val="0"/>
              <w:marTop w:val="0"/>
              <w:marBottom w:val="0"/>
              <w:divBdr>
                <w:top w:val="none" w:sz="0" w:space="0" w:color="auto"/>
                <w:left w:val="none" w:sz="0" w:space="0" w:color="auto"/>
                <w:bottom w:val="none" w:sz="0" w:space="0" w:color="auto"/>
                <w:right w:val="none" w:sz="0" w:space="0" w:color="auto"/>
              </w:divBdr>
            </w:div>
            <w:div w:id="1343363514">
              <w:marLeft w:val="0"/>
              <w:marRight w:val="0"/>
              <w:marTop w:val="0"/>
              <w:marBottom w:val="0"/>
              <w:divBdr>
                <w:top w:val="none" w:sz="0" w:space="0" w:color="auto"/>
                <w:left w:val="none" w:sz="0" w:space="0" w:color="auto"/>
                <w:bottom w:val="none" w:sz="0" w:space="0" w:color="auto"/>
                <w:right w:val="none" w:sz="0" w:space="0" w:color="auto"/>
              </w:divBdr>
            </w:div>
            <w:div w:id="1480076576">
              <w:marLeft w:val="0"/>
              <w:marRight w:val="0"/>
              <w:marTop w:val="0"/>
              <w:marBottom w:val="0"/>
              <w:divBdr>
                <w:top w:val="none" w:sz="0" w:space="0" w:color="auto"/>
                <w:left w:val="none" w:sz="0" w:space="0" w:color="auto"/>
                <w:bottom w:val="none" w:sz="0" w:space="0" w:color="auto"/>
                <w:right w:val="none" w:sz="0" w:space="0" w:color="auto"/>
              </w:divBdr>
            </w:div>
            <w:div w:id="1523058235">
              <w:marLeft w:val="0"/>
              <w:marRight w:val="0"/>
              <w:marTop w:val="0"/>
              <w:marBottom w:val="0"/>
              <w:divBdr>
                <w:top w:val="none" w:sz="0" w:space="0" w:color="auto"/>
                <w:left w:val="none" w:sz="0" w:space="0" w:color="auto"/>
                <w:bottom w:val="none" w:sz="0" w:space="0" w:color="auto"/>
                <w:right w:val="none" w:sz="0" w:space="0" w:color="auto"/>
              </w:divBdr>
            </w:div>
            <w:div w:id="1757049242">
              <w:marLeft w:val="0"/>
              <w:marRight w:val="0"/>
              <w:marTop w:val="0"/>
              <w:marBottom w:val="0"/>
              <w:divBdr>
                <w:top w:val="none" w:sz="0" w:space="0" w:color="auto"/>
                <w:left w:val="none" w:sz="0" w:space="0" w:color="auto"/>
                <w:bottom w:val="none" w:sz="0" w:space="0" w:color="auto"/>
                <w:right w:val="none" w:sz="0" w:space="0" w:color="auto"/>
              </w:divBdr>
            </w:div>
          </w:divsChild>
        </w:div>
        <w:div w:id="413010660">
          <w:marLeft w:val="0"/>
          <w:marRight w:val="0"/>
          <w:marTop w:val="0"/>
          <w:marBottom w:val="0"/>
          <w:divBdr>
            <w:top w:val="none" w:sz="0" w:space="0" w:color="auto"/>
            <w:left w:val="none" w:sz="0" w:space="0" w:color="auto"/>
            <w:bottom w:val="none" w:sz="0" w:space="0" w:color="auto"/>
            <w:right w:val="none" w:sz="0" w:space="0" w:color="auto"/>
          </w:divBdr>
        </w:div>
        <w:div w:id="415051891">
          <w:marLeft w:val="0"/>
          <w:marRight w:val="0"/>
          <w:marTop w:val="0"/>
          <w:marBottom w:val="0"/>
          <w:divBdr>
            <w:top w:val="none" w:sz="0" w:space="0" w:color="auto"/>
            <w:left w:val="none" w:sz="0" w:space="0" w:color="auto"/>
            <w:bottom w:val="none" w:sz="0" w:space="0" w:color="auto"/>
            <w:right w:val="none" w:sz="0" w:space="0" w:color="auto"/>
          </w:divBdr>
        </w:div>
        <w:div w:id="423691028">
          <w:marLeft w:val="0"/>
          <w:marRight w:val="0"/>
          <w:marTop w:val="0"/>
          <w:marBottom w:val="0"/>
          <w:divBdr>
            <w:top w:val="none" w:sz="0" w:space="0" w:color="auto"/>
            <w:left w:val="none" w:sz="0" w:space="0" w:color="auto"/>
            <w:bottom w:val="none" w:sz="0" w:space="0" w:color="auto"/>
            <w:right w:val="none" w:sz="0" w:space="0" w:color="auto"/>
          </w:divBdr>
        </w:div>
        <w:div w:id="431557727">
          <w:marLeft w:val="0"/>
          <w:marRight w:val="0"/>
          <w:marTop w:val="0"/>
          <w:marBottom w:val="0"/>
          <w:divBdr>
            <w:top w:val="none" w:sz="0" w:space="0" w:color="auto"/>
            <w:left w:val="none" w:sz="0" w:space="0" w:color="auto"/>
            <w:bottom w:val="none" w:sz="0" w:space="0" w:color="auto"/>
            <w:right w:val="none" w:sz="0" w:space="0" w:color="auto"/>
          </w:divBdr>
        </w:div>
        <w:div w:id="452095112">
          <w:marLeft w:val="0"/>
          <w:marRight w:val="0"/>
          <w:marTop w:val="0"/>
          <w:marBottom w:val="0"/>
          <w:divBdr>
            <w:top w:val="none" w:sz="0" w:space="0" w:color="auto"/>
            <w:left w:val="none" w:sz="0" w:space="0" w:color="auto"/>
            <w:bottom w:val="none" w:sz="0" w:space="0" w:color="auto"/>
            <w:right w:val="none" w:sz="0" w:space="0" w:color="auto"/>
          </w:divBdr>
        </w:div>
        <w:div w:id="457842505">
          <w:marLeft w:val="0"/>
          <w:marRight w:val="0"/>
          <w:marTop w:val="0"/>
          <w:marBottom w:val="0"/>
          <w:divBdr>
            <w:top w:val="none" w:sz="0" w:space="0" w:color="auto"/>
            <w:left w:val="none" w:sz="0" w:space="0" w:color="auto"/>
            <w:bottom w:val="none" w:sz="0" w:space="0" w:color="auto"/>
            <w:right w:val="none" w:sz="0" w:space="0" w:color="auto"/>
          </w:divBdr>
        </w:div>
        <w:div w:id="471138874">
          <w:marLeft w:val="0"/>
          <w:marRight w:val="0"/>
          <w:marTop w:val="0"/>
          <w:marBottom w:val="0"/>
          <w:divBdr>
            <w:top w:val="none" w:sz="0" w:space="0" w:color="auto"/>
            <w:left w:val="none" w:sz="0" w:space="0" w:color="auto"/>
            <w:bottom w:val="none" w:sz="0" w:space="0" w:color="auto"/>
            <w:right w:val="none" w:sz="0" w:space="0" w:color="auto"/>
          </w:divBdr>
        </w:div>
        <w:div w:id="480733173">
          <w:marLeft w:val="0"/>
          <w:marRight w:val="0"/>
          <w:marTop w:val="0"/>
          <w:marBottom w:val="0"/>
          <w:divBdr>
            <w:top w:val="none" w:sz="0" w:space="0" w:color="auto"/>
            <w:left w:val="none" w:sz="0" w:space="0" w:color="auto"/>
            <w:bottom w:val="none" w:sz="0" w:space="0" w:color="auto"/>
            <w:right w:val="none" w:sz="0" w:space="0" w:color="auto"/>
          </w:divBdr>
        </w:div>
        <w:div w:id="486482495">
          <w:marLeft w:val="0"/>
          <w:marRight w:val="0"/>
          <w:marTop w:val="0"/>
          <w:marBottom w:val="0"/>
          <w:divBdr>
            <w:top w:val="none" w:sz="0" w:space="0" w:color="auto"/>
            <w:left w:val="none" w:sz="0" w:space="0" w:color="auto"/>
            <w:bottom w:val="none" w:sz="0" w:space="0" w:color="auto"/>
            <w:right w:val="none" w:sz="0" w:space="0" w:color="auto"/>
          </w:divBdr>
        </w:div>
        <w:div w:id="493841048">
          <w:marLeft w:val="0"/>
          <w:marRight w:val="0"/>
          <w:marTop w:val="0"/>
          <w:marBottom w:val="0"/>
          <w:divBdr>
            <w:top w:val="none" w:sz="0" w:space="0" w:color="auto"/>
            <w:left w:val="none" w:sz="0" w:space="0" w:color="auto"/>
            <w:bottom w:val="none" w:sz="0" w:space="0" w:color="auto"/>
            <w:right w:val="none" w:sz="0" w:space="0" w:color="auto"/>
          </w:divBdr>
          <w:divsChild>
            <w:div w:id="169226026">
              <w:marLeft w:val="0"/>
              <w:marRight w:val="0"/>
              <w:marTop w:val="0"/>
              <w:marBottom w:val="0"/>
              <w:divBdr>
                <w:top w:val="none" w:sz="0" w:space="0" w:color="auto"/>
                <w:left w:val="none" w:sz="0" w:space="0" w:color="auto"/>
                <w:bottom w:val="none" w:sz="0" w:space="0" w:color="auto"/>
                <w:right w:val="none" w:sz="0" w:space="0" w:color="auto"/>
              </w:divBdr>
            </w:div>
            <w:div w:id="275672503">
              <w:marLeft w:val="0"/>
              <w:marRight w:val="0"/>
              <w:marTop w:val="0"/>
              <w:marBottom w:val="0"/>
              <w:divBdr>
                <w:top w:val="none" w:sz="0" w:space="0" w:color="auto"/>
                <w:left w:val="none" w:sz="0" w:space="0" w:color="auto"/>
                <w:bottom w:val="none" w:sz="0" w:space="0" w:color="auto"/>
                <w:right w:val="none" w:sz="0" w:space="0" w:color="auto"/>
              </w:divBdr>
            </w:div>
            <w:div w:id="370573145">
              <w:marLeft w:val="0"/>
              <w:marRight w:val="0"/>
              <w:marTop w:val="0"/>
              <w:marBottom w:val="0"/>
              <w:divBdr>
                <w:top w:val="none" w:sz="0" w:space="0" w:color="auto"/>
                <w:left w:val="none" w:sz="0" w:space="0" w:color="auto"/>
                <w:bottom w:val="none" w:sz="0" w:space="0" w:color="auto"/>
                <w:right w:val="none" w:sz="0" w:space="0" w:color="auto"/>
              </w:divBdr>
            </w:div>
            <w:div w:id="900823441">
              <w:marLeft w:val="0"/>
              <w:marRight w:val="0"/>
              <w:marTop w:val="0"/>
              <w:marBottom w:val="0"/>
              <w:divBdr>
                <w:top w:val="none" w:sz="0" w:space="0" w:color="auto"/>
                <w:left w:val="none" w:sz="0" w:space="0" w:color="auto"/>
                <w:bottom w:val="none" w:sz="0" w:space="0" w:color="auto"/>
                <w:right w:val="none" w:sz="0" w:space="0" w:color="auto"/>
              </w:divBdr>
            </w:div>
            <w:div w:id="942300175">
              <w:marLeft w:val="0"/>
              <w:marRight w:val="0"/>
              <w:marTop w:val="0"/>
              <w:marBottom w:val="0"/>
              <w:divBdr>
                <w:top w:val="none" w:sz="0" w:space="0" w:color="auto"/>
                <w:left w:val="none" w:sz="0" w:space="0" w:color="auto"/>
                <w:bottom w:val="none" w:sz="0" w:space="0" w:color="auto"/>
                <w:right w:val="none" w:sz="0" w:space="0" w:color="auto"/>
              </w:divBdr>
            </w:div>
            <w:div w:id="1123304958">
              <w:marLeft w:val="0"/>
              <w:marRight w:val="0"/>
              <w:marTop w:val="0"/>
              <w:marBottom w:val="0"/>
              <w:divBdr>
                <w:top w:val="none" w:sz="0" w:space="0" w:color="auto"/>
                <w:left w:val="none" w:sz="0" w:space="0" w:color="auto"/>
                <w:bottom w:val="none" w:sz="0" w:space="0" w:color="auto"/>
                <w:right w:val="none" w:sz="0" w:space="0" w:color="auto"/>
              </w:divBdr>
            </w:div>
            <w:div w:id="1165436309">
              <w:marLeft w:val="0"/>
              <w:marRight w:val="0"/>
              <w:marTop w:val="0"/>
              <w:marBottom w:val="0"/>
              <w:divBdr>
                <w:top w:val="none" w:sz="0" w:space="0" w:color="auto"/>
                <w:left w:val="none" w:sz="0" w:space="0" w:color="auto"/>
                <w:bottom w:val="none" w:sz="0" w:space="0" w:color="auto"/>
                <w:right w:val="none" w:sz="0" w:space="0" w:color="auto"/>
              </w:divBdr>
            </w:div>
            <w:div w:id="1272469766">
              <w:marLeft w:val="0"/>
              <w:marRight w:val="0"/>
              <w:marTop w:val="0"/>
              <w:marBottom w:val="0"/>
              <w:divBdr>
                <w:top w:val="none" w:sz="0" w:space="0" w:color="auto"/>
                <w:left w:val="none" w:sz="0" w:space="0" w:color="auto"/>
                <w:bottom w:val="none" w:sz="0" w:space="0" w:color="auto"/>
                <w:right w:val="none" w:sz="0" w:space="0" w:color="auto"/>
              </w:divBdr>
            </w:div>
            <w:div w:id="1387678848">
              <w:marLeft w:val="0"/>
              <w:marRight w:val="0"/>
              <w:marTop w:val="0"/>
              <w:marBottom w:val="0"/>
              <w:divBdr>
                <w:top w:val="none" w:sz="0" w:space="0" w:color="auto"/>
                <w:left w:val="none" w:sz="0" w:space="0" w:color="auto"/>
                <w:bottom w:val="none" w:sz="0" w:space="0" w:color="auto"/>
                <w:right w:val="none" w:sz="0" w:space="0" w:color="auto"/>
              </w:divBdr>
            </w:div>
            <w:div w:id="1469202522">
              <w:marLeft w:val="0"/>
              <w:marRight w:val="0"/>
              <w:marTop w:val="0"/>
              <w:marBottom w:val="0"/>
              <w:divBdr>
                <w:top w:val="none" w:sz="0" w:space="0" w:color="auto"/>
                <w:left w:val="none" w:sz="0" w:space="0" w:color="auto"/>
                <w:bottom w:val="none" w:sz="0" w:space="0" w:color="auto"/>
                <w:right w:val="none" w:sz="0" w:space="0" w:color="auto"/>
              </w:divBdr>
            </w:div>
            <w:div w:id="1488739621">
              <w:marLeft w:val="0"/>
              <w:marRight w:val="0"/>
              <w:marTop w:val="0"/>
              <w:marBottom w:val="0"/>
              <w:divBdr>
                <w:top w:val="none" w:sz="0" w:space="0" w:color="auto"/>
                <w:left w:val="none" w:sz="0" w:space="0" w:color="auto"/>
                <w:bottom w:val="none" w:sz="0" w:space="0" w:color="auto"/>
                <w:right w:val="none" w:sz="0" w:space="0" w:color="auto"/>
              </w:divBdr>
            </w:div>
            <w:div w:id="1596132359">
              <w:marLeft w:val="0"/>
              <w:marRight w:val="0"/>
              <w:marTop w:val="0"/>
              <w:marBottom w:val="0"/>
              <w:divBdr>
                <w:top w:val="none" w:sz="0" w:space="0" w:color="auto"/>
                <w:left w:val="none" w:sz="0" w:space="0" w:color="auto"/>
                <w:bottom w:val="none" w:sz="0" w:space="0" w:color="auto"/>
                <w:right w:val="none" w:sz="0" w:space="0" w:color="auto"/>
              </w:divBdr>
            </w:div>
            <w:div w:id="1616980999">
              <w:marLeft w:val="0"/>
              <w:marRight w:val="0"/>
              <w:marTop w:val="0"/>
              <w:marBottom w:val="0"/>
              <w:divBdr>
                <w:top w:val="none" w:sz="0" w:space="0" w:color="auto"/>
                <w:left w:val="none" w:sz="0" w:space="0" w:color="auto"/>
                <w:bottom w:val="none" w:sz="0" w:space="0" w:color="auto"/>
                <w:right w:val="none" w:sz="0" w:space="0" w:color="auto"/>
              </w:divBdr>
            </w:div>
            <w:div w:id="1668941097">
              <w:marLeft w:val="0"/>
              <w:marRight w:val="0"/>
              <w:marTop w:val="0"/>
              <w:marBottom w:val="0"/>
              <w:divBdr>
                <w:top w:val="none" w:sz="0" w:space="0" w:color="auto"/>
                <w:left w:val="none" w:sz="0" w:space="0" w:color="auto"/>
                <w:bottom w:val="none" w:sz="0" w:space="0" w:color="auto"/>
                <w:right w:val="none" w:sz="0" w:space="0" w:color="auto"/>
              </w:divBdr>
            </w:div>
            <w:div w:id="1707751686">
              <w:marLeft w:val="0"/>
              <w:marRight w:val="0"/>
              <w:marTop w:val="0"/>
              <w:marBottom w:val="0"/>
              <w:divBdr>
                <w:top w:val="none" w:sz="0" w:space="0" w:color="auto"/>
                <w:left w:val="none" w:sz="0" w:space="0" w:color="auto"/>
                <w:bottom w:val="none" w:sz="0" w:space="0" w:color="auto"/>
                <w:right w:val="none" w:sz="0" w:space="0" w:color="auto"/>
              </w:divBdr>
            </w:div>
            <w:div w:id="1710564463">
              <w:marLeft w:val="0"/>
              <w:marRight w:val="0"/>
              <w:marTop w:val="0"/>
              <w:marBottom w:val="0"/>
              <w:divBdr>
                <w:top w:val="none" w:sz="0" w:space="0" w:color="auto"/>
                <w:left w:val="none" w:sz="0" w:space="0" w:color="auto"/>
                <w:bottom w:val="none" w:sz="0" w:space="0" w:color="auto"/>
                <w:right w:val="none" w:sz="0" w:space="0" w:color="auto"/>
              </w:divBdr>
            </w:div>
            <w:div w:id="1778790873">
              <w:marLeft w:val="0"/>
              <w:marRight w:val="0"/>
              <w:marTop w:val="0"/>
              <w:marBottom w:val="0"/>
              <w:divBdr>
                <w:top w:val="none" w:sz="0" w:space="0" w:color="auto"/>
                <w:left w:val="none" w:sz="0" w:space="0" w:color="auto"/>
                <w:bottom w:val="none" w:sz="0" w:space="0" w:color="auto"/>
                <w:right w:val="none" w:sz="0" w:space="0" w:color="auto"/>
              </w:divBdr>
            </w:div>
            <w:div w:id="1794057625">
              <w:marLeft w:val="0"/>
              <w:marRight w:val="0"/>
              <w:marTop w:val="0"/>
              <w:marBottom w:val="0"/>
              <w:divBdr>
                <w:top w:val="none" w:sz="0" w:space="0" w:color="auto"/>
                <w:left w:val="none" w:sz="0" w:space="0" w:color="auto"/>
                <w:bottom w:val="none" w:sz="0" w:space="0" w:color="auto"/>
                <w:right w:val="none" w:sz="0" w:space="0" w:color="auto"/>
              </w:divBdr>
            </w:div>
            <w:div w:id="1841004261">
              <w:marLeft w:val="0"/>
              <w:marRight w:val="0"/>
              <w:marTop w:val="0"/>
              <w:marBottom w:val="0"/>
              <w:divBdr>
                <w:top w:val="none" w:sz="0" w:space="0" w:color="auto"/>
                <w:left w:val="none" w:sz="0" w:space="0" w:color="auto"/>
                <w:bottom w:val="none" w:sz="0" w:space="0" w:color="auto"/>
                <w:right w:val="none" w:sz="0" w:space="0" w:color="auto"/>
              </w:divBdr>
            </w:div>
            <w:div w:id="1851673291">
              <w:marLeft w:val="0"/>
              <w:marRight w:val="0"/>
              <w:marTop w:val="0"/>
              <w:marBottom w:val="0"/>
              <w:divBdr>
                <w:top w:val="none" w:sz="0" w:space="0" w:color="auto"/>
                <w:left w:val="none" w:sz="0" w:space="0" w:color="auto"/>
                <w:bottom w:val="none" w:sz="0" w:space="0" w:color="auto"/>
                <w:right w:val="none" w:sz="0" w:space="0" w:color="auto"/>
              </w:divBdr>
            </w:div>
          </w:divsChild>
        </w:div>
        <w:div w:id="494688851">
          <w:marLeft w:val="0"/>
          <w:marRight w:val="0"/>
          <w:marTop w:val="0"/>
          <w:marBottom w:val="0"/>
          <w:divBdr>
            <w:top w:val="none" w:sz="0" w:space="0" w:color="auto"/>
            <w:left w:val="none" w:sz="0" w:space="0" w:color="auto"/>
            <w:bottom w:val="none" w:sz="0" w:space="0" w:color="auto"/>
            <w:right w:val="none" w:sz="0" w:space="0" w:color="auto"/>
          </w:divBdr>
        </w:div>
        <w:div w:id="494732579">
          <w:marLeft w:val="0"/>
          <w:marRight w:val="0"/>
          <w:marTop w:val="0"/>
          <w:marBottom w:val="0"/>
          <w:divBdr>
            <w:top w:val="none" w:sz="0" w:space="0" w:color="auto"/>
            <w:left w:val="none" w:sz="0" w:space="0" w:color="auto"/>
            <w:bottom w:val="none" w:sz="0" w:space="0" w:color="auto"/>
            <w:right w:val="none" w:sz="0" w:space="0" w:color="auto"/>
          </w:divBdr>
        </w:div>
        <w:div w:id="510264991">
          <w:marLeft w:val="0"/>
          <w:marRight w:val="0"/>
          <w:marTop w:val="0"/>
          <w:marBottom w:val="0"/>
          <w:divBdr>
            <w:top w:val="none" w:sz="0" w:space="0" w:color="auto"/>
            <w:left w:val="none" w:sz="0" w:space="0" w:color="auto"/>
            <w:bottom w:val="none" w:sz="0" w:space="0" w:color="auto"/>
            <w:right w:val="none" w:sz="0" w:space="0" w:color="auto"/>
          </w:divBdr>
        </w:div>
        <w:div w:id="523134212">
          <w:marLeft w:val="0"/>
          <w:marRight w:val="0"/>
          <w:marTop w:val="0"/>
          <w:marBottom w:val="0"/>
          <w:divBdr>
            <w:top w:val="none" w:sz="0" w:space="0" w:color="auto"/>
            <w:left w:val="none" w:sz="0" w:space="0" w:color="auto"/>
            <w:bottom w:val="none" w:sz="0" w:space="0" w:color="auto"/>
            <w:right w:val="none" w:sz="0" w:space="0" w:color="auto"/>
          </w:divBdr>
        </w:div>
        <w:div w:id="538128397">
          <w:marLeft w:val="0"/>
          <w:marRight w:val="0"/>
          <w:marTop w:val="0"/>
          <w:marBottom w:val="0"/>
          <w:divBdr>
            <w:top w:val="none" w:sz="0" w:space="0" w:color="auto"/>
            <w:left w:val="none" w:sz="0" w:space="0" w:color="auto"/>
            <w:bottom w:val="none" w:sz="0" w:space="0" w:color="auto"/>
            <w:right w:val="none" w:sz="0" w:space="0" w:color="auto"/>
          </w:divBdr>
        </w:div>
        <w:div w:id="541405244">
          <w:marLeft w:val="0"/>
          <w:marRight w:val="0"/>
          <w:marTop w:val="0"/>
          <w:marBottom w:val="0"/>
          <w:divBdr>
            <w:top w:val="none" w:sz="0" w:space="0" w:color="auto"/>
            <w:left w:val="none" w:sz="0" w:space="0" w:color="auto"/>
            <w:bottom w:val="none" w:sz="0" w:space="0" w:color="auto"/>
            <w:right w:val="none" w:sz="0" w:space="0" w:color="auto"/>
          </w:divBdr>
        </w:div>
        <w:div w:id="547179804">
          <w:marLeft w:val="0"/>
          <w:marRight w:val="0"/>
          <w:marTop w:val="0"/>
          <w:marBottom w:val="0"/>
          <w:divBdr>
            <w:top w:val="none" w:sz="0" w:space="0" w:color="auto"/>
            <w:left w:val="none" w:sz="0" w:space="0" w:color="auto"/>
            <w:bottom w:val="none" w:sz="0" w:space="0" w:color="auto"/>
            <w:right w:val="none" w:sz="0" w:space="0" w:color="auto"/>
          </w:divBdr>
        </w:div>
        <w:div w:id="563033449">
          <w:marLeft w:val="0"/>
          <w:marRight w:val="0"/>
          <w:marTop w:val="0"/>
          <w:marBottom w:val="0"/>
          <w:divBdr>
            <w:top w:val="none" w:sz="0" w:space="0" w:color="auto"/>
            <w:left w:val="none" w:sz="0" w:space="0" w:color="auto"/>
            <w:bottom w:val="none" w:sz="0" w:space="0" w:color="auto"/>
            <w:right w:val="none" w:sz="0" w:space="0" w:color="auto"/>
          </w:divBdr>
        </w:div>
        <w:div w:id="567569255">
          <w:marLeft w:val="0"/>
          <w:marRight w:val="0"/>
          <w:marTop w:val="0"/>
          <w:marBottom w:val="0"/>
          <w:divBdr>
            <w:top w:val="none" w:sz="0" w:space="0" w:color="auto"/>
            <w:left w:val="none" w:sz="0" w:space="0" w:color="auto"/>
            <w:bottom w:val="none" w:sz="0" w:space="0" w:color="auto"/>
            <w:right w:val="none" w:sz="0" w:space="0" w:color="auto"/>
          </w:divBdr>
        </w:div>
        <w:div w:id="571165340">
          <w:marLeft w:val="0"/>
          <w:marRight w:val="0"/>
          <w:marTop w:val="0"/>
          <w:marBottom w:val="0"/>
          <w:divBdr>
            <w:top w:val="none" w:sz="0" w:space="0" w:color="auto"/>
            <w:left w:val="none" w:sz="0" w:space="0" w:color="auto"/>
            <w:bottom w:val="none" w:sz="0" w:space="0" w:color="auto"/>
            <w:right w:val="none" w:sz="0" w:space="0" w:color="auto"/>
          </w:divBdr>
        </w:div>
        <w:div w:id="583495789">
          <w:marLeft w:val="0"/>
          <w:marRight w:val="0"/>
          <w:marTop w:val="0"/>
          <w:marBottom w:val="0"/>
          <w:divBdr>
            <w:top w:val="none" w:sz="0" w:space="0" w:color="auto"/>
            <w:left w:val="none" w:sz="0" w:space="0" w:color="auto"/>
            <w:bottom w:val="none" w:sz="0" w:space="0" w:color="auto"/>
            <w:right w:val="none" w:sz="0" w:space="0" w:color="auto"/>
          </w:divBdr>
        </w:div>
        <w:div w:id="583606717">
          <w:marLeft w:val="0"/>
          <w:marRight w:val="0"/>
          <w:marTop w:val="0"/>
          <w:marBottom w:val="0"/>
          <w:divBdr>
            <w:top w:val="none" w:sz="0" w:space="0" w:color="auto"/>
            <w:left w:val="none" w:sz="0" w:space="0" w:color="auto"/>
            <w:bottom w:val="none" w:sz="0" w:space="0" w:color="auto"/>
            <w:right w:val="none" w:sz="0" w:space="0" w:color="auto"/>
          </w:divBdr>
        </w:div>
        <w:div w:id="586689757">
          <w:marLeft w:val="0"/>
          <w:marRight w:val="0"/>
          <w:marTop w:val="0"/>
          <w:marBottom w:val="0"/>
          <w:divBdr>
            <w:top w:val="none" w:sz="0" w:space="0" w:color="auto"/>
            <w:left w:val="none" w:sz="0" w:space="0" w:color="auto"/>
            <w:bottom w:val="none" w:sz="0" w:space="0" w:color="auto"/>
            <w:right w:val="none" w:sz="0" w:space="0" w:color="auto"/>
          </w:divBdr>
        </w:div>
        <w:div w:id="597983111">
          <w:marLeft w:val="0"/>
          <w:marRight w:val="0"/>
          <w:marTop w:val="0"/>
          <w:marBottom w:val="0"/>
          <w:divBdr>
            <w:top w:val="none" w:sz="0" w:space="0" w:color="auto"/>
            <w:left w:val="none" w:sz="0" w:space="0" w:color="auto"/>
            <w:bottom w:val="none" w:sz="0" w:space="0" w:color="auto"/>
            <w:right w:val="none" w:sz="0" w:space="0" w:color="auto"/>
          </w:divBdr>
        </w:div>
        <w:div w:id="611940775">
          <w:marLeft w:val="0"/>
          <w:marRight w:val="0"/>
          <w:marTop w:val="0"/>
          <w:marBottom w:val="0"/>
          <w:divBdr>
            <w:top w:val="none" w:sz="0" w:space="0" w:color="auto"/>
            <w:left w:val="none" w:sz="0" w:space="0" w:color="auto"/>
            <w:bottom w:val="none" w:sz="0" w:space="0" w:color="auto"/>
            <w:right w:val="none" w:sz="0" w:space="0" w:color="auto"/>
          </w:divBdr>
        </w:div>
        <w:div w:id="623467927">
          <w:marLeft w:val="0"/>
          <w:marRight w:val="0"/>
          <w:marTop w:val="0"/>
          <w:marBottom w:val="0"/>
          <w:divBdr>
            <w:top w:val="none" w:sz="0" w:space="0" w:color="auto"/>
            <w:left w:val="none" w:sz="0" w:space="0" w:color="auto"/>
            <w:bottom w:val="none" w:sz="0" w:space="0" w:color="auto"/>
            <w:right w:val="none" w:sz="0" w:space="0" w:color="auto"/>
          </w:divBdr>
        </w:div>
        <w:div w:id="641930830">
          <w:marLeft w:val="0"/>
          <w:marRight w:val="0"/>
          <w:marTop w:val="0"/>
          <w:marBottom w:val="0"/>
          <w:divBdr>
            <w:top w:val="none" w:sz="0" w:space="0" w:color="auto"/>
            <w:left w:val="none" w:sz="0" w:space="0" w:color="auto"/>
            <w:bottom w:val="none" w:sz="0" w:space="0" w:color="auto"/>
            <w:right w:val="none" w:sz="0" w:space="0" w:color="auto"/>
          </w:divBdr>
        </w:div>
        <w:div w:id="656880145">
          <w:marLeft w:val="0"/>
          <w:marRight w:val="0"/>
          <w:marTop w:val="0"/>
          <w:marBottom w:val="0"/>
          <w:divBdr>
            <w:top w:val="none" w:sz="0" w:space="0" w:color="auto"/>
            <w:left w:val="none" w:sz="0" w:space="0" w:color="auto"/>
            <w:bottom w:val="none" w:sz="0" w:space="0" w:color="auto"/>
            <w:right w:val="none" w:sz="0" w:space="0" w:color="auto"/>
          </w:divBdr>
        </w:div>
        <w:div w:id="657654103">
          <w:marLeft w:val="0"/>
          <w:marRight w:val="0"/>
          <w:marTop w:val="0"/>
          <w:marBottom w:val="0"/>
          <w:divBdr>
            <w:top w:val="none" w:sz="0" w:space="0" w:color="auto"/>
            <w:left w:val="none" w:sz="0" w:space="0" w:color="auto"/>
            <w:bottom w:val="none" w:sz="0" w:space="0" w:color="auto"/>
            <w:right w:val="none" w:sz="0" w:space="0" w:color="auto"/>
          </w:divBdr>
        </w:div>
        <w:div w:id="694425488">
          <w:marLeft w:val="0"/>
          <w:marRight w:val="0"/>
          <w:marTop w:val="0"/>
          <w:marBottom w:val="0"/>
          <w:divBdr>
            <w:top w:val="none" w:sz="0" w:space="0" w:color="auto"/>
            <w:left w:val="none" w:sz="0" w:space="0" w:color="auto"/>
            <w:bottom w:val="none" w:sz="0" w:space="0" w:color="auto"/>
            <w:right w:val="none" w:sz="0" w:space="0" w:color="auto"/>
          </w:divBdr>
        </w:div>
        <w:div w:id="709913833">
          <w:marLeft w:val="0"/>
          <w:marRight w:val="0"/>
          <w:marTop w:val="0"/>
          <w:marBottom w:val="0"/>
          <w:divBdr>
            <w:top w:val="none" w:sz="0" w:space="0" w:color="auto"/>
            <w:left w:val="none" w:sz="0" w:space="0" w:color="auto"/>
            <w:bottom w:val="none" w:sz="0" w:space="0" w:color="auto"/>
            <w:right w:val="none" w:sz="0" w:space="0" w:color="auto"/>
          </w:divBdr>
          <w:divsChild>
            <w:div w:id="26415232">
              <w:marLeft w:val="0"/>
              <w:marRight w:val="0"/>
              <w:marTop w:val="0"/>
              <w:marBottom w:val="0"/>
              <w:divBdr>
                <w:top w:val="none" w:sz="0" w:space="0" w:color="auto"/>
                <w:left w:val="none" w:sz="0" w:space="0" w:color="auto"/>
                <w:bottom w:val="none" w:sz="0" w:space="0" w:color="auto"/>
                <w:right w:val="none" w:sz="0" w:space="0" w:color="auto"/>
              </w:divBdr>
            </w:div>
            <w:div w:id="74322586">
              <w:marLeft w:val="0"/>
              <w:marRight w:val="0"/>
              <w:marTop w:val="0"/>
              <w:marBottom w:val="0"/>
              <w:divBdr>
                <w:top w:val="none" w:sz="0" w:space="0" w:color="auto"/>
                <w:left w:val="none" w:sz="0" w:space="0" w:color="auto"/>
                <w:bottom w:val="none" w:sz="0" w:space="0" w:color="auto"/>
                <w:right w:val="none" w:sz="0" w:space="0" w:color="auto"/>
              </w:divBdr>
            </w:div>
            <w:div w:id="99105330">
              <w:marLeft w:val="0"/>
              <w:marRight w:val="0"/>
              <w:marTop w:val="0"/>
              <w:marBottom w:val="0"/>
              <w:divBdr>
                <w:top w:val="none" w:sz="0" w:space="0" w:color="auto"/>
                <w:left w:val="none" w:sz="0" w:space="0" w:color="auto"/>
                <w:bottom w:val="none" w:sz="0" w:space="0" w:color="auto"/>
                <w:right w:val="none" w:sz="0" w:space="0" w:color="auto"/>
              </w:divBdr>
            </w:div>
            <w:div w:id="115219513">
              <w:marLeft w:val="0"/>
              <w:marRight w:val="0"/>
              <w:marTop w:val="0"/>
              <w:marBottom w:val="0"/>
              <w:divBdr>
                <w:top w:val="none" w:sz="0" w:space="0" w:color="auto"/>
                <w:left w:val="none" w:sz="0" w:space="0" w:color="auto"/>
                <w:bottom w:val="none" w:sz="0" w:space="0" w:color="auto"/>
                <w:right w:val="none" w:sz="0" w:space="0" w:color="auto"/>
              </w:divBdr>
            </w:div>
            <w:div w:id="291791592">
              <w:marLeft w:val="0"/>
              <w:marRight w:val="0"/>
              <w:marTop w:val="0"/>
              <w:marBottom w:val="0"/>
              <w:divBdr>
                <w:top w:val="none" w:sz="0" w:space="0" w:color="auto"/>
                <w:left w:val="none" w:sz="0" w:space="0" w:color="auto"/>
                <w:bottom w:val="none" w:sz="0" w:space="0" w:color="auto"/>
                <w:right w:val="none" w:sz="0" w:space="0" w:color="auto"/>
              </w:divBdr>
            </w:div>
            <w:div w:id="296181997">
              <w:marLeft w:val="0"/>
              <w:marRight w:val="0"/>
              <w:marTop w:val="0"/>
              <w:marBottom w:val="0"/>
              <w:divBdr>
                <w:top w:val="none" w:sz="0" w:space="0" w:color="auto"/>
                <w:left w:val="none" w:sz="0" w:space="0" w:color="auto"/>
                <w:bottom w:val="none" w:sz="0" w:space="0" w:color="auto"/>
                <w:right w:val="none" w:sz="0" w:space="0" w:color="auto"/>
              </w:divBdr>
            </w:div>
            <w:div w:id="597520651">
              <w:marLeft w:val="0"/>
              <w:marRight w:val="0"/>
              <w:marTop w:val="0"/>
              <w:marBottom w:val="0"/>
              <w:divBdr>
                <w:top w:val="none" w:sz="0" w:space="0" w:color="auto"/>
                <w:left w:val="none" w:sz="0" w:space="0" w:color="auto"/>
                <w:bottom w:val="none" w:sz="0" w:space="0" w:color="auto"/>
                <w:right w:val="none" w:sz="0" w:space="0" w:color="auto"/>
              </w:divBdr>
            </w:div>
            <w:div w:id="664478255">
              <w:marLeft w:val="0"/>
              <w:marRight w:val="0"/>
              <w:marTop w:val="0"/>
              <w:marBottom w:val="0"/>
              <w:divBdr>
                <w:top w:val="none" w:sz="0" w:space="0" w:color="auto"/>
                <w:left w:val="none" w:sz="0" w:space="0" w:color="auto"/>
                <w:bottom w:val="none" w:sz="0" w:space="0" w:color="auto"/>
                <w:right w:val="none" w:sz="0" w:space="0" w:color="auto"/>
              </w:divBdr>
            </w:div>
            <w:div w:id="702091662">
              <w:marLeft w:val="0"/>
              <w:marRight w:val="0"/>
              <w:marTop w:val="0"/>
              <w:marBottom w:val="0"/>
              <w:divBdr>
                <w:top w:val="none" w:sz="0" w:space="0" w:color="auto"/>
                <w:left w:val="none" w:sz="0" w:space="0" w:color="auto"/>
                <w:bottom w:val="none" w:sz="0" w:space="0" w:color="auto"/>
                <w:right w:val="none" w:sz="0" w:space="0" w:color="auto"/>
              </w:divBdr>
            </w:div>
            <w:div w:id="972448898">
              <w:marLeft w:val="0"/>
              <w:marRight w:val="0"/>
              <w:marTop w:val="0"/>
              <w:marBottom w:val="0"/>
              <w:divBdr>
                <w:top w:val="none" w:sz="0" w:space="0" w:color="auto"/>
                <w:left w:val="none" w:sz="0" w:space="0" w:color="auto"/>
                <w:bottom w:val="none" w:sz="0" w:space="0" w:color="auto"/>
                <w:right w:val="none" w:sz="0" w:space="0" w:color="auto"/>
              </w:divBdr>
            </w:div>
            <w:div w:id="1207138697">
              <w:marLeft w:val="0"/>
              <w:marRight w:val="0"/>
              <w:marTop w:val="0"/>
              <w:marBottom w:val="0"/>
              <w:divBdr>
                <w:top w:val="none" w:sz="0" w:space="0" w:color="auto"/>
                <w:left w:val="none" w:sz="0" w:space="0" w:color="auto"/>
                <w:bottom w:val="none" w:sz="0" w:space="0" w:color="auto"/>
                <w:right w:val="none" w:sz="0" w:space="0" w:color="auto"/>
              </w:divBdr>
            </w:div>
            <w:div w:id="1258753379">
              <w:marLeft w:val="0"/>
              <w:marRight w:val="0"/>
              <w:marTop w:val="0"/>
              <w:marBottom w:val="0"/>
              <w:divBdr>
                <w:top w:val="none" w:sz="0" w:space="0" w:color="auto"/>
                <w:left w:val="none" w:sz="0" w:space="0" w:color="auto"/>
                <w:bottom w:val="none" w:sz="0" w:space="0" w:color="auto"/>
                <w:right w:val="none" w:sz="0" w:space="0" w:color="auto"/>
              </w:divBdr>
            </w:div>
            <w:div w:id="1335567248">
              <w:marLeft w:val="0"/>
              <w:marRight w:val="0"/>
              <w:marTop w:val="0"/>
              <w:marBottom w:val="0"/>
              <w:divBdr>
                <w:top w:val="none" w:sz="0" w:space="0" w:color="auto"/>
                <w:left w:val="none" w:sz="0" w:space="0" w:color="auto"/>
                <w:bottom w:val="none" w:sz="0" w:space="0" w:color="auto"/>
                <w:right w:val="none" w:sz="0" w:space="0" w:color="auto"/>
              </w:divBdr>
            </w:div>
            <w:div w:id="1358920675">
              <w:marLeft w:val="0"/>
              <w:marRight w:val="0"/>
              <w:marTop w:val="0"/>
              <w:marBottom w:val="0"/>
              <w:divBdr>
                <w:top w:val="none" w:sz="0" w:space="0" w:color="auto"/>
                <w:left w:val="none" w:sz="0" w:space="0" w:color="auto"/>
                <w:bottom w:val="none" w:sz="0" w:space="0" w:color="auto"/>
                <w:right w:val="none" w:sz="0" w:space="0" w:color="auto"/>
              </w:divBdr>
            </w:div>
            <w:div w:id="1447390767">
              <w:marLeft w:val="0"/>
              <w:marRight w:val="0"/>
              <w:marTop w:val="0"/>
              <w:marBottom w:val="0"/>
              <w:divBdr>
                <w:top w:val="none" w:sz="0" w:space="0" w:color="auto"/>
                <w:left w:val="none" w:sz="0" w:space="0" w:color="auto"/>
                <w:bottom w:val="none" w:sz="0" w:space="0" w:color="auto"/>
                <w:right w:val="none" w:sz="0" w:space="0" w:color="auto"/>
              </w:divBdr>
            </w:div>
            <w:div w:id="1521428676">
              <w:marLeft w:val="0"/>
              <w:marRight w:val="0"/>
              <w:marTop w:val="0"/>
              <w:marBottom w:val="0"/>
              <w:divBdr>
                <w:top w:val="none" w:sz="0" w:space="0" w:color="auto"/>
                <w:left w:val="none" w:sz="0" w:space="0" w:color="auto"/>
                <w:bottom w:val="none" w:sz="0" w:space="0" w:color="auto"/>
                <w:right w:val="none" w:sz="0" w:space="0" w:color="auto"/>
              </w:divBdr>
            </w:div>
            <w:div w:id="1918592270">
              <w:marLeft w:val="0"/>
              <w:marRight w:val="0"/>
              <w:marTop w:val="0"/>
              <w:marBottom w:val="0"/>
              <w:divBdr>
                <w:top w:val="none" w:sz="0" w:space="0" w:color="auto"/>
                <w:left w:val="none" w:sz="0" w:space="0" w:color="auto"/>
                <w:bottom w:val="none" w:sz="0" w:space="0" w:color="auto"/>
                <w:right w:val="none" w:sz="0" w:space="0" w:color="auto"/>
              </w:divBdr>
            </w:div>
            <w:div w:id="1945116638">
              <w:marLeft w:val="0"/>
              <w:marRight w:val="0"/>
              <w:marTop w:val="0"/>
              <w:marBottom w:val="0"/>
              <w:divBdr>
                <w:top w:val="none" w:sz="0" w:space="0" w:color="auto"/>
                <w:left w:val="none" w:sz="0" w:space="0" w:color="auto"/>
                <w:bottom w:val="none" w:sz="0" w:space="0" w:color="auto"/>
                <w:right w:val="none" w:sz="0" w:space="0" w:color="auto"/>
              </w:divBdr>
            </w:div>
            <w:div w:id="1999339336">
              <w:marLeft w:val="0"/>
              <w:marRight w:val="0"/>
              <w:marTop w:val="0"/>
              <w:marBottom w:val="0"/>
              <w:divBdr>
                <w:top w:val="none" w:sz="0" w:space="0" w:color="auto"/>
                <w:left w:val="none" w:sz="0" w:space="0" w:color="auto"/>
                <w:bottom w:val="none" w:sz="0" w:space="0" w:color="auto"/>
                <w:right w:val="none" w:sz="0" w:space="0" w:color="auto"/>
              </w:divBdr>
            </w:div>
            <w:div w:id="2115782593">
              <w:marLeft w:val="0"/>
              <w:marRight w:val="0"/>
              <w:marTop w:val="0"/>
              <w:marBottom w:val="0"/>
              <w:divBdr>
                <w:top w:val="none" w:sz="0" w:space="0" w:color="auto"/>
                <w:left w:val="none" w:sz="0" w:space="0" w:color="auto"/>
                <w:bottom w:val="none" w:sz="0" w:space="0" w:color="auto"/>
                <w:right w:val="none" w:sz="0" w:space="0" w:color="auto"/>
              </w:divBdr>
            </w:div>
          </w:divsChild>
        </w:div>
        <w:div w:id="727999462">
          <w:marLeft w:val="0"/>
          <w:marRight w:val="0"/>
          <w:marTop w:val="0"/>
          <w:marBottom w:val="0"/>
          <w:divBdr>
            <w:top w:val="none" w:sz="0" w:space="0" w:color="auto"/>
            <w:left w:val="none" w:sz="0" w:space="0" w:color="auto"/>
            <w:bottom w:val="none" w:sz="0" w:space="0" w:color="auto"/>
            <w:right w:val="none" w:sz="0" w:space="0" w:color="auto"/>
          </w:divBdr>
        </w:div>
        <w:div w:id="738480996">
          <w:marLeft w:val="0"/>
          <w:marRight w:val="0"/>
          <w:marTop w:val="0"/>
          <w:marBottom w:val="0"/>
          <w:divBdr>
            <w:top w:val="none" w:sz="0" w:space="0" w:color="auto"/>
            <w:left w:val="none" w:sz="0" w:space="0" w:color="auto"/>
            <w:bottom w:val="none" w:sz="0" w:space="0" w:color="auto"/>
            <w:right w:val="none" w:sz="0" w:space="0" w:color="auto"/>
          </w:divBdr>
        </w:div>
        <w:div w:id="741608471">
          <w:marLeft w:val="0"/>
          <w:marRight w:val="0"/>
          <w:marTop w:val="0"/>
          <w:marBottom w:val="0"/>
          <w:divBdr>
            <w:top w:val="none" w:sz="0" w:space="0" w:color="auto"/>
            <w:left w:val="none" w:sz="0" w:space="0" w:color="auto"/>
            <w:bottom w:val="none" w:sz="0" w:space="0" w:color="auto"/>
            <w:right w:val="none" w:sz="0" w:space="0" w:color="auto"/>
          </w:divBdr>
        </w:div>
        <w:div w:id="746809963">
          <w:marLeft w:val="0"/>
          <w:marRight w:val="0"/>
          <w:marTop w:val="0"/>
          <w:marBottom w:val="0"/>
          <w:divBdr>
            <w:top w:val="none" w:sz="0" w:space="0" w:color="auto"/>
            <w:left w:val="none" w:sz="0" w:space="0" w:color="auto"/>
            <w:bottom w:val="none" w:sz="0" w:space="0" w:color="auto"/>
            <w:right w:val="none" w:sz="0" w:space="0" w:color="auto"/>
          </w:divBdr>
        </w:div>
        <w:div w:id="764812452">
          <w:marLeft w:val="0"/>
          <w:marRight w:val="0"/>
          <w:marTop w:val="0"/>
          <w:marBottom w:val="0"/>
          <w:divBdr>
            <w:top w:val="none" w:sz="0" w:space="0" w:color="auto"/>
            <w:left w:val="none" w:sz="0" w:space="0" w:color="auto"/>
            <w:bottom w:val="none" w:sz="0" w:space="0" w:color="auto"/>
            <w:right w:val="none" w:sz="0" w:space="0" w:color="auto"/>
          </w:divBdr>
        </w:div>
        <w:div w:id="769551518">
          <w:marLeft w:val="0"/>
          <w:marRight w:val="0"/>
          <w:marTop w:val="0"/>
          <w:marBottom w:val="0"/>
          <w:divBdr>
            <w:top w:val="none" w:sz="0" w:space="0" w:color="auto"/>
            <w:left w:val="none" w:sz="0" w:space="0" w:color="auto"/>
            <w:bottom w:val="none" w:sz="0" w:space="0" w:color="auto"/>
            <w:right w:val="none" w:sz="0" w:space="0" w:color="auto"/>
          </w:divBdr>
        </w:div>
        <w:div w:id="782842913">
          <w:marLeft w:val="0"/>
          <w:marRight w:val="0"/>
          <w:marTop w:val="0"/>
          <w:marBottom w:val="0"/>
          <w:divBdr>
            <w:top w:val="none" w:sz="0" w:space="0" w:color="auto"/>
            <w:left w:val="none" w:sz="0" w:space="0" w:color="auto"/>
            <w:bottom w:val="none" w:sz="0" w:space="0" w:color="auto"/>
            <w:right w:val="none" w:sz="0" w:space="0" w:color="auto"/>
          </w:divBdr>
        </w:div>
        <w:div w:id="794131641">
          <w:marLeft w:val="0"/>
          <w:marRight w:val="0"/>
          <w:marTop w:val="0"/>
          <w:marBottom w:val="0"/>
          <w:divBdr>
            <w:top w:val="none" w:sz="0" w:space="0" w:color="auto"/>
            <w:left w:val="none" w:sz="0" w:space="0" w:color="auto"/>
            <w:bottom w:val="none" w:sz="0" w:space="0" w:color="auto"/>
            <w:right w:val="none" w:sz="0" w:space="0" w:color="auto"/>
          </w:divBdr>
        </w:div>
        <w:div w:id="801994882">
          <w:marLeft w:val="0"/>
          <w:marRight w:val="0"/>
          <w:marTop w:val="0"/>
          <w:marBottom w:val="0"/>
          <w:divBdr>
            <w:top w:val="none" w:sz="0" w:space="0" w:color="auto"/>
            <w:left w:val="none" w:sz="0" w:space="0" w:color="auto"/>
            <w:bottom w:val="none" w:sz="0" w:space="0" w:color="auto"/>
            <w:right w:val="none" w:sz="0" w:space="0" w:color="auto"/>
          </w:divBdr>
        </w:div>
        <w:div w:id="813718450">
          <w:marLeft w:val="0"/>
          <w:marRight w:val="0"/>
          <w:marTop w:val="0"/>
          <w:marBottom w:val="0"/>
          <w:divBdr>
            <w:top w:val="none" w:sz="0" w:space="0" w:color="auto"/>
            <w:left w:val="none" w:sz="0" w:space="0" w:color="auto"/>
            <w:bottom w:val="none" w:sz="0" w:space="0" w:color="auto"/>
            <w:right w:val="none" w:sz="0" w:space="0" w:color="auto"/>
          </w:divBdr>
        </w:div>
        <w:div w:id="829518221">
          <w:marLeft w:val="0"/>
          <w:marRight w:val="0"/>
          <w:marTop w:val="0"/>
          <w:marBottom w:val="0"/>
          <w:divBdr>
            <w:top w:val="none" w:sz="0" w:space="0" w:color="auto"/>
            <w:left w:val="none" w:sz="0" w:space="0" w:color="auto"/>
            <w:bottom w:val="none" w:sz="0" w:space="0" w:color="auto"/>
            <w:right w:val="none" w:sz="0" w:space="0" w:color="auto"/>
          </w:divBdr>
        </w:div>
        <w:div w:id="845168271">
          <w:marLeft w:val="0"/>
          <w:marRight w:val="0"/>
          <w:marTop w:val="0"/>
          <w:marBottom w:val="0"/>
          <w:divBdr>
            <w:top w:val="none" w:sz="0" w:space="0" w:color="auto"/>
            <w:left w:val="none" w:sz="0" w:space="0" w:color="auto"/>
            <w:bottom w:val="none" w:sz="0" w:space="0" w:color="auto"/>
            <w:right w:val="none" w:sz="0" w:space="0" w:color="auto"/>
          </w:divBdr>
        </w:div>
        <w:div w:id="851652565">
          <w:marLeft w:val="0"/>
          <w:marRight w:val="0"/>
          <w:marTop w:val="0"/>
          <w:marBottom w:val="0"/>
          <w:divBdr>
            <w:top w:val="none" w:sz="0" w:space="0" w:color="auto"/>
            <w:left w:val="none" w:sz="0" w:space="0" w:color="auto"/>
            <w:bottom w:val="none" w:sz="0" w:space="0" w:color="auto"/>
            <w:right w:val="none" w:sz="0" w:space="0" w:color="auto"/>
          </w:divBdr>
        </w:div>
        <w:div w:id="858737742">
          <w:marLeft w:val="0"/>
          <w:marRight w:val="0"/>
          <w:marTop w:val="0"/>
          <w:marBottom w:val="0"/>
          <w:divBdr>
            <w:top w:val="none" w:sz="0" w:space="0" w:color="auto"/>
            <w:left w:val="none" w:sz="0" w:space="0" w:color="auto"/>
            <w:bottom w:val="none" w:sz="0" w:space="0" w:color="auto"/>
            <w:right w:val="none" w:sz="0" w:space="0" w:color="auto"/>
          </w:divBdr>
        </w:div>
        <w:div w:id="884760498">
          <w:marLeft w:val="0"/>
          <w:marRight w:val="0"/>
          <w:marTop w:val="0"/>
          <w:marBottom w:val="0"/>
          <w:divBdr>
            <w:top w:val="none" w:sz="0" w:space="0" w:color="auto"/>
            <w:left w:val="none" w:sz="0" w:space="0" w:color="auto"/>
            <w:bottom w:val="none" w:sz="0" w:space="0" w:color="auto"/>
            <w:right w:val="none" w:sz="0" w:space="0" w:color="auto"/>
          </w:divBdr>
        </w:div>
        <w:div w:id="908345198">
          <w:marLeft w:val="0"/>
          <w:marRight w:val="0"/>
          <w:marTop w:val="0"/>
          <w:marBottom w:val="0"/>
          <w:divBdr>
            <w:top w:val="none" w:sz="0" w:space="0" w:color="auto"/>
            <w:left w:val="none" w:sz="0" w:space="0" w:color="auto"/>
            <w:bottom w:val="none" w:sz="0" w:space="0" w:color="auto"/>
            <w:right w:val="none" w:sz="0" w:space="0" w:color="auto"/>
          </w:divBdr>
        </w:div>
        <w:div w:id="910240626">
          <w:marLeft w:val="0"/>
          <w:marRight w:val="0"/>
          <w:marTop w:val="0"/>
          <w:marBottom w:val="0"/>
          <w:divBdr>
            <w:top w:val="none" w:sz="0" w:space="0" w:color="auto"/>
            <w:left w:val="none" w:sz="0" w:space="0" w:color="auto"/>
            <w:bottom w:val="none" w:sz="0" w:space="0" w:color="auto"/>
            <w:right w:val="none" w:sz="0" w:space="0" w:color="auto"/>
          </w:divBdr>
        </w:div>
        <w:div w:id="917180385">
          <w:marLeft w:val="0"/>
          <w:marRight w:val="0"/>
          <w:marTop w:val="0"/>
          <w:marBottom w:val="0"/>
          <w:divBdr>
            <w:top w:val="none" w:sz="0" w:space="0" w:color="auto"/>
            <w:left w:val="none" w:sz="0" w:space="0" w:color="auto"/>
            <w:bottom w:val="none" w:sz="0" w:space="0" w:color="auto"/>
            <w:right w:val="none" w:sz="0" w:space="0" w:color="auto"/>
          </w:divBdr>
        </w:div>
        <w:div w:id="924071531">
          <w:marLeft w:val="0"/>
          <w:marRight w:val="0"/>
          <w:marTop w:val="0"/>
          <w:marBottom w:val="0"/>
          <w:divBdr>
            <w:top w:val="none" w:sz="0" w:space="0" w:color="auto"/>
            <w:left w:val="none" w:sz="0" w:space="0" w:color="auto"/>
            <w:bottom w:val="none" w:sz="0" w:space="0" w:color="auto"/>
            <w:right w:val="none" w:sz="0" w:space="0" w:color="auto"/>
          </w:divBdr>
        </w:div>
        <w:div w:id="935014725">
          <w:marLeft w:val="0"/>
          <w:marRight w:val="0"/>
          <w:marTop w:val="0"/>
          <w:marBottom w:val="0"/>
          <w:divBdr>
            <w:top w:val="none" w:sz="0" w:space="0" w:color="auto"/>
            <w:left w:val="none" w:sz="0" w:space="0" w:color="auto"/>
            <w:bottom w:val="none" w:sz="0" w:space="0" w:color="auto"/>
            <w:right w:val="none" w:sz="0" w:space="0" w:color="auto"/>
          </w:divBdr>
        </w:div>
        <w:div w:id="956790516">
          <w:marLeft w:val="0"/>
          <w:marRight w:val="0"/>
          <w:marTop w:val="0"/>
          <w:marBottom w:val="0"/>
          <w:divBdr>
            <w:top w:val="none" w:sz="0" w:space="0" w:color="auto"/>
            <w:left w:val="none" w:sz="0" w:space="0" w:color="auto"/>
            <w:bottom w:val="none" w:sz="0" w:space="0" w:color="auto"/>
            <w:right w:val="none" w:sz="0" w:space="0" w:color="auto"/>
          </w:divBdr>
        </w:div>
        <w:div w:id="961378622">
          <w:marLeft w:val="0"/>
          <w:marRight w:val="0"/>
          <w:marTop w:val="0"/>
          <w:marBottom w:val="0"/>
          <w:divBdr>
            <w:top w:val="none" w:sz="0" w:space="0" w:color="auto"/>
            <w:left w:val="none" w:sz="0" w:space="0" w:color="auto"/>
            <w:bottom w:val="none" w:sz="0" w:space="0" w:color="auto"/>
            <w:right w:val="none" w:sz="0" w:space="0" w:color="auto"/>
          </w:divBdr>
        </w:div>
        <w:div w:id="963072850">
          <w:marLeft w:val="0"/>
          <w:marRight w:val="0"/>
          <w:marTop w:val="0"/>
          <w:marBottom w:val="0"/>
          <w:divBdr>
            <w:top w:val="none" w:sz="0" w:space="0" w:color="auto"/>
            <w:left w:val="none" w:sz="0" w:space="0" w:color="auto"/>
            <w:bottom w:val="none" w:sz="0" w:space="0" w:color="auto"/>
            <w:right w:val="none" w:sz="0" w:space="0" w:color="auto"/>
          </w:divBdr>
        </w:div>
        <w:div w:id="969822605">
          <w:marLeft w:val="0"/>
          <w:marRight w:val="0"/>
          <w:marTop w:val="0"/>
          <w:marBottom w:val="0"/>
          <w:divBdr>
            <w:top w:val="none" w:sz="0" w:space="0" w:color="auto"/>
            <w:left w:val="none" w:sz="0" w:space="0" w:color="auto"/>
            <w:bottom w:val="none" w:sz="0" w:space="0" w:color="auto"/>
            <w:right w:val="none" w:sz="0" w:space="0" w:color="auto"/>
          </w:divBdr>
        </w:div>
        <w:div w:id="971599868">
          <w:marLeft w:val="0"/>
          <w:marRight w:val="0"/>
          <w:marTop w:val="0"/>
          <w:marBottom w:val="0"/>
          <w:divBdr>
            <w:top w:val="none" w:sz="0" w:space="0" w:color="auto"/>
            <w:left w:val="none" w:sz="0" w:space="0" w:color="auto"/>
            <w:bottom w:val="none" w:sz="0" w:space="0" w:color="auto"/>
            <w:right w:val="none" w:sz="0" w:space="0" w:color="auto"/>
          </w:divBdr>
        </w:div>
        <w:div w:id="973218231">
          <w:marLeft w:val="0"/>
          <w:marRight w:val="0"/>
          <w:marTop w:val="0"/>
          <w:marBottom w:val="0"/>
          <w:divBdr>
            <w:top w:val="none" w:sz="0" w:space="0" w:color="auto"/>
            <w:left w:val="none" w:sz="0" w:space="0" w:color="auto"/>
            <w:bottom w:val="none" w:sz="0" w:space="0" w:color="auto"/>
            <w:right w:val="none" w:sz="0" w:space="0" w:color="auto"/>
          </w:divBdr>
        </w:div>
        <w:div w:id="983436408">
          <w:marLeft w:val="0"/>
          <w:marRight w:val="0"/>
          <w:marTop w:val="0"/>
          <w:marBottom w:val="0"/>
          <w:divBdr>
            <w:top w:val="none" w:sz="0" w:space="0" w:color="auto"/>
            <w:left w:val="none" w:sz="0" w:space="0" w:color="auto"/>
            <w:bottom w:val="none" w:sz="0" w:space="0" w:color="auto"/>
            <w:right w:val="none" w:sz="0" w:space="0" w:color="auto"/>
          </w:divBdr>
        </w:div>
        <w:div w:id="985360357">
          <w:marLeft w:val="0"/>
          <w:marRight w:val="0"/>
          <w:marTop w:val="0"/>
          <w:marBottom w:val="0"/>
          <w:divBdr>
            <w:top w:val="none" w:sz="0" w:space="0" w:color="auto"/>
            <w:left w:val="none" w:sz="0" w:space="0" w:color="auto"/>
            <w:bottom w:val="none" w:sz="0" w:space="0" w:color="auto"/>
            <w:right w:val="none" w:sz="0" w:space="0" w:color="auto"/>
          </w:divBdr>
        </w:div>
        <w:div w:id="985818266">
          <w:marLeft w:val="0"/>
          <w:marRight w:val="0"/>
          <w:marTop w:val="0"/>
          <w:marBottom w:val="0"/>
          <w:divBdr>
            <w:top w:val="none" w:sz="0" w:space="0" w:color="auto"/>
            <w:left w:val="none" w:sz="0" w:space="0" w:color="auto"/>
            <w:bottom w:val="none" w:sz="0" w:space="0" w:color="auto"/>
            <w:right w:val="none" w:sz="0" w:space="0" w:color="auto"/>
          </w:divBdr>
        </w:div>
        <w:div w:id="1036583047">
          <w:marLeft w:val="0"/>
          <w:marRight w:val="0"/>
          <w:marTop w:val="0"/>
          <w:marBottom w:val="0"/>
          <w:divBdr>
            <w:top w:val="none" w:sz="0" w:space="0" w:color="auto"/>
            <w:left w:val="none" w:sz="0" w:space="0" w:color="auto"/>
            <w:bottom w:val="none" w:sz="0" w:space="0" w:color="auto"/>
            <w:right w:val="none" w:sz="0" w:space="0" w:color="auto"/>
          </w:divBdr>
        </w:div>
        <w:div w:id="1059864940">
          <w:marLeft w:val="0"/>
          <w:marRight w:val="0"/>
          <w:marTop w:val="0"/>
          <w:marBottom w:val="0"/>
          <w:divBdr>
            <w:top w:val="none" w:sz="0" w:space="0" w:color="auto"/>
            <w:left w:val="none" w:sz="0" w:space="0" w:color="auto"/>
            <w:bottom w:val="none" w:sz="0" w:space="0" w:color="auto"/>
            <w:right w:val="none" w:sz="0" w:space="0" w:color="auto"/>
          </w:divBdr>
        </w:div>
        <w:div w:id="1062413225">
          <w:marLeft w:val="0"/>
          <w:marRight w:val="0"/>
          <w:marTop w:val="0"/>
          <w:marBottom w:val="0"/>
          <w:divBdr>
            <w:top w:val="none" w:sz="0" w:space="0" w:color="auto"/>
            <w:left w:val="none" w:sz="0" w:space="0" w:color="auto"/>
            <w:bottom w:val="none" w:sz="0" w:space="0" w:color="auto"/>
            <w:right w:val="none" w:sz="0" w:space="0" w:color="auto"/>
          </w:divBdr>
        </w:div>
        <w:div w:id="1071662338">
          <w:marLeft w:val="0"/>
          <w:marRight w:val="0"/>
          <w:marTop w:val="0"/>
          <w:marBottom w:val="0"/>
          <w:divBdr>
            <w:top w:val="none" w:sz="0" w:space="0" w:color="auto"/>
            <w:left w:val="none" w:sz="0" w:space="0" w:color="auto"/>
            <w:bottom w:val="none" w:sz="0" w:space="0" w:color="auto"/>
            <w:right w:val="none" w:sz="0" w:space="0" w:color="auto"/>
          </w:divBdr>
        </w:div>
        <w:div w:id="1078668455">
          <w:marLeft w:val="0"/>
          <w:marRight w:val="0"/>
          <w:marTop w:val="0"/>
          <w:marBottom w:val="0"/>
          <w:divBdr>
            <w:top w:val="none" w:sz="0" w:space="0" w:color="auto"/>
            <w:left w:val="none" w:sz="0" w:space="0" w:color="auto"/>
            <w:bottom w:val="none" w:sz="0" w:space="0" w:color="auto"/>
            <w:right w:val="none" w:sz="0" w:space="0" w:color="auto"/>
          </w:divBdr>
        </w:div>
        <w:div w:id="1080635732">
          <w:marLeft w:val="0"/>
          <w:marRight w:val="0"/>
          <w:marTop w:val="0"/>
          <w:marBottom w:val="0"/>
          <w:divBdr>
            <w:top w:val="none" w:sz="0" w:space="0" w:color="auto"/>
            <w:left w:val="none" w:sz="0" w:space="0" w:color="auto"/>
            <w:bottom w:val="none" w:sz="0" w:space="0" w:color="auto"/>
            <w:right w:val="none" w:sz="0" w:space="0" w:color="auto"/>
          </w:divBdr>
        </w:div>
        <w:div w:id="1091779242">
          <w:marLeft w:val="0"/>
          <w:marRight w:val="0"/>
          <w:marTop w:val="0"/>
          <w:marBottom w:val="0"/>
          <w:divBdr>
            <w:top w:val="none" w:sz="0" w:space="0" w:color="auto"/>
            <w:left w:val="none" w:sz="0" w:space="0" w:color="auto"/>
            <w:bottom w:val="none" w:sz="0" w:space="0" w:color="auto"/>
            <w:right w:val="none" w:sz="0" w:space="0" w:color="auto"/>
          </w:divBdr>
        </w:div>
        <w:div w:id="1130048121">
          <w:marLeft w:val="0"/>
          <w:marRight w:val="0"/>
          <w:marTop w:val="0"/>
          <w:marBottom w:val="0"/>
          <w:divBdr>
            <w:top w:val="none" w:sz="0" w:space="0" w:color="auto"/>
            <w:left w:val="none" w:sz="0" w:space="0" w:color="auto"/>
            <w:bottom w:val="none" w:sz="0" w:space="0" w:color="auto"/>
            <w:right w:val="none" w:sz="0" w:space="0" w:color="auto"/>
          </w:divBdr>
        </w:div>
        <w:div w:id="1143087088">
          <w:marLeft w:val="0"/>
          <w:marRight w:val="0"/>
          <w:marTop w:val="0"/>
          <w:marBottom w:val="0"/>
          <w:divBdr>
            <w:top w:val="none" w:sz="0" w:space="0" w:color="auto"/>
            <w:left w:val="none" w:sz="0" w:space="0" w:color="auto"/>
            <w:bottom w:val="none" w:sz="0" w:space="0" w:color="auto"/>
            <w:right w:val="none" w:sz="0" w:space="0" w:color="auto"/>
          </w:divBdr>
        </w:div>
        <w:div w:id="1145312472">
          <w:marLeft w:val="0"/>
          <w:marRight w:val="0"/>
          <w:marTop w:val="0"/>
          <w:marBottom w:val="0"/>
          <w:divBdr>
            <w:top w:val="none" w:sz="0" w:space="0" w:color="auto"/>
            <w:left w:val="none" w:sz="0" w:space="0" w:color="auto"/>
            <w:bottom w:val="none" w:sz="0" w:space="0" w:color="auto"/>
            <w:right w:val="none" w:sz="0" w:space="0" w:color="auto"/>
          </w:divBdr>
        </w:div>
        <w:div w:id="1175068970">
          <w:marLeft w:val="0"/>
          <w:marRight w:val="0"/>
          <w:marTop w:val="0"/>
          <w:marBottom w:val="0"/>
          <w:divBdr>
            <w:top w:val="none" w:sz="0" w:space="0" w:color="auto"/>
            <w:left w:val="none" w:sz="0" w:space="0" w:color="auto"/>
            <w:bottom w:val="none" w:sz="0" w:space="0" w:color="auto"/>
            <w:right w:val="none" w:sz="0" w:space="0" w:color="auto"/>
          </w:divBdr>
        </w:div>
        <w:div w:id="1176262988">
          <w:marLeft w:val="0"/>
          <w:marRight w:val="0"/>
          <w:marTop w:val="0"/>
          <w:marBottom w:val="0"/>
          <w:divBdr>
            <w:top w:val="none" w:sz="0" w:space="0" w:color="auto"/>
            <w:left w:val="none" w:sz="0" w:space="0" w:color="auto"/>
            <w:bottom w:val="none" w:sz="0" w:space="0" w:color="auto"/>
            <w:right w:val="none" w:sz="0" w:space="0" w:color="auto"/>
          </w:divBdr>
        </w:div>
        <w:div w:id="1180657373">
          <w:marLeft w:val="0"/>
          <w:marRight w:val="0"/>
          <w:marTop w:val="0"/>
          <w:marBottom w:val="0"/>
          <w:divBdr>
            <w:top w:val="none" w:sz="0" w:space="0" w:color="auto"/>
            <w:left w:val="none" w:sz="0" w:space="0" w:color="auto"/>
            <w:bottom w:val="none" w:sz="0" w:space="0" w:color="auto"/>
            <w:right w:val="none" w:sz="0" w:space="0" w:color="auto"/>
          </w:divBdr>
        </w:div>
        <w:div w:id="1186359183">
          <w:marLeft w:val="0"/>
          <w:marRight w:val="0"/>
          <w:marTop w:val="0"/>
          <w:marBottom w:val="0"/>
          <w:divBdr>
            <w:top w:val="none" w:sz="0" w:space="0" w:color="auto"/>
            <w:left w:val="none" w:sz="0" w:space="0" w:color="auto"/>
            <w:bottom w:val="none" w:sz="0" w:space="0" w:color="auto"/>
            <w:right w:val="none" w:sz="0" w:space="0" w:color="auto"/>
          </w:divBdr>
        </w:div>
        <w:div w:id="1186671353">
          <w:marLeft w:val="0"/>
          <w:marRight w:val="0"/>
          <w:marTop w:val="0"/>
          <w:marBottom w:val="0"/>
          <w:divBdr>
            <w:top w:val="none" w:sz="0" w:space="0" w:color="auto"/>
            <w:left w:val="none" w:sz="0" w:space="0" w:color="auto"/>
            <w:bottom w:val="none" w:sz="0" w:space="0" w:color="auto"/>
            <w:right w:val="none" w:sz="0" w:space="0" w:color="auto"/>
          </w:divBdr>
        </w:div>
        <w:div w:id="1189221917">
          <w:marLeft w:val="0"/>
          <w:marRight w:val="0"/>
          <w:marTop w:val="0"/>
          <w:marBottom w:val="0"/>
          <w:divBdr>
            <w:top w:val="none" w:sz="0" w:space="0" w:color="auto"/>
            <w:left w:val="none" w:sz="0" w:space="0" w:color="auto"/>
            <w:bottom w:val="none" w:sz="0" w:space="0" w:color="auto"/>
            <w:right w:val="none" w:sz="0" w:space="0" w:color="auto"/>
          </w:divBdr>
        </w:div>
        <w:div w:id="1193424593">
          <w:marLeft w:val="0"/>
          <w:marRight w:val="0"/>
          <w:marTop w:val="0"/>
          <w:marBottom w:val="0"/>
          <w:divBdr>
            <w:top w:val="none" w:sz="0" w:space="0" w:color="auto"/>
            <w:left w:val="none" w:sz="0" w:space="0" w:color="auto"/>
            <w:bottom w:val="none" w:sz="0" w:space="0" w:color="auto"/>
            <w:right w:val="none" w:sz="0" w:space="0" w:color="auto"/>
          </w:divBdr>
        </w:div>
        <w:div w:id="1195465826">
          <w:marLeft w:val="0"/>
          <w:marRight w:val="0"/>
          <w:marTop w:val="0"/>
          <w:marBottom w:val="0"/>
          <w:divBdr>
            <w:top w:val="none" w:sz="0" w:space="0" w:color="auto"/>
            <w:left w:val="none" w:sz="0" w:space="0" w:color="auto"/>
            <w:bottom w:val="none" w:sz="0" w:space="0" w:color="auto"/>
            <w:right w:val="none" w:sz="0" w:space="0" w:color="auto"/>
          </w:divBdr>
        </w:div>
        <w:div w:id="1224752473">
          <w:marLeft w:val="0"/>
          <w:marRight w:val="0"/>
          <w:marTop w:val="0"/>
          <w:marBottom w:val="0"/>
          <w:divBdr>
            <w:top w:val="none" w:sz="0" w:space="0" w:color="auto"/>
            <w:left w:val="none" w:sz="0" w:space="0" w:color="auto"/>
            <w:bottom w:val="none" w:sz="0" w:space="0" w:color="auto"/>
            <w:right w:val="none" w:sz="0" w:space="0" w:color="auto"/>
          </w:divBdr>
        </w:div>
        <w:div w:id="1239291218">
          <w:marLeft w:val="0"/>
          <w:marRight w:val="0"/>
          <w:marTop w:val="0"/>
          <w:marBottom w:val="0"/>
          <w:divBdr>
            <w:top w:val="none" w:sz="0" w:space="0" w:color="auto"/>
            <w:left w:val="none" w:sz="0" w:space="0" w:color="auto"/>
            <w:bottom w:val="none" w:sz="0" w:space="0" w:color="auto"/>
            <w:right w:val="none" w:sz="0" w:space="0" w:color="auto"/>
          </w:divBdr>
        </w:div>
        <w:div w:id="1243175072">
          <w:marLeft w:val="0"/>
          <w:marRight w:val="0"/>
          <w:marTop w:val="0"/>
          <w:marBottom w:val="0"/>
          <w:divBdr>
            <w:top w:val="none" w:sz="0" w:space="0" w:color="auto"/>
            <w:left w:val="none" w:sz="0" w:space="0" w:color="auto"/>
            <w:bottom w:val="none" w:sz="0" w:space="0" w:color="auto"/>
            <w:right w:val="none" w:sz="0" w:space="0" w:color="auto"/>
          </w:divBdr>
        </w:div>
        <w:div w:id="1262027573">
          <w:marLeft w:val="0"/>
          <w:marRight w:val="0"/>
          <w:marTop w:val="0"/>
          <w:marBottom w:val="0"/>
          <w:divBdr>
            <w:top w:val="none" w:sz="0" w:space="0" w:color="auto"/>
            <w:left w:val="none" w:sz="0" w:space="0" w:color="auto"/>
            <w:bottom w:val="none" w:sz="0" w:space="0" w:color="auto"/>
            <w:right w:val="none" w:sz="0" w:space="0" w:color="auto"/>
          </w:divBdr>
        </w:div>
        <w:div w:id="1262102462">
          <w:marLeft w:val="0"/>
          <w:marRight w:val="0"/>
          <w:marTop w:val="0"/>
          <w:marBottom w:val="0"/>
          <w:divBdr>
            <w:top w:val="none" w:sz="0" w:space="0" w:color="auto"/>
            <w:left w:val="none" w:sz="0" w:space="0" w:color="auto"/>
            <w:bottom w:val="none" w:sz="0" w:space="0" w:color="auto"/>
            <w:right w:val="none" w:sz="0" w:space="0" w:color="auto"/>
          </w:divBdr>
        </w:div>
        <w:div w:id="1264650981">
          <w:marLeft w:val="0"/>
          <w:marRight w:val="0"/>
          <w:marTop w:val="0"/>
          <w:marBottom w:val="0"/>
          <w:divBdr>
            <w:top w:val="none" w:sz="0" w:space="0" w:color="auto"/>
            <w:left w:val="none" w:sz="0" w:space="0" w:color="auto"/>
            <w:bottom w:val="none" w:sz="0" w:space="0" w:color="auto"/>
            <w:right w:val="none" w:sz="0" w:space="0" w:color="auto"/>
          </w:divBdr>
        </w:div>
        <w:div w:id="1266691511">
          <w:marLeft w:val="0"/>
          <w:marRight w:val="0"/>
          <w:marTop w:val="0"/>
          <w:marBottom w:val="0"/>
          <w:divBdr>
            <w:top w:val="none" w:sz="0" w:space="0" w:color="auto"/>
            <w:left w:val="none" w:sz="0" w:space="0" w:color="auto"/>
            <w:bottom w:val="none" w:sz="0" w:space="0" w:color="auto"/>
            <w:right w:val="none" w:sz="0" w:space="0" w:color="auto"/>
          </w:divBdr>
        </w:div>
        <w:div w:id="1326133422">
          <w:marLeft w:val="0"/>
          <w:marRight w:val="0"/>
          <w:marTop w:val="0"/>
          <w:marBottom w:val="0"/>
          <w:divBdr>
            <w:top w:val="none" w:sz="0" w:space="0" w:color="auto"/>
            <w:left w:val="none" w:sz="0" w:space="0" w:color="auto"/>
            <w:bottom w:val="none" w:sz="0" w:space="0" w:color="auto"/>
            <w:right w:val="none" w:sz="0" w:space="0" w:color="auto"/>
          </w:divBdr>
        </w:div>
        <w:div w:id="1327636575">
          <w:marLeft w:val="0"/>
          <w:marRight w:val="0"/>
          <w:marTop w:val="0"/>
          <w:marBottom w:val="0"/>
          <w:divBdr>
            <w:top w:val="none" w:sz="0" w:space="0" w:color="auto"/>
            <w:left w:val="none" w:sz="0" w:space="0" w:color="auto"/>
            <w:bottom w:val="none" w:sz="0" w:space="0" w:color="auto"/>
            <w:right w:val="none" w:sz="0" w:space="0" w:color="auto"/>
          </w:divBdr>
        </w:div>
        <w:div w:id="1334726640">
          <w:marLeft w:val="0"/>
          <w:marRight w:val="0"/>
          <w:marTop w:val="0"/>
          <w:marBottom w:val="0"/>
          <w:divBdr>
            <w:top w:val="none" w:sz="0" w:space="0" w:color="auto"/>
            <w:left w:val="none" w:sz="0" w:space="0" w:color="auto"/>
            <w:bottom w:val="none" w:sz="0" w:space="0" w:color="auto"/>
            <w:right w:val="none" w:sz="0" w:space="0" w:color="auto"/>
          </w:divBdr>
        </w:div>
        <w:div w:id="1338383780">
          <w:marLeft w:val="0"/>
          <w:marRight w:val="0"/>
          <w:marTop w:val="0"/>
          <w:marBottom w:val="0"/>
          <w:divBdr>
            <w:top w:val="none" w:sz="0" w:space="0" w:color="auto"/>
            <w:left w:val="none" w:sz="0" w:space="0" w:color="auto"/>
            <w:bottom w:val="none" w:sz="0" w:space="0" w:color="auto"/>
            <w:right w:val="none" w:sz="0" w:space="0" w:color="auto"/>
          </w:divBdr>
        </w:div>
        <w:div w:id="1342007913">
          <w:marLeft w:val="0"/>
          <w:marRight w:val="0"/>
          <w:marTop w:val="0"/>
          <w:marBottom w:val="0"/>
          <w:divBdr>
            <w:top w:val="none" w:sz="0" w:space="0" w:color="auto"/>
            <w:left w:val="none" w:sz="0" w:space="0" w:color="auto"/>
            <w:bottom w:val="none" w:sz="0" w:space="0" w:color="auto"/>
            <w:right w:val="none" w:sz="0" w:space="0" w:color="auto"/>
          </w:divBdr>
        </w:div>
        <w:div w:id="1360619114">
          <w:marLeft w:val="0"/>
          <w:marRight w:val="0"/>
          <w:marTop w:val="0"/>
          <w:marBottom w:val="0"/>
          <w:divBdr>
            <w:top w:val="none" w:sz="0" w:space="0" w:color="auto"/>
            <w:left w:val="none" w:sz="0" w:space="0" w:color="auto"/>
            <w:bottom w:val="none" w:sz="0" w:space="0" w:color="auto"/>
            <w:right w:val="none" w:sz="0" w:space="0" w:color="auto"/>
          </w:divBdr>
        </w:div>
        <w:div w:id="1371802028">
          <w:marLeft w:val="0"/>
          <w:marRight w:val="0"/>
          <w:marTop w:val="0"/>
          <w:marBottom w:val="0"/>
          <w:divBdr>
            <w:top w:val="none" w:sz="0" w:space="0" w:color="auto"/>
            <w:left w:val="none" w:sz="0" w:space="0" w:color="auto"/>
            <w:bottom w:val="none" w:sz="0" w:space="0" w:color="auto"/>
            <w:right w:val="none" w:sz="0" w:space="0" w:color="auto"/>
          </w:divBdr>
        </w:div>
        <w:div w:id="1385131290">
          <w:marLeft w:val="0"/>
          <w:marRight w:val="0"/>
          <w:marTop w:val="0"/>
          <w:marBottom w:val="0"/>
          <w:divBdr>
            <w:top w:val="none" w:sz="0" w:space="0" w:color="auto"/>
            <w:left w:val="none" w:sz="0" w:space="0" w:color="auto"/>
            <w:bottom w:val="none" w:sz="0" w:space="0" w:color="auto"/>
            <w:right w:val="none" w:sz="0" w:space="0" w:color="auto"/>
          </w:divBdr>
        </w:div>
        <w:div w:id="1385448433">
          <w:marLeft w:val="0"/>
          <w:marRight w:val="0"/>
          <w:marTop w:val="0"/>
          <w:marBottom w:val="0"/>
          <w:divBdr>
            <w:top w:val="none" w:sz="0" w:space="0" w:color="auto"/>
            <w:left w:val="none" w:sz="0" w:space="0" w:color="auto"/>
            <w:bottom w:val="none" w:sz="0" w:space="0" w:color="auto"/>
            <w:right w:val="none" w:sz="0" w:space="0" w:color="auto"/>
          </w:divBdr>
        </w:div>
        <w:div w:id="1388989785">
          <w:marLeft w:val="0"/>
          <w:marRight w:val="0"/>
          <w:marTop w:val="0"/>
          <w:marBottom w:val="0"/>
          <w:divBdr>
            <w:top w:val="none" w:sz="0" w:space="0" w:color="auto"/>
            <w:left w:val="none" w:sz="0" w:space="0" w:color="auto"/>
            <w:bottom w:val="none" w:sz="0" w:space="0" w:color="auto"/>
            <w:right w:val="none" w:sz="0" w:space="0" w:color="auto"/>
          </w:divBdr>
        </w:div>
        <w:div w:id="1404571216">
          <w:marLeft w:val="0"/>
          <w:marRight w:val="0"/>
          <w:marTop w:val="0"/>
          <w:marBottom w:val="0"/>
          <w:divBdr>
            <w:top w:val="none" w:sz="0" w:space="0" w:color="auto"/>
            <w:left w:val="none" w:sz="0" w:space="0" w:color="auto"/>
            <w:bottom w:val="none" w:sz="0" w:space="0" w:color="auto"/>
            <w:right w:val="none" w:sz="0" w:space="0" w:color="auto"/>
          </w:divBdr>
        </w:div>
        <w:div w:id="1417554624">
          <w:marLeft w:val="0"/>
          <w:marRight w:val="0"/>
          <w:marTop w:val="0"/>
          <w:marBottom w:val="0"/>
          <w:divBdr>
            <w:top w:val="none" w:sz="0" w:space="0" w:color="auto"/>
            <w:left w:val="none" w:sz="0" w:space="0" w:color="auto"/>
            <w:bottom w:val="none" w:sz="0" w:space="0" w:color="auto"/>
            <w:right w:val="none" w:sz="0" w:space="0" w:color="auto"/>
          </w:divBdr>
        </w:div>
        <w:div w:id="1423917871">
          <w:marLeft w:val="0"/>
          <w:marRight w:val="0"/>
          <w:marTop w:val="0"/>
          <w:marBottom w:val="0"/>
          <w:divBdr>
            <w:top w:val="none" w:sz="0" w:space="0" w:color="auto"/>
            <w:left w:val="none" w:sz="0" w:space="0" w:color="auto"/>
            <w:bottom w:val="none" w:sz="0" w:space="0" w:color="auto"/>
            <w:right w:val="none" w:sz="0" w:space="0" w:color="auto"/>
          </w:divBdr>
        </w:div>
        <w:div w:id="1434400650">
          <w:marLeft w:val="0"/>
          <w:marRight w:val="0"/>
          <w:marTop w:val="0"/>
          <w:marBottom w:val="0"/>
          <w:divBdr>
            <w:top w:val="none" w:sz="0" w:space="0" w:color="auto"/>
            <w:left w:val="none" w:sz="0" w:space="0" w:color="auto"/>
            <w:bottom w:val="none" w:sz="0" w:space="0" w:color="auto"/>
            <w:right w:val="none" w:sz="0" w:space="0" w:color="auto"/>
          </w:divBdr>
        </w:div>
        <w:div w:id="1466196259">
          <w:marLeft w:val="0"/>
          <w:marRight w:val="0"/>
          <w:marTop w:val="0"/>
          <w:marBottom w:val="0"/>
          <w:divBdr>
            <w:top w:val="none" w:sz="0" w:space="0" w:color="auto"/>
            <w:left w:val="none" w:sz="0" w:space="0" w:color="auto"/>
            <w:bottom w:val="none" w:sz="0" w:space="0" w:color="auto"/>
            <w:right w:val="none" w:sz="0" w:space="0" w:color="auto"/>
          </w:divBdr>
        </w:div>
        <w:div w:id="1469937282">
          <w:marLeft w:val="0"/>
          <w:marRight w:val="0"/>
          <w:marTop w:val="0"/>
          <w:marBottom w:val="0"/>
          <w:divBdr>
            <w:top w:val="none" w:sz="0" w:space="0" w:color="auto"/>
            <w:left w:val="none" w:sz="0" w:space="0" w:color="auto"/>
            <w:bottom w:val="none" w:sz="0" w:space="0" w:color="auto"/>
            <w:right w:val="none" w:sz="0" w:space="0" w:color="auto"/>
          </w:divBdr>
        </w:div>
        <w:div w:id="1485008305">
          <w:marLeft w:val="0"/>
          <w:marRight w:val="0"/>
          <w:marTop w:val="0"/>
          <w:marBottom w:val="0"/>
          <w:divBdr>
            <w:top w:val="none" w:sz="0" w:space="0" w:color="auto"/>
            <w:left w:val="none" w:sz="0" w:space="0" w:color="auto"/>
            <w:bottom w:val="none" w:sz="0" w:space="0" w:color="auto"/>
            <w:right w:val="none" w:sz="0" w:space="0" w:color="auto"/>
          </w:divBdr>
        </w:div>
        <w:div w:id="1510828223">
          <w:marLeft w:val="0"/>
          <w:marRight w:val="0"/>
          <w:marTop w:val="0"/>
          <w:marBottom w:val="0"/>
          <w:divBdr>
            <w:top w:val="none" w:sz="0" w:space="0" w:color="auto"/>
            <w:left w:val="none" w:sz="0" w:space="0" w:color="auto"/>
            <w:bottom w:val="none" w:sz="0" w:space="0" w:color="auto"/>
            <w:right w:val="none" w:sz="0" w:space="0" w:color="auto"/>
          </w:divBdr>
        </w:div>
        <w:div w:id="1516503438">
          <w:marLeft w:val="0"/>
          <w:marRight w:val="0"/>
          <w:marTop w:val="0"/>
          <w:marBottom w:val="0"/>
          <w:divBdr>
            <w:top w:val="none" w:sz="0" w:space="0" w:color="auto"/>
            <w:left w:val="none" w:sz="0" w:space="0" w:color="auto"/>
            <w:bottom w:val="none" w:sz="0" w:space="0" w:color="auto"/>
            <w:right w:val="none" w:sz="0" w:space="0" w:color="auto"/>
          </w:divBdr>
        </w:div>
        <w:div w:id="1518234007">
          <w:marLeft w:val="0"/>
          <w:marRight w:val="0"/>
          <w:marTop w:val="0"/>
          <w:marBottom w:val="0"/>
          <w:divBdr>
            <w:top w:val="none" w:sz="0" w:space="0" w:color="auto"/>
            <w:left w:val="none" w:sz="0" w:space="0" w:color="auto"/>
            <w:bottom w:val="none" w:sz="0" w:space="0" w:color="auto"/>
            <w:right w:val="none" w:sz="0" w:space="0" w:color="auto"/>
          </w:divBdr>
        </w:div>
        <w:div w:id="1545170127">
          <w:marLeft w:val="0"/>
          <w:marRight w:val="0"/>
          <w:marTop w:val="0"/>
          <w:marBottom w:val="0"/>
          <w:divBdr>
            <w:top w:val="none" w:sz="0" w:space="0" w:color="auto"/>
            <w:left w:val="none" w:sz="0" w:space="0" w:color="auto"/>
            <w:bottom w:val="none" w:sz="0" w:space="0" w:color="auto"/>
            <w:right w:val="none" w:sz="0" w:space="0" w:color="auto"/>
          </w:divBdr>
        </w:div>
        <w:div w:id="1552228919">
          <w:marLeft w:val="0"/>
          <w:marRight w:val="0"/>
          <w:marTop w:val="0"/>
          <w:marBottom w:val="0"/>
          <w:divBdr>
            <w:top w:val="none" w:sz="0" w:space="0" w:color="auto"/>
            <w:left w:val="none" w:sz="0" w:space="0" w:color="auto"/>
            <w:bottom w:val="none" w:sz="0" w:space="0" w:color="auto"/>
            <w:right w:val="none" w:sz="0" w:space="0" w:color="auto"/>
          </w:divBdr>
        </w:div>
        <w:div w:id="1553157255">
          <w:marLeft w:val="0"/>
          <w:marRight w:val="0"/>
          <w:marTop w:val="0"/>
          <w:marBottom w:val="0"/>
          <w:divBdr>
            <w:top w:val="none" w:sz="0" w:space="0" w:color="auto"/>
            <w:left w:val="none" w:sz="0" w:space="0" w:color="auto"/>
            <w:bottom w:val="none" w:sz="0" w:space="0" w:color="auto"/>
            <w:right w:val="none" w:sz="0" w:space="0" w:color="auto"/>
          </w:divBdr>
        </w:div>
        <w:div w:id="1553887175">
          <w:marLeft w:val="0"/>
          <w:marRight w:val="0"/>
          <w:marTop w:val="0"/>
          <w:marBottom w:val="0"/>
          <w:divBdr>
            <w:top w:val="none" w:sz="0" w:space="0" w:color="auto"/>
            <w:left w:val="none" w:sz="0" w:space="0" w:color="auto"/>
            <w:bottom w:val="none" w:sz="0" w:space="0" w:color="auto"/>
            <w:right w:val="none" w:sz="0" w:space="0" w:color="auto"/>
          </w:divBdr>
        </w:div>
        <w:div w:id="1557736180">
          <w:marLeft w:val="0"/>
          <w:marRight w:val="0"/>
          <w:marTop w:val="0"/>
          <w:marBottom w:val="0"/>
          <w:divBdr>
            <w:top w:val="none" w:sz="0" w:space="0" w:color="auto"/>
            <w:left w:val="none" w:sz="0" w:space="0" w:color="auto"/>
            <w:bottom w:val="none" w:sz="0" w:space="0" w:color="auto"/>
            <w:right w:val="none" w:sz="0" w:space="0" w:color="auto"/>
          </w:divBdr>
        </w:div>
        <w:div w:id="1560239104">
          <w:marLeft w:val="0"/>
          <w:marRight w:val="0"/>
          <w:marTop w:val="0"/>
          <w:marBottom w:val="0"/>
          <w:divBdr>
            <w:top w:val="none" w:sz="0" w:space="0" w:color="auto"/>
            <w:left w:val="none" w:sz="0" w:space="0" w:color="auto"/>
            <w:bottom w:val="none" w:sz="0" w:space="0" w:color="auto"/>
            <w:right w:val="none" w:sz="0" w:space="0" w:color="auto"/>
          </w:divBdr>
        </w:div>
        <w:div w:id="1581711671">
          <w:marLeft w:val="0"/>
          <w:marRight w:val="0"/>
          <w:marTop w:val="0"/>
          <w:marBottom w:val="0"/>
          <w:divBdr>
            <w:top w:val="none" w:sz="0" w:space="0" w:color="auto"/>
            <w:left w:val="none" w:sz="0" w:space="0" w:color="auto"/>
            <w:bottom w:val="none" w:sz="0" w:space="0" w:color="auto"/>
            <w:right w:val="none" w:sz="0" w:space="0" w:color="auto"/>
          </w:divBdr>
        </w:div>
        <w:div w:id="1586068706">
          <w:marLeft w:val="0"/>
          <w:marRight w:val="0"/>
          <w:marTop w:val="0"/>
          <w:marBottom w:val="0"/>
          <w:divBdr>
            <w:top w:val="none" w:sz="0" w:space="0" w:color="auto"/>
            <w:left w:val="none" w:sz="0" w:space="0" w:color="auto"/>
            <w:bottom w:val="none" w:sz="0" w:space="0" w:color="auto"/>
            <w:right w:val="none" w:sz="0" w:space="0" w:color="auto"/>
          </w:divBdr>
        </w:div>
        <w:div w:id="1594588153">
          <w:marLeft w:val="0"/>
          <w:marRight w:val="0"/>
          <w:marTop w:val="0"/>
          <w:marBottom w:val="0"/>
          <w:divBdr>
            <w:top w:val="none" w:sz="0" w:space="0" w:color="auto"/>
            <w:left w:val="none" w:sz="0" w:space="0" w:color="auto"/>
            <w:bottom w:val="none" w:sz="0" w:space="0" w:color="auto"/>
            <w:right w:val="none" w:sz="0" w:space="0" w:color="auto"/>
          </w:divBdr>
          <w:divsChild>
            <w:div w:id="110708195">
              <w:marLeft w:val="0"/>
              <w:marRight w:val="0"/>
              <w:marTop w:val="0"/>
              <w:marBottom w:val="0"/>
              <w:divBdr>
                <w:top w:val="none" w:sz="0" w:space="0" w:color="auto"/>
                <w:left w:val="none" w:sz="0" w:space="0" w:color="auto"/>
                <w:bottom w:val="none" w:sz="0" w:space="0" w:color="auto"/>
                <w:right w:val="none" w:sz="0" w:space="0" w:color="auto"/>
              </w:divBdr>
            </w:div>
            <w:div w:id="356851333">
              <w:marLeft w:val="0"/>
              <w:marRight w:val="0"/>
              <w:marTop w:val="0"/>
              <w:marBottom w:val="0"/>
              <w:divBdr>
                <w:top w:val="none" w:sz="0" w:space="0" w:color="auto"/>
                <w:left w:val="none" w:sz="0" w:space="0" w:color="auto"/>
                <w:bottom w:val="none" w:sz="0" w:space="0" w:color="auto"/>
                <w:right w:val="none" w:sz="0" w:space="0" w:color="auto"/>
              </w:divBdr>
            </w:div>
            <w:div w:id="550338148">
              <w:marLeft w:val="0"/>
              <w:marRight w:val="0"/>
              <w:marTop w:val="0"/>
              <w:marBottom w:val="0"/>
              <w:divBdr>
                <w:top w:val="none" w:sz="0" w:space="0" w:color="auto"/>
                <w:left w:val="none" w:sz="0" w:space="0" w:color="auto"/>
                <w:bottom w:val="none" w:sz="0" w:space="0" w:color="auto"/>
                <w:right w:val="none" w:sz="0" w:space="0" w:color="auto"/>
              </w:divBdr>
            </w:div>
            <w:div w:id="758021332">
              <w:marLeft w:val="0"/>
              <w:marRight w:val="0"/>
              <w:marTop w:val="0"/>
              <w:marBottom w:val="0"/>
              <w:divBdr>
                <w:top w:val="none" w:sz="0" w:space="0" w:color="auto"/>
                <w:left w:val="none" w:sz="0" w:space="0" w:color="auto"/>
                <w:bottom w:val="none" w:sz="0" w:space="0" w:color="auto"/>
                <w:right w:val="none" w:sz="0" w:space="0" w:color="auto"/>
              </w:divBdr>
            </w:div>
            <w:div w:id="825632949">
              <w:marLeft w:val="0"/>
              <w:marRight w:val="0"/>
              <w:marTop w:val="0"/>
              <w:marBottom w:val="0"/>
              <w:divBdr>
                <w:top w:val="none" w:sz="0" w:space="0" w:color="auto"/>
                <w:left w:val="none" w:sz="0" w:space="0" w:color="auto"/>
                <w:bottom w:val="none" w:sz="0" w:space="0" w:color="auto"/>
                <w:right w:val="none" w:sz="0" w:space="0" w:color="auto"/>
              </w:divBdr>
            </w:div>
            <w:div w:id="850026915">
              <w:marLeft w:val="0"/>
              <w:marRight w:val="0"/>
              <w:marTop w:val="0"/>
              <w:marBottom w:val="0"/>
              <w:divBdr>
                <w:top w:val="none" w:sz="0" w:space="0" w:color="auto"/>
                <w:left w:val="none" w:sz="0" w:space="0" w:color="auto"/>
                <w:bottom w:val="none" w:sz="0" w:space="0" w:color="auto"/>
                <w:right w:val="none" w:sz="0" w:space="0" w:color="auto"/>
              </w:divBdr>
            </w:div>
            <w:div w:id="927152596">
              <w:marLeft w:val="0"/>
              <w:marRight w:val="0"/>
              <w:marTop w:val="0"/>
              <w:marBottom w:val="0"/>
              <w:divBdr>
                <w:top w:val="none" w:sz="0" w:space="0" w:color="auto"/>
                <w:left w:val="none" w:sz="0" w:space="0" w:color="auto"/>
                <w:bottom w:val="none" w:sz="0" w:space="0" w:color="auto"/>
                <w:right w:val="none" w:sz="0" w:space="0" w:color="auto"/>
              </w:divBdr>
            </w:div>
            <w:div w:id="1388912316">
              <w:marLeft w:val="0"/>
              <w:marRight w:val="0"/>
              <w:marTop w:val="0"/>
              <w:marBottom w:val="0"/>
              <w:divBdr>
                <w:top w:val="none" w:sz="0" w:space="0" w:color="auto"/>
                <w:left w:val="none" w:sz="0" w:space="0" w:color="auto"/>
                <w:bottom w:val="none" w:sz="0" w:space="0" w:color="auto"/>
                <w:right w:val="none" w:sz="0" w:space="0" w:color="auto"/>
              </w:divBdr>
            </w:div>
            <w:div w:id="1421173648">
              <w:marLeft w:val="0"/>
              <w:marRight w:val="0"/>
              <w:marTop w:val="0"/>
              <w:marBottom w:val="0"/>
              <w:divBdr>
                <w:top w:val="none" w:sz="0" w:space="0" w:color="auto"/>
                <w:left w:val="none" w:sz="0" w:space="0" w:color="auto"/>
                <w:bottom w:val="none" w:sz="0" w:space="0" w:color="auto"/>
                <w:right w:val="none" w:sz="0" w:space="0" w:color="auto"/>
              </w:divBdr>
            </w:div>
            <w:div w:id="1663776120">
              <w:marLeft w:val="0"/>
              <w:marRight w:val="0"/>
              <w:marTop w:val="0"/>
              <w:marBottom w:val="0"/>
              <w:divBdr>
                <w:top w:val="none" w:sz="0" w:space="0" w:color="auto"/>
                <w:left w:val="none" w:sz="0" w:space="0" w:color="auto"/>
                <w:bottom w:val="none" w:sz="0" w:space="0" w:color="auto"/>
                <w:right w:val="none" w:sz="0" w:space="0" w:color="auto"/>
              </w:divBdr>
            </w:div>
            <w:div w:id="1678532380">
              <w:marLeft w:val="0"/>
              <w:marRight w:val="0"/>
              <w:marTop w:val="0"/>
              <w:marBottom w:val="0"/>
              <w:divBdr>
                <w:top w:val="none" w:sz="0" w:space="0" w:color="auto"/>
                <w:left w:val="none" w:sz="0" w:space="0" w:color="auto"/>
                <w:bottom w:val="none" w:sz="0" w:space="0" w:color="auto"/>
                <w:right w:val="none" w:sz="0" w:space="0" w:color="auto"/>
              </w:divBdr>
            </w:div>
            <w:div w:id="1692148137">
              <w:marLeft w:val="0"/>
              <w:marRight w:val="0"/>
              <w:marTop w:val="0"/>
              <w:marBottom w:val="0"/>
              <w:divBdr>
                <w:top w:val="none" w:sz="0" w:space="0" w:color="auto"/>
                <w:left w:val="none" w:sz="0" w:space="0" w:color="auto"/>
                <w:bottom w:val="none" w:sz="0" w:space="0" w:color="auto"/>
                <w:right w:val="none" w:sz="0" w:space="0" w:color="auto"/>
              </w:divBdr>
            </w:div>
            <w:div w:id="1719082809">
              <w:marLeft w:val="0"/>
              <w:marRight w:val="0"/>
              <w:marTop w:val="0"/>
              <w:marBottom w:val="0"/>
              <w:divBdr>
                <w:top w:val="none" w:sz="0" w:space="0" w:color="auto"/>
                <w:left w:val="none" w:sz="0" w:space="0" w:color="auto"/>
                <w:bottom w:val="none" w:sz="0" w:space="0" w:color="auto"/>
                <w:right w:val="none" w:sz="0" w:space="0" w:color="auto"/>
              </w:divBdr>
            </w:div>
            <w:div w:id="1732389744">
              <w:marLeft w:val="0"/>
              <w:marRight w:val="0"/>
              <w:marTop w:val="0"/>
              <w:marBottom w:val="0"/>
              <w:divBdr>
                <w:top w:val="none" w:sz="0" w:space="0" w:color="auto"/>
                <w:left w:val="none" w:sz="0" w:space="0" w:color="auto"/>
                <w:bottom w:val="none" w:sz="0" w:space="0" w:color="auto"/>
                <w:right w:val="none" w:sz="0" w:space="0" w:color="auto"/>
              </w:divBdr>
            </w:div>
            <w:div w:id="1738431850">
              <w:marLeft w:val="0"/>
              <w:marRight w:val="0"/>
              <w:marTop w:val="0"/>
              <w:marBottom w:val="0"/>
              <w:divBdr>
                <w:top w:val="none" w:sz="0" w:space="0" w:color="auto"/>
                <w:left w:val="none" w:sz="0" w:space="0" w:color="auto"/>
                <w:bottom w:val="none" w:sz="0" w:space="0" w:color="auto"/>
                <w:right w:val="none" w:sz="0" w:space="0" w:color="auto"/>
              </w:divBdr>
            </w:div>
            <w:div w:id="1770589601">
              <w:marLeft w:val="0"/>
              <w:marRight w:val="0"/>
              <w:marTop w:val="0"/>
              <w:marBottom w:val="0"/>
              <w:divBdr>
                <w:top w:val="none" w:sz="0" w:space="0" w:color="auto"/>
                <w:left w:val="none" w:sz="0" w:space="0" w:color="auto"/>
                <w:bottom w:val="none" w:sz="0" w:space="0" w:color="auto"/>
                <w:right w:val="none" w:sz="0" w:space="0" w:color="auto"/>
              </w:divBdr>
            </w:div>
            <w:div w:id="1815177241">
              <w:marLeft w:val="0"/>
              <w:marRight w:val="0"/>
              <w:marTop w:val="0"/>
              <w:marBottom w:val="0"/>
              <w:divBdr>
                <w:top w:val="none" w:sz="0" w:space="0" w:color="auto"/>
                <w:left w:val="none" w:sz="0" w:space="0" w:color="auto"/>
                <w:bottom w:val="none" w:sz="0" w:space="0" w:color="auto"/>
                <w:right w:val="none" w:sz="0" w:space="0" w:color="auto"/>
              </w:divBdr>
            </w:div>
            <w:div w:id="1821312673">
              <w:marLeft w:val="0"/>
              <w:marRight w:val="0"/>
              <w:marTop w:val="0"/>
              <w:marBottom w:val="0"/>
              <w:divBdr>
                <w:top w:val="none" w:sz="0" w:space="0" w:color="auto"/>
                <w:left w:val="none" w:sz="0" w:space="0" w:color="auto"/>
                <w:bottom w:val="none" w:sz="0" w:space="0" w:color="auto"/>
                <w:right w:val="none" w:sz="0" w:space="0" w:color="auto"/>
              </w:divBdr>
            </w:div>
            <w:div w:id="1838186137">
              <w:marLeft w:val="0"/>
              <w:marRight w:val="0"/>
              <w:marTop w:val="0"/>
              <w:marBottom w:val="0"/>
              <w:divBdr>
                <w:top w:val="none" w:sz="0" w:space="0" w:color="auto"/>
                <w:left w:val="none" w:sz="0" w:space="0" w:color="auto"/>
                <w:bottom w:val="none" w:sz="0" w:space="0" w:color="auto"/>
                <w:right w:val="none" w:sz="0" w:space="0" w:color="auto"/>
              </w:divBdr>
            </w:div>
            <w:div w:id="1870753912">
              <w:marLeft w:val="0"/>
              <w:marRight w:val="0"/>
              <w:marTop w:val="0"/>
              <w:marBottom w:val="0"/>
              <w:divBdr>
                <w:top w:val="none" w:sz="0" w:space="0" w:color="auto"/>
                <w:left w:val="none" w:sz="0" w:space="0" w:color="auto"/>
                <w:bottom w:val="none" w:sz="0" w:space="0" w:color="auto"/>
                <w:right w:val="none" w:sz="0" w:space="0" w:color="auto"/>
              </w:divBdr>
            </w:div>
          </w:divsChild>
        </w:div>
        <w:div w:id="1601644492">
          <w:marLeft w:val="0"/>
          <w:marRight w:val="0"/>
          <w:marTop w:val="0"/>
          <w:marBottom w:val="0"/>
          <w:divBdr>
            <w:top w:val="none" w:sz="0" w:space="0" w:color="auto"/>
            <w:left w:val="none" w:sz="0" w:space="0" w:color="auto"/>
            <w:bottom w:val="none" w:sz="0" w:space="0" w:color="auto"/>
            <w:right w:val="none" w:sz="0" w:space="0" w:color="auto"/>
          </w:divBdr>
        </w:div>
        <w:div w:id="1611744533">
          <w:marLeft w:val="0"/>
          <w:marRight w:val="0"/>
          <w:marTop w:val="0"/>
          <w:marBottom w:val="0"/>
          <w:divBdr>
            <w:top w:val="none" w:sz="0" w:space="0" w:color="auto"/>
            <w:left w:val="none" w:sz="0" w:space="0" w:color="auto"/>
            <w:bottom w:val="none" w:sz="0" w:space="0" w:color="auto"/>
            <w:right w:val="none" w:sz="0" w:space="0" w:color="auto"/>
          </w:divBdr>
        </w:div>
        <w:div w:id="1615402231">
          <w:marLeft w:val="0"/>
          <w:marRight w:val="0"/>
          <w:marTop w:val="0"/>
          <w:marBottom w:val="0"/>
          <w:divBdr>
            <w:top w:val="none" w:sz="0" w:space="0" w:color="auto"/>
            <w:left w:val="none" w:sz="0" w:space="0" w:color="auto"/>
            <w:bottom w:val="none" w:sz="0" w:space="0" w:color="auto"/>
            <w:right w:val="none" w:sz="0" w:space="0" w:color="auto"/>
          </w:divBdr>
        </w:div>
        <w:div w:id="1627814614">
          <w:marLeft w:val="0"/>
          <w:marRight w:val="0"/>
          <w:marTop w:val="0"/>
          <w:marBottom w:val="0"/>
          <w:divBdr>
            <w:top w:val="none" w:sz="0" w:space="0" w:color="auto"/>
            <w:left w:val="none" w:sz="0" w:space="0" w:color="auto"/>
            <w:bottom w:val="none" w:sz="0" w:space="0" w:color="auto"/>
            <w:right w:val="none" w:sz="0" w:space="0" w:color="auto"/>
          </w:divBdr>
        </w:div>
        <w:div w:id="1640114859">
          <w:marLeft w:val="0"/>
          <w:marRight w:val="0"/>
          <w:marTop w:val="0"/>
          <w:marBottom w:val="0"/>
          <w:divBdr>
            <w:top w:val="none" w:sz="0" w:space="0" w:color="auto"/>
            <w:left w:val="none" w:sz="0" w:space="0" w:color="auto"/>
            <w:bottom w:val="none" w:sz="0" w:space="0" w:color="auto"/>
            <w:right w:val="none" w:sz="0" w:space="0" w:color="auto"/>
          </w:divBdr>
        </w:div>
        <w:div w:id="1640457989">
          <w:marLeft w:val="0"/>
          <w:marRight w:val="0"/>
          <w:marTop w:val="0"/>
          <w:marBottom w:val="0"/>
          <w:divBdr>
            <w:top w:val="none" w:sz="0" w:space="0" w:color="auto"/>
            <w:left w:val="none" w:sz="0" w:space="0" w:color="auto"/>
            <w:bottom w:val="none" w:sz="0" w:space="0" w:color="auto"/>
            <w:right w:val="none" w:sz="0" w:space="0" w:color="auto"/>
          </w:divBdr>
        </w:div>
        <w:div w:id="1642421897">
          <w:marLeft w:val="0"/>
          <w:marRight w:val="0"/>
          <w:marTop w:val="0"/>
          <w:marBottom w:val="0"/>
          <w:divBdr>
            <w:top w:val="none" w:sz="0" w:space="0" w:color="auto"/>
            <w:left w:val="none" w:sz="0" w:space="0" w:color="auto"/>
            <w:bottom w:val="none" w:sz="0" w:space="0" w:color="auto"/>
            <w:right w:val="none" w:sz="0" w:space="0" w:color="auto"/>
          </w:divBdr>
        </w:div>
        <w:div w:id="1686321237">
          <w:marLeft w:val="0"/>
          <w:marRight w:val="0"/>
          <w:marTop w:val="0"/>
          <w:marBottom w:val="0"/>
          <w:divBdr>
            <w:top w:val="none" w:sz="0" w:space="0" w:color="auto"/>
            <w:left w:val="none" w:sz="0" w:space="0" w:color="auto"/>
            <w:bottom w:val="none" w:sz="0" w:space="0" w:color="auto"/>
            <w:right w:val="none" w:sz="0" w:space="0" w:color="auto"/>
          </w:divBdr>
        </w:div>
        <w:div w:id="1690132840">
          <w:marLeft w:val="0"/>
          <w:marRight w:val="0"/>
          <w:marTop w:val="0"/>
          <w:marBottom w:val="0"/>
          <w:divBdr>
            <w:top w:val="none" w:sz="0" w:space="0" w:color="auto"/>
            <w:left w:val="none" w:sz="0" w:space="0" w:color="auto"/>
            <w:bottom w:val="none" w:sz="0" w:space="0" w:color="auto"/>
            <w:right w:val="none" w:sz="0" w:space="0" w:color="auto"/>
          </w:divBdr>
        </w:div>
        <w:div w:id="1692493844">
          <w:marLeft w:val="0"/>
          <w:marRight w:val="0"/>
          <w:marTop w:val="0"/>
          <w:marBottom w:val="0"/>
          <w:divBdr>
            <w:top w:val="none" w:sz="0" w:space="0" w:color="auto"/>
            <w:left w:val="none" w:sz="0" w:space="0" w:color="auto"/>
            <w:bottom w:val="none" w:sz="0" w:space="0" w:color="auto"/>
            <w:right w:val="none" w:sz="0" w:space="0" w:color="auto"/>
          </w:divBdr>
        </w:div>
        <w:div w:id="1709866372">
          <w:marLeft w:val="0"/>
          <w:marRight w:val="0"/>
          <w:marTop w:val="0"/>
          <w:marBottom w:val="0"/>
          <w:divBdr>
            <w:top w:val="none" w:sz="0" w:space="0" w:color="auto"/>
            <w:left w:val="none" w:sz="0" w:space="0" w:color="auto"/>
            <w:bottom w:val="none" w:sz="0" w:space="0" w:color="auto"/>
            <w:right w:val="none" w:sz="0" w:space="0" w:color="auto"/>
          </w:divBdr>
        </w:div>
        <w:div w:id="1720350374">
          <w:marLeft w:val="0"/>
          <w:marRight w:val="0"/>
          <w:marTop w:val="0"/>
          <w:marBottom w:val="0"/>
          <w:divBdr>
            <w:top w:val="none" w:sz="0" w:space="0" w:color="auto"/>
            <w:left w:val="none" w:sz="0" w:space="0" w:color="auto"/>
            <w:bottom w:val="none" w:sz="0" w:space="0" w:color="auto"/>
            <w:right w:val="none" w:sz="0" w:space="0" w:color="auto"/>
          </w:divBdr>
        </w:div>
        <w:div w:id="1723361076">
          <w:marLeft w:val="0"/>
          <w:marRight w:val="0"/>
          <w:marTop w:val="0"/>
          <w:marBottom w:val="0"/>
          <w:divBdr>
            <w:top w:val="none" w:sz="0" w:space="0" w:color="auto"/>
            <w:left w:val="none" w:sz="0" w:space="0" w:color="auto"/>
            <w:bottom w:val="none" w:sz="0" w:space="0" w:color="auto"/>
            <w:right w:val="none" w:sz="0" w:space="0" w:color="auto"/>
          </w:divBdr>
        </w:div>
        <w:div w:id="1733625538">
          <w:marLeft w:val="0"/>
          <w:marRight w:val="0"/>
          <w:marTop w:val="0"/>
          <w:marBottom w:val="0"/>
          <w:divBdr>
            <w:top w:val="none" w:sz="0" w:space="0" w:color="auto"/>
            <w:left w:val="none" w:sz="0" w:space="0" w:color="auto"/>
            <w:bottom w:val="none" w:sz="0" w:space="0" w:color="auto"/>
            <w:right w:val="none" w:sz="0" w:space="0" w:color="auto"/>
          </w:divBdr>
        </w:div>
        <w:div w:id="1742944248">
          <w:marLeft w:val="0"/>
          <w:marRight w:val="0"/>
          <w:marTop w:val="0"/>
          <w:marBottom w:val="0"/>
          <w:divBdr>
            <w:top w:val="none" w:sz="0" w:space="0" w:color="auto"/>
            <w:left w:val="none" w:sz="0" w:space="0" w:color="auto"/>
            <w:bottom w:val="none" w:sz="0" w:space="0" w:color="auto"/>
            <w:right w:val="none" w:sz="0" w:space="0" w:color="auto"/>
          </w:divBdr>
        </w:div>
        <w:div w:id="1746998982">
          <w:marLeft w:val="0"/>
          <w:marRight w:val="0"/>
          <w:marTop w:val="0"/>
          <w:marBottom w:val="0"/>
          <w:divBdr>
            <w:top w:val="none" w:sz="0" w:space="0" w:color="auto"/>
            <w:left w:val="none" w:sz="0" w:space="0" w:color="auto"/>
            <w:bottom w:val="none" w:sz="0" w:space="0" w:color="auto"/>
            <w:right w:val="none" w:sz="0" w:space="0" w:color="auto"/>
          </w:divBdr>
        </w:div>
        <w:div w:id="1757169543">
          <w:marLeft w:val="0"/>
          <w:marRight w:val="0"/>
          <w:marTop w:val="0"/>
          <w:marBottom w:val="0"/>
          <w:divBdr>
            <w:top w:val="none" w:sz="0" w:space="0" w:color="auto"/>
            <w:left w:val="none" w:sz="0" w:space="0" w:color="auto"/>
            <w:bottom w:val="none" w:sz="0" w:space="0" w:color="auto"/>
            <w:right w:val="none" w:sz="0" w:space="0" w:color="auto"/>
          </w:divBdr>
        </w:div>
        <w:div w:id="1766531976">
          <w:marLeft w:val="0"/>
          <w:marRight w:val="0"/>
          <w:marTop w:val="0"/>
          <w:marBottom w:val="0"/>
          <w:divBdr>
            <w:top w:val="none" w:sz="0" w:space="0" w:color="auto"/>
            <w:left w:val="none" w:sz="0" w:space="0" w:color="auto"/>
            <w:bottom w:val="none" w:sz="0" w:space="0" w:color="auto"/>
            <w:right w:val="none" w:sz="0" w:space="0" w:color="auto"/>
          </w:divBdr>
        </w:div>
        <w:div w:id="1771008135">
          <w:marLeft w:val="0"/>
          <w:marRight w:val="0"/>
          <w:marTop w:val="0"/>
          <w:marBottom w:val="0"/>
          <w:divBdr>
            <w:top w:val="none" w:sz="0" w:space="0" w:color="auto"/>
            <w:left w:val="none" w:sz="0" w:space="0" w:color="auto"/>
            <w:bottom w:val="none" w:sz="0" w:space="0" w:color="auto"/>
            <w:right w:val="none" w:sz="0" w:space="0" w:color="auto"/>
          </w:divBdr>
        </w:div>
        <w:div w:id="1792432117">
          <w:marLeft w:val="0"/>
          <w:marRight w:val="0"/>
          <w:marTop w:val="0"/>
          <w:marBottom w:val="0"/>
          <w:divBdr>
            <w:top w:val="none" w:sz="0" w:space="0" w:color="auto"/>
            <w:left w:val="none" w:sz="0" w:space="0" w:color="auto"/>
            <w:bottom w:val="none" w:sz="0" w:space="0" w:color="auto"/>
            <w:right w:val="none" w:sz="0" w:space="0" w:color="auto"/>
          </w:divBdr>
        </w:div>
        <w:div w:id="1800144909">
          <w:marLeft w:val="0"/>
          <w:marRight w:val="0"/>
          <w:marTop w:val="0"/>
          <w:marBottom w:val="0"/>
          <w:divBdr>
            <w:top w:val="none" w:sz="0" w:space="0" w:color="auto"/>
            <w:left w:val="none" w:sz="0" w:space="0" w:color="auto"/>
            <w:bottom w:val="none" w:sz="0" w:space="0" w:color="auto"/>
            <w:right w:val="none" w:sz="0" w:space="0" w:color="auto"/>
          </w:divBdr>
        </w:div>
        <w:div w:id="1803231151">
          <w:marLeft w:val="0"/>
          <w:marRight w:val="0"/>
          <w:marTop w:val="0"/>
          <w:marBottom w:val="0"/>
          <w:divBdr>
            <w:top w:val="none" w:sz="0" w:space="0" w:color="auto"/>
            <w:left w:val="none" w:sz="0" w:space="0" w:color="auto"/>
            <w:bottom w:val="none" w:sz="0" w:space="0" w:color="auto"/>
            <w:right w:val="none" w:sz="0" w:space="0" w:color="auto"/>
          </w:divBdr>
        </w:div>
        <w:div w:id="1803498020">
          <w:marLeft w:val="0"/>
          <w:marRight w:val="0"/>
          <w:marTop w:val="0"/>
          <w:marBottom w:val="0"/>
          <w:divBdr>
            <w:top w:val="none" w:sz="0" w:space="0" w:color="auto"/>
            <w:left w:val="none" w:sz="0" w:space="0" w:color="auto"/>
            <w:bottom w:val="none" w:sz="0" w:space="0" w:color="auto"/>
            <w:right w:val="none" w:sz="0" w:space="0" w:color="auto"/>
          </w:divBdr>
        </w:div>
        <w:div w:id="1842888420">
          <w:marLeft w:val="0"/>
          <w:marRight w:val="0"/>
          <w:marTop w:val="0"/>
          <w:marBottom w:val="0"/>
          <w:divBdr>
            <w:top w:val="none" w:sz="0" w:space="0" w:color="auto"/>
            <w:left w:val="none" w:sz="0" w:space="0" w:color="auto"/>
            <w:bottom w:val="none" w:sz="0" w:space="0" w:color="auto"/>
            <w:right w:val="none" w:sz="0" w:space="0" w:color="auto"/>
          </w:divBdr>
          <w:divsChild>
            <w:div w:id="58752026">
              <w:marLeft w:val="0"/>
              <w:marRight w:val="0"/>
              <w:marTop w:val="0"/>
              <w:marBottom w:val="0"/>
              <w:divBdr>
                <w:top w:val="none" w:sz="0" w:space="0" w:color="auto"/>
                <w:left w:val="none" w:sz="0" w:space="0" w:color="auto"/>
                <w:bottom w:val="none" w:sz="0" w:space="0" w:color="auto"/>
                <w:right w:val="none" w:sz="0" w:space="0" w:color="auto"/>
              </w:divBdr>
            </w:div>
            <w:div w:id="202178959">
              <w:marLeft w:val="0"/>
              <w:marRight w:val="0"/>
              <w:marTop w:val="0"/>
              <w:marBottom w:val="0"/>
              <w:divBdr>
                <w:top w:val="none" w:sz="0" w:space="0" w:color="auto"/>
                <w:left w:val="none" w:sz="0" w:space="0" w:color="auto"/>
                <w:bottom w:val="none" w:sz="0" w:space="0" w:color="auto"/>
                <w:right w:val="none" w:sz="0" w:space="0" w:color="auto"/>
              </w:divBdr>
            </w:div>
            <w:div w:id="306739115">
              <w:marLeft w:val="0"/>
              <w:marRight w:val="0"/>
              <w:marTop w:val="0"/>
              <w:marBottom w:val="0"/>
              <w:divBdr>
                <w:top w:val="none" w:sz="0" w:space="0" w:color="auto"/>
                <w:left w:val="none" w:sz="0" w:space="0" w:color="auto"/>
                <w:bottom w:val="none" w:sz="0" w:space="0" w:color="auto"/>
                <w:right w:val="none" w:sz="0" w:space="0" w:color="auto"/>
              </w:divBdr>
            </w:div>
            <w:div w:id="495147628">
              <w:marLeft w:val="0"/>
              <w:marRight w:val="0"/>
              <w:marTop w:val="0"/>
              <w:marBottom w:val="0"/>
              <w:divBdr>
                <w:top w:val="none" w:sz="0" w:space="0" w:color="auto"/>
                <w:left w:val="none" w:sz="0" w:space="0" w:color="auto"/>
                <w:bottom w:val="none" w:sz="0" w:space="0" w:color="auto"/>
                <w:right w:val="none" w:sz="0" w:space="0" w:color="auto"/>
              </w:divBdr>
            </w:div>
            <w:div w:id="513956402">
              <w:marLeft w:val="0"/>
              <w:marRight w:val="0"/>
              <w:marTop w:val="0"/>
              <w:marBottom w:val="0"/>
              <w:divBdr>
                <w:top w:val="none" w:sz="0" w:space="0" w:color="auto"/>
                <w:left w:val="none" w:sz="0" w:space="0" w:color="auto"/>
                <w:bottom w:val="none" w:sz="0" w:space="0" w:color="auto"/>
                <w:right w:val="none" w:sz="0" w:space="0" w:color="auto"/>
              </w:divBdr>
            </w:div>
            <w:div w:id="565339553">
              <w:marLeft w:val="0"/>
              <w:marRight w:val="0"/>
              <w:marTop w:val="0"/>
              <w:marBottom w:val="0"/>
              <w:divBdr>
                <w:top w:val="none" w:sz="0" w:space="0" w:color="auto"/>
                <w:left w:val="none" w:sz="0" w:space="0" w:color="auto"/>
                <w:bottom w:val="none" w:sz="0" w:space="0" w:color="auto"/>
                <w:right w:val="none" w:sz="0" w:space="0" w:color="auto"/>
              </w:divBdr>
            </w:div>
            <w:div w:id="1021130775">
              <w:marLeft w:val="0"/>
              <w:marRight w:val="0"/>
              <w:marTop w:val="0"/>
              <w:marBottom w:val="0"/>
              <w:divBdr>
                <w:top w:val="none" w:sz="0" w:space="0" w:color="auto"/>
                <w:left w:val="none" w:sz="0" w:space="0" w:color="auto"/>
                <w:bottom w:val="none" w:sz="0" w:space="0" w:color="auto"/>
                <w:right w:val="none" w:sz="0" w:space="0" w:color="auto"/>
              </w:divBdr>
            </w:div>
            <w:div w:id="1158889088">
              <w:marLeft w:val="0"/>
              <w:marRight w:val="0"/>
              <w:marTop w:val="0"/>
              <w:marBottom w:val="0"/>
              <w:divBdr>
                <w:top w:val="none" w:sz="0" w:space="0" w:color="auto"/>
                <w:left w:val="none" w:sz="0" w:space="0" w:color="auto"/>
                <w:bottom w:val="none" w:sz="0" w:space="0" w:color="auto"/>
                <w:right w:val="none" w:sz="0" w:space="0" w:color="auto"/>
              </w:divBdr>
            </w:div>
            <w:div w:id="1368992567">
              <w:marLeft w:val="0"/>
              <w:marRight w:val="0"/>
              <w:marTop w:val="0"/>
              <w:marBottom w:val="0"/>
              <w:divBdr>
                <w:top w:val="none" w:sz="0" w:space="0" w:color="auto"/>
                <w:left w:val="none" w:sz="0" w:space="0" w:color="auto"/>
                <w:bottom w:val="none" w:sz="0" w:space="0" w:color="auto"/>
                <w:right w:val="none" w:sz="0" w:space="0" w:color="auto"/>
              </w:divBdr>
            </w:div>
            <w:div w:id="1388916573">
              <w:marLeft w:val="0"/>
              <w:marRight w:val="0"/>
              <w:marTop w:val="0"/>
              <w:marBottom w:val="0"/>
              <w:divBdr>
                <w:top w:val="none" w:sz="0" w:space="0" w:color="auto"/>
                <w:left w:val="none" w:sz="0" w:space="0" w:color="auto"/>
                <w:bottom w:val="none" w:sz="0" w:space="0" w:color="auto"/>
                <w:right w:val="none" w:sz="0" w:space="0" w:color="auto"/>
              </w:divBdr>
            </w:div>
            <w:div w:id="1418789928">
              <w:marLeft w:val="0"/>
              <w:marRight w:val="0"/>
              <w:marTop w:val="0"/>
              <w:marBottom w:val="0"/>
              <w:divBdr>
                <w:top w:val="none" w:sz="0" w:space="0" w:color="auto"/>
                <w:left w:val="none" w:sz="0" w:space="0" w:color="auto"/>
                <w:bottom w:val="none" w:sz="0" w:space="0" w:color="auto"/>
                <w:right w:val="none" w:sz="0" w:space="0" w:color="auto"/>
              </w:divBdr>
            </w:div>
            <w:div w:id="1421685103">
              <w:marLeft w:val="0"/>
              <w:marRight w:val="0"/>
              <w:marTop w:val="0"/>
              <w:marBottom w:val="0"/>
              <w:divBdr>
                <w:top w:val="none" w:sz="0" w:space="0" w:color="auto"/>
                <w:left w:val="none" w:sz="0" w:space="0" w:color="auto"/>
                <w:bottom w:val="none" w:sz="0" w:space="0" w:color="auto"/>
                <w:right w:val="none" w:sz="0" w:space="0" w:color="auto"/>
              </w:divBdr>
            </w:div>
            <w:div w:id="1461805289">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00902405">
              <w:marLeft w:val="0"/>
              <w:marRight w:val="0"/>
              <w:marTop w:val="0"/>
              <w:marBottom w:val="0"/>
              <w:divBdr>
                <w:top w:val="none" w:sz="0" w:space="0" w:color="auto"/>
                <w:left w:val="none" w:sz="0" w:space="0" w:color="auto"/>
                <w:bottom w:val="none" w:sz="0" w:space="0" w:color="auto"/>
                <w:right w:val="none" w:sz="0" w:space="0" w:color="auto"/>
              </w:divBdr>
            </w:div>
            <w:div w:id="1953776764">
              <w:marLeft w:val="0"/>
              <w:marRight w:val="0"/>
              <w:marTop w:val="0"/>
              <w:marBottom w:val="0"/>
              <w:divBdr>
                <w:top w:val="none" w:sz="0" w:space="0" w:color="auto"/>
                <w:left w:val="none" w:sz="0" w:space="0" w:color="auto"/>
                <w:bottom w:val="none" w:sz="0" w:space="0" w:color="auto"/>
                <w:right w:val="none" w:sz="0" w:space="0" w:color="auto"/>
              </w:divBdr>
            </w:div>
            <w:div w:id="2006207138">
              <w:marLeft w:val="0"/>
              <w:marRight w:val="0"/>
              <w:marTop w:val="0"/>
              <w:marBottom w:val="0"/>
              <w:divBdr>
                <w:top w:val="none" w:sz="0" w:space="0" w:color="auto"/>
                <w:left w:val="none" w:sz="0" w:space="0" w:color="auto"/>
                <w:bottom w:val="none" w:sz="0" w:space="0" w:color="auto"/>
                <w:right w:val="none" w:sz="0" w:space="0" w:color="auto"/>
              </w:divBdr>
            </w:div>
            <w:div w:id="2014334090">
              <w:marLeft w:val="0"/>
              <w:marRight w:val="0"/>
              <w:marTop w:val="0"/>
              <w:marBottom w:val="0"/>
              <w:divBdr>
                <w:top w:val="none" w:sz="0" w:space="0" w:color="auto"/>
                <w:left w:val="none" w:sz="0" w:space="0" w:color="auto"/>
                <w:bottom w:val="none" w:sz="0" w:space="0" w:color="auto"/>
                <w:right w:val="none" w:sz="0" w:space="0" w:color="auto"/>
              </w:divBdr>
            </w:div>
            <w:div w:id="2026058610">
              <w:marLeft w:val="0"/>
              <w:marRight w:val="0"/>
              <w:marTop w:val="0"/>
              <w:marBottom w:val="0"/>
              <w:divBdr>
                <w:top w:val="none" w:sz="0" w:space="0" w:color="auto"/>
                <w:left w:val="none" w:sz="0" w:space="0" w:color="auto"/>
                <w:bottom w:val="none" w:sz="0" w:space="0" w:color="auto"/>
                <w:right w:val="none" w:sz="0" w:space="0" w:color="auto"/>
              </w:divBdr>
            </w:div>
            <w:div w:id="2077702733">
              <w:marLeft w:val="0"/>
              <w:marRight w:val="0"/>
              <w:marTop w:val="0"/>
              <w:marBottom w:val="0"/>
              <w:divBdr>
                <w:top w:val="none" w:sz="0" w:space="0" w:color="auto"/>
                <w:left w:val="none" w:sz="0" w:space="0" w:color="auto"/>
                <w:bottom w:val="none" w:sz="0" w:space="0" w:color="auto"/>
                <w:right w:val="none" w:sz="0" w:space="0" w:color="auto"/>
              </w:divBdr>
            </w:div>
          </w:divsChild>
        </w:div>
        <w:div w:id="1843277717">
          <w:marLeft w:val="0"/>
          <w:marRight w:val="0"/>
          <w:marTop w:val="0"/>
          <w:marBottom w:val="0"/>
          <w:divBdr>
            <w:top w:val="none" w:sz="0" w:space="0" w:color="auto"/>
            <w:left w:val="none" w:sz="0" w:space="0" w:color="auto"/>
            <w:bottom w:val="none" w:sz="0" w:space="0" w:color="auto"/>
            <w:right w:val="none" w:sz="0" w:space="0" w:color="auto"/>
          </w:divBdr>
        </w:div>
        <w:div w:id="1845436494">
          <w:marLeft w:val="0"/>
          <w:marRight w:val="0"/>
          <w:marTop w:val="0"/>
          <w:marBottom w:val="0"/>
          <w:divBdr>
            <w:top w:val="none" w:sz="0" w:space="0" w:color="auto"/>
            <w:left w:val="none" w:sz="0" w:space="0" w:color="auto"/>
            <w:bottom w:val="none" w:sz="0" w:space="0" w:color="auto"/>
            <w:right w:val="none" w:sz="0" w:space="0" w:color="auto"/>
          </w:divBdr>
        </w:div>
        <w:div w:id="1852407743">
          <w:marLeft w:val="0"/>
          <w:marRight w:val="0"/>
          <w:marTop w:val="0"/>
          <w:marBottom w:val="0"/>
          <w:divBdr>
            <w:top w:val="none" w:sz="0" w:space="0" w:color="auto"/>
            <w:left w:val="none" w:sz="0" w:space="0" w:color="auto"/>
            <w:bottom w:val="none" w:sz="0" w:space="0" w:color="auto"/>
            <w:right w:val="none" w:sz="0" w:space="0" w:color="auto"/>
          </w:divBdr>
        </w:div>
        <w:div w:id="1861435336">
          <w:marLeft w:val="0"/>
          <w:marRight w:val="0"/>
          <w:marTop w:val="0"/>
          <w:marBottom w:val="0"/>
          <w:divBdr>
            <w:top w:val="none" w:sz="0" w:space="0" w:color="auto"/>
            <w:left w:val="none" w:sz="0" w:space="0" w:color="auto"/>
            <w:bottom w:val="none" w:sz="0" w:space="0" w:color="auto"/>
            <w:right w:val="none" w:sz="0" w:space="0" w:color="auto"/>
          </w:divBdr>
        </w:div>
        <w:div w:id="1885215085">
          <w:marLeft w:val="0"/>
          <w:marRight w:val="0"/>
          <w:marTop w:val="0"/>
          <w:marBottom w:val="0"/>
          <w:divBdr>
            <w:top w:val="none" w:sz="0" w:space="0" w:color="auto"/>
            <w:left w:val="none" w:sz="0" w:space="0" w:color="auto"/>
            <w:bottom w:val="none" w:sz="0" w:space="0" w:color="auto"/>
            <w:right w:val="none" w:sz="0" w:space="0" w:color="auto"/>
          </w:divBdr>
        </w:div>
        <w:div w:id="1889603333">
          <w:marLeft w:val="0"/>
          <w:marRight w:val="0"/>
          <w:marTop w:val="0"/>
          <w:marBottom w:val="0"/>
          <w:divBdr>
            <w:top w:val="none" w:sz="0" w:space="0" w:color="auto"/>
            <w:left w:val="none" w:sz="0" w:space="0" w:color="auto"/>
            <w:bottom w:val="none" w:sz="0" w:space="0" w:color="auto"/>
            <w:right w:val="none" w:sz="0" w:space="0" w:color="auto"/>
          </w:divBdr>
        </w:div>
        <w:div w:id="1890217990">
          <w:marLeft w:val="0"/>
          <w:marRight w:val="0"/>
          <w:marTop w:val="0"/>
          <w:marBottom w:val="0"/>
          <w:divBdr>
            <w:top w:val="none" w:sz="0" w:space="0" w:color="auto"/>
            <w:left w:val="none" w:sz="0" w:space="0" w:color="auto"/>
            <w:bottom w:val="none" w:sz="0" w:space="0" w:color="auto"/>
            <w:right w:val="none" w:sz="0" w:space="0" w:color="auto"/>
          </w:divBdr>
        </w:div>
        <w:div w:id="1890264268">
          <w:marLeft w:val="0"/>
          <w:marRight w:val="0"/>
          <w:marTop w:val="0"/>
          <w:marBottom w:val="0"/>
          <w:divBdr>
            <w:top w:val="none" w:sz="0" w:space="0" w:color="auto"/>
            <w:left w:val="none" w:sz="0" w:space="0" w:color="auto"/>
            <w:bottom w:val="none" w:sz="0" w:space="0" w:color="auto"/>
            <w:right w:val="none" w:sz="0" w:space="0" w:color="auto"/>
          </w:divBdr>
        </w:div>
        <w:div w:id="1891651416">
          <w:marLeft w:val="0"/>
          <w:marRight w:val="0"/>
          <w:marTop w:val="0"/>
          <w:marBottom w:val="0"/>
          <w:divBdr>
            <w:top w:val="none" w:sz="0" w:space="0" w:color="auto"/>
            <w:left w:val="none" w:sz="0" w:space="0" w:color="auto"/>
            <w:bottom w:val="none" w:sz="0" w:space="0" w:color="auto"/>
            <w:right w:val="none" w:sz="0" w:space="0" w:color="auto"/>
          </w:divBdr>
        </w:div>
        <w:div w:id="1893229924">
          <w:marLeft w:val="0"/>
          <w:marRight w:val="0"/>
          <w:marTop w:val="0"/>
          <w:marBottom w:val="0"/>
          <w:divBdr>
            <w:top w:val="none" w:sz="0" w:space="0" w:color="auto"/>
            <w:left w:val="none" w:sz="0" w:space="0" w:color="auto"/>
            <w:bottom w:val="none" w:sz="0" w:space="0" w:color="auto"/>
            <w:right w:val="none" w:sz="0" w:space="0" w:color="auto"/>
          </w:divBdr>
        </w:div>
        <w:div w:id="1904758857">
          <w:marLeft w:val="0"/>
          <w:marRight w:val="0"/>
          <w:marTop w:val="0"/>
          <w:marBottom w:val="0"/>
          <w:divBdr>
            <w:top w:val="none" w:sz="0" w:space="0" w:color="auto"/>
            <w:left w:val="none" w:sz="0" w:space="0" w:color="auto"/>
            <w:bottom w:val="none" w:sz="0" w:space="0" w:color="auto"/>
            <w:right w:val="none" w:sz="0" w:space="0" w:color="auto"/>
          </w:divBdr>
        </w:div>
        <w:div w:id="1934194032">
          <w:marLeft w:val="0"/>
          <w:marRight w:val="0"/>
          <w:marTop w:val="0"/>
          <w:marBottom w:val="0"/>
          <w:divBdr>
            <w:top w:val="none" w:sz="0" w:space="0" w:color="auto"/>
            <w:left w:val="none" w:sz="0" w:space="0" w:color="auto"/>
            <w:bottom w:val="none" w:sz="0" w:space="0" w:color="auto"/>
            <w:right w:val="none" w:sz="0" w:space="0" w:color="auto"/>
          </w:divBdr>
        </w:div>
        <w:div w:id="1945065869">
          <w:marLeft w:val="0"/>
          <w:marRight w:val="0"/>
          <w:marTop w:val="0"/>
          <w:marBottom w:val="0"/>
          <w:divBdr>
            <w:top w:val="none" w:sz="0" w:space="0" w:color="auto"/>
            <w:left w:val="none" w:sz="0" w:space="0" w:color="auto"/>
            <w:bottom w:val="none" w:sz="0" w:space="0" w:color="auto"/>
            <w:right w:val="none" w:sz="0" w:space="0" w:color="auto"/>
          </w:divBdr>
        </w:div>
        <w:div w:id="1966766615">
          <w:marLeft w:val="0"/>
          <w:marRight w:val="0"/>
          <w:marTop w:val="0"/>
          <w:marBottom w:val="0"/>
          <w:divBdr>
            <w:top w:val="none" w:sz="0" w:space="0" w:color="auto"/>
            <w:left w:val="none" w:sz="0" w:space="0" w:color="auto"/>
            <w:bottom w:val="none" w:sz="0" w:space="0" w:color="auto"/>
            <w:right w:val="none" w:sz="0" w:space="0" w:color="auto"/>
          </w:divBdr>
        </w:div>
        <w:div w:id="1971478410">
          <w:marLeft w:val="0"/>
          <w:marRight w:val="0"/>
          <w:marTop w:val="0"/>
          <w:marBottom w:val="0"/>
          <w:divBdr>
            <w:top w:val="none" w:sz="0" w:space="0" w:color="auto"/>
            <w:left w:val="none" w:sz="0" w:space="0" w:color="auto"/>
            <w:bottom w:val="none" w:sz="0" w:space="0" w:color="auto"/>
            <w:right w:val="none" w:sz="0" w:space="0" w:color="auto"/>
          </w:divBdr>
        </w:div>
        <w:div w:id="2033803254">
          <w:marLeft w:val="0"/>
          <w:marRight w:val="0"/>
          <w:marTop w:val="0"/>
          <w:marBottom w:val="0"/>
          <w:divBdr>
            <w:top w:val="none" w:sz="0" w:space="0" w:color="auto"/>
            <w:left w:val="none" w:sz="0" w:space="0" w:color="auto"/>
            <w:bottom w:val="none" w:sz="0" w:space="0" w:color="auto"/>
            <w:right w:val="none" w:sz="0" w:space="0" w:color="auto"/>
          </w:divBdr>
        </w:div>
        <w:div w:id="2044205784">
          <w:marLeft w:val="0"/>
          <w:marRight w:val="0"/>
          <w:marTop w:val="0"/>
          <w:marBottom w:val="0"/>
          <w:divBdr>
            <w:top w:val="none" w:sz="0" w:space="0" w:color="auto"/>
            <w:left w:val="none" w:sz="0" w:space="0" w:color="auto"/>
            <w:bottom w:val="none" w:sz="0" w:space="0" w:color="auto"/>
            <w:right w:val="none" w:sz="0" w:space="0" w:color="auto"/>
          </w:divBdr>
        </w:div>
        <w:div w:id="2059545802">
          <w:marLeft w:val="0"/>
          <w:marRight w:val="0"/>
          <w:marTop w:val="0"/>
          <w:marBottom w:val="0"/>
          <w:divBdr>
            <w:top w:val="none" w:sz="0" w:space="0" w:color="auto"/>
            <w:left w:val="none" w:sz="0" w:space="0" w:color="auto"/>
            <w:bottom w:val="none" w:sz="0" w:space="0" w:color="auto"/>
            <w:right w:val="none" w:sz="0" w:space="0" w:color="auto"/>
          </w:divBdr>
        </w:div>
        <w:div w:id="2067793628">
          <w:marLeft w:val="0"/>
          <w:marRight w:val="0"/>
          <w:marTop w:val="0"/>
          <w:marBottom w:val="0"/>
          <w:divBdr>
            <w:top w:val="none" w:sz="0" w:space="0" w:color="auto"/>
            <w:left w:val="none" w:sz="0" w:space="0" w:color="auto"/>
            <w:bottom w:val="none" w:sz="0" w:space="0" w:color="auto"/>
            <w:right w:val="none" w:sz="0" w:space="0" w:color="auto"/>
          </w:divBdr>
        </w:div>
        <w:div w:id="2107922491">
          <w:marLeft w:val="0"/>
          <w:marRight w:val="0"/>
          <w:marTop w:val="0"/>
          <w:marBottom w:val="0"/>
          <w:divBdr>
            <w:top w:val="none" w:sz="0" w:space="0" w:color="auto"/>
            <w:left w:val="none" w:sz="0" w:space="0" w:color="auto"/>
            <w:bottom w:val="none" w:sz="0" w:space="0" w:color="auto"/>
            <w:right w:val="none" w:sz="0" w:space="0" w:color="auto"/>
          </w:divBdr>
        </w:div>
        <w:div w:id="2112161264">
          <w:marLeft w:val="0"/>
          <w:marRight w:val="0"/>
          <w:marTop w:val="0"/>
          <w:marBottom w:val="0"/>
          <w:divBdr>
            <w:top w:val="none" w:sz="0" w:space="0" w:color="auto"/>
            <w:left w:val="none" w:sz="0" w:space="0" w:color="auto"/>
            <w:bottom w:val="none" w:sz="0" w:space="0" w:color="auto"/>
            <w:right w:val="none" w:sz="0" w:space="0" w:color="auto"/>
          </w:divBdr>
        </w:div>
        <w:div w:id="2125533654">
          <w:marLeft w:val="0"/>
          <w:marRight w:val="0"/>
          <w:marTop w:val="0"/>
          <w:marBottom w:val="0"/>
          <w:divBdr>
            <w:top w:val="none" w:sz="0" w:space="0" w:color="auto"/>
            <w:left w:val="none" w:sz="0" w:space="0" w:color="auto"/>
            <w:bottom w:val="none" w:sz="0" w:space="0" w:color="auto"/>
            <w:right w:val="none" w:sz="0" w:space="0" w:color="auto"/>
          </w:divBdr>
        </w:div>
        <w:div w:id="2134979518">
          <w:marLeft w:val="0"/>
          <w:marRight w:val="0"/>
          <w:marTop w:val="0"/>
          <w:marBottom w:val="0"/>
          <w:divBdr>
            <w:top w:val="none" w:sz="0" w:space="0" w:color="auto"/>
            <w:left w:val="none" w:sz="0" w:space="0" w:color="auto"/>
            <w:bottom w:val="none" w:sz="0" w:space="0" w:color="auto"/>
            <w:right w:val="none" w:sz="0" w:space="0" w:color="auto"/>
          </w:divBdr>
        </w:div>
      </w:divsChild>
    </w:div>
    <w:div w:id="1787894173">
      <w:bodyDiv w:val="1"/>
      <w:marLeft w:val="0"/>
      <w:marRight w:val="0"/>
      <w:marTop w:val="0"/>
      <w:marBottom w:val="0"/>
      <w:divBdr>
        <w:top w:val="none" w:sz="0" w:space="0" w:color="auto"/>
        <w:left w:val="none" w:sz="0" w:space="0" w:color="auto"/>
        <w:bottom w:val="none" w:sz="0" w:space="0" w:color="auto"/>
        <w:right w:val="none" w:sz="0" w:space="0" w:color="auto"/>
      </w:divBdr>
    </w:div>
    <w:div w:id="1825930663">
      <w:bodyDiv w:val="1"/>
      <w:marLeft w:val="0"/>
      <w:marRight w:val="0"/>
      <w:marTop w:val="0"/>
      <w:marBottom w:val="0"/>
      <w:divBdr>
        <w:top w:val="none" w:sz="0" w:space="0" w:color="auto"/>
        <w:left w:val="none" w:sz="0" w:space="0" w:color="auto"/>
        <w:bottom w:val="none" w:sz="0" w:space="0" w:color="auto"/>
        <w:right w:val="none" w:sz="0" w:space="0" w:color="auto"/>
      </w:divBdr>
    </w:div>
    <w:div w:id="1892689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f/2018-05-f.pdf" TargetMode="External"/><Relationship Id="rId18" Type="http://schemas.openxmlformats.org/officeDocument/2006/relationships/hyperlink" Target="https://www.iccat.int/Documents/Recs/compendiopdf-f/2016-11-f.pdf" TargetMode="External"/><Relationship Id="rId26" Type="http://schemas.openxmlformats.org/officeDocument/2006/relationships/hyperlink" Target="https://www.iccat.int/Documents/Recs/compendiopdf-f/2024-15-f.pdf" TargetMode="External"/><Relationship Id="rId39" Type="http://schemas.openxmlformats.org/officeDocument/2006/relationships/hyperlink" Target="https://www.iccat.int/Documents/Recs/compendiopdf-f/2015-13-f.pdf" TargetMode="External"/><Relationship Id="rId21" Type="http://schemas.openxmlformats.org/officeDocument/2006/relationships/hyperlink" Target="https://www.iccat.int/Documents/Recs/compendiopdf-f/2008-09-f.pdf" TargetMode="External"/><Relationship Id="rId34" Type="http://schemas.openxmlformats.org/officeDocument/2006/relationships/hyperlink" Target="https://www.iccat.int/Documents/Recs/compendiopdf-f/2024-04-f.pdf" TargetMode="External"/><Relationship Id="rId42" Type="http://schemas.openxmlformats.org/officeDocument/2006/relationships/hyperlink" Target="https://www.iccat.int/Documents/Recs/compendiopdf-f/2023-10-f.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ccat.int/Documents/Recs/compendiopdf-f/2022-12-f.pdf" TargetMode="External"/><Relationship Id="rId29" Type="http://schemas.openxmlformats.org/officeDocument/2006/relationships/hyperlink" Target="https://www.iccat.int/Documents/Recs/compendiopdf-f/2024-05-f.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Recs/compendiopdf-f/2016-17-f.pdf" TargetMode="External"/><Relationship Id="rId24" Type="http://schemas.openxmlformats.org/officeDocument/2006/relationships/hyperlink" Target="https://www.iccat.int/Documents/Recs/compendiopdf-f/2022-18-f.pdf" TargetMode="External"/><Relationship Id="rId32" Type="http://schemas.openxmlformats.org/officeDocument/2006/relationships/hyperlink" Target="https://www.iccat.int/Documents/Recs/compendiopdf-f/2015-13-f.pdf" TargetMode="External"/><Relationship Id="rId37" Type="http://schemas.openxmlformats.org/officeDocument/2006/relationships/hyperlink" Target="https://www.iccat.int/Documents/Recs/compendiopdf-f/2024-05-f.pdf" TargetMode="External"/><Relationship Id="rId40" Type="http://schemas.openxmlformats.org/officeDocument/2006/relationships/hyperlink" Target="https://www.iccat.int/Documents/Recs/compendiopdf-f/2015-13-f.pdf"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ccat.int/Documents/Recs/compendiopdf-f/2016-14-f.pdf" TargetMode="External"/><Relationship Id="rId23" Type="http://schemas.openxmlformats.org/officeDocument/2006/relationships/hyperlink" Target="https://www.iccat.int/Documents/Recs/compendiopdf-f/2006-13-f.pdf" TargetMode="External"/><Relationship Id="rId28" Type="http://schemas.openxmlformats.org/officeDocument/2006/relationships/hyperlink" Target="http://www.iccat.int/fr/vesselsrecord.asp" TargetMode="External"/><Relationship Id="rId36" Type="http://schemas.openxmlformats.org/officeDocument/2006/relationships/hyperlink" Target="https://www.iccat.int/Documents/Recs/compendiopdf-f/2024-05-f.pdf" TargetMode="External"/><Relationship Id="rId10" Type="http://schemas.openxmlformats.org/officeDocument/2006/relationships/endnotes" Target="endnotes.xml"/><Relationship Id="rId19" Type="http://schemas.openxmlformats.org/officeDocument/2006/relationships/hyperlink" Target="https://www.iccat.int/Documents/Recs/compendiopdf-f/2005-09-f.pdf" TargetMode="External"/><Relationship Id="rId31" Type="http://schemas.openxmlformats.org/officeDocument/2006/relationships/hyperlink" Target="https://secretariat.iccat.online/index.php/s/YxK8jPqkysM3nj3" TargetMode="External"/><Relationship Id="rId44" Type="http://schemas.openxmlformats.org/officeDocument/2006/relationships/hyperlink" Target="https://www.iccat.int/Documents/Recs/compendiopdf-f/2023-11-f.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ccat.int/Documents/Recs/compendiopdf-f/2018-06-f.pdf" TargetMode="External"/><Relationship Id="rId22" Type="http://schemas.openxmlformats.org/officeDocument/2006/relationships/hyperlink" Target="https://www.iccat.int/Documents/Recs/compendiopdf-F/2008-09-F.pdf" TargetMode="External"/><Relationship Id="rId27" Type="http://schemas.openxmlformats.org/officeDocument/2006/relationships/hyperlink" Target="https://www.iccat.int/Documents/Recs/compendiopdf-f/2024-15-f.pdf" TargetMode="External"/><Relationship Id="rId30" Type="http://schemas.openxmlformats.org/officeDocument/2006/relationships/hyperlink" Target="https://secretariat.iccat.online/index.php/s/YxK8jPqkysM3nj3" TargetMode="External"/><Relationship Id="rId35" Type="http://schemas.openxmlformats.org/officeDocument/2006/relationships/hyperlink" Target="https://www.iccat.int/Documents/Recs/compendiopdf-f/2015-13-f.pdf" TargetMode="External"/><Relationship Id="rId43" Type="http://schemas.openxmlformats.org/officeDocument/2006/relationships/hyperlink" Target="https://www.iccat.int/Documents/Recs/compendiopdf-f/2023-10-f.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ccat.int/Documents/Recs/compendiopdf-f/2023-17-f.pdf" TargetMode="External"/><Relationship Id="rId17" Type="http://schemas.openxmlformats.org/officeDocument/2006/relationships/hyperlink" Target="https://www.iccat.int/Documents/Recs/compendiopdf-f/2023-13-f.pdf" TargetMode="External"/><Relationship Id="rId25" Type="http://schemas.openxmlformats.org/officeDocument/2006/relationships/hyperlink" Target="https://www.iccat.int/Documents/BienRep/REP_FR_24-25-I-1.pdf" TargetMode="External"/><Relationship Id="rId33" Type="http://schemas.openxmlformats.org/officeDocument/2006/relationships/hyperlink" Target="https://www.iccat.int/Documents/Recs/compendiopdf-f/2024-01-f.pdf" TargetMode="External"/><Relationship Id="rId38" Type="http://schemas.openxmlformats.org/officeDocument/2006/relationships/hyperlink" Target="https://www.iccat.int/Documents/Recs/compendiopdf-f/2022-06-f.pdf" TargetMode="External"/><Relationship Id="rId46" Type="http://schemas.openxmlformats.org/officeDocument/2006/relationships/footer" Target="footer1.xml"/><Relationship Id="rId20" Type="http://schemas.openxmlformats.org/officeDocument/2006/relationships/hyperlink" Target="https://www.iccat.int/Documents/Recs/compendiopdf-f/2011-15-f.pdf" TargetMode="External"/><Relationship Id="rId41" Type="http://schemas.openxmlformats.org/officeDocument/2006/relationships/hyperlink" Target="https://www.iccat.int/Documents/Recs/compendiopdf-f/2019-05-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a77a42f041f70a8c1f93776fc55aa378">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3b5a11428cf2dd0c2a14272e7b3b9074"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1F43E-0BA5-4FDC-A75B-2A633E4FFBD8}">
  <ds:schemaRefs>
    <ds:schemaRef ds:uri="http://schemas.openxmlformats.org/officeDocument/2006/bibliography"/>
  </ds:schemaRefs>
</ds:datastoreItem>
</file>

<file path=customXml/itemProps2.xml><?xml version="1.0" encoding="utf-8"?>
<ds:datastoreItem xmlns:ds="http://schemas.openxmlformats.org/officeDocument/2006/customXml" ds:itemID="{DF754753-50AE-497F-96D4-608CA6748BEE}">
  <ds:schemaRefs>
    <ds:schemaRef ds:uri="http://schemas.microsoft.com/sharepoint/v3/contenttype/forms"/>
  </ds:schemaRefs>
</ds:datastoreItem>
</file>

<file path=customXml/itemProps3.xml><?xml version="1.0" encoding="utf-8"?>
<ds:datastoreItem xmlns:ds="http://schemas.openxmlformats.org/officeDocument/2006/customXml" ds:itemID="{86DA9CD1-EE71-406B-BFC0-5D1EA0268151}">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4.xml><?xml version="1.0" encoding="utf-8"?>
<ds:datastoreItem xmlns:ds="http://schemas.openxmlformats.org/officeDocument/2006/customXml" ds:itemID="{41AD68E3-9533-4C5E-9976-9A40CEC3D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8619</Words>
  <Characters>49129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Cheatle</dc:creator>
  <cp:keywords/>
  <dc:description/>
  <cp:lastModifiedBy>Christine Peyre</cp:lastModifiedBy>
  <cp:revision>14</cp:revision>
  <cp:lastPrinted>2025-11-14T16:54:00Z</cp:lastPrinted>
  <dcterms:created xsi:type="dcterms:W3CDTF">2025-11-16T07:53:00Z</dcterms:created>
  <dcterms:modified xsi:type="dcterms:W3CDTF">2025-11-16T08:17:00Z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0x0101003E84DD1BACBE3641B802C49D00950036</vt:lpwstr>
  </property>
  <property fmtid="{D5CDD505-2E9C-101B-9397-08002B2CF9AE}" pid="3" name="MediaServiceImageTags">
    <vt:lpwstr/>
  </property>
</Properties>
</file>