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368E7A" w14:textId="65E56866" w:rsidR="006366AA" w:rsidRPr="009C6A06" w:rsidRDefault="009C6A06" w:rsidP="006366AA">
      <w:pPr>
        <w:jc w:val="center"/>
        <w:rPr>
          <w:rFonts w:ascii="Cambria" w:hAnsi="Cambria"/>
          <w:b/>
          <w:bCs/>
          <w:sz w:val="20"/>
          <w:szCs w:val="20"/>
        </w:rPr>
      </w:pPr>
      <w:r w:rsidRPr="009C6A06">
        <w:rPr>
          <w:rFonts w:ascii="Cambria" w:hAnsi="Cambria"/>
          <w:b/>
          <w:bCs/>
          <w:sz w:val="20"/>
          <w:szCs w:val="20"/>
        </w:rPr>
        <w:t>Statement by the European Union on issues of non-compliance of Senegal</w:t>
      </w:r>
    </w:p>
    <w:p w14:paraId="5C39EFAC" w14:textId="77777777" w:rsidR="006366AA" w:rsidRPr="009C6A06" w:rsidRDefault="006366AA">
      <w:pPr>
        <w:rPr>
          <w:rFonts w:ascii="Cambria" w:hAnsi="Cambria"/>
          <w:sz w:val="20"/>
          <w:szCs w:val="20"/>
        </w:rPr>
      </w:pPr>
    </w:p>
    <w:p w14:paraId="5F0D3F90" w14:textId="3718639A" w:rsidR="00BB274A" w:rsidRPr="009C6A06" w:rsidRDefault="006366AA" w:rsidP="0009161C">
      <w:pPr>
        <w:jc w:val="both"/>
        <w:rPr>
          <w:rFonts w:ascii="Cambria" w:hAnsi="Cambria"/>
          <w:sz w:val="20"/>
          <w:szCs w:val="20"/>
        </w:rPr>
      </w:pPr>
      <w:r w:rsidRPr="009C6A06">
        <w:rPr>
          <w:rFonts w:ascii="Cambria" w:hAnsi="Cambria"/>
          <w:sz w:val="20"/>
          <w:szCs w:val="20"/>
        </w:rPr>
        <w:t>The EU provides below further comments as regard the reply sent by Senegal</w:t>
      </w:r>
      <w:r w:rsidR="001A577E" w:rsidRPr="009C6A06">
        <w:rPr>
          <w:rFonts w:ascii="Cambria" w:hAnsi="Cambria"/>
          <w:sz w:val="20"/>
          <w:szCs w:val="20"/>
        </w:rPr>
        <w:t xml:space="preserve"> under COC_312/2025 </w:t>
      </w:r>
      <w:proofErr w:type="gramStart"/>
      <w:r w:rsidR="001A577E" w:rsidRPr="009C6A06">
        <w:rPr>
          <w:rFonts w:ascii="Cambria" w:hAnsi="Cambria"/>
          <w:sz w:val="20"/>
          <w:szCs w:val="20"/>
        </w:rPr>
        <w:t>an</w:t>
      </w:r>
      <w:r w:rsidR="0009161C" w:rsidRPr="009C6A06">
        <w:rPr>
          <w:rFonts w:ascii="Cambria" w:hAnsi="Cambria"/>
          <w:sz w:val="20"/>
          <w:szCs w:val="20"/>
        </w:rPr>
        <w:t>d  Annex</w:t>
      </w:r>
      <w:proofErr w:type="gramEnd"/>
      <w:r w:rsidR="0009161C" w:rsidRPr="009C6A06">
        <w:rPr>
          <w:rFonts w:ascii="Cambria" w:hAnsi="Cambria"/>
          <w:sz w:val="20"/>
          <w:szCs w:val="20"/>
        </w:rPr>
        <w:t xml:space="preserve"> 3 - Additional information submitted by Senegal </w:t>
      </w:r>
    </w:p>
    <w:p w14:paraId="239E873D" w14:textId="77777777" w:rsidR="00172991" w:rsidRPr="009C6A06" w:rsidRDefault="00172991">
      <w:pPr>
        <w:rPr>
          <w:rFonts w:ascii="Cambria" w:hAnsi="Cambria"/>
          <w:sz w:val="20"/>
          <w:szCs w:val="20"/>
        </w:rPr>
      </w:pPr>
    </w:p>
    <w:p w14:paraId="1DAF85EC" w14:textId="77777777" w:rsidR="00172991" w:rsidRPr="009C6A06" w:rsidRDefault="00172991" w:rsidP="00172991">
      <w:pPr>
        <w:rPr>
          <w:rFonts w:ascii="Cambria" w:hAnsi="Cambria"/>
          <w:b/>
          <w:i/>
          <w:iCs/>
          <w:sz w:val="20"/>
          <w:szCs w:val="20"/>
        </w:rPr>
      </w:pPr>
      <w:r w:rsidRPr="009C6A06">
        <w:rPr>
          <w:rFonts w:ascii="Cambria" w:hAnsi="Cambria"/>
          <w:b/>
          <w:i/>
          <w:iCs/>
          <w:sz w:val="20"/>
          <w:szCs w:val="20"/>
        </w:rPr>
        <w:t>Follow-up of previous requests</w:t>
      </w:r>
    </w:p>
    <w:p w14:paraId="6777B107" w14:textId="048372D6" w:rsidR="00580E4C" w:rsidRPr="009C6A06" w:rsidRDefault="00172991" w:rsidP="7272AFA3">
      <w:pPr>
        <w:spacing w:after="240" w:line="240" w:lineRule="auto"/>
        <w:jc w:val="both"/>
        <w:rPr>
          <w:rFonts w:ascii="Cambria" w:hAnsi="Cambria"/>
          <w:sz w:val="20"/>
          <w:szCs w:val="20"/>
        </w:rPr>
      </w:pPr>
      <w:r w:rsidRPr="009C6A06">
        <w:rPr>
          <w:rFonts w:ascii="Cambria" w:hAnsi="Cambria"/>
          <w:sz w:val="20"/>
          <w:szCs w:val="20"/>
        </w:rPr>
        <w:t xml:space="preserve">The EU takes note of the results of investigations by Senegal </w:t>
      </w:r>
      <w:r w:rsidR="00580E4C" w:rsidRPr="009C6A06">
        <w:rPr>
          <w:rFonts w:ascii="Cambria" w:hAnsi="Cambria"/>
          <w:sz w:val="20"/>
          <w:szCs w:val="20"/>
        </w:rPr>
        <w:t xml:space="preserve">and notes that the information under point 5 “New Elements” of Senegal’s reply, </w:t>
      </w:r>
      <w:r w:rsidR="073CCC58" w:rsidRPr="009C6A06">
        <w:rPr>
          <w:rFonts w:ascii="Cambria" w:hAnsi="Cambria"/>
          <w:sz w:val="20"/>
          <w:szCs w:val="20"/>
        </w:rPr>
        <w:t>does not contain any of the</w:t>
      </w:r>
      <w:r w:rsidR="00580E4C" w:rsidRPr="009C6A06">
        <w:rPr>
          <w:rFonts w:ascii="Cambria" w:hAnsi="Cambria"/>
          <w:sz w:val="20"/>
          <w:szCs w:val="20"/>
        </w:rPr>
        <w:t xml:space="preserve"> information expected from Senegal as Flag, Port and exporting State.</w:t>
      </w:r>
    </w:p>
    <w:p w14:paraId="127F4BA4" w14:textId="5D16A8A0" w:rsidR="00EC71E8" w:rsidRPr="009C6A06" w:rsidRDefault="37724EEF" w:rsidP="7272AFA3">
      <w:pPr>
        <w:spacing w:after="240" w:line="240" w:lineRule="auto"/>
        <w:jc w:val="both"/>
        <w:rPr>
          <w:rFonts w:ascii="Cambria" w:hAnsi="Cambria"/>
          <w:sz w:val="20"/>
          <w:szCs w:val="20"/>
        </w:rPr>
      </w:pPr>
      <w:r w:rsidRPr="009C6A06">
        <w:rPr>
          <w:rFonts w:ascii="Cambria" w:hAnsi="Cambria"/>
          <w:sz w:val="20"/>
          <w:szCs w:val="20"/>
        </w:rPr>
        <w:t xml:space="preserve">On Senegal’s remarks regarding the importing state: </w:t>
      </w:r>
    </w:p>
    <w:p w14:paraId="38858D06" w14:textId="77777777" w:rsidR="00EC71E8" w:rsidRPr="009C6A06" w:rsidRDefault="00EC71E8" w:rsidP="00EC71E8">
      <w:pPr>
        <w:pStyle w:val="ListParagraph"/>
        <w:rPr>
          <w:rFonts w:ascii="Cambria" w:hAnsi="Cambria" w:cstheme="minorHAnsi"/>
          <w:sz w:val="20"/>
          <w:szCs w:val="20"/>
        </w:rPr>
      </w:pPr>
    </w:p>
    <w:p w14:paraId="767FECBA" w14:textId="0425D4BA" w:rsidR="00EC71E8" w:rsidRPr="009C6A06" w:rsidRDefault="00EC71E8" w:rsidP="7272AFA3">
      <w:pPr>
        <w:pStyle w:val="ListParagraph"/>
        <w:numPr>
          <w:ilvl w:val="1"/>
          <w:numId w:val="2"/>
        </w:numPr>
        <w:spacing w:after="240" w:line="240" w:lineRule="auto"/>
        <w:ind w:left="1440"/>
        <w:jc w:val="both"/>
        <w:rPr>
          <w:rFonts w:ascii="Cambria" w:hAnsi="Cambria"/>
          <w:sz w:val="20"/>
          <w:szCs w:val="20"/>
        </w:rPr>
      </w:pPr>
      <w:r w:rsidRPr="009C6A06">
        <w:rPr>
          <w:rFonts w:ascii="Cambria" w:hAnsi="Cambria"/>
          <w:sz w:val="20"/>
          <w:szCs w:val="20"/>
        </w:rPr>
        <w:t>As regards the request from Senegal (2 May 2025 – ICCAT Circular No 00476/2025) to provide “</w:t>
      </w:r>
      <w:r w:rsidRPr="009C6A06">
        <w:rPr>
          <w:rFonts w:ascii="Cambria" w:hAnsi="Cambria"/>
          <w:i/>
          <w:iCs/>
          <w:sz w:val="20"/>
          <w:szCs w:val="20"/>
        </w:rPr>
        <w:t>the list of all importers of the certified products concerned, together with their addresses and the points of entry into the European market</w:t>
      </w:r>
      <w:r w:rsidRPr="009C6A06">
        <w:rPr>
          <w:rFonts w:ascii="Cambria" w:hAnsi="Cambria"/>
          <w:sz w:val="20"/>
          <w:szCs w:val="20"/>
        </w:rPr>
        <w:t>”, the EU reply is provided as an annex to Senegal’s submission</w:t>
      </w:r>
      <w:r w:rsidR="550E2A69" w:rsidRPr="009C6A06">
        <w:rPr>
          <w:rFonts w:ascii="Cambria" w:hAnsi="Cambria"/>
          <w:sz w:val="20"/>
          <w:szCs w:val="20"/>
        </w:rPr>
        <w:t>, clearly mentioning the</w:t>
      </w:r>
      <w:r w:rsidRPr="009C6A06">
        <w:rPr>
          <w:rFonts w:ascii="Cambria" w:hAnsi="Cambria"/>
          <w:sz w:val="20"/>
          <w:szCs w:val="20"/>
        </w:rPr>
        <w:t xml:space="preserve"> EU</w:t>
      </w:r>
      <w:r w:rsidR="085763C1" w:rsidRPr="009C6A06">
        <w:rPr>
          <w:rFonts w:ascii="Cambria" w:hAnsi="Cambria"/>
          <w:sz w:val="20"/>
          <w:szCs w:val="20"/>
        </w:rPr>
        <w:t>’s</w:t>
      </w:r>
      <w:r w:rsidRPr="009C6A06">
        <w:rPr>
          <w:rFonts w:ascii="Cambria" w:hAnsi="Cambria"/>
          <w:sz w:val="20"/>
          <w:szCs w:val="20"/>
        </w:rPr>
        <w:t xml:space="preserve"> request</w:t>
      </w:r>
      <w:r w:rsidR="04D06824" w:rsidRPr="009C6A06">
        <w:rPr>
          <w:rFonts w:ascii="Cambria" w:hAnsi="Cambria"/>
          <w:sz w:val="20"/>
          <w:szCs w:val="20"/>
        </w:rPr>
        <w:t xml:space="preserve"> to</w:t>
      </w:r>
      <w:r w:rsidRPr="009C6A06">
        <w:rPr>
          <w:rFonts w:ascii="Cambria" w:hAnsi="Cambria"/>
          <w:sz w:val="20"/>
          <w:szCs w:val="20"/>
        </w:rPr>
        <w:t xml:space="preserve"> Senegal to: </w:t>
      </w:r>
    </w:p>
    <w:p w14:paraId="24A99BB3" w14:textId="77777777" w:rsidR="00EC71E8" w:rsidRPr="009C6A06" w:rsidRDefault="00EC71E8" w:rsidP="00EC71E8">
      <w:pPr>
        <w:pStyle w:val="ListParagraph"/>
        <w:numPr>
          <w:ilvl w:val="2"/>
          <w:numId w:val="2"/>
        </w:numPr>
        <w:ind w:left="2160"/>
        <w:jc w:val="both"/>
        <w:rPr>
          <w:rFonts w:ascii="Cambria" w:hAnsi="Cambria" w:cstheme="minorHAnsi"/>
          <w:sz w:val="20"/>
          <w:szCs w:val="20"/>
        </w:rPr>
      </w:pPr>
      <w:r w:rsidRPr="009C6A06">
        <w:rPr>
          <w:rFonts w:ascii="Cambria" w:hAnsi="Cambria" w:cstheme="minorHAnsi"/>
          <w:sz w:val="20"/>
          <w:szCs w:val="20"/>
        </w:rPr>
        <w:t>Clarify the legal basis for this request</w:t>
      </w:r>
    </w:p>
    <w:p w14:paraId="19C6ECE2" w14:textId="15810736" w:rsidR="00EC71E8" w:rsidRPr="009C6A06" w:rsidRDefault="7E458DB8" w:rsidP="7272AFA3">
      <w:pPr>
        <w:pStyle w:val="ListParagraph"/>
        <w:numPr>
          <w:ilvl w:val="2"/>
          <w:numId w:val="2"/>
        </w:numPr>
        <w:ind w:left="2160"/>
        <w:jc w:val="both"/>
        <w:rPr>
          <w:rFonts w:ascii="Cambria" w:hAnsi="Cambria"/>
          <w:sz w:val="20"/>
          <w:szCs w:val="20"/>
        </w:rPr>
      </w:pPr>
      <w:r w:rsidRPr="009C6A06">
        <w:rPr>
          <w:rFonts w:ascii="Cambria" w:hAnsi="Cambria"/>
          <w:sz w:val="20"/>
          <w:szCs w:val="20"/>
        </w:rPr>
        <w:t>I</w:t>
      </w:r>
      <w:r w:rsidR="00EC71E8" w:rsidRPr="009C6A06">
        <w:rPr>
          <w:rFonts w:ascii="Cambria" w:hAnsi="Cambria"/>
          <w:sz w:val="20"/>
          <w:szCs w:val="20"/>
        </w:rPr>
        <w:t>n which way the list of importers would facilitate Senegal’s investigations.</w:t>
      </w:r>
    </w:p>
    <w:p w14:paraId="7F7A5F2F" w14:textId="7CFA76B9" w:rsidR="00EC71E8" w:rsidRPr="009C6A06" w:rsidRDefault="00EC71E8" w:rsidP="7272AFA3">
      <w:pPr>
        <w:ind w:left="1440"/>
        <w:rPr>
          <w:rFonts w:ascii="Cambria" w:hAnsi="Cambria"/>
          <w:sz w:val="20"/>
          <w:szCs w:val="20"/>
        </w:rPr>
      </w:pPr>
      <w:r w:rsidRPr="009C6A06">
        <w:rPr>
          <w:rFonts w:ascii="Cambria" w:hAnsi="Cambria"/>
          <w:sz w:val="20"/>
          <w:szCs w:val="20"/>
        </w:rPr>
        <w:t>Senegal never replied to this.</w:t>
      </w:r>
    </w:p>
    <w:p w14:paraId="14A27A0D" w14:textId="30EBD487" w:rsidR="00EC71E8" w:rsidRPr="009C6A06" w:rsidRDefault="00EC71E8" w:rsidP="7272AFA3">
      <w:pPr>
        <w:pStyle w:val="ListParagraph"/>
        <w:ind w:left="1440"/>
        <w:jc w:val="both"/>
        <w:rPr>
          <w:rFonts w:ascii="Cambria" w:hAnsi="Cambria"/>
          <w:sz w:val="20"/>
          <w:szCs w:val="20"/>
        </w:rPr>
      </w:pPr>
      <w:r w:rsidRPr="009C6A06">
        <w:rPr>
          <w:rFonts w:ascii="Cambria" w:hAnsi="Cambria"/>
          <w:sz w:val="20"/>
          <w:szCs w:val="20"/>
        </w:rPr>
        <w:t xml:space="preserve">The interpretation of Recommendation 06-13 on trade measures has already been clarified last year by the </w:t>
      </w:r>
      <w:r w:rsidR="004445EB" w:rsidRPr="009C6A06">
        <w:rPr>
          <w:rFonts w:ascii="Cambria" w:hAnsi="Cambria"/>
          <w:sz w:val="20"/>
          <w:szCs w:val="20"/>
        </w:rPr>
        <w:t>Compliance Committee</w:t>
      </w:r>
      <w:r w:rsidRPr="009C6A06">
        <w:rPr>
          <w:rFonts w:ascii="Cambria" w:hAnsi="Cambria"/>
          <w:sz w:val="20"/>
          <w:szCs w:val="20"/>
        </w:rPr>
        <w:t xml:space="preserve">, and the EU draws the attention of Senegal </w:t>
      </w:r>
      <w:r w:rsidR="4139312D" w:rsidRPr="009C6A06">
        <w:rPr>
          <w:rFonts w:ascii="Cambria" w:hAnsi="Cambria"/>
          <w:sz w:val="20"/>
          <w:szCs w:val="20"/>
        </w:rPr>
        <w:t xml:space="preserve">to </w:t>
      </w:r>
      <w:r w:rsidRPr="009C6A06">
        <w:rPr>
          <w:rFonts w:ascii="Cambria" w:hAnsi="Cambria"/>
          <w:sz w:val="20"/>
          <w:szCs w:val="20"/>
        </w:rPr>
        <w:t>the fact that the purpose of the information collected pursuant to point 1(1) of Recommendation 06-13 is to identify the vessels that landed the species concerned as well as the points of export.</w:t>
      </w:r>
    </w:p>
    <w:p w14:paraId="3830EE75" w14:textId="77777777" w:rsidR="00EC71E8" w:rsidRPr="009C6A06" w:rsidRDefault="00EC71E8" w:rsidP="00EC71E8">
      <w:pPr>
        <w:pStyle w:val="ListParagraph"/>
        <w:ind w:left="1440"/>
        <w:rPr>
          <w:rFonts w:ascii="Cambria" w:hAnsi="Cambria" w:cstheme="minorHAnsi"/>
          <w:sz w:val="20"/>
          <w:szCs w:val="20"/>
        </w:rPr>
      </w:pPr>
    </w:p>
    <w:p w14:paraId="4838DF03" w14:textId="6B831F9D" w:rsidR="00EC71E8" w:rsidRPr="009C6A06" w:rsidRDefault="00EC71E8" w:rsidP="7272AFA3">
      <w:pPr>
        <w:pStyle w:val="ListParagraph"/>
        <w:numPr>
          <w:ilvl w:val="1"/>
          <w:numId w:val="2"/>
        </w:numPr>
        <w:spacing w:after="240" w:line="240" w:lineRule="auto"/>
        <w:ind w:left="1440"/>
        <w:jc w:val="both"/>
        <w:rPr>
          <w:rFonts w:ascii="Cambria" w:hAnsi="Cambria"/>
          <w:i/>
          <w:iCs/>
          <w:sz w:val="20"/>
          <w:szCs w:val="20"/>
        </w:rPr>
      </w:pPr>
      <w:r w:rsidRPr="009C6A06">
        <w:rPr>
          <w:rFonts w:ascii="Cambria" w:hAnsi="Cambria"/>
          <w:sz w:val="20"/>
          <w:szCs w:val="20"/>
        </w:rPr>
        <w:t xml:space="preserve">As regards the Senegalese company TUNASEN, which the EU has been investigating given the possible involvement of EU nationals, the EU Member State in charge never got replies to the additional questions it raised to Senegal since 2024, despite two reminders in 2025. The EU would appreciate </w:t>
      </w:r>
      <w:r w:rsidR="180D6D73" w:rsidRPr="009C6A06">
        <w:rPr>
          <w:rFonts w:ascii="Cambria" w:hAnsi="Cambria"/>
          <w:sz w:val="20"/>
          <w:szCs w:val="20"/>
        </w:rPr>
        <w:t xml:space="preserve">that Senegal would swiftly address such </w:t>
      </w:r>
      <w:r w:rsidRPr="009C6A06">
        <w:rPr>
          <w:rFonts w:ascii="Cambria" w:hAnsi="Cambria"/>
          <w:sz w:val="20"/>
          <w:szCs w:val="20"/>
        </w:rPr>
        <w:t>requests.</w:t>
      </w:r>
    </w:p>
    <w:p w14:paraId="48D04E21" w14:textId="77777777" w:rsidR="00EC71E8" w:rsidRPr="009C6A06" w:rsidRDefault="00EC71E8" w:rsidP="00EC71E8">
      <w:pPr>
        <w:pStyle w:val="ListParagraph"/>
        <w:ind w:left="1440"/>
        <w:rPr>
          <w:rFonts w:ascii="Cambria" w:hAnsi="Cambria"/>
          <w:bCs/>
          <w:i/>
          <w:iCs/>
          <w:sz w:val="20"/>
          <w:szCs w:val="20"/>
        </w:rPr>
      </w:pPr>
    </w:p>
    <w:p w14:paraId="7A52323C" w14:textId="77777777" w:rsidR="00EC71E8" w:rsidRPr="009C6A06" w:rsidRDefault="00EC71E8" w:rsidP="00EC71E8">
      <w:pPr>
        <w:pStyle w:val="ListParagraph"/>
        <w:numPr>
          <w:ilvl w:val="1"/>
          <w:numId w:val="2"/>
        </w:numPr>
        <w:spacing w:after="240" w:line="240" w:lineRule="auto"/>
        <w:ind w:left="1440"/>
        <w:jc w:val="both"/>
        <w:rPr>
          <w:rFonts w:ascii="Cambria" w:hAnsi="Cambria"/>
          <w:bCs/>
          <w:i/>
          <w:iCs/>
          <w:sz w:val="20"/>
          <w:szCs w:val="20"/>
        </w:rPr>
      </w:pPr>
      <w:r w:rsidRPr="009C6A06">
        <w:rPr>
          <w:rFonts w:ascii="Cambria" w:hAnsi="Cambria"/>
          <w:bCs/>
          <w:sz w:val="20"/>
          <w:szCs w:val="20"/>
        </w:rPr>
        <w:t xml:space="preserve">The EU would also like to clarify that all available information related to the fraudulent imports into the EU have already been transmitted in 2023 to the relevant EU investigating authorities. </w:t>
      </w:r>
    </w:p>
    <w:p w14:paraId="3E5E175E" w14:textId="77777777" w:rsidR="00EC71E8" w:rsidRPr="009C6A06" w:rsidRDefault="00EC71E8" w:rsidP="00EC71E8">
      <w:pPr>
        <w:pStyle w:val="ListParagraph"/>
        <w:rPr>
          <w:rFonts w:ascii="Cambria" w:hAnsi="Cambria"/>
          <w:bCs/>
          <w:i/>
          <w:iCs/>
          <w:sz w:val="20"/>
          <w:szCs w:val="20"/>
        </w:rPr>
      </w:pPr>
    </w:p>
    <w:p w14:paraId="3AB33675" w14:textId="67B98CCD" w:rsidR="00EC71E8" w:rsidRPr="009C6A06" w:rsidRDefault="00EC71E8" w:rsidP="7272AFA3">
      <w:pPr>
        <w:pStyle w:val="ListParagraph"/>
        <w:numPr>
          <w:ilvl w:val="1"/>
          <w:numId w:val="2"/>
        </w:numPr>
        <w:spacing w:after="240" w:line="240" w:lineRule="auto"/>
        <w:ind w:left="1440"/>
        <w:jc w:val="both"/>
        <w:rPr>
          <w:rFonts w:ascii="Cambria" w:hAnsi="Cambria"/>
          <w:i/>
          <w:iCs/>
          <w:sz w:val="20"/>
          <w:szCs w:val="20"/>
        </w:rPr>
      </w:pPr>
      <w:r w:rsidRPr="009C6A06">
        <w:rPr>
          <w:rFonts w:ascii="Cambria" w:hAnsi="Cambria"/>
          <w:sz w:val="20"/>
          <w:szCs w:val="20"/>
        </w:rPr>
        <w:t xml:space="preserve">Last, but not least, the name of </w:t>
      </w:r>
      <w:r w:rsidR="34B032C6" w:rsidRPr="009C6A06">
        <w:rPr>
          <w:rFonts w:ascii="Cambria" w:hAnsi="Cambria"/>
          <w:sz w:val="20"/>
          <w:szCs w:val="20"/>
        </w:rPr>
        <w:t xml:space="preserve">the </w:t>
      </w:r>
      <w:r w:rsidRPr="009C6A06">
        <w:rPr>
          <w:rFonts w:ascii="Cambria" w:hAnsi="Cambria"/>
          <w:sz w:val="20"/>
          <w:szCs w:val="20"/>
        </w:rPr>
        <w:t xml:space="preserve">Belgian national that has been shared by Senegal should be well-known to Senegal, as he was a member of the Senegalese delegation to ICCAT in 2015 (ICCAT Report for biennial period, 2014-15 PART II (2015), p.36 ), registered as manager of ART SAP-MITO, the Senegalese company, but also Maguro, S.A. the Swiss company. </w:t>
      </w:r>
    </w:p>
    <w:p w14:paraId="083D0105" w14:textId="77777777" w:rsidR="00EC71E8" w:rsidRPr="009C6A06" w:rsidRDefault="00EC71E8" w:rsidP="00EC71E8">
      <w:pPr>
        <w:pStyle w:val="ListParagraph"/>
        <w:rPr>
          <w:rFonts w:ascii="Cambria" w:hAnsi="Cambria"/>
          <w:bCs/>
          <w:i/>
          <w:iCs/>
          <w:sz w:val="20"/>
          <w:szCs w:val="20"/>
        </w:rPr>
      </w:pPr>
    </w:p>
    <w:p w14:paraId="311C82FC" w14:textId="7CDF87D4" w:rsidR="00EC71E8" w:rsidRPr="009C6A06" w:rsidRDefault="00EC71E8" w:rsidP="7272AFA3">
      <w:pPr>
        <w:spacing w:after="240" w:line="240" w:lineRule="auto"/>
        <w:jc w:val="both"/>
        <w:rPr>
          <w:rFonts w:ascii="Cambria" w:hAnsi="Cambria"/>
          <w:i/>
          <w:iCs/>
          <w:sz w:val="20"/>
          <w:szCs w:val="20"/>
        </w:rPr>
      </w:pPr>
      <w:r w:rsidRPr="009C6A06">
        <w:rPr>
          <w:rFonts w:ascii="Cambria" w:hAnsi="Cambria"/>
          <w:sz w:val="20"/>
          <w:szCs w:val="20"/>
        </w:rPr>
        <w:t xml:space="preserve">Further to these clarifications on the actions that it took, the EU would like to recall, once again, that this laundering scheme would have been impossible if Senegal had properly implemented its responsibilities as Flag State, as Port State and as exporting State. The scale of the fraud </w:t>
      </w:r>
      <w:proofErr w:type="gramStart"/>
      <w:r w:rsidRPr="009C6A06">
        <w:rPr>
          <w:rFonts w:ascii="Cambria" w:hAnsi="Cambria"/>
          <w:sz w:val="20"/>
          <w:szCs w:val="20"/>
        </w:rPr>
        <w:t>is a reflection of</w:t>
      </w:r>
      <w:proofErr w:type="gramEnd"/>
      <w:r w:rsidRPr="009C6A06">
        <w:rPr>
          <w:rFonts w:ascii="Cambria" w:hAnsi="Cambria"/>
          <w:sz w:val="20"/>
          <w:szCs w:val="20"/>
        </w:rPr>
        <w:t xml:space="preserve"> the magnitude of the issues in all these areas. In that respect, the EU </w:t>
      </w:r>
      <w:r w:rsidR="5F66B415" w:rsidRPr="009C6A06">
        <w:rPr>
          <w:rFonts w:ascii="Cambria" w:hAnsi="Cambria"/>
          <w:sz w:val="20"/>
          <w:szCs w:val="20"/>
        </w:rPr>
        <w:t xml:space="preserve">refers to </w:t>
      </w:r>
      <w:r w:rsidRPr="009C6A06">
        <w:rPr>
          <w:rFonts w:ascii="Cambria" w:hAnsi="Cambria"/>
          <w:sz w:val="20"/>
          <w:szCs w:val="20"/>
        </w:rPr>
        <w:t>the data that are still missing in Senegal’s reply</w:t>
      </w:r>
      <w:r w:rsidR="0009161C" w:rsidRPr="009C6A06">
        <w:rPr>
          <w:rFonts w:ascii="Cambria" w:hAnsi="Cambria"/>
          <w:sz w:val="20"/>
          <w:szCs w:val="20"/>
        </w:rPr>
        <w:t xml:space="preserve"> (under points 1,2,3 and 4 and the Annex)</w:t>
      </w:r>
      <w:r w:rsidRPr="009C6A06">
        <w:rPr>
          <w:rFonts w:ascii="Cambria" w:hAnsi="Cambria"/>
          <w:sz w:val="20"/>
          <w:szCs w:val="20"/>
        </w:rPr>
        <w:t>.</w:t>
      </w:r>
    </w:p>
    <w:p w14:paraId="2DD9CF25" w14:textId="77777777" w:rsidR="00EC71E8" w:rsidRPr="009C6A06" w:rsidRDefault="00EC71E8" w:rsidP="00EC71E8">
      <w:pPr>
        <w:spacing w:after="240" w:line="240" w:lineRule="auto"/>
        <w:jc w:val="both"/>
        <w:rPr>
          <w:rFonts w:ascii="Cambria" w:hAnsi="Cambria" w:cs="Times New Roman"/>
          <w:bCs/>
          <w:i/>
          <w:iCs/>
          <w:sz w:val="20"/>
          <w:szCs w:val="20"/>
        </w:rPr>
      </w:pPr>
      <w:r w:rsidRPr="009C6A06">
        <w:rPr>
          <w:rFonts w:ascii="Cambria" w:hAnsi="Cambria"/>
          <w:b/>
          <w:sz w:val="20"/>
          <w:szCs w:val="20"/>
        </w:rPr>
        <w:t>As Flag State</w:t>
      </w:r>
      <w:r w:rsidRPr="009C6A06">
        <w:rPr>
          <w:rFonts w:ascii="Cambria" w:hAnsi="Cambria"/>
          <w:bCs/>
          <w:sz w:val="20"/>
          <w:szCs w:val="20"/>
        </w:rPr>
        <w:t xml:space="preserve">, Senegal still does not provide the details of the catches made by MARIO 7 and MARIO 11. More detailed catch data is eventually provided </w:t>
      </w:r>
      <w:r w:rsidRPr="009C6A06">
        <w:rPr>
          <w:rFonts w:ascii="Cambria" w:hAnsi="Cambria" w:cstheme="minorHAnsi"/>
          <w:sz w:val="20"/>
          <w:szCs w:val="20"/>
        </w:rPr>
        <w:t>for the vessels MAXIMUS and LISBOA, but remains incomplete: as an example, table 2 reports that the vessel LISBOA landed in total 3918 tons over the period 2019-2020 but table 1 only provides a breakdown per species of 992 tons.</w:t>
      </w:r>
    </w:p>
    <w:p w14:paraId="17EC90DE" w14:textId="3C5B290E" w:rsidR="00EC71E8" w:rsidRPr="009C6A06" w:rsidRDefault="00EC71E8" w:rsidP="00EC71E8">
      <w:pPr>
        <w:spacing w:after="240" w:line="240" w:lineRule="auto"/>
        <w:jc w:val="both"/>
        <w:rPr>
          <w:rFonts w:ascii="Cambria" w:hAnsi="Cambria" w:cs="Times New Roman"/>
          <w:bCs/>
          <w:i/>
          <w:iCs/>
          <w:sz w:val="20"/>
          <w:szCs w:val="20"/>
        </w:rPr>
      </w:pPr>
      <w:r w:rsidRPr="009C6A06">
        <w:rPr>
          <w:rFonts w:ascii="Cambria" w:hAnsi="Cambria" w:cstheme="minorHAnsi"/>
          <w:sz w:val="20"/>
          <w:szCs w:val="20"/>
        </w:rPr>
        <w:lastRenderedPageBreak/>
        <w:t>The EU also requests that Senegal clarifies the source of the quantities mentioned in table 1 and table 2.</w:t>
      </w:r>
    </w:p>
    <w:p w14:paraId="697E40A1" w14:textId="469B65D0" w:rsidR="00EC71E8" w:rsidRPr="009C6A06" w:rsidRDefault="00EC71E8" w:rsidP="7272AFA3">
      <w:pPr>
        <w:jc w:val="both"/>
        <w:rPr>
          <w:rFonts w:ascii="Cambria" w:hAnsi="Cambria"/>
          <w:sz w:val="20"/>
          <w:szCs w:val="20"/>
        </w:rPr>
      </w:pPr>
      <w:r w:rsidRPr="009C6A06">
        <w:rPr>
          <w:rFonts w:ascii="Cambria" w:hAnsi="Cambria"/>
          <w:sz w:val="20"/>
          <w:szCs w:val="20"/>
        </w:rPr>
        <w:t>In table 1 because the reference to “certified quantities” could suggest that these quantities reflect the ones in the certificates transmitted by the EU, but the quantities do not match (obvious difference</w:t>
      </w:r>
      <w:r w:rsidR="00F913CF" w:rsidRPr="009C6A06">
        <w:rPr>
          <w:rFonts w:ascii="Cambria" w:hAnsi="Cambria"/>
          <w:sz w:val="20"/>
          <w:szCs w:val="20"/>
        </w:rPr>
        <w:t xml:space="preserve"> </w:t>
      </w:r>
      <w:r w:rsidRPr="009C6A06">
        <w:rPr>
          <w:rFonts w:ascii="Cambria" w:hAnsi="Cambria"/>
          <w:sz w:val="20"/>
          <w:szCs w:val="20"/>
        </w:rPr>
        <w:t>in the quantities of albacore tuna reported for LISBOA).</w:t>
      </w:r>
    </w:p>
    <w:p w14:paraId="2B82523B" w14:textId="71005E25" w:rsidR="00EC71E8" w:rsidRPr="009C6A06" w:rsidRDefault="00EC71E8" w:rsidP="00EC71E8">
      <w:pPr>
        <w:jc w:val="both"/>
        <w:rPr>
          <w:rFonts w:ascii="Cambria" w:hAnsi="Cambria" w:cs="Times New Roman"/>
          <w:bCs/>
          <w:i/>
          <w:iCs/>
          <w:sz w:val="20"/>
          <w:szCs w:val="20"/>
        </w:rPr>
      </w:pPr>
      <w:r w:rsidRPr="009C6A06">
        <w:rPr>
          <w:rFonts w:ascii="Cambria" w:hAnsi="Cambria" w:cstheme="minorHAnsi"/>
          <w:sz w:val="20"/>
          <w:szCs w:val="20"/>
        </w:rPr>
        <w:t xml:space="preserve">In table 2 because the figures are inconsistent with the ones submitted last year by Senegal (COC_312/2024_Addendum_1) – see below: </w:t>
      </w:r>
    </w:p>
    <w:tbl>
      <w:tblPr>
        <w:tblStyle w:val="TableGrid"/>
        <w:tblW w:w="0" w:type="auto"/>
        <w:tblInd w:w="-318" w:type="dxa"/>
        <w:tblLook w:val="04A0" w:firstRow="1" w:lastRow="0" w:firstColumn="1" w:lastColumn="0" w:noHBand="0" w:noVBand="1"/>
      </w:tblPr>
      <w:tblGrid>
        <w:gridCol w:w="1401"/>
        <w:gridCol w:w="1141"/>
        <w:gridCol w:w="1222"/>
        <w:gridCol w:w="1243"/>
        <w:gridCol w:w="1420"/>
        <w:gridCol w:w="1455"/>
        <w:gridCol w:w="1452"/>
      </w:tblGrid>
      <w:tr w:rsidR="00EC71E8" w:rsidRPr="009C6A06" w14:paraId="220A17FD" w14:textId="77777777" w:rsidTr="00EC71E8">
        <w:trPr>
          <w:trHeight w:val="648"/>
        </w:trPr>
        <w:tc>
          <w:tcPr>
            <w:tcW w:w="1427" w:type="dxa"/>
          </w:tcPr>
          <w:p w14:paraId="419970EF" w14:textId="77777777" w:rsidR="00EC71E8" w:rsidRPr="009C6A06" w:rsidRDefault="00EC71E8" w:rsidP="00B30FF1">
            <w:pPr>
              <w:jc w:val="center"/>
              <w:rPr>
                <w:rFonts w:ascii="Cambria" w:hAnsi="Cambria"/>
                <w:bCs/>
                <w:i/>
                <w:iCs/>
                <w:sz w:val="20"/>
                <w:szCs w:val="20"/>
              </w:rPr>
            </w:pPr>
          </w:p>
        </w:tc>
        <w:tc>
          <w:tcPr>
            <w:tcW w:w="3677" w:type="dxa"/>
            <w:gridSpan w:val="3"/>
          </w:tcPr>
          <w:p w14:paraId="368E4FF3" w14:textId="77777777" w:rsidR="00EC71E8" w:rsidRPr="009C6A06" w:rsidRDefault="00EC71E8" w:rsidP="00B30FF1">
            <w:pPr>
              <w:jc w:val="center"/>
              <w:rPr>
                <w:rFonts w:ascii="Cambria" w:hAnsi="Cambria"/>
                <w:bCs/>
                <w:i/>
                <w:iCs/>
                <w:sz w:val="20"/>
                <w:szCs w:val="20"/>
              </w:rPr>
            </w:pPr>
            <w:r w:rsidRPr="009C6A06">
              <w:rPr>
                <w:rFonts w:ascii="Cambria" w:hAnsi="Cambria"/>
                <w:bCs/>
                <w:i/>
                <w:iCs/>
                <w:sz w:val="20"/>
                <w:szCs w:val="20"/>
              </w:rPr>
              <w:t>COC_312/2024_Addendum 1</w:t>
            </w:r>
          </w:p>
        </w:tc>
        <w:tc>
          <w:tcPr>
            <w:tcW w:w="4456" w:type="dxa"/>
            <w:gridSpan w:val="3"/>
          </w:tcPr>
          <w:p w14:paraId="0C9DEFED" w14:textId="03B3D08E" w:rsidR="00EC71E8" w:rsidRPr="009C6A06" w:rsidRDefault="00EC71E8" w:rsidP="00B30FF1">
            <w:pPr>
              <w:jc w:val="center"/>
              <w:rPr>
                <w:rFonts w:ascii="Cambria" w:hAnsi="Cambria"/>
                <w:bCs/>
                <w:i/>
                <w:iCs/>
                <w:sz w:val="20"/>
                <w:szCs w:val="20"/>
              </w:rPr>
            </w:pPr>
            <w:r w:rsidRPr="009C6A06">
              <w:rPr>
                <w:rFonts w:ascii="Cambria" w:hAnsi="Cambria"/>
                <w:bCs/>
                <w:i/>
                <w:iCs/>
                <w:sz w:val="20"/>
                <w:szCs w:val="20"/>
              </w:rPr>
              <w:t>COC 312/</w:t>
            </w:r>
            <w:proofErr w:type="gramStart"/>
            <w:r w:rsidRPr="009C6A06">
              <w:rPr>
                <w:rFonts w:ascii="Cambria" w:hAnsi="Cambria"/>
                <w:bCs/>
                <w:i/>
                <w:iCs/>
                <w:sz w:val="20"/>
                <w:szCs w:val="20"/>
              </w:rPr>
              <w:t>2025,  table</w:t>
            </w:r>
            <w:proofErr w:type="gramEnd"/>
            <w:r w:rsidRPr="009C6A06">
              <w:rPr>
                <w:rFonts w:ascii="Cambria" w:hAnsi="Cambria"/>
                <w:bCs/>
                <w:i/>
                <w:iCs/>
                <w:sz w:val="20"/>
                <w:szCs w:val="20"/>
              </w:rPr>
              <w:t xml:space="preserve"> </w:t>
            </w:r>
            <w:proofErr w:type="gramStart"/>
            <w:r w:rsidRPr="009C6A06">
              <w:rPr>
                <w:rFonts w:ascii="Cambria" w:hAnsi="Cambria"/>
                <w:bCs/>
                <w:i/>
                <w:iCs/>
                <w:sz w:val="20"/>
                <w:szCs w:val="20"/>
              </w:rPr>
              <w:t>2 .</w:t>
            </w:r>
            <w:proofErr w:type="gramEnd"/>
          </w:p>
        </w:tc>
      </w:tr>
      <w:tr w:rsidR="00EC71E8" w:rsidRPr="009C6A06" w14:paraId="409D8A93" w14:textId="77777777" w:rsidTr="00B30FF1">
        <w:tc>
          <w:tcPr>
            <w:tcW w:w="1427" w:type="dxa"/>
          </w:tcPr>
          <w:p w14:paraId="784703EC" w14:textId="77777777" w:rsidR="00EC71E8" w:rsidRPr="009C6A06" w:rsidRDefault="00EC71E8" w:rsidP="00B30FF1">
            <w:pPr>
              <w:jc w:val="center"/>
              <w:rPr>
                <w:rFonts w:ascii="Cambria" w:hAnsi="Cambria"/>
                <w:bCs/>
                <w:sz w:val="20"/>
                <w:szCs w:val="20"/>
              </w:rPr>
            </w:pPr>
          </w:p>
        </w:tc>
        <w:tc>
          <w:tcPr>
            <w:tcW w:w="1168" w:type="dxa"/>
          </w:tcPr>
          <w:p w14:paraId="576E6BB8" w14:textId="77777777" w:rsidR="00EC71E8" w:rsidRPr="009C6A06" w:rsidRDefault="00EC71E8" w:rsidP="00B30FF1">
            <w:pPr>
              <w:jc w:val="center"/>
              <w:rPr>
                <w:rFonts w:ascii="Cambria" w:hAnsi="Cambria"/>
                <w:bCs/>
                <w:i/>
                <w:iCs/>
                <w:sz w:val="20"/>
                <w:szCs w:val="20"/>
              </w:rPr>
            </w:pPr>
            <w:r w:rsidRPr="009C6A06">
              <w:rPr>
                <w:rFonts w:ascii="Cambria" w:hAnsi="Cambria"/>
                <w:bCs/>
                <w:i/>
                <w:iCs/>
                <w:sz w:val="20"/>
                <w:szCs w:val="20"/>
              </w:rPr>
              <w:t>Entries</w:t>
            </w:r>
          </w:p>
        </w:tc>
        <w:tc>
          <w:tcPr>
            <w:tcW w:w="1242" w:type="dxa"/>
          </w:tcPr>
          <w:p w14:paraId="42275CC4" w14:textId="77777777" w:rsidR="00EC71E8" w:rsidRPr="009C6A06" w:rsidRDefault="00EC71E8" w:rsidP="00B30FF1">
            <w:pPr>
              <w:jc w:val="center"/>
              <w:rPr>
                <w:rFonts w:ascii="Cambria" w:hAnsi="Cambria"/>
                <w:bCs/>
                <w:i/>
                <w:iCs/>
                <w:sz w:val="20"/>
                <w:szCs w:val="20"/>
              </w:rPr>
            </w:pPr>
            <w:r w:rsidRPr="009C6A06">
              <w:rPr>
                <w:rFonts w:ascii="Cambria" w:hAnsi="Cambria"/>
                <w:bCs/>
                <w:i/>
                <w:iCs/>
                <w:sz w:val="20"/>
                <w:szCs w:val="20"/>
              </w:rPr>
              <w:t>Landings</w:t>
            </w:r>
          </w:p>
        </w:tc>
        <w:tc>
          <w:tcPr>
            <w:tcW w:w="1267" w:type="dxa"/>
          </w:tcPr>
          <w:p w14:paraId="7B1EACC2" w14:textId="77777777" w:rsidR="00EC71E8" w:rsidRPr="009C6A06" w:rsidRDefault="00EC71E8" w:rsidP="00B30FF1">
            <w:pPr>
              <w:jc w:val="center"/>
              <w:rPr>
                <w:rFonts w:ascii="Cambria" w:hAnsi="Cambria"/>
                <w:bCs/>
                <w:i/>
                <w:iCs/>
                <w:sz w:val="20"/>
                <w:szCs w:val="20"/>
              </w:rPr>
            </w:pPr>
            <w:r w:rsidRPr="009C6A06">
              <w:rPr>
                <w:rFonts w:ascii="Cambria" w:hAnsi="Cambria"/>
                <w:bCs/>
                <w:i/>
                <w:iCs/>
                <w:sz w:val="20"/>
                <w:szCs w:val="20"/>
              </w:rPr>
              <w:t>Quantity landed (kg)</w:t>
            </w:r>
          </w:p>
        </w:tc>
        <w:tc>
          <w:tcPr>
            <w:tcW w:w="1470" w:type="dxa"/>
          </w:tcPr>
          <w:p w14:paraId="62D67B58" w14:textId="77777777" w:rsidR="00EC71E8" w:rsidRPr="009C6A06" w:rsidRDefault="00EC71E8" w:rsidP="00B30FF1">
            <w:pPr>
              <w:jc w:val="center"/>
              <w:rPr>
                <w:rFonts w:ascii="Cambria" w:hAnsi="Cambria"/>
                <w:bCs/>
                <w:i/>
                <w:iCs/>
                <w:sz w:val="20"/>
                <w:szCs w:val="20"/>
              </w:rPr>
            </w:pPr>
            <w:r w:rsidRPr="009C6A06">
              <w:rPr>
                <w:rFonts w:ascii="Cambria" w:hAnsi="Cambria"/>
                <w:bCs/>
                <w:i/>
                <w:iCs/>
                <w:sz w:val="20"/>
                <w:szCs w:val="20"/>
              </w:rPr>
              <w:t>Entries</w:t>
            </w:r>
          </w:p>
        </w:tc>
        <w:tc>
          <w:tcPr>
            <w:tcW w:w="1493" w:type="dxa"/>
          </w:tcPr>
          <w:p w14:paraId="5946DC53" w14:textId="77777777" w:rsidR="00EC71E8" w:rsidRPr="009C6A06" w:rsidRDefault="00EC71E8" w:rsidP="00B30FF1">
            <w:pPr>
              <w:jc w:val="center"/>
              <w:rPr>
                <w:rFonts w:ascii="Cambria" w:hAnsi="Cambria"/>
                <w:bCs/>
                <w:i/>
                <w:iCs/>
                <w:sz w:val="20"/>
                <w:szCs w:val="20"/>
              </w:rPr>
            </w:pPr>
            <w:r w:rsidRPr="009C6A06">
              <w:rPr>
                <w:rFonts w:ascii="Cambria" w:hAnsi="Cambria"/>
                <w:bCs/>
                <w:i/>
                <w:iCs/>
                <w:sz w:val="20"/>
                <w:szCs w:val="20"/>
              </w:rPr>
              <w:t>Landings</w:t>
            </w:r>
          </w:p>
        </w:tc>
        <w:tc>
          <w:tcPr>
            <w:tcW w:w="1493" w:type="dxa"/>
          </w:tcPr>
          <w:p w14:paraId="0E7F3193" w14:textId="77777777" w:rsidR="00EC71E8" w:rsidRPr="009C6A06" w:rsidRDefault="00EC71E8" w:rsidP="00B30FF1">
            <w:pPr>
              <w:jc w:val="center"/>
              <w:rPr>
                <w:rFonts w:ascii="Cambria" w:hAnsi="Cambria"/>
                <w:bCs/>
                <w:i/>
                <w:iCs/>
                <w:sz w:val="20"/>
                <w:szCs w:val="20"/>
              </w:rPr>
            </w:pPr>
            <w:r w:rsidRPr="009C6A06">
              <w:rPr>
                <w:rFonts w:ascii="Cambria" w:hAnsi="Cambria"/>
                <w:bCs/>
                <w:i/>
                <w:iCs/>
                <w:sz w:val="20"/>
                <w:szCs w:val="20"/>
              </w:rPr>
              <w:t>Quantity landed (kg)</w:t>
            </w:r>
          </w:p>
        </w:tc>
      </w:tr>
      <w:tr w:rsidR="00EC71E8" w:rsidRPr="009C6A06" w14:paraId="2D78644D" w14:textId="77777777" w:rsidTr="00B30FF1">
        <w:tc>
          <w:tcPr>
            <w:tcW w:w="1427" w:type="dxa"/>
          </w:tcPr>
          <w:p w14:paraId="76DA0FC0" w14:textId="77777777" w:rsidR="00EC71E8" w:rsidRPr="009C6A06" w:rsidRDefault="00EC71E8" w:rsidP="00B30FF1">
            <w:pPr>
              <w:jc w:val="center"/>
              <w:rPr>
                <w:rFonts w:ascii="Cambria" w:hAnsi="Cambria"/>
                <w:bCs/>
                <w:sz w:val="20"/>
                <w:szCs w:val="20"/>
              </w:rPr>
            </w:pPr>
            <w:r w:rsidRPr="009C6A06">
              <w:rPr>
                <w:rFonts w:ascii="Cambria" w:hAnsi="Cambria"/>
                <w:bCs/>
                <w:sz w:val="20"/>
                <w:szCs w:val="20"/>
              </w:rPr>
              <w:t>MAXIMUS in 2019</w:t>
            </w:r>
          </w:p>
        </w:tc>
        <w:tc>
          <w:tcPr>
            <w:tcW w:w="1168" w:type="dxa"/>
          </w:tcPr>
          <w:p w14:paraId="269B3D9A" w14:textId="77777777" w:rsidR="00EC71E8" w:rsidRPr="009C6A06" w:rsidRDefault="00EC71E8" w:rsidP="00B30FF1">
            <w:pPr>
              <w:jc w:val="center"/>
              <w:rPr>
                <w:rFonts w:ascii="Cambria" w:hAnsi="Cambria"/>
                <w:bCs/>
                <w:i/>
                <w:iCs/>
                <w:sz w:val="20"/>
                <w:szCs w:val="20"/>
              </w:rPr>
            </w:pPr>
            <w:r w:rsidRPr="009C6A06">
              <w:rPr>
                <w:rFonts w:ascii="Cambria" w:hAnsi="Cambria"/>
                <w:bCs/>
                <w:i/>
                <w:iCs/>
                <w:sz w:val="20"/>
                <w:szCs w:val="20"/>
              </w:rPr>
              <w:t>8</w:t>
            </w:r>
          </w:p>
        </w:tc>
        <w:tc>
          <w:tcPr>
            <w:tcW w:w="1242" w:type="dxa"/>
          </w:tcPr>
          <w:p w14:paraId="2C96F25F" w14:textId="77777777" w:rsidR="00EC71E8" w:rsidRPr="009C6A06" w:rsidRDefault="00EC71E8" w:rsidP="00B30FF1">
            <w:pPr>
              <w:jc w:val="center"/>
              <w:rPr>
                <w:rFonts w:ascii="Cambria" w:hAnsi="Cambria"/>
                <w:bCs/>
                <w:i/>
                <w:iCs/>
                <w:sz w:val="20"/>
                <w:szCs w:val="20"/>
              </w:rPr>
            </w:pPr>
            <w:r w:rsidRPr="009C6A06">
              <w:rPr>
                <w:rFonts w:ascii="Cambria" w:hAnsi="Cambria"/>
                <w:bCs/>
                <w:i/>
                <w:iCs/>
                <w:sz w:val="20"/>
                <w:szCs w:val="20"/>
              </w:rPr>
              <w:t>8</w:t>
            </w:r>
          </w:p>
        </w:tc>
        <w:tc>
          <w:tcPr>
            <w:tcW w:w="1267" w:type="dxa"/>
          </w:tcPr>
          <w:p w14:paraId="35DCED8B" w14:textId="77777777" w:rsidR="00EC71E8" w:rsidRPr="009C6A06" w:rsidRDefault="00EC71E8" w:rsidP="00B30FF1">
            <w:pPr>
              <w:jc w:val="center"/>
              <w:rPr>
                <w:rFonts w:ascii="Cambria" w:hAnsi="Cambria"/>
                <w:bCs/>
                <w:i/>
                <w:iCs/>
                <w:sz w:val="20"/>
                <w:szCs w:val="20"/>
              </w:rPr>
            </w:pPr>
            <w:r w:rsidRPr="009C6A06">
              <w:rPr>
                <w:rFonts w:ascii="Cambria" w:hAnsi="Cambria"/>
                <w:bCs/>
                <w:i/>
                <w:iCs/>
                <w:sz w:val="20"/>
                <w:szCs w:val="20"/>
              </w:rPr>
              <w:t>3 349 787</w:t>
            </w:r>
          </w:p>
        </w:tc>
        <w:tc>
          <w:tcPr>
            <w:tcW w:w="1470" w:type="dxa"/>
          </w:tcPr>
          <w:p w14:paraId="7791CED3" w14:textId="77777777" w:rsidR="00EC71E8" w:rsidRPr="009C6A06" w:rsidRDefault="00EC71E8" w:rsidP="00B30FF1">
            <w:pPr>
              <w:jc w:val="center"/>
              <w:rPr>
                <w:rFonts w:ascii="Cambria" w:hAnsi="Cambria"/>
                <w:bCs/>
                <w:i/>
                <w:iCs/>
                <w:sz w:val="20"/>
                <w:szCs w:val="20"/>
              </w:rPr>
            </w:pPr>
            <w:r w:rsidRPr="009C6A06">
              <w:rPr>
                <w:rFonts w:ascii="Cambria" w:hAnsi="Cambria"/>
                <w:bCs/>
                <w:i/>
                <w:iCs/>
                <w:sz w:val="20"/>
                <w:szCs w:val="20"/>
              </w:rPr>
              <w:t>9</w:t>
            </w:r>
          </w:p>
        </w:tc>
        <w:tc>
          <w:tcPr>
            <w:tcW w:w="1493" w:type="dxa"/>
          </w:tcPr>
          <w:p w14:paraId="2FB872FC" w14:textId="77777777" w:rsidR="00EC71E8" w:rsidRPr="009C6A06" w:rsidRDefault="00EC71E8" w:rsidP="00B30FF1">
            <w:pPr>
              <w:jc w:val="center"/>
              <w:rPr>
                <w:rFonts w:ascii="Cambria" w:hAnsi="Cambria"/>
                <w:bCs/>
                <w:i/>
                <w:iCs/>
                <w:sz w:val="20"/>
                <w:szCs w:val="20"/>
              </w:rPr>
            </w:pPr>
            <w:r w:rsidRPr="009C6A06">
              <w:rPr>
                <w:rFonts w:ascii="Cambria" w:hAnsi="Cambria"/>
                <w:bCs/>
                <w:i/>
                <w:iCs/>
                <w:sz w:val="20"/>
                <w:szCs w:val="20"/>
              </w:rPr>
              <w:t>8</w:t>
            </w:r>
          </w:p>
        </w:tc>
        <w:tc>
          <w:tcPr>
            <w:tcW w:w="1493" w:type="dxa"/>
          </w:tcPr>
          <w:p w14:paraId="521FEA9D" w14:textId="77777777" w:rsidR="00EC71E8" w:rsidRPr="009C6A06" w:rsidRDefault="00EC71E8" w:rsidP="00B30FF1">
            <w:pPr>
              <w:jc w:val="center"/>
              <w:rPr>
                <w:rFonts w:ascii="Cambria" w:hAnsi="Cambria"/>
                <w:bCs/>
                <w:i/>
                <w:iCs/>
                <w:sz w:val="20"/>
                <w:szCs w:val="20"/>
              </w:rPr>
            </w:pPr>
            <w:r w:rsidRPr="009C6A06">
              <w:rPr>
                <w:rFonts w:ascii="Cambria" w:hAnsi="Cambria"/>
                <w:bCs/>
                <w:i/>
                <w:iCs/>
                <w:sz w:val="20"/>
                <w:szCs w:val="20"/>
              </w:rPr>
              <w:t>1 499 069</w:t>
            </w:r>
          </w:p>
        </w:tc>
      </w:tr>
      <w:tr w:rsidR="00EC71E8" w:rsidRPr="009C6A06" w14:paraId="57396B59" w14:textId="77777777" w:rsidTr="00B30FF1">
        <w:tc>
          <w:tcPr>
            <w:tcW w:w="1427" w:type="dxa"/>
          </w:tcPr>
          <w:p w14:paraId="7EAC9A96" w14:textId="77777777" w:rsidR="00EC71E8" w:rsidRPr="009C6A06" w:rsidRDefault="00EC71E8" w:rsidP="00B30FF1">
            <w:pPr>
              <w:jc w:val="center"/>
              <w:rPr>
                <w:rFonts w:ascii="Cambria" w:hAnsi="Cambria"/>
                <w:bCs/>
                <w:sz w:val="20"/>
                <w:szCs w:val="20"/>
              </w:rPr>
            </w:pPr>
            <w:r w:rsidRPr="009C6A06">
              <w:rPr>
                <w:rFonts w:ascii="Cambria" w:hAnsi="Cambria"/>
                <w:bCs/>
                <w:sz w:val="20"/>
                <w:szCs w:val="20"/>
              </w:rPr>
              <w:t>MAXIMUS in 2020</w:t>
            </w:r>
          </w:p>
        </w:tc>
        <w:tc>
          <w:tcPr>
            <w:tcW w:w="1168" w:type="dxa"/>
          </w:tcPr>
          <w:p w14:paraId="3EB36AAC" w14:textId="77777777" w:rsidR="00EC71E8" w:rsidRPr="009C6A06" w:rsidRDefault="00EC71E8" w:rsidP="00B30FF1">
            <w:pPr>
              <w:jc w:val="center"/>
              <w:rPr>
                <w:rFonts w:ascii="Cambria" w:hAnsi="Cambria"/>
                <w:bCs/>
                <w:i/>
                <w:iCs/>
                <w:sz w:val="20"/>
                <w:szCs w:val="20"/>
              </w:rPr>
            </w:pPr>
            <w:r w:rsidRPr="009C6A06">
              <w:rPr>
                <w:rFonts w:ascii="Cambria" w:hAnsi="Cambria"/>
                <w:bCs/>
                <w:i/>
                <w:iCs/>
                <w:sz w:val="20"/>
                <w:szCs w:val="20"/>
              </w:rPr>
              <w:t>7</w:t>
            </w:r>
          </w:p>
        </w:tc>
        <w:tc>
          <w:tcPr>
            <w:tcW w:w="1242" w:type="dxa"/>
          </w:tcPr>
          <w:p w14:paraId="04101DD5" w14:textId="77777777" w:rsidR="00EC71E8" w:rsidRPr="009C6A06" w:rsidRDefault="00EC71E8" w:rsidP="00B30FF1">
            <w:pPr>
              <w:jc w:val="center"/>
              <w:rPr>
                <w:rFonts w:ascii="Cambria" w:hAnsi="Cambria"/>
                <w:bCs/>
                <w:i/>
                <w:iCs/>
                <w:sz w:val="20"/>
                <w:szCs w:val="20"/>
              </w:rPr>
            </w:pPr>
            <w:r w:rsidRPr="009C6A06">
              <w:rPr>
                <w:rFonts w:ascii="Cambria" w:hAnsi="Cambria"/>
                <w:bCs/>
                <w:i/>
                <w:iCs/>
                <w:sz w:val="20"/>
                <w:szCs w:val="20"/>
              </w:rPr>
              <w:t>7</w:t>
            </w:r>
          </w:p>
        </w:tc>
        <w:tc>
          <w:tcPr>
            <w:tcW w:w="1267" w:type="dxa"/>
          </w:tcPr>
          <w:p w14:paraId="79552395" w14:textId="77777777" w:rsidR="00EC71E8" w:rsidRPr="009C6A06" w:rsidRDefault="00EC71E8" w:rsidP="00B30FF1">
            <w:pPr>
              <w:jc w:val="center"/>
              <w:rPr>
                <w:rFonts w:ascii="Cambria" w:hAnsi="Cambria"/>
                <w:bCs/>
                <w:i/>
                <w:iCs/>
                <w:sz w:val="20"/>
                <w:szCs w:val="20"/>
              </w:rPr>
            </w:pPr>
            <w:r w:rsidRPr="009C6A06">
              <w:rPr>
                <w:rFonts w:ascii="Cambria" w:hAnsi="Cambria"/>
                <w:bCs/>
                <w:i/>
                <w:iCs/>
                <w:sz w:val="20"/>
                <w:szCs w:val="20"/>
              </w:rPr>
              <w:t>1 552 684</w:t>
            </w:r>
          </w:p>
        </w:tc>
        <w:tc>
          <w:tcPr>
            <w:tcW w:w="1470" w:type="dxa"/>
          </w:tcPr>
          <w:p w14:paraId="5242F59A" w14:textId="77777777" w:rsidR="00EC71E8" w:rsidRPr="009C6A06" w:rsidRDefault="00EC71E8" w:rsidP="00B30FF1">
            <w:pPr>
              <w:jc w:val="center"/>
              <w:rPr>
                <w:rFonts w:ascii="Cambria" w:hAnsi="Cambria"/>
                <w:bCs/>
                <w:i/>
                <w:iCs/>
                <w:sz w:val="20"/>
                <w:szCs w:val="20"/>
              </w:rPr>
            </w:pPr>
            <w:r w:rsidRPr="009C6A06">
              <w:rPr>
                <w:rFonts w:ascii="Cambria" w:hAnsi="Cambria"/>
                <w:bCs/>
                <w:i/>
                <w:iCs/>
                <w:sz w:val="20"/>
                <w:szCs w:val="20"/>
              </w:rPr>
              <w:t>6</w:t>
            </w:r>
          </w:p>
        </w:tc>
        <w:tc>
          <w:tcPr>
            <w:tcW w:w="1493" w:type="dxa"/>
          </w:tcPr>
          <w:p w14:paraId="6DD4F321" w14:textId="77777777" w:rsidR="00EC71E8" w:rsidRPr="009C6A06" w:rsidRDefault="00EC71E8" w:rsidP="00B30FF1">
            <w:pPr>
              <w:jc w:val="center"/>
              <w:rPr>
                <w:rFonts w:ascii="Cambria" w:hAnsi="Cambria"/>
                <w:bCs/>
                <w:i/>
                <w:iCs/>
                <w:sz w:val="20"/>
                <w:szCs w:val="20"/>
              </w:rPr>
            </w:pPr>
            <w:r w:rsidRPr="009C6A06">
              <w:rPr>
                <w:rFonts w:ascii="Cambria" w:hAnsi="Cambria"/>
                <w:bCs/>
                <w:i/>
                <w:iCs/>
                <w:sz w:val="20"/>
                <w:szCs w:val="20"/>
              </w:rPr>
              <w:t>6</w:t>
            </w:r>
          </w:p>
        </w:tc>
        <w:tc>
          <w:tcPr>
            <w:tcW w:w="1493" w:type="dxa"/>
          </w:tcPr>
          <w:p w14:paraId="1D801F31" w14:textId="77777777" w:rsidR="00EC71E8" w:rsidRPr="009C6A06" w:rsidRDefault="00EC71E8" w:rsidP="00B30FF1">
            <w:pPr>
              <w:jc w:val="center"/>
              <w:rPr>
                <w:rFonts w:ascii="Cambria" w:hAnsi="Cambria"/>
                <w:bCs/>
                <w:i/>
                <w:iCs/>
                <w:sz w:val="20"/>
                <w:szCs w:val="20"/>
              </w:rPr>
            </w:pPr>
            <w:r w:rsidRPr="009C6A06">
              <w:rPr>
                <w:rFonts w:ascii="Cambria" w:hAnsi="Cambria"/>
                <w:bCs/>
                <w:i/>
                <w:iCs/>
                <w:sz w:val="20"/>
                <w:szCs w:val="20"/>
              </w:rPr>
              <w:t>1 101 997</w:t>
            </w:r>
          </w:p>
        </w:tc>
      </w:tr>
      <w:tr w:rsidR="00EC71E8" w:rsidRPr="009C6A06" w14:paraId="5F9C30A2" w14:textId="77777777" w:rsidTr="00B30FF1">
        <w:tc>
          <w:tcPr>
            <w:tcW w:w="1427" w:type="dxa"/>
          </w:tcPr>
          <w:p w14:paraId="50D81949" w14:textId="77777777" w:rsidR="00EC71E8" w:rsidRPr="009C6A06" w:rsidRDefault="00EC71E8" w:rsidP="00B30FF1">
            <w:pPr>
              <w:jc w:val="center"/>
              <w:rPr>
                <w:rFonts w:ascii="Cambria" w:hAnsi="Cambria"/>
                <w:bCs/>
                <w:sz w:val="20"/>
                <w:szCs w:val="20"/>
              </w:rPr>
            </w:pPr>
            <w:r w:rsidRPr="009C6A06">
              <w:rPr>
                <w:rFonts w:ascii="Cambria" w:hAnsi="Cambria"/>
                <w:bCs/>
                <w:sz w:val="20"/>
                <w:szCs w:val="20"/>
              </w:rPr>
              <w:t>LISBOA in 2019</w:t>
            </w:r>
          </w:p>
        </w:tc>
        <w:tc>
          <w:tcPr>
            <w:tcW w:w="1168" w:type="dxa"/>
          </w:tcPr>
          <w:p w14:paraId="0D4EEB33" w14:textId="77777777" w:rsidR="00EC71E8" w:rsidRPr="009C6A06" w:rsidRDefault="00EC71E8" w:rsidP="00B30FF1">
            <w:pPr>
              <w:jc w:val="center"/>
              <w:rPr>
                <w:rFonts w:ascii="Cambria" w:hAnsi="Cambria"/>
                <w:bCs/>
                <w:i/>
                <w:iCs/>
                <w:sz w:val="20"/>
                <w:szCs w:val="20"/>
              </w:rPr>
            </w:pPr>
            <w:r w:rsidRPr="009C6A06">
              <w:rPr>
                <w:rFonts w:ascii="Cambria" w:hAnsi="Cambria"/>
                <w:bCs/>
                <w:i/>
                <w:iCs/>
                <w:sz w:val="20"/>
                <w:szCs w:val="20"/>
              </w:rPr>
              <w:t>10</w:t>
            </w:r>
          </w:p>
        </w:tc>
        <w:tc>
          <w:tcPr>
            <w:tcW w:w="1242" w:type="dxa"/>
          </w:tcPr>
          <w:p w14:paraId="27A1C9A9" w14:textId="77777777" w:rsidR="00EC71E8" w:rsidRPr="009C6A06" w:rsidRDefault="00EC71E8" w:rsidP="00B30FF1">
            <w:pPr>
              <w:jc w:val="center"/>
              <w:rPr>
                <w:rFonts w:ascii="Cambria" w:hAnsi="Cambria"/>
                <w:bCs/>
                <w:i/>
                <w:iCs/>
                <w:sz w:val="20"/>
                <w:szCs w:val="20"/>
              </w:rPr>
            </w:pPr>
            <w:r w:rsidRPr="009C6A06">
              <w:rPr>
                <w:rFonts w:ascii="Cambria" w:hAnsi="Cambria"/>
                <w:bCs/>
                <w:i/>
                <w:iCs/>
                <w:sz w:val="20"/>
                <w:szCs w:val="20"/>
              </w:rPr>
              <w:t>9</w:t>
            </w:r>
          </w:p>
        </w:tc>
        <w:tc>
          <w:tcPr>
            <w:tcW w:w="1267" w:type="dxa"/>
          </w:tcPr>
          <w:p w14:paraId="04C232D6" w14:textId="77777777" w:rsidR="00EC71E8" w:rsidRPr="009C6A06" w:rsidRDefault="00EC71E8" w:rsidP="00B30FF1">
            <w:pPr>
              <w:jc w:val="center"/>
              <w:rPr>
                <w:rFonts w:ascii="Cambria" w:hAnsi="Cambria"/>
                <w:bCs/>
                <w:i/>
                <w:iCs/>
                <w:sz w:val="20"/>
                <w:szCs w:val="20"/>
              </w:rPr>
            </w:pPr>
            <w:r w:rsidRPr="009C6A06">
              <w:rPr>
                <w:rFonts w:ascii="Cambria" w:hAnsi="Cambria"/>
                <w:bCs/>
                <w:i/>
                <w:iCs/>
                <w:sz w:val="20"/>
                <w:szCs w:val="20"/>
              </w:rPr>
              <w:t>1 658 759</w:t>
            </w:r>
          </w:p>
        </w:tc>
        <w:tc>
          <w:tcPr>
            <w:tcW w:w="1470" w:type="dxa"/>
          </w:tcPr>
          <w:p w14:paraId="2924F870" w14:textId="77777777" w:rsidR="00EC71E8" w:rsidRPr="009C6A06" w:rsidRDefault="00EC71E8" w:rsidP="00B30FF1">
            <w:pPr>
              <w:jc w:val="center"/>
              <w:rPr>
                <w:rFonts w:ascii="Cambria" w:hAnsi="Cambria"/>
                <w:bCs/>
                <w:i/>
                <w:iCs/>
                <w:sz w:val="20"/>
                <w:szCs w:val="20"/>
              </w:rPr>
            </w:pPr>
            <w:r w:rsidRPr="009C6A06">
              <w:rPr>
                <w:rFonts w:ascii="Cambria" w:hAnsi="Cambria"/>
                <w:bCs/>
                <w:i/>
                <w:iCs/>
                <w:sz w:val="20"/>
                <w:szCs w:val="20"/>
              </w:rPr>
              <w:t>11</w:t>
            </w:r>
          </w:p>
        </w:tc>
        <w:tc>
          <w:tcPr>
            <w:tcW w:w="1493" w:type="dxa"/>
          </w:tcPr>
          <w:p w14:paraId="0A5B991D" w14:textId="77777777" w:rsidR="00EC71E8" w:rsidRPr="009C6A06" w:rsidRDefault="00EC71E8" w:rsidP="00B30FF1">
            <w:pPr>
              <w:jc w:val="center"/>
              <w:rPr>
                <w:rFonts w:ascii="Cambria" w:hAnsi="Cambria"/>
                <w:bCs/>
                <w:i/>
                <w:iCs/>
                <w:sz w:val="20"/>
                <w:szCs w:val="20"/>
              </w:rPr>
            </w:pPr>
            <w:r w:rsidRPr="009C6A06">
              <w:rPr>
                <w:rFonts w:ascii="Cambria" w:hAnsi="Cambria"/>
                <w:bCs/>
                <w:i/>
                <w:iCs/>
                <w:sz w:val="20"/>
                <w:szCs w:val="20"/>
              </w:rPr>
              <w:t>11</w:t>
            </w:r>
          </w:p>
        </w:tc>
        <w:tc>
          <w:tcPr>
            <w:tcW w:w="1493" w:type="dxa"/>
          </w:tcPr>
          <w:p w14:paraId="770D9864" w14:textId="77777777" w:rsidR="00EC71E8" w:rsidRPr="009C6A06" w:rsidRDefault="00EC71E8" w:rsidP="00B30FF1">
            <w:pPr>
              <w:jc w:val="center"/>
              <w:rPr>
                <w:rFonts w:ascii="Cambria" w:hAnsi="Cambria"/>
                <w:bCs/>
                <w:i/>
                <w:iCs/>
                <w:sz w:val="20"/>
                <w:szCs w:val="20"/>
              </w:rPr>
            </w:pPr>
            <w:r w:rsidRPr="009C6A06">
              <w:rPr>
                <w:rFonts w:ascii="Cambria" w:hAnsi="Cambria"/>
                <w:bCs/>
                <w:i/>
                <w:iCs/>
                <w:sz w:val="20"/>
                <w:szCs w:val="20"/>
              </w:rPr>
              <w:t>2 161 934</w:t>
            </w:r>
          </w:p>
        </w:tc>
      </w:tr>
      <w:tr w:rsidR="00EC71E8" w:rsidRPr="009C6A06" w14:paraId="6F138D64" w14:textId="77777777" w:rsidTr="00B30FF1">
        <w:tc>
          <w:tcPr>
            <w:tcW w:w="1427" w:type="dxa"/>
          </w:tcPr>
          <w:p w14:paraId="06029DE2" w14:textId="77777777" w:rsidR="00EC71E8" w:rsidRPr="009C6A06" w:rsidRDefault="00EC71E8" w:rsidP="00B30FF1">
            <w:pPr>
              <w:jc w:val="center"/>
              <w:rPr>
                <w:rFonts w:ascii="Cambria" w:hAnsi="Cambria"/>
                <w:bCs/>
                <w:sz w:val="20"/>
                <w:szCs w:val="20"/>
              </w:rPr>
            </w:pPr>
            <w:r w:rsidRPr="009C6A06">
              <w:rPr>
                <w:rFonts w:ascii="Cambria" w:hAnsi="Cambria"/>
                <w:bCs/>
                <w:sz w:val="20"/>
                <w:szCs w:val="20"/>
              </w:rPr>
              <w:t>LISBOA in 2020</w:t>
            </w:r>
          </w:p>
        </w:tc>
        <w:tc>
          <w:tcPr>
            <w:tcW w:w="1168" w:type="dxa"/>
          </w:tcPr>
          <w:p w14:paraId="2D6F9136" w14:textId="77777777" w:rsidR="00EC71E8" w:rsidRPr="009C6A06" w:rsidRDefault="00EC71E8" w:rsidP="00B30FF1">
            <w:pPr>
              <w:jc w:val="center"/>
              <w:rPr>
                <w:rFonts w:ascii="Cambria" w:hAnsi="Cambria"/>
                <w:bCs/>
                <w:i/>
                <w:iCs/>
                <w:sz w:val="20"/>
                <w:szCs w:val="20"/>
              </w:rPr>
            </w:pPr>
            <w:r w:rsidRPr="009C6A06">
              <w:rPr>
                <w:rFonts w:ascii="Cambria" w:hAnsi="Cambria"/>
                <w:bCs/>
                <w:i/>
                <w:iCs/>
                <w:sz w:val="20"/>
                <w:szCs w:val="20"/>
              </w:rPr>
              <w:t>8</w:t>
            </w:r>
          </w:p>
        </w:tc>
        <w:tc>
          <w:tcPr>
            <w:tcW w:w="1242" w:type="dxa"/>
          </w:tcPr>
          <w:p w14:paraId="2C22A19B" w14:textId="77777777" w:rsidR="00EC71E8" w:rsidRPr="009C6A06" w:rsidRDefault="00EC71E8" w:rsidP="00B30FF1">
            <w:pPr>
              <w:jc w:val="center"/>
              <w:rPr>
                <w:rFonts w:ascii="Cambria" w:hAnsi="Cambria"/>
                <w:bCs/>
                <w:i/>
                <w:iCs/>
                <w:sz w:val="20"/>
                <w:szCs w:val="20"/>
              </w:rPr>
            </w:pPr>
            <w:r w:rsidRPr="009C6A06">
              <w:rPr>
                <w:rFonts w:ascii="Cambria" w:hAnsi="Cambria"/>
                <w:bCs/>
                <w:i/>
                <w:iCs/>
                <w:sz w:val="20"/>
                <w:szCs w:val="20"/>
              </w:rPr>
              <w:t>8</w:t>
            </w:r>
          </w:p>
        </w:tc>
        <w:tc>
          <w:tcPr>
            <w:tcW w:w="1267" w:type="dxa"/>
          </w:tcPr>
          <w:p w14:paraId="479E7ABE" w14:textId="77777777" w:rsidR="00EC71E8" w:rsidRPr="009C6A06" w:rsidRDefault="00EC71E8" w:rsidP="00B30FF1">
            <w:pPr>
              <w:jc w:val="center"/>
              <w:rPr>
                <w:rFonts w:ascii="Cambria" w:hAnsi="Cambria"/>
                <w:bCs/>
                <w:i/>
                <w:iCs/>
                <w:sz w:val="20"/>
                <w:szCs w:val="20"/>
              </w:rPr>
            </w:pPr>
            <w:r w:rsidRPr="009C6A06">
              <w:rPr>
                <w:rFonts w:ascii="Cambria" w:hAnsi="Cambria"/>
                <w:bCs/>
                <w:i/>
                <w:iCs/>
                <w:sz w:val="20"/>
                <w:szCs w:val="20"/>
              </w:rPr>
              <w:t>1 307 497</w:t>
            </w:r>
          </w:p>
        </w:tc>
        <w:tc>
          <w:tcPr>
            <w:tcW w:w="1470" w:type="dxa"/>
          </w:tcPr>
          <w:p w14:paraId="25D7B726" w14:textId="77777777" w:rsidR="00EC71E8" w:rsidRPr="009C6A06" w:rsidRDefault="00EC71E8" w:rsidP="00B30FF1">
            <w:pPr>
              <w:jc w:val="center"/>
              <w:rPr>
                <w:rFonts w:ascii="Cambria" w:hAnsi="Cambria"/>
                <w:bCs/>
                <w:i/>
                <w:iCs/>
                <w:sz w:val="20"/>
                <w:szCs w:val="20"/>
              </w:rPr>
            </w:pPr>
            <w:r w:rsidRPr="009C6A06">
              <w:rPr>
                <w:rFonts w:ascii="Cambria" w:hAnsi="Cambria"/>
                <w:bCs/>
                <w:i/>
                <w:iCs/>
                <w:sz w:val="20"/>
                <w:szCs w:val="20"/>
              </w:rPr>
              <w:t>8</w:t>
            </w:r>
          </w:p>
        </w:tc>
        <w:tc>
          <w:tcPr>
            <w:tcW w:w="1493" w:type="dxa"/>
          </w:tcPr>
          <w:p w14:paraId="5F99E466" w14:textId="77777777" w:rsidR="00EC71E8" w:rsidRPr="009C6A06" w:rsidRDefault="00EC71E8" w:rsidP="00B30FF1">
            <w:pPr>
              <w:jc w:val="center"/>
              <w:rPr>
                <w:rFonts w:ascii="Cambria" w:hAnsi="Cambria"/>
                <w:bCs/>
                <w:i/>
                <w:iCs/>
                <w:sz w:val="20"/>
                <w:szCs w:val="20"/>
              </w:rPr>
            </w:pPr>
            <w:r w:rsidRPr="009C6A06">
              <w:rPr>
                <w:rFonts w:ascii="Cambria" w:hAnsi="Cambria"/>
                <w:bCs/>
                <w:i/>
                <w:iCs/>
                <w:sz w:val="20"/>
                <w:szCs w:val="20"/>
              </w:rPr>
              <w:t>8</w:t>
            </w:r>
          </w:p>
        </w:tc>
        <w:tc>
          <w:tcPr>
            <w:tcW w:w="1493" w:type="dxa"/>
          </w:tcPr>
          <w:p w14:paraId="2DDC14B7" w14:textId="77777777" w:rsidR="00EC71E8" w:rsidRPr="009C6A06" w:rsidRDefault="00EC71E8" w:rsidP="00B30FF1">
            <w:pPr>
              <w:jc w:val="center"/>
              <w:rPr>
                <w:rFonts w:ascii="Cambria" w:hAnsi="Cambria"/>
                <w:bCs/>
                <w:i/>
                <w:iCs/>
                <w:sz w:val="20"/>
                <w:szCs w:val="20"/>
              </w:rPr>
            </w:pPr>
            <w:r w:rsidRPr="009C6A06">
              <w:rPr>
                <w:rFonts w:ascii="Cambria" w:hAnsi="Cambria"/>
                <w:bCs/>
                <w:i/>
                <w:iCs/>
                <w:sz w:val="20"/>
                <w:szCs w:val="20"/>
              </w:rPr>
              <w:t>1 756 289</w:t>
            </w:r>
          </w:p>
        </w:tc>
      </w:tr>
      <w:tr w:rsidR="00EC71E8" w:rsidRPr="009C6A06" w14:paraId="39C60E78" w14:textId="77777777" w:rsidTr="00B30FF1">
        <w:tc>
          <w:tcPr>
            <w:tcW w:w="1427" w:type="dxa"/>
          </w:tcPr>
          <w:p w14:paraId="5C241828" w14:textId="77777777" w:rsidR="00EC71E8" w:rsidRPr="009C6A06" w:rsidRDefault="00EC71E8" w:rsidP="00B30FF1">
            <w:pPr>
              <w:jc w:val="center"/>
              <w:rPr>
                <w:rFonts w:ascii="Cambria" w:hAnsi="Cambria"/>
                <w:bCs/>
                <w:sz w:val="20"/>
                <w:szCs w:val="20"/>
              </w:rPr>
            </w:pPr>
            <w:r w:rsidRPr="009C6A06">
              <w:rPr>
                <w:rFonts w:ascii="Cambria" w:hAnsi="Cambria"/>
                <w:bCs/>
                <w:sz w:val="20"/>
                <w:szCs w:val="20"/>
              </w:rPr>
              <w:t>TOTAL</w:t>
            </w:r>
          </w:p>
        </w:tc>
        <w:tc>
          <w:tcPr>
            <w:tcW w:w="1168" w:type="dxa"/>
          </w:tcPr>
          <w:p w14:paraId="6FBFA6D9" w14:textId="77777777" w:rsidR="00EC71E8" w:rsidRPr="009C6A06" w:rsidRDefault="00EC71E8" w:rsidP="00B30FF1">
            <w:pPr>
              <w:jc w:val="center"/>
              <w:rPr>
                <w:rFonts w:ascii="Cambria" w:hAnsi="Cambria"/>
                <w:bCs/>
                <w:i/>
                <w:iCs/>
                <w:sz w:val="20"/>
                <w:szCs w:val="20"/>
              </w:rPr>
            </w:pPr>
            <w:r w:rsidRPr="009C6A06">
              <w:rPr>
                <w:rFonts w:ascii="Cambria" w:hAnsi="Cambria"/>
                <w:bCs/>
                <w:i/>
                <w:iCs/>
                <w:sz w:val="20"/>
                <w:szCs w:val="20"/>
              </w:rPr>
              <w:t>33</w:t>
            </w:r>
          </w:p>
        </w:tc>
        <w:tc>
          <w:tcPr>
            <w:tcW w:w="1242" w:type="dxa"/>
          </w:tcPr>
          <w:p w14:paraId="2670B763" w14:textId="77777777" w:rsidR="00EC71E8" w:rsidRPr="009C6A06" w:rsidRDefault="00EC71E8" w:rsidP="00B30FF1">
            <w:pPr>
              <w:jc w:val="center"/>
              <w:rPr>
                <w:rFonts w:ascii="Cambria" w:hAnsi="Cambria"/>
                <w:bCs/>
                <w:i/>
                <w:iCs/>
                <w:sz w:val="20"/>
                <w:szCs w:val="20"/>
              </w:rPr>
            </w:pPr>
            <w:r w:rsidRPr="009C6A06">
              <w:rPr>
                <w:rFonts w:ascii="Cambria" w:hAnsi="Cambria"/>
                <w:bCs/>
                <w:i/>
                <w:iCs/>
                <w:sz w:val="20"/>
                <w:szCs w:val="20"/>
              </w:rPr>
              <w:t>32</w:t>
            </w:r>
          </w:p>
        </w:tc>
        <w:tc>
          <w:tcPr>
            <w:tcW w:w="1267" w:type="dxa"/>
          </w:tcPr>
          <w:p w14:paraId="4D3821D0" w14:textId="77777777" w:rsidR="00EC71E8" w:rsidRPr="009C6A06" w:rsidRDefault="00EC71E8" w:rsidP="00B30FF1">
            <w:pPr>
              <w:jc w:val="center"/>
              <w:rPr>
                <w:rFonts w:ascii="Cambria" w:hAnsi="Cambria"/>
                <w:bCs/>
                <w:i/>
                <w:iCs/>
                <w:sz w:val="20"/>
                <w:szCs w:val="20"/>
              </w:rPr>
            </w:pPr>
            <w:r w:rsidRPr="009C6A06">
              <w:rPr>
                <w:rFonts w:ascii="Cambria" w:hAnsi="Cambria"/>
                <w:bCs/>
                <w:i/>
                <w:iCs/>
                <w:sz w:val="20"/>
                <w:szCs w:val="20"/>
              </w:rPr>
              <w:t>7 868 727</w:t>
            </w:r>
          </w:p>
        </w:tc>
        <w:tc>
          <w:tcPr>
            <w:tcW w:w="1470" w:type="dxa"/>
          </w:tcPr>
          <w:p w14:paraId="7D760206" w14:textId="77777777" w:rsidR="00EC71E8" w:rsidRPr="009C6A06" w:rsidRDefault="00EC71E8" w:rsidP="00B30FF1">
            <w:pPr>
              <w:jc w:val="center"/>
              <w:rPr>
                <w:rFonts w:ascii="Cambria" w:hAnsi="Cambria"/>
                <w:bCs/>
                <w:i/>
                <w:iCs/>
                <w:sz w:val="20"/>
                <w:szCs w:val="20"/>
              </w:rPr>
            </w:pPr>
            <w:r w:rsidRPr="009C6A06">
              <w:rPr>
                <w:rFonts w:ascii="Cambria" w:hAnsi="Cambria"/>
                <w:bCs/>
                <w:i/>
                <w:iCs/>
                <w:sz w:val="20"/>
                <w:szCs w:val="20"/>
              </w:rPr>
              <w:t>34</w:t>
            </w:r>
          </w:p>
        </w:tc>
        <w:tc>
          <w:tcPr>
            <w:tcW w:w="1493" w:type="dxa"/>
          </w:tcPr>
          <w:p w14:paraId="33389BBD" w14:textId="77777777" w:rsidR="00EC71E8" w:rsidRPr="009C6A06" w:rsidRDefault="00EC71E8" w:rsidP="00B30FF1">
            <w:pPr>
              <w:jc w:val="center"/>
              <w:rPr>
                <w:rFonts w:ascii="Cambria" w:hAnsi="Cambria"/>
                <w:bCs/>
                <w:i/>
                <w:iCs/>
                <w:sz w:val="20"/>
                <w:szCs w:val="20"/>
              </w:rPr>
            </w:pPr>
            <w:r w:rsidRPr="009C6A06">
              <w:rPr>
                <w:rFonts w:ascii="Cambria" w:hAnsi="Cambria"/>
                <w:bCs/>
                <w:i/>
                <w:iCs/>
                <w:sz w:val="20"/>
                <w:szCs w:val="20"/>
              </w:rPr>
              <w:t>33</w:t>
            </w:r>
          </w:p>
        </w:tc>
        <w:tc>
          <w:tcPr>
            <w:tcW w:w="1493" w:type="dxa"/>
          </w:tcPr>
          <w:p w14:paraId="1DBB695E" w14:textId="77777777" w:rsidR="00EC71E8" w:rsidRPr="009C6A06" w:rsidRDefault="00EC71E8" w:rsidP="00B30FF1">
            <w:pPr>
              <w:jc w:val="center"/>
              <w:rPr>
                <w:rFonts w:ascii="Cambria" w:hAnsi="Cambria"/>
                <w:bCs/>
                <w:i/>
                <w:iCs/>
                <w:sz w:val="20"/>
                <w:szCs w:val="20"/>
              </w:rPr>
            </w:pPr>
            <w:r w:rsidRPr="009C6A06">
              <w:rPr>
                <w:rFonts w:ascii="Cambria" w:hAnsi="Cambria"/>
                <w:bCs/>
                <w:i/>
                <w:iCs/>
                <w:sz w:val="20"/>
                <w:szCs w:val="20"/>
              </w:rPr>
              <w:t>6 528 289</w:t>
            </w:r>
          </w:p>
        </w:tc>
      </w:tr>
    </w:tbl>
    <w:p w14:paraId="7E25EAD4" w14:textId="77777777" w:rsidR="00EC71E8" w:rsidRPr="009C6A06" w:rsidRDefault="00EC71E8" w:rsidP="00EC71E8">
      <w:pPr>
        <w:ind w:left="1440"/>
        <w:rPr>
          <w:rFonts w:ascii="Cambria" w:hAnsi="Cambria"/>
          <w:bCs/>
          <w:i/>
          <w:iCs/>
          <w:sz w:val="20"/>
          <w:szCs w:val="20"/>
        </w:rPr>
      </w:pPr>
    </w:p>
    <w:p w14:paraId="0FAED409" w14:textId="77777777" w:rsidR="00EC71E8" w:rsidRPr="009C6A06" w:rsidRDefault="00EC71E8" w:rsidP="00EC71E8">
      <w:pPr>
        <w:pStyle w:val="ListParagraph"/>
        <w:ind w:left="1800"/>
        <w:rPr>
          <w:rFonts w:ascii="Cambria" w:hAnsi="Cambria"/>
          <w:bCs/>
          <w:i/>
          <w:iCs/>
          <w:sz w:val="20"/>
          <w:szCs w:val="20"/>
        </w:rPr>
      </w:pPr>
    </w:p>
    <w:p w14:paraId="13E94627" w14:textId="26348EE9" w:rsidR="00EC71E8" w:rsidRPr="009C6A06" w:rsidRDefault="00EC71E8" w:rsidP="7272AFA3">
      <w:pPr>
        <w:spacing w:after="240" w:line="240" w:lineRule="auto"/>
        <w:jc w:val="both"/>
        <w:rPr>
          <w:rFonts w:ascii="Cambria" w:hAnsi="Cambria" w:cs="Times New Roman"/>
          <w:i/>
          <w:iCs/>
          <w:sz w:val="20"/>
          <w:szCs w:val="20"/>
        </w:rPr>
      </w:pPr>
      <w:r w:rsidRPr="009C6A06">
        <w:rPr>
          <w:rFonts w:ascii="Cambria" w:hAnsi="Cambria"/>
          <w:sz w:val="20"/>
          <w:szCs w:val="20"/>
        </w:rPr>
        <w:t>As a result, the catches landed by Senegal</w:t>
      </w:r>
      <w:r w:rsidR="7F44A97B" w:rsidRPr="009C6A06">
        <w:rPr>
          <w:rFonts w:ascii="Cambria" w:hAnsi="Cambria"/>
          <w:sz w:val="20"/>
          <w:szCs w:val="20"/>
        </w:rPr>
        <w:t>’s</w:t>
      </w:r>
      <w:r w:rsidRPr="009C6A06">
        <w:rPr>
          <w:rFonts w:ascii="Cambria" w:hAnsi="Cambria"/>
          <w:sz w:val="20"/>
          <w:szCs w:val="20"/>
        </w:rPr>
        <w:t xml:space="preserve"> longline fleet in 2019 and 2020 remain unknown. The failure to provide detailed catch data </w:t>
      </w:r>
      <w:r w:rsidR="011DC9FE" w:rsidRPr="009C6A06">
        <w:rPr>
          <w:rFonts w:ascii="Cambria" w:hAnsi="Cambria"/>
          <w:sz w:val="20"/>
          <w:szCs w:val="20"/>
        </w:rPr>
        <w:t>casts doubt</w:t>
      </w:r>
      <w:r w:rsidRPr="009C6A06">
        <w:rPr>
          <w:rFonts w:ascii="Cambria" w:hAnsi="Cambria"/>
          <w:sz w:val="20"/>
          <w:szCs w:val="20"/>
        </w:rPr>
        <w:t>s</w:t>
      </w:r>
      <w:r w:rsidR="011DC9FE" w:rsidRPr="009C6A06">
        <w:rPr>
          <w:rFonts w:ascii="Cambria" w:hAnsi="Cambria"/>
          <w:sz w:val="20"/>
          <w:szCs w:val="20"/>
        </w:rPr>
        <w:t xml:space="preserve"> on</w:t>
      </w:r>
      <w:r w:rsidRPr="009C6A06">
        <w:rPr>
          <w:rFonts w:ascii="Cambria" w:hAnsi="Cambria"/>
          <w:sz w:val="20"/>
          <w:szCs w:val="20"/>
        </w:rPr>
        <w:t xml:space="preserve"> Senegal’s ability to monitor quotas assigned to its fleet.</w:t>
      </w:r>
    </w:p>
    <w:p w14:paraId="7734F7EB" w14:textId="77777777" w:rsidR="00EC71E8" w:rsidRPr="009C6A06" w:rsidRDefault="00EC71E8" w:rsidP="00EC71E8">
      <w:pPr>
        <w:rPr>
          <w:rFonts w:ascii="Cambria" w:hAnsi="Cambria"/>
          <w:bCs/>
          <w:i/>
          <w:iCs/>
          <w:sz w:val="20"/>
          <w:szCs w:val="20"/>
        </w:rPr>
      </w:pPr>
      <w:r w:rsidRPr="009C6A06">
        <w:rPr>
          <w:rFonts w:ascii="Cambria" w:hAnsi="Cambria" w:cstheme="minorHAnsi"/>
          <w:sz w:val="20"/>
          <w:szCs w:val="20"/>
        </w:rPr>
        <w:t>The EU requests that Senegal shares with the EU, on a bilateral basis, all Customs manifests issued to the vessels that had illegal exports to the EU and are mentioned in the Annex 1, first table (Title “</w:t>
      </w:r>
      <w:r w:rsidRPr="009C6A06">
        <w:rPr>
          <w:rFonts w:ascii="Cambria" w:hAnsi="Cambria" w:cstheme="minorHAnsi"/>
          <w:i/>
          <w:iCs/>
          <w:sz w:val="20"/>
          <w:szCs w:val="20"/>
        </w:rPr>
        <w:t xml:space="preserve">date </w:t>
      </w:r>
      <w:proofErr w:type="spellStart"/>
      <w:r w:rsidRPr="009C6A06">
        <w:rPr>
          <w:rFonts w:ascii="Cambria" w:hAnsi="Cambria" w:cstheme="minorHAnsi"/>
          <w:i/>
          <w:iCs/>
          <w:sz w:val="20"/>
          <w:szCs w:val="20"/>
        </w:rPr>
        <w:t>d’entrée</w:t>
      </w:r>
      <w:proofErr w:type="spellEnd"/>
      <w:r w:rsidRPr="009C6A06">
        <w:rPr>
          <w:rFonts w:ascii="Cambria" w:hAnsi="Cambria" w:cstheme="minorHAnsi"/>
          <w:i/>
          <w:iCs/>
          <w:sz w:val="20"/>
          <w:szCs w:val="20"/>
        </w:rPr>
        <w:t xml:space="preserve"> des </w:t>
      </w:r>
      <w:proofErr w:type="spellStart"/>
      <w:r w:rsidRPr="009C6A06">
        <w:rPr>
          <w:rFonts w:ascii="Cambria" w:hAnsi="Cambria" w:cstheme="minorHAnsi"/>
          <w:i/>
          <w:iCs/>
          <w:sz w:val="20"/>
          <w:szCs w:val="20"/>
        </w:rPr>
        <w:t>navires</w:t>
      </w:r>
      <w:proofErr w:type="spellEnd"/>
      <w:r w:rsidRPr="009C6A06">
        <w:rPr>
          <w:rFonts w:ascii="Cambria" w:hAnsi="Cambria" w:cstheme="minorHAnsi"/>
          <w:i/>
          <w:iCs/>
          <w:sz w:val="20"/>
          <w:szCs w:val="20"/>
        </w:rPr>
        <w:t xml:space="preserve"> au port </w:t>
      </w:r>
      <w:proofErr w:type="spellStart"/>
      <w:r w:rsidRPr="009C6A06">
        <w:rPr>
          <w:rFonts w:ascii="Cambria" w:hAnsi="Cambria" w:cstheme="minorHAnsi"/>
          <w:i/>
          <w:iCs/>
          <w:sz w:val="20"/>
          <w:szCs w:val="20"/>
        </w:rPr>
        <w:t>débarquement</w:t>
      </w:r>
      <w:proofErr w:type="spellEnd"/>
      <w:r w:rsidRPr="009C6A06">
        <w:rPr>
          <w:rFonts w:ascii="Cambria" w:hAnsi="Cambria" w:cstheme="minorHAnsi"/>
          <w:i/>
          <w:iCs/>
          <w:sz w:val="20"/>
          <w:szCs w:val="20"/>
        </w:rPr>
        <w:t xml:space="preserve"> de 2019 à 2020</w:t>
      </w:r>
      <w:r w:rsidRPr="009C6A06">
        <w:rPr>
          <w:rFonts w:ascii="Cambria" w:hAnsi="Cambria" w:cstheme="minorHAnsi"/>
          <w:sz w:val="20"/>
          <w:szCs w:val="20"/>
        </w:rPr>
        <w:t>).</w:t>
      </w:r>
    </w:p>
    <w:p w14:paraId="4617E396" w14:textId="77777777" w:rsidR="00EC71E8" w:rsidRPr="009C6A06" w:rsidRDefault="00EC71E8" w:rsidP="00EC71E8">
      <w:pPr>
        <w:pStyle w:val="ListParagraph"/>
        <w:ind w:left="1800"/>
        <w:rPr>
          <w:rFonts w:ascii="Cambria" w:hAnsi="Cambria"/>
          <w:bCs/>
          <w:i/>
          <w:iCs/>
          <w:sz w:val="20"/>
          <w:szCs w:val="20"/>
        </w:rPr>
      </w:pPr>
    </w:p>
    <w:p w14:paraId="1D82DD04" w14:textId="27592329" w:rsidR="00EC71E8" w:rsidRPr="009C6A06" w:rsidRDefault="00EC71E8" w:rsidP="7272AFA3">
      <w:pPr>
        <w:spacing w:after="240" w:line="240" w:lineRule="auto"/>
        <w:jc w:val="both"/>
        <w:rPr>
          <w:rFonts w:ascii="Cambria" w:hAnsi="Cambria"/>
          <w:sz w:val="20"/>
          <w:szCs w:val="20"/>
        </w:rPr>
      </w:pPr>
      <w:r w:rsidRPr="009C6A06">
        <w:rPr>
          <w:rFonts w:ascii="Cambria" w:hAnsi="Cambria"/>
          <w:sz w:val="20"/>
          <w:szCs w:val="20"/>
        </w:rPr>
        <w:t>As regards the registration procedure of OCEAN STAR 1 and OCEAN STAR 2, the EU takes note of the information provided by Senegal but strongly regrets that this information was not brought up in 2020, when the</w:t>
      </w:r>
      <w:r w:rsidR="73CA05CF" w:rsidRPr="009C6A06">
        <w:rPr>
          <w:rFonts w:ascii="Cambria" w:hAnsi="Cambria"/>
          <w:sz w:val="20"/>
          <w:szCs w:val="20"/>
        </w:rPr>
        <w:t xml:space="preserve"> OCEAN STAR 2</w:t>
      </w:r>
      <w:r w:rsidRPr="009C6A06">
        <w:rPr>
          <w:rFonts w:ascii="Cambria" w:hAnsi="Cambria"/>
          <w:sz w:val="20"/>
          <w:szCs w:val="20"/>
        </w:rPr>
        <w:t xml:space="preserve"> </w:t>
      </w:r>
      <w:r w:rsidR="536EB7A8" w:rsidRPr="009C6A06">
        <w:rPr>
          <w:rFonts w:ascii="Cambria" w:hAnsi="Cambria"/>
          <w:sz w:val="20"/>
          <w:szCs w:val="20"/>
        </w:rPr>
        <w:t xml:space="preserve">was </w:t>
      </w:r>
      <w:r w:rsidRPr="009C6A06">
        <w:rPr>
          <w:rFonts w:ascii="Cambria" w:hAnsi="Cambria"/>
          <w:sz w:val="20"/>
          <w:szCs w:val="20"/>
        </w:rPr>
        <w:t>IUU list</w:t>
      </w:r>
      <w:r w:rsidR="15D69A92" w:rsidRPr="009C6A06">
        <w:rPr>
          <w:rFonts w:ascii="Cambria" w:hAnsi="Cambria"/>
          <w:sz w:val="20"/>
          <w:szCs w:val="20"/>
        </w:rPr>
        <w:t>ed.</w:t>
      </w:r>
      <w:r w:rsidRPr="009C6A06">
        <w:rPr>
          <w:rFonts w:ascii="Cambria" w:hAnsi="Cambria"/>
          <w:sz w:val="20"/>
          <w:szCs w:val="20"/>
        </w:rPr>
        <w:t xml:space="preserve"> </w:t>
      </w:r>
    </w:p>
    <w:p w14:paraId="35FE8C1D" w14:textId="504E6677" w:rsidR="00EC71E8" w:rsidRPr="009C6A06" w:rsidRDefault="00EC71E8" w:rsidP="7272AFA3">
      <w:pPr>
        <w:spacing w:after="240" w:line="240" w:lineRule="auto"/>
        <w:jc w:val="both"/>
        <w:rPr>
          <w:rFonts w:ascii="Cambria" w:hAnsi="Cambria"/>
          <w:i/>
          <w:iCs/>
          <w:sz w:val="20"/>
          <w:szCs w:val="20"/>
        </w:rPr>
      </w:pPr>
      <w:r w:rsidRPr="009C6A06">
        <w:rPr>
          <w:rFonts w:ascii="Cambria" w:hAnsi="Cambria"/>
          <w:b/>
          <w:bCs/>
          <w:sz w:val="20"/>
          <w:szCs w:val="20"/>
        </w:rPr>
        <w:t>As Port State</w:t>
      </w:r>
      <w:r w:rsidRPr="009C6A06">
        <w:rPr>
          <w:rFonts w:ascii="Cambria" w:hAnsi="Cambria"/>
          <w:sz w:val="20"/>
          <w:szCs w:val="20"/>
        </w:rPr>
        <w:t>, the information on landings provided as regards vessels SAGE, RICOS No3, RICOS No6 and MEGA No2 are still incomplete. The EU requests on</w:t>
      </w:r>
      <w:r w:rsidR="349DD772" w:rsidRPr="009C6A06">
        <w:rPr>
          <w:rFonts w:ascii="Cambria" w:hAnsi="Cambria"/>
          <w:sz w:val="20"/>
          <w:szCs w:val="20"/>
        </w:rPr>
        <w:t>c</w:t>
      </w:r>
      <w:r w:rsidRPr="009C6A06">
        <w:rPr>
          <w:rFonts w:ascii="Cambria" w:hAnsi="Cambria"/>
          <w:sz w:val="20"/>
          <w:szCs w:val="20"/>
        </w:rPr>
        <w:t xml:space="preserve">e more the information of landings by species. The EU is specifically concerned that the information on the landings simply refers to “tuna”, without any breakdown per species. </w:t>
      </w:r>
      <w:r w:rsidR="4C6AE1D7" w:rsidRPr="009C6A06">
        <w:rPr>
          <w:rFonts w:ascii="Cambria" w:hAnsi="Cambria"/>
          <w:sz w:val="20"/>
          <w:szCs w:val="20"/>
        </w:rPr>
        <w:t>Th</w:t>
      </w:r>
      <w:r w:rsidRPr="009C6A06">
        <w:rPr>
          <w:rFonts w:ascii="Cambria" w:hAnsi="Cambria"/>
          <w:sz w:val="20"/>
          <w:szCs w:val="20"/>
        </w:rPr>
        <w:t>e information provided in table 3 of the document is also</w:t>
      </w:r>
      <w:r w:rsidR="5BFC86AB" w:rsidRPr="009C6A06">
        <w:rPr>
          <w:rFonts w:ascii="Cambria" w:hAnsi="Cambria"/>
          <w:sz w:val="20"/>
          <w:szCs w:val="20"/>
        </w:rPr>
        <w:t xml:space="preserve"> not</w:t>
      </w:r>
      <w:r w:rsidRPr="009C6A06">
        <w:rPr>
          <w:rFonts w:ascii="Cambria" w:hAnsi="Cambria"/>
          <w:sz w:val="20"/>
          <w:szCs w:val="20"/>
        </w:rPr>
        <w:t xml:space="preserve"> totally consistent with data provided last year by Senegal (COC_312/2024_Addendum_1). For instance, the vessel SAGE is mentioned with 2 landings in 2017 in the document submitted this year but with the exact same landed quantity of fish as indicated last year where only 1 landing for that vessel in 2017 was mentioned.</w:t>
      </w:r>
    </w:p>
    <w:p w14:paraId="01520D2E" w14:textId="36289F36" w:rsidR="00EC71E8" w:rsidRPr="009C6A06" w:rsidRDefault="00EC71E8" w:rsidP="00EC71E8">
      <w:pPr>
        <w:jc w:val="both"/>
        <w:rPr>
          <w:rFonts w:ascii="Cambria" w:hAnsi="Cambria" w:cs="Times New Roman"/>
          <w:bCs/>
          <w:i/>
          <w:iCs/>
          <w:sz w:val="20"/>
          <w:szCs w:val="20"/>
          <w:lang w:val="en-GB"/>
        </w:rPr>
      </w:pPr>
      <w:r w:rsidRPr="009C6A06">
        <w:rPr>
          <w:rFonts w:ascii="Cambria" w:hAnsi="Cambria" w:cstheme="minorHAnsi"/>
          <w:sz w:val="20"/>
          <w:szCs w:val="20"/>
        </w:rPr>
        <w:t>The EU also notes that the information provided by Senegal confirms calls in Dakar by two additional vessels involved in IUU activities (OCEAN STAR 1 and OCEAN STAR 2). That information was not reported either in 2020, whereas this would have enabled ICCAT to IUU-list as well the OCEAN STAR 1.</w:t>
      </w:r>
    </w:p>
    <w:p w14:paraId="1C2EBD2A" w14:textId="318149B0" w:rsidR="003A2623" w:rsidRPr="009C6A06" w:rsidRDefault="003A2623" w:rsidP="003A2623">
      <w:pPr>
        <w:spacing w:after="240" w:line="240" w:lineRule="auto"/>
        <w:jc w:val="both"/>
        <w:rPr>
          <w:rFonts w:ascii="Cambria" w:hAnsi="Cambria"/>
          <w:bCs/>
          <w:i/>
          <w:iCs/>
          <w:sz w:val="20"/>
          <w:szCs w:val="20"/>
        </w:rPr>
      </w:pPr>
      <w:r w:rsidRPr="009C6A06">
        <w:rPr>
          <w:rFonts w:ascii="Cambria" w:hAnsi="Cambria" w:cstheme="minorHAnsi"/>
          <w:sz w:val="20"/>
          <w:szCs w:val="20"/>
        </w:rPr>
        <w:t xml:space="preserve">In the absence of </w:t>
      </w:r>
      <w:r w:rsidR="0080195F" w:rsidRPr="009C6A06">
        <w:rPr>
          <w:rFonts w:ascii="Cambria" w:hAnsi="Cambria" w:cstheme="minorHAnsi"/>
          <w:sz w:val="20"/>
          <w:szCs w:val="20"/>
        </w:rPr>
        <w:t xml:space="preserve">a </w:t>
      </w:r>
      <w:r w:rsidRPr="009C6A06">
        <w:rPr>
          <w:rFonts w:ascii="Cambria" w:hAnsi="Cambria" w:cstheme="minorHAnsi"/>
          <w:sz w:val="20"/>
          <w:szCs w:val="20"/>
        </w:rPr>
        <w:t xml:space="preserve">comprehensive report on activities and catches landed by the vessels, the EU is still not in position to assess if the sanction applied to MAXIMUS as communicated last year by Senegal in the annual meeting </w:t>
      </w:r>
      <w:r w:rsidRPr="009C6A06">
        <w:rPr>
          <w:rFonts w:ascii="Cambria" w:hAnsi="Cambria"/>
          <w:sz w:val="20"/>
          <w:szCs w:val="20"/>
        </w:rPr>
        <w:t>(COC_312/2024-Addendum_1) is proportionate and deterrent.</w:t>
      </w:r>
    </w:p>
    <w:p w14:paraId="481BC69B" w14:textId="47F4BA95" w:rsidR="003A2623" w:rsidRPr="009C6A06" w:rsidRDefault="003A2623" w:rsidP="003A2623">
      <w:pPr>
        <w:spacing w:after="240" w:line="240" w:lineRule="auto"/>
        <w:jc w:val="both"/>
        <w:rPr>
          <w:rFonts w:ascii="Cambria" w:hAnsi="Cambria"/>
          <w:bCs/>
          <w:sz w:val="20"/>
          <w:szCs w:val="20"/>
        </w:rPr>
      </w:pPr>
      <w:r w:rsidRPr="009C6A06">
        <w:rPr>
          <w:rFonts w:ascii="Cambria" w:hAnsi="Cambria"/>
          <w:bCs/>
          <w:sz w:val="20"/>
          <w:szCs w:val="20"/>
        </w:rPr>
        <w:t xml:space="preserve">Moreover, while assuming that this investigation as Flag State is now completed, we understand that Senegal does not intend to impose other sanctions than this one, which was only for MAXIMUS. </w:t>
      </w:r>
      <w:r w:rsidRPr="009C6A06">
        <w:rPr>
          <w:rFonts w:ascii="Cambria" w:hAnsi="Cambria"/>
          <w:bCs/>
          <w:sz w:val="20"/>
          <w:szCs w:val="20"/>
          <w:lang w:val="fr-BE"/>
        </w:rPr>
        <w:t xml:space="preserve">This </w:t>
      </w:r>
      <w:proofErr w:type="spellStart"/>
      <w:r w:rsidRPr="009C6A06">
        <w:rPr>
          <w:rFonts w:ascii="Cambria" w:hAnsi="Cambria"/>
          <w:bCs/>
          <w:sz w:val="20"/>
          <w:szCs w:val="20"/>
          <w:lang w:val="fr-BE"/>
        </w:rPr>
        <w:t>is</w:t>
      </w:r>
      <w:proofErr w:type="spellEnd"/>
      <w:r w:rsidRPr="009C6A06">
        <w:rPr>
          <w:rFonts w:ascii="Cambria" w:hAnsi="Cambria"/>
          <w:bCs/>
          <w:sz w:val="20"/>
          <w:szCs w:val="20"/>
          <w:lang w:val="fr-BE"/>
        </w:rPr>
        <w:t xml:space="preserve"> in contradiction </w:t>
      </w:r>
      <w:proofErr w:type="spellStart"/>
      <w:r w:rsidRPr="009C6A06">
        <w:rPr>
          <w:rFonts w:ascii="Cambria" w:hAnsi="Cambria"/>
          <w:bCs/>
          <w:sz w:val="20"/>
          <w:szCs w:val="20"/>
          <w:lang w:val="fr-BE"/>
        </w:rPr>
        <w:t>with</w:t>
      </w:r>
      <w:proofErr w:type="spellEnd"/>
      <w:r w:rsidRPr="009C6A06">
        <w:rPr>
          <w:rFonts w:ascii="Cambria" w:hAnsi="Cambria"/>
          <w:bCs/>
          <w:sz w:val="20"/>
          <w:szCs w:val="20"/>
          <w:lang w:val="fr-BE"/>
        </w:rPr>
        <w:t xml:space="preserve"> the </w:t>
      </w:r>
      <w:proofErr w:type="spellStart"/>
      <w:r w:rsidRPr="009C6A06">
        <w:rPr>
          <w:rFonts w:ascii="Cambria" w:hAnsi="Cambria"/>
          <w:bCs/>
          <w:sz w:val="20"/>
          <w:szCs w:val="20"/>
          <w:lang w:val="fr-BE"/>
        </w:rPr>
        <w:t>fact</w:t>
      </w:r>
      <w:proofErr w:type="spellEnd"/>
      <w:r w:rsidRPr="009C6A06">
        <w:rPr>
          <w:rFonts w:ascii="Cambria" w:hAnsi="Cambria"/>
          <w:bCs/>
          <w:sz w:val="20"/>
          <w:szCs w:val="20"/>
          <w:lang w:val="fr-BE"/>
        </w:rPr>
        <w:t xml:space="preserve"> </w:t>
      </w:r>
      <w:proofErr w:type="spellStart"/>
      <w:r w:rsidRPr="009C6A06">
        <w:rPr>
          <w:rFonts w:ascii="Cambria" w:hAnsi="Cambria"/>
          <w:bCs/>
          <w:sz w:val="20"/>
          <w:szCs w:val="20"/>
          <w:lang w:val="fr-BE"/>
        </w:rPr>
        <w:t>that</w:t>
      </w:r>
      <w:proofErr w:type="spellEnd"/>
      <w:r w:rsidRPr="009C6A06">
        <w:rPr>
          <w:rFonts w:ascii="Cambria" w:hAnsi="Cambria"/>
          <w:bCs/>
          <w:sz w:val="20"/>
          <w:szCs w:val="20"/>
          <w:lang w:val="fr-BE"/>
        </w:rPr>
        <w:t xml:space="preserve"> </w:t>
      </w:r>
      <w:proofErr w:type="spellStart"/>
      <w:r w:rsidRPr="009C6A06">
        <w:rPr>
          <w:rFonts w:ascii="Cambria" w:hAnsi="Cambria"/>
          <w:bCs/>
          <w:sz w:val="20"/>
          <w:szCs w:val="20"/>
          <w:lang w:val="fr-BE"/>
        </w:rPr>
        <w:t>other</w:t>
      </w:r>
      <w:proofErr w:type="spellEnd"/>
      <w:r w:rsidRPr="009C6A06">
        <w:rPr>
          <w:rFonts w:ascii="Cambria" w:hAnsi="Cambria"/>
          <w:bCs/>
          <w:sz w:val="20"/>
          <w:szCs w:val="20"/>
          <w:lang w:val="fr-BE"/>
        </w:rPr>
        <w:t xml:space="preserve"> </w:t>
      </w:r>
      <w:proofErr w:type="spellStart"/>
      <w:r w:rsidRPr="009C6A06">
        <w:rPr>
          <w:rFonts w:ascii="Cambria" w:hAnsi="Cambria"/>
          <w:bCs/>
          <w:sz w:val="20"/>
          <w:szCs w:val="20"/>
          <w:lang w:val="fr-BE"/>
        </w:rPr>
        <w:t>vessels</w:t>
      </w:r>
      <w:proofErr w:type="spellEnd"/>
      <w:r w:rsidRPr="009C6A06">
        <w:rPr>
          <w:rFonts w:ascii="Cambria" w:hAnsi="Cambria"/>
          <w:bCs/>
          <w:sz w:val="20"/>
          <w:szCs w:val="20"/>
          <w:lang w:val="fr-BE"/>
        </w:rPr>
        <w:t xml:space="preserve"> </w:t>
      </w:r>
      <w:proofErr w:type="spellStart"/>
      <w:r w:rsidRPr="009C6A06">
        <w:rPr>
          <w:rFonts w:ascii="Cambria" w:hAnsi="Cambria"/>
          <w:bCs/>
          <w:sz w:val="20"/>
          <w:szCs w:val="20"/>
          <w:lang w:val="fr-BE"/>
        </w:rPr>
        <w:t>were</w:t>
      </w:r>
      <w:proofErr w:type="spellEnd"/>
      <w:r w:rsidRPr="009C6A06">
        <w:rPr>
          <w:rFonts w:ascii="Cambria" w:hAnsi="Cambria"/>
          <w:bCs/>
          <w:sz w:val="20"/>
          <w:szCs w:val="20"/>
          <w:lang w:val="fr-BE"/>
        </w:rPr>
        <w:t xml:space="preserve"> </w:t>
      </w:r>
      <w:proofErr w:type="spellStart"/>
      <w:r w:rsidRPr="009C6A06">
        <w:rPr>
          <w:rFonts w:ascii="Cambria" w:hAnsi="Cambria"/>
          <w:bCs/>
          <w:sz w:val="20"/>
          <w:szCs w:val="20"/>
          <w:lang w:val="fr-BE"/>
        </w:rPr>
        <w:t>involved</w:t>
      </w:r>
      <w:proofErr w:type="spellEnd"/>
      <w:r w:rsidRPr="009C6A06">
        <w:rPr>
          <w:rFonts w:ascii="Cambria" w:hAnsi="Cambria"/>
          <w:bCs/>
          <w:sz w:val="20"/>
          <w:szCs w:val="20"/>
          <w:lang w:val="fr-BE"/>
        </w:rPr>
        <w:t xml:space="preserve"> in </w:t>
      </w:r>
      <w:proofErr w:type="spellStart"/>
      <w:r w:rsidRPr="009C6A06">
        <w:rPr>
          <w:rFonts w:ascii="Cambria" w:hAnsi="Cambria"/>
          <w:bCs/>
          <w:sz w:val="20"/>
          <w:szCs w:val="20"/>
          <w:lang w:val="fr-BE"/>
        </w:rPr>
        <w:t>these</w:t>
      </w:r>
      <w:proofErr w:type="spellEnd"/>
      <w:r w:rsidRPr="009C6A06">
        <w:rPr>
          <w:rFonts w:ascii="Cambria" w:hAnsi="Cambria"/>
          <w:bCs/>
          <w:sz w:val="20"/>
          <w:szCs w:val="20"/>
          <w:lang w:val="fr-BE"/>
        </w:rPr>
        <w:t xml:space="preserve"> </w:t>
      </w:r>
      <w:proofErr w:type="spellStart"/>
      <w:r w:rsidRPr="009C6A06">
        <w:rPr>
          <w:rFonts w:ascii="Cambria" w:hAnsi="Cambria"/>
          <w:bCs/>
          <w:sz w:val="20"/>
          <w:szCs w:val="20"/>
          <w:lang w:val="fr-BE"/>
        </w:rPr>
        <w:t>illegal</w:t>
      </w:r>
      <w:proofErr w:type="spellEnd"/>
      <w:r w:rsidRPr="009C6A06">
        <w:rPr>
          <w:rFonts w:ascii="Cambria" w:hAnsi="Cambria"/>
          <w:bCs/>
          <w:sz w:val="20"/>
          <w:szCs w:val="20"/>
          <w:lang w:val="fr-BE"/>
        </w:rPr>
        <w:t xml:space="preserve"> </w:t>
      </w:r>
      <w:proofErr w:type="spellStart"/>
      <w:r w:rsidRPr="009C6A06">
        <w:rPr>
          <w:rFonts w:ascii="Cambria" w:hAnsi="Cambria"/>
          <w:bCs/>
          <w:sz w:val="20"/>
          <w:szCs w:val="20"/>
          <w:lang w:val="fr-BE"/>
        </w:rPr>
        <w:t>activities</w:t>
      </w:r>
      <w:proofErr w:type="spellEnd"/>
      <w:r w:rsidRPr="009C6A06">
        <w:rPr>
          <w:rFonts w:ascii="Cambria" w:hAnsi="Cambria"/>
          <w:bCs/>
          <w:sz w:val="20"/>
          <w:szCs w:val="20"/>
          <w:lang w:val="fr-BE"/>
        </w:rPr>
        <w:t xml:space="preserve">, and </w:t>
      </w:r>
      <w:proofErr w:type="spellStart"/>
      <w:r w:rsidRPr="009C6A06">
        <w:rPr>
          <w:rFonts w:ascii="Cambria" w:hAnsi="Cambria"/>
          <w:bCs/>
          <w:sz w:val="20"/>
          <w:szCs w:val="20"/>
          <w:lang w:val="fr-BE"/>
        </w:rPr>
        <w:t>with</w:t>
      </w:r>
      <w:proofErr w:type="spellEnd"/>
      <w:r w:rsidRPr="009C6A06">
        <w:rPr>
          <w:rFonts w:ascii="Cambria" w:hAnsi="Cambria"/>
          <w:bCs/>
          <w:sz w:val="20"/>
          <w:szCs w:val="20"/>
          <w:lang w:val="fr-BE"/>
        </w:rPr>
        <w:t xml:space="preserve"> the </w:t>
      </w:r>
      <w:proofErr w:type="spellStart"/>
      <w:r w:rsidRPr="009C6A06">
        <w:rPr>
          <w:rFonts w:ascii="Cambria" w:hAnsi="Cambria"/>
          <w:bCs/>
          <w:sz w:val="20"/>
          <w:szCs w:val="20"/>
          <w:lang w:val="fr-BE"/>
        </w:rPr>
        <w:t>statement</w:t>
      </w:r>
      <w:proofErr w:type="spellEnd"/>
      <w:r w:rsidRPr="009C6A06">
        <w:rPr>
          <w:rFonts w:ascii="Cambria" w:hAnsi="Cambria"/>
          <w:bCs/>
          <w:sz w:val="20"/>
          <w:szCs w:val="20"/>
          <w:lang w:val="fr-BE"/>
        </w:rPr>
        <w:t xml:space="preserve"> made last </w:t>
      </w:r>
      <w:proofErr w:type="spellStart"/>
      <w:r w:rsidRPr="009C6A06">
        <w:rPr>
          <w:rFonts w:ascii="Cambria" w:hAnsi="Cambria"/>
          <w:bCs/>
          <w:sz w:val="20"/>
          <w:szCs w:val="20"/>
          <w:lang w:val="fr-BE"/>
        </w:rPr>
        <w:t>year</w:t>
      </w:r>
      <w:proofErr w:type="spellEnd"/>
      <w:r w:rsidRPr="009C6A06">
        <w:rPr>
          <w:rFonts w:ascii="Cambria" w:hAnsi="Cambria"/>
          <w:bCs/>
          <w:sz w:val="20"/>
          <w:szCs w:val="20"/>
          <w:lang w:val="fr-BE"/>
        </w:rPr>
        <w:t xml:space="preserve"> in COC-312/2024-Addendum_1 (“</w:t>
      </w:r>
      <w:r w:rsidRPr="009C6A06">
        <w:rPr>
          <w:rFonts w:ascii="Cambria" w:hAnsi="Cambria"/>
          <w:bCs/>
          <w:i/>
          <w:iCs/>
          <w:sz w:val="20"/>
          <w:szCs w:val="20"/>
          <w:lang w:val="fr-BE"/>
        </w:rPr>
        <w:t xml:space="preserve">Le Sénégal va approfondir les enquêtes sur toutes ces </w:t>
      </w:r>
      <w:r w:rsidRPr="009C6A06">
        <w:rPr>
          <w:rFonts w:ascii="Cambria" w:hAnsi="Cambria"/>
          <w:bCs/>
          <w:i/>
          <w:iCs/>
          <w:sz w:val="20"/>
          <w:szCs w:val="20"/>
          <w:lang w:val="fr-BE"/>
        </w:rPr>
        <w:lastRenderedPageBreak/>
        <w:t xml:space="preserve">questions complexes en vue de déterminer toutes les ramifications de ces affaires, de mieux identifier les auteurs et leurs niveaux de responsabilité. </w:t>
      </w:r>
      <w:r w:rsidRPr="009C6A06">
        <w:rPr>
          <w:rFonts w:ascii="Cambria" w:hAnsi="Cambria"/>
          <w:bCs/>
          <w:i/>
          <w:iCs/>
          <w:sz w:val="20"/>
          <w:szCs w:val="20"/>
        </w:rPr>
        <w:t xml:space="preserve">Des sanctions </w:t>
      </w:r>
      <w:proofErr w:type="spellStart"/>
      <w:r w:rsidRPr="009C6A06">
        <w:rPr>
          <w:rFonts w:ascii="Cambria" w:hAnsi="Cambria"/>
          <w:bCs/>
          <w:i/>
          <w:iCs/>
          <w:sz w:val="20"/>
          <w:szCs w:val="20"/>
        </w:rPr>
        <w:t>appropriées</w:t>
      </w:r>
      <w:proofErr w:type="spellEnd"/>
      <w:r w:rsidRPr="009C6A06">
        <w:rPr>
          <w:rFonts w:ascii="Cambria" w:hAnsi="Cambria"/>
          <w:bCs/>
          <w:i/>
          <w:iCs/>
          <w:sz w:val="20"/>
          <w:szCs w:val="20"/>
        </w:rPr>
        <w:t xml:space="preserve"> </w:t>
      </w:r>
      <w:proofErr w:type="spellStart"/>
      <w:r w:rsidRPr="009C6A06">
        <w:rPr>
          <w:rFonts w:ascii="Cambria" w:hAnsi="Cambria"/>
          <w:bCs/>
          <w:i/>
          <w:iCs/>
          <w:sz w:val="20"/>
          <w:szCs w:val="20"/>
        </w:rPr>
        <w:t>seront</w:t>
      </w:r>
      <w:proofErr w:type="spellEnd"/>
      <w:r w:rsidRPr="009C6A06">
        <w:rPr>
          <w:rFonts w:ascii="Cambria" w:hAnsi="Cambria"/>
          <w:bCs/>
          <w:i/>
          <w:iCs/>
          <w:sz w:val="20"/>
          <w:szCs w:val="20"/>
        </w:rPr>
        <w:t xml:space="preserve"> </w:t>
      </w:r>
      <w:proofErr w:type="spellStart"/>
      <w:r w:rsidRPr="009C6A06">
        <w:rPr>
          <w:rFonts w:ascii="Cambria" w:hAnsi="Cambria"/>
          <w:bCs/>
          <w:i/>
          <w:iCs/>
          <w:sz w:val="20"/>
          <w:szCs w:val="20"/>
        </w:rPr>
        <w:t>appliquées</w:t>
      </w:r>
      <w:proofErr w:type="spellEnd"/>
      <w:r w:rsidRPr="009C6A06">
        <w:rPr>
          <w:rFonts w:ascii="Cambria" w:hAnsi="Cambria"/>
          <w:bCs/>
          <w:sz w:val="20"/>
          <w:szCs w:val="20"/>
        </w:rPr>
        <w:t xml:space="preserve"> ».) The EU would like to get clarifications from Senegal on that point. </w:t>
      </w:r>
    </w:p>
    <w:p w14:paraId="1B41F36F" w14:textId="77777777" w:rsidR="00580E4C" w:rsidRPr="009C6A06" w:rsidRDefault="00580E4C" w:rsidP="00580E4C">
      <w:pPr>
        <w:rPr>
          <w:rFonts w:ascii="Cambria" w:hAnsi="Cambria" w:cstheme="minorHAnsi"/>
          <w:sz w:val="20"/>
          <w:szCs w:val="20"/>
          <w:highlight w:val="cyan"/>
        </w:rPr>
      </w:pPr>
    </w:p>
    <w:p w14:paraId="542E2F9A" w14:textId="4C53E222" w:rsidR="003A2623" w:rsidRPr="009C6A06" w:rsidRDefault="00172991" w:rsidP="00537264">
      <w:pPr>
        <w:spacing w:after="240" w:line="240" w:lineRule="auto"/>
        <w:jc w:val="both"/>
        <w:rPr>
          <w:rFonts w:ascii="Cambria" w:hAnsi="Cambria" w:cstheme="minorHAnsi"/>
          <w:b/>
          <w:bCs/>
          <w:i/>
          <w:iCs/>
          <w:sz w:val="20"/>
          <w:szCs w:val="20"/>
        </w:rPr>
      </w:pPr>
      <w:r w:rsidRPr="009C6A06">
        <w:rPr>
          <w:rFonts w:ascii="Cambria" w:hAnsi="Cambria" w:cstheme="minorHAnsi"/>
          <w:b/>
          <w:bCs/>
          <w:i/>
          <w:iCs/>
          <w:sz w:val="20"/>
          <w:szCs w:val="20"/>
        </w:rPr>
        <w:t xml:space="preserve">Possible </w:t>
      </w:r>
      <w:r w:rsidR="00615E5B" w:rsidRPr="009C6A06">
        <w:rPr>
          <w:rFonts w:ascii="Cambria" w:hAnsi="Cambria" w:cstheme="minorHAnsi"/>
          <w:b/>
          <w:bCs/>
          <w:i/>
          <w:iCs/>
          <w:sz w:val="20"/>
          <w:szCs w:val="20"/>
        </w:rPr>
        <w:t>non-compliance</w:t>
      </w:r>
      <w:r w:rsidRPr="009C6A06">
        <w:rPr>
          <w:rFonts w:ascii="Cambria" w:hAnsi="Cambria" w:cstheme="minorHAnsi"/>
          <w:b/>
          <w:bCs/>
          <w:i/>
          <w:iCs/>
          <w:sz w:val="20"/>
          <w:szCs w:val="20"/>
        </w:rPr>
        <w:t xml:space="preserve"> with ICCAT Recommendations 19-02 and 21-01 (BET quota allocated to Senegal)</w:t>
      </w:r>
    </w:p>
    <w:p w14:paraId="0AE4FA6B" w14:textId="77777777" w:rsidR="003A2623" w:rsidRPr="009C6A06" w:rsidRDefault="003A2623" w:rsidP="00A1169C">
      <w:pPr>
        <w:jc w:val="both"/>
        <w:rPr>
          <w:rFonts w:ascii="Cambria" w:hAnsi="Cambria" w:cstheme="minorHAnsi"/>
          <w:sz w:val="20"/>
          <w:szCs w:val="20"/>
        </w:rPr>
      </w:pPr>
      <w:r w:rsidRPr="009C6A06">
        <w:rPr>
          <w:rFonts w:ascii="Cambria" w:hAnsi="Cambria" w:cstheme="minorHAnsi"/>
          <w:sz w:val="20"/>
          <w:szCs w:val="20"/>
        </w:rPr>
        <w:t xml:space="preserve">The EU has major issues with the reply provided by </w:t>
      </w:r>
      <w:proofErr w:type="gramStart"/>
      <w:r w:rsidRPr="009C6A06">
        <w:rPr>
          <w:rFonts w:ascii="Cambria" w:hAnsi="Cambria" w:cstheme="minorHAnsi"/>
          <w:sz w:val="20"/>
          <w:szCs w:val="20"/>
        </w:rPr>
        <w:t>Senegal, and</w:t>
      </w:r>
      <w:proofErr w:type="gramEnd"/>
      <w:r w:rsidRPr="009C6A06">
        <w:rPr>
          <w:rFonts w:ascii="Cambria" w:hAnsi="Cambria" w:cstheme="minorHAnsi"/>
          <w:sz w:val="20"/>
          <w:szCs w:val="20"/>
        </w:rPr>
        <w:t xml:space="preserve"> calls on the COC to draw all necessary conclusions from Senegal’s absence of cooperation on the matter. </w:t>
      </w:r>
    </w:p>
    <w:p w14:paraId="0D679BB0" w14:textId="5DCC7B6F" w:rsidR="003A2623" w:rsidRPr="009C6A06" w:rsidRDefault="003A2623" w:rsidP="00A1169C">
      <w:pPr>
        <w:jc w:val="both"/>
        <w:rPr>
          <w:rFonts w:ascii="Cambria" w:hAnsi="Cambria" w:cstheme="minorHAnsi"/>
          <w:sz w:val="20"/>
          <w:szCs w:val="20"/>
        </w:rPr>
      </w:pPr>
      <w:r w:rsidRPr="009C6A06">
        <w:rPr>
          <w:rFonts w:ascii="Cambria" w:hAnsi="Cambria" w:cstheme="minorHAnsi"/>
          <w:sz w:val="20"/>
          <w:szCs w:val="20"/>
        </w:rPr>
        <w:t xml:space="preserve">First, the EU draws the attention </w:t>
      </w:r>
      <w:r w:rsidR="00FE7279" w:rsidRPr="009C6A06">
        <w:rPr>
          <w:rFonts w:ascii="Cambria" w:hAnsi="Cambria" w:cstheme="minorHAnsi"/>
          <w:sz w:val="20"/>
          <w:szCs w:val="20"/>
        </w:rPr>
        <w:t xml:space="preserve">of </w:t>
      </w:r>
      <w:r w:rsidRPr="009C6A06">
        <w:rPr>
          <w:rFonts w:ascii="Cambria" w:hAnsi="Cambria" w:cstheme="minorHAnsi"/>
          <w:sz w:val="20"/>
          <w:szCs w:val="20"/>
        </w:rPr>
        <w:t xml:space="preserve">the COC on Senegal’s failure to clarify any of the inconsistencies reported by the EU – </w:t>
      </w:r>
      <w:proofErr w:type="gramStart"/>
      <w:r w:rsidRPr="009C6A06">
        <w:rPr>
          <w:rFonts w:ascii="Cambria" w:hAnsi="Cambria" w:cstheme="minorHAnsi"/>
          <w:sz w:val="20"/>
          <w:szCs w:val="20"/>
        </w:rPr>
        <w:t>with the exception of</w:t>
      </w:r>
      <w:proofErr w:type="gramEnd"/>
      <w:r w:rsidRPr="009C6A06">
        <w:rPr>
          <w:rFonts w:ascii="Cambria" w:hAnsi="Cambria" w:cstheme="minorHAnsi"/>
          <w:sz w:val="20"/>
          <w:szCs w:val="20"/>
        </w:rPr>
        <w:t xml:space="preserve"> the 54 tons of BET </w:t>
      </w:r>
      <w:r w:rsidR="00FE7279" w:rsidRPr="009C6A06">
        <w:rPr>
          <w:rFonts w:ascii="Cambria" w:hAnsi="Cambria" w:cstheme="minorHAnsi"/>
          <w:sz w:val="20"/>
          <w:szCs w:val="20"/>
        </w:rPr>
        <w:t xml:space="preserve">in 2021 </w:t>
      </w:r>
      <w:r w:rsidRPr="009C6A06">
        <w:rPr>
          <w:rFonts w:ascii="Cambria" w:hAnsi="Cambria" w:cstheme="minorHAnsi"/>
          <w:sz w:val="20"/>
          <w:szCs w:val="20"/>
        </w:rPr>
        <w:t>caught by the artisanal fleet, which as confirmed by Senegal were omitted from the total catch reported for the quota monitoring exercise.</w:t>
      </w:r>
    </w:p>
    <w:p w14:paraId="5ACC66FC" w14:textId="766649DA" w:rsidR="003A2623" w:rsidRPr="009C6A06" w:rsidRDefault="003A2623" w:rsidP="7272AFA3">
      <w:pPr>
        <w:pStyle w:val="ListParagraph"/>
        <w:numPr>
          <w:ilvl w:val="0"/>
          <w:numId w:val="5"/>
        </w:numPr>
        <w:jc w:val="both"/>
        <w:rPr>
          <w:rFonts w:ascii="Cambria" w:hAnsi="Cambria"/>
          <w:sz w:val="20"/>
          <w:szCs w:val="20"/>
        </w:rPr>
      </w:pPr>
      <w:r w:rsidRPr="009C6A06">
        <w:rPr>
          <w:rFonts w:ascii="Cambria" w:hAnsi="Cambria"/>
          <w:sz w:val="20"/>
          <w:szCs w:val="20"/>
        </w:rPr>
        <w:t>Senegal does not clarify why there were only 756</w:t>
      </w:r>
      <w:r w:rsidRPr="009C6A06">
        <w:rPr>
          <w:rStyle w:val="FootnoteReference"/>
          <w:rFonts w:ascii="Cambria" w:hAnsi="Cambria"/>
          <w:sz w:val="20"/>
          <w:szCs w:val="20"/>
        </w:rPr>
        <w:footnoteReference w:id="1"/>
      </w:r>
      <w:r w:rsidRPr="009C6A06">
        <w:rPr>
          <w:rFonts w:ascii="Cambria" w:hAnsi="Cambria"/>
          <w:sz w:val="20"/>
          <w:szCs w:val="20"/>
        </w:rPr>
        <w:t xml:space="preserve"> tons of BET catches reported in 2021 whereas the EU import data already shows that a minimum catch of 802 tons was imported in the EU. In addition, these 802 tons do not include any import from the 5 purse seiners that have their 2021 catch data published in the Marine Stewardship Council report issued for this fishery</w:t>
      </w:r>
      <w:r w:rsidR="001D4694" w:rsidRPr="009C6A06">
        <w:rPr>
          <w:rFonts w:ascii="Cambria" w:hAnsi="Cambria"/>
          <w:sz w:val="20"/>
          <w:szCs w:val="20"/>
        </w:rPr>
        <w:t>, nor from one of the two other purse seiners under Senegalese flag that year</w:t>
      </w:r>
      <w:r w:rsidRPr="009C6A06">
        <w:rPr>
          <w:rFonts w:ascii="Cambria" w:hAnsi="Cambria"/>
          <w:sz w:val="20"/>
          <w:szCs w:val="20"/>
        </w:rPr>
        <w:t xml:space="preserve">. According to </w:t>
      </w:r>
      <w:r w:rsidR="001D4694" w:rsidRPr="009C6A06">
        <w:rPr>
          <w:rFonts w:ascii="Cambria" w:hAnsi="Cambria"/>
          <w:sz w:val="20"/>
          <w:szCs w:val="20"/>
        </w:rPr>
        <w:t xml:space="preserve">logbook data available in </w:t>
      </w:r>
      <w:r w:rsidRPr="009C6A06">
        <w:rPr>
          <w:rFonts w:ascii="Cambria" w:hAnsi="Cambria"/>
          <w:sz w:val="20"/>
          <w:szCs w:val="20"/>
        </w:rPr>
        <w:t>the report, the total BET catch made by these vessels in 2021 was 501 tons</w:t>
      </w:r>
      <w:r w:rsidR="00A1169C" w:rsidRPr="009C6A06">
        <w:rPr>
          <w:rStyle w:val="FootnoteReference"/>
          <w:rFonts w:ascii="Cambria" w:hAnsi="Cambria"/>
          <w:sz w:val="20"/>
          <w:szCs w:val="20"/>
        </w:rPr>
        <w:footnoteReference w:id="2"/>
      </w:r>
      <w:r w:rsidRPr="009C6A06">
        <w:rPr>
          <w:rFonts w:ascii="Cambria" w:hAnsi="Cambria"/>
          <w:sz w:val="20"/>
          <w:szCs w:val="20"/>
        </w:rPr>
        <w:t xml:space="preserve">. Just adding this catch to the minimum one imported into the EU and the artisanal one (501 + 802 + 54) leads to a quantity that already exceeds Senegal 2021 quota (1357 tons vs 1322 tons). And </w:t>
      </w:r>
      <w:proofErr w:type="gramStart"/>
      <w:r w:rsidRPr="009C6A06">
        <w:rPr>
          <w:rFonts w:ascii="Cambria" w:hAnsi="Cambria"/>
          <w:sz w:val="20"/>
          <w:szCs w:val="20"/>
        </w:rPr>
        <w:t>of course</w:t>
      </w:r>
      <w:proofErr w:type="gramEnd"/>
      <w:r w:rsidRPr="009C6A06">
        <w:rPr>
          <w:rFonts w:ascii="Cambria" w:hAnsi="Cambria"/>
          <w:sz w:val="20"/>
          <w:szCs w:val="20"/>
        </w:rPr>
        <w:t xml:space="preserve"> this figure is far from being comprehensive, for instance because the vessels that exported to the EU did not export all their catches to the European market</w:t>
      </w:r>
      <w:r w:rsidRPr="009C6A06">
        <w:rPr>
          <w:rStyle w:val="FootnoteReference"/>
          <w:rFonts w:ascii="Cambria" w:hAnsi="Cambria"/>
          <w:sz w:val="20"/>
          <w:szCs w:val="20"/>
        </w:rPr>
        <w:footnoteReference w:id="3"/>
      </w:r>
      <w:r w:rsidRPr="009C6A06">
        <w:rPr>
          <w:rFonts w:ascii="Cambria" w:hAnsi="Cambria"/>
          <w:sz w:val="20"/>
          <w:szCs w:val="20"/>
        </w:rPr>
        <w:t xml:space="preserve">. In </w:t>
      </w:r>
      <w:r w:rsidR="001D4694" w:rsidRPr="009C6A06">
        <w:rPr>
          <w:rFonts w:ascii="Cambria" w:hAnsi="Cambria"/>
          <w:sz w:val="20"/>
          <w:szCs w:val="20"/>
        </w:rPr>
        <w:t>this regard</w:t>
      </w:r>
      <w:r w:rsidRPr="009C6A06">
        <w:rPr>
          <w:rFonts w:ascii="Cambria" w:hAnsi="Cambria"/>
          <w:sz w:val="20"/>
          <w:szCs w:val="20"/>
        </w:rPr>
        <w:t>, the EU calls on all other CPCs that had imports of BET from Senegal to share</w:t>
      </w:r>
      <w:r w:rsidR="049F203D" w:rsidRPr="009C6A06">
        <w:rPr>
          <w:rFonts w:ascii="Cambria" w:hAnsi="Cambria"/>
          <w:sz w:val="20"/>
          <w:szCs w:val="20"/>
        </w:rPr>
        <w:t xml:space="preserve"> </w:t>
      </w:r>
      <w:r w:rsidRPr="009C6A06">
        <w:rPr>
          <w:rFonts w:ascii="Cambria" w:hAnsi="Cambria"/>
          <w:sz w:val="20"/>
          <w:szCs w:val="20"/>
        </w:rPr>
        <w:t>their import data</w:t>
      </w:r>
      <w:r w:rsidR="3286D3FA" w:rsidRPr="009C6A06">
        <w:rPr>
          <w:rFonts w:ascii="Cambria" w:hAnsi="Cambria"/>
          <w:sz w:val="20"/>
          <w:szCs w:val="20"/>
        </w:rPr>
        <w:t xml:space="preserve"> as well</w:t>
      </w:r>
      <w:r w:rsidRPr="009C6A06">
        <w:rPr>
          <w:rFonts w:ascii="Cambria" w:hAnsi="Cambria"/>
          <w:sz w:val="20"/>
          <w:szCs w:val="20"/>
        </w:rPr>
        <w:t>.</w:t>
      </w:r>
    </w:p>
    <w:p w14:paraId="6E97A64A" w14:textId="77777777" w:rsidR="003A2623" w:rsidRPr="009C6A06" w:rsidRDefault="003A2623" w:rsidP="00A1169C">
      <w:pPr>
        <w:pStyle w:val="ListParagraph"/>
        <w:jc w:val="both"/>
        <w:rPr>
          <w:rFonts w:ascii="Cambria" w:hAnsi="Cambria" w:cstheme="minorHAnsi"/>
          <w:sz w:val="20"/>
          <w:szCs w:val="20"/>
        </w:rPr>
      </w:pPr>
    </w:p>
    <w:p w14:paraId="4AD34F6E" w14:textId="621079AB" w:rsidR="003A2623" w:rsidRPr="009C6A06" w:rsidRDefault="003A2623" w:rsidP="7272AFA3">
      <w:pPr>
        <w:pStyle w:val="ListParagraph"/>
        <w:numPr>
          <w:ilvl w:val="0"/>
          <w:numId w:val="5"/>
        </w:numPr>
        <w:jc w:val="both"/>
        <w:rPr>
          <w:rFonts w:ascii="Cambria" w:hAnsi="Cambria"/>
          <w:sz w:val="20"/>
          <w:szCs w:val="20"/>
        </w:rPr>
      </w:pPr>
      <w:r w:rsidRPr="009C6A06">
        <w:rPr>
          <w:rFonts w:ascii="Cambria" w:hAnsi="Cambria"/>
          <w:sz w:val="20"/>
          <w:szCs w:val="20"/>
        </w:rPr>
        <w:t>Senegal does not clarify the inconsistency of the pole and line catch data that it reported to ICCAT. At least 175 tons caught by Senegalese pole and line vessels in the year 2022 were certified in the EU catch certificates issued by Senegal, but for that same year Senegal reported to ICCAT a total bigeye tuna catch of 92 tons for this fleet. No</w:t>
      </w:r>
      <w:r w:rsidR="00E36939" w:rsidRPr="009C6A06">
        <w:rPr>
          <w:rFonts w:ascii="Cambria" w:hAnsi="Cambria"/>
          <w:sz w:val="20"/>
          <w:szCs w:val="20"/>
        </w:rPr>
        <w:t xml:space="preserve"> </w:t>
      </w:r>
      <w:r w:rsidRPr="009C6A06">
        <w:rPr>
          <w:rFonts w:ascii="Cambria" w:hAnsi="Cambria"/>
          <w:sz w:val="20"/>
          <w:szCs w:val="20"/>
        </w:rPr>
        <w:t xml:space="preserve">explanation on that discrepancy is included in Senegal’s reply, although it casts major doubts </w:t>
      </w:r>
      <w:r w:rsidR="31A49226" w:rsidRPr="009C6A06">
        <w:rPr>
          <w:rFonts w:ascii="Cambria" w:hAnsi="Cambria"/>
          <w:sz w:val="20"/>
          <w:szCs w:val="20"/>
        </w:rPr>
        <w:t>on the integrity of</w:t>
      </w:r>
      <w:r w:rsidRPr="009C6A06">
        <w:rPr>
          <w:rFonts w:ascii="Cambria" w:hAnsi="Cambria"/>
          <w:sz w:val="20"/>
          <w:szCs w:val="20"/>
        </w:rPr>
        <w:t xml:space="preserve"> the repo</w:t>
      </w:r>
      <w:r w:rsidR="01FC1831" w:rsidRPr="009C6A06">
        <w:rPr>
          <w:rFonts w:ascii="Cambria" w:hAnsi="Cambria"/>
          <w:sz w:val="20"/>
          <w:szCs w:val="20"/>
        </w:rPr>
        <w:t>rting</w:t>
      </w:r>
      <w:r w:rsidRPr="009C6A06">
        <w:rPr>
          <w:rFonts w:ascii="Cambria" w:hAnsi="Cambria"/>
          <w:sz w:val="20"/>
          <w:szCs w:val="20"/>
        </w:rPr>
        <w:t xml:space="preserve"> by Senegal, since even catches that were subject to specific certification for export to the EU were not properly reported to ICCAT.</w:t>
      </w:r>
    </w:p>
    <w:p w14:paraId="279B1431" w14:textId="77777777" w:rsidR="003A2623" w:rsidRPr="009C6A06" w:rsidRDefault="003A2623" w:rsidP="00A1169C">
      <w:pPr>
        <w:pStyle w:val="ListParagraph"/>
        <w:jc w:val="both"/>
        <w:rPr>
          <w:rFonts w:ascii="Cambria" w:hAnsi="Cambria" w:cstheme="minorHAnsi"/>
          <w:sz w:val="20"/>
          <w:szCs w:val="20"/>
        </w:rPr>
      </w:pPr>
    </w:p>
    <w:p w14:paraId="03625E7E" w14:textId="2952A465" w:rsidR="003A2623" w:rsidRPr="009C6A06" w:rsidRDefault="003A2623" w:rsidP="00A1169C">
      <w:pPr>
        <w:jc w:val="both"/>
        <w:rPr>
          <w:rFonts w:ascii="Cambria" w:hAnsi="Cambria" w:cstheme="minorHAnsi"/>
          <w:sz w:val="20"/>
          <w:szCs w:val="20"/>
        </w:rPr>
      </w:pPr>
      <w:r w:rsidRPr="009C6A06">
        <w:rPr>
          <w:rFonts w:ascii="Cambria" w:hAnsi="Cambria" w:cstheme="minorHAnsi"/>
          <w:sz w:val="20"/>
          <w:szCs w:val="20"/>
        </w:rPr>
        <w:t xml:space="preserve">Second, the EU calls the attention of the COC on the statistical inconsistencies of the data reported by Senegal, especially when one compares the amount of BET per fishing day in exports to the EU with the amount of BET per fishing day in the rest of the catches reported by Senegal. Senegal dismisses the EU calls to clarify this data with a statement that there was no incentive to misreport their BET catch since, as of 2021, the BET catch was well below the quota allocated to Senegal. This </w:t>
      </w:r>
      <w:proofErr w:type="gramStart"/>
      <w:r w:rsidRPr="009C6A06">
        <w:rPr>
          <w:rFonts w:ascii="Cambria" w:hAnsi="Cambria" w:cstheme="minorHAnsi"/>
          <w:sz w:val="20"/>
          <w:szCs w:val="20"/>
        </w:rPr>
        <w:t>argument  leaves</w:t>
      </w:r>
      <w:proofErr w:type="gramEnd"/>
      <w:r w:rsidRPr="009C6A06">
        <w:rPr>
          <w:rFonts w:ascii="Cambria" w:hAnsi="Cambria" w:cstheme="minorHAnsi"/>
          <w:sz w:val="20"/>
          <w:szCs w:val="20"/>
        </w:rPr>
        <w:t xml:space="preserve"> aside the fact that: </w:t>
      </w:r>
    </w:p>
    <w:p w14:paraId="6FCFAE36" w14:textId="77777777" w:rsidR="003A2623" w:rsidRPr="009C6A06" w:rsidRDefault="003A2623" w:rsidP="00A1169C">
      <w:pPr>
        <w:pStyle w:val="ListParagraph"/>
        <w:ind w:left="360"/>
        <w:jc w:val="both"/>
        <w:rPr>
          <w:rFonts w:ascii="Cambria" w:hAnsi="Cambria" w:cstheme="minorHAnsi"/>
          <w:sz w:val="20"/>
          <w:szCs w:val="20"/>
        </w:rPr>
      </w:pPr>
    </w:p>
    <w:p w14:paraId="0D5B2E6E" w14:textId="77777777" w:rsidR="003A2623" w:rsidRPr="009C6A06" w:rsidRDefault="003A2623" w:rsidP="00A1169C">
      <w:pPr>
        <w:pStyle w:val="ListParagraph"/>
        <w:ind w:left="360"/>
        <w:jc w:val="both"/>
        <w:rPr>
          <w:rFonts w:ascii="Cambria" w:hAnsi="Cambria" w:cstheme="minorHAnsi"/>
          <w:sz w:val="20"/>
          <w:szCs w:val="20"/>
        </w:rPr>
      </w:pPr>
      <w:r w:rsidRPr="009C6A06">
        <w:rPr>
          <w:rFonts w:ascii="Cambria" w:hAnsi="Cambria" w:cstheme="minorHAnsi"/>
          <w:sz w:val="20"/>
          <w:szCs w:val="20"/>
        </w:rPr>
        <w:t xml:space="preserve">(a) as already mentioned, the data submitted by the EU clearly points at an overshoot of the 2021 </w:t>
      </w:r>
      <w:proofErr w:type="gramStart"/>
      <w:r w:rsidRPr="009C6A06">
        <w:rPr>
          <w:rFonts w:ascii="Cambria" w:hAnsi="Cambria" w:cstheme="minorHAnsi"/>
          <w:sz w:val="20"/>
          <w:szCs w:val="20"/>
        </w:rPr>
        <w:t>quota;</w:t>
      </w:r>
      <w:proofErr w:type="gramEnd"/>
      <w:r w:rsidRPr="009C6A06">
        <w:rPr>
          <w:rFonts w:ascii="Cambria" w:hAnsi="Cambria" w:cstheme="minorHAnsi"/>
          <w:sz w:val="20"/>
          <w:szCs w:val="20"/>
        </w:rPr>
        <w:t xml:space="preserve"> </w:t>
      </w:r>
    </w:p>
    <w:p w14:paraId="7E10D925" w14:textId="77777777" w:rsidR="003A2623" w:rsidRPr="009C6A06" w:rsidRDefault="003A2623" w:rsidP="00A1169C">
      <w:pPr>
        <w:pStyle w:val="ListParagraph"/>
        <w:ind w:left="360"/>
        <w:jc w:val="both"/>
        <w:rPr>
          <w:rFonts w:ascii="Cambria" w:hAnsi="Cambria" w:cstheme="minorHAnsi"/>
          <w:sz w:val="20"/>
          <w:szCs w:val="20"/>
        </w:rPr>
      </w:pPr>
    </w:p>
    <w:p w14:paraId="67676091" w14:textId="77777777" w:rsidR="003A2623" w:rsidRPr="009C6A06" w:rsidRDefault="003A2623" w:rsidP="00A1169C">
      <w:pPr>
        <w:pStyle w:val="ListParagraph"/>
        <w:ind w:left="360"/>
        <w:jc w:val="both"/>
        <w:rPr>
          <w:rFonts w:ascii="Cambria" w:hAnsi="Cambria" w:cstheme="minorHAnsi"/>
          <w:sz w:val="20"/>
          <w:szCs w:val="20"/>
        </w:rPr>
      </w:pPr>
      <w:r w:rsidRPr="009C6A06">
        <w:rPr>
          <w:rFonts w:ascii="Cambria" w:hAnsi="Cambria" w:cstheme="minorHAnsi"/>
          <w:sz w:val="20"/>
          <w:szCs w:val="20"/>
        </w:rPr>
        <w:t xml:space="preserve">(b) the number of purse seiners remained the same from 2018 to 2023, but these same vessels would have managed to move from an average annual catch of 2206 tons of </w:t>
      </w:r>
      <w:proofErr w:type="gramStart"/>
      <w:r w:rsidRPr="009C6A06">
        <w:rPr>
          <w:rFonts w:ascii="Cambria" w:hAnsi="Cambria" w:cstheme="minorHAnsi"/>
          <w:sz w:val="20"/>
          <w:szCs w:val="20"/>
        </w:rPr>
        <w:t>BET  before</w:t>
      </w:r>
      <w:proofErr w:type="gramEnd"/>
      <w:r w:rsidRPr="009C6A06">
        <w:rPr>
          <w:rFonts w:ascii="Cambria" w:hAnsi="Cambria" w:cstheme="minorHAnsi"/>
          <w:sz w:val="20"/>
          <w:szCs w:val="20"/>
        </w:rPr>
        <w:t xml:space="preserve"> 2021 to an average annual catch of 719 tons after 2021.</w:t>
      </w:r>
    </w:p>
    <w:p w14:paraId="03F08BE5" w14:textId="77777777" w:rsidR="003A2623" w:rsidRPr="009C6A06" w:rsidRDefault="003A2623" w:rsidP="00A1169C">
      <w:pPr>
        <w:pStyle w:val="ListParagraph"/>
        <w:ind w:left="360"/>
        <w:jc w:val="both"/>
        <w:rPr>
          <w:rFonts w:ascii="Cambria" w:hAnsi="Cambria" w:cstheme="minorHAnsi"/>
          <w:sz w:val="20"/>
          <w:szCs w:val="20"/>
        </w:rPr>
      </w:pPr>
    </w:p>
    <w:p w14:paraId="3E339547" w14:textId="2BF0E01E" w:rsidR="003A2623" w:rsidRPr="009C6A06" w:rsidRDefault="003A2623" w:rsidP="00A1169C">
      <w:pPr>
        <w:pStyle w:val="ListParagraph"/>
        <w:ind w:left="360"/>
        <w:jc w:val="both"/>
        <w:rPr>
          <w:rFonts w:ascii="Cambria" w:hAnsi="Cambria" w:cstheme="minorHAnsi"/>
          <w:sz w:val="20"/>
          <w:szCs w:val="20"/>
        </w:rPr>
      </w:pPr>
      <w:r w:rsidRPr="009C6A06">
        <w:rPr>
          <w:rFonts w:ascii="Cambria" w:hAnsi="Cambria" w:cstheme="minorHAnsi"/>
          <w:sz w:val="20"/>
          <w:szCs w:val="20"/>
        </w:rPr>
        <w:t xml:space="preserve">(c) this 67% reduction of the BET catch would have been achieved while increasing at the same time by </w:t>
      </w:r>
      <w:r w:rsidR="00BD3678" w:rsidRPr="009C6A06">
        <w:rPr>
          <w:rFonts w:ascii="Cambria" w:hAnsi="Cambria" w:cstheme="minorHAnsi"/>
          <w:sz w:val="20"/>
          <w:szCs w:val="20"/>
        </w:rPr>
        <w:t>52</w:t>
      </w:r>
      <w:r w:rsidRPr="009C6A06">
        <w:rPr>
          <w:rFonts w:ascii="Cambria" w:hAnsi="Cambria" w:cstheme="minorHAnsi"/>
          <w:sz w:val="20"/>
          <w:szCs w:val="20"/>
        </w:rPr>
        <w:t xml:space="preserve">% the total purse seine </w:t>
      </w:r>
      <w:proofErr w:type="gramStart"/>
      <w:r w:rsidRPr="009C6A06">
        <w:rPr>
          <w:rFonts w:ascii="Cambria" w:hAnsi="Cambria" w:cstheme="minorHAnsi"/>
          <w:sz w:val="20"/>
          <w:szCs w:val="20"/>
        </w:rPr>
        <w:t>catch</w:t>
      </w:r>
      <w:proofErr w:type="gramEnd"/>
      <w:r w:rsidRPr="009C6A06">
        <w:rPr>
          <w:rFonts w:ascii="Cambria" w:hAnsi="Cambria" w:cstheme="minorHAnsi"/>
          <w:sz w:val="20"/>
          <w:szCs w:val="20"/>
        </w:rPr>
        <w:t>, to the extent that BET would only represent 1.3% of catches made by these purse seiners</w:t>
      </w:r>
      <w:r w:rsidR="00EE480D" w:rsidRPr="009C6A06">
        <w:rPr>
          <w:rFonts w:ascii="Cambria" w:hAnsi="Cambria" w:cstheme="minorHAnsi"/>
          <w:sz w:val="20"/>
          <w:szCs w:val="20"/>
        </w:rPr>
        <w:t xml:space="preserve">. </w:t>
      </w:r>
    </w:p>
    <w:p w14:paraId="5BF28A66" w14:textId="77777777" w:rsidR="003A2623" w:rsidRPr="009C6A06" w:rsidRDefault="003A2623" w:rsidP="00A1169C">
      <w:pPr>
        <w:pStyle w:val="ListParagraph"/>
        <w:ind w:left="360"/>
        <w:jc w:val="both"/>
        <w:rPr>
          <w:rFonts w:ascii="Cambria" w:hAnsi="Cambria" w:cstheme="minorHAnsi"/>
          <w:sz w:val="20"/>
          <w:szCs w:val="20"/>
        </w:rPr>
      </w:pPr>
    </w:p>
    <w:p w14:paraId="02B46172" w14:textId="77777777" w:rsidR="003A2623" w:rsidRPr="009C6A06" w:rsidRDefault="003A2623" w:rsidP="00A1169C">
      <w:pPr>
        <w:jc w:val="both"/>
        <w:rPr>
          <w:rFonts w:ascii="Cambria" w:hAnsi="Cambria" w:cstheme="minorHAnsi"/>
          <w:sz w:val="20"/>
          <w:szCs w:val="20"/>
        </w:rPr>
      </w:pPr>
      <w:r w:rsidRPr="009C6A06">
        <w:rPr>
          <w:rFonts w:ascii="Cambria" w:hAnsi="Cambria" w:cstheme="minorHAnsi"/>
          <w:sz w:val="20"/>
          <w:szCs w:val="20"/>
        </w:rPr>
        <w:t xml:space="preserve">Third, the EU cannot accept Senegal’s dismissal of findings made by an EU Member State when the fisheries inspectors of that Member State inspected the catches made in 2024 by the pole and line vessel CAP ATLANTIQUE (exported to the EU in containers). While the catch certificates validated by Senegal referred to 32 tons of BET, the inspectors determined that there were </w:t>
      </w:r>
      <w:proofErr w:type="gramStart"/>
      <w:r w:rsidRPr="009C6A06">
        <w:rPr>
          <w:rFonts w:ascii="Cambria" w:hAnsi="Cambria" w:cstheme="minorHAnsi"/>
          <w:sz w:val="20"/>
          <w:szCs w:val="20"/>
        </w:rPr>
        <w:t>actually 134</w:t>
      </w:r>
      <w:proofErr w:type="gramEnd"/>
      <w:r w:rsidRPr="009C6A06">
        <w:rPr>
          <w:rFonts w:ascii="Cambria" w:hAnsi="Cambria" w:cstheme="minorHAnsi"/>
          <w:sz w:val="20"/>
          <w:szCs w:val="20"/>
        </w:rPr>
        <w:t xml:space="preserve"> tons of BET in these catches. The EU does not accept that Senegal challenges these findings without any valid </w:t>
      </w:r>
      <w:proofErr w:type="gramStart"/>
      <w:r w:rsidRPr="009C6A06">
        <w:rPr>
          <w:rFonts w:ascii="Cambria" w:hAnsi="Cambria" w:cstheme="minorHAnsi"/>
          <w:sz w:val="20"/>
          <w:szCs w:val="20"/>
        </w:rPr>
        <w:t>reason, and</w:t>
      </w:r>
      <w:proofErr w:type="gramEnd"/>
      <w:r w:rsidRPr="009C6A06">
        <w:rPr>
          <w:rFonts w:ascii="Cambria" w:hAnsi="Cambria" w:cstheme="minorHAnsi"/>
          <w:sz w:val="20"/>
          <w:szCs w:val="20"/>
        </w:rPr>
        <w:t xml:space="preserve"> would like to recall that they were shared with Senegal already in March 2025, with a request to clarify the procedure to verify catches reported by operators and the sanctions imposed by Senegal. None of this has been received from Senegal, which in addition reports to ICCAT a total BET catch of only 125 tons for all pole-and-line vessels that operated in 2024.</w:t>
      </w:r>
    </w:p>
    <w:p w14:paraId="5D0B0597" w14:textId="77777777" w:rsidR="003A2623" w:rsidRPr="009C6A06" w:rsidRDefault="003A2623" w:rsidP="00A1169C">
      <w:pPr>
        <w:jc w:val="both"/>
        <w:rPr>
          <w:rFonts w:ascii="Cambria" w:hAnsi="Cambria" w:cstheme="minorHAnsi"/>
          <w:sz w:val="20"/>
          <w:szCs w:val="20"/>
        </w:rPr>
      </w:pPr>
      <w:r w:rsidRPr="009C6A06">
        <w:rPr>
          <w:rFonts w:ascii="Cambria" w:hAnsi="Cambria" w:cstheme="minorHAnsi"/>
          <w:sz w:val="20"/>
          <w:szCs w:val="20"/>
        </w:rPr>
        <w:t xml:space="preserve">In sum, the EU requests the COC to note that Senegal has failed to provide the clarifications that their BET catch data urgently called for, and directly undermined the process laid down in Recommendation 08-09. Instead of launching verifications on the inconsistencies reported by the EU, Senegal chose to generally refute any </w:t>
      </w:r>
      <w:proofErr w:type="gramStart"/>
      <w:r w:rsidRPr="009C6A06">
        <w:rPr>
          <w:rFonts w:ascii="Cambria" w:hAnsi="Cambria" w:cstheme="minorHAnsi"/>
          <w:sz w:val="20"/>
          <w:szCs w:val="20"/>
        </w:rPr>
        <w:t>issue</w:t>
      </w:r>
      <w:proofErr w:type="gramEnd"/>
      <w:r w:rsidRPr="009C6A06">
        <w:rPr>
          <w:rFonts w:ascii="Cambria" w:hAnsi="Cambria" w:cstheme="minorHAnsi"/>
          <w:sz w:val="20"/>
          <w:szCs w:val="20"/>
        </w:rPr>
        <w:t xml:space="preserve"> and the COC is now facing a situation where none of these inconsistencies have been clarified, in clear contradiction with objectives of the process laid down in Rec. 08-09. </w:t>
      </w:r>
    </w:p>
    <w:p w14:paraId="0AE24E06" w14:textId="09B7EDCA" w:rsidR="003A2623" w:rsidRPr="009C6A06" w:rsidRDefault="003A2623" w:rsidP="00A1169C">
      <w:pPr>
        <w:jc w:val="both"/>
        <w:rPr>
          <w:rFonts w:ascii="Cambria" w:hAnsi="Cambria" w:cstheme="minorHAnsi"/>
          <w:sz w:val="20"/>
          <w:szCs w:val="20"/>
        </w:rPr>
      </w:pPr>
      <w:r w:rsidRPr="009C6A06">
        <w:rPr>
          <w:rFonts w:ascii="Cambria" w:hAnsi="Cambria" w:cstheme="minorHAnsi"/>
          <w:sz w:val="20"/>
          <w:szCs w:val="20"/>
        </w:rPr>
        <w:t>The EU also insists very firmly on the need to have a scientific review of the purse seiner catches reported by Senegal, to assess the plausibility of their BET catch completely deviating from proportions found in other purse seine fleets.</w:t>
      </w:r>
    </w:p>
    <w:p w14:paraId="26D7F055" w14:textId="77777777" w:rsidR="003A2623" w:rsidRPr="009C6A06" w:rsidRDefault="003A2623" w:rsidP="00A1169C">
      <w:pPr>
        <w:jc w:val="both"/>
        <w:rPr>
          <w:rFonts w:ascii="Cambria" w:hAnsi="Cambria" w:cstheme="minorHAnsi"/>
          <w:sz w:val="20"/>
          <w:szCs w:val="20"/>
        </w:rPr>
      </w:pPr>
    </w:p>
    <w:p w14:paraId="452BB08A" w14:textId="77777777" w:rsidR="003A2623" w:rsidRPr="009C6A06" w:rsidRDefault="003A2623" w:rsidP="00A1169C">
      <w:pPr>
        <w:jc w:val="both"/>
        <w:rPr>
          <w:rFonts w:ascii="Cambria" w:hAnsi="Cambria" w:cstheme="minorHAnsi"/>
          <w:b/>
          <w:bCs/>
          <w:i/>
          <w:iCs/>
          <w:sz w:val="20"/>
          <w:szCs w:val="20"/>
        </w:rPr>
      </w:pPr>
      <w:r w:rsidRPr="009C6A06">
        <w:rPr>
          <w:rFonts w:ascii="Cambria" w:hAnsi="Cambria" w:cstheme="minorHAnsi"/>
          <w:b/>
          <w:bCs/>
          <w:i/>
          <w:iCs/>
          <w:sz w:val="20"/>
          <w:szCs w:val="20"/>
        </w:rPr>
        <w:t xml:space="preserve">Possible </w:t>
      </w:r>
      <w:proofErr w:type="spellStart"/>
      <w:proofErr w:type="gramStart"/>
      <w:r w:rsidRPr="009C6A06">
        <w:rPr>
          <w:rFonts w:ascii="Cambria" w:hAnsi="Cambria" w:cstheme="minorHAnsi"/>
          <w:b/>
          <w:bCs/>
          <w:i/>
          <w:iCs/>
          <w:sz w:val="20"/>
          <w:szCs w:val="20"/>
        </w:rPr>
        <w:t>non compliance</w:t>
      </w:r>
      <w:proofErr w:type="spellEnd"/>
      <w:proofErr w:type="gramEnd"/>
      <w:r w:rsidRPr="009C6A06">
        <w:rPr>
          <w:rFonts w:ascii="Cambria" w:hAnsi="Cambria" w:cstheme="minorHAnsi"/>
          <w:b/>
          <w:bCs/>
          <w:i/>
          <w:iCs/>
          <w:sz w:val="20"/>
          <w:szCs w:val="20"/>
        </w:rPr>
        <w:t xml:space="preserve"> with ICCAT Recommendation 24-01 (FAD closure)</w:t>
      </w:r>
    </w:p>
    <w:p w14:paraId="382078CC" w14:textId="77777777" w:rsidR="003A2623" w:rsidRPr="009C6A06" w:rsidRDefault="003A2623" w:rsidP="00A1169C">
      <w:pPr>
        <w:pStyle w:val="ListParagraph"/>
        <w:numPr>
          <w:ilvl w:val="0"/>
          <w:numId w:val="1"/>
        </w:numPr>
        <w:ind w:left="360"/>
        <w:jc w:val="both"/>
        <w:rPr>
          <w:rFonts w:ascii="Cambria" w:hAnsi="Cambria" w:cstheme="minorHAnsi"/>
          <w:sz w:val="20"/>
          <w:szCs w:val="20"/>
        </w:rPr>
      </w:pPr>
      <w:r w:rsidRPr="009C6A06">
        <w:rPr>
          <w:rFonts w:ascii="Cambria" w:hAnsi="Cambria" w:cstheme="minorHAnsi"/>
          <w:sz w:val="20"/>
          <w:szCs w:val="20"/>
        </w:rPr>
        <w:t>On top of expected results of investigation carried out by Senegal, the EU requests Senegal to provide VMS data and logbook of SEA BREEZE for that fishing trip.</w:t>
      </w:r>
    </w:p>
    <w:p w14:paraId="7BAA577F" w14:textId="77777777" w:rsidR="002244DD" w:rsidRPr="009C6A06" w:rsidRDefault="002244DD" w:rsidP="002244DD">
      <w:pPr>
        <w:jc w:val="both"/>
        <w:rPr>
          <w:rFonts w:ascii="Cambria" w:hAnsi="Cambria" w:cstheme="minorHAnsi"/>
          <w:sz w:val="20"/>
          <w:szCs w:val="20"/>
        </w:rPr>
      </w:pPr>
    </w:p>
    <w:p w14:paraId="50C6FBB5" w14:textId="77777777" w:rsidR="003A2623" w:rsidRPr="009C6A06" w:rsidRDefault="003A2623" w:rsidP="00A1169C">
      <w:pPr>
        <w:jc w:val="both"/>
        <w:rPr>
          <w:rFonts w:ascii="Cambria" w:hAnsi="Cambria" w:cstheme="minorHAnsi"/>
          <w:b/>
          <w:bCs/>
          <w:i/>
          <w:iCs/>
          <w:sz w:val="20"/>
          <w:szCs w:val="20"/>
        </w:rPr>
      </w:pPr>
      <w:r w:rsidRPr="009C6A06">
        <w:rPr>
          <w:rFonts w:ascii="Cambria" w:hAnsi="Cambria" w:cstheme="minorHAnsi"/>
          <w:b/>
          <w:bCs/>
          <w:i/>
          <w:iCs/>
          <w:sz w:val="20"/>
          <w:szCs w:val="20"/>
        </w:rPr>
        <w:t>BFT reporting</w:t>
      </w:r>
    </w:p>
    <w:p w14:paraId="7CB3212C" w14:textId="77777777" w:rsidR="003A2623" w:rsidRPr="009C6A06" w:rsidRDefault="003A2623" w:rsidP="00A1169C">
      <w:pPr>
        <w:pStyle w:val="ListParagraph"/>
        <w:numPr>
          <w:ilvl w:val="0"/>
          <w:numId w:val="1"/>
        </w:numPr>
        <w:ind w:left="360"/>
        <w:jc w:val="both"/>
        <w:rPr>
          <w:rFonts w:ascii="Cambria" w:hAnsi="Cambria" w:cstheme="minorHAnsi"/>
          <w:sz w:val="20"/>
          <w:szCs w:val="20"/>
        </w:rPr>
      </w:pPr>
      <w:r w:rsidRPr="009C6A06">
        <w:rPr>
          <w:rFonts w:ascii="Cambria" w:hAnsi="Cambria" w:cstheme="minorHAnsi"/>
          <w:sz w:val="20"/>
          <w:szCs w:val="20"/>
        </w:rPr>
        <w:t>Senegal has been reporting 225 tons of BFT for 2024 (COC_304/2025) whereas in the document PA2_27/i2025 submitted in the ICCAT Panel 2 meeting that took place in March this year, the amount verified upon landing for catches made by the purse seiner GRANADA on 29 December 2024 was already 232 tons.</w:t>
      </w:r>
    </w:p>
    <w:p w14:paraId="7F0C8DB1" w14:textId="77777777" w:rsidR="003A2623" w:rsidRPr="009C6A06" w:rsidRDefault="003A2623" w:rsidP="00A1169C">
      <w:pPr>
        <w:pStyle w:val="ListParagraph"/>
        <w:numPr>
          <w:ilvl w:val="0"/>
          <w:numId w:val="1"/>
        </w:numPr>
        <w:ind w:left="360"/>
        <w:jc w:val="both"/>
        <w:rPr>
          <w:rFonts w:ascii="Cambria" w:hAnsi="Cambria" w:cstheme="minorHAnsi"/>
          <w:sz w:val="20"/>
          <w:szCs w:val="20"/>
        </w:rPr>
      </w:pPr>
      <w:r w:rsidRPr="009C6A06">
        <w:rPr>
          <w:rFonts w:ascii="Cambria" w:hAnsi="Cambria" w:cstheme="minorHAnsi"/>
          <w:sz w:val="20"/>
          <w:szCs w:val="20"/>
        </w:rPr>
        <w:t xml:space="preserve">Therefore, the EU requests clarifications from Senegal on that reporting. </w:t>
      </w:r>
    </w:p>
    <w:p w14:paraId="1FA4B11F" w14:textId="77777777" w:rsidR="003A2623" w:rsidRPr="009C6A06" w:rsidRDefault="003A2623" w:rsidP="00A1169C">
      <w:pPr>
        <w:pStyle w:val="ListParagraph"/>
        <w:ind w:left="1440"/>
        <w:jc w:val="both"/>
        <w:rPr>
          <w:rFonts w:ascii="Cambria" w:hAnsi="Cambria" w:cstheme="minorHAnsi"/>
          <w:sz w:val="20"/>
          <w:szCs w:val="20"/>
        </w:rPr>
      </w:pPr>
    </w:p>
    <w:p w14:paraId="0C2BA272" w14:textId="4DBF23C7" w:rsidR="003A2623" w:rsidRPr="009C6A06" w:rsidRDefault="003A2623" w:rsidP="00A1169C">
      <w:pPr>
        <w:jc w:val="both"/>
        <w:rPr>
          <w:rFonts w:ascii="Cambria" w:hAnsi="Cambria" w:cstheme="minorHAnsi"/>
          <w:b/>
          <w:bCs/>
          <w:sz w:val="20"/>
          <w:szCs w:val="20"/>
        </w:rPr>
      </w:pPr>
      <w:r w:rsidRPr="009C6A06">
        <w:rPr>
          <w:rFonts w:ascii="Cambria" w:hAnsi="Cambria" w:cstheme="minorHAnsi"/>
          <w:b/>
          <w:bCs/>
          <w:sz w:val="20"/>
          <w:szCs w:val="20"/>
        </w:rPr>
        <w:t xml:space="preserve">To conclude:  </w:t>
      </w:r>
    </w:p>
    <w:p w14:paraId="025F0415" w14:textId="711566D7" w:rsidR="003A2623" w:rsidRPr="009C6A06" w:rsidRDefault="003A2623" w:rsidP="7272AFA3">
      <w:pPr>
        <w:pStyle w:val="ListParagraph"/>
        <w:numPr>
          <w:ilvl w:val="0"/>
          <w:numId w:val="1"/>
        </w:numPr>
        <w:ind w:left="360"/>
        <w:jc w:val="both"/>
        <w:rPr>
          <w:rFonts w:ascii="Cambria" w:hAnsi="Cambria"/>
          <w:sz w:val="20"/>
          <w:szCs w:val="20"/>
        </w:rPr>
      </w:pPr>
      <w:r w:rsidRPr="009C6A06">
        <w:rPr>
          <w:rFonts w:ascii="Cambria" w:hAnsi="Cambria"/>
          <w:sz w:val="20"/>
          <w:szCs w:val="20"/>
        </w:rPr>
        <w:t xml:space="preserve">The critical failures identified in Senegal’s implementation of its duties as Flag and Port State directly undermine the conservation and managements system established by ICCAT, and maintain disproportionate risk that fish harvested in clear violation of ICCAT rules is landed in Senegal and subsequently exported to ICCAT Contracting Parties. </w:t>
      </w:r>
    </w:p>
    <w:p w14:paraId="122C5760" w14:textId="702A0DBD" w:rsidR="003A2623" w:rsidRPr="009C6A06" w:rsidRDefault="003A2623" w:rsidP="00A1169C">
      <w:pPr>
        <w:pStyle w:val="ListParagraph"/>
        <w:numPr>
          <w:ilvl w:val="0"/>
          <w:numId w:val="1"/>
        </w:numPr>
        <w:ind w:left="360"/>
        <w:jc w:val="both"/>
        <w:rPr>
          <w:rFonts w:ascii="Cambria" w:hAnsi="Cambria" w:cstheme="minorHAnsi"/>
          <w:sz w:val="20"/>
          <w:szCs w:val="20"/>
        </w:rPr>
      </w:pPr>
      <w:r w:rsidRPr="009C6A06">
        <w:rPr>
          <w:rFonts w:ascii="Cambria" w:hAnsi="Cambria" w:cstheme="minorHAnsi"/>
          <w:sz w:val="20"/>
          <w:szCs w:val="20"/>
        </w:rPr>
        <w:t xml:space="preserve">Considering the number of landings of tuna species that were made in Senegal by vessels which were not on the ICCAT Record of authorised vessels </w:t>
      </w:r>
      <w:r w:rsidRPr="009C6A06">
        <w:rPr>
          <w:rStyle w:val="FootnoteReference"/>
          <w:rFonts w:ascii="Cambria" w:hAnsi="Cambria" w:cstheme="minorHAnsi"/>
          <w:sz w:val="20"/>
          <w:szCs w:val="20"/>
        </w:rPr>
        <w:footnoteReference w:id="4"/>
      </w:r>
      <w:r w:rsidRPr="009C6A06">
        <w:rPr>
          <w:rFonts w:ascii="Cambria" w:hAnsi="Cambria" w:cstheme="minorHAnsi"/>
          <w:sz w:val="20"/>
          <w:szCs w:val="20"/>
        </w:rPr>
        <w:t xml:space="preserve">, the EU requests that non-compliance with Rec </w:t>
      </w:r>
      <w:r w:rsidR="000A7F20" w:rsidRPr="009C6A06">
        <w:rPr>
          <w:rFonts w:ascii="Cambria" w:hAnsi="Cambria" w:cstheme="minorHAnsi"/>
          <w:sz w:val="20"/>
          <w:szCs w:val="20"/>
        </w:rPr>
        <w:t>23</w:t>
      </w:r>
      <w:r w:rsidRPr="009C6A06">
        <w:rPr>
          <w:rFonts w:ascii="Cambria" w:hAnsi="Cambria" w:cstheme="minorHAnsi"/>
          <w:sz w:val="20"/>
          <w:szCs w:val="20"/>
        </w:rPr>
        <w:t>-</w:t>
      </w:r>
      <w:r w:rsidR="000A7F20" w:rsidRPr="009C6A06">
        <w:rPr>
          <w:rFonts w:ascii="Cambria" w:hAnsi="Cambria" w:cstheme="minorHAnsi"/>
          <w:sz w:val="20"/>
          <w:szCs w:val="20"/>
        </w:rPr>
        <w:t>17</w:t>
      </w:r>
      <w:r w:rsidRPr="009C6A06">
        <w:rPr>
          <w:rFonts w:ascii="Cambria" w:hAnsi="Cambria" w:cstheme="minorHAnsi"/>
          <w:sz w:val="20"/>
          <w:szCs w:val="20"/>
        </w:rPr>
        <w:t xml:space="preserve"> is added to the list of issues identified under Rec. 06-13. </w:t>
      </w:r>
    </w:p>
    <w:p w14:paraId="4A20B043" w14:textId="77777777" w:rsidR="003A2623" w:rsidRPr="009C6A06" w:rsidRDefault="003A2623" w:rsidP="00A1169C">
      <w:pPr>
        <w:pStyle w:val="ListParagraph"/>
        <w:jc w:val="both"/>
        <w:rPr>
          <w:rFonts w:ascii="Cambria" w:hAnsi="Cambria" w:cstheme="minorHAnsi"/>
          <w:sz w:val="20"/>
          <w:szCs w:val="20"/>
        </w:rPr>
      </w:pPr>
    </w:p>
    <w:p w14:paraId="5C5F66D2" w14:textId="6B4606FB" w:rsidR="00172991" w:rsidRPr="009C6A06" w:rsidRDefault="009C6A06" w:rsidP="009C6A06">
      <w:pPr>
        <w:tabs>
          <w:tab w:val="left" w:pos="3837"/>
        </w:tabs>
        <w:jc w:val="both"/>
        <w:rPr>
          <w:rFonts w:ascii="Cambria" w:hAnsi="Cambria"/>
          <w:b/>
          <w:sz w:val="20"/>
          <w:szCs w:val="20"/>
        </w:rPr>
      </w:pPr>
      <w:r>
        <w:rPr>
          <w:rFonts w:ascii="Cambria" w:hAnsi="Cambria"/>
          <w:b/>
          <w:sz w:val="20"/>
          <w:szCs w:val="20"/>
        </w:rPr>
        <w:tab/>
      </w:r>
    </w:p>
    <w:sectPr w:rsidR="00172991" w:rsidRPr="009C6A06">
      <w:head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4F7943" w14:textId="77777777" w:rsidR="006B0DB7" w:rsidRDefault="006B0DB7" w:rsidP="00172991">
      <w:pPr>
        <w:spacing w:after="0" w:line="240" w:lineRule="auto"/>
      </w:pPr>
      <w:r>
        <w:separator/>
      </w:r>
    </w:p>
  </w:endnote>
  <w:endnote w:type="continuationSeparator" w:id="0">
    <w:p w14:paraId="562AF21C" w14:textId="77777777" w:rsidR="006B0DB7" w:rsidRDefault="006B0DB7" w:rsidP="001729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7AAA29" w14:textId="77777777" w:rsidR="006B0DB7" w:rsidRDefault="006B0DB7" w:rsidP="00172991">
      <w:pPr>
        <w:spacing w:after="0" w:line="240" w:lineRule="auto"/>
      </w:pPr>
      <w:r>
        <w:separator/>
      </w:r>
    </w:p>
  </w:footnote>
  <w:footnote w:type="continuationSeparator" w:id="0">
    <w:p w14:paraId="46CAD8FB" w14:textId="77777777" w:rsidR="006B0DB7" w:rsidRDefault="006B0DB7" w:rsidP="00172991">
      <w:pPr>
        <w:spacing w:after="0" w:line="240" w:lineRule="auto"/>
      </w:pPr>
      <w:r>
        <w:continuationSeparator/>
      </w:r>
    </w:p>
  </w:footnote>
  <w:footnote w:id="1">
    <w:p w14:paraId="77232318" w14:textId="77777777" w:rsidR="003A2623" w:rsidRPr="002F13F4" w:rsidRDefault="003A2623" w:rsidP="003A2623">
      <w:pPr>
        <w:pStyle w:val="FootnoteText"/>
      </w:pPr>
      <w:r>
        <w:rPr>
          <w:rStyle w:val="FootnoteReference"/>
          <w:rFonts w:eastAsiaTheme="majorEastAsia"/>
        </w:rPr>
        <w:footnoteRef/>
      </w:r>
      <w:r>
        <w:t xml:space="preserve"> </w:t>
      </w:r>
      <w:r w:rsidRPr="002F13F4">
        <w:t>702 tons from industrial vessels + 54 tons from artisanal vessels</w:t>
      </w:r>
    </w:p>
  </w:footnote>
  <w:footnote w:id="2">
    <w:p w14:paraId="3E059ED8" w14:textId="1435AF85" w:rsidR="00A1169C" w:rsidRPr="00A1169C" w:rsidRDefault="00A1169C">
      <w:pPr>
        <w:pStyle w:val="FootnoteText"/>
      </w:pPr>
      <w:r>
        <w:rPr>
          <w:rStyle w:val="FootnoteReference"/>
        </w:rPr>
        <w:footnoteRef/>
      </w:r>
      <w:r>
        <w:t xml:space="preserve"> MSC, Initial Assessment, Public Certification Report, </w:t>
      </w:r>
      <w:proofErr w:type="spellStart"/>
      <w:r>
        <w:t>Capsen</w:t>
      </w:r>
      <w:proofErr w:type="spellEnd"/>
      <w:r>
        <w:t xml:space="preserve"> &amp; Grand Bleu Atlantic Ocean purse seine skipjack and yellowfin tuna fishery, November 2024, p.120</w:t>
      </w:r>
    </w:p>
  </w:footnote>
  <w:footnote w:id="3">
    <w:p w14:paraId="1A0634E0" w14:textId="77777777" w:rsidR="003A2623" w:rsidRPr="002F13F4" w:rsidRDefault="003A2623" w:rsidP="003A2623">
      <w:pPr>
        <w:pStyle w:val="FootnoteText"/>
      </w:pPr>
      <w:r w:rsidRPr="002F13F4">
        <w:rPr>
          <w:rStyle w:val="FootnoteReference"/>
          <w:rFonts w:eastAsiaTheme="majorEastAsia"/>
        </w:rPr>
        <w:footnoteRef/>
      </w:r>
      <w:r w:rsidRPr="002F13F4">
        <w:t xml:space="preserve"> </w:t>
      </w:r>
      <w:r w:rsidRPr="002F13F4">
        <w:rPr>
          <w:rFonts w:cstheme="minorHAnsi"/>
          <w:szCs w:val="24"/>
        </w:rPr>
        <w:t xml:space="preserve">Not to mention that the above-mentioned 802 tons do not include </w:t>
      </w:r>
      <w:r>
        <w:rPr>
          <w:rFonts w:cstheme="minorHAnsi"/>
          <w:szCs w:val="24"/>
        </w:rPr>
        <w:t xml:space="preserve">BET </w:t>
      </w:r>
      <w:r w:rsidRPr="002F13F4">
        <w:rPr>
          <w:rFonts w:cstheme="minorHAnsi"/>
          <w:szCs w:val="24"/>
        </w:rPr>
        <w:t>catches originating from fishing trips that started in 2021 and finished in 2022</w:t>
      </w:r>
      <w:r>
        <w:rPr>
          <w:rFonts w:cstheme="minorHAnsi"/>
          <w:szCs w:val="24"/>
        </w:rPr>
        <w:t>. Pro rata temporis distribution of these catches would add 62 tons to the 2021 catch.</w:t>
      </w:r>
    </w:p>
  </w:footnote>
  <w:footnote w:id="4">
    <w:p w14:paraId="7B27313D" w14:textId="77777777" w:rsidR="003A2623" w:rsidRPr="009C6A06" w:rsidRDefault="003A2623" w:rsidP="003A2623">
      <w:pPr>
        <w:pStyle w:val="FootnoteText"/>
        <w:rPr>
          <w:sz w:val="16"/>
          <w:szCs w:val="16"/>
          <w:lang w:val="en-IE"/>
        </w:rPr>
      </w:pPr>
      <w:r w:rsidRPr="009C6A06">
        <w:rPr>
          <w:rStyle w:val="FootnoteReference"/>
          <w:rFonts w:eastAsiaTheme="majorEastAsia"/>
          <w:sz w:val="16"/>
          <w:szCs w:val="16"/>
        </w:rPr>
        <w:footnoteRef/>
      </w:r>
      <w:r w:rsidRPr="009C6A06">
        <w:rPr>
          <w:sz w:val="16"/>
          <w:szCs w:val="16"/>
        </w:rPr>
        <w:t xml:space="preserve"> </w:t>
      </w:r>
      <w:r w:rsidRPr="009C6A06">
        <w:rPr>
          <w:sz w:val="16"/>
          <w:szCs w:val="16"/>
          <w:lang w:val="en-IE"/>
        </w:rPr>
        <w:t>SAGE was already on IUU v</w:t>
      </w:r>
      <w:proofErr w:type="spellStart"/>
      <w:r w:rsidRPr="009C6A06">
        <w:rPr>
          <w:sz w:val="16"/>
          <w:szCs w:val="16"/>
        </w:rPr>
        <w:t>essel</w:t>
      </w:r>
      <w:proofErr w:type="spellEnd"/>
      <w:r w:rsidRPr="009C6A06">
        <w:rPr>
          <w:sz w:val="16"/>
          <w:szCs w:val="16"/>
        </w:rPr>
        <w:t xml:space="preserve"> list at time of landings, the other vessels were not on ICCAT register of authorized vessels.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4EBDF0" w14:textId="7165B05E" w:rsidR="009C6A06" w:rsidRPr="00BF31DD" w:rsidRDefault="009C6A06" w:rsidP="009C6A06">
    <w:pPr>
      <w:widowControl w:val="0"/>
      <w:tabs>
        <w:tab w:val="center" w:pos="4680"/>
        <w:tab w:val="left" w:pos="6520"/>
        <w:tab w:val="right" w:pos="9360"/>
        <w:tab w:val="right" w:pos="14240"/>
      </w:tabs>
      <w:spacing w:after="0" w:line="240" w:lineRule="auto"/>
      <w:jc w:val="right"/>
      <w:rPr>
        <w:rFonts w:ascii="Cambria" w:eastAsia="Calibri" w:hAnsi="Cambria" w:cs="Times New Roman"/>
        <w:b/>
        <w:bCs/>
        <w:kern w:val="0"/>
        <w:sz w:val="20"/>
        <w:szCs w:val="20"/>
        <w:lang w:val="en-US"/>
        <w14:ligatures w14:val="none"/>
      </w:rPr>
    </w:pPr>
    <w:r>
      <w:rPr>
        <w:rFonts w:ascii="Cambria" w:eastAsia="Calibri" w:hAnsi="Cambria" w:cs="Times New Roman"/>
        <w:b/>
        <w:bCs/>
        <w:kern w:val="0"/>
        <w:sz w:val="20"/>
        <w:szCs w:val="20"/>
        <w:lang w:val="en-US"/>
        <w14:ligatures w14:val="none"/>
      </w:rPr>
      <w:t>COC_329</w:t>
    </w:r>
    <w:bookmarkStart w:id="0" w:name="_Hlk107908354"/>
    <w:bookmarkStart w:id="1" w:name="_Hlk107908355"/>
    <w:bookmarkStart w:id="2" w:name="_Hlk107908359"/>
    <w:bookmarkStart w:id="3" w:name="_Hlk107908360"/>
    <w:bookmarkStart w:id="4" w:name="_Hlk107908361"/>
    <w:bookmarkStart w:id="5" w:name="_Hlk107908362"/>
    <w:r w:rsidRPr="00BF31DD">
      <w:rPr>
        <w:rFonts w:ascii="Cambria" w:eastAsia="Calibri" w:hAnsi="Cambria" w:cs="Times New Roman"/>
        <w:b/>
        <w:bCs/>
        <w:kern w:val="0"/>
        <w:sz w:val="20"/>
        <w:szCs w:val="20"/>
        <w:lang w:val="en-US"/>
        <w14:ligatures w14:val="none"/>
      </w:rPr>
      <w:t>/2025</w:t>
    </w:r>
  </w:p>
  <w:p w14:paraId="31D98A96" w14:textId="77777777" w:rsidR="009C6A06" w:rsidRDefault="009C6A06" w:rsidP="009C6A06">
    <w:pPr>
      <w:widowControl w:val="0"/>
      <w:tabs>
        <w:tab w:val="left" w:pos="7320"/>
      </w:tabs>
      <w:spacing w:after="0" w:line="240" w:lineRule="exact"/>
      <w:jc w:val="right"/>
    </w:pPr>
    <w:r w:rsidRPr="00D21AA0">
      <w:rPr>
        <w:rFonts w:ascii="Cambria" w:eastAsia="Calibri" w:hAnsi="Cambria" w:cs="Times New Roman"/>
        <w:b/>
        <w:bCs/>
        <w:kern w:val="0"/>
        <w:sz w:val="16"/>
        <w:szCs w:val="16"/>
        <w:lang w:val="es-ES_tradnl"/>
        <w14:ligatures w14:val="none"/>
      </w:rPr>
      <w:fldChar w:fldCharType="begin"/>
    </w:r>
    <w:r w:rsidRPr="00D21AA0">
      <w:rPr>
        <w:rFonts w:ascii="Cambria" w:eastAsia="Calibri" w:hAnsi="Cambria" w:cs="Times New Roman"/>
        <w:b/>
        <w:bCs/>
        <w:kern w:val="0"/>
        <w:sz w:val="16"/>
        <w:szCs w:val="16"/>
        <w:lang w:val="es-ES_tradnl"/>
        <w14:ligatures w14:val="none"/>
      </w:rPr>
      <w:instrText xml:space="preserve"> TIME \@ "dd/MM/yyyy H:mm" </w:instrText>
    </w:r>
    <w:r w:rsidRPr="00D21AA0">
      <w:rPr>
        <w:rFonts w:ascii="Cambria" w:eastAsia="Calibri" w:hAnsi="Cambria" w:cs="Times New Roman"/>
        <w:b/>
        <w:bCs/>
        <w:kern w:val="0"/>
        <w:sz w:val="16"/>
        <w:szCs w:val="16"/>
        <w:lang w:val="es-ES_tradnl"/>
        <w14:ligatures w14:val="none"/>
      </w:rPr>
      <w:fldChar w:fldCharType="separate"/>
    </w:r>
    <w:r>
      <w:rPr>
        <w:rFonts w:ascii="Cambria" w:eastAsia="Calibri" w:hAnsi="Cambria" w:cs="Times New Roman"/>
        <w:b/>
        <w:bCs/>
        <w:noProof/>
        <w:kern w:val="0"/>
        <w:sz w:val="16"/>
        <w:szCs w:val="16"/>
        <w:lang w:val="es-ES_tradnl"/>
        <w14:ligatures w14:val="none"/>
      </w:rPr>
      <w:t>22/11/2025 9:04</w:t>
    </w:r>
    <w:r w:rsidRPr="00D21AA0">
      <w:rPr>
        <w:rFonts w:ascii="Cambria" w:eastAsia="Calibri" w:hAnsi="Cambria" w:cs="Times New Roman"/>
        <w:b/>
        <w:bCs/>
        <w:kern w:val="0"/>
        <w:sz w:val="16"/>
        <w:szCs w:val="16"/>
        <w:lang w:val="es-ES_tradnl"/>
        <w14:ligatures w14:val="none"/>
      </w:rPr>
      <w:fldChar w:fldCharType="end"/>
    </w:r>
    <w:bookmarkEnd w:id="0"/>
    <w:bookmarkEnd w:id="1"/>
    <w:bookmarkEnd w:id="2"/>
    <w:bookmarkEnd w:id="3"/>
    <w:bookmarkEnd w:id="4"/>
    <w:bookmarkEnd w:id="5"/>
  </w:p>
  <w:p w14:paraId="10B2A34C" w14:textId="77777777" w:rsidR="00685E84" w:rsidRDefault="00685E8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DA5C5C"/>
    <w:multiLevelType w:val="hybridMultilevel"/>
    <w:tmpl w:val="091A9914"/>
    <w:lvl w:ilvl="0" w:tplc="1584CEA2">
      <w:start w:val="1"/>
      <w:numFmt w:val="decimal"/>
      <w:lvlText w:val="%1)"/>
      <w:lvlJc w:val="left"/>
      <w:pPr>
        <w:ind w:left="360" w:hanging="360"/>
      </w:pPr>
      <w:rPr>
        <w:rFonts w:asciiTheme="minorHAnsi" w:eastAsiaTheme="minorHAnsi" w:hAnsiTheme="minorHAnsi" w:cstheme="minorHAnsi"/>
        <w:color w:val="000000"/>
      </w:rPr>
    </w:lvl>
    <w:lvl w:ilvl="1" w:tplc="E8327160">
      <w:start w:val="1"/>
      <w:numFmt w:val="decimal"/>
      <w:lvlText w:val="%2)"/>
      <w:lvlJc w:val="left"/>
      <w:pPr>
        <w:ind w:left="1080" w:hanging="360"/>
      </w:pPr>
      <w:rPr>
        <w:rFonts w:asciiTheme="minorHAnsi" w:eastAsiaTheme="minorHAnsi" w:hAnsiTheme="minorHAnsi" w:cstheme="minorHAnsi"/>
      </w:rPr>
    </w:lvl>
    <w:lvl w:ilvl="2" w:tplc="18090005">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 w15:restartNumberingAfterBreak="0">
    <w:nsid w:val="40A129F2"/>
    <w:multiLevelType w:val="hybridMultilevel"/>
    <w:tmpl w:val="DBFC10A2"/>
    <w:lvl w:ilvl="0" w:tplc="18090003">
      <w:start w:val="1"/>
      <w:numFmt w:val="bullet"/>
      <w:lvlText w:val="o"/>
      <w:lvlJc w:val="left"/>
      <w:pPr>
        <w:ind w:left="1440" w:hanging="360"/>
      </w:pPr>
      <w:rPr>
        <w:rFonts w:ascii="Courier New" w:hAnsi="Courier New" w:cs="Courier New"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2" w15:restartNumberingAfterBreak="0">
    <w:nsid w:val="47D4572D"/>
    <w:multiLevelType w:val="hybridMultilevel"/>
    <w:tmpl w:val="68CE1B78"/>
    <w:lvl w:ilvl="0" w:tplc="18090003">
      <w:start w:val="1"/>
      <w:numFmt w:val="bullet"/>
      <w:lvlText w:val="o"/>
      <w:lvlJc w:val="left"/>
      <w:pPr>
        <w:ind w:left="1800" w:hanging="360"/>
      </w:pPr>
      <w:rPr>
        <w:rFonts w:ascii="Courier New" w:hAnsi="Courier New" w:cs="Courier New" w:hint="default"/>
      </w:rPr>
    </w:lvl>
    <w:lvl w:ilvl="1" w:tplc="18090003" w:tentative="1">
      <w:start w:val="1"/>
      <w:numFmt w:val="bullet"/>
      <w:lvlText w:val="o"/>
      <w:lvlJc w:val="left"/>
      <w:pPr>
        <w:ind w:left="2520" w:hanging="360"/>
      </w:pPr>
      <w:rPr>
        <w:rFonts w:ascii="Courier New" w:hAnsi="Courier New" w:cs="Courier New" w:hint="default"/>
      </w:rPr>
    </w:lvl>
    <w:lvl w:ilvl="2" w:tplc="18090005" w:tentative="1">
      <w:start w:val="1"/>
      <w:numFmt w:val="bullet"/>
      <w:lvlText w:val=""/>
      <w:lvlJc w:val="left"/>
      <w:pPr>
        <w:ind w:left="3240" w:hanging="360"/>
      </w:pPr>
      <w:rPr>
        <w:rFonts w:ascii="Wingdings" w:hAnsi="Wingdings" w:hint="default"/>
      </w:rPr>
    </w:lvl>
    <w:lvl w:ilvl="3" w:tplc="18090001" w:tentative="1">
      <w:start w:val="1"/>
      <w:numFmt w:val="bullet"/>
      <w:lvlText w:val=""/>
      <w:lvlJc w:val="left"/>
      <w:pPr>
        <w:ind w:left="3960" w:hanging="360"/>
      </w:pPr>
      <w:rPr>
        <w:rFonts w:ascii="Symbol" w:hAnsi="Symbol" w:hint="default"/>
      </w:rPr>
    </w:lvl>
    <w:lvl w:ilvl="4" w:tplc="18090003" w:tentative="1">
      <w:start w:val="1"/>
      <w:numFmt w:val="bullet"/>
      <w:lvlText w:val="o"/>
      <w:lvlJc w:val="left"/>
      <w:pPr>
        <w:ind w:left="4680" w:hanging="360"/>
      </w:pPr>
      <w:rPr>
        <w:rFonts w:ascii="Courier New" w:hAnsi="Courier New" w:cs="Courier New" w:hint="default"/>
      </w:rPr>
    </w:lvl>
    <w:lvl w:ilvl="5" w:tplc="18090005" w:tentative="1">
      <w:start w:val="1"/>
      <w:numFmt w:val="bullet"/>
      <w:lvlText w:val=""/>
      <w:lvlJc w:val="left"/>
      <w:pPr>
        <w:ind w:left="5400" w:hanging="360"/>
      </w:pPr>
      <w:rPr>
        <w:rFonts w:ascii="Wingdings" w:hAnsi="Wingdings" w:hint="default"/>
      </w:rPr>
    </w:lvl>
    <w:lvl w:ilvl="6" w:tplc="18090001" w:tentative="1">
      <w:start w:val="1"/>
      <w:numFmt w:val="bullet"/>
      <w:lvlText w:val=""/>
      <w:lvlJc w:val="left"/>
      <w:pPr>
        <w:ind w:left="6120" w:hanging="360"/>
      </w:pPr>
      <w:rPr>
        <w:rFonts w:ascii="Symbol" w:hAnsi="Symbol" w:hint="default"/>
      </w:rPr>
    </w:lvl>
    <w:lvl w:ilvl="7" w:tplc="18090003" w:tentative="1">
      <w:start w:val="1"/>
      <w:numFmt w:val="bullet"/>
      <w:lvlText w:val="o"/>
      <w:lvlJc w:val="left"/>
      <w:pPr>
        <w:ind w:left="6840" w:hanging="360"/>
      </w:pPr>
      <w:rPr>
        <w:rFonts w:ascii="Courier New" w:hAnsi="Courier New" w:cs="Courier New" w:hint="default"/>
      </w:rPr>
    </w:lvl>
    <w:lvl w:ilvl="8" w:tplc="18090005" w:tentative="1">
      <w:start w:val="1"/>
      <w:numFmt w:val="bullet"/>
      <w:lvlText w:val=""/>
      <w:lvlJc w:val="left"/>
      <w:pPr>
        <w:ind w:left="7560" w:hanging="360"/>
      </w:pPr>
      <w:rPr>
        <w:rFonts w:ascii="Wingdings" w:hAnsi="Wingdings" w:hint="default"/>
      </w:rPr>
    </w:lvl>
  </w:abstractNum>
  <w:abstractNum w:abstractNumId="3" w15:restartNumberingAfterBreak="0">
    <w:nsid w:val="530B0F15"/>
    <w:multiLevelType w:val="hybridMultilevel"/>
    <w:tmpl w:val="D5D25BAC"/>
    <w:lvl w:ilvl="0" w:tplc="5906C192">
      <w:numFmt w:val="bullet"/>
      <w:lvlText w:val="-"/>
      <w:lvlJc w:val="left"/>
      <w:pPr>
        <w:ind w:left="720" w:hanging="360"/>
      </w:pPr>
      <w:rPr>
        <w:rFonts w:ascii="Calibri" w:eastAsiaTheme="minorHAnsi" w:hAnsi="Calibri" w:cs="Calibri"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15:restartNumberingAfterBreak="0">
    <w:nsid w:val="63045629"/>
    <w:multiLevelType w:val="hybridMultilevel"/>
    <w:tmpl w:val="FF6EDAD8"/>
    <w:lvl w:ilvl="0" w:tplc="18090011">
      <w:start w:val="1"/>
      <w:numFmt w:val="decimal"/>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num w:numId="1" w16cid:durableId="73938528">
    <w:abstractNumId w:val="3"/>
  </w:num>
  <w:num w:numId="2" w16cid:durableId="1257326554">
    <w:abstractNumId w:val="0"/>
  </w:num>
  <w:num w:numId="3" w16cid:durableId="1481000742">
    <w:abstractNumId w:val="2"/>
  </w:num>
  <w:num w:numId="4" w16cid:durableId="919607725">
    <w:abstractNumId w:val="1"/>
  </w:num>
  <w:num w:numId="5" w16cid:durableId="92992242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7D00"/>
    <w:rsid w:val="0009161C"/>
    <w:rsid w:val="000A7F20"/>
    <w:rsid w:val="000D35C4"/>
    <w:rsid w:val="001550C6"/>
    <w:rsid w:val="00172991"/>
    <w:rsid w:val="001751A1"/>
    <w:rsid w:val="00176B06"/>
    <w:rsid w:val="001A577E"/>
    <w:rsid w:val="001D4694"/>
    <w:rsid w:val="002244DD"/>
    <w:rsid w:val="0028207E"/>
    <w:rsid w:val="002D5AD8"/>
    <w:rsid w:val="002E40F0"/>
    <w:rsid w:val="00336C0C"/>
    <w:rsid w:val="00396745"/>
    <w:rsid w:val="003A2623"/>
    <w:rsid w:val="003E134A"/>
    <w:rsid w:val="004445EB"/>
    <w:rsid w:val="004C7D00"/>
    <w:rsid w:val="00537264"/>
    <w:rsid w:val="0056113D"/>
    <w:rsid w:val="00580E4C"/>
    <w:rsid w:val="00615E5B"/>
    <w:rsid w:val="006366AA"/>
    <w:rsid w:val="00644E77"/>
    <w:rsid w:val="00685E84"/>
    <w:rsid w:val="006B0DB7"/>
    <w:rsid w:val="00702034"/>
    <w:rsid w:val="00731DBC"/>
    <w:rsid w:val="00786343"/>
    <w:rsid w:val="0079774B"/>
    <w:rsid w:val="007A2B97"/>
    <w:rsid w:val="0080195F"/>
    <w:rsid w:val="008B1E7B"/>
    <w:rsid w:val="008C2F1E"/>
    <w:rsid w:val="00983672"/>
    <w:rsid w:val="00986FCE"/>
    <w:rsid w:val="009C6A06"/>
    <w:rsid w:val="00A1169C"/>
    <w:rsid w:val="00B930AE"/>
    <w:rsid w:val="00BA34A6"/>
    <w:rsid w:val="00BB274A"/>
    <w:rsid w:val="00BD3678"/>
    <w:rsid w:val="00BF5D81"/>
    <w:rsid w:val="00CD4398"/>
    <w:rsid w:val="00D30D49"/>
    <w:rsid w:val="00D66616"/>
    <w:rsid w:val="00D961A7"/>
    <w:rsid w:val="00DB4C5D"/>
    <w:rsid w:val="00E05737"/>
    <w:rsid w:val="00E36939"/>
    <w:rsid w:val="00E67E4D"/>
    <w:rsid w:val="00EC71E8"/>
    <w:rsid w:val="00EE480D"/>
    <w:rsid w:val="00F913CF"/>
    <w:rsid w:val="00FA5376"/>
    <w:rsid w:val="00FE3A8A"/>
    <w:rsid w:val="00FE7279"/>
    <w:rsid w:val="011DC9FE"/>
    <w:rsid w:val="01FC1831"/>
    <w:rsid w:val="039FA475"/>
    <w:rsid w:val="049F203D"/>
    <w:rsid w:val="04D06824"/>
    <w:rsid w:val="073CCC58"/>
    <w:rsid w:val="0766DF3A"/>
    <w:rsid w:val="085763C1"/>
    <w:rsid w:val="15D69A92"/>
    <w:rsid w:val="15EF3A52"/>
    <w:rsid w:val="16BC1A73"/>
    <w:rsid w:val="17FD821B"/>
    <w:rsid w:val="180D6D73"/>
    <w:rsid w:val="1A4EDF83"/>
    <w:rsid w:val="1BC5632D"/>
    <w:rsid w:val="1FC35519"/>
    <w:rsid w:val="2FB9B93A"/>
    <w:rsid w:val="31A49226"/>
    <w:rsid w:val="3286D3FA"/>
    <w:rsid w:val="349DD772"/>
    <w:rsid w:val="34B032C6"/>
    <w:rsid w:val="37724EEF"/>
    <w:rsid w:val="3B1C2511"/>
    <w:rsid w:val="4139312D"/>
    <w:rsid w:val="4C6AE1D7"/>
    <w:rsid w:val="50E8886B"/>
    <w:rsid w:val="536EB7A8"/>
    <w:rsid w:val="550E2A69"/>
    <w:rsid w:val="5663A1EB"/>
    <w:rsid w:val="573B7770"/>
    <w:rsid w:val="59C72F63"/>
    <w:rsid w:val="5BFC86AB"/>
    <w:rsid w:val="5F66B415"/>
    <w:rsid w:val="6BE5AA59"/>
    <w:rsid w:val="7272AFA3"/>
    <w:rsid w:val="73CA05CF"/>
    <w:rsid w:val="77768C00"/>
    <w:rsid w:val="779E487D"/>
    <w:rsid w:val="7DE64854"/>
    <w:rsid w:val="7E458DB8"/>
    <w:rsid w:val="7E4859BA"/>
    <w:rsid w:val="7F44A97B"/>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62CF3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C7D0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C7D0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C7D0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C7D0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C7D0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C7D0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C7D0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C7D0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C7D0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C7D0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C7D0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C7D0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C7D0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C7D0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C7D0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C7D0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C7D0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C7D00"/>
    <w:rPr>
      <w:rFonts w:eastAsiaTheme="majorEastAsia" w:cstheme="majorBidi"/>
      <w:color w:val="272727" w:themeColor="text1" w:themeTint="D8"/>
    </w:rPr>
  </w:style>
  <w:style w:type="paragraph" w:styleId="Title">
    <w:name w:val="Title"/>
    <w:basedOn w:val="Normal"/>
    <w:next w:val="Normal"/>
    <w:link w:val="TitleChar"/>
    <w:uiPriority w:val="10"/>
    <w:qFormat/>
    <w:rsid w:val="004C7D0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C7D0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C7D0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C7D0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C7D00"/>
    <w:pPr>
      <w:spacing w:before="160"/>
      <w:jc w:val="center"/>
    </w:pPr>
    <w:rPr>
      <w:i/>
      <w:iCs/>
      <w:color w:val="404040" w:themeColor="text1" w:themeTint="BF"/>
    </w:rPr>
  </w:style>
  <w:style w:type="character" w:customStyle="1" w:styleId="QuoteChar">
    <w:name w:val="Quote Char"/>
    <w:basedOn w:val="DefaultParagraphFont"/>
    <w:link w:val="Quote"/>
    <w:uiPriority w:val="29"/>
    <w:rsid w:val="004C7D00"/>
    <w:rPr>
      <w:i/>
      <w:iCs/>
      <w:color w:val="404040" w:themeColor="text1" w:themeTint="BF"/>
    </w:rPr>
  </w:style>
  <w:style w:type="paragraph" w:styleId="ListParagraph">
    <w:name w:val="List Paragraph"/>
    <w:basedOn w:val="Normal"/>
    <w:qFormat/>
    <w:rsid w:val="004C7D00"/>
    <w:pPr>
      <w:ind w:left="720"/>
      <w:contextualSpacing/>
    </w:pPr>
  </w:style>
  <w:style w:type="character" w:styleId="IntenseEmphasis">
    <w:name w:val="Intense Emphasis"/>
    <w:basedOn w:val="DefaultParagraphFont"/>
    <w:uiPriority w:val="21"/>
    <w:qFormat/>
    <w:rsid w:val="004C7D00"/>
    <w:rPr>
      <w:i/>
      <w:iCs/>
      <w:color w:val="0F4761" w:themeColor="accent1" w:themeShade="BF"/>
    </w:rPr>
  </w:style>
  <w:style w:type="paragraph" w:styleId="IntenseQuote">
    <w:name w:val="Intense Quote"/>
    <w:basedOn w:val="Normal"/>
    <w:next w:val="Normal"/>
    <w:link w:val="IntenseQuoteChar"/>
    <w:uiPriority w:val="30"/>
    <w:qFormat/>
    <w:rsid w:val="004C7D0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C7D00"/>
    <w:rPr>
      <w:i/>
      <w:iCs/>
      <w:color w:val="0F4761" w:themeColor="accent1" w:themeShade="BF"/>
    </w:rPr>
  </w:style>
  <w:style w:type="character" w:styleId="IntenseReference">
    <w:name w:val="Intense Reference"/>
    <w:basedOn w:val="DefaultParagraphFont"/>
    <w:uiPriority w:val="32"/>
    <w:qFormat/>
    <w:rsid w:val="004C7D00"/>
    <w:rPr>
      <w:b/>
      <w:bCs/>
      <w:smallCaps/>
      <w:color w:val="0F4761" w:themeColor="accent1" w:themeShade="BF"/>
      <w:spacing w:val="5"/>
    </w:rPr>
  </w:style>
  <w:style w:type="paragraph" w:styleId="FootnoteText">
    <w:name w:val="footnote text"/>
    <w:basedOn w:val="Normal"/>
    <w:link w:val="FootnoteTextChar"/>
    <w:unhideWhenUsed/>
    <w:rsid w:val="00172991"/>
    <w:pPr>
      <w:spacing w:after="120" w:line="240" w:lineRule="auto"/>
      <w:ind w:left="357" w:hanging="357"/>
      <w:jc w:val="both"/>
    </w:pPr>
    <w:rPr>
      <w:rFonts w:ascii="Times New Roman" w:eastAsia="Times New Roman" w:hAnsi="Times New Roman" w:cs="Times New Roman"/>
      <w:kern w:val="0"/>
      <w:sz w:val="20"/>
      <w:szCs w:val="20"/>
      <w:lang w:val="en-GB" w:eastAsia="en-GB"/>
      <w14:ligatures w14:val="none"/>
    </w:rPr>
  </w:style>
  <w:style w:type="character" w:customStyle="1" w:styleId="FootnoteTextChar">
    <w:name w:val="Footnote Text Char"/>
    <w:basedOn w:val="DefaultParagraphFont"/>
    <w:link w:val="FootnoteText"/>
    <w:rsid w:val="00172991"/>
    <w:rPr>
      <w:rFonts w:ascii="Times New Roman" w:eastAsia="Times New Roman" w:hAnsi="Times New Roman" w:cs="Times New Roman"/>
      <w:kern w:val="0"/>
      <w:sz w:val="20"/>
      <w:szCs w:val="20"/>
      <w:lang w:val="en-GB" w:eastAsia="en-GB"/>
      <w14:ligatures w14:val="none"/>
    </w:rPr>
  </w:style>
  <w:style w:type="character" w:styleId="FootnoteReference">
    <w:name w:val="footnote reference"/>
    <w:basedOn w:val="DefaultParagraphFont"/>
    <w:semiHidden/>
    <w:rsid w:val="00172991"/>
    <w:rPr>
      <w:vertAlign w:val="superscript"/>
    </w:rPr>
  </w:style>
  <w:style w:type="character" w:styleId="Hyperlink">
    <w:name w:val="Hyperlink"/>
    <w:basedOn w:val="DefaultParagraphFont"/>
    <w:semiHidden/>
    <w:rsid w:val="00172991"/>
    <w:rPr>
      <w:color w:val="467886" w:themeColor="hyperlink"/>
      <w:u w:val="single"/>
    </w:rPr>
  </w:style>
  <w:style w:type="character" w:styleId="CommentReference">
    <w:name w:val="annotation reference"/>
    <w:basedOn w:val="DefaultParagraphFont"/>
    <w:uiPriority w:val="99"/>
    <w:semiHidden/>
    <w:unhideWhenUsed/>
    <w:rsid w:val="00D30D49"/>
    <w:rPr>
      <w:sz w:val="16"/>
      <w:szCs w:val="16"/>
    </w:rPr>
  </w:style>
  <w:style w:type="paragraph" w:styleId="CommentText">
    <w:name w:val="annotation text"/>
    <w:basedOn w:val="Normal"/>
    <w:link w:val="CommentTextChar"/>
    <w:uiPriority w:val="99"/>
    <w:unhideWhenUsed/>
    <w:rsid w:val="00D30D49"/>
    <w:pPr>
      <w:spacing w:line="240" w:lineRule="auto"/>
    </w:pPr>
    <w:rPr>
      <w:sz w:val="20"/>
      <w:szCs w:val="20"/>
    </w:rPr>
  </w:style>
  <w:style w:type="character" w:customStyle="1" w:styleId="CommentTextChar">
    <w:name w:val="Comment Text Char"/>
    <w:basedOn w:val="DefaultParagraphFont"/>
    <w:link w:val="CommentText"/>
    <w:uiPriority w:val="99"/>
    <w:rsid w:val="00D30D49"/>
    <w:rPr>
      <w:sz w:val="20"/>
      <w:szCs w:val="20"/>
    </w:rPr>
  </w:style>
  <w:style w:type="paragraph" w:styleId="CommentSubject">
    <w:name w:val="annotation subject"/>
    <w:basedOn w:val="CommentText"/>
    <w:next w:val="CommentText"/>
    <w:link w:val="CommentSubjectChar"/>
    <w:uiPriority w:val="99"/>
    <w:semiHidden/>
    <w:unhideWhenUsed/>
    <w:rsid w:val="00D30D49"/>
    <w:rPr>
      <w:b/>
      <w:bCs/>
    </w:rPr>
  </w:style>
  <w:style w:type="character" w:customStyle="1" w:styleId="CommentSubjectChar">
    <w:name w:val="Comment Subject Char"/>
    <w:basedOn w:val="CommentTextChar"/>
    <w:link w:val="CommentSubject"/>
    <w:uiPriority w:val="99"/>
    <w:semiHidden/>
    <w:rsid w:val="00D30D49"/>
    <w:rPr>
      <w:b/>
      <w:bCs/>
      <w:sz w:val="20"/>
      <w:szCs w:val="20"/>
    </w:rPr>
  </w:style>
  <w:style w:type="table" w:styleId="TableGrid">
    <w:name w:val="Table Grid"/>
    <w:basedOn w:val="TableNormal"/>
    <w:uiPriority w:val="39"/>
    <w:rsid w:val="00EC71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80195F"/>
    <w:pPr>
      <w:spacing w:after="0" w:line="240" w:lineRule="auto"/>
    </w:pPr>
  </w:style>
  <w:style w:type="paragraph" w:styleId="Header">
    <w:name w:val="header"/>
    <w:basedOn w:val="Normal"/>
    <w:link w:val="HeaderChar"/>
    <w:uiPriority w:val="99"/>
    <w:unhideWhenUsed/>
    <w:rsid w:val="00685E84"/>
    <w:pPr>
      <w:tabs>
        <w:tab w:val="center" w:pos="4513"/>
        <w:tab w:val="right" w:pos="9026"/>
      </w:tabs>
      <w:spacing w:after="0" w:line="240" w:lineRule="auto"/>
    </w:pPr>
  </w:style>
  <w:style w:type="character" w:customStyle="1" w:styleId="HeaderChar">
    <w:name w:val="Header Char"/>
    <w:basedOn w:val="DefaultParagraphFont"/>
    <w:link w:val="Header"/>
    <w:uiPriority w:val="99"/>
    <w:rsid w:val="00685E84"/>
  </w:style>
  <w:style w:type="paragraph" w:styleId="Footer">
    <w:name w:val="footer"/>
    <w:basedOn w:val="Normal"/>
    <w:link w:val="FooterChar"/>
    <w:uiPriority w:val="99"/>
    <w:unhideWhenUsed/>
    <w:rsid w:val="00685E84"/>
    <w:pPr>
      <w:tabs>
        <w:tab w:val="center" w:pos="4513"/>
        <w:tab w:val="right" w:pos="9026"/>
      </w:tabs>
      <w:spacing w:after="0" w:line="240" w:lineRule="auto"/>
    </w:pPr>
  </w:style>
  <w:style w:type="character" w:customStyle="1" w:styleId="FooterChar">
    <w:name w:val="Footer Char"/>
    <w:basedOn w:val="DefaultParagraphFont"/>
    <w:link w:val="Footer"/>
    <w:uiPriority w:val="99"/>
    <w:rsid w:val="00685E8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79f5ee3-6126-495d-84fb-deab44380441">
      <Terms xmlns="http://schemas.microsoft.com/office/infopath/2007/PartnerControls">
        <TermInfo xmlns="http://schemas.microsoft.com/office/infopath/2007/PartnerControls">
          <TermName xmlns="http://schemas.microsoft.com/office/infopath/2007/PartnerControls"/>
          <TermId xmlns="http://schemas.microsoft.com/office/infopath/2007/PartnerControls"/>
        </TermInfo>
      </Terms>
    </lcf76f155ced4ddcb4097134ff3c332f>
    <TaxCatchAll xmlns="109fe164-c690-497e-a27a-2f9db3c5ef70"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17FF78C904FD5D479F9D99C5899B7D55" ma:contentTypeVersion="18" ma:contentTypeDescription="Create a new document." ma:contentTypeScope="" ma:versionID="e316f6b60cd2d5b6b0c9928c0a419c9b">
  <xsd:schema xmlns:xsd="http://www.w3.org/2001/XMLSchema" xmlns:xs="http://www.w3.org/2001/XMLSchema" xmlns:p="http://schemas.microsoft.com/office/2006/metadata/properties" xmlns:ns2="e79f5ee3-6126-495d-84fb-deab44380441" xmlns:ns3="109fe164-c690-497e-a27a-2f9db3c5ef70" targetNamespace="http://schemas.microsoft.com/office/2006/metadata/properties" ma:root="true" ma:fieldsID="bcf5374ff0d87d29a43559c73945e4d0" ns2:_="" ns3:_="">
    <xsd:import namespace="e79f5ee3-6126-495d-84fb-deab44380441"/>
    <xsd:import namespace="109fe164-c690-497e-a27a-2f9db3c5ef7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79f5ee3-6126-495d-84fb-deab443804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22b2fad6-9d2c-441c-a321-3f5f1e9bd928"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9fe164-c690-497e-a27a-2f9db3c5ef7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57b1a440-6b9a-40cb-aa19-eb82162fca31}" ma:internalName="TaxCatchAll" ma:showField="CatchAllData" ma:web="109fe164-c690-497e-a27a-2f9db3c5ef7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DCE4605-27F3-40D6-A297-DFA0AEF20E8C}">
  <ds:schemaRefs>
    <ds:schemaRef ds:uri="http://schemas.openxmlformats.org/officeDocument/2006/bibliography"/>
  </ds:schemaRefs>
</ds:datastoreItem>
</file>

<file path=customXml/itemProps2.xml><?xml version="1.0" encoding="utf-8"?>
<ds:datastoreItem xmlns:ds="http://schemas.openxmlformats.org/officeDocument/2006/customXml" ds:itemID="{BDDEBDB9-6989-400A-AFD0-06A50C254348}">
  <ds:schemaRefs>
    <ds:schemaRef ds:uri="http://schemas.microsoft.com/office/2006/metadata/properties"/>
    <ds:schemaRef ds:uri="http://schemas.microsoft.com/office/infopath/2007/PartnerControls"/>
    <ds:schemaRef ds:uri="e79f5ee3-6126-495d-84fb-deab44380441"/>
    <ds:schemaRef ds:uri="109fe164-c690-497e-a27a-2f9db3c5ef70"/>
  </ds:schemaRefs>
</ds:datastoreItem>
</file>

<file path=customXml/itemProps3.xml><?xml version="1.0" encoding="utf-8"?>
<ds:datastoreItem xmlns:ds="http://schemas.openxmlformats.org/officeDocument/2006/customXml" ds:itemID="{666853D0-1732-47B3-9448-1FCE90DFA20A}">
  <ds:schemaRefs>
    <ds:schemaRef ds:uri="http://schemas.microsoft.com/sharepoint/v3/contenttype/forms"/>
  </ds:schemaRefs>
</ds:datastoreItem>
</file>

<file path=customXml/itemProps4.xml><?xml version="1.0" encoding="utf-8"?>
<ds:datastoreItem xmlns:ds="http://schemas.openxmlformats.org/officeDocument/2006/customXml" ds:itemID="{6BF1F7B4-B7E2-4CB6-8DE6-8AE07C2040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79f5ee3-6126-495d-84fb-deab44380441"/>
    <ds:schemaRef ds:uri="109fe164-c690-497e-a27a-2f9db3c5ef7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1931</Words>
  <Characters>11009</Characters>
  <Application>Microsoft Office Word</Application>
  <DocSecurity>4</DocSecurity>
  <Lines>91</Lines>
  <Paragraphs>25</Paragraphs>
  <ScaleCrop>false</ScaleCrop>
  <Company/>
  <LinksUpToDate>false</LinksUpToDate>
  <CharactersWithSpaces>12915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2025-11-22T08:41:00Z</dcterms:created>
  <dcterms:modified xsi:type="dcterms:W3CDTF">2025-11-22T08:41:00Z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2025-11-18T10:31:38Z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1a94e685-3ade-4302-bc0e-beb004b8e0ab</vt:lpwstr>
  </property>
  <property fmtid="{D5CDD505-2E9C-101B-9397-08002B2CF9AE}" pid="8" name="MSIP_Label_6bd9ddd1-4d20-43f6-abfa-fc3c07406f94_ContentBits">
    <vt:lpwstr>0</vt:lpwstr>
  </property>
  <property fmtid="{D5CDD505-2E9C-101B-9397-08002B2CF9AE}" pid="9" name="MSIP_Label_6bd9ddd1-4d20-43f6-abfa-fc3c07406f94_Tag">
    <vt:lpwstr>10, 3, 0, 1</vt:lpwstr>
  </property>
  <property fmtid="{D5CDD505-2E9C-101B-9397-08002B2CF9AE}" pid="10" name="ContentTypeId">
    <vt:lpwstr>0x01010017FF78C904FD5D479F9D99C5899B7D55</vt:lpwstr>
  </property>
  <property fmtid="{D5CDD505-2E9C-101B-9397-08002B2CF9AE}" pid="11" name="MediaServiceImageTags">
    <vt:lpwstr/>
  </property>
</Properties>
</file>