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6E72F" w14:textId="24494434" w:rsidR="00D50296" w:rsidRDefault="00D50296" w:rsidP="00D50296">
      <w:pPr>
        <w:jc w:val="right"/>
        <w:rPr>
          <w:rFonts w:ascii="Cambria" w:eastAsia="Aptos" w:hAnsi="Cambria" w:cs="Arial"/>
          <w:b/>
          <w:bCs/>
          <w:kern w:val="2"/>
          <w:sz w:val="20"/>
          <w:szCs w:val="20"/>
          <w14:ligatures w14:val="standardContextual"/>
        </w:rPr>
      </w:pPr>
      <w:r>
        <w:rPr>
          <w:rFonts w:ascii="Cambria" w:eastAsia="Aptos" w:hAnsi="Cambria" w:cs="Arial"/>
          <w:b/>
          <w:bCs/>
          <w:kern w:val="2"/>
          <w:sz w:val="20"/>
          <w:szCs w:val="20"/>
          <w14:ligatures w14:val="standardContextual"/>
        </w:rPr>
        <w:t>Original: inglés</w:t>
      </w:r>
    </w:p>
    <w:p w14:paraId="013F54F7" w14:textId="77777777" w:rsidR="00D50296" w:rsidRDefault="00D50296" w:rsidP="00D50296">
      <w:pPr>
        <w:jc w:val="center"/>
        <w:rPr>
          <w:rFonts w:ascii="Cambria" w:eastAsia="Aptos" w:hAnsi="Cambria" w:cs="Arial"/>
          <w:b/>
          <w:bCs/>
          <w:kern w:val="2"/>
          <w:sz w:val="20"/>
          <w:szCs w:val="20"/>
          <w14:ligatures w14:val="standardContextual"/>
        </w:rPr>
      </w:pPr>
    </w:p>
    <w:p w14:paraId="318C4B81" w14:textId="03B025A5" w:rsidR="00D50296" w:rsidRPr="0033632A" w:rsidRDefault="00D50296" w:rsidP="00D50296">
      <w:pPr>
        <w:jc w:val="center"/>
        <w:rPr>
          <w:rFonts w:ascii="Cambria" w:eastAsia="Aptos" w:hAnsi="Cambria" w:cs="Arial"/>
          <w:i/>
          <w:iCs/>
          <w:kern w:val="2"/>
          <w:sz w:val="20"/>
          <w:szCs w:val="20"/>
          <w14:ligatures w14:val="standardContextual"/>
        </w:rPr>
      </w:pPr>
      <w:r w:rsidRPr="00D50296">
        <w:rPr>
          <w:rFonts w:ascii="Cambria" w:eastAsia="Aptos" w:hAnsi="Cambria" w:cs="Arial"/>
          <w:b/>
          <w:bCs/>
          <w:kern w:val="2"/>
          <w:sz w:val="20"/>
          <w:szCs w:val="20"/>
          <w14:ligatures w14:val="standardContextual"/>
        </w:rPr>
        <w:t>Respuesta del SCRS a la e</w:t>
      </w:r>
      <w:r w:rsidRPr="00D50296">
        <w:rPr>
          <w:rFonts w:ascii="Cambria" w:eastAsia="Aptos" w:hAnsi="Cambria" w:cs="Arial"/>
          <w:b/>
          <w:bCs/>
          <w:kern w:val="2"/>
          <w:sz w:val="20"/>
          <w:szCs w:val="20"/>
          <w14:ligatures w14:val="standardContextual"/>
        </w:rPr>
        <w:t>xención de la presentación de la hoja de comprobación de tiburones</w:t>
      </w:r>
    </w:p>
    <w:p w14:paraId="10EEE724" w14:textId="3C5C1B4D" w:rsidR="0033632A" w:rsidRPr="0033632A" w:rsidRDefault="0033632A" w:rsidP="00D50296">
      <w:pPr>
        <w:jc w:val="center"/>
        <w:rPr>
          <w:rFonts w:ascii="Cambria" w:eastAsia="Aptos" w:hAnsi="Cambria" w:cs="Arial"/>
          <w:i/>
          <w:iCs/>
          <w:kern w:val="2"/>
          <w:sz w:val="20"/>
          <w:szCs w:val="20"/>
          <w14:ligatures w14:val="standardContextual"/>
        </w:rPr>
      </w:pPr>
      <w:r w:rsidRPr="0033632A">
        <w:rPr>
          <w:rFonts w:ascii="Cambria" w:eastAsia="Aptos" w:hAnsi="Cambria" w:cs="Arial"/>
          <w:i/>
          <w:iCs/>
          <w:kern w:val="2"/>
          <w:sz w:val="20"/>
          <w:szCs w:val="20"/>
          <w14:ligatures w14:val="standardContextual"/>
        </w:rPr>
        <w:t>(documento presentado por el SCRS)</w:t>
      </w:r>
    </w:p>
    <w:p w14:paraId="6E396B61" w14:textId="77777777" w:rsidR="00D50296" w:rsidRPr="00ED2C56" w:rsidRDefault="00D50296" w:rsidP="00D50296">
      <w:pPr>
        <w:jc w:val="both"/>
        <w:rPr>
          <w:rFonts w:ascii="Cambria" w:eastAsia="Aptos" w:hAnsi="Cambria" w:cs="Arial"/>
          <w:b/>
          <w:bCs/>
          <w:kern w:val="2"/>
          <w:sz w:val="20"/>
          <w:szCs w:val="20"/>
          <w14:ligatures w14:val="standardContextual"/>
        </w:rPr>
      </w:pPr>
    </w:p>
    <w:p w14:paraId="2BD94813" w14:textId="10C8E6E7" w:rsidR="00D50296" w:rsidRPr="00D50296" w:rsidRDefault="00D50296" w:rsidP="00D50296">
      <w:pPr>
        <w:jc w:val="both"/>
        <w:rPr>
          <w:rFonts w:ascii="Cambria" w:eastAsia="Aptos" w:hAnsi="Cambria" w:cs="Arial"/>
          <w:i/>
          <w:iCs/>
          <w:kern w:val="2"/>
          <w:sz w:val="20"/>
          <w:szCs w:val="20"/>
          <w14:ligatures w14:val="standardContextual"/>
        </w:rPr>
      </w:pPr>
      <w:r w:rsidRPr="00D50296">
        <w:rPr>
          <w:rFonts w:ascii="Cambria" w:eastAsia="Aptos" w:hAnsi="Cambria" w:cs="Arial"/>
          <w:b/>
          <w:i/>
          <w:kern w:val="2"/>
          <w:sz w:val="20"/>
          <w:szCs w:val="20"/>
          <w14:ligatures w14:val="standardContextual"/>
        </w:rPr>
        <w:t xml:space="preserve">Contexto: </w:t>
      </w:r>
      <w:r w:rsidRPr="00D50296">
        <w:rPr>
          <w:rFonts w:ascii="Cambria" w:eastAsia="Aptos" w:hAnsi="Cambria" w:cs="Arial"/>
          <w:i/>
          <w:kern w:val="2"/>
          <w:sz w:val="20"/>
          <w:szCs w:val="20"/>
          <w14:ligatures w14:val="standardContextual"/>
        </w:rPr>
        <w:t xml:space="preserve">3. </w:t>
      </w:r>
      <w:r w:rsidRPr="00D50296">
        <w:rPr>
          <w:rFonts w:ascii="Cambria" w:eastAsia="Aptos" w:hAnsi="Cambria" w:cs="Arial"/>
          <w:i/>
          <w:kern w:val="2"/>
          <w:sz w:val="20"/>
          <w:szCs w:val="20"/>
          <w14:ligatures w14:val="standardContextual"/>
        </w:rPr>
        <w:t xml:space="preserve">Párrafo 3 de la </w:t>
      </w:r>
      <w:hyperlink r:id="rId7" w:history="1">
        <w:r w:rsidRPr="00D50296">
          <w:rPr>
            <w:rStyle w:val="Hyperlink"/>
            <w:rFonts w:ascii="Cambria" w:eastAsia="Aptos" w:hAnsi="Cambria" w:cs="Arial"/>
            <w:i/>
            <w:kern w:val="2"/>
            <w:sz w:val="20"/>
            <w:szCs w:val="20"/>
            <w:u w:val="none"/>
            <w14:ligatures w14:val="standardContextual"/>
          </w:rPr>
          <w:t>Rec. 18-06</w:t>
        </w:r>
      </w:hyperlink>
      <w:r w:rsidRPr="00D50296">
        <w:rPr>
          <w:rFonts w:ascii="Cambria" w:eastAsia="Aptos" w:hAnsi="Cambria" w:cs="Arial"/>
          <w:i/>
          <w:kern w:val="2"/>
          <w:sz w:val="20"/>
          <w:szCs w:val="20"/>
          <w14:ligatures w14:val="standardContextual"/>
        </w:rPr>
        <w:t xml:space="preserve">. </w:t>
      </w:r>
      <w:r w:rsidRPr="00D50296">
        <w:rPr>
          <w:rFonts w:ascii="Cambria" w:eastAsia="Aptos" w:hAnsi="Cambria" w:cs="Arial"/>
          <w:i/>
          <w:kern w:val="2"/>
          <w:sz w:val="20"/>
          <w:szCs w:val="20"/>
          <w14:ligatures w14:val="standardContextual"/>
        </w:rPr>
        <w:t>Las CPC podrán quedar exentas de presentar la hoja de comprobación cuando no sea probable que los buques que enarbolan su pabellón capturen las especies de tiburones cubiertas por las Recomendaciones mencionadas en el párrafo 1, a condición de que las CPC afectadas obtengan una confirmación del Grupo de especies de tiburones mediante los datos necesarios presentados por las CPC con este fin.</w:t>
      </w:r>
    </w:p>
    <w:p w14:paraId="49AEC0AB" w14:textId="77777777" w:rsidR="00D50296" w:rsidRPr="00ED2C56" w:rsidRDefault="00D50296" w:rsidP="00D50296">
      <w:pPr>
        <w:jc w:val="both"/>
        <w:rPr>
          <w:rFonts w:ascii="Cambria" w:eastAsia="Aptos" w:hAnsi="Cambria" w:cs="Arial"/>
          <w:kern w:val="2"/>
          <w:sz w:val="20"/>
          <w:szCs w:val="20"/>
          <w14:ligatures w14:val="standardContextual"/>
        </w:rPr>
      </w:pPr>
    </w:p>
    <w:p w14:paraId="502229B3" w14:textId="77777777" w:rsidR="00D50296" w:rsidRPr="00ED2C56" w:rsidRDefault="00D50296" w:rsidP="00D50296">
      <w:pPr>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 xml:space="preserve">Con arreglo a la </w:t>
      </w:r>
      <w:hyperlink r:id="rId8" w:history="1">
        <w:r w:rsidRPr="00ED2C56">
          <w:rPr>
            <w:rFonts w:ascii="Cambria" w:eastAsia="Aptos" w:hAnsi="Cambria" w:cs="Arial"/>
            <w:color w:val="467886"/>
            <w:kern w:val="2"/>
            <w:sz w:val="20"/>
            <w:szCs w:val="20"/>
            <w14:ligatures w14:val="standardContextual"/>
          </w:rPr>
          <w:t>Rec. 18-06</w:t>
        </w:r>
      </w:hyperlink>
      <w:r w:rsidRPr="00ED2C56">
        <w:rPr>
          <w:rFonts w:ascii="Cambria" w:eastAsia="Aptos" w:hAnsi="Cambria" w:cs="Arial"/>
          <w:kern w:val="2"/>
          <w:sz w:val="20"/>
          <w:szCs w:val="20"/>
          <w14:ligatures w14:val="standardContextual"/>
        </w:rPr>
        <w:t xml:space="preserve"> párrafo 3, la Comisión ha solicitado al SCRS que desarrolle un procedimiento para que las CPC puedan solicitar la exención de la presentación de la hoja de comprobación de tiburones. Tras un debate, el Comité propuso el siguiente procedimiento:</w:t>
      </w:r>
    </w:p>
    <w:p w14:paraId="49A6A01A" w14:textId="77777777" w:rsidR="00D50296" w:rsidRPr="00ED2C56" w:rsidRDefault="00D50296" w:rsidP="00D50296">
      <w:pPr>
        <w:jc w:val="both"/>
        <w:rPr>
          <w:rFonts w:ascii="Cambria" w:eastAsia="Aptos" w:hAnsi="Cambria" w:cs="Arial"/>
          <w:kern w:val="2"/>
          <w:sz w:val="20"/>
          <w:szCs w:val="20"/>
          <w14:ligatures w14:val="standardContextual"/>
        </w:rPr>
      </w:pPr>
    </w:p>
    <w:p w14:paraId="1858EAC0" w14:textId="77777777" w:rsidR="00D50296" w:rsidRPr="00ED2C56" w:rsidRDefault="00D50296" w:rsidP="00D50296">
      <w:pPr>
        <w:numPr>
          <w:ilvl w:val="0"/>
          <w:numId w:val="1"/>
        </w:numPr>
        <w:ind w:left="426" w:hanging="426"/>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Presentación en el año Y de una solicitud de exención de presentación de la hoja de comprobación de tiburones en el año Y+1.</w:t>
      </w:r>
    </w:p>
    <w:p w14:paraId="26329168" w14:textId="77777777" w:rsidR="00D50296" w:rsidRPr="00ED2C56" w:rsidRDefault="00D50296" w:rsidP="00D50296">
      <w:pPr>
        <w:ind w:left="567"/>
        <w:jc w:val="both"/>
        <w:rPr>
          <w:rFonts w:ascii="Cambria" w:eastAsia="Aptos" w:hAnsi="Cambria" w:cs="Arial"/>
          <w:kern w:val="2"/>
          <w:sz w:val="20"/>
          <w:szCs w:val="20"/>
          <w14:ligatures w14:val="standardContextual"/>
        </w:rPr>
      </w:pPr>
    </w:p>
    <w:p w14:paraId="7D010B75" w14:textId="77777777" w:rsidR="00D50296" w:rsidRPr="00ED2C56" w:rsidRDefault="00D50296" w:rsidP="00D50296">
      <w:pPr>
        <w:numPr>
          <w:ilvl w:val="1"/>
          <w:numId w:val="1"/>
        </w:numPr>
        <w:ind w:left="851" w:hanging="284"/>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La solicitud inicial en el año Y debe presentarse a la Secretaría para su revisión por parte del SCRS en el mismo plazo que la presentación de la hoja de comprobación de tiburones.</w:t>
      </w:r>
    </w:p>
    <w:p w14:paraId="2C218F0D" w14:textId="77777777" w:rsidR="00D50296" w:rsidRPr="00ED2C56" w:rsidRDefault="00D50296" w:rsidP="00D50296">
      <w:pPr>
        <w:ind w:left="851"/>
        <w:jc w:val="both"/>
        <w:rPr>
          <w:rFonts w:ascii="Cambria" w:eastAsia="Aptos" w:hAnsi="Cambria" w:cs="Arial"/>
          <w:kern w:val="2"/>
          <w:sz w:val="20"/>
          <w:szCs w:val="20"/>
          <w14:ligatures w14:val="standardContextual"/>
        </w:rPr>
      </w:pPr>
    </w:p>
    <w:p w14:paraId="1E79AFD4" w14:textId="77777777" w:rsidR="00D50296" w:rsidRPr="00ED2C56" w:rsidRDefault="00D50296" w:rsidP="00D50296">
      <w:pPr>
        <w:numPr>
          <w:ilvl w:val="1"/>
          <w:numId w:val="1"/>
        </w:numPr>
        <w:ind w:left="851" w:hanging="284"/>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La solicitud debe ir acompañada de un documento escrito en el que se explique claramente el fundamento de la exención, junto con los datos justificativos necesarios, tal y como se establece en el párrafo 2.</w:t>
      </w:r>
    </w:p>
    <w:p w14:paraId="3D5B2425" w14:textId="77777777" w:rsidR="00D50296" w:rsidRPr="00ED2C56" w:rsidRDefault="00D50296" w:rsidP="00D50296">
      <w:pPr>
        <w:ind w:left="720"/>
        <w:contextualSpacing/>
        <w:jc w:val="center"/>
        <w:rPr>
          <w:rFonts w:ascii="Cambria" w:eastAsia="Aptos" w:hAnsi="Cambria" w:cs="Arial"/>
          <w:kern w:val="2"/>
          <w:sz w:val="20"/>
          <w:szCs w:val="20"/>
          <w14:ligatures w14:val="standardContextual"/>
        </w:rPr>
      </w:pPr>
    </w:p>
    <w:p w14:paraId="6C8667E5" w14:textId="77777777" w:rsidR="00D50296" w:rsidRPr="00ED2C56" w:rsidRDefault="00D50296" w:rsidP="00D50296">
      <w:pPr>
        <w:numPr>
          <w:ilvl w:val="1"/>
          <w:numId w:val="1"/>
        </w:numPr>
        <w:ind w:left="851" w:hanging="284"/>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 xml:space="preserve">La exención puede solicitarse para toda la hoja de comprobación de tiburones o sólo para las recomendaciones con implicaciones norte/sur específicas. </w:t>
      </w:r>
    </w:p>
    <w:p w14:paraId="7B4CAED4" w14:textId="77777777" w:rsidR="00D50296" w:rsidRPr="00ED2C56" w:rsidRDefault="00D50296" w:rsidP="00D50296">
      <w:pPr>
        <w:ind w:left="720"/>
        <w:contextualSpacing/>
        <w:jc w:val="center"/>
        <w:rPr>
          <w:rFonts w:ascii="Cambria" w:eastAsia="Aptos" w:hAnsi="Cambria" w:cs="Arial"/>
          <w:kern w:val="2"/>
          <w:sz w:val="20"/>
          <w:szCs w:val="20"/>
          <w14:ligatures w14:val="standardContextual"/>
        </w:rPr>
      </w:pPr>
    </w:p>
    <w:p w14:paraId="47DBF7EC" w14:textId="77777777" w:rsidR="00D50296" w:rsidRPr="00ED2C56" w:rsidRDefault="00D50296" w:rsidP="00D50296">
      <w:pPr>
        <w:numPr>
          <w:ilvl w:val="1"/>
          <w:numId w:val="1"/>
        </w:numPr>
        <w:ind w:left="851" w:hanging="284"/>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La presentación de la solicitud inicial no exime de la presentación de la hoja de comprobación de tiburones del año Y-1.</w:t>
      </w:r>
    </w:p>
    <w:p w14:paraId="5CC2EAC8" w14:textId="77777777" w:rsidR="00D50296" w:rsidRPr="00ED2C56" w:rsidRDefault="00D50296" w:rsidP="00D50296">
      <w:pPr>
        <w:ind w:left="720"/>
        <w:jc w:val="both"/>
        <w:rPr>
          <w:rFonts w:ascii="Cambria" w:eastAsia="Aptos" w:hAnsi="Cambria" w:cs="Arial"/>
          <w:kern w:val="2"/>
          <w:sz w:val="20"/>
          <w:szCs w:val="20"/>
          <w14:ligatures w14:val="standardContextual"/>
        </w:rPr>
      </w:pPr>
    </w:p>
    <w:p w14:paraId="3CB5D086" w14:textId="77777777" w:rsidR="00D50296" w:rsidRPr="00ED2C56" w:rsidRDefault="00D50296" w:rsidP="00D50296">
      <w:pPr>
        <w:numPr>
          <w:ilvl w:val="0"/>
          <w:numId w:val="1"/>
        </w:numPr>
        <w:ind w:left="426" w:hanging="426"/>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Evaluación de la solicitud por el SCRS.</w:t>
      </w:r>
    </w:p>
    <w:p w14:paraId="260D84AA" w14:textId="77777777" w:rsidR="00D50296" w:rsidRPr="00ED2C56" w:rsidRDefault="00D50296" w:rsidP="00D50296">
      <w:pPr>
        <w:ind w:left="567"/>
        <w:jc w:val="both"/>
        <w:rPr>
          <w:rFonts w:ascii="Cambria" w:eastAsia="Aptos" w:hAnsi="Cambria" w:cs="Arial"/>
          <w:kern w:val="2"/>
          <w:sz w:val="20"/>
          <w:szCs w:val="20"/>
          <w14:ligatures w14:val="standardContextual"/>
        </w:rPr>
      </w:pPr>
    </w:p>
    <w:p w14:paraId="6FA73B62" w14:textId="77777777" w:rsidR="00D50296" w:rsidRPr="00ED2C56" w:rsidRDefault="00D50296" w:rsidP="00D50296">
      <w:pPr>
        <w:numPr>
          <w:ilvl w:val="1"/>
          <w:numId w:val="1"/>
        </w:numPr>
        <w:ind w:left="851" w:hanging="284"/>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Un representante de la CPC que solicita la exención deberá presentar el documento a la reunión del Grupo de especies de tiburones de septiembre en el mismo año de presentación.</w:t>
      </w:r>
    </w:p>
    <w:p w14:paraId="7D9DFF55" w14:textId="77777777" w:rsidR="00D50296" w:rsidRPr="00ED2C56" w:rsidRDefault="00D50296" w:rsidP="00D50296">
      <w:pPr>
        <w:ind w:left="851"/>
        <w:jc w:val="both"/>
        <w:rPr>
          <w:rFonts w:ascii="Cambria" w:eastAsia="Aptos" w:hAnsi="Cambria" w:cs="Arial"/>
          <w:kern w:val="2"/>
          <w:sz w:val="20"/>
          <w:szCs w:val="20"/>
          <w14:ligatures w14:val="standardContextual"/>
        </w:rPr>
      </w:pPr>
    </w:p>
    <w:p w14:paraId="31594CE7" w14:textId="77777777" w:rsidR="00D50296" w:rsidRPr="00ED2C56" w:rsidRDefault="00D50296" w:rsidP="00D50296">
      <w:pPr>
        <w:numPr>
          <w:ilvl w:val="1"/>
          <w:numId w:val="1"/>
        </w:numPr>
        <w:ind w:left="851" w:hanging="284"/>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El Grupo de especies de tiburones revisará el documento para evaluar la idoneidad de la solicitud de exención, de acuerdo con las siguientes directrices:</w:t>
      </w:r>
    </w:p>
    <w:p w14:paraId="49E7F87C" w14:textId="77777777" w:rsidR="00D50296" w:rsidRPr="00ED2C56" w:rsidRDefault="00D50296" w:rsidP="00D50296">
      <w:pPr>
        <w:ind w:left="851"/>
        <w:jc w:val="both"/>
        <w:rPr>
          <w:rFonts w:ascii="Cambria" w:eastAsia="Aptos" w:hAnsi="Cambria" w:cs="Arial"/>
          <w:kern w:val="2"/>
          <w:sz w:val="20"/>
          <w:szCs w:val="20"/>
          <w14:ligatures w14:val="standardContextual"/>
        </w:rPr>
      </w:pPr>
    </w:p>
    <w:p w14:paraId="63347A39" w14:textId="77777777" w:rsidR="00D50296" w:rsidRPr="00ED2C56" w:rsidRDefault="00D50296" w:rsidP="00D50296">
      <w:pPr>
        <w:numPr>
          <w:ilvl w:val="0"/>
          <w:numId w:val="2"/>
        </w:numPr>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 xml:space="preserve">Para las CPC que no tengan flotas activas dirigidas a los túnidos y especies afines en la zona de competencia de ICCAT: </w:t>
      </w:r>
    </w:p>
    <w:p w14:paraId="6F41B9FD" w14:textId="77777777" w:rsidR="00D50296" w:rsidRPr="00ED2C56" w:rsidRDefault="00D50296" w:rsidP="00D50296">
      <w:pPr>
        <w:ind w:left="1211"/>
        <w:jc w:val="both"/>
        <w:rPr>
          <w:rFonts w:ascii="Cambria" w:eastAsia="Aptos" w:hAnsi="Cambria" w:cs="Arial"/>
          <w:kern w:val="2"/>
          <w:sz w:val="20"/>
          <w:szCs w:val="20"/>
          <w14:ligatures w14:val="standardContextual"/>
        </w:rPr>
      </w:pPr>
    </w:p>
    <w:p w14:paraId="47892495" w14:textId="77777777" w:rsidR="00D50296" w:rsidRPr="00ED2C56" w:rsidRDefault="00D50296" w:rsidP="00D50296">
      <w:pPr>
        <w:ind w:left="1276" w:hanging="142"/>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 xml:space="preserve">i. Declaración y prueba de que la CPC que no tiene flotas activas dirigidas a los túnidos y especies afines en la zona de competencia de ICCAT </w:t>
      </w:r>
    </w:p>
    <w:p w14:paraId="734D43C3" w14:textId="77777777" w:rsidR="00D50296" w:rsidRPr="00ED2C56" w:rsidRDefault="00D50296" w:rsidP="00D50296">
      <w:pPr>
        <w:ind w:left="1418"/>
        <w:jc w:val="both"/>
        <w:rPr>
          <w:rFonts w:ascii="Cambria" w:eastAsia="Aptos" w:hAnsi="Cambria" w:cs="Arial"/>
          <w:kern w:val="2"/>
          <w:sz w:val="20"/>
          <w:szCs w:val="20"/>
          <w14:ligatures w14:val="standardContextual"/>
        </w:rPr>
      </w:pPr>
    </w:p>
    <w:p w14:paraId="762D95A9" w14:textId="77777777" w:rsidR="00D50296" w:rsidRPr="00ED2C56" w:rsidRDefault="00D50296" w:rsidP="00D50296">
      <w:pPr>
        <w:numPr>
          <w:ilvl w:val="0"/>
          <w:numId w:val="2"/>
        </w:numPr>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 xml:space="preserve">Para las CPC que tengan flotas activas dirigidas a los túnidos y especies afines en la zona de competencia de ICCAT: </w:t>
      </w:r>
    </w:p>
    <w:p w14:paraId="4DD35E1E" w14:textId="77777777" w:rsidR="00D50296" w:rsidRPr="00ED2C56" w:rsidRDefault="00D50296" w:rsidP="00D50296">
      <w:pPr>
        <w:ind w:left="1211"/>
        <w:jc w:val="both"/>
        <w:rPr>
          <w:rFonts w:ascii="Cambria" w:eastAsia="Aptos" w:hAnsi="Cambria" w:cs="Arial"/>
          <w:kern w:val="2"/>
          <w:sz w:val="20"/>
          <w:szCs w:val="20"/>
          <w14:ligatures w14:val="standardContextual"/>
        </w:rPr>
      </w:pPr>
    </w:p>
    <w:p w14:paraId="40CE8A20" w14:textId="77777777" w:rsidR="00D50296" w:rsidRPr="00ED2C56" w:rsidRDefault="00D50296" w:rsidP="00D50296">
      <w:pPr>
        <w:ind w:left="1418" w:hanging="284"/>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 xml:space="preserve">i. </w:t>
      </w:r>
      <w:r w:rsidRPr="00ED2C56">
        <w:rPr>
          <w:rFonts w:ascii="Cambria" w:eastAsia="Aptos" w:hAnsi="Cambria" w:cs="Arial"/>
          <w:kern w:val="2"/>
          <w:sz w:val="20"/>
          <w:szCs w:val="20"/>
          <w14:ligatures w14:val="standardContextual"/>
        </w:rPr>
        <w:tab/>
        <w:t xml:space="preserve">La existencia de una lista de especies de tiburones de ICCAT registradas en la zona en la que la CPC realiza las actividades pesqueras para las que se solicita la exención. </w:t>
      </w:r>
    </w:p>
    <w:p w14:paraId="4E95D6AD" w14:textId="77777777" w:rsidR="00D50296" w:rsidRPr="00ED2C56" w:rsidRDefault="00D50296" w:rsidP="00D50296">
      <w:pPr>
        <w:ind w:left="1276" w:hanging="142"/>
        <w:jc w:val="both"/>
        <w:rPr>
          <w:rFonts w:ascii="Cambria" w:eastAsia="Aptos" w:hAnsi="Cambria" w:cs="Arial"/>
          <w:kern w:val="2"/>
          <w:sz w:val="20"/>
          <w:szCs w:val="20"/>
          <w14:ligatures w14:val="standardContextual"/>
        </w:rPr>
      </w:pPr>
    </w:p>
    <w:p w14:paraId="655977A6" w14:textId="77777777" w:rsidR="00D50296" w:rsidRPr="00ED2C56" w:rsidRDefault="00D50296" w:rsidP="00D50296">
      <w:pPr>
        <w:ind w:left="1418" w:hanging="284"/>
        <w:jc w:val="both"/>
        <w:rPr>
          <w:rFonts w:ascii="Cambria" w:eastAsia="Aptos" w:hAnsi="Cambria" w:cs="Arial"/>
          <w:kern w:val="2"/>
          <w:sz w:val="20"/>
          <w:szCs w:val="20"/>
          <w14:ligatures w14:val="standardContextual"/>
        </w:rPr>
      </w:pPr>
      <w:proofErr w:type="spellStart"/>
      <w:r w:rsidRPr="00ED2C56">
        <w:rPr>
          <w:rFonts w:ascii="Cambria" w:eastAsia="Aptos" w:hAnsi="Cambria" w:cs="Arial"/>
          <w:kern w:val="2"/>
          <w:sz w:val="20"/>
          <w:szCs w:val="20"/>
          <w14:ligatures w14:val="standardContextual"/>
        </w:rPr>
        <w:t>ii</w:t>
      </w:r>
      <w:proofErr w:type="spellEnd"/>
      <w:r w:rsidRPr="00ED2C56">
        <w:rPr>
          <w:rFonts w:ascii="Cambria" w:eastAsia="Aptos" w:hAnsi="Cambria" w:cs="Arial"/>
          <w:kern w:val="2"/>
          <w:sz w:val="20"/>
          <w:szCs w:val="20"/>
          <w14:ligatures w14:val="standardContextual"/>
        </w:rPr>
        <w:t xml:space="preserve">. </w:t>
      </w:r>
      <w:r w:rsidRPr="00ED2C56">
        <w:rPr>
          <w:rFonts w:ascii="Cambria" w:eastAsia="Aptos" w:hAnsi="Cambria" w:cs="Arial"/>
          <w:kern w:val="2"/>
          <w:sz w:val="20"/>
          <w:szCs w:val="20"/>
          <w14:ligatures w14:val="standardContextual"/>
        </w:rPr>
        <w:tab/>
        <w:t xml:space="preserve">Existencia de pruebas científicas (por ejemplo, informe basado en datos del programa de observadores a bordo) que demuestren claramente la ausencia de interacciones entre las especies de tiburones incluidas en la lista de ICCAT y los artes de pesca utilizados por la CPC que solicita la exención: </w:t>
      </w:r>
    </w:p>
    <w:p w14:paraId="344FFC1D" w14:textId="77777777" w:rsidR="00D50296" w:rsidRPr="00ED2C56" w:rsidRDefault="00D50296" w:rsidP="00D50296">
      <w:pPr>
        <w:ind w:left="1418" w:hanging="284"/>
        <w:jc w:val="both"/>
        <w:rPr>
          <w:rFonts w:ascii="Cambria" w:eastAsia="Aptos" w:hAnsi="Cambria" w:cs="Arial"/>
          <w:kern w:val="2"/>
          <w:sz w:val="20"/>
          <w:szCs w:val="20"/>
          <w14:ligatures w14:val="standardContextual"/>
        </w:rPr>
      </w:pPr>
    </w:p>
    <w:p w14:paraId="7B87B215" w14:textId="77777777" w:rsidR="00D50296" w:rsidRPr="00ED2C56" w:rsidRDefault="00D50296" w:rsidP="00D50296">
      <w:pPr>
        <w:numPr>
          <w:ilvl w:val="0"/>
          <w:numId w:val="3"/>
        </w:numPr>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El informe debe abarcar todas las temporadas e incluir varias mareas, para garantizar que puedan detectarse los casos de capturas fortuitas poco frecuentes.</w:t>
      </w:r>
    </w:p>
    <w:p w14:paraId="1FC7CFC2" w14:textId="77777777" w:rsidR="00D50296" w:rsidRPr="00ED2C56" w:rsidRDefault="00D50296" w:rsidP="00D50296">
      <w:pPr>
        <w:ind w:left="1560" w:hanging="142"/>
        <w:jc w:val="both"/>
        <w:rPr>
          <w:rFonts w:ascii="Cambria" w:eastAsia="Aptos" w:hAnsi="Cambria" w:cs="Arial"/>
          <w:kern w:val="2"/>
          <w:sz w:val="20"/>
          <w:szCs w:val="20"/>
          <w14:ligatures w14:val="standardContextual"/>
        </w:rPr>
      </w:pPr>
    </w:p>
    <w:p w14:paraId="4F7A1054" w14:textId="77777777" w:rsidR="00D50296" w:rsidRPr="00ED2C56" w:rsidRDefault="00D50296" w:rsidP="00D50296">
      <w:pPr>
        <w:numPr>
          <w:ilvl w:val="0"/>
          <w:numId w:val="3"/>
        </w:numPr>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lastRenderedPageBreak/>
        <w:t>El informe debería proporcionar datos con un alto grado de cobertura espacial del esfuerzo pesquero por tipo de arte.</w:t>
      </w:r>
    </w:p>
    <w:p w14:paraId="18D151F7" w14:textId="77777777" w:rsidR="00D50296" w:rsidRPr="00ED2C56" w:rsidRDefault="00D50296" w:rsidP="00D50296">
      <w:pPr>
        <w:jc w:val="both"/>
        <w:rPr>
          <w:rFonts w:ascii="Cambria" w:eastAsia="Aptos" w:hAnsi="Cambria" w:cs="Arial"/>
          <w:kern w:val="2"/>
          <w:sz w:val="20"/>
          <w:szCs w:val="20"/>
          <w14:ligatures w14:val="standardContextual"/>
        </w:rPr>
      </w:pPr>
    </w:p>
    <w:p w14:paraId="31423657" w14:textId="77777777" w:rsidR="00D50296" w:rsidRPr="00ED2C56" w:rsidRDefault="00D50296" w:rsidP="00D50296">
      <w:pPr>
        <w:numPr>
          <w:ilvl w:val="0"/>
          <w:numId w:val="2"/>
        </w:numPr>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 xml:space="preserve">Si el SCRS no aprueba la solicitud, la CPC tendrá que seguir presentando la hoja de comprobación de tiburones el año siguiente. La CPC podrá volver a presentar una solicitud de exención en los años siguientes. </w:t>
      </w:r>
    </w:p>
    <w:p w14:paraId="542B77A1" w14:textId="77777777" w:rsidR="00D50296" w:rsidRPr="00ED2C56" w:rsidRDefault="00D50296" w:rsidP="00D50296">
      <w:pPr>
        <w:ind w:left="720"/>
        <w:jc w:val="both"/>
        <w:rPr>
          <w:rFonts w:ascii="Cambria" w:eastAsia="Aptos" w:hAnsi="Cambria" w:cs="Arial"/>
          <w:kern w:val="2"/>
          <w:sz w:val="20"/>
          <w:szCs w:val="20"/>
          <w14:ligatures w14:val="standardContextual"/>
        </w:rPr>
      </w:pPr>
    </w:p>
    <w:p w14:paraId="22993508" w14:textId="77777777" w:rsidR="00D50296" w:rsidRPr="00ED2C56" w:rsidRDefault="00D50296" w:rsidP="00D50296">
      <w:pPr>
        <w:numPr>
          <w:ilvl w:val="0"/>
          <w:numId w:val="2"/>
        </w:numPr>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 xml:space="preserve">Cada año, durante un periodo de cinco años, la CPC exenta de cumplimentar la ficha de comprobación de tiburones tendrá que confirmar anualmente en su Informe anual que no se han producido cambios en sus pesquerías que puedan alterar la conclusión de que reúne los requisitos para una exención. Para renovar la exención para el siguiente periodo de 5 años deberá presentarse una nueva solicitud de exención en el año Y+ 5 conforme a los requisitos del punto 2.b.  </w:t>
      </w:r>
    </w:p>
    <w:p w14:paraId="6A9429B4" w14:textId="77777777" w:rsidR="00D50296" w:rsidRPr="00ED2C56" w:rsidRDefault="00D50296" w:rsidP="00D50296">
      <w:pPr>
        <w:ind w:left="720"/>
        <w:jc w:val="both"/>
        <w:rPr>
          <w:rFonts w:ascii="Cambria" w:eastAsia="Aptos" w:hAnsi="Cambria" w:cs="Arial"/>
          <w:kern w:val="2"/>
          <w:sz w:val="20"/>
          <w:szCs w:val="20"/>
          <w14:ligatures w14:val="standardContextual"/>
        </w:rPr>
      </w:pPr>
    </w:p>
    <w:p w14:paraId="5110C843" w14:textId="77777777" w:rsidR="00D50296" w:rsidRPr="00ED2C56" w:rsidRDefault="00D50296" w:rsidP="00D50296">
      <w:pPr>
        <w:numPr>
          <w:ilvl w:val="0"/>
          <w:numId w:val="2"/>
        </w:numPr>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En ausencia de pruebas científicas tal y como se definen en el punto 2.b o si el SCRS determina que estas pruebas "aparentes" ya no justifican una exención, el SCRS rescindiría el estatus de exención.</w:t>
      </w:r>
    </w:p>
    <w:p w14:paraId="0BDFA56F" w14:textId="77777777" w:rsidR="00D50296" w:rsidRPr="00ED2C56" w:rsidRDefault="00D50296" w:rsidP="00D50296">
      <w:pPr>
        <w:ind w:left="720"/>
        <w:contextualSpacing/>
        <w:jc w:val="center"/>
        <w:rPr>
          <w:rFonts w:ascii="Cambria" w:eastAsia="Aptos" w:hAnsi="Cambria" w:cs="Arial"/>
          <w:kern w:val="2"/>
          <w:sz w:val="20"/>
          <w:szCs w:val="20"/>
          <w14:ligatures w14:val="standardContextual"/>
        </w:rPr>
      </w:pPr>
    </w:p>
    <w:p w14:paraId="1DDA46CD" w14:textId="77777777" w:rsidR="00D50296" w:rsidRPr="00ED2C56" w:rsidRDefault="00D50296" w:rsidP="00D50296">
      <w:pPr>
        <w:numPr>
          <w:ilvl w:val="0"/>
          <w:numId w:val="2"/>
        </w:numPr>
        <w:contextualSpacing/>
        <w:jc w:val="both"/>
        <w:rPr>
          <w:rFonts w:ascii="Cambria" w:eastAsia="Aptos" w:hAnsi="Cambria" w:cs="Arial"/>
          <w:kern w:val="2"/>
          <w:sz w:val="20"/>
          <w:szCs w:val="20"/>
          <w14:ligatures w14:val="standardContextual"/>
        </w:rPr>
      </w:pPr>
      <w:r w:rsidRPr="00ED2C56">
        <w:rPr>
          <w:rFonts w:ascii="Cambria" w:eastAsia="Aptos" w:hAnsi="Cambria" w:cs="Arial"/>
          <w:kern w:val="2"/>
          <w:sz w:val="20"/>
          <w:szCs w:val="20"/>
          <w14:ligatures w14:val="standardContextual"/>
        </w:rPr>
        <w:t>La hoja de comprobación de tiburones debería modificarse para reflejar la confirmación de exención por parte del SCRS. La hilera siguiente sobre exención debe figurar la primera en la Hoja de comprobación de tiburones:</w:t>
      </w:r>
    </w:p>
    <w:p w14:paraId="59DAF825" w14:textId="77777777" w:rsidR="00D50296" w:rsidRPr="00ED2C56" w:rsidRDefault="00D50296" w:rsidP="00D50296">
      <w:pPr>
        <w:numPr>
          <w:ilvl w:val="0"/>
          <w:numId w:val="2"/>
        </w:numPr>
        <w:contextualSpacing/>
        <w:jc w:val="both"/>
        <w:rPr>
          <w:rFonts w:ascii="Cambria" w:eastAsia="Aptos" w:hAnsi="Cambria" w:cs="Arial"/>
          <w:kern w:val="2"/>
          <w:sz w:val="20"/>
          <w:szCs w:val="20"/>
          <w14:ligatures w14:val="standardContextual"/>
        </w:rPr>
        <w:sectPr w:rsidR="00D50296" w:rsidRPr="00ED2C56" w:rsidSect="00D50296">
          <w:headerReference w:type="default" r:id="rId9"/>
          <w:footerReference w:type="default" r:id="rId10"/>
          <w:pgSz w:w="11907" w:h="16840" w:code="9"/>
          <w:pgMar w:top="1418" w:right="1418" w:bottom="1418" w:left="1418" w:header="851" w:footer="1134" w:gutter="0"/>
          <w:cols w:space="720"/>
          <w:docGrid w:linePitch="360"/>
        </w:sect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1177"/>
        <w:gridCol w:w="4068"/>
        <w:gridCol w:w="1701"/>
        <w:gridCol w:w="2126"/>
        <w:gridCol w:w="2126"/>
      </w:tblGrid>
      <w:tr w:rsidR="00D50296" w:rsidRPr="00ED2C56" w14:paraId="139208AB" w14:textId="77777777" w:rsidTr="001A079F">
        <w:trPr>
          <w:trHeight w:val="1659"/>
          <w:tblHeader/>
          <w:jc w:val="center"/>
        </w:trPr>
        <w:tc>
          <w:tcPr>
            <w:tcW w:w="988" w:type="dxa"/>
            <w:shd w:val="clear" w:color="auto" w:fill="F2F2F2"/>
            <w:noWrap/>
            <w:vAlign w:val="center"/>
            <w:hideMark/>
          </w:tcPr>
          <w:p w14:paraId="406E7CD5" w14:textId="77777777" w:rsidR="00D50296" w:rsidRPr="00ED2C56" w:rsidRDefault="00D50296" w:rsidP="001A079F">
            <w:pPr>
              <w:jc w:val="both"/>
              <w:rPr>
                <w:rFonts w:ascii="Cambria" w:hAnsi="Cambria" w:cs="Calibri"/>
                <w:b/>
                <w:bCs/>
                <w:i/>
                <w:color w:val="000000"/>
                <w:kern w:val="2"/>
                <w:sz w:val="20"/>
                <w:szCs w:val="20"/>
                <w14:ligatures w14:val="standardContextual"/>
              </w:rPr>
            </w:pPr>
            <w:r w:rsidRPr="00ED2C56">
              <w:rPr>
                <w:rFonts w:ascii="Cambria" w:eastAsia="Aptos" w:hAnsi="Cambria" w:cs="Arial"/>
                <w:b/>
                <w:i/>
                <w:color w:val="000000"/>
                <w:kern w:val="2"/>
                <w:sz w:val="20"/>
                <w:szCs w:val="20"/>
                <w14:ligatures w14:val="standardContextual"/>
              </w:rPr>
              <w:lastRenderedPageBreak/>
              <w:t>Rec. N.º</w:t>
            </w:r>
          </w:p>
        </w:tc>
        <w:tc>
          <w:tcPr>
            <w:tcW w:w="992" w:type="dxa"/>
            <w:shd w:val="clear" w:color="auto" w:fill="F2F2F2"/>
            <w:noWrap/>
            <w:vAlign w:val="center"/>
            <w:hideMark/>
          </w:tcPr>
          <w:p w14:paraId="69B7C59A" w14:textId="77777777" w:rsidR="00D50296" w:rsidRPr="00ED2C56" w:rsidRDefault="00D50296" w:rsidP="001A079F">
            <w:pPr>
              <w:jc w:val="center"/>
              <w:rPr>
                <w:rFonts w:ascii="Cambria" w:hAnsi="Cambria" w:cs="Calibri"/>
                <w:b/>
                <w:bCs/>
                <w:i/>
                <w:color w:val="000000"/>
                <w:kern w:val="2"/>
                <w:sz w:val="20"/>
                <w:szCs w:val="20"/>
                <w14:ligatures w14:val="standardContextual"/>
              </w:rPr>
            </w:pPr>
            <w:r w:rsidRPr="00ED2C56">
              <w:rPr>
                <w:rFonts w:ascii="Cambria" w:eastAsia="Aptos" w:hAnsi="Cambria" w:cs="Arial"/>
                <w:b/>
                <w:i/>
                <w:color w:val="000000"/>
                <w:kern w:val="2"/>
                <w:sz w:val="20"/>
                <w:szCs w:val="20"/>
                <w14:ligatures w14:val="standardContextual"/>
              </w:rPr>
              <w:t>N.º párr.</w:t>
            </w:r>
          </w:p>
        </w:tc>
        <w:tc>
          <w:tcPr>
            <w:tcW w:w="1177" w:type="dxa"/>
            <w:shd w:val="clear" w:color="auto" w:fill="F2F2F2"/>
            <w:vAlign w:val="center"/>
          </w:tcPr>
          <w:p w14:paraId="4A249710" w14:textId="77777777" w:rsidR="00D50296" w:rsidRPr="00ED2C56" w:rsidRDefault="00D50296" w:rsidP="001A079F">
            <w:pPr>
              <w:jc w:val="center"/>
              <w:rPr>
                <w:rFonts w:ascii="Cambria" w:hAnsi="Cambria" w:cs="Calibri"/>
                <w:b/>
                <w:bCs/>
                <w:i/>
                <w:color w:val="000000"/>
                <w:kern w:val="2"/>
                <w:sz w:val="20"/>
                <w:szCs w:val="20"/>
                <w14:ligatures w14:val="standardContextual"/>
              </w:rPr>
            </w:pPr>
            <w:r w:rsidRPr="00ED2C56">
              <w:rPr>
                <w:rFonts w:ascii="Cambria" w:eastAsia="Aptos" w:hAnsi="Cambria" w:cs="Arial"/>
                <w:b/>
                <w:i/>
                <w:color w:val="000000"/>
                <w:kern w:val="2"/>
                <w:sz w:val="20"/>
                <w:szCs w:val="20"/>
                <w14:ligatures w14:val="standardContextual"/>
              </w:rPr>
              <w:t>Anterior</w:t>
            </w:r>
          </w:p>
        </w:tc>
        <w:tc>
          <w:tcPr>
            <w:tcW w:w="4068" w:type="dxa"/>
            <w:shd w:val="clear" w:color="auto" w:fill="F2F2F2"/>
            <w:noWrap/>
            <w:vAlign w:val="center"/>
            <w:hideMark/>
          </w:tcPr>
          <w:p w14:paraId="78C40CC9" w14:textId="77777777" w:rsidR="00D50296" w:rsidRPr="00ED2C56" w:rsidRDefault="00D50296" w:rsidP="001A079F">
            <w:pPr>
              <w:jc w:val="center"/>
              <w:rPr>
                <w:rFonts w:ascii="Cambria" w:hAnsi="Cambria" w:cs="Calibri"/>
                <w:b/>
                <w:bCs/>
                <w:i/>
                <w:color w:val="000000"/>
                <w:kern w:val="2"/>
                <w:sz w:val="20"/>
                <w:szCs w:val="20"/>
                <w14:ligatures w14:val="standardContextual"/>
              </w:rPr>
            </w:pPr>
            <w:r w:rsidRPr="00ED2C56">
              <w:rPr>
                <w:rFonts w:ascii="Cambria" w:eastAsia="Aptos" w:hAnsi="Cambria" w:cs="Arial"/>
                <w:b/>
                <w:i/>
                <w:color w:val="000000"/>
                <w:kern w:val="2"/>
                <w:sz w:val="20"/>
                <w:szCs w:val="20"/>
                <w14:ligatures w14:val="standardContextual"/>
              </w:rPr>
              <w:t>Requisito</w:t>
            </w:r>
          </w:p>
        </w:tc>
        <w:tc>
          <w:tcPr>
            <w:tcW w:w="1701" w:type="dxa"/>
            <w:shd w:val="clear" w:color="auto" w:fill="F2F2F2"/>
            <w:vAlign w:val="center"/>
            <w:hideMark/>
          </w:tcPr>
          <w:p w14:paraId="142B8245" w14:textId="77777777" w:rsidR="00D50296" w:rsidRPr="00ED2C56" w:rsidRDefault="00D50296" w:rsidP="001A079F">
            <w:pPr>
              <w:jc w:val="center"/>
              <w:rPr>
                <w:rFonts w:ascii="Cambria" w:hAnsi="Cambria" w:cs="Calibri"/>
                <w:b/>
                <w:bCs/>
                <w:i/>
                <w:color w:val="000000"/>
                <w:kern w:val="2"/>
                <w:sz w:val="20"/>
                <w:szCs w:val="20"/>
                <w14:ligatures w14:val="standardContextual"/>
              </w:rPr>
            </w:pPr>
            <w:r w:rsidRPr="00ED2C56">
              <w:rPr>
                <w:rFonts w:ascii="Cambria" w:eastAsia="Aptos" w:hAnsi="Cambria" w:cs="Arial"/>
                <w:b/>
                <w:i/>
                <w:color w:val="000000"/>
                <w:kern w:val="2"/>
                <w:sz w:val="20"/>
                <w:szCs w:val="20"/>
                <w14:ligatures w14:val="standardContextual"/>
              </w:rPr>
              <w:t>Estado de implementación</w:t>
            </w:r>
          </w:p>
        </w:tc>
        <w:tc>
          <w:tcPr>
            <w:tcW w:w="2126" w:type="dxa"/>
            <w:shd w:val="clear" w:color="auto" w:fill="F2F2F2"/>
          </w:tcPr>
          <w:p w14:paraId="64313F4C" w14:textId="77777777" w:rsidR="00D50296" w:rsidRPr="00ED2C56" w:rsidRDefault="00D50296" w:rsidP="001A079F">
            <w:pPr>
              <w:ind w:right="-30"/>
              <w:jc w:val="center"/>
              <w:rPr>
                <w:rFonts w:ascii="Cambria" w:hAnsi="Cambria" w:cs="Calibri"/>
                <w:b/>
                <w:bCs/>
                <w:i/>
                <w:color w:val="000000"/>
                <w:kern w:val="2"/>
                <w:sz w:val="20"/>
                <w:szCs w:val="20"/>
                <w14:ligatures w14:val="standardContextual"/>
              </w:rPr>
            </w:pPr>
            <w:r w:rsidRPr="00ED2C56">
              <w:rPr>
                <w:rFonts w:ascii="Cambria" w:eastAsia="Aptos" w:hAnsi="Cambria" w:cs="Arial"/>
                <w:b/>
                <w:i/>
                <w:color w:val="000000"/>
                <w:kern w:val="2"/>
                <w:sz w:val="20"/>
                <w:szCs w:val="20"/>
                <w14:ligatures w14:val="standardContextual"/>
              </w:rPr>
              <w:t>Leyes o reglamentos internos pertinentes (si procede, incluir textos, referencias o enlaces hacia el punto en que se encuentra la información)</w:t>
            </w:r>
          </w:p>
        </w:tc>
        <w:tc>
          <w:tcPr>
            <w:tcW w:w="2126" w:type="dxa"/>
            <w:shd w:val="clear" w:color="auto" w:fill="F2F2F2"/>
            <w:vAlign w:val="center"/>
            <w:hideMark/>
          </w:tcPr>
          <w:p w14:paraId="50562338" w14:textId="77777777" w:rsidR="00D50296" w:rsidRPr="00ED2C56" w:rsidRDefault="00D50296" w:rsidP="001A079F">
            <w:pPr>
              <w:jc w:val="center"/>
              <w:rPr>
                <w:rFonts w:ascii="Cambria" w:hAnsi="Cambria" w:cs="Calibri"/>
                <w:b/>
                <w:bCs/>
                <w:i/>
                <w:color w:val="000000"/>
                <w:kern w:val="2"/>
                <w:sz w:val="20"/>
                <w:szCs w:val="20"/>
                <w14:ligatures w14:val="standardContextual"/>
              </w:rPr>
            </w:pPr>
            <w:r w:rsidRPr="00ED2C56">
              <w:rPr>
                <w:rFonts w:ascii="Cambria" w:eastAsia="Aptos" w:hAnsi="Cambria" w:cs="Arial"/>
                <w:b/>
                <w:i/>
                <w:color w:val="000000"/>
                <w:kern w:val="2"/>
                <w:sz w:val="20"/>
                <w:szCs w:val="20"/>
                <w14:ligatures w14:val="standardContextual"/>
              </w:rPr>
              <w:t>Nota</w:t>
            </w:r>
          </w:p>
        </w:tc>
      </w:tr>
      <w:tr w:rsidR="00D50296" w:rsidRPr="00ED2C56" w14:paraId="4E064D59" w14:textId="77777777" w:rsidTr="001A079F">
        <w:trPr>
          <w:trHeight w:val="57"/>
          <w:jc w:val="center"/>
        </w:trPr>
        <w:tc>
          <w:tcPr>
            <w:tcW w:w="13178" w:type="dxa"/>
            <w:gridSpan w:val="7"/>
            <w:shd w:val="clear" w:color="auto" w:fill="D9D9D9"/>
            <w:noWrap/>
            <w:vAlign w:val="center"/>
          </w:tcPr>
          <w:p w14:paraId="64633C1F" w14:textId="77777777" w:rsidR="00D50296" w:rsidRPr="00ED2C56" w:rsidRDefault="00D50296" w:rsidP="001A079F">
            <w:pPr>
              <w:jc w:val="both"/>
              <w:rPr>
                <w:rFonts w:ascii="Cambria" w:hAnsi="Cambria" w:cs="Calibri"/>
                <w:b/>
                <w:bCs/>
                <w:color w:val="000000"/>
                <w:kern w:val="2"/>
                <w:sz w:val="20"/>
                <w:szCs w:val="20"/>
                <w14:ligatures w14:val="standardContextual"/>
              </w:rPr>
            </w:pPr>
            <w:r w:rsidRPr="00ED2C56">
              <w:rPr>
                <w:rFonts w:ascii="Cambria" w:eastAsia="Aptos" w:hAnsi="Cambria" w:cs="Arial"/>
                <w:b/>
                <w:color w:val="000000"/>
                <w:kern w:val="2"/>
                <w:sz w:val="20"/>
                <w:szCs w:val="20"/>
                <w14:ligatures w14:val="standardContextual"/>
              </w:rPr>
              <w:t>TODOS LOS TIBURONES</w:t>
            </w:r>
          </w:p>
        </w:tc>
      </w:tr>
      <w:tr w:rsidR="00D50296" w:rsidRPr="00ED2C56" w14:paraId="1B8A0E1F" w14:textId="77777777" w:rsidTr="001A079F">
        <w:trPr>
          <w:trHeight w:val="4431"/>
          <w:jc w:val="center"/>
        </w:trPr>
        <w:tc>
          <w:tcPr>
            <w:tcW w:w="988" w:type="dxa"/>
            <w:noWrap/>
            <w:vAlign w:val="center"/>
          </w:tcPr>
          <w:p w14:paraId="62D2323C" w14:textId="77777777" w:rsidR="00D50296" w:rsidRPr="00ED2C56" w:rsidRDefault="00D50296" w:rsidP="001A079F">
            <w:pPr>
              <w:jc w:val="center"/>
              <w:rPr>
                <w:rFonts w:ascii="Cambria" w:hAnsi="Cambria" w:cs="Calibri"/>
                <w:b/>
                <w:bCs/>
                <w:color w:val="000000"/>
                <w:kern w:val="2"/>
                <w:sz w:val="20"/>
                <w:szCs w:val="20"/>
                <w14:ligatures w14:val="standardContextual"/>
              </w:rPr>
            </w:pPr>
            <w:r w:rsidRPr="00ED2C56">
              <w:rPr>
                <w:rFonts w:ascii="Cambria" w:eastAsia="Aptos" w:hAnsi="Cambria" w:cs="Arial"/>
                <w:b/>
                <w:color w:val="000000"/>
                <w:kern w:val="2"/>
                <w:sz w:val="20"/>
                <w:szCs w:val="20"/>
                <w14:ligatures w14:val="standardContextual"/>
              </w:rPr>
              <w:t>18-06</w:t>
            </w:r>
          </w:p>
          <w:p w14:paraId="34DE1F02" w14:textId="77777777" w:rsidR="00D50296" w:rsidRPr="00ED2C56" w:rsidRDefault="00D50296" w:rsidP="001A079F">
            <w:pPr>
              <w:jc w:val="center"/>
              <w:rPr>
                <w:rFonts w:ascii="Cambria" w:hAnsi="Cambria" w:cs="Calibri"/>
                <w:b/>
                <w:bCs/>
                <w:color w:val="000000"/>
                <w:kern w:val="2"/>
                <w:sz w:val="20"/>
                <w:szCs w:val="20"/>
                <w14:ligatures w14:val="standardContextual"/>
              </w:rPr>
            </w:pPr>
            <w:r w:rsidRPr="00ED2C56">
              <w:rPr>
                <w:rFonts w:ascii="Cambria" w:eastAsia="Aptos" w:hAnsi="Cambria" w:cs="Arial"/>
                <w:b/>
                <w:color w:val="000000"/>
                <w:kern w:val="2"/>
                <w:sz w:val="20"/>
                <w:szCs w:val="20"/>
                <w14:ligatures w14:val="standardContextual"/>
              </w:rPr>
              <w:t>(Todos los tiburones)</w:t>
            </w:r>
          </w:p>
        </w:tc>
        <w:tc>
          <w:tcPr>
            <w:tcW w:w="992" w:type="dxa"/>
            <w:noWrap/>
            <w:vAlign w:val="center"/>
          </w:tcPr>
          <w:p w14:paraId="48586931" w14:textId="77777777" w:rsidR="00D50296" w:rsidRPr="00ED2C56" w:rsidRDefault="00D50296" w:rsidP="001A079F">
            <w:pPr>
              <w:jc w:val="center"/>
              <w:rPr>
                <w:rFonts w:ascii="Cambria" w:hAnsi="Cambria" w:cs="Calibri"/>
                <w:b/>
                <w:bCs/>
                <w:color w:val="000000"/>
                <w:kern w:val="2"/>
                <w:sz w:val="20"/>
                <w:szCs w:val="20"/>
                <w14:ligatures w14:val="standardContextual"/>
              </w:rPr>
            </w:pPr>
            <w:r w:rsidRPr="00ED2C56">
              <w:rPr>
                <w:rFonts w:ascii="Cambria" w:eastAsia="Aptos" w:hAnsi="Cambria" w:cs="Arial"/>
                <w:b/>
                <w:color w:val="000000"/>
                <w:kern w:val="2"/>
                <w:sz w:val="20"/>
                <w:szCs w:val="20"/>
                <w14:ligatures w14:val="standardContextual"/>
              </w:rPr>
              <w:t>3</w:t>
            </w:r>
          </w:p>
        </w:tc>
        <w:tc>
          <w:tcPr>
            <w:tcW w:w="1177" w:type="dxa"/>
            <w:vAlign w:val="center"/>
          </w:tcPr>
          <w:p w14:paraId="02C85200" w14:textId="77777777" w:rsidR="00D50296" w:rsidRPr="00ED2C56" w:rsidRDefault="00D50296" w:rsidP="001A079F">
            <w:pPr>
              <w:jc w:val="center"/>
              <w:rPr>
                <w:rFonts w:ascii="Cambria" w:hAnsi="Cambria" w:cs="Calibri"/>
                <w:color w:val="000000"/>
                <w:kern w:val="2"/>
                <w:sz w:val="20"/>
                <w:szCs w:val="20"/>
                <w14:ligatures w14:val="standardContextual"/>
              </w:rPr>
            </w:pPr>
            <w:r w:rsidRPr="00ED2C56">
              <w:rPr>
                <w:rFonts w:ascii="Cambria" w:eastAsia="Aptos" w:hAnsi="Cambria" w:cs="Arial"/>
                <w:color w:val="000000"/>
                <w:kern w:val="2"/>
                <w:sz w:val="20"/>
                <w:szCs w:val="20"/>
                <w14:ligatures w14:val="standardContextual"/>
              </w:rPr>
              <w:t>Ninguna</w:t>
            </w:r>
          </w:p>
        </w:tc>
        <w:tc>
          <w:tcPr>
            <w:tcW w:w="4068" w:type="dxa"/>
            <w:vAlign w:val="center"/>
          </w:tcPr>
          <w:p w14:paraId="59FE6B44" w14:textId="77777777" w:rsidR="00D50296" w:rsidRPr="00ED2C56" w:rsidRDefault="00D50296" w:rsidP="001A079F">
            <w:pPr>
              <w:jc w:val="both"/>
              <w:rPr>
                <w:rFonts w:ascii="Cambria" w:hAnsi="Cambria" w:cs="Calibri"/>
                <w:kern w:val="2"/>
                <w:sz w:val="20"/>
                <w:szCs w:val="20"/>
                <w14:ligatures w14:val="standardContextual"/>
              </w:rPr>
            </w:pPr>
            <w:r w:rsidRPr="00ED2C56">
              <w:rPr>
                <w:rFonts w:ascii="Cambria" w:eastAsia="Aptos" w:hAnsi="Cambria" w:cs="Arial"/>
                <w:i/>
                <w:iCs/>
                <w:kern w:val="2"/>
                <w:sz w:val="20"/>
                <w:szCs w:val="20"/>
                <w14:ligatures w14:val="standardContextual"/>
              </w:rPr>
              <w:t xml:space="preserve">Las CPC podrán quedar exentas de presentar la hoja de comprobación cuando no sea probable que los buques que enarbolan su pabellón capturen las especies de tiburones cubiertas por las Recomendaciones </w:t>
            </w:r>
            <w:hyperlink r:id="rId11" w:history="1">
              <w:r w:rsidRPr="00ED2C56">
                <w:rPr>
                  <w:rFonts w:ascii="Cambria" w:eastAsia="Aptos" w:hAnsi="Cambria" w:cs="Arial"/>
                  <w:color w:val="467886"/>
                  <w:kern w:val="2"/>
                  <w:sz w:val="20"/>
                  <w:szCs w:val="20"/>
                  <w14:ligatures w14:val="standardContextual"/>
                </w:rPr>
                <w:t>Rec. 04-10</w:t>
              </w:r>
            </w:hyperlink>
            <w:r w:rsidRPr="00ED2C56">
              <w:rPr>
                <w:rFonts w:ascii="Cambria" w:eastAsia="Aptos" w:hAnsi="Cambria" w:cs="Arial"/>
                <w:i/>
                <w:iCs/>
                <w:kern w:val="2"/>
                <w:sz w:val="20"/>
                <w:szCs w:val="20"/>
                <w14:ligatures w14:val="standardContextual"/>
              </w:rPr>
              <w:t xml:space="preserve">, </w:t>
            </w:r>
            <w:hyperlink r:id="rId12" w:history="1">
              <w:r w:rsidRPr="00ED2C56">
                <w:rPr>
                  <w:rFonts w:ascii="Cambria" w:eastAsia="Aptos" w:hAnsi="Cambria" w:cs="Arial"/>
                  <w:color w:val="467886"/>
                  <w:kern w:val="2"/>
                  <w:sz w:val="20"/>
                  <w:szCs w:val="20"/>
                  <w14:ligatures w14:val="standardContextual"/>
                </w:rPr>
                <w:t>07-06</w:t>
              </w:r>
            </w:hyperlink>
            <w:r w:rsidRPr="00ED2C56">
              <w:rPr>
                <w:rFonts w:ascii="Cambria" w:eastAsia="Aptos" w:hAnsi="Cambria" w:cs="Arial"/>
                <w:i/>
                <w:iCs/>
                <w:kern w:val="2"/>
                <w:sz w:val="20"/>
                <w:szCs w:val="20"/>
                <w14:ligatures w14:val="standardContextual"/>
              </w:rPr>
              <w:t xml:space="preserve">, </w:t>
            </w:r>
            <w:hyperlink r:id="rId13" w:history="1">
              <w:r w:rsidRPr="00ED2C56">
                <w:rPr>
                  <w:rFonts w:ascii="Cambria" w:eastAsia="Aptos" w:hAnsi="Cambria" w:cs="Arial"/>
                  <w:color w:val="467886"/>
                  <w:kern w:val="2"/>
                  <w:sz w:val="20"/>
                  <w:szCs w:val="20"/>
                  <w14:ligatures w14:val="standardContextual"/>
                </w:rPr>
                <w:t>09-07</w:t>
              </w:r>
            </w:hyperlink>
            <w:r w:rsidRPr="00ED2C56">
              <w:rPr>
                <w:rFonts w:ascii="Cambria" w:eastAsia="Aptos" w:hAnsi="Cambria" w:cs="Arial"/>
                <w:i/>
                <w:iCs/>
                <w:kern w:val="2"/>
                <w:sz w:val="20"/>
                <w:szCs w:val="20"/>
                <w14:ligatures w14:val="standardContextual"/>
              </w:rPr>
              <w:t xml:space="preserve">, </w:t>
            </w:r>
            <w:hyperlink r:id="rId14" w:history="1">
              <w:r w:rsidRPr="00ED2C56">
                <w:rPr>
                  <w:rFonts w:ascii="Cambria" w:eastAsia="Aptos" w:hAnsi="Cambria" w:cs="Arial"/>
                  <w:color w:val="467886"/>
                  <w:kern w:val="2"/>
                  <w:sz w:val="20"/>
                  <w:szCs w:val="20"/>
                  <w14:ligatures w14:val="standardContextual"/>
                </w:rPr>
                <w:t>10-07</w:t>
              </w:r>
            </w:hyperlink>
            <w:r w:rsidRPr="00ED2C56">
              <w:rPr>
                <w:rFonts w:ascii="Cambria" w:eastAsia="Aptos" w:hAnsi="Cambria" w:cs="Arial"/>
                <w:i/>
                <w:iCs/>
                <w:kern w:val="2"/>
                <w:sz w:val="20"/>
                <w:szCs w:val="20"/>
                <w14:ligatures w14:val="standardContextual"/>
              </w:rPr>
              <w:t xml:space="preserve">, </w:t>
            </w:r>
            <w:hyperlink r:id="rId15" w:history="1">
              <w:r w:rsidRPr="00ED2C56">
                <w:rPr>
                  <w:rFonts w:ascii="Cambria" w:eastAsia="Aptos" w:hAnsi="Cambria" w:cs="Arial"/>
                  <w:color w:val="467886"/>
                  <w:kern w:val="2"/>
                  <w:sz w:val="20"/>
                  <w:szCs w:val="20"/>
                  <w14:ligatures w14:val="standardContextual"/>
                </w:rPr>
                <w:t>10-08</w:t>
              </w:r>
            </w:hyperlink>
            <w:r w:rsidRPr="00ED2C56">
              <w:rPr>
                <w:rFonts w:ascii="Cambria" w:eastAsia="Aptos" w:hAnsi="Cambria" w:cs="Arial"/>
                <w:i/>
                <w:iCs/>
                <w:kern w:val="2"/>
                <w:sz w:val="20"/>
                <w:szCs w:val="20"/>
                <w14:ligatures w14:val="standardContextual"/>
              </w:rPr>
              <w:t xml:space="preserve">, </w:t>
            </w:r>
            <w:hyperlink r:id="rId16" w:history="1">
              <w:r w:rsidRPr="00ED2C56">
                <w:rPr>
                  <w:rFonts w:ascii="Cambria" w:eastAsia="Aptos" w:hAnsi="Cambria" w:cs="Arial"/>
                  <w:color w:val="467886"/>
                  <w:kern w:val="2"/>
                  <w:sz w:val="20"/>
                  <w:szCs w:val="20"/>
                  <w14:ligatures w14:val="standardContextual"/>
                </w:rPr>
                <w:t>11</w:t>
              </w:r>
              <w:r w:rsidRPr="00ED2C56">
                <w:rPr>
                  <w:rFonts w:ascii="Cambria" w:eastAsia="Aptos" w:hAnsi="Cambria" w:cs="Arial"/>
                  <w:color w:val="467886"/>
                  <w:kern w:val="2"/>
                  <w:sz w:val="20"/>
                  <w:szCs w:val="20"/>
                  <w14:ligatures w14:val="standardContextual"/>
                </w:rPr>
                <w:noBreakHyphen/>
                <w:t>08</w:t>
              </w:r>
            </w:hyperlink>
            <w:r w:rsidRPr="00ED2C56">
              <w:rPr>
                <w:rFonts w:ascii="Cambria" w:eastAsia="Aptos" w:hAnsi="Cambria" w:cs="Arial"/>
                <w:i/>
                <w:iCs/>
                <w:kern w:val="2"/>
                <w:sz w:val="20"/>
                <w:szCs w:val="20"/>
                <w14:ligatures w14:val="standardContextual"/>
              </w:rPr>
              <w:t xml:space="preserve">, </w:t>
            </w:r>
            <w:hyperlink r:id="rId17" w:history="1">
              <w:r w:rsidRPr="00ED2C56">
                <w:rPr>
                  <w:rFonts w:ascii="Cambria" w:eastAsia="Aptos" w:hAnsi="Cambria" w:cs="Arial"/>
                  <w:color w:val="467886"/>
                  <w:kern w:val="2"/>
                  <w:sz w:val="20"/>
                  <w:szCs w:val="20"/>
                  <w14:ligatures w14:val="standardContextual"/>
                </w:rPr>
                <w:t>11-15</w:t>
              </w:r>
            </w:hyperlink>
            <w:r w:rsidRPr="00ED2C56">
              <w:rPr>
                <w:rFonts w:ascii="Cambria" w:eastAsia="Aptos" w:hAnsi="Cambria" w:cs="Arial"/>
                <w:i/>
                <w:iCs/>
                <w:kern w:val="2"/>
                <w:sz w:val="20"/>
                <w:szCs w:val="20"/>
                <w14:ligatures w14:val="standardContextual"/>
              </w:rPr>
              <w:t>, y</w:t>
            </w:r>
            <w:hyperlink r:id="rId18" w:history="1">
              <w:r w:rsidRPr="00ED2C56">
                <w:rPr>
                  <w:rFonts w:ascii="Cambria" w:eastAsia="Aptos" w:hAnsi="Cambria" w:cs="Arial"/>
                  <w:color w:val="467886"/>
                  <w:kern w:val="2"/>
                  <w:sz w:val="20"/>
                  <w:szCs w:val="20"/>
                  <w14:ligatures w14:val="standardContextual"/>
                </w:rPr>
                <w:t>15-06</w:t>
              </w:r>
            </w:hyperlink>
            <w:r w:rsidRPr="00ED2C56">
              <w:rPr>
                <w:rFonts w:ascii="Cambria" w:eastAsia="Aptos" w:hAnsi="Cambria" w:cs="Arial"/>
                <w:i/>
                <w:iCs/>
                <w:kern w:val="2"/>
                <w:sz w:val="20"/>
                <w:szCs w:val="20"/>
                <w14:ligatures w14:val="standardContextual"/>
              </w:rPr>
              <w:t>, a condición de que las CPC afectadas obtengan una confirmación del Grupo de especies de tiburones mediante los datos necesarios presentados por las CPC con este fin.</w:t>
            </w:r>
          </w:p>
          <w:p w14:paraId="1066026D" w14:textId="77777777" w:rsidR="00D50296" w:rsidRPr="00ED2C56" w:rsidRDefault="00D50296" w:rsidP="001A079F">
            <w:pPr>
              <w:jc w:val="both"/>
              <w:rPr>
                <w:rFonts w:ascii="Cambria" w:hAnsi="Cambria" w:cs="Calibri"/>
                <w:kern w:val="2"/>
                <w:sz w:val="20"/>
                <w:szCs w:val="20"/>
                <w14:ligatures w14:val="standardContextual"/>
              </w:rPr>
            </w:pPr>
          </w:p>
        </w:tc>
        <w:tc>
          <w:tcPr>
            <w:tcW w:w="1701" w:type="dxa"/>
            <w:vAlign w:val="center"/>
          </w:tcPr>
          <w:p w14:paraId="3477B73C" w14:textId="77777777" w:rsidR="00D50296" w:rsidRPr="00ED2C56" w:rsidRDefault="00D50296" w:rsidP="001A079F">
            <w:pPr>
              <w:jc w:val="center"/>
              <w:rPr>
                <w:rFonts w:ascii="Cambria" w:hAnsi="Cambria" w:cs="Calibri"/>
                <w:kern w:val="2"/>
                <w:sz w:val="20"/>
                <w:szCs w:val="20"/>
                <w14:ligatures w14:val="standardContextual"/>
              </w:rPr>
            </w:pPr>
            <w:r w:rsidRPr="00ED2C56">
              <w:rPr>
                <w:rFonts w:ascii="Cambria" w:eastAsia="Aptos" w:hAnsi="Cambria" w:cs="Arial"/>
                <w:kern w:val="2"/>
                <w:sz w:val="20"/>
                <w:szCs w:val="20"/>
                <w14:ligatures w14:val="standardContextual"/>
              </w:rPr>
              <w:t>Sí o No</w:t>
            </w:r>
          </w:p>
        </w:tc>
        <w:tc>
          <w:tcPr>
            <w:tcW w:w="2126" w:type="dxa"/>
          </w:tcPr>
          <w:p w14:paraId="6FBD5601" w14:textId="77777777" w:rsidR="00D50296" w:rsidRPr="00ED2C56" w:rsidRDefault="00D50296" w:rsidP="001A079F">
            <w:pPr>
              <w:rPr>
                <w:rFonts w:ascii="Cambria" w:eastAsia="Calibri" w:hAnsi="Cambria"/>
                <w:sz w:val="20"/>
                <w:szCs w:val="20"/>
              </w:rPr>
            </w:pPr>
          </w:p>
        </w:tc>
        <w:tc>
          <w:tcPr>
            <w:tcW w:w="2126" w:type="dxa"/>
            <w:vAlign w:val="center"/>
          </w:tcPr>
          <w:p w14:paraId="4D996311" w14:textId="77777777" w:rsidR="00D50296" w:rsidRPr="00ED2C56" w:rsidRDefault="00D50296" w:rsidP="001A079F">
            <w:pPr>
              <w:jc w:val="center"/>
              <w:rPr>
                <w:rFonts w:ascii="Cambria" w:hAnsi="Cambria" w:cs="Calibri"/>
                <w:kern w:val="2"/>
                <w:sz w:val="20"/>
                <w:szCs w:val="20"/>
                <w14:ligatures w14:val="standardContextual"/>
              </w:rPr>
            </w:pPr>
            <w:r w:rsidRPr="00ED2C56">
              <w:rPr>
                <w:rFonts w:ascii="Cambria" w:eastAsia="Aptos" w:hAnsi="Cambria" w:cs="Arial"/>
                <w:kern w:val="2"/>
                <w:sz w:val="20"/>
                <w:szCs w:val="20"/>
                <w14:ligatures w14:val="standardContextual"/>
              </w:rPr>
              <w:t>En caso negativo, la hoja de comprobación de tiburones debe cumplimentarse en su totalidad.</w:t>
            </w:r>
          </w:p>
          <w:p w14:paraId="107A6303" w14:textId="77777777" w:rsidR="00D50296" w:rsidRPr="00ED2C56" w:rsidRDefault="00D50296" w:rsidP="001A079F">
            <w:pPr>
              <w:jc w:val="center"/>
              <w:rPr>
                <w:rFonts w:ascii="Cambria" w:hAnsi="Cambria" w:cs="Calibri"/>
                <w:kern w:val="2"/>
                <w:sz w:val="20"/>
                <w:szCs w:val="20"/>
                <w14:ligatures w14:val="standardContextual"/>
              </w:rPr>
            </w:pPr>
          </w:p>
          <w:p w14:paraId="423529C7" w14:textId="77777777" w:rsidR="00D50296" w:rsidRPr="00ED2C56" w:rsidRDefault="00D50296" w:rsidP="001A079F">
            <w:pPr>
              <w:jc w:val="center"/>
              <w:rPr>
                <w:rFonts w:ascii="Cambria" w:hAnsi="Cambria" w:cs="Calibri"/>
                <w:kern w:val="2"/>
                <w:sz w:val="20"/>
                <w:szCs w:val="20"/>
                <w14:ligatures w14:val="standardContextual"/>
              </w:rPr>
            </w:pPr>
            <w:r w:rsidRPr="00ED2C56">
              <w:rPr>
                <w:rFonts w:ascii="Cambria" w:eastAsia="Aptos" w:hAnsi="Cambria" w:cs="Arial"/>
                <w:kern w:val="2"/>
                <w:sz w:val="20"/>
                <w:szCs w:val="20"/>
                <w14:ligatures w14:val="standardContextual"/>
              </w:rPr>
              <w:t>En caso afirmativo,</w:t>
            </w:r>
          </w:p>
          <w:p w14:paraId="0C90A045" w14:textId="77777777" w:rsidR="00D50296" w:rsidRPr="00ED2C56" w:rsidRDefault="00D50296" w:rsidP="001A079F">
            <w:pPr>
              <w:jc w:val="center"/>
              <w:rPr>
                <w:rFonts w:ascii="Cambria" w:hAnsi="Cambria" w:cs="Calibri"/>
                <w:kern w:val="2"/>
                <w:sz w:val="20"/>
                <w:szCs w:val="20"/>
                <w14:ligatures w14:val="standardContextual"/>
              </w:rPr>
            </w:pPr>
            <w:r w:rsidRPr="00ED2C56">
              <w:rPr>
                <w:rFonts w:ascii="Cambria" w:eastAsia="Aptos" w:hAnsi="Cambria" w:cs="Arial"/>
                <w:kern w:val="2"/>
                <w:sz w:val="20"/>
                <w:szCs w:val="20"/>
                <w14:ligatures w14:val="standardContextual"/>
              </w:rPr>
              <w:t xml:space="preserve">indicar la fecha de aprobación de la exención o la fecha de solicitud. </w:t>
            </w:r>
          </w:p>
          <w:p w14:paraId="23613CE7" w14:textId="77777777" w:rsidR="00D50296" w:rsidRPr="00ED2C56" w:rsidRDefault="00D50296" w:rsidP="001A079F">
            <w:pPr>
              <w:jc w:val="center"/>
              <w:rPr>
                <w:rFonts w:ascii="Cambria" w:hAnsi="Cambria" w:cs="Calibri"/>
                <w:kern w:val="2"/>
                <w:sz w:val="20"/>
                <w:szCs w:val="20"/>
                <w14:ligatures w14:val="standardContextual"/>
              </w:rPr>
            </w:pPr>
          </w:p>
          <w:p w14:paraId="646A287B" w14:textId="77777777" w:rsidR="00D50296" w:rsidRPr="00ED2C56" w:rsidRDefault="00D50296" w:rsidP="001A079F">
            <w:pPr>
              <w:jc w:val="center"/>
              <w:rPr>
                <w:rFonts w:ascii="Cambria" w:hAnsi="Cambria" w:cs="Calibri"/>
                <w:kern w:val="2"/>
                <w:sz w:val="20"/>
                <w:szCs w:val="20"/>
                <w14:ligatures w14:val="standardContextual"/>
              </w:rPr>
            </w:pPr>
          </w:p>
          <w:p w14:paraId="579FEA39" w14:textId="77777777" w:rsidR="00D50296" w:rsidRPr="00ED2C56" w:rsidRDefault="00D50296" w:rsidP="001A079F">
            <w:pPr>
              <w:jc w:val="center"/>
              <w:rPr>
                <w:rFonts w:ascii="Cambria" w:hAnsi="Cambria" w:cs="Calibri"/>
                <w:kern w:val="2"/>
                <w:sz w:val="20"/>
                <w:szCs w:val="20"/>
                <w14:ligatures w14:val="standardContextual"/>
              </w:rPr>
            </w:pPr>
            <w:r w:rsidRPr="00ED2C56">
              <w:rPr>
                <w:rFonts w:ascii="Cambria" w:eastAsia="Aptos" w:hAnsi="Cambria" w:cs="Arial"/>
                <w:kern w:val="2"/>
                <w:sz w:val="20"/>
                <w:szCs w:val="20"/>
                <w14:ligatures w14:val="standardContextual"/>
              </w:rPr>
              <w:t xml:space="preserve">En caso afirmativo, </w:t>
            </w:r>
          </w:p>
          <w:p w14:paraId="2CE969FF" w14:textId="77777777" w:rsidR="00D50296" w:rsidRPr="00ED2C56" w:rsidRDefault="00D50296" w:rsidP="001A079F">
            <w:pPr>
              <w:jc w:val="center"/>
              <w:rPr>
                <w:rFonts w:ascii="Cambria" w:hAnsi="Cambria" w:cs="Calibri"/>
                <w:kern w:val="2"/>
                <w:sz w:val="20"/>
                <w:szCs w:val="20"/>
                <w14:ligatures w14:val="standardContextual"/>
              </w:rPr>
            </w:pPr>
            <w:r w:rsidRPr="00ED2C56">
              <w:rPr>
                <w:rFonts w:ascii="Cambria" w:eastAsia="Aptos" w:hAnsi="Cambria" w:cs="Arial"/>
                <w:kern w:val="2"/>
                <w:sz w:val="20"/>
                <w:szCs w:val="20"/>
                <w14:ligatures w14:val="standardContextual"/>
              </w:rPr>
              <w:t xml:space="preserve">indicar también si la exención es parcial o total </w:t>
            </w:r>
          </w:p>
          <w:p w14:paraId="11941496" w14:textId="77777777" w:rsidR="00D50296" w:rsidRPr="00ED2C56" w:rsidRDefault="00D50296" w:rsidP="001A079F">
            <w:pPr>
              <w:jc w:val="center"/>
              <w:rPr>
                <w:rFonts w:ascii="Cambria" w:hAnsi="Cambria" w:cs="Calibri"/>
                <w:kern w:val="2"/>
                <w:sz w:val="20"/>
                <w:szCs w:val="20"/>
                <w14:ligatures w14:val="standardContextual"/>
              </w:rPr>
            </w:pPr>
          </w:p>
          <w:p w14:paraId="78E673C3" w14:textId="77777777" w:rsidR="00D50296" w:rsidRPr="00ED2C56" w:rsidRDefault="00D50296" w:rsidP="001A079F">
            <w:pPr>
              <w:jc w:val="center"/>
              <w:rPr>
                <w:rFonts w:ascii="Cambria" w:hAnsi="Cambria" w:cs="Calibri"/>
                <w:kern w:val="2"/>
                <w:sz w:val="20"/>
                <w:szCs w:val="20"/>
                <w14:ligatures w14:val="standardContextual"/>
              </w:rPr>
            </w:pPr>
          </w:p>
          <w:p w14:paraId="3BF405AA" w14:textId="77777777" w:rsidR="00D50296" w:rsidRPr="00ED2C56" w:rsidRDefault="00D50296" w:rsidP="001A079F">
            <w:pPr>
              <w:jc w:val="center"/>
              <w:rPr>
                <w:rFonts w:ascii="Cambria" w:hAnsi="Cambria" w:cs="Calibri"/>
                <w:kern w:val="2"/>
                <w:sz w:val="20"/>
                <w:szCs w:val="20"/>
                <w14:ligatures w14:val="standardContextual"/>
              </w:rPr>
            </w:pPr>
            <w:r w:rsidRPr="00ED2C56">
              <w:rPr>
                <w:rFonts w:ascii="Cambria" w:eastAsia="Aptos" w:hAnsi="Cambria" w:cs="Arial"/>
                <w:kern w:val="2"/>
                <w:sz w:val="20"/>
                <w:szCs w:val="20"/>
                <w14:ligatures w14:val="standardContextual"/>
              </w:rPr>
              <w:t>Si la exención es parcial, indicar la exención en cada campo de la Rec..</w:t>
            </w:r>
          </w:p>
        </w:tc>
      </w:tr>
    </w:tbl>
    <w:p w14:paraId="1A4C7A0E" w14:textId="77777777" w:rsidR="00D50296" w:rsidRPr="00ED2C56" w:rsidRDefault="00D50296" w:rsidP="00D50296">
      <w:pPr>
        <w:contextualSpacing/>
        <w:jc w:val="both"/>
        <w:rPr>
          <w:rFonts w:ascii="Cambria" w:eastAsia="Aptos" w:hAnsi="Cambria" w:cs="Arial"/>
          <w:kern w:val="2"/>
          <w:sz w:val="20"/>
          <w:szCs w:val="20"/>
          <w14:ligatures w14:val="standardContextual"/>
        </w:rPr>
      </w:pPr>
    </w:p>
    <w:p w14:paraId="02F326CF" w14:textId="77777777" w:rsidR="00D50296" w:rsidRPr="00ED2C56" w:rsidRDefault="00D50296" w:rsidP="00D50296">
      <w:pPr>
        <w:contextualSpacing/>
        <w:jc w:val="both"/>
        <w:rPr>
          <w:rFonts w:ascii="Cambria" w:eastAsia="Aptos" w:hAnsi="Cambria" w:cs="Arial"/>
          <w:kern w:val="2"/>
          <w:sz w:val="20"/>
          <w:szCs w:val="20"/>
          <w14:ligatures w14:val="standardContextual"/>
        </w:rPr>
      </w:pPr>
    </w:p>
    <w:p w14:paraId="45247DC2" w14:textId="77777777" w:rsidR="00D50296" w:rsidRPr="00ED2C56" w:rsidRDefault="00D50296" w:rsidP="00D50296">
      <w:pPr>
        <w:contextualSpacing/>
        <w:jc w:val="both"/>
        <w:rPr>
          <w:rFonts w:ascii="Cambria" w:eastAsia="Aptos" w:hAnsi="Cambria" w:cs="Arial"/>
          <w:kern w:val="2"/>
          <w:sz w:val="20"/>
          <w:szCs w:val="20"/>
          <w14:ligatures w14:val="standardContextual"/>
        </w:rPr>
      </w:pPr>
    </w:p>
    <w:p w14:paraId="23F95BEA" w14:textId="77777777" w:rsidR="00D50296" w:rsidRPr="00ED2C56" w:rsidRDefault="00D50296" w:rsidP="00D50296">
      <w:pPr>
        <w:contextualSpacing/>
        <w:jc w:val="both"/>
        <w:rPr>
          <w:rFonts w:ascii="Cambria" w:eastAsia="Aptos" w:hAnsi="Cambria" w:cs="Arial"/>
          <w:kern w:val="2"/>
          <w:sz w:val="20"/>
          <w:szCs w:val="20"/>
          <w14:ligatures w14:val="standardContextual"/>
        </w:rPr>
      </w:pPr>
    </w:p>
    <w:p w14:paraId="3047E1B9" w14:textId="77777777" w:rsidR="00D50296" w:rsidRPr="00ED2C56" w:rsidRDefault="00D50296" w:rsidP="00D50296">
      <w:pPr>
        <w:contextualSpacing/>
        <w:jc w:val="both"/>
        <w:rPr>
          <w:rFonts w:ascii="Cambria" w:eastAsia="Aptos" w:hAnsi="Cambria" w:cs="Arial"/>
          <w:kern w:val="2"/>
          <w:sz w:val="20"/>
          <w:szCs w:val="20"/>
          <w14:ligatures w14:val="standardContextual"/>
        </w:rPr>
      </w:pPr>
    </w:p>
    <w:p w14:paraId="253BF795" w14:textId="77777777" w:rsidR="00116713" w:rsidRDefault="00116713"/>
    <w:sectPr w:rsidR="00116713" w:rsidSect="00D5029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D891" w14:textId="77777777" w:rsidR="00D50296" w:rsidRDefault="00D50296" w:rsidP="00D50296">
      <w:r>
        <w:separator/>
      </w:r>
    </w:p>
  </w:endnote>
  <w:endnote w:type="continuationSeparator" w:id="0">
    <w:p w14:paraId="7D396E57" w14:textId="77777777" w:rsidR="00D50296" w:rsidRDefault="00D50296" w:rsidP="00D5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7E0F" w14:textId="5F6C272D" w:rsidR="00D50296" w:rsidRPr="00D50296" w:rsidRDefault="00D50296" w:rsidP="00D50296">
    <w:pPr>
      <w:tabs>
        <w:tab w:val="center" w:pos="4535"/>
        <w:tab w:val="center" w:pos="4680"/>
        <w:tab w:val="left" w:pos="6150"/>
        <w:tab w:val="right" w:pos="9360"/>
      </w:tabs>
      <w:jc w:val="center"/>
      <w:rPr>
        <w:rFonts w:ascii="Cambria" w:eastAsia="Calibri" w:hAnsi="Cambria" w:cs="Calibri"/>
        <w:sz w:val="20"/>
        <w:szCs w:val="22"/>
      </w:rPr>
    </w:pPr>
    <w:r w:rsidRPr="0067469F">
      <w:rPr>
        <w:rFonts w:ascii="Cambria" w:eastAsia="Calibri" w:hAnsi="Cambria" w:cs="Calibri"/>
        <w:sz w:val="20"/>
      </w:rPr>
      <w:fldChar w:fldCharType="begin"/>
    </w:r>
    <w:r w:rsidRPr="0067469F">
      <w:rPr>
        <w:rFonts w:ascii="Cambria" w:eastAsia="Calibri" w:hAnsi="Cambria" w:cs="Calibri"/>
        <w:sz w:val="20"/>
      </w:rPr>
      <w:instrText xml:space="preserve"> PAGE </w:instrText>
    </w:r>
    <w:r w:rsidRPr="0067469F">
      <w:rPr>
        <w:rFonts w:ascii="Cambria" w:eastAsia="Calibri" w:hAnsi="Cambria" w:cs="Calibri"/>
        <w:sz w:val="20"/>
      </w:rPr>
      <w:fldChar w:fldCharType="separate"/>
    </w:r>
    <w:r>
      <w:rPr>
        <w:rFonts w:ascii="Cambria" w:eastAsia="Calibri" w:hAnsi="Cambria" w:cs="Calibri"/>
        <w:sz w:val="20"/>
      </w:rPr>
      <w:t>1</w:t>
    </w:r>
    <w:r w:rsidRPr="0067469F">
      <w:rPr>
        <w:rFonts w:ascii="Cambria" w:eastAsia="Calibri" w:hAnsi="Cambria" w:cs="Calibri"/>
        <w:sz w:val="20"/>
      </w:rPr>
      <w:fldChar w:fldCharType="end"/>
    </w:r>
    <w:r>
      <w:rPr>
        <w:rFonts w:ascii="Cambria" w:hAnsi="Cambria"/>
        <w:sz w:val="20"/>
      </w:rPr>
      <w:t xml:space="preserve"> / </w:t>
    </w:r>
    <w:r w:rsidRPr="0067469F">
      <w:rPr>
        <w:rFonts w:ascii="Cambria" w:eastAsia="Calibri" w:hAnsi="Cambria" w:cs="Calibri"/>
        <w:sz w:val="20"/>
      </w:rPr>
      <w:fldChar w:fldCharType="begin"/>
    </w:r>
    <w:r w:rsidRPr="0067469F">
      <w:rPr>
        <w:rFonts w:ascii="Cambria" w:eastAsia="Calibri" w:hAnsi="Cambria" w:cs="Calibri"/>
        <w:sz w:val="20"/>
      </w:rPr>
      <w:instrText xml:space="preserve"> NUMPAGES </w:instrText>
    </w:r>
    <w:r w:rsidRPr="0067469F">
      <w:rPr>
        <w:rFonts w:ascii="Cambria" w:eastAsia="Calibri" w:hAnsi="Cambria" w:cs="Calibri"/>
        <w:sz w:val="20"/>
      </w:rPr>
      <w:fldChar w:fldCharType="separate"/>
    </w:r>
    <w:r>
      <w:rPr>
        <w:rFonts w:ascii="Cambria" w:eastAsia="Calibri" w:hAnsi="Cambria" w:cs="Calibri"/>
        <w:sz w:val="20"/>
      </w:rPr>
      <w:t>3</w:t>
    </w:r>
    <w:r w:rsidRPr="0067469F">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250D" w14:textId="77777777" w:rsidR="00D50296" w:rsidRDefault="00D50296" w:rsidP="00D50296">
      <w:r>
        <w:separator/>
      </w:r>
    </w:p>
  </w:footnote>
  <w:footnote w:type="continuationSeparator" w:id="0">
    <w:p w14:paraId="4A30E805" w14:textId="77777777" w:rsidR="00D50296" w:rsidRDefault="00D50296" w:rsidP="00D5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4532" w14:textId="1E584480" w:rsidR="00D50296" w:rsidRPr="00D50296" w:rsidRDefault="00D50296" w:rsidP="00D50296">
    <w:pPr>
      <w:tabs>
        <w:tab w:val="center" w:pos="4680"/>
        <w:tab w:val="left" w:pos="6520"/>
        <w:tab w:val="right" w:pos="9360"/>
        <w:tab w:val="right" w:pos="14240"/>
      </w:tabs>
      <w:jc w:val="right"/>
      <w:rPr>
        <w:rFonts w:ascii="Cambria" w:eastAsia="Calibri" w:hAnsi="Cambria"/>
        <w:b/>
        <w:bCs/>
        <w:sz w:val="22"/>
        <w:szCs w:val="22"/>
      </w:rPr>
    </w:pPr>
    <w:bookmarkStart w:id="0" w:name="_Hlk107908354"/>
    <w:bookmarkStart w:id="1" w:name="_Hlk107908355"/>
    <w:bookmarkStart w:id="2" w:name="_Hlk107908359"/>
    <w:bookmarkStart w:id="3" w:name="_Hlk107908360"/>
    <w:bookmarkStart w:id="4" w:name="_Hlk107908361"/>
    <w:bookmarkStart w:id="5" w:name="_Hlk107908362"/>
    <w:bookmarkStart w:id="6" w:name="_Hlk117162352"/>
    <w:bookmarkStart w:id="7" w:name="_Hlk117162353"/>
    <w:bookmarkStart w:id="8" w:name="_Hlk117162355"/>
    <w:bookmarkStart w:id="9" w:name="_Hlk117162356"/>
    <w:bookmarkStart w:id="10" w:name="_Hlk117589541"/>
    <w:bookmarkStart w:id="11" w:name="_Hlk117589542"/>
    <w:bookmarkStart w:id="12" w:name="_Hlk117589581"/>
    <w:bookmarkStart w:id="13" w:name="_Hlk117589582"/>
    <w:r w:rsidRPr="00D50296">
      <w:rPr>
        <w:rFonts w:ascii="Cambria" w:eastAsia="Calibri" w:hAnsi="Cambria"/>
        <w:b/>
        <w:sz w:val="22"/>
        <w:szCs w:val="22"/>
      </w:rPr>
      <w:t>COC_</w:t>
    </w:r>
    <w:r>
      <w:rPr>
        <w:rFonts w:ascii="Cambria" w:eastAsia="Calibri" w:hAnsi="Cambria"/>
        <w:b/>
        <w:sz w:val="22"/>
        <w:szCs w:val="22"/>
      </w:rPr>
      <w:t>328</w:t>
    </w:r>
    <w:r w:rsidRPr="00D50296">
      <w:rPr>
        <w:rFonts w:ascii="Cambria" w:eastAsia="Calibri" w:hAnsi="Cambria"/>
        <w:b/>
        <w:sz w:val="22"/>
        <w:szCs w:val="22"/>
      </w:rPr>
      <w:t>/2025</w:t>
    </w:r>
  </w:p>
  <w:p w14:paraId="37F03AFF" w14:textId="77777777" w:rsidR="00D50296" w:rsidRPr="00D50296" w:rsidRDefault="00D50296" w:rsidP="00D50296">
    <w:pPr>
      <w:tabs>
        <w:tab w:val="center" w:pos="4680"/>
        <w:tab w:val="left" w:pos="6520"/>
        <w:tab w:val="right" w:pos="9360"/>
        <w:tab w:val="right" w:pos="14240"/>
      </w:tabs>
      <w:jc w:val="right"/>
      <w:rPr>
        <w:rFonts w:ascii="Calibri" w:eastAsia="Calibri" w:hAnsi="Calibri"/>
        <w:sz w:val="22"/>
        <w:szCs w:val="22"/>
      </w:rPr>
    </w:pPr>
    <w:r w:rsidRPr="00D50296">
      <w:rPr>
        <w:rFonts w:ascii="Calibri" w:eastAsia="Calibri" w:hAnsi="Calibri"/>
        <w:sz w:val="22"/>
        <w:szCs w:val="22"/>
      </w:rPr>
      <w:fldChar w:fldCharType="begin"/>
    </w:r>
    <w:r w:rsidRPr="00D50296">
      <w:rPr>
        <w:rFonts w:ascii="Cambria" w:eastAsia="Calibri" w:hAnsi="Cambria"/>
        <w:b/>
        <w:sz w:val="16"/>
        <w:szCs w:val="22"/>
      </w:rPr>
      <w:instrText xml:space="preserve"> TIME \@ "dd/MM/yyyy H:mm" </w:instrText>
    </w:r>
    <w:r w:rsidRPr="00D50296">
      <w:rPr>
        <w:rFonts w:ascii="Calibri" w:eastAsia="Calibri" w:hAnsi="Calibri"/>
        <w:sz w:val="22"/>
        <w:szCs w:val="22"/>
      </w:rPr>
      <w:fldChar w:fldCharType="separate"/>
    </w:r>
    <w:r w:rsidRPr="00D50296">
      <w:rPr>
        <w:rFonts w:ascii="Cambria" w:eastAsia="Calibri" w:hAnsi="Cambria"/>
        <w:b/>
        <w:noProof/>
        <w:sz w:val="16"/>
        <w:szCs w:val="22"/>
      </w:rPr>
      <w:t>16/11/2025 8:41</w:t>
    </w:r>
    <w:r w:rsidRPr="00D50296">
      <w:rPr>
        <w:rFonts w:ascii="Calibri" w:eastAsia="Calibri" w:hAnsi="Calibri"/>
        <w:sz w:val="22"/>
        <w:szCs w:val="22"/>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p>
  <w:p w14:paraId="4903B8E2" w14:textId="77777777" w:rsidR="00D50296" w:rsidRDefault="00D50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4393"/>
    <w:multiLevelType w:val="hybridMultilevel"/>
    <w:tmpl w:val="90D0E97E"/>
    <w:lvl w:ilvl="0" w:tplc="B2BA3A5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2805734D"/>
    <w:multiLevelType w:val="hybridMultilevel"/>
    <w:tmpl w:val="BA5C0B3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E34C5"/>
    <w:multiLevelType w:val="hybridMultilevel"/>
    <w:tmpl w:val="73A647B8"/>
    <w:lvl w:ilvl="0" w:tplc="DF9048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431126697">
    <w:abstractNumId w:val="1"/>
  </w:num>
  <w:num w:numId="2" w16cid:durableId="63727305">
    <w:abstractNumId w:val="2"/>
  </w:num>
  <w:num w:numId="3" w16cid:durableId="140799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96"/>
    <w:rsid w:val="000F5CAC"/>
    <w:rsid w:val="00116713"/>
    <w:rsid w:val="00222E98"/>
    <w:rsid w:val="00270009"/>
    <w:rsid w:val="002B7CA3"/>
    <w:rsid w:val="0033632A"/>
    <w:rsid w:val="003C7B38"/>
    <w:rsid w:val="003F132E"/>
    <w:rsid w:val="00404F0E"/>
    <w:rsid w:val="004270F3"/>
    <w:rsid w:val="0044646B"/>
    <w:rsid w:val="004951C2"/>
    <w:rsid w:val="00666542"/>
    <w:rsid w:val="00804224"/>
    <w:rsid w:val="00852A3E"/>
    <w:rsid w:val="008806E2"/>
    <w:rsid w:val="00915795"/>
    <w:rsid w:val="00AF2900"/>
    <w:rsid w:val="00BD423A"/>
    <w:rsid w:val="00C41047"/>
    <w:rsid w:val="00C53FF7"/>
    <w:rsid w:val="00C957C8"/>
    <w:rsid w:val="00D040C4"/>
    <w:rsid w:val="00D15A84"/>
    <w:rsid w:val="00D50296"/>
    <w:rsid w:val="00EB3AC2"/>
    <w:rsid w:val="00F040D4"/>
    <w:rsid w:val="00FD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D2FD"/>
  <w15:chartTrackingRefBased/>
  <w15:docId w15:val="{9E02AF28-0543-4923-8C3A-F32AD9D1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96"/>
    <w:pPr>
      <w:spacing w:after="0" w:line="240" w:lineRule="auto"/>
    </w:pPr>
    <w:rPr>
      <w:rFonts w:ascii="Times New Roman" w:eastAsia="Times New Roman" w:hAnsi="Times New Roman" w:cs="Times New Roman"/>
      <w:kern w:val="0"/>
      <w:lang w:val="es-ES"/>
      <w14:ligatures w14:val="none"/>
    </w:rPr>
  </w:style>
  <w:style w:type="paragraph" w:styleId="Heading1">
    <w:name w:val="heading 1"/>
    <w:basedOn w:val="Normal"/>
    <w:next w:val="Normal"/>
    <w:link w:val="Heading1Char"/>
    <w:uiPriority w:val="9"/>
    <w:qFormat/>
    <w:rsid w:val="00D50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2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2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2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2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296"/>
    <w:rPr>
      <w:rFonts w:eastAsiaTheme="majorEastAsia" w:cstheme="majorBidi"/>
      <w:color w:val="272727" w:themeColor="text1" w:themeTint="D8"/>
    </w:rPr>
  </w:style>
  <w:style w:type="paragraph" w:styleId="Title">
    <w:name w:val="Title"/>
    <w:basedOn w:val="Normal"/>
    <w:next w:val="Normal"/>
    <w:link w:val="TitleChar"/>
    <w:uiPriority w:val="10"/>
    <w:qFormat/>
    <w:rsid w:val="00D502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296"/>
    <w:pPr>
      <w:spacing w:before="160"/>
      <w:jc w:val="center"/>
    </w:pPr>
    <w:rPr>
      <w:i/>
      <w:iCs/>
      <w:color w:val="404040" w:themeColor="text1" w:themeTint="BF"/>
    </w:rPr>
  </w:style>
  <w:style w:type="character" w:customStyle="1" w:styleId="QuoteChar">
    <w:name w:val="Quote Char"/>
    <w:basedOn w:val="DefaultParagraphFont"/>
    <w:link w:val="Quote"/>
    <w:uiPriority w:val="29"/>
    <w:rsid w:val="00D50296"/>
    <w:rPr>
      <w:i/>
      <w:iCs/>
      <w:color w:val="404040" w:themeColor="text1" w:themeTint="BF"/>
    </w:rPr>
  </w:style>
  <w:style w:type="paragraph" w:styleId="ListParagraph">
    <w:name w:val="List Paragraph"/>
    <w:basedOn w:val="Normal"/>
    <w:uiPriority w:val="34"/>
    <w:qFormat/>
    <w:rsid w:val="00D50296"/>
    <w:pPr>
      <w:ind w:left="720"/>
      <w:contextualSpacing/>
    </w:pPr>
  </w:style>
  <w:style w:type="character" w:styleId="IntenseEmphasis">
    <w:name w:val="Intense Emphasis"/>
    <w:basedOn w:val="DefaultParagraphFont"/>
    <w:uiPriority w:val="21"/>
    <w:qFormat/>
    <w:rsid w:val="00D50296"/>
    <w:rPr>
      <w:i/>
      <w:iCs/>
      <w:color w:val="0F4761" w:themeColor="accent1" w:themeShade="BF"/>
    </w:rPr>
  </w:style>
  <w:style w:type="paragraph" w:styleId="IntenseQuote">
    <w:name w:val="Intense Quote"/>
    <w:basedOn w:val="Normal"/>
    <w:next w:val="Normal"/>
    <w:link w:val="IntenseQuoteChar"/>
    <w:uiPriority w:val="30"/>
    <w:qFormat/>
    <w:rsid w:val="00D50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296"/>
    <w:rPr>
      <w:i/>
      <w:iCs/>
      <w:color w:val="0F4761" w:themeColor="accent1" w:themeShade="BF"/>
    </w:rPr>
  </w:style>
  <w:style w:type="character" w:styleId="IntenseReference">
    <w:name w:val="Intense Reference"/>
    <w:basedOn w:val="DefaultParagraphFont"/>
    <w:uiPriority w:val="32"/>
    <w:qFormat/>
    <w:rsid w:val="00D50296"/>
    <w:rPr>
      <w:b/>
      <w:bCs/>
      <w:smallCaps/>
      <w:color w:val="0F4761" w:themeColor="accent1" w:themeShade="BF"/>
      <w:spacing w:val="5"/>
    </w:rPr>
  </w:style>
  <w:style w:type="paragraph" w:styleId="Header">
    <w:name w:val="header"/>
    <w:basedOn w:val="Normal"/>
    <w:link w:val="HeaderChar"/>
    <w:uiPriority w:val="99"/>
    <w:unhideWhenUsed/>
    <w:rsid w:val="00D50296"/>
    <w:pPr>
      <w:tabs>
        <w:tab w:val="center" w:pos="4680"/>
        <w:tab w:val="right" w:pos="9360"/>
      </w:tabs>
    </w:pPr>
  </w:style>
  <w:style w:type="character" w:customStyle="1" w:styleId="HeaderChar">
    <w:name w:val="Header Char"/>
    <w:basedOn w:val="DefaultParagraphFont"/>
    <w:link w:val="Header"/>
    <w:uiPriority w:val="99"/>
    <w:rsid w:val="00D50296"/>
    <w:rPr>
      <w:rFonts w:ascii="Times New Roman" w:eastAsia="Times New Roman" w:hAnsi="Times New Roman" w:cs="Times New Roman"/>
      <w:kern w:val="0"/>
      <w:lang w:val="es-ES"/>
      <w14:ligatures w14:val="none"/>
    </w:rPr>
  </w:style>
  <w:style w:type="paragraph" w:styleId="Footer">
    <w:name w:val="footer"/>
    <w:basedOn w:val="Normal"/>
    <w:link w:val="FooterChar"/>
    <w:uiPriority w:val="99"/>
    <w:unhideWhenUsed/>
    <w:rsid w:val="00D50296"/>
    <w:pPr>
      <w:tabs>
        <w:tab w:val="center" w:pos="4680"/>
        <w:tab w:val="right" w:pos="9360"/>
      </w:tabs>
    </w:pPr>
  </w:style>
  <w:style w:type="character" w:customStyle="1" w:styleId="FooterChar">
    <w:name w:val="Footer Char"/>
    <w:basedOn w:val="DefaultParagraphFont"/>
    <w:link w:val="Footer"/>
    <w:uiPriority w:val="99"/>
    <w:rsid w:val="00D50296"/>
    <w:rPr>
      <w:rFonts w:ascii="Times New Roman" w:eastAsia="Times New Roman" w:hAnsi="Times New Roman" w:cs="Times New Roman"/>
      <w:kern w:val="0"/>
      <w:lang w:val="es-ES"/>
      <w14:ligatures w14:val="none"/>
    </w:rPr>
  </w:style>
  <w:style w:type="character" w:styleId="Hyperlink">
    <w:name w:val="Hyperlink"/>
    <w:basedOn w:val="DefaultParagraphFont"/>
    <w:uiPriority w:val="99"/>
    <w:unhideWhenUsed/>
    <w:rsid w:val="00D50296"/>
    <w:rPr>
      <w:color w:val="467886" w:themeColor="hyperlink"/>
      <w:u w:val="single"/>
    </w:rPr>
  </w:style>
  <w:style w:type="character" w:styleId="UnresolvedMention">
    <w:name w:val="Unresolved Mention"/>
    <w:basedOn w:val="DefaultParagraphFont"/>
    <w:uiPriority w:val="99"/>
    <w:semiHidden/>
    <w:unhideWhenUsed/>
    <w:rsid w:val="00D50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s/2018-06-s.pdf" TargetMode="External"/><Relationship Id="rId13" Type="http://schemas.openxmlformats.org/officeDocument/2006/relationships/hyperlink" Target="https://www.iccat.int/Documents/Recs/compendiopdf-s/2009-07-s.pdf" TargetMode="External"/><Relationship Id="rId18" Type="http://schemas.openxmlformats.org/officeDocument/2006/relationships/hyperlink" Target="https://www.iccat.int/Documents/Recs/compendiopdf-s/2015-06-s.pdf" TargetMode="External"/><Relationship Id="rId3" Type="http://schemas.openxmlformats.org/officeDocument/2006/relationships/settings" Target="settings.xml"/><Relationship Id="rId7" Type="http://schemas.openxmlformats.org/officeDocument/2006/relationships/hyperlink" Target="https://www.iccat.int/Documents/Recs/compendiopdf-s/2018-06-s.pdf" TargetMode="External"/><Relationship Id="rId12" Type="http://schemas.openxmlformats.org/officeDocument/2006/relationships/hyperlink" Target="https://www.iccat.int/Documents/Recs/compendiopdf-s/2007-06-s.pdf" TargetMode="External"/><Relationship Id="rId17" Type="http://schemas.openxmlformats.org/officeDocument/2006/relationships/hyperlink" Target="https://www.iccat.int/Documents/Recs/compendiopdf-s/2011-15-s.pdf" TargetMode="External"/><Relationship Id="rId2" Type="http://schemas.openxmlformats.org/officeDocument/2006/relationships/styles" Target="styles.xml"/><Relationship Id="rId16" Type="http://schemas.openxmlformats.org/officeDocument/2006/relationships/hyperlink" Target="https://www.iccat.int/Documents/Recs/compendiopdf-s/2011-08-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at.int/Documents/Recs/compendiopdf-s/2004-10-s.pdf" TargetMode="External"/><Relationship Id="rId5" Type="http://schemas.openxmlformats.org/officeDocument/2006/relationships/footnotes" Target="footnotes.xml"/><Relationship Id="rId15" Type="http://schemas.openxmlformats.org/officeDocument/2006/relationships/hyperlink" Target="https://www.iccat.int/Documents/Recs/compendiopdf-s/2010-08-s.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iccat.int/Documents/Recs/compendiopdf-s/2010-07-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García</dc:creator>
  <cp:keywords/>
  <dc:description/>
  <cp:lastModifiedBy>María José García</cp:lastModifiedBy>
  <cp:revision>3</cp:revision>
  <dcterms:created xsi:type="dcterms:W3CDTF">2025-11-16T07:47:00Z</dcterms:created>
  <dcterms:modified xsi:type="dcterms:W3CDTF">2025-11-16T07:51:00Z</dcterms:modified>
</cp:coreProperties>
</file>