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62E6" w14:textId="09C6EB25" w:rsidR="004F6D0B" w:rsidRPr="00C47E3F" w:rsidRDefault="004F6D0B" w:rsidP="00A7538E">
      <w:pPr>
        <w:jc w:val="right"/>
        <w:rPr>
          <w:rFonts w:ascii="Cambria" w:hAnsi="Cambria"/>
          <w:b/>
          <w:sz w:val="20"/>
          <w:szCs w:val="20"/>
        </w:rPr>
      </w:pPr>
      <w:r w:rsidRPr="00C47E3F">
        <w:rPr>
          <w:rFonts w:ascii="Cambria" w:hAnsi="Cambria"/>
          <w:b/>
          <w:sz w:val="20"/>
          <w:szCs w:val="20"/>
        </w:rPr>
        <w:t xml:space="preserve">Original : </w:t>
      </w:r>
      <w:r w:rsidRPr="00C47E3F">
        <w:rPr>
          <w:rFonts w:ascii="Cambria" w:hAnsi="Cambria"/>
          <w:b/>
          <w:bCs/>
          <w:sz w:val="20"/>
          <w:szCs w:val="20"/>
        </w:rPr>
        <w:t>anglais</w:t>
      </w:r>
    </w:p>
    <w:p w14:paraId="4334334A" w14:textId="77777777" w:rsidR="004F6D0B" w:rsidRPr="00C47E3F" w:rsidRDefault="004F6D0B" w:rsidP="00A7538E">
      <w:pPr>
        <w:jc w:val="right"/>
        <w:rPr>
          <w:rFonts w:ascii="Cambria" w:hAnsi="Cambria"/>
          <w:b/>
          <w:sz w:val="20"/>
          <w:szCs w:val="20"/>
        </w:rPr>
      </w:pPr>
    </w:p>
    <w:p w14:paraId="5783DD15" w14:textId="4FD8D793" w:rsidR="00F60FAC" w:rsidRPr="005338FE" w:rsidRDefault="00161055" w:rsidP="005338FE">
      <w:pPr>
        <w:jc w:val="center"/>
        <w:rPr>
          <w:rFonts w:ascii="Cambria" w:eastAsia="Aptos" w:hAnsi="Cambria" w:cs="Arial"/>
          <w:b/>
          <w:kern w:val="2"/>
          <w:sz w:val="20"/>
          <w:szCs w:val="20"/>
          <w14:ligatures w14:val="standardContextual"/>
        </w:rPr>
      </w:pPr>
      <w:r w:rsidRPr="000975CC">
        <w:rPr>
          <w:rFonts w:ascii="Cambria" w:eastAsia="Aptos" w:hAnsi="Cambria" w:cs="Arial"/>
          <w:b/>
          <w:bCs/>
          <w:kern w:val="2"/>
          <w:sz w:val="20"/>
          <w:szCs w:val="20"/>
          <w14:ligatures w14:val="standardContextual"/>
        </w:rPr>
        <w:t xml:space="preserve">Réponse du SCRS concernant </w:t>
      </w:r>
      <w:r w:rsidR="005F5A71" w:rsidRPr="000975CC">
        <w:rPr>
          <w:rFonts w:ascii="Cambria" w:eastAsia="Aptos" w:hAnsi="Cambria" w:cs="Arial"/>
          <w:b/>
          <w:kern w:val="2"/>
          <w:sz w:val="20"/>
          <w:szCs w:val="20"/>
          <w14:ligatures w14:val="standardContextual"/>
        </w:rPr>
        <w:t>l’e</w:t>
      </w:r>
      <w:r w:rsidR="00F60FAC" w:rsidRPr="000975CC">
        <w:rPr>
          <w:rFonts w:ascii="Cambria" w:eastAsia="Aptos" w:hAnsi="Cambria" w:cs="Arial"/>
          <w:b/>
          <w:kern w:val="2"/>
          <w:sz w:val="20"/>
          <w:szCs w:val="20"/>
          <w14:ligatures w14:val="standardContextual"/>
        </w:rPr>
        <w:t>xemption à la présentation de la feuille de contrôle s'appliquant aux requins</w:t>
      </w:r>
    </w:p>
    <w:p w14:paraId="54A24E04" w14:textId="77777777" w:rsidR="005F5A71" w:rsidRDefault="005F5A71" w:rsidP="00F60FAC">
      <w:pPr>
        <w:jc w:val="both"/>
        <w:rPr>
          <w:rFonts w:ascii="Cambria" w:eastAsia="Aptos" w:hAnsi="Cambria" w:cs="Arial"/>
          <w:b/>
          <w:bCs/>
          <w:kern w:val="2"/>
          <w:sz w:val="20"/>
          <w:szCs w:val="20"/>
          <w14:ligatures w14:val="standardContextual"/>
        </w:rPr>
      </w:pPr>
    </w:p>
    <w:p w14:paraId="29650AEB" w14:textId="38794721" w:rsidR="005338FE" w:rsidRPr="005E221A" w:rsidRDefault="005338FE" w:rsidP="005E221A">
      <w:pPr>
        <w:jc w:val="center"/>
        <w:rPr>
          <w:rFonts w:ascii="Cambria" w:eastAsia="Aptos" w:hAnsi="Cambria" w:cs="Arial"/>
          <w:i/>
          <w:iCs/>
          <w:kern w:val="2"/>
          <w:sz w:val="20"/>
          <w:szCs w:val="20"/>
          <w14:ligatures w14:val="standardContextual"/>
        </w:rPr>
      </w:pPr>
      <w:r w:rsidRPr="005E221A">
        <w:rPr>
          <w:rFonts w:ascii="Cambria" w:eastAsia="Aptos" w:hAnsi="Cambria" w:cs="Arial"/>
          <w:i/>
          <w:iCs/>
          <w:kern w:val="2"/>
          <w:sz w:val="20"/>
          <w:szCs w:val="20"/>
          <w14:ligatures w14:val="standardContextual"/>
        </w:rPr>
        <w:t>(Document présenté par le SCRS)</w:t>
      </w:r>
    </w:p>
    <w:p w14:paraId="2C0FF891" w14:textId="77777777" w:rsidR="005338FE" w:rsidRPr="00564AD6" w:rsidRDefault="005338FE" w:rsidP="00F60FAC">
      <w:pPr>
        <w:jc w:val="both"/>
        <w:rPr>
          <w:rFonts w:ascii="Cambria" w:eastAsia="Aptos" w:hAnsi="Cambria" w:cs="Arial"/>
          <w:b/>
          <w:bCs/>
          <w:kern w:val="2"/>
          <w:sz w:val="20"/>
          <w:szCs w:val="20"/>
          <w14:ligatures w14:val="standardContextual"/>
        </w:rPr>
      </w:pPr>
    </w:p>
    <w:p w14:paraId="78C555A7" w14:textId="2B05F0CC" w:rsidR="00F60FAC" w:rsidRPr="005F5A71" w:rsidRDefault="00F60FAC" w:rsidP="00F60FAC">
      <w:pPr>
        <w:jc w:val="both"/>
        <w:rPr>
          <w:rFonts w:ascii="Cambria" w:eastAsia="Aptos" w:hAnsi="Cambria" w:cs="Arial"/>
          <w:b/>
          <w:bCs/>
          <w:i/>
          <w:iCs/>
          <w:kern w:val="2"/>
          <w:sz w:val="20"/>
          <w:szCs w:val="20"/>
          <w14:ligatures w14:val="standardContextual"/>
        </w:rPr>
      </w:pPr>
      <w:r w:rsidRPr="00564AD6">
        <w:rPr>
          <w:rFonts w:ascii="Cambria" w:eastAsia="Aptos" w:hAnsi="Cambria" w:cs="Arial"/>
          <w:b/>
          <w:bCs/>
          <w:i/>
          <w:kern w:val="2"/>
          <w:sz w:val="20"/>
          <w:szCs w:val="20"/>
          <w14:ligatures w14:val="standardContextual"/>
        </w:rPr>
        <w:t>Contexte :</w:t>
      </w:r>
      <w:r w:rsidRPr="00564AD6">
        <w:rPr>
          <w:rFonts w:ascii="Cambria" w:eastAsia="Aptos" w:hAnsi="Cambria" w:cs="Arial"/>
          <w:b/>
          <w:i/>
          <w:kern w:val="2"/>
          <w:sz w:val="20"/>
          <w:szCs w:val="20"/>
          <w14:ligatures w14:val="standardContextual"/>
        </w:rPr>
        <w:t xml:space="preserve"> </w:t>
      </w:r>
      <w:hyperlink r:id="rId7" w:history="1">
        <w:r w:rsidR="005F5A71" w:rsidRPr="005338FE">
          <w:rPr>
            <w:rFonts w:ascii="Cambria" w:eastAsia="Aptos" w:hAnsi="Cambria" w:cs="Arial"/>
            <w:b/>
            <w:bCs/>
            <w:i/>
            <w:color w:val="467886"/>
            <w:kern w:val="2"/>
            <w:sz w:val="20"/>
            <w:szCs w:val="20"/>
            <w14:ligatures w14:val="standardContextual"/>
          </w:rPr>
          <w:t>Rec. 18-06</w:t>
        </w:r>
      </w:hyperlink>
      <w:r w:rsidR="005F5A71" w:rsidRPr="005338FE">
        <w:rPr>
          <w:rFonts w:ascii="Cambria" w:eastAsia="Aptos" w:hAnsi="Cambria" w:cs="Arial"/>
          <w:b/>
          <w:bCs/>
          <w:i/>
          <w:kern w:val="2"/>
          <w:sz w:val="20"/>
          <w:szCs w:val="20"/>
          <w14:ligatures w14:val="standardContextual"/>
        </w:rPr>
        <w:t xml:space="preserve"> paragraphe 3</w:t>
      </w:r>
      <w:r w:rsidRPr="005338FE">
        <w:rPr>
          <w:rFonts w:ascii="Cambria" w:eastAsia="Aptos" w:hAnsi="Cambria" w:cs="Arial"/>
          <w:b/>
          <w:bCs/>
          <w:i/>
          <w:kern w:val="2"/>
          <w:sz w:val="20"/>
          <w:szCs w:val="20"/>
          <w14:ligatures w14:val="standardContextual"/>
        </w:rPr>
        <w:t xml:space="preserve">. </w:t>
      </w:r>
      <w:r w:rsidRPr="00564AD6">
        <w:rPr>
          <w:rFonts w:ascii="Cambria" w:eastAsia="Aptos" w:hAnsi="Cambria" w:cs="Arial"/>
          <w:i/>
          <w:kern w:val="2"/>
          <w:sz w:val="20"/>
          <w:szCs w:val="20"/>
          <w14:ligatures w14:val="standardContextual"/>
        </w:rPr>
        <w:t>Les CPC pourraient être exemptées de la soumission de la feuille de contrôle s’il est peu probable que les navires battant leur pavillon capturent des espèces de requins couvertes par les Recommandations précitées au paragraphe 1, à condition qu’elles obtiennent confirmation du Groupe d’espèces sur les requins par le biais des données nécessaires soumises à cet effet par les CPC.</w:t>
      </w:r>
    </w:p>
    <w:p w14:paraId="4573DE81" w14:textId="77777777" w:rsidR="00F60FAC" w:rsidRPr="00564AD6" w:rsidRDefault="00F60FAC" w:rsidP="00F60FAC">
      <w:pPr>
        <w:jc w:val="both"/>
        <w:rPr>
          <w:rFonts w:ascii="Cambria" w:eastAsia="Aptos" w:hAnsi="Cambria" w:cs="Arial"/>
          <w:kern w:val="2"/>
          <w:sz w:val="20"/>
          <w:szCs w:val="20"/>
          <w14:ligatures w14:val="standardContextual"/>
        </w:rPr>
      </w:pPr>
    </w:p>
    <w:p w14:paraId="092BD801" w14:textId="77777777" w:rsidR="00F60FAC" w:rsidRPr="00564AD6" w:rsidRDefault="00F60FAC" w:rsidP="00F60FAC">
      <w:pPr>
        <w:jc w:val="both"/>
        <w:rPr>
          <w:rFonts w:ascii="Cambria" w:eastAsia="Aptos" w:hAnsi="Cambria" w:cs="Arial"/>
          <w:kern w:val="2"/>
          <w:sz w:val="20"/>
          <w:szCs w:val="20"/>
          <w14:ligatures w14:val="standardContextual"/>
        </w:rPr>
      </w:pPr>
      <w:proofErr w:type="gramStart"/>
      <w:r w:rsidRPr="00564AD6">
        <w:rPr>
          <w:rFonts w:ascii="Cambria" w:eastAsia="Aptos" w:hAnsi="Cambria" w:cs="Arial"/>
          <w:kern w:val="2"/>
          <w:sz w:val="20"/>
          <w:szCs w:val="20"/>
          <w14:ligatures w14:val="standardContextual"/>
        </w:rPr>
        <w:t>Suite à</w:t>
      </w:r>
      <w:proofErr w:type="gramEnd"/>
      <w:r w:rsidRPr="00564AD6">
        <w:rPr>
          <w:rFonts w:ascii="Cambria" w:eastAsia="Aptos" w:hAnsi="Cambria" w:cs="Arial"/>
          <w:kern w:val="2"/>
          <w:sz w:val="20"/>
          <w:szCs w:val="20"/>
          <w14:ligatures w14:val="standardContextual"/>
        </w:rPr>
        <w:t xml:space="preserve"> la </w:t>
      </w:r>
      <w:hyperlink r:id="rId8" w:history="1">
        <w:r w:rsidRPr="00564AD6">
          <w:rPr>
            <w:rFonts w:ascii="Cambria" w:eastAsia="Aptos" w:hAnsi="Cambria" w:cs="Arial"/>
            <w:color w:val="467886"/>
            <w:kern w:val="2"/>
            <w:sz w:val="20"/>
            <w:szCs w:val="20"/>
            <w14:ligatures w14:val="standardContextual"/>
          </w:rPr>
          <w:t>Rec. 18-06</w:t>
        </w:r>
      </w:hyperlink>
      <w:r w:rsidRPr="00564AD6">
        <w:rPr>
          <w:rFonts w:ascii="Cambria" w:eastAsia="Aptos" w:hAnsi="Cambria" w:cs="Arial"/>
          <w:kern w:val="2"/>
          <w:sz w:val="20"/>
          <w:szCs w:val="20"/>
          <w14:ligatures w14:val="standardContextual"/>
        </w:rPr>
        <w:t>, paragraphe 3, la Commission a demandé au SCRS d'élaborer une procédure permettant aux CPC de demander une exemption de soumission de la feuille de contrôle s’appliquant aux requins. Après discussion, la procédure suivante a été proposée par le Comité :</w:t>
      </w:r>
    </w:p>
    <w:p w14:paraId="720A495F" w14:textId="77777777" w:rsidR="00F60FAC" w:rsidRPr="00564AD6" w:rsidRDefault="00F60FAC" w:rsidP="00F60FAC">
      <w:pPr>
        <w:jc w:val="both"/>
        <w:rPr>
          <w:rFonts w:ascii="Cambria" w:eastAsia="Aptos" w:hAnsi="Cambria" w:cs="Arial"/>
          <w:kern w:val="2"/>
          <w:sz w:val="20"/>
          <w:szCs w:val="20"/>
          <w14:ligatures w14:val="standardContextual"/>
        </w:rPr>
      </w:pPr>
    </w:p>
    <w:p w14:paraId="0FADA565" w14:textId="77777777" w:rsidR="00F60FAC" w:rsidRPr="00564AD6" w:rsidRDefault="00F60FAC" w:rsidP="00F60FAC">
      <w:pPr>
        <w:numPr>
          <w:ilvl w:val="0"/>
          <w:numId w:val="15"/>
        </w:numPr>
        <w:ind w:left="426" w:hanging="426"/>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Présentation pendant l’année Y d’une demande d’exemption de présentation de la feuille de contrôle s’appliquant aux requins pendant l’année Y+1.</w:t>
      </w:r>
    </w:p>
    <w:p w14:paraId="13AECC1E" w14:textId="77777777" w:rsidR="00F60FAC" w:rsidRPr="00564AD6" w:rsidRDefault="00F60FAC" w:rsidP="00F60FAC">
      <w:pPr>
        <w:ind w:left="567"/>
        <w:jc w:val="both"/>
        <w:rPr>
          <w:rFonts w:ascii="Cambria" w:eastAsia="Aptos" w:hAnsi="Cambria" w:cs="Arial"/>
          <w:kern w:val="2"/>
          <w:sz w:val="20"/>
          <w:szCs w:val="20"/>
          <w14:ligatures w14:val="standardContextual"/>
        </w:rPr>
      </w:pPr>
    </w:p>
    <w:p w14:paraId="33D945C2" w14:textId="77777777" w:rsidR="00F60FAC" w:rsidRPr="00564AD6" w:rsidRDefault="00F60FAC" w:rsidP="00F60FAC">
      <w:pPr>
        <w:numPr>
          <w:ilvl w:val="1"/>
          <w:numId w:val="15"/>
        </w:numPr>
        <w:ind w:left="851" w:hanging="284"/>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La demande initiale pendant l’année Y doit être soumise au Secrétariat pour examen par le SCRS, dans les mêmes délais que la soumission de la feuille de contrôle s’appliquant aux requins.</w:t>
      </w:r>
    </w:p>
    <w:p w14:paraId="3155F96C" w14:textId="77777777" w:rsidR="00F60FAC" w:rsidRPr="00564AD6" w:rsidRDefault="00F60FAC" w:rsidP="00F60FAC">
      <w:pPr>
        <w:ind w:left="851"/>
        <w:jc w:val="both"/>
        <w:rPr>
          <w:rFonts w:ascii="Cambria" w:eastAsia="Aptos" w:hAnsi="Cambria" w:cs="Arial"/>
          <w:kern w:val="2"/>
          <w:sz w:val="20"/>
          <w:szCs w:val="20"/>
          <w14:ligatures w14:val="standardContextual"/>
        </w:rPr>
      </w:pPr>
    </w:p>
    <w:p w14:paraId="4A4E64D2" w14:textId="77777777" w:rsidR="00F60FAC" w:rsidRPr="00564AD6" w:rsidRDefault="00F60FAC" w:rsidP="00F60FAC">
      <w:pPr>
        <w:numPr>
          <w:ilvl w:val="1"/>
          <w:numId w:val="15"/>
        </w:numPr>
        <w:ind w:left="851" w:hanging="284"/>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La demande doit être accompagnée d'un document écrit expliquant clairement la raison de l'exemption, ainsi que de toutes les données justificatives nécessaires comme stipulé au paragraphe 2.</w:t>
      </w:r>
    </w:p>
    <w:p w14:paraId="3C7EBC28" w14:textId="77777777" w:rsidR="00F60FAC" w:rsidRPr="00564AD6" w:rsidRDefault="00F60FAC" w:rsidP="00F60FAC">
      <w:pPr>
        <w:ind w:left="720"/>
        <w:contextualSpacing/>
        <w:jc w:val="center"/>
        <w:rPr>
          <w:rFonts w:ascii="Cambria" w:eastAsia="Aptos" w:hAnsi="Cambria" w:cs="Arial"/>
          <w:kern w:val="2"/>
          <w:sz w:val="20"/>
          <w:szCs w:val="20"/>
          <w14:ligatures w14:val="standardContextual"/>
        </w:rPr>
      </w:pPr>
    </w:p>
    <w:p w14:paraId="65052BA3" w14:textId="77777777" w:rsidR="00F60FAC" w:rsidRPr="00564AD6" w:rsidRDefault="00F60FAC" w:rsidP="00F60FAC">
      <w:pPr>
        <w:numPr>
          <w:ilvl w:val="1"/>
          <w:numId w:val="15"/>
        </w:numPr>
        <w:ind w:left="851" w:hanging="284"/>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L'exemption peut être demandée pour l'ensemble de la feuille de contrôle s’appliquant aux requins ou uniquement pour les recommandations ayant des implications spécifiques pour le Nord/Sud.</w:t>
      </w:r>
    </w:p>
    <w:p w14:paraId="1267F5A4" w14:textId="77777777" w:rsidR="00F60FAC" w:rsidRPr="00564AD6" w:rsidRDefault="00F60FAC" w:rsidP="00F60FAC">
      <w:pPr>
        <w:ind w:left="720"/>
        <w:contextualSpacing/>
        <w:jc w:val="center"/>
        <w:rPr>
          <w:rFonts w:ascii="Cambria" w:eastAsia="Aptos" w:hAnsi="Cambria" w:cs="Arial"/>
          <w:kern w:val="2"/>
          <w:sz w:val="20"/>
          <w:szCs w:val="20"/>
          <w14:ligatures w14:val="standardContextual"/>
        </w:rPr>
      </w:pPr>
    </w:p>
    <w:p w14:paraId="39475DDC" w14:textId="77777777" w:rsidR="00F60FAC" w:rsidRPr="00564AD6" w:rsidRDefault="00F60FAC" w:rsidP="00F60FAC">
      <w:pPr>
        <w:numPr>
          <w:ilvl w:val="1"/>
          <w:numId w:val="15"/>
        </w:numPr>
        <w:ind w:left="851" w:hanging="284"/>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La présentation de la demande initiale ne dispense pas de la présentation de la feuille de contrôle s’appliquant aux requins de l'année Y-1.</w:t>
      </w:r>
    </w:p>
    <w:p w14:paraId="01E88D21" w14:textId="77777777" w:rsidR="00F60FAC" w:rsidRPr="00564AD6" w:rsidRDefault="00F60FAC" w:rsidP="00F60FAC">
      <w:pPr>
        <w:ind w:left="720"/>
        <w:jc w:val="both"/>
        <w:rPr>
          <w:rFonts w:ascii="Cambria" w:eastAsia="Aptos" w:hAnsi="Cambria" w:cs="Arial"/>
          <w:kern w:val="2"/>
          <w:sz w:val="20"/>
          <w:szCs w:val="20"/>
          <w14:ligatures w14:val="standardContextual"/>
        </w:rPr>
      </w:pPr>
    </w:p>
    <w:p w14:paraId="517AD40C" w14:textId="77777777" w:rsidR="00F60FAC" w:rsidRPr="00564AD6" w:rsidRDefault="00F60FAC" w:rsidP="00F60FAC">
      <w:pPr>
        <w:numPr>
          <w:ilvl w:val="0"/>
          <w:numId w:val="15"/>
        </w:numPr>
        <w:ind w:left="426" w:hanging="426"/>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Évaluation de la demande par le SCRS.</w:t>
      </w:r>
    </w:p>
    <w:p w14:paraId="7025BEE1" w14:textId="77777777" w:rsidR="00F60FAC" w:rsidRPr="00564AD6" w:rsidRDefault="00F60FAC" w:rsidP="00F60FAC">
      <w:pPr>
        <w:ind w:left="567"/>
        <w:jc w:val="both"/>
        <w:rPr>
          <w:rFonts w:ascii="Cambria" w:eastAsia="Aptos" w:hAnsi="Cambria" w:cs="Arial"/>
          <w:kern w:val="2"/>
          <w:sz w:val="20"/>
          <w:szCs w:val="20"/>
          <w14:ligatures w14:val="standardContextual"/>
        </w:rPr>
      </w:pPr>
    </w:p>
    <w:p w14:paraId="7318AB81" w14:textId="77777777" w:rsidR="00F60FAC" w:rsidRPr="00564AD6" w:rsidRDefault="00F60FAC" w:rsidP="00F60FAC">
      <w:pPr>
        <w:numPr>
          <w:ilvl w:val="1"/>
          <w:numId w:val="15"/>
        </w:numPr>
        <w:ind w:left="851" w:hanging="284"/>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 xml:space="preserve">Un représentant de la CPC demandant l'exemption doit présenter le document soumis au cours de la réunion de septembre du Groupe d'espèces sur les requins de la même année où a lieu la soumission. </w:t>
      </w:r>
    </w:p>
    <w:p w14:paraId="1478781D" w14:textId="77777777" w:rsidR="00F60FAC" w:rsidRPr="00564AD6" w:rsidRDefault="00F60FAC" w:rsidP="00F60FAC">
      <w:pPr>
        <w:ind w:left="851"/>
        <w:jc w:val="both"/>
        <w:rPr>
          <w:rFonts w:ascii="Cambria" w:eastAsia="Aptos" w:hAnsi="Cambria" w:cs="Arial"/>
          <w:kern w:val="2"/>
          <w:sz w:val="20"/>
          <w:szCs w:val="20"/>
          <w14:ligatures w14:val="standardContextual"/>
        </w:rPr>
      </w:pPr>
    </w:p>
    <w:p w14:paraId="6CA4BAF0" w14:textId="77777777" w:rsidR="00F60FAC" w:rsidRPr="00564AD6" w:rsidRDefault="00F60FAC" w:rsidP="00F60FAC">
      <w:pPr>
        <w:numPr>
          <w:ilvl w:val="1"/>
          <w:numId w:val="15"/>
        </w:numPr>
        <w:ind w:left="851" w:hanging="284"/>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Le Groupe d'espèces sur les requins examinera le document afin d'évaluer l'opportunité de la demande d’exemption, conformément aux lignes directrices suivantes :</w:t>
      </w:r>
    </w:p>
    <w:p w14:paraId="06A47131" w14:textId="77777777" w:rsidR="00F60FAC" w:rsidRPr="00564AD6" w:rsidRDefault="00F60FAC" w:rsidP="00F60FAC">
      <w:pPr>
        <w:ind w:left="851"/>
        <w:jc w:val="both"/>
        <w:rPr>
          <w:rFonts w:ascii="Cambria" w:eastAsia="Aptos" w:hAnsi="Cambria" w:cs="Arial"/>
          <w:kern w:val="2"/>
          <w:sz w:val="20"/>
          <w:szCs w:val="20"/>
          <w14:ligatures w14:val="standardContextual"/>
        </w:rPr>
      </w:pPr>
    </w:p>
    <w:p w14:paraId="6D971CC5" w14:textId="77777777" w:rsidR="00F60FAC" w:rsidRPr="00564AD6" w:rsidRDefault="00F60FAC" w:rsidP="00F60FAC">
      <w:pPr>
        <w:numPr>
          <w:ilvl w:val="0"/>
          <w:numId w:val="16"/>
        </w:numPr>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 xml:space="preserve">Pour les CPC n'ayant pas de flottille active ciblant les thonidés et les espèces apparentées dans la zone relevant du mandat de l’ICCAT : </w:t>
      </w:r>
    </w:p>
    <w:p w14:paraId="5937A5B4" w14:textId="77777777" w:rsidR="00F60FAC" w:rsidRPr="00564AD6" w:rsidRDefault="00F60FAC" w:rsidP="00F60FAC">
      <w:pPr>
        <w:ind w:left="1211"/>
        <w:jc w:val="both"/>
        <w:rPr>
          <w:rFonts w:ascii="Cambria" w:eastAsia="Aptos" w:hAnsi="Cambria" w:cs="Arial"/>
          <w:kern w:val="2"/>
          <w:sz w:val="20"/>
          <w:szCs w:val="20"/>
          <w14:ligatures w14:val="standardContextual"/>
        </w:rPr>
      </w:pPr>
    </w:p>
    <w:p w14:paraId="46DCD936" w14:textId="77777777" w:rsidR="00F60FAC" w:rsidRPr="00564AD6" w:rsidRDefault="00F60FAC" w:rsidP="00F60FAC">
      <w:pPr>
        <w:ind w:left="1418" w:hanging="284"/>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i.</w:t>
      </w:r>
      <w:r w:rsidRPr="00564AD6">
        <w:rPr>
          <w:rFonts w:ascii="Cambria" w:eastAsia="Aptos" w:hAnsi="Cambria" w:cs="Arial"/>
          <w:kern w:val="2"/>
          <w:sz w:val="20"/>
          <w:szCs w:val="20"/>
          <w14:ligatures w14:val="standardContextual"/>
        </w:rPr>
        <w:tab/>
        <w:t xml:space="preserve">Déclaration et éléments de preuve que la CPC n'a pas de flottille active ciblant les thonidés et les espèces apparentées dans la zone relevant du mandat de l'ICCAT. </w:t>
      </w:r>
    </w:p>
    <w:p w14:paraId="2185B8E5" w14:textId="77777777" w:rsidR="00F60FAC" w:rsidRPr="00564AD6" w:rsidRDefault="00F60FAC" w:rsidP="00F60FAC">
      <w:pPr>
        <w:ind w:left="1418"/>
        <w:jc w:val="both"/>
        <w:rPr>
          <w:rFonts w:ascii="Cambria" w:eastAsia="Aptos" w:hAnsi="Cambria" w:cs="Arial"/>
          <w:kern w:val="2"/>
          <w:sz w:val="20"/>
          <w:szCs w:val="20"/>
          <w14:ligatures w14:val="standardContextual"/>
        </w:rPr>
      </w:pPr>
    </w:p>
    <w:p w14:paraId="2212FF96" w14:textId="77777777" w:rsidR="00F60FAC" w:rsidRPr="00564AD6" w:rsidRDefault="00F60FAC" w:rsidP="00F60FAC">
      <w:pPr>
        <w:numPr>
          <w:ilvl w:val="0"/>
          <w:numId w:val="16"/>
        </w:numPr>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 xml:space="preserve">Pour les CPC qui ont des flottilles actives ciblant les thonidés et les espèces apparentées dans la zone relevant du mandat de l'ICCAT : </w:t>
      </w:r>
    </w:p>
    <w:p w14:paraId="4DE3E187" w14:textId="77777777" w:rsidR="00F60FAC" w:rsidRPr="00564AD6" w:rsidRDefault="00F60FAC" w:rsidP="00F60FAC">
      <w:pPr>
        <w:ind w:left="1211"/>
        <w:jc w:val="both"/>
        <w:rPr>
          <w:rFonts w:ascii="Cambria" w:eastAsia="Aptos" w:hAnsi="Cambria" w:cs="Arial"/>
          <w:kern w:val="2"/>
          <w:sz w:val="20"/>
          <w:szCs w:val="20"/>
          <w14:ligatures w14:val="standardContextual"/>
        </w:rPr>
      </w:pPr>
    </w:p>
    <w:p w14:paraId="3A4FCF2F" w14:textId="77777777" w:rsidR="00F60FAC" w:rsidRPr="00564AD6" w:rsidRDefault="00F60FAC" w:rsidP="00F60FAC">
      <w:pPr>
        <w:ind w:left="1418" w:hanging="284"/>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 xml:space="preserve">i. </w:t>
      </w:r>
      <w:r w:rsidRPr="00564AD6">
        <w:rPr>
          <w:rFonts w:ascii="Cambria" w:eastAsia="Aptos" w:hAnsi="Cambria" w:cs="Arial"/>
          <w:kern w:val="2"/>
          <w:sz w:val="20"/>
          <w:szCs w:val="20"/>
          <w14:ligatures w14:val="standardContextual"/>
        </w:rPr>
        <w:tab/>
        <w:t xml:space="preserve">L'existence d'une liste des espèces de requins de l'ICCAT enregistrées dans la zone dans laquelle la CPC exerce des activités de pêche pour lesquelles l'exemption est demandée. </w:t>
      </w:r>
    </w:p>
    <w:p w14:paraId="22CC216E" w14:textId="77777777" w:rsidR="00F60FAC" w:rsidRPr="00564AD6" w:rsidRDefault="00F60FAC" w:rsidP="00F60FAC">
      <w:pPr>
        <w:ind w:left="1418" w:hanging="284"/>
        <w:jc w:val="both"/>
        <w:rPr>
          <w:rFonts w:ascii="Cambria" w:eastAsia="Aptos" w:hAnsi="Cambria" w:cs="Arial"/>
          <w:kern w:val="2"/>
          <w:sz w:val="20"/>
          <w:szCs w:val="20"/>
          <w14:ligatures w14:val="standardContextual"/>
        </w:rPr>
      </w:pPr>
    </w:p>
    <w:p w14:paraId="0C2B4D42" w14:textId="77777777" w:rsidR="00F60FAC" w:rsidRPr="00564AD6" w:rsidRDefault="00F60FAC" w:rsidP="00F60FAC">
      <w:pPr>
        <w:ind w:left="1418" w:hanging="284"/>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 xml:space="preserve">ii. </w:t>
      </w:r>
      <w:r w:rsidRPr="00564AD6">
        <w:rPr>
          <w:rFonts w:ascii="Cambria" w:eastAsia="Aptos" w:hAnsi="Cambria" w:cs="Arial"/>
          <w:kern w:val="2"/>
          <w:sz w:val="20"/>
          <w:szCs w:val="20"/>
          <w14:ligatures w14:val="standardContextual"/>
        </w:rPr>
        <w:tab/>
        <w:t xml:space="preserve">Existence de preuves scientifiques (par exemple, rapport basé sur les données du programme d'observateurs à bord) démontrant clairement l'absence d'interactions entre les espèces de requins figurant sur la liste de l'ICCAT et les engins de pêche utilisés par les CPC demandant l'exemption : </w:t>
      </w:r>
    </w:p>
    <w:p w14:paraId="743F9DB6" w14:textId="77777777" w:rsidR="00F60FAC" w:rsidRPr="00564AD6" w:rsidRDefault="00F60FAC" w:rsidP="00F60FAC">
      <w:pPr>
        <w:ind w:left="1418" w:hanging="284"/>
        <w:jc w:val="both"/>
        <w:rPr>
          <w:rFonts w:ascii="Cambria" w:eastAsia="Aptos" w:hAnsi="Cambria" w:cs="Arial"/>
          <w:kern w:val="2"/>
          <w:sz w:val="20"/>
          <w:szCs w:val="20"/>
          <w14:ligatures w14:val="standardContextual"/>
        </w:rPr>
      </w:pPr>
    </w:p>
    <w:p w14:paraId="47924CEC" w14:textId="77777777" w:rsidR="00F60FAC" w:rsidRPr="00564AD6" w:rsidRDefault="00F60FAC" w:rsidP="00F60FAC">
      <w:pPr>
        <w:numPr>
          <w:ilvl w:val="0"/>
          <w:numId w:val="17"/>
        </w:numPr>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lastRenderedPageBreak/>
        <w:t>Le rapport devrait couvrir toutes les saisons et inclure plusieurs sorties, afin de garantir la détection des prises accessoires rares.</w:t>
      </w:r>
    </w:p>
    <w:p w14:paraId="529DD2AC" w14:textId="77777777" w:rsidR="00F60FAC" w:rsidRPr="00564AD6" w:rsidRDefault="00F60FAC" w:rsidP="00F60FAC">
      <w:pPr>
        <w:ind w:left="1560" w:hanging="142"/>
        <w:jc w:val="both"/>
        <w:rPr>
          <w:rFonts w:ascii="Cambria" w:eastAsia="Aptos" w:hAnsi="Cambria" w:cs="Arial"/>
          <w:kern w:val="2"/>
          <w:sz w:val="20"/>
          <w:szCs w:val="20"/>
          <w14:ligatures w14:val="standardContextual"/>
        </w:rPr>
      </w:pPr>
    </w:p>
    <w:p w14:paraId="0BA801A1" w14:textId="77777777" w:rsidR="00F60FAC" w:rsidRPr="00564AD6" w:rsidRDefault="00F60FAC" w:rsidP="00F60FAC">
      <w:pPr>
        <w:numPr>
          <w:ilvl w:val="0"/>
          <w:numId w:val="17"/>
        </w:numPr>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Le rapport devrait fournir des données présentant un degré élevé de couverture spatiale de l'effort de pêche par type d'engin.</w:t>
      </w:r>
    </w:p>
    <w:p w14:paraId="47533B9B" w14:textId="77777777" w:rsidR="00F60FAC" w:rsidRPr="00564AD6" w:rsidRDefault="00F60FAC" w:rsidP="00F60FAC">
      <w:pPr>
        <w:jc w:val="both"/>
        <w:rPr>
          <w:rFonts w:ascii="Cambria" w:eastAsia="Aptos" w:hAnsi="Cambria" w:cs="Arial"/>
          <w:kern w:val="2"/>
          <w:sz w:val="20"/>
          <w:szCs w:val="20"/>
          <w14:ligatures w14:val="standardContextual"/>
        </w:rPr>
      </w:pPr>
    </w:p>
    <w:p w14:paraId="5F227309" w14:textId="77777777" w:rsidR="00F60FAC" w:rsidRPr="00564AD6" w:rsidRDefault="00F60FAC" w:rsidP="00F60FAC">
      <w:pPr>
        <w:numPr>
          <w:ilvl w:val="0"/>
          <w:numId w:val="16"/>
        </w:numPr>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 xml:space="preserve">Si le SCRS ne confirme pas la demande, la CPC devra continuer à soumettre la feuille de contrôle s’appliquant aux requins l'année suivante. Les CPC ont toujours le droit de présenter à nouveau une demande d'exemption les années suivantes. </w:t>
      </w:r>
    </w:p>
    <w:p w14:paraId="47A41648" w14:textId="77777777" w:rsidR="00F60FAC" w:rsidRPr="00564AD6" w:rsidRDefault="00F60FAC" w:rsidP="00F60FAC">
      <w:pPr>
        <w:ind w:left="720"/>
        <w:jc w:val="both"/>
        <w:rPr>
          <w:rFonts w:ascii="Cambria" w:eastAsia="Aptos" w:hAnsi="Cambria" w:cs="Arial"/>
          <w:kern w:val="2"/>
          <w:sz w:val="20"/>
          <w:szCs w:val="20"/>
          <w14:ligatures w14:val="standardContextual"/>
        </w:rPr>
      </w:pPr>
    </w:p>
    <w:p w14:paraId="7CF7A537" w14:textId="77777777" w:rsidR="00F60FAC" w:rsidRPr="00564AD6" w:rsidRDefault="00F60FAC" w:rsidP="00F60FAC">
      <w:pPr>
        <w:numPr>
          <w:ilvl w:val="0"/>
          <w:numId w:val="16"/>
        </w:numPr>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Chaque année, pendant une période de cinq ans, la CPC exemptée de remplir la feuille de contrôle s’appliquant aux requins devra confirmer annuellement dans son rapport annuel qu'aucun changement ne s'est produit dans ses pêcheries qui pourrait modifier la conclusion selon laquelle elle est en droit de bénéficier d'une exemption. Pour renouveler l'exemption pour la prochaine période de 5 ans, une nouvelle demande d'exemption devrait être soumise pendant l’année Y+5 conformément aux exigences du point 2.b.</w:t>
      </w:r>
    </w:p>
    <w:p w14:paraId="438A1FBF" w14:textId="77777777" w:rsidR="00F60FAC" w:rsidRPr="00564AD6" w:rsidRDefault="00F60FAC" w:rsidP="00F60FAC">
      <w:pPr>
        <w:ind w:left="720"/>
        <w:jc w:val="both"/>
        <w:rPr>
          <w:rFonts w:ascii="Cambria" w:eastAsia="Aptos" w:hAnsi="Cambria" w:cs="Arial"/>
          <w:kern w:val="2"/>
          <w:sz w:val="20"/>
          <w:szCs w:val="20"/>
          <w14:ligatures w14:val="standardContextual"/>
        </w:rPr>
      </w:pPr>
    </w:p>
    <w:p w14:paraId="24F0CA77" w14:textId="77777777" w:rsidR="00F60FAC" w:rsidRPr="00564AD6" w:rsidRDefault="00F60FAC" w:rsidP="00F60FAC">
      <w:pPr>
        <w:numPr>
          <w:ilvl w:val="0"/>
          <w:numId w:val="16"/>
        </w:numPr>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En l'absence de preuves scientifiques telles que définies au point 2.b. ou si le SCRS détermine que ces preuves « apparentes » ne justifient plus une exemption, le SCRS annulera le statut d'exemption.</w:t>
      </w:r>
    </w:p>
    <w:p w14:paraId="4493F62C" w14:textId="77777777" w:rsidR="00F60FAC" w:rsidRPr="00564AD6" w:rsidRDefault="00F60FAC" w:rsidP="00F60FAC">
      <w:pPr>
        <w:ind w:left="720"/>
        <w:contextualSpacing/>
        <w:jc w:val="center"/>
        <w:rPr>
          <w:rFonts w:ascii="Cambria" w:eastAsia="Aptos" w:hAnsi="Cambria" w:cs="Arial"/>
          <w:kern w:val="2"/>
          <w:sz w:val="20"/>
          <w:szCs w:val="20"/>
          <w14:ligatures w14:val="standardContextual"/>
        </w:rPr>
      </w:pPr>
    </w:p>
    <w:p w14:paraId="7B57BFA3" w14:textId="77777777" w:rsidR="00F60FAC" w:rsidRPr="00564AD6" w:rsidRDefault="00F60FAC" w:rsidP="00F60FAC">
      <w:pPr>
        <w:numPr>
          <w:ilvl w:val="0"/>
          <w:numId w:val="16"/>
        </w:numPr>
        <w:jc w:val="both"/>
        <w:rPr>
          <w:rFonts w:ascii="Cambria" w:eastAsia="Aptos" w:hAnsi="Cambria" w:cs="Arial"/>
          <w:kern w:val="2"/>
          <w:sz w:val="20"/>
          <w:szCs w:val="20"/>
          <w14:ligatures w14:val="standardContextual"/>
        </w:rPr>
      </w:pPr>
      <w:r w:rsidRPr="00564AD6">
        <w:rPr>
          <w:rFonts w:ascii="Cambria" w:eastAsia="Aptos" w:hAnsi="Cambria" w:cs="Arial"/>
          <w:kern w:val="2"/>
          <w:sz w:val="20"/>
          <w:szCs w:val="20"/>
          <w14:ligatures w14:val="standardContextual"/>
        </w:rPr>
        <w:t>La feuille de contrôle s'appliquant aux requins devrait être modifiée afin de refléter la confirmation de l'exemption par le SCRS. La rangée ci-dessous concernant l’exemption doit figurer en premier dans la feuille de contrôle s'appliquant aux requins.</w:t>
      </w:r>
    </w:p>
    <w:p w14:paraId="3272F2FD" w14:textId="77777777" w:rsidR="00C50802" w:rsidRDefault="00C50802" w:rsidP="008A2CB9">
      <w:pPr>
        <w:jc w:val="both"/>
        <w:rPr>
          <w:rFonts w:ascii="Cambria" w:hAnsi="Cambria"/>
          <w:b/>
          <w:sz w:val="20"/>
          <w:szCs w:val="20"/>
        </w:rPr>
        <w:sectPr w:rsidR="00C50802" w:rsidSect="00964D1B">
          <w:headerReference w:type="default" r:id="rId9"/>
          <w:footerReference w:type="default" r:id="rId10"/>
          <w:pgSz w:w="11906" w:h="16838" w:code="9"/>
          <w:pgMar w:top="1418" w:right="1418" w:bottom="1418" w:left="1418" w:header="851" w:footer="1134" w:gutter="0"/>
          <w:cols w:space="708"/>
          <w:docGrid w:linePitch="360"/>
        </w:sectPr>
      </w:pPr>
    </w:p>
    <w:p w14:paraId="3699179D" w14:textId="62C8E115" w:rsidR="00A7538E" w:rsidRDefault="00A7538E" w:rsidP="008A2CB9">
      <w:pPr>
        <w:jc w:val="both"/>
        <w:rPr>
          <w:rFonts w:ascii="Cambria" w:hAnsi="Cambria"/>
          <w:b/>
          <w:sz w:val="20"/>
          <w:szCs w:val="20"/>
        </w:rPr>
      </w:pPr>
    </w:p>
    <w:p w14:paraId="6F71BE15" w14:textId="77777777" w:rsidR="00C50802" w:rsidRDefault="00C50802" w:rsidP="008A2CB9">
      <w:pPr>
        <w:jc w:val="both"/>
        <w:rPr>
          <w:rFonts w:ascii="Cambria" w:hAnsi="Cambria"/>
          <w:b/>
          <w:sz w:val="20"/>
          <w:szCs w:val="20"/>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177"/>
        <w:gridCol w:w="4068"/>
        <w:gridCol w:w="1701"/>
        <w:gridCol w:w="2126"/>
        <w:gridCol w:w="2126"/>
      </w:tblGrid>
      <w:tr w:rsidR="00C50802" w:rsidRPr="00564AD6" w14:paraId="1FF29141" w14:textId="77777777" w:rsidTr="007A2E13">
        <w:trPr>
          <w:trHeight w:val="1659"/>
          <w:tblHeader/>
          <w:jc w:val="center"/>
        </w:trPr>
        <w:tc>
          <w:tcPr>
            <w:tcW w:w="988" w:type="dxa"/>
            <w:shd w:val="clear" w:color="auto" w:fill="F2F2F2"/>
            <w:noWrap/>
            <w:vAlign w:val="center"/>
            <w:hideMark/>
          </w:tcPr>
          <w:p w14:paraId="1DAD9367" w14:textId="77777777" w:rsidR="00C50802" w:rsidRPr="00564AD6" w:rsidRDefault="00C50802" w:rsidP="007A2E13">
            <w:pPr>
              <w:jc w:val="both"/>
              <w:rPr>
                <w:rFonts w:ascii="Cambria" w:hAnsi="Cambria" w:cs="Calibri"/>
                <w:b/>
                <w:bCs/>
                <w:i/>
                <w:color w:val="000000"/>
                <w:kern w:val="2"/>
                <w:sz w:val="20"/>
                <w:szCs w:val="20"/>
                <w14:ligatures w14:val="standardContextual"/>
              </w:rPr>
            </w:pPr>
            <w:r w:rsidRPr="00564AD6">
              <w:rPr>
                <w:rFonts w:ascii="Cambria" w:eastAsia="Aptos" w:hAnsi="Cambria" w:cs="Arial"/>
                <w:b/>
                <w:i/>
                <w:color w:val="000000"/>
                <w:kern w:val="2"/>
                <w:sz w:val="20"/>
                <w:szCs w:val="20"/>
                <w14:ligatures w14:val="standardContextual"/>
              </w:rPr>
              <w:t>N° de la Rec.</w:t>
            </w:r>
          </w:p>
        </w:tc>
        <w:tc>
          <w:tcPr>
            <w:tcW w:w="992" w:type="dxa"/>
            <w:shd w:val="clear" w:color="auto" w:fill="F2F2F2"/>
            <w:noWrap/>
            <w:vAlign w:val="center"/>
            <w:hideMark/>
          </w:tcPr>
          <w:p w14:paraId="26FCA9BD" w14:textId="77777777" w:rsidR="00C50802" w:rsidRPr="00564AD6" w:rsidRDefault="00C50802" w:rsidP="007A2E13">
            <w:pPr>
              <w:jc w:val="center"/>
              <w:rPr>
                <w:rFonts w:ascii="Cambria" w:hAnsi="Cambria" w:cs="Calibri"/>
                <w:b/>
                <w:bCs/>
                <w:i/>
                <w:color w:val="000000"/>
                <w:kern w:val="2"/>
                <w:sz w:val="20"/>
                <w:szCs w:val="20"/>
                <w14:ligatures w14:val="standardContextual"/>
              </w:rPr>
            </w:pPr>
            <w:r w:rsidRPr="00564AD6">
              <w:rPr>
                <w:rFonts w:ascii="Cambria" w:eastAsia="Aptos" w:hAnsi="Cambria" w:cs="Arial"/>
                <w:b/>
                <w:i/>
                <w:color w:val="000000"/>
                <w:kern w:val="2"/>
                <w:sz w:val="20"/>
                <w:szCs w:val="20"/>
                <w14:ligatures w14:val="standardContextual"/>
              </w:rPr>
              <w:t>Nº du para</w:t>
            </w:r>
          </w:p>
        </w:tc>
        <w:tc>
          <w:tcPr>
            <w:tcW w:w="1177" w:type="dxa"/>
            <w:shd w:val="clear" w:color="auto" w:fill="F2F2F2"/>
            <w:vAlign w:val="center"/>
          </w:tcPr>
          <w:p w14:paraId="460890E6" w14:textId="77777777" w:rsidR="00C50802" w:rsidRPr="00564AD6" w:rsidRDefault="00C50802" w:rsidP="007A2E13">
            <w:pPr>
              <w:jc w:val="center"/>
              <w:rPr>
                <w:rFonts w:ascii="Cambria" w:hAnsi="Cambria" w:cs="Calibri"/>
                <w:b/>
                <w:bCs/>
                <w:i/>
                <w:color w:val="000000"/>
                <w:kern w:val="2"/>
                <w:sz w:val="20"/>
                <w:szCs w:val="20"/>
                <w14:ligatures w14:val="standardContextual"/>
              </w:rPr>
            </w:pPr>
            <w:r w:rsidRPr="00564AD6">
              <w:rPr>
                <w:rFonts w:ascii="Cambria" w:eastAsia="Aptos" w:hAnsi="Cambria" w:cs="Arial"/>
                <w:b/>
                <w:i/>
                <w:color w:val="000000"/>
                <w:kern w:val="2"/>
                <w:sz w:val="20"/>
                <w:szCs w:val="20"/>
                <w14:ligatures w14:val="standardContextual"/>
              </w:rPr>
              <w:t>Antérieur</w:t>
            </w:r>
          </w:p>
        </w:tc>
        <w:tc>
          <w:tcPr>
            <w:tcW w:w="4068" w:type="dxa"/>
            <w:shd w:val="clear" w:color="auto" w:fill="F2F2F2"/>
            <w:noWrap/>
            <w:vAlign w:val="center"/>
            <w:hideMark/>
          </w:tcPr>
          <w:p w14:paraId="51ABAE35" w14:textId="77777777" w:rsidR="00C50802" w:rsidRPr="00564AD6" w:rsidRDefault="00C50802" w:rsidP="007A2E13">
            <w:pPr>
              <w:jc w:val="center"/>
              <w:rPr>
                <w:rFonts w:ascii="Cambria" w:hAnsi="Cambria" w:cs="Calibri"/>
                <w:b/>
                <w:bCs/>
                <w:i/>
                <w:color w:val="000000"/>
                <w:kern w:val="2"/>
                <w:sz w:val="20"/>
                <w:szCs w:val="20"/>
                <w14:ligatures w14:val="standardContextual"/>
              </w:rPr>
            </w:pPr>
            <w:r w:rsidRPr="00564AD6">
              <w:rPr>
                <w:rFonts w:ascii="Cambria" w:eastAsia="Aptos" w:hAnsi="Cambria" w:cs="Arial"/>
                <w:b/>
                <w:i/>
                <w:color w:val="000000"/>
                <w:kern w:val="2"/>
                <w:sz w:val="20"/>
                <w:szCs w:val="20"/>
                <w14:ligatures w14:val="standardContextual"/>
              </w:rPr>
              <w:t>Exigence</w:t>
            </w:r>
          </w:p>
        </w:tc>
        <w:tc>
          <w:tcPr>
            <w:tcW w:w="1701" w:type="dxa"/>
            <w:shd w:val="clear" w:color="auto" w:fill="F2F2F2"/>
            <w:vAlign w:val="center"/>
            <w:hideMark/>
          </w:tcPr>
          <w:p w14:paraId="4246FB40" w14:textId="77777777" w:rsidR="00C50802" w:rsidRPr="00564AD6" w:rsidRDefault="00C50802" w:rsidP="007A2E13">
            <w:pPr>
              <w:jc w:val="center"/>
              <w:rPr>
                <w:rFonts w:ascii="Cambria" w:hAnsi="Cambria" w:cs="Calibri"/>
                <w:b/>
                <w:bCs/>
                <w:i/>
                <w:color w:val="000000"/>
                <w:kern w:val="2"/>
                <w:sz w:val="20"/>
                <w:szCs w:val="20"/>
                <w14:ligatures w14:val="standardContextual"/>
              </w:rPr>
            </w:pPr>
            <w:r w:rsidRPr="00564AD6">
              <w:rPr>
                <w:rFonts w:ascii="Cambria" w:eastAsia="Aptos" w:hAnsi="Cambria" w:cs="Arial"/>
                <w:b/>
                <w:i/>
                <w:color w:val="000000"/>
                <w:kern w:val="2"/>
                <w:sz w:val="20"/>
                <w:szCs w:val="20"/>
                <w14:ligatures w14:val="standardContextual"/>
              </w:rPr>
              <w:t>État de mise en œuvre</w:t>
            </w:r>
          </w:p>
        </w:tc>
        <w:tc>
          <w:tcPr>
            <w:tcW w:w="2126" w:type="dxa"/>
            <w:shd w:val="clear" w:color="auto" w:fill="F2F2F2"/>
          </w:tcPr>
          <w:p w14:paraId="3821917B" w14:textId="77777777" w:rsidR="00C50802" w:rsidRPr="00564AD6" w:rsidRDefault="00C50802" w:rsidP="007A2E13">
            <w:pPr>
              <w:jc w:val="center"/>
              <w:rPr>
                <w:rFonts w:ascii="Cambria" w:hAnsi="Cambria" w:cs="Calibri"/>
                <w:b/>
                <w:bCs/>
                <w:i/>
                <w:color w:val="000000"/>
                <w:kern w:val="2"/>
                <w:sz w:val="20"/>
                <w:szCs w:val="20"/>
                <w14:ligatures w14:val="standardContextual"/>
              </w:rPr>
            </w:pPr>
            <w:r w:rsidRPr="00564AD6">
              <w:rPr>
                <w:rFonts w:ascii="Cambria" w:eastAsia="Aptos" w:hAnsi="Cambria" w:cs="Arial"/>
                <w:b/>
                <w:i/>
                <w:color w:val="000000"/>
                <w:kern w:val="2"/>
                <w:sz w:val="20"/>
                <w:szCs w:val="20"/>
                <w14:ligatures w14:val="standardContextual"/>
              </w:rPr>
              <w:t>Lois ou réglementations nationales pertinentes (le cas échéant, inclure texte, références ou les liens vers l'endroit où l’information est codifiée)</w:t>
            </w:r>
          </w:p>
        </w:tc>
        <w:tc>
          <w:tcPr>
            <w:tcW w:w="2126" w:type="dxa"/>
            <w:shd w:val="clear" w:color="auto" w:fill="F2F2F2"/>
            <w:vAlign w:val="center"/>
            <w:hideMark/>
          </w:tcPr>
          <w:p w14:paraId="7AD6DD3E" w14:textId="77777777" w:rsidR="00C50802" w:rsidRPr="00564AD6" w:rsidRDefault="00C50802" w:rsidP="007A2E13">
            <w:pPr>
              <w:jc w:val="center"/>
              <w:rPr>
                <w:rFonts w:ascii="Cambria" w:hAnsi="Cambria" w:cs="Calibri"/>
                <w:b/>
                <w:bCs/>
                <w:i/>
                <w:color w:val="000000"/>
                <w:kern w:val="2"/>
                <w:sz w:val="20"/>
                <w:szCs w:val="20"/>
                <w14:ligatures w14:val="standardContextual"/>
              </w:rPr>
            </w:pPr>
            <w:r w:rsidRPr="00564AD6">
              <w:rPr>
                <w:rFonts w:ascii="Cambria" w:eastAsia="Aptos" w:hAnsi="Cambria" w:cs="Arial"/>
                <w:b/>
                <w:i/>
                <w:color w:val="000000"/>
                <w:kern w:val="2"/>
                <w:sz w:val="20"/>
                <w:szCs w:val="20"/>
                <w14:ligatures w14:val="standardContextual"/>
              </w:rPr>
              <w:t>Note</w:t>
            </w:r>
          </w:p>
        </w:tc>
      </w:tr>
      <w:tr w:rsidR="00C50802" w:rsidRPr="00564AD6" w14:paraId="2512F544" w14:textId="77777777" w:rsidTr="007A2E13">
        <w:trPr>
          <w:trHeight w:val="57"/>
          <w:jc w:val="center"/>
        </w:trPr>
        <w:tc>
          <w:tcPr>
            <w:tcW w:w="13178" w:type="dxa"/>
            <w:gridSpan w:val="7"/>
            <w:shd w:val="clear" w:color="auto" w:fill="D9D9D9"/>
            <w:noWrap/>
            <w:vAlign w:val="center"/>
          </w:tcPr>
          <w:p w14:paraId="37BB3CA9" w14:textId="77777777" w:rsidR="00C50802" w:rsidRPr="00564AD6" w:rsidRDefault="00C50802" w:rsidP="007A2E13">
            <w:pPr>
              <w:jc w:val="both"/>
              <w:rPr>
                <w:rFonts w:ascii="Cambria" w:hAnsi="Cambria" w:cs="Calibri"/>
                <w:b/>
                <w:bCs/>
                <w:color w:val="000000"/>
                <w:kern w:val="2"/>
                <w:sz w:val="20"/>
                <w:szCs w:val="20"/>
                <w14:ligatures w14:val="standardContextual"/>
              </w:rPr>
            </w:pPr>
            <w:r w:rsidRPr="00564AD6">
              <w:rPr>
                <w:rFonts w:ascii="Cambria" w:eastAsia="Aptos" w:hAnsi="Cambria" w:cs="Arial"/>
                <w:b/>
                <w:color w:val="000000"/>
                <w:kern w:val="2"/>
                <w:sz w:val="20"/>
                <w:szCs w:val="20"/>
                <w14:ligatures w14:val="standardContextual"/>
              </w:rPr>
              <w:t>TOUS LES REQUINS</w:t>
            </w:r>
          </w:p>
        </w:tc>
      </w:tr>
      <w:tr w:rsidR="00C50802" w:rsidRPr="00564AD6" w14:paraId="7E4BE250" w14:textId="77777777" w:rsidTr="007A2E13">
        <w:trPr>
          <w:trHeight w:val="4431"/>
          <w:jc w:val="center"/>
        </w:trPr>
        <w:tc>
          <w:tcPr>
            <w:tcW w:w="988" w:type="dxa"/>
            <w:noWrap/>
            <w:vAlign w:val="center"/>
          </w:tcPr>
          <w:p w14:paraId="6357EB52" w14:textId="77777777" w:rsidR="00C50802" w:rsidRPr="00564AD6" w:rsidRDefault="00C50802" w:rsidP="007A2E13">
            <w:pPr>
              <w:jc w:val="center"/>
              <w:rPr>
                <w:rFonts w:ascii="Cambria" w:hAnsi="Cambria" w:cs="Calibri"/>
                <w:b/>
                <w:bCs/>
                <w:color w:val="000000"/>
                <w:kern w:val="2"/>
                <w:sz w:val="18"/>
                <w:szCs w:val="18"/>
                <w14:ligatures w14:val="standardContextual"/>
              </w:rPr>
            </w:pPr>
            <w:r w:rsidRPr="00564AD6">
              <w:rPr>
                <w:rFonts w:ascii="Cambria" w:eastAsia="Aptos" w:hAnsi="Cambria" w:cs="Arial"/>
                <w:b/>
                <w:color w:val="000000"/>
                <w:kern w:val="2"/>
                <w:sz w:val="18"/>
                <w:szCs w:val="18"/>
                <w14:ligatures w14:val="standardContextual"/>
              </w:rPr>
              <w:t>18-06</w:t>
            </w:r>
          </w:p>
          <w:p w14:paraId="3EEB9CC7" w14:textId="77777777" w:rsidR="00C50802" w:rsidRPr="00564AD6" w:rsidRDefault="00C50802" w:rsidP="007A2E13">
            <w:pPr>
              <w:jc w:val="center"/>
              <w:rPr>
                <w:rFonts w:ascii="Cambria" w:hAnsi="Cambria" w:cs="Calibri"/>
                <w:b/>
                <w:bCs/>
                <w:color w:val="000000"/>
                <w:kern w:val="2"/>
                <w:sz w:val="20"/>
                <w:szCs w:val="20"/>
                <w14:ligatures w14:val="standardContextual"/>
              </w:rPr>
            </w:pPr>
            <w:r w:rsidRPr="00564AD6">
              <w:rPr>
                <w:rFonts w:ascii="Cambria" w:eastAsia="Aptos" w:hAnsi="Cambria" w:cs="Arial"/>
                <w:b/>
                <w:color w:val="000000"/>
                <w:kern w:val="2"/>
                <w:sz w:val="18"/>
                <w:szCs w:val="18"/>
                <w14:ligatures w14:val="standardContextual"/>
              </w:rPr>
              <w:t>(Tous les requins)</w:t>
            </w:r>
          </w:p>
        </w:tc>
        <w:tc>
          <w:tcPr>
            <w:tcW w:w="992" w:type="dxa"/>
            <w:noWrap/>
            <w:vAlign w:val="center"/>
          </w:tcPr>
          <w:p w14:paraId="6FEA5F06" w14:textId="77777777" w:rsidR="00C50802" w:rsidRPr="00564AD6" w:rsidRDefault="00C50802" w:rsidP="007A2E13">
            <w:pPr>
              <w:jc w:val="center"/>
              <w:rPr>
                <w:rFonts w:ascii="Cambria" w:hAnsi="Cambria" w:cs="Calibri"/>
                <w:b/>
                <w:bCs/>
                <w:color w:val="000000"/>
                <w:kern w:val="2"/>
                <w:sz w:val="20"/>
                <w:szCs w:val="20"/>
                <w14:ligatures w14:val="standardContextual"/>
              </w:rPr>
            </w:pPr>
            <w:r w:rsidRPr="00564AD6">
              <w:rPr>
                <w:rFonts w:ascii="Cambria" w:eastAsia="Aptos" w:hAnsi="Cambria" w:cs="Arial"/>
                <w:b/>
                <w:color w:val="000000"/>
                <w:kern w:val="2"/>
                <w:sz w:val="20"/>
                <w:szCs w:val="20"/>
                <w14:ligatures w14:val="standardContextual"/>
              </w:rPr>
              <w:t>3</w:t>
            </w:r>
          </w:p>
        </w:tc>
        <w:tc>
          <w:tcPr>
            <w:tcW w:w="1177" w:type="dxa"/>
            <w:vAlign w:val="center"/>
          </w:tcPr>
          <w:p w14:paraId="0D4C5621" w14:textId="77777777" w:rsidR="00C50802" w:rsidRPr="00564AD6" w:rsidRDefault="00C50802" w:rsidP="007A2E13">
            <w:pPr>
              <w:jc w:val="center"/>
              <w:rPr>
                <w:rFonts w:ascii="Cambria" w:hAnsi="Cambria" w:cs="Calibri"/>
                <w:color w:val="000000"/>
                <w:kern w:val="2"/>
                <w:sz w:val="20"/>
                <w:szCs w:val="20"/>
                <w14:ligatures w14:val="standardContextual"/>
              </w:rPr>
            </w:pPr>
            <w:r w:rsidRPr="00564AD6">
              <w:rPr>
                <w:rFonts w:ascii="Cambria" w:eastAsia="Aptos" w:hAnsi="Cambria" w:cs="Arial"/>
                <w:color w:val="000000"/>
                <w:kern w:val="2"/>
                <w:sz w:val="20"/>
                <w:szCs w:val="20"/>
                <w14:ligatures w14:val="standardContextual"/>
              </w:rPr>
              <w:t>Aucune</w:t>
            </w:r>
          </w:p>
        </w:tc>
        <w:tc>
          <w:tcPr>
            <w:tcW w:w="4068" w:type="dxa"/>
            <w:vAlign w:val="center"/>
          </w:tcPr>
          <w:p w14:paraId="4490E7A9" w14:textId="77777777" w:rsidR="00C50802" w:rsidRPr="00564AD6" w:rsidRDefault="00C50802" w:rsidP="007A2E13">
            <w:pPr>
              <w:jc w:val="both"/>
              <w:rPr>
                <w:rFonts w:ascii="Cambria" w:hAnsi="Cambria" w:cs="Calibri"/>
                <w:kern w:val="2"/>
                <w:sz w:val="20"/>
                <w:szCs w:val="20"/>
                <w14:ligatures w14:val="standardContextual"/>
              </w:rPr>
            </w:pPr>
            <w:r w:rsidRPr="00564AD6">
              <w:rPr>
                <w:rFonts w:ascii="Cambria" w:eastAsia="Aptos" w:hAnsi="Cambria" w:cs="Arial"/>
                <w:kern w:val="2"/>
                <w:sz w:val="20"/>
                <w:szCs w:val="20"/>
                <w14:ligatures w14:val="standardContextual"/>
              </w:rPr>
              <w:t xml:space="preserve">Les Parties contractantes et Parties, Entités ou Entités de pêche non contractantes coopérantes (ci-après dénommées « CPC ») pourraient être exemptées de la soumission de la feuille de contrôle s’il est peu probable que les navires battant leur pavillon capturent des espèces de requins couvertes par les Recommandations  </w:t>
            </w:r>
            <w:hyperlink r:id="rId11" w:history="1">
              <w:r w:rsidRPr="00564AD6">
                <w:rPr>
                  <w:rFonts w:ascii="Cambria" w:eastAsia="Aptos" w:hAnsi="Cambria" w:cs="Arial"/>
                  <w:color w:val="467886"/>
                  <w:kern w:val="2"/>
                  <w:sz w:val="20"/>
                  <w:szCs w:val="20"/>
                  <w14:ligatures w14:val="standardContextual"/>
                </w:rPr>
                <w:t>Rec. 04-10</w:t>
              </w:r>
            </w:hyperlink>
            <w:r w:rsidRPr="00564AD6">
              <w:rPr>
                <w:rFonts w:ascii="Cambria" w:eastAsia="Aptos" w:hAnsi="Cambria" w:cs="Arial"/>
                <w:kern w:val="2"/>
                <w:sz w:val="20"/>
                <w:szCs w:val="20"/>
                <w14:ligatures w14:val="standardContextual"/>
              </w:rPr>
              <w:t xml:space="preserve">, </w:t>
            </w:r>
            <w:hyperlink r:id="rId12" w:history="1">
              <w:r w:rsidRPr="00564AD6">
                <w:rPr>
                  <w:rFonts w:ascii="Cambria" w:eastAsia="Aptos" w:hAnsi="Cambria" w:cs="Arial"/>
                  <w:color w:val="467886"/>
                  <w:kern w:val="2"/>
                  <w:sz w:val="20"/>
                  <w:szCs w:val="20"/>
                  <w14:ligatures w14:val="standardContextual"/>
                </w:rPr>
                <w:t>07-06</w:t>
              </w:r>
            </w:hyperlink>
            <w:r w:rsidRPr="00564AD6">
              <w:rPr>
                <w:rFonts w:ascii="Cambria" w:eastAsia="Aptos" w:hAnsi="Cambria" w:cs="Arial"/>
                <w:kern w:val="2"/>
                <w:sz w:val="20"/>
                <w:szCs w:val="20"/>
                <w14:ligatures w14:val="standardContextual"/>
              </w:rPr>
              <w:t xml:space="preserve">, </w:t>
            </w:r>
            <w:hyperlink r:id="rId13" w:history="1">
              <w:r w:rsidRPr="00564AD6">
                <w:rPr>
                  <w:rFonts w:ascii="Cambria" w:eastAsia="Aptos" w:hAnsi="Cambria" w:cs="Arial"/>
                  <w:color w:val="467886"/>
                  <w:kern w:val="2"/>
                  <w:sz w:val="20"/>
                  <w:szCs w:val="20"/>
                  <w14:ligatures w14:val="standardContextual"/>
                </w:rPr>
                <w:t>09-07</w:t>
              </w:r>
            </w:hyperlink>
            <w:r w:rsidRPr="00564AD6">
              <w:rPr>
                <w:rFonts w:ascii="Cambria" w:eastAsia="Aptos" w:hAnsi="Cambria" w:cs="Arial"/>
                <w:kern w:val="2"/>
                <w:sz w:val="20"/>
                <w:szCs w:val="20"/>
                <w14:ligatures w14:val="standardContextual"/>
              </w:rPr>
              <w:t xml:space="preserve">, </w:t>
            </w:r>
            <w:hyperlink r:id="rId14" w:history="1">
              <w:r w:rsidRPr="00564AD6">
                <w:rPr>
                  <w:rFonts w:ascii="Cambria" w:eastAsia="Aptos" w:hAnsi="Cambria" w:cs="Arial"/>
                  <w:color w:val="467886"/>
                  <w:kern w:val="2"/>
                  <w:sz w:val="20"/>
                  <w:szCs w:val="20"/>
                  <w14:ligatures w14:val="standardContextual"/>
                </w:rPr>
                <w:t>10-07</w:t>
              </w:r>
            </w:hyperlink>
            <w:r w:rsidRPr="00564AD6">
              <w:rPr>
                <w:rFonts w:ascii="Cambria" w:eastAsia="Aptos" w:hAnsi="Cambria" w:cs="Arial"/>
                <w:kern w:val="2"/>
                <w:sz w:val="20"/>
                <w:szCs w:val="20"/>
                <w14:ligatures w14:val="standardContextual"/>
              </w:rPr>
              <w:t xml:space="preserve">, </w:t>
            </w:r>
            <w:hyperlink r:id="rId15" w:history="1">
              <w:r w:rsidRPr="00564AD6">
                <w:rPr>
                  <w:rFonts w:ascii="Cambria" w:eastAsia="Aptos" w:hAnsi="Cambria" w:cs="Arial"/>
                  <w:color w:val="467886"/>
                  <w:kern w:val="2"/>
                  <w:sz w:val="20"/>
                  <w:szCs w:val="20"/>
                  <w14:ligatures w14:val="standardContextual"/>
                </w:rPr>
                <w:t>10-08</w:t>
              </w:r>
            </w:hyperlink>
            <w:r w:rsidRPr="00564AD6">
              <w:rPr>
                <w:rFonts w:ascii="Cambria" w:eastAsia="Aptos" w:hAnsi="Cambria" w:cs="Arial"/>
                <w:kern w:val="2"/>
                <w:sz w:val="20"/>
                <w:szCs w:val="20"/>
                <w14:ligatures w14:val="standardContextual"/>
              </w:rPr>
              <w:t xml:space="preserve">, </w:t>
            </w:r>
            <w:hyperlink r:id="rId16" w:history="1">
              <w:r w:rsidRPr="00564AD6">
                <w:rPr>
                  <w:rFonts w:ascii="Cambria" w:eastAsia="Aptos" w:hAnsi="Cambria" w:cs="Arial"/>
                  <w:color w:val="467886"/>
                  <w:kern w:val="2"/>
                  <w:sz w:val="20"/>
                  <w:szCs w:val="20"/>
                  <w14:ligatures w14:val="standardContextual"/>
                </w:rPr>
                <w:t>11</w:t>
              </w:r>
              <w:r w:rsidRPr="00564AD6">
                <w:rPr>
                  <w:rFonts w:ascii="Cambria" w:eastAsia="Aptos" w:hAnsi="Cambria" w:cs="Arial"/>
                  <w:color w:val="467886"/>
                  <w:kern w:val="2"/>
                  <w:sz w:val="20"/>
                  <w:szCs w:val="20"/>
                  <w14:ligatures w14:val="standardContextual"/>
                </w:rPr>
                <w:noBreakHyphen/>
                <w:t>08</w:t>
              </w:r>
            </w:hyperlink>
            <w:r w:rsidRPr="00564AD6">
              <w:rPr>
                <w:rFonts w:ascii="Cambria" w:eastAsia="Aptos" w:hAnsi="Cambria" w:cs="Arial"/>
                <w:kern w:val="2"/>
                <w:sz w:val="20"/>
                <w:szCs w:val="20"/>
                <w14:ligatures w14:val="standardContextual"/>
              </w:rPr>
              <w:t xml:space="preserve">, </w:t>
            </w:r>
            <w:hyperlink r:id="rId17" w:history="1">
              <w:r w:rsidRPr="00564AD6">
                <w:rPr>
                  <w:rFonts w:ascii="Cambria" w:eastAsia="Aptos" w:hAnsi="Cambria" w:cs="Arial"/>
                  <w:color w:val="467886"/>
                  <w:kern w:val="2"/>
                  <w:sz w:val="20"/>
                  <w:szCs w:val="20"/>
                  <w14:ligatures w14:val="standardContextual"/>
                </w:rPr>
                <w:t>11-15</w:t>
              </w:r>
            </w:hyperlink>
            <w:r w:rsidRPr="00564AD6">
              <w:rPr>
                <w:rFonts w:ascii="Cambria" w:eastAsia="Aptos" w:hAnsi="Cambria" w:cs="Arial"/>
                <w:kern w:val="2"/>
                <w:sz w:val="20"/>
                <w:szCs w:val="20"/>
                <w14:ligatures w14:val="standardContextual"/>
              </w:rPr>
              <w:t xml:space="preserve">, et </w:t>
            </w:r>
            <w:hyperlink r:id="rId18" w:history="1">
              <w:r w:rsidRPr="00564AD6">
                <w:rPr>
                  <w:rFonts w:ascii="Cambria" w:eastAsia="Aptos" w:hAnsi="Cambria" w:cs="Arial"/>
                  <w:color w:val="467886"/>
                  <w:kern w:val="2"/>
                  <w:sz w:val="20"/>
                  <w:szCs w:val="20"/>
                  <w14:ligatures w14:val="standardContextual"/>
                </w:rPr>
                <w:t>15-06</w:t>
              </w:r>
            </w:hyperlink>
            <w:r w:rsidRPr="00564AD6">
              <w:rPr>
                <w:rFonts w:ascii="Cambria" w:eastAsia="Aptos" w:hAnsi="Cambria" w:cs="Arial"/>
                <w:kern w:val="2"/>
                <w:sz w:val="20"/>
                <w:szCs w:val="20"/>
                <w14:ligatures w14:val="standardContextual"/>
              </w:rPr>
              <w:t xml:space="preserve"> à condition qu’elles obtiennent confirmation du Groupe d’espèces sur les requins par le biais des données nécessaires soumises à cet effet par les CPC.</w:t>
            </w:r>
          </w:p>
          <w:p w14:paraId="061416AA" w14:textId="77777777" w:rsidR="00C50802" w:rsidRPr="00564AD6" w:rsidRDefault="00C50802" w:rsidP="007A2E13">
            <w:pPr>
              <w:jc w:val="both"/>
              <w:rPr>
                <w:rFonts w:ascii="Cambria" w:hAnsi="Cambria" w:cs="Calibri"/>
                <w:kern w:val="2"/>
                <w:sz w:val="20"/>
                <w:szCs w:val="20"/>
                <w14:ligatures w14:val="standardContextual"/>
              </w:rPr>
            </w:pPr>
          </w:p>
        </w:tc>
        <w:tc>
          <w:tcPr>
            <w:tcW w:w="1701" w:type="dxa"/>
            <w:vAlign w:val="center"/>
          </w:tcPr>
          <w:p w14:paraId="4BB62A2F" w14:textId="77777777" w:rsidR="00C50802" w:rsidRPr="00564AD6" w:rsidRDefault="00C50802" w:rsidP="007A2E13">
            <w:pPr>
              <w:jc w:val="center"/>
              <w:rPr>
                <w:rFonts w:ascii="Cambria" w:hAnsi="Cambria" w:cs="Calibri"/>
                <w:kern w:val="2"/>
                <w:sz w:val="20"/>
                <w:szCs w:val="20"/>
                <w14:ligatures w14:val="standardContextual"/>
              </w:rPr>
            </w:pPr>
            <w:r w:rsidRPr="00564AD6">
              <w:rPr>
                <w:rFonts w:ascii="Cambria" w:eastAsia="Aptos" w:hAnsi="Cambria" w:cs="Arial"/>
                <w:kern w:val="2"/>
                <w:sz w:val="20"/>
                <w:szCs w:val="20"/>
                <w14:ligatures w14:val="standardContextual"/>
              </w:rPr>
              <w:t>Oui ou non</w:t>
            </w:r>
          </w:p>
        </w:tc>
        <w:tc>
          <w:tcPr>
            <w:tcW w:w="2126" w:type="dxa"/>
          </w:tcPr>
          <w:p w14:paraId="267D3048" w14:textId="77777777" w:rsidR="00C50802" w:rsidRPr="00564AD6" w:rsidRDefault="00C50802" w:rsidP="007A2E13">
            <w:pPr>
              <w:rPr>
                <w:rFonts w:ascii="Cambria" w:eastAsia="Calibri" w:hAnsi="Cambria"/>
                <w:sz w:val="20"/>
                <w:szCs w:val="20"/>
              </w:rPr>
            </w:pPr>
          </w:p>
        </w:tc>
        <w:tc>
          <w:tcPr>
            <w:tcW w:w="2126" w:type="dxa"/>
            <w:vAlign w:val="center"/>
          </w:tcPr>
          <w:p w14:paraId="2BB20084" w14:textId="77777777" w:rsidR="00C50802" w:rsidRPr="00564AD6" w:rsidRDefault="00C50802" w:rsidP="007A2E13">
            <w:pPr>
              <w:jc w:val="center"/>
              <w:rPr>
                <w:rFonts w:ascii="Cambria" w:hAnsi="Cambria" w:cs="Calibri"/>
                <w:kern w:val="2"/>
                <w:sz w:val="20"/>
                <w:szCs w:val="20"/>
                <w14:ligatures w14:val="standardContextual"/>
              </w:rPr>
            </w:pPr>
            <w:r w:rsidRPr="00564AD6">
              <w:rPr>
                <w:rFonts w:ascii="Cambria" w:eastAsia="Aptos" w:hAnsi="Cambria" w:cs="Arial"/>
                <w:kern w:val="2"/>
                <w:sz w:val="20"/>
                <w:szCs w:val="20"/>
                <w14:ligatures w14:val="standardContextual"/>
              </w:rPr>
              <w:t>Si « non », la feuille de contrôle s’appliquant aux requins doit être entièrement complétée.</w:t>
            </w:r>
          </w:p>
          <w:p w14:paraId="66CA90EE" w14:textId="77777777" w:rsidR="00C50802" w:rsidRPr="00564AD6" w:rsidRDefault="00C50802" w:rsidP="007A2E13">
            <w:pPr>
              <w:jc w:val="center"/>
              <w:rPr>
                <w:rFonts w:ascii="Cambria" w:hAnsi="Cambria" w:cs="Calibri"/>
                <w:kern w:val="2"/>
                <w:sz w:val="20"/>
                <w:szCs w:val="20"/>
                <w14:ligatures w14:val="standardContextual"/>
              </w:rPr>
            </w:pPr>
          </w:p>
          <w:p w14:paraId="0426F785" w14:textId="77777777" w:rsidR="00C50802" w:rsidRPr="00564AD6" w:rsidRDefault="00C50802" w:rsidP="007A2E13">
            <w:pPr>
              <w:jc w:val="center"/>
              <w:rPr>
                <w:rFonts w:ascii="Cambria" w:hAnsi="Cambria" w:cs="Calibri"/>
                <w:kern w:val="2"/>
                <w:sz w:val="20"/>
                <w:szCs w:val="20"/>
                <w14:ligatures w14:val="standardContextual"/>
              </w:rPr>
            </w:pPr>
            <w:r w:rsidRPr="00564AD6">
              <w:rPr>
                <w:rFonts w:ascii="Cambria" w:eastAsia="Aptos" w:hAnsi="Cambria" w:cs="Arial"/>
                <w:kern w:val="2"/>
                <w:sz w:val="20"/>
                <w:szCs w:val="20"/>
                <w14:ligatures w14:val="standardContextual"/>
              </w:rPr>
              <w:t>Si « oui », indiquer la date de réception de l’exemption ou la date de la demande.</w:t>
            </w:r>
          </w:p>
          <w:p w14:paraId="65F262DC" w14:textId="77777777" w:rsidR="00C50802" w:rsidRPr="00564AD6" w:rsidRDefault="00C50802" w:rsidP="007A2E13">
            <w:pPr>
              <w:jc w:val="center"/>
              <w:rPr>
                <w:rFonts w:ascii="Cambria" w:hAnsi="Cambria" w:cs="Calibri"/>
                <w:kern w:val="2"/>
                <w:sz w:val="20"/>
                <w:szCs w:val="20"/>
                <w14:ligatures w14:val="standardContextual"/>
              </w:rPr>
            </w:pPr>
          </w:p>
          <w:p w14:paraId="1EC77EF2" w14:textId="77777777" w:rsidR="00C50802" w:rsidRPr="00564AD6" w:rsidRDefault="00C50802" w:rsidP="007A2E13">
            <w:pPr>
              <w:jc w:val="center"/>
              <w:rPr>
                <w:rFonts w:ascii="Cambria" w:hAnsi="Cambria" w:cs="Calibri"/>
                <w:kern w:val="2"/>
                <w:sz w:val="20"/>
                <w:szCs w:val="20"/>
                <w14:ligatures w14:val="standardContextual"/>
              </w:rPr>
            </w:pPr>
            <w:r w:rsidRPr="00564AD6">
              <w:rPr>
                <w:rFonts w:ascii="Cambria" w:eastAsia="Aptos" w:hAnsi="Cambria" w:cs="Arial"/>
                <w:kern w:val="2"/>
                <w:sz w:val="20"/>
                <w:szCs w:val="20"/>
                <w14:ligatures w14:val="standardContextual"/>
              </w:rPr>
              <w:t>Si « oui », indiquer également s’il s’agit d’une exemption complète ou partielle.</w:t>
            </w:r>
          </w:p>
          <w:p w14:paraId="665DC867" w14:textId="77777777" w:rsidR="00C50802" w:rsidRPr="00564AD6" w:rsidRDefault="00C50802" w:rsidP="007A2E13">
            <w:pPr>
              <w:jc w:val="center"/>
              <w:rPr>
                <w:rFonts w:ascii="Cambria" w:hAnsi="Cambria" w:cs="Calibri"/>
                <w:kern w:val="2"/>
                <w:sz w:val="20"/>
                <w:szCs w:val="20"/>
                <w14:ligatures w14:val="standardContextual"/>
              </w:rPr>
            </w:pPr>
          </w:p>
          <w:p w14:paraId="36DE03FD" w14:textId="77777777" w:rsidR="00C50802" w:rsidRPr="00564AD6" w:rsidRDefault="00C50802" w:rsidP="007A2E13">
            <w:pPr>
              <w:jc w:val="center"/>
              <w:rPr>
                <w:rFonts w:ascii="Cambria" w:hAnsi="Cambria" w:cs="Calibri"/>
                <w:kern w:val="2"/>
                <w:sz w:val="20"/>
                <w:szCs w:val="20"/>
                <w14:ligatures w14:val="standardContextual"/>
              </w:rPr>
            </w:pPr>
            <w:r w:rsidRPr="00564AD6">
              <w:rPr>
                <w:rFonts w:ascii="Cambria" w:eastAsia="Aptos" w:hAnsi="Cambria" w:cs="Arial"/>
                <w:kern w:val="2"/>
                <w:sz w:val="20"/>
                <w:szCs w:val="20"/>
                <w14:ligatures w14:val="standardContextual"/>
              </w:rPr>
              <w:t>En cas d'exemption partielle, indiquer l'exemption dans chaque champ de la Rec.</w:t>
            </w:r>
          </w:p>
        </w:tc>
      </w:tr>
    </w:tbl>
    <w:p w14:paraId="112D9B5A" w14:textId="77777777" w:rsidR="00C50802" w:rsidRPr="00F60FAC" w:rsidRDefault="00C50802" w:rsidP="008A2CB9">
      <w:pPr>
        <w:jc w:val="both"/>
        <w:rPr>
          <w:rFonts w:ascii="Cambria" w:hAnsi="Cambria"/>
          <w:b/>
          <w:sz w:val="20"/>
          <w:szCs w:val="20"/>
        </w:rPr>
      </w:pPr>
    </w:p>
    <w:sectPr w:rsidR="00C50802" w:rsidRPr="00F60FAC" w:rsidSect="00C127E0">
      <w:pgSz w:w="16838" w:h="11906" w:orient="landscape"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AD29" w14:textId="77777777" w:rsidR="001E03AC" w:rsidRDefault="001E03AC" w:rsidP="00F35FE1">
      <w:r>
        <w:separator/>
      </w:r>
    </w:p>
  </w:endnote>
  <w:endnote w:type="continuationSeparator" w:id="0">
    <w:p w14:paraId="399736F9" w14:textId="77777777" w:rsidR="001E03AC" w:rsidRDefault="001E03AC" w:rsidP="00F35FE1">
      <w:r>
        <w:continuationSeparator/>
      </w:r>
    </w:p>
  </w:endnote>
  <w:endnote w:type="continuationNotice" w:id="1">
    <w:p w14:paraId="12A0A33C" w14:textId="77777777" w:rsidR="001E03AC" w:rsidRDefault="001E0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000000"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2F581B">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9122" w14:textId="77777777" w:rsidR="001E03AC" w:rsidRDefault="001E03AC" w:rsidP="00F35FE1">
      <w:r>
        <w:separator/>
      </w:r>
    </w:p>
  </w:footnote>
  <w:footnote w:type="continuationSeparator" w:id="0">
    <w:p w14:paraId="18891AFA" w14:textId="77777777" w:rsidR="001E03AC" w:rsidRDefault="001E03AC" w:rsidP="00F35FE1">
      <w:r>
        <w:continuationSeparator/>
      </w:r>
    </w:p>
  </w:footnote>
  <w:footnote w:type="continuationNotice" w:id="1">
    <w:p w14:paraId="5181747A" w14:textId="77777777" w:rsidR="001E03AC" w:rsidRDefault="001E0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2A20F145" w:rsidR="00793F38" w:rsidRPr="00793F38" w:rsidRDefault="0045480F" w:rsidP="00793F38">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w:t>
    </w:r>
    <w:r w:rsidR="008A2CB9">
      <w:rPr>
        <w:rFonts w:ascii="Cambria" w:hAnsi="Cambria"/>
        <w:b/>
        <w:sz w:val="20"/>
      </w:rPr>
      <w:t>328</w:t>
    </w:r>
    <w:r>
      <w:rPr>
        <w:rFonts w:ascii="Cambria" w:hAnsi="Cambria"/>
        <w:b/>
        <w:sz w:val="20"/>
      </w:rPr>
      <w:t>/2025</w:t>
    </w:r>
  </w:p>
  <w:p w14:paraId="41BF1EAA" w14:textId="03AE45F2"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8A2CB9">
      <w:rPr>
        <w:rFonts w:ascii="Cambria" w:hAnsi="Cambria"/>
        <w:b/>
        <w:noProof/>
        <w:sz w:val="16"/>
      </w:rPr>
      <w:t>16/11/2025 8:42</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7D7"/>
    <w:multiLevelType w:val="hybridMultilevel"/>
    <w:tmpl w:val="969AFF48"/>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3" w15:restartNumberingAfterBreak="0">
    <w:nsid w:val="0A534393"/>
    <w:multiLevelType w:val="hybridMultilevel"/>
    <w:tmpl w:val="90D0E97E"/>
    <w:lvl w:ilvl="0" w:tplc="B2BA3A5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183274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202867"/>
    <w:multiLevelType w:val="multilevel"/>
    <w:tmpl w:val="5F20A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805734D"/>
    <w:multiLevelType w:val="hybridMultilevel"/>
    <w:tmpl w:val="BA5C0B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6F103F9"/>
    <w:multiLevelType w:val="hybridMultilevel"/>
    <w:tmpl w:val="69147EBC"/>
    <w:lvl w:ilvl="0" w:tplc="61985C4E">
      <w:start w:val="1"/>
      <w:numFmt w:val="lowerLetter"/>
      <w:lvlText w:val="%1)"/>
      <w:lvlJc w:val="left"/>
      <w:pPr>
        <w:ind w:left="720" w:hanging="360"/>
      </w:pPr>
      <w:rPr>
        <w:rFonts w:ascii="Cambria" w:eastAsia="Times New Roman" w:hAnsi="Cambria" w:cs="Times New Roman"/>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F6154"/>
    <w:multiLevelType w:val="hybridMultilevel"/>
    <w:tmpl w:val="4B44FFD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11" w15:restartNumberingAfterBreak="0">
    <w:nsid w:val="55904284"/>
    <w:multiLevelType w:val="hybridMultilevel"/>
    <w:tmpl w:val="06BCB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CB0639"/>
    <w:multiLevelType w:val="multilevel"/>
    <w:tmpl w:val="E2E867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2F736E"/>
    <w:multiLevelType w:val="multilevel"/>
    <w:tmpl w:val="7372544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63341C23"/>
    <w:multiLevelType w:val="hybridMultilevel"/>
    <w:tmpl w:val="3698C27C"/>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15" w15:restartNumberingAfterBreak="0">
    <w:nsid w:val="65677415"/>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F80A3E"/>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6628504">
    <w:abstractNumId w:val="5"/>
  </w:num>
  <w:num w:numId="2" w16cid:durableId="142551678">
    <w:abstractNumId w:val="14"/>
  </w:num>
  <w:num w:numId="3" w16cid:durableId="180094262">
    <w:abstractNumId w:val="8"/>
  </w:num>
  <w:num w:numId="4" w16cid:durableId="42141770">
    <w:abstractNumId w:val="14"/>
  </w:num>
  <w:num w:numId="5" w16cid:durableId="1020470179">
    <w:abstractNumId w:val="11"/>
  </w:num>
  <w:num w:numId="6" w16cid:durableId="1925797928">
    <w:abstractNumId w:val="0"/>
  </w:num>
  <w:num w:numId="7" w16cid:durableId="384255468">
    <w:abstractNumId w:val="9"/>
  </w:num>
  <w:num w:numId="8" w16cid:durableId="637416884">
    <w:abstractNumId w:val="1"/>
  </w:num>
  <w:num w:numId="9" w16cid:durableId="295450591">
    <w:abstractNumId w:val="4"/>
  </w:num>
  <w:num w:numId="10" w16cid:durableId="605234319">
    <w:abstractNumId w:val="13"/>
  </w:num>
  <w:num w:numId="11" w16cid:durableId="905067993">
    <w:abstractNumId w:val="17"/>
  </w:num>
  <w:num w:numId="12" w16cid:durableId="569653300">
    <w:abstractNumId w:val="16"/>
  </w:num>
  <w:num w:numId="13" w16cid:durableId="137040644">
    <w:abstractNumId w:val="15"/>
  </w:num>
  <w:num w:numId="14" w16cid:durableId="1187989073">
    <w:abstractNumId w:val="12"/>
  </w:num>
  <w:num w:numId="15" w16cid:durableId="431126697">
    <w:abstractNumId w:val="6"/>
  </w:num>
  <w:num w:numId="16" w16cid:durableId="63727305">
    <w:abstractNumId w:val="7"/>
  </w:num>
  <w:num w:numId="17" w16cid:durableId="1407993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0BC6"/>
    <w:rsid w:val="00003250"/>
    <w:rsid w:val="00003281"/>
    <w:rsid w:val="00004CBE"/>
    <w:rsid w:val="0000538F"/>
    <w:rsid w:val="000053EA"/>
    <w:rsid w:val="00005871"/>
    <w:rsid w:val="00010300"/>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51E"/>
    <w:rsid w:val="000557E7"/>
    <w:rsid w:val="00055862"/>
    <w:rsid w:val="000569E4"/>
    <w:rsid w:val="00056CC2"/>
    <w:rsid w:val="000622BF"/>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915A7"/>
    <w:rsid w:val="00093E88"/>
    <w:rsid w:val="000940DE"/>
    <w:rsid w:val="00096E03"/>
    <w:rsid w:val="000975CC"/>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32DF"/>
    <w:rsid w:val="000D4477"/>
    <w:rsid w:val="000D64EF"/>
    <w:rsid w:val="000E04FD"/>
    <w:rsid w:val="000E309F"/>
    <w:rsid w:val="000E3199"/>
    <w:rsid w:val="000E31CD"/>
    <w:rsid w:val="000E3420"/>
    <w:rsid w:val="000F0F42"/>
    <w:rsid w:val="000F1293"/>
    <w:rsid w:val="000F1952"/>
    <w:rsid w:val="000F2494"/>
    <w:rsid w:val="000F358B"/>
    <w:rsid w:val="000F35E0"/>
    <w:rsid w:val="000F45AD"/>
    <w:rsid w:val="000F5DE6"/>
    <w:rsid w:val="000F7A03"/>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0EAA"/>
    <w:rsid w:val="00124EFD"/>
    <w:rsid w:val="00127954"/>
    <w:rsid w:val="001279A2"/>
    <w:rsid w:val="00127C0A"/>
    <w:rsid w:val="00131BB8"/>
    <w:rsid w:val="00132EA6"/>
    <w:rsid w:val="0013413D"/>
    <w:rsid w:val="00134851"/>
    <w:rsid w:val="00136097"/>
    <w:rsid w:val="00136BCE"/>
    <w:rsid w:val="00137682"/>
    <w:rsid w:val="001426D0"/>
    <w:rsid w:val="0014273D"/>
    <w:rsid w:val="00143015"/>
    <w:rsid w:val="00143B7C"/>
    <w:rsid w:val="001467F7"/>
    <w:rsid w:val="00147AE9"/>
    <w:rsid w:val="00154FCB"/>
    <w:rsid w:val="001575A4"/>
    <w:rsid w:val="001576F3"/>
    <w:rsid w:val="00160639"/>
    <w:rsid w:val="00161055"/>
    <w:rsid w:val="00162E93"/>
    <w:rsid w:val="0016352A"/>
    <w:rsid w:val="00164A87"/>
    <w:rsid w:val="001659FB"/>
    <w:rsid w:val="00167A27"/>
    <w:rsid w:val="0017041B"/>
    <w:rsid w:val="00172B77"/>
    <w:rsid w:val="00174695"/>
    <w:rsid w:val="001769BA"/>
    <w:rsid w:val="00177202"/>
    <w:rsid w:val="001776C6"/>
    <w:rsid w:val="001801BD"/>
    <w:rsid w:val="00180602"/>
    <w:rsid w:val="00180C47"/>
    <w:rsid w:val="00180DD8"/>
    <w:rsid w:val="00181F0F"/>
    <w:rsid w:val="00183040"/>
    <w:rsid w:val="00183C14"/>
    <w:rsid w:val="00183DAE"/>
    <w:rsid w:val="00183F2B"/>
    <w:rsid w:val="001844C5"/>
    <w:rsid w:val="00185429"/>
    <w:rsid w:val="0019188C"/>
    <w:rsid w:val="00193237"/>
    <w:rsid w:val="001941AC"/>
    <w:rsid w:val="0019792C"/>
    <w:rsid w:val="001A016C"/>
    <w:rsid w:val="001A1A28"/>
    <w:rsid w:val="001A3352"/>
    <w:rsid w:val="001A3DA4"/>
    <w:rsid w:val="001A4CDA"/>
    <w:rsid w:val="001A53C9"/>
    <w:rsid w:val="001B05B2"/>
    <w:rsid w:val="001B0E84"/>
    <w:rsid w:val="001B1441"/>
    <w:rsid w:val="001B2BAE"/>
    <w:rsid w:val="001B549B"/>
    <w:rsid w:val="001B71EA"/>
    <w:rsid w:val="001C29E5"/>
    <w:rsid w:val="001C301A"/>
    <w:rsid w:val="001C6928"/>
    <w:rsid w:val="001C7696"/>
    <w:rsid w:val="001D0F16"/>
    <w:rsid w:val="001D13E2"/>
    <w:rsid w:val="001D28BD"/>
    <w:rsid w:val="001D5625"/>
    <w:rsid w:val="001D5ABA"/>
    <w:rsid w:val="001D6270"/>
    <w:rsid w:val="001D6ADD"/>
    <w:rsid w:val="001E03AC"/>
    <w:rsid w:val="001E083A"/>
    <w:rsid w:val="001E1693"/>
    <w:rsid w:val="001E36A7"/>
    <w:rsid w:val="001E56F7"/>
    <w:rsid w:val="001E615B"/>
    <w:rsid w:val="001E6ED1"/>
    <w:rsid w:val="001F46E5"/>
    <w:rsid w:val="001F4E6B"/>
    <w:rsid w:val="001F5745"/>
    <w:rsid w:val="001F765E"/>
    <w:rsid w:val="00200529"/>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58DD"/>
    <w:rsid w:val="00297F25"/>
    <w:rsid w:val="002A3149"/>
    <w:rsid w:val="002A38A1"/>
    <w:rsid w:val="002A3A3F"/>
    <w:rsid w:val="002A445D"/>
    <w:rsid w:val="002A4EBC"/>
    <w:rsid w:val="002A56D1"/>
    <w:rsid w:val="002A5F65"/>
    <w:rsid w:val="002A7218"/>
    <w:rsid w:val="002B094E"/>
    <w:rsid w:val="002B11BA"/>
    <w:rsid w:val="002B60ED"/>
    <w:rsid w:val="002B7146"/>
    <w:rsid w:val="002C08D5"/>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2C9F"/>
    <w:rsid w:val="002F403B"/>
    <w:rsid w:val="002F4315"/>
    <w:rsid w:val="002F43C5"/>
    <w:rsid w:val="002F5568"/>
    <w:rsid w:val="002F581B"/>
    <w:rsid w:val="002F5D30"/>
    <w:rsid w:val="002F7D8F"/>
    <w:rsid w:val="003003FA"/>
    <w:rsid w:val="003011D1"/>
    <w:rsid w:val="00303D44"/>
    <w:rsid w:val="00307276"/>
    <w:rsid w:val="003106B0"/>
    <w:rsid w:val="00317637"/>
    <w:rsid w:val="00317C6C"/>
    <w:rsid w:val="00320775"/>
    <w:rsid w:val="00321880"/>
    <w:rsid w:val="00321B13"/>
    <w:rsid w:val="00323246"/>
    <w:rsid w:val="00325DC3"/>
    <w:rsid w:val="00327C99"/>
    <w:rsid w:val="00327C9E"/>
    <w:rsid w:val="003306F4"/>
    <w:rsid w:val="00331028"/>
    <w:rsid w:val="003356C2"/>
    <w:rsid w:val="003360C4"/>
    <w:rsid w:val="00337595"/>
    <w:rsid w:val="00337F63"/>
    <w:rsid w:val="003446DF"/>
    <w:rsid w:val="00346D92"/>
    <w:rsid w:val="003503B0"/>
    <w:rsid w:val="00350637"/>
    <w:rsid w:val="003516AE"/>
    <w:rsid w:val="00353D82"/>
    <w:rsid w:val="00353E14"/>
    <w:rsid w:val="003565C0"/>
    <w:rsid w:val="00360236"/>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1D6D"/>
    <w:rsid w:val="003D3383"/>
    <w:rsid w:val="003D4F52"/>
    <w:rsid w:val="003D4F9C"/>
    <w:rsid w:val="003D5BB1"/>
    <w:rsid w:val="003D6AC7"/>
    <w:rsid w:val="003D7AF7"/>
    <w:rsid w:val="003E02E5"/>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106DB"/>
    <w:rsid w:val="00412664"/>
    <w:rsid w:val="00413D88"/>
    <w:rsid w:val="00414AB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D1C"/>
    <w:rsid w:val="00445A3C"/>
    <w:rsid w:val="0044723C"/>
    <w:rsid w:val="00450745"/>
    <w:rsid w:val="00452955"/>
    <w:rsid w:val="00452AD7"/>
    <w:rsid w:val="0045338B"/>
    <w:rsid w:val="00453853"/>
    <w:rsid w:val="0045480F"/>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343B"/>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23C7"/>
    <w:rsid w:val="004B5BF8"/>
    <w:rsid w:val="004C00A9"/>
    <w:rsid w:val="004C1BB3"/>
    <w:rsid w:val="004C1F0B"/>
    <w:rsid w:val="004C2756"/>
    <w:rsid w:val="004C3831"/>
    <w:rsid w:val="004C5687"/>
    <w:rsid w:val="004C6944"/>
    <w:rsid w:val="004D0FF5"/>
    <w:rsid w:val="004D128C"/>
    <w:rsid w:val="004D4382"/>
    <w:rsid w:val="004D601D"/>
    <w:rsid w:val="004D621F"/>
    <w:rsid w:val="004D727B"/>
    <w:rsid w:val="004D7DC2"/>
    <w:rsid w:val="004E2EC0"/>
    <w:rsid w:val="004E2F50"/>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09B3"/>
    <w:rsid w:val="00513E3E"/>
    <w:rsid w:val="00514501"/>
    <w:rsid w:val="005155D2"/>
    <w:rsid w:val="00517778"/>
    <w:rsid w:val="00517A10"/>
    <w:rsid w:val="005238CC"/>
    <w:rsid w:val="00523A4B"/>
    <w:rsid w:val="00525F82"/>
    <w:rsid w:val="00526014"/>
    <w:rsid w:val="005279FC"/>
    <w:rsid w:val="005305DB"/>
    <w:rsid w:val="00530D05"/>
    <w:rsid w:val="00530D90"/>
    <w:rsid w:val="00530EFF"/>
    <w:rsid w:val="005310DC"/>
    <w:rsid w:val="005318E0"/>
    <w:rsid w:val="005338FE"/>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752E5"/>
    <w:rsid w:val="0058158D"/>
    <w:rsid w:val="00582522"/>
    <w:rsid w:val="005834EA"/>
    <w:rsid w:val="0058478F"/>
    <w:rsid w:val="00584979"/>
    <w:rsid w:val="005857BB"/>
    <w:rsid w:val="00590D03"/>
    <w:rsid w:val="00591113"/>
    <w:rsid w:val="00591531"/>
    <w:rsid w:val="005926CF"/>
    <w:rsid w:val="005927A5"/>
    <w:rsid w:val="00593821"/>
    <w:rsid w:val="00595E96"/>
    <w:rsid w:val="00596442"/>
    <w:rsid w:val="005965BB"/>
    <w:rsid w:val="00597FF7"/>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104"/>
    <w:rsid w:val="005D1B2C"/>
    <w:rsid w:val="005D220C"/>
    <w:rsid w:val="005D5847"/>
    <w:rsid w:val="005D6000"/>
    <w:rsid w:val="005D7181"/>
    <w:rsid w:val="005E0049"/>
    <w:rsid w:val="005E1F4C"/>
    <w:rsid w:val="005E221A"/>
    <w:rsid w:val="005E44A5"/>
    <w:rsid w:val="005E5604"/>
    <w:rsid w:val="005E5973"/>
    <w:rsid w:val="005E786C"/>
    <w:rsid w:val="005F2273"/>
    <w:rsid w:val="005F261C"/>
    <w:rsid w:val="005F4291"/>
    <w:rsid w:val="005F517B"/>
    <w:rsid w:val="005F5A71"/>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3367"/>
    <w:rsid w:val="00657CC0"/>
    <w:rsid w:val="006642E4"/>
    <w:rsid w:val="006643BF"/>
    <w:rsid w:val="00664D42"/>
    <w:rsid w:val="006668A9"/>
    <w:rsid w:val="0066704B"/>
    <w:rsid w:val="00673689"/>
    <w:rsid w:val="00673A4A"/>
    <w:rsid w:val="00673C3D"/>
    <w:rsid w:val="00673DE3"/>
    <w:rsid w:val="00675353"/>
    <w:rsid w:val="006755B5"/>
    <w:rsid w:val="006774BE"/>
    <w:rsid w:val="006777B5"/>
    <w:rsid w:val="00677CED"/>
    <w:rsid w:val="00681988"/>
    <w:rsid w:val="00681E03"/>
    <w:rsid w:val="0068207B"/>
    <w:rsid w:val="00685482"/>
    <w:rsid w:val="00690264"/>
    <w:rsid w:val="00694038"/>
    <w:rsid w:val="00695916"/>
    <w:rsid w:val="006A18D8"/>
    <w:rsid w:val="006A2E9C"/>
    <w:rsid w:val="006A315E"/>
    <w:rsid w:val="006A3BA7"/>
    <w:rsid w:val="006A52C2"/>
    <w:rsid w:val="006B03C6"/>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25803"/>
    <w:rsid w:val="0072690A"/>
    <w:rsid w:val="0073571A"/>
    <w:rsid w:val="0074232D"/>
    <w:rsid w:val="007462DC"/>
    <w:rsid w:val="007516E5"/>
    <w:rsid w:val="00751CC1"/>
    <w:rsid w:val="0075328B"/>
    <w:rsid w:val="00753B65"/>
    <w:rsid w:val="00755B73"/>
    <w:rsid w:val="00757E13"/>
    <w:rsid w:val="007614E0"/>
    <w:rsid w:val="007630F0"/>
    <w:rsid w:val="007650C7"/>
    <w:rsid w:val="007653BB"/>
    <w:rsid w:val="00766F3D"/>
    <w:rsid w:val="00767184"/>
    <w:rsid w:val="00770EB1"/>
    <w:rsid w:val="00772829"/>
    <w:rsid w:val="00773142"/>
    <w:rsid w:val="00773305"/>
    <w:rsid w:val="00773D72"/>
    <w:rsid w:val="00774F59"/>
    <w:rsid w:val="00775E1C"/>
    <w:rsid w:val="00777246"/>
    <w:rsid w:val="007813AC"/>
    <w:rsid w:val="0078294B"/>
    <w:rsid w:val="007855E0"/>
    <w:rsid w:val="00785F12"/>
    <w:rsid w:val="00786E2B"/>
    <w:rsid w:val="0079080E"/>
    <w:rsid w:val="00791710"/>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1E8E"/>
    <w:rsid w:val="00802C11"/>
    <w:rsid w:val="00805C8E"/>
    <w:rsid w:val="00805FE5"/>
    <w:rsid w:val="00813622"/>
    <w:rsid w:val="008157C7"/>
    <w:rsid w:val="00822184"/>
    <w:rsid w:val="008235EE"/>
    <w:rsid w:val="00824764"/>
    <w:rsid w:val="008272DE"/>
    <w:rsid w:val="00827C99"/>
    <w:rsid w:val="0083064F"/>
    <w:rsid w:val="0083139F"/>
    <w:rsid w:val="0083328A"/>
    <w:rsid w:val="008356E9"/>
    <w:rsid w:val="00842490"/>
    <w:rsid w:val="00842D48"/>
    <w:rsid w:val="00843FFE"/>
    <w:rsid w:val="0085234E"/>
    <w:rsid w:val="008541DD"/>
    <w:rsid w:val="00855553"/>
    <w:rsid w:val="0085557D"/>
    <w:rsid w:val="008563A9"/>
    <w:rsid w:val="008569F9"/>
    <w:rsid w:val="00860549"/>
    <w:rsid w:val="00860EE9"/>
    <w:rsid w:val="00861CBD"/>
    <w:rsid w:val="00861FAF"/>
    <w:rsid w:val="008656A4"/>
    <w:rsid w:val="00866E4F"/>
    <w:rsid w:val="008671FF"/>
    <w:rsid w:val="0086734F"/>
    <w:rsid w:val="008722F9"/>
    <w:rsid w:val="00872A23"/>
    <w:rsid w:val="00873564"/>
    <w:rsid w:val="00875A41"/>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2CB9"/>
    <w:rsid w:val="008A4A26"/>
    <w:rsid w:val="008A574A"/>
    <w:rsid w:val="008A5F53"/>
    <w:rsid w:val="008A71AA"/>
    <w:rsid w:val="008B0123"/>
    <w:rsid w:val="008B0DB0"/>
    <w:rsid w:val="008B143C"/>
    <w:rsid w:val="008B2667"/>
    <w:rsid w:val="008B2D0E"/>
    <w:rsid w:val="008B5CDA"/>
    <w:rsid w:val="008B7CDA"/>
    <w:rsid w:val="008C124D"/>
    <w:rsid w:val="008C48D2"/>
    <w:rsid w:val="008D1260"/>
    <w:rsid w:val="008D2FA6"/>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4D1B"/>
    <w:rsid w:val="00966648"/>
    <w:rsid w:val="009669D3"/>
    <w:rsid w:val="00967190"/>
    <w:rsid w:val="0096741D"/>
    <w:rsid w:val="00967F64"/>
    <w:rsid w:val="00972321"/>
    <w:rsid w:val="00973556"/>
    <w:rsid w:val="009748AF"/>
    <w:rsid w:val="00977D58"/>
    <w:rsid w:val="00980712"/>
    <w:rsid w:val="009817B1"/>
    <w:rsid w:val="009838C6"/>
    <w:rsid w:val="00984D7A"/>
    <w:rsid w:val="00984DA7"/>
    <w:rsid w:val="0098510B"/>
    <w:rsid w:val="00985309"/>
    <w:rsid w:val="0098622F"/>
    <w:rsid w:val="009A0614"/>
    <w:rsid w:val="009A1F26"/>
    <w:rsid w:val="009A3CD1"/>
    <w:rsid w:val="009A3DEC"/>
    <w:rsid w:val="009A54A2"/>
    <w:rsid w:val="009B045F"/>
    <w:rsid w:val="009B0AA3"/>
    <w:rsid w:val="009B43FB"/>
    <w:rsid w:val="009B6AB3"/>
    <w:rsid w:val="009C09F9"/>
    <w:rsid w:val="009C109C"/>
    <w:rsid w:val="009C138B"/>
    <w:rsid w:val="009C2B14"/>
    <w:rsid w:val="009C30C6"/>
    <w:rsid w:val="009C682E"/>
    <w:rsid w:val="009C6CF7"/>
    <w:rsid w:val="009C7CC9"/>
    <w:rsid w:val="009D2502"/>
    <w:rsid w:val="009D5A7D"/>
    <w:rsid w:val="009D5E11"/>
    <w:rsid w:val="009D6B67"/>
    <w:rsid w:val="009E074A"/>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D7458"/>
    <w:rsid w:val="00AE0FBC"/>
    <w:rsid w:val="00AE2019"/>
    <w:rsid w:val="00AE2537"/>
    <w:rsid w:val="00AE2C93"/>
    <w:rsid w:val="00AE2DD5"/>
    <w:rsid w:val="00AE3131"/>
    <w:rsid w:val="00AE3993"/>
    <w:rsid w:val="00AE4101"/>
    <w:rsid w:val="00AE414A"/>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307B7"/>
    <w:rsid w:val="00B312B0"/>
    <w:rsid w:val="00B31C4B"/>
    <w:rsid w:val="00B337B5"/>
    <w:rsid w:val="00B34D74"/>
    <w:rsid w:val="00B37A5D"/>
    <w:rsid w:val="00B40448"/>
    <w:rsid w:val="00B41166"/>
    <w:rsid w:val="00B41944"/>
    <w:rsid w:val="00B41D5A"/>
    <w:rsid w:val="00B42A17"/>
    <w:rsid w:val="00B432AB"/>
    <w:rsid w:val="00B43A6E"/>
    <w:rsid w:val="00B44276"/>
    <w:rsid w:val="00B45A7D"/>
    <w:rsid w:val="00B45EF2"/>
    <w:rsid w:val="00B46659"/>
    <w:rsid w:val="00B470B1"/>
    <w:rsid w:val="00B517A6"/>
    <w:rsid w:val="00B52040"/>
    <w:rsid w:val="00B52C5E"/>
    <w:rsid w:val="00B532DB"/>
    <w:rsid w:val="00B540DB"/>
    <w:rsid w:val="00B60DA2"/>
    <w:rsid w:val="00B6134B"/>
    <w:rsid w:val="00B625E0"/>
    <w:rsid w:val="00B63301"/>
    <w:rsid w:val="00B63B3F"/>
    <w:rsid w:val="00B65F31"/>
    <w:rsid w:val="00B70681"/>
    <w:rsid w:val="00B70C2E"/>
    <w:rsid w:val="00B72194"/>
    <w:rsid w:val="00B735BF"/>
    <w:rsid w:val="00B73B64"/>
    <w:rsid w:val="00B7699A"/>
    <w:rsid w:val="00B84186"/>
    <w:rsid w:val="00B90036"/>
    <w:rsid w:val="00B90A89"/>
    <w:rsid w:val="00B91623"/>
    <w:rsid w:val="00B91EC9"/>
    <w:rsid w:val="00B93483"/>
    <w:rsid w:val="00B9486E"/>
    <w:rsid w:val="00B94891"/>
    <w:rsid w:val="00B95116"/>
    <w:rsid w:val="00B97F1C"/>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27E0"/>
    <w:rsid w:val="00C130D8"/>
    <w:rsid w:val="00C1439E"/>
    <w:rsid w:val="00C14B25"/>
    <w:rsid w:val="00C14D65"/>
    <w:rsid w:val="00C15203"/>
    <w:rsid w:val="00C16270"/>
    <w:rsid w:val="00C21AE4"/>
    <w:rsid w:val="00C2241B"/>
    <w:rsid w:val="00C23F2D"/>
    <w:rsid w:val="00C2495C"/>
    <w:rsid w:val="00C24A1E"/>
    <w:rsid w:val="00C26AB4"/>
    <w:rsid w:val="00C2764F"/>
    <w:rsid w:val="00C27EF3"/>
    <w:rsid w:val="00C30D4D"/>
    <w:rsid w:val="00C37ADC"/>
    <w:rsid w:val="00C41703"/>
    <w:rsid w:val="00C41E6F"/>
    <w:rsid w:val="00C41F5C"/>
    <w:rsid w:val="00C4275F"/>
    <w:rsid w:val="00C445DE"/>
    <w:rsid w:val="00C4571B"/>
    <w:rsid w:val="00C45FEE"/>
    <w:rsid w:val="00C4693E"/>
    <w:rsid w:val="00C477B9"/>
    <w:rsid w:val="00C47E3F"/>
    <w:rsid w:val="00C50802"/>
    <w:rsid w:val="00C51082"/>
    <w:rsid w:val="00C51F97"/>
    <w:rsid w:val="00C55367"/>
    <w:rsid w:val="00C630CB"/>
    <w:rsid w:val="00C63559"/>
    <w:rsid w:val="00C6437B"/>
    <w:rsid w:val="00C6603C"/>
    <w:rsid w:val="00C6717C"/>
    <w:rsid w:val="00C7113C"/>
    <w:rsid w:val="00C732DF"/>
    <w:rsid w:val="00C74E0B"/>
    <w:rsid w:val="00C755DC"/>
    <w:rsid w:val="00C75A42"/>
    <w:rsid w:val="00C77519"/>
    <w:rsid w:val="00C824C8"/>
    <w:rsid w:val="00C82F62"/>
    <w:rsid w:val="00C83639"/>
    <w:rsid w:val="00C90018"/>
    <w:rsid w:val="00C931A2"/>
    <w:rsid w:val="00C935FE"/>
    <w:rsid w:val="00C94265"/>
    <w:rsid w:val="00CA002B"/>
    <w:rsid w:val="00CA1288"/>
    <w:rsid w:val="00CA18AA"/>
    <w:rsid w:val="00CA1BBC"/>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6905"/>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30451"/>
    <w:rsid w:val="00D30B73"/>
    <w:rsid w:val="00D3463F"/>
    <w:rsid w:val="00D34A36"/>
    <w:rsid w:val="00D4116D"/>
    <w:rsid w:val="00D45267"/>
    <w:rsid w:val="00D46688"/>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4992"/>
    <w:rsid w:val="00D872CF"/>
    <w:rsid w:val="00D90B9F"/>
    <w:rsid w:val="00D939F8"/>
    <w:rsid w:val="00D94E66"/>
    <w:rsid w:val="00D95305"/>
    <w:rsid w:val="00D96233"/>
    <w:rsid w:val="00D9707F"/>
    <w:rsid w:val="00D97C51"/>
    <w:rsid w:val="00DA0927"/>
    <w:rsid w:val="00DA12D7"/>
    <w:rsid w:val="00DA18FD"/>
    <w:rsid w:val="00DA4D97"/>
    <w:rsid w:val="00DA6A10"/>
    <w:rsid w:val="00DB017A"/>
    <w:rsid w:val="00DB12E0"/>
    <w:rsid w:val="00DB182B"/>
    <w:rsid w:val="00DB1E29"/>
    <w:rsid w:val="00DB4885"/>
    <w:rsid w:val="00DB4923"/>
    <w:rsid w:val="00DB49E7"/>
    <w:rsid w:val="00DB5B66"/>
    <w:rsid w:val="00DC01B1"/>
    <w:rsid w:val="00DC16AB"/>
    <w:rsid w:val="00DC2A99"/>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5B40"/>
    <w:rsid w:val="00DF711B"/>
    <w:rsid w:val="00DF72ED"/>
    <w:rsid w:val="00DF7E05"/>
    <w:rsid w:val="00E00C19"/>
    <w:rsid w:val="00E00D95"/>
    <w:rsid w:val="00E022AB"/>
    <w:rsid w:val="00E04085"/>
    <w:rsid w:val="00E04314"/>
    <w:rsid w:val="00E0502A"/>
    <w:rsid w:val="00E0505A"/>
    <w:rsid w:val="00E05DB3"/>
    <w:rsid w:val="00E13599"/>
    <w:rsid w:val="00E1364B"/>
    <w:rsid w:val="00E20267"/>
    <w:rsid w:val="00E208ED"/>
    <w:rsid w:val="00E21287"/>
    <w:rsid w:val="00E21E71"/>
    <w:rsid w:val="00E21E88"/>
    <w:rsid w:val="00E22460"/>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455BC"/>
    <w:rsid w:val="00E5349A"/>
    <w:rsid w:val="00E534C2"/>
    <w:rsid w:val="00E5480B"/>
    <w:rsid w:val="00E55ABB"/>
    <w:rsid w:val="00E55E81"/>
    <w:rsid w:val="00E604F1"/>
    <w:rsid w:val="00E616E4"/>
    <w:rsid w:val="00E67E0F"/>
    <w:rsid w:val="00E72DA3"/>
    <w:rsid w:val="00E75767"/>
    <w:rsid w:val="00E75D3F"/>
    <w:rsid w:val="00E766E4"/>
    <w:rsid w:val="00E804D2"/>
    <w:rsid w:val="00E81C5F"/>
    <w:rsid w:val="00E82404"/>
    <w:rsid w:val="00E87A99"/>
    <w:rsid w:val="00E914BD"/>
    <w:rsid w:val="00E91804"/>
    <w:rsid w:val="00E96027"/>
    <w:rsid w:val="00E96034"/>
    <w:rsid w:val="00E96D22"/>
    <w:rsid w:val="00E973CC"/>
    <w:rsid w:val="00E97C80"/>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4090"/>
    <w:rsid w:val="00EC57E9"/>
    <w:rsid w:val="00ED004F"/>
    <w:rsid w:val="00ED10C0"/>
    <w:rsid w:val="00ED2F68"/>
    <w:rsid w:val="00ED330C"/>
    <w:rsid w:val="00ED4650"/>
    <w:rsid w:val="00ED4E71"/>
    <w:rsid w:val="00ED579C"/>
    <w:rsid w:val="00ED6F0F"/>
    <w:rsid w:val="00EE273E"/>
    <w:rsid w:val="00EE5481"/>
    <w:rsid w:val="00EE5715"/>
    <w:rsid w:val="00EE789B"/>
    <w:rsid w:val="00EF0189"/>
    <w:rsid w:val="00EF1E24"/>
    <w:rsid w:val="00EF2746"/>
    <w:rsid w:val="00EF53C7"/>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3F83"/>
    <w:rsid w:val="00F3402F"/>
    <w:rsid w:val="00F35127"/>
    <w:rsid w:val="00F35FE1"/>
    <w:rsid w:val="00F37FFA"/>
    <w:rsid w:val="00F40796"/>
    <w:rsid w:val="00F416F7"/>
    <w:rsid w:val="00F42364"/>
    <w:rsid w:val="00F426C7"/>
    <w:rsid w:val="00F42D25"/>
    <w:rsid w:val="00F460CB"/>
    <w:rsid w:val="00F5235F"/>
    <w:rsid w:val="00F56C0A"/>
    <w:rsid w:val="00F57D4D"/>
    <w:rsid w:val="00F60396"/>
    <w:rsid w:val="00F60FAC"/>
    <w:rsid w:val="00F61460"/>
    <w:rsid w:val="00F64ABF"/>
    <w:rsid w:val="00F67B34"/>
    <w:rsid w:val="00F7111B"/>
    <w:rsid w:val="00F71E86"/>
    <w:rsid w:val="00F7336E"/>
    <w:rsid w:val="00F80C39"/>
    <w:rsid w:val="00F81976"/>
    <w:rsid w:val="00F819F5"/>
    <w:rsid w:val="00F86556"/>
    <w:rsid w:val="00F90BFC"/>
    <w:rsid w:val="00F9403A"/>
    <w:rsid w:val="00F9460C"/>
    <w:rsid w:val="00F970F0"/>
    <w:rsid w:val="00F97924"/>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64D968C0-1BBB-4B4A-B053-FD96C5D1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fr-FR"/>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fr-FR"/>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fr-FR"/>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fr-FR"/>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fr-FR"/>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fr-FR"/>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fr-FR"/>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fr-FR"/>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fr-FR"/>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fr-FR"/>
    </w:rPr>
  </w:style>
  <w:style w:type="character" w:customStyle="1" w:styleId="VerbatimChar">
    <w:name w:val="Verbatim Char"/>
    <w:basedOn w:val="CaptionChar"/>
    <w:link w:val="SourceCode"/>
    <w:rsid w:val="002C38FA"/>
    <w:rPr>
      <w:rFonts w:ascii="Consolas" w:hAnsi="Consolas"/>
      <w:i/>
      <w:sz w:val="24"/>
      <w:szCs w:val="24"/>
      <w:shd w:val="clear" w:color="auto" w:fill="F8F8F8"/>
      <w:lang w:val="fr-FR"/>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fr-FR"/>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 w:type="character" w:customStyle="1" w:styleId="ui-provider">
    <w:name w:val="ui-provider"/>
    <w:basedOn w:val="DefaultParagraphFont"/>
    <w:rsid w:val="005D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18-06-f.pdf" TargetMode="External"/><Relationship Id="rId13" Type="http://schemas.openxmlformats.org/officeDocument/2006/relationships/hyperlink" Target="https://www.iccat.int/Documents/Recs/compendiopdf-f/2009-07-f.pdf" TargetMode="External"/><Relationship Id="rId18" Type="http://schemas.openxmlformats.org/officeDocument/2006/relationships/hyperlink" Target="https://www.iccat.int/Documents/Recs/compendiopdf-f/2015-06-f.pdf" TargetMode="External"/><Relationship Id="rId3" Type="http://schemas.openxmlformats.org/officeDocument/2006/relationships/settings" Target="settings.xml"/><Relationship Id="rId7" Type="http://schemas.openxmlformats.org/officeDocument/2006/relationships/hyperlink" Target="https://www.iccat.int/Documents/Recs/compendiopdf-f/2018-06-f.pdf" TargetMode="External"/><Relationship Id="rId12" Type="http://schemas.openxmlformats.org/officeDocument/2006/relationships/hyperlink" Target="https://www.iccat.int/Documents/Recs/compendiopdf-f/2007-06-f.pdf" TargetMode="External"/><Relationship Id="rId17" Type="http://schemas.openxmlformats.org/officeDocument/2006/relationships/hyperlink" Target="https://www.iccat.int/Documents/Recs/compendiopdf-f/2011-15-f.pdf" TargetMode="External"/><Relationship Id="rId2" Type="http://schemas.openxmlformats.org/officeDocument/2006/relationships/styles" Target="styles.xml"/><Relationship Id="rId16" Type="http://schemas.openxmlformats.org/officeDocument/2006/relationships/hyperlink" Target="https://www.iccat.int/Documents/Recs/compendiopdf-f/2010-08-f.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f/2004-10-f.pdf" TargetMode="External"/><Relationship Id="rId5" Type="http://schemas.openxmlformats.org/officeDocument/2006/relationships/footnotes" Target="footnotes.xml"/><Relationship Id="rId15" Type="http://schemas.openxmlformats.org/officeDocument/2006/relationships/hyperlink" Target="https://www.iccat.int/Documents/Recs/compendiopdf-f/2010-08-f.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iccat.int/Documents/Recs/compendiopdf-f/2010-07-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Dorothee Pinet</cp:lastModifiedBy>
  <cp:revision>41</cp:revision>
  <dcterms:created xsi:type="dcterms:W3CDTF">2025-07-22T07:16:00Z</dcterms:created>
  <dcterms:modified xsi:type="dcterms:W3CDTF">2025-11-16T07:50:00Z</dcterms:modified>
</cp:coreProperties>
</file>