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105D" w14:textId="381B4AD8" w:rsidR="00EE13A9" w:rsidRPr="00BC0364" w:rsidRDefault="00EE13A9" w:rsidP="00EE13A9">
      <w:pPr>
        <w:jc w:val="right"/>
        <w:rPr>
          <w:rFonts w:ascii="Cambria" w:hAnsi="Cambria"/>
          <w:b/>
          <w:bCs/>
          <w:sz w:val="20"/>
          <w:szCs w:val="20"/>
        </w:rPr>
      </w:pPr>
      <w:r>
        <w:rPr>
          <w:rFonts w:ascii="Cambria" w:hAnsi="Cambria"/>
          <w:b/>
          <w:sz w:val="20"/>
        </w:rPr>
        <w:t>Original: inglés</w:t>
      </w:r>
    </w:p>
    <w:p w14:paraId="7F1CFC5D" w14:textId="77777777" w:rsidR="00BC0364" w:rsidRDefault="00BC0364" w:rsidP="00EB38D7">
      <w:pPr>
        <w:jc w:val="center"/>
        <w:rPr>
          <w:rFonts w:ascii="Cambria" w:hAnsi="Cambria"/>
          <w:b/>
          <w:bCs/>
          <w:sz w:val="20"/>
          <w:szCs w:val="20"/>
        </w:rPr>
      </w:pPr>
    </w:p>
    <w:p w14:paraId="70A6BA3F" w14:textId="4E99EC47" w:rsidR="00AA6D12" w:rsidRPr="00BC0364" w:rsidRDefault="00EB38D7" w:rsidP="00EB38D7">
      <w:pPr>
        <w:jc w:val="center"/>
        <w:rPr>
          <w:rFonts w:ascii="Cambria" w:hAnsi="Cambria"/>
          <w:b/>
          <w:bCs/>
          <w:sz w:val="20"/>
          <w:szCs w:val="20"/>
        </w:rPr>
      </w:pPr>
      <w:r>
        <w:rPr>
          <w:rFonts w:ascii="Cambria" w:hAnsi="Cambria"/>
          <w:b/>
          <w:sz w:val="20"/>
        </w:rPr>
        <w:t xml:space="preserve">Revisión de la </w:t>
      </w:r>
      <w:r w:rsidR="004D17ED">
        <w:rPr>
          <w:rFonts w:ascii="Cambria" w:hAnsi="Cambria"/>
          <w:b/>
          <w:sz w:val="20"/>
        </w:rPr>
        <w:t>implementación</w:t>
      </w:r>
      <w:r>
        <w:rPr>
          <w:rFonts w:ascii="Cambria" w:hAnsi="Cambria"/>
          <w:b/>
          <w:sz w:val="20"/>
        </w:rPr>
        <w:t xml:space="preserve"> de las </w:t>
      </w:r>
      <w:r w:rsidR="004D17ED">
        <w:rPr>
          <w:rFonts w:ascii="Cambria" w:hAnsi="Cambria"/>
          <w:b/>
          <w:sz w:val="20"/>
        </w:rPr>
        <w:t xml:space="preserve">Recomendaciones </w:t>
      </w:r>
      <w:r>
        <w:rPr>
          <w:rFonts w:ascii="Cambria" w:hAnsi="Cambria"/>
          <w:b/>
          <w:sz w:val="20"/>
        </w:rPr>
        <w:t>sobre tiburones</w:t>
      </w:r>
    </w:p>
    <w:p w14:paraId="4DDDAB72" w14:textId="418A21D4" w:rsidR="00EB38D7" w:rsidRPr="00BC0364" w:rsidRDefault="00EB38D7" w:rsidP="00EB38D7">
      <w:pPr>
        <w:jc w:val="center"/>
        <w:rPr>
          <w:rFonts w:ascii="Cambria" w:hAnsi="Cambria"/>
          <w:i/>
          <w:iCs/>
          <w:sz w:val="20"/>
          <w:szCs w:val="20"/>
        </w:rPr>
      </w:pPr>
      <w:r>
        <w:rPr>
          <w:rFonts w:ascii="Cambria" w:hAnsi="Cambria"/>
          <w:i/>
          <w:sz w:val="20"/>
        </w:rPr>
        <w:t>(Amigos del presidente del COC (Japón))</w:t>
      </w:r>
    </w:p>
    <w:p w14:paraId="456A54B4" w14:textId="2BEE071B" w:rsidR="00EB38D7" w:rsidRPr="00BC0364" w:rsidRDefault="00EB38D7" w:rsidP="00EB38D7">
      <w:pPr>
        <w:jc w:val="left"/>
        <w:rPr>
          <w:rFonts w:ascii="Cambria" w:hAnsi="Cambria"/>
          <w:sz w:val="20"/>
          <w:szCs w:val="20"/>
        </w:rPr>
      </w:pPr>
    </w:p>
    <w:p w14:paraId="18727AD0" w14:textId="1D4893E9" w:rsidR="00136BCC" w:rsidRPr="00BC0364" w:rsidRDefault="00136BCC" w:rsidP="00BC0364">
      <w:pPr>
        <w:rPr>
          <w:rFonts w:ascii="Cambria" w:hAnsi="Cambria"/>
          <w:sz w:val="20"/>
          <w:szCs w:val="20"/>
        </w:rPr>
      </w:pPr>
      <w:r>
        <w:rPr>
          <w:rFonts w:ascii="Cambria" w:hAnsi="Cambria"/>
          <w:sz w:val="20"/>
        </w:rPr>
        <w:t xml:space="preserve">Como uno de los amigos del presidente del COC, Japón informa a las CPC sobre el estado de </w:t>
      </w:r>
      <w:r w:rsidR="00DA0AD5">
        <w:rPr>
          <w:rFonts w:ascii="Cambria" w:hAnsi="Cambria"/>
          <w:sz w:val="20"/>
        </w:rPr>
        <w:t>implementación</w:t>
      </w:r>
      <w:r>
        <w:rPr>
          <w:rFonts w:ascii="Cambria" w:hAnsi="Cambria"/>
          <w:sz w:val="20"/>
        </w:rPr>
        <w:t xml:space="preserve"> de las Recomendaciones de ICCAT relacionadas con los tiburones. La revisión se realizó sobre la base de las </w:t>
      </w:r>
      <w:r w:rsidR="00715E27">
        <w:rPr>
          <w:rFonts w:ascii="Cambria" w:hAnsi="Cambria"/>
          <w:sz w:val="20"/>
        </w:rPr>
        <w:t xml:space="preserve">hojas de comprobación </w:t>
      </w:r>
      <w:r>
        <w:rPr>
          <w:rFonts w:ascii="Cambria" w:hAnsi="Cambria"/>
          <w:sz w:val="20"/>
        </w:rPr>
        <w:t>de tiburones presentadas.</w:t>
      </w:r>
    </w:p>
    <w:p w14:paraId="644142E1" w14:textId="77777777" w:rsidR="00EB38D7" w:rsidRDefault="00EB38D7" w:rsidP="00BC0364">
      <w:pPr>
        <w:rPr>
          <w:rFonts w:ascii="Cambria" w:hAnsi="Cambria"/>
          <w:sz w:val="20"/>
          <w:szCs w:val="20"/>
        </w:rPr>
      </w:pPr>
    </w:p>
    <w:p w14:paraId="17541729" w14:textId="77777777" w:rsidR="00FE669B" w:rsidRPr="00BC0364" w:rsidRDefault="00FE669B" w:rsidP="00BC0364">
      <w:pPr>
        <w:rPr>
          <w:rFonts w:ascii="Cambria" w:hAnsi="Cambria"/>
          <w:sz w:val="20"/>
          <w:szCs w:val="20"/>
        </w:rPr>
      </w:pPr>
    </w:p>
    <w:p w14:paraId="0BCBED6D" w14:textId="45C828DF" w:rsidR="00EB38D7" w:rsidRPr="00BC0364" w:rsidRDefault="00EB38D7" w:rsidP="00BC0364">
      <w:pPr>
        <w:pStyle w:val="ListParagraph"/>
        <w:numPr>
          <w:ilvl w:val="0"/>
          <w:numId w:val="1"/>
        </w:numPr>
        <w:rPr>
          <w:rFonts w:ascii="Cambria" w:hAnsi="Cambria"/>
          <w:b/>
          <w:bCs/>
          <w:sz w:val="20"/>
          <w:szCs w:val="20"/>
        </w:rPr>
      </w:pPr>
      <w:r>
        <w:rPr>
          <w:rFonts w:ascii="Cambria" w:hAnsi="Cambria"/>
          <w:b/>
          <w:sz w:val="20"/>
        </w:rPr>
        <w:t>Recomendaciones para esta revisión</w:t>
      </w:r>
    </w:p>
    <w:p w14:paraId="26DC06ED" w14:textId="77777777" w:rsidR="00BC0364" w:rsidRDefault="00BC0364" w:rsidP="00BC0364">
      <w:pPr>
        <w:rPr>
          <w:rFonts w:ascii="Cambria" w:hAnsi="Cambria"/>
          <w:sz w:val="20"/>
          <w:szCs w:val="20"/>
        </w:rPr>
      </w:pPr>
    </w:p>
    <w:p w14:paraId="14D82A63" w14:textId="4E1793A1" w:rsidR="00EB38D7" w:rsidRPr="00BC0364" w:rsidRDefault="00146C55" w:rsidP="00BC0364">
      <w:pPr>
        <w:rPr>
          <w:rFonts w:ascii="Cambria" w:hAnsi="Cambria"/>
          <w:sz w:val="20"/>
          <w:szCs w:val="20"/>
        </w:rPr>
      </w:pPr>
      <w:r>
        <w:rPr>
          <w:rFonts w:ascii="Cambria" w:hAnsi="Cambria"/>
          <w:sz w:val="20"/>
        </w:rPr>
        <w:t xml:space="preserve">En este documento se examinan las siguientes </w:t>
      </w:r>
      <w:r w:rsidR="00715E27">
        <w:rPr>
          <w:rFonts w:ascii="Cambria" w:hAnsi="Cambria"/>
          <w:sz w:val="20"/>
        </w:rPr>
        <w:t>Recomendaciones</w:t>
      </w:r>
      <w:r>
        <w:rPr>
          <w:rFonts w:ascii="Cambria" w:hAnsi="Cambria"/>
          <w:sz w:val="20"/>
        </w:rPr>
        <w:t xml:space="preserve">. Debido a la falta de tiempo, las Recomendaciones relativas al tiburón azul y al marrajo dientuso no se incluyen en esta revisión.  </w:t>
      </w:r>
    </w:p>
    <w:p w14:paraId="4087306C" w14:textId="77777777" w:rsidR="00261660" w:rsidRPr="00BC0364" w:rsidRDefault="00261660" w:rsidP="00BC0364">
      <w:pPr>
        <w:rPr>
          <w:rFonts w:ascii="Cambria" w:hAnsi="Cambria"/>
          <w:sz w:val="20"/>
          <w:szCs w:val="20"/>
        </w:rPr>
      </w:pPr>
    </w:p>
    <w:p w14:paraId="2B6B6F5B" w14:textId="523E53CB" w:rsidR="00136BCC" w:rsidRPr="00BC0364" w:rsidRDefault="00136BCC" w:rsidP="004D17ED">
      <w:pPr>
        <w:ind w:left="567" w:hanging="567"/>
        <w:rPr>
          <w:rFonts w:ascii="Cambria" w:hAnsi="Cambria"/>
          <w:sz w:val="20"/>
          <w:szCs w:val="20"/>
        </w:rPr>
      </w:pPr>
      <w:r>
        <w:rPr>
          <w:rFonts w:ascii="Cambria" w:hAnsi="Cambria"/>
          <w:sz w:val="20"/>
        </w:rPr>
        <w:t xml:space="preserve">- </w:t>
      </w:r>
      <w:r w:rsidR="004D17ED">
        <w:rPr>
          <w:rFonts w:ascii="Cambria" w:hAnsi="Cambria"/>
          <w:sz w:val="20"/>
        </w:rPr>
        <w:tab/>
      </w:r>
      <w:r>
        <w:rPr>
          <w:rFonts w:ascii="Cambria" w:hAnsi="Cambria"/>
          <w:i/>
          <w:sz w:val="20"/>
        </w:rPr>
        <w:t xml:space="preserve">Recomendación de ICCAT sobre la conservación de tiburones capturados en asociación con las pesquerías que son competencia de ICCAT </w:t>
      </w:r>
      <w:r>
        <w:rPr>
          <w:rFonts w:ascii="Cambria" w:hAnsi="Cambria"/>
          <w:sz w:val="20"/>
        </w:rPr>
        <w:t>(Rec. 04-10),</w:t>
      </w:r>
    </w:p>
    <w:p w14:paraId="17506C99" w14:textId="3C217162" w:rsidR="00136BCC" w:rsidRPr="00BC0364" w:rsidRDefault="00136BCC" w:rsidP="004D17ED">
      <w:pPr>
        <w:ind w:left="567" w:hanging="567"/>
        <w:rPr>
          <w:rFonts w:ascii="Cambria" w:hAnsi="Cambria"/>
          <w:sz w:val="20"/>
          <w:szCs w:val="20"/>
        </w:rPr>
      </w:pPr>
      <w:r>
        <w:rPr>
          <w:rFonts w:ascii="Cambria" w:hAnsi="Cambria"/>
          <w:sz w:val="20"/>
        </w:rPr>
        <w:t xml:space="preserve">- </w:t>
      </w:r>
      <w:r w:rsidR="004D17ED">
        <w:rPr>
          <w:rFonts w:ascii="Cambria" w:hAnsi="Cambria"/>
          <w:sz w:val="20"/>
        </w:rPr>
        <w:tab/>
      </w:r>
      <w:r>
        <w:rPr>
          <w:rFonts w:ascii="Cambria" w:hAnsi="Cambria"/>
          <w:i/>
          <w:sz w:val="20"/>
        </w:rPr>
        <w:t xml:space="preserve">Recomendación suplementaria de ICCAT sobre </w:t>
      </w:r>
      <w:r w:rsidR="00D90149">
        <w:rPr>
          <w:rFonts w:ascii="Cambria" w:hAnsi="Cambria"/>
          <w:i/>
          <w:sz w:val="20"/>
        </w:rPr>
        <w:t xml:space="preserve">tiburones </w:t>
      </w:r>
      <w:r w:rsidR="00D90149" w:rsidRPr="00D90149">
        <w:rPr>
          <w:rFonts w:ascii="Cambria" w:hAnsi="Cambria"/>
          <w:iCs/>
          <w:sz w:val="20"/>
        </w:rPr>
        <w:t>(</w:t>
      </w:r>
      <w:r w:rsidRPr="00D90149">
        <w:rPr>
          <w:rFonts w:ascii="Cambria" w:hAnsi="Cambria"/>
          <w:iCs/>
          <w:sz w:val="20"/>
        </w:rPr>
        <w:t>Rec. 07-06),</w:t>
      </w:r>
    </w:p>
    <w:p w14:paraId="69227BF0" w14:textId="6A077FE3" w:rsidR="00136BCC" w:rsidRPr="00BC0364" w:rsidRDefault="00136BCC" w:rsidP="004D17ED">
      <w:pPr>
        <w:ind w:left="567" w:hanging="567"/>
        <w:rPr>
          <w:rFonts w:ascii="Cambria" w:hAnsi="Cambria"/>
          <w:sz w:val="20"/>
          <w:szCs w:val="20"/>
        </w:rPr>
      </w:pPr>
      <w:r>
        <w:rPr>
          <w:rFonts w:ascii="Cambria" w:hAnsi="Cambria"/>
          <w:sz w:val="20"/>
        </w:rPr>
        <w:t xml:space="preserve">- </w:t>
      </w:r>
      <w:r w:rsidR="004D17ED">
        <w:rPr>
          <w:rFonts w:ascii="Cambria" w:hAnsi="Cambria"/>
          <w:sz w:val="20"/>
        </w:rPr>
        <w:tab/>
      </w:r>
      <w:r>
        <w:rPr>
          <w:rFonts w:ascii="Cambria" w:hAnsi="Cambria"/>
          <w:i/>
          <w:sz w:val="20"/>
        </w:rPr>
        <w:t xml:space="preserve">Recomendación de ICCAT sobre la conservación de los tiburones zorro capturados en asociación con las pesquerías en la zona del Convenio ICCAT </w:t>
      </w:r>
      <w:r>
        <w:rPr>
          <w:rFonts w:ascii="Cambria" w:hAnsi="Cambria"/>
          <w:sz w:val="20"/>
        </w:rPr>
        <w:t>(Rec. 09-07),</w:t>
      </w:r>
    </w:p>
    <w:p w14:paraId="7D9E0B38" w14:textId="3CC205A6" w:rsidR="00261660" w:rsidRPr="00BC0364" w:rsidRDefault="00136BCC" w:rsidP="004D17ED">
      <w:pPr>
        <w:ind w:left="567" w:hanging="567"/>
        <w:rPr>
          <w:rFonts w:ascii="Cambria" w:hAnsi="Cambria"/>
          <w:sz w:val="20"/>
          <w:szCs w:val="20"/>
        </w:rPr>
      </w:pPr>
      <w:r>
        <w:rPr>
          <w:rFonts w:ascii="Cambria" w:hAnsi="Cambria"/>
          <w:sz w:val="20"/>
        </w:rPr>
        <w:t xml:space="preserve">- </w:t>
      </w:r>
      <w:r w:rsidR="004D17ED">
        <w:rPr>
          <w:rFonts w:ascii="Cambria" w:hAnsi="Cambria"/>
          <w:sz w:val="20"/>
        </w:rPr>
        <w:tab/>
      </w:r>
      <w:r>
        <w:rPr>
          <w:rFonts w:ascii="Cambria" w:hAnsi="Cambria"/>
          <w:i/>
          <w:sz w:val="20"/>
        </w:rPr>
        <w:t xml:space="preserve">Recomendación de ICCAT sobre la conservación de los tiburones oceánicos capturados en asociación con las pesquerías en la zona del Convenio de ICCAT </w:t>
      </w:r>
      <w:r>
        <w:rPr>
          <w:rFonts w:ascii="Cambria" w:hAnsi="Cambria"/>
          <w:sz w:val="20"/>
        </w:rPr>
        <w:t>(Rec. 10-07),</w:t>
      </w:r>
    </w:p>
    <w:p w14:paraId="33214BB8" w14:textId="7A5F9781" w:rsidR="00261660" w:rsidRPr="00BC0364" w:rsidRDefault="00136BCC" w:rsidP="004D17ED">
      <w:pPr>
        <w:ind w:left="567" w:hanging="567"/>
        <w:rPr>
          <w:rFonts w:ascii="Cambria" w:hAnsi="Cambria"/>
          <w:sz w:val="20"/>
          <w:szCs w:val="20"/>
        </w:rPr>
      </w:pPr>
      <w:r>
        <w:rPr>
          <w:rFonts w:ascii="Cambria" w:hAnsi="Cambria"/>
          <w:sz w:val="20"/>
        </w:rPr>
        <w:t xml:space="preserve">-  </w:t>
      </w:r>
      <w:r w:rsidR="004D17ED">
        <w:rPr>
          <w:rFonts w:ascii="Cambria" w:hAnsi="Cambria"/>
          <w:sz w:val="20"/>
        </w:rPr>
        <w:tab/>
      </w:r>
      <w:r>
        <w:rPr>
          <w:rFonts w:ascii="Cambria" w:hAnsi="Cambria"/>
          <w:i/>
          <w:iCs/>
          <w:sz w:val="20"/>
        </w:rPr>
        <w:t xml:space="preserve">Recomendación de ICCAT sobre peces martillo (familia </w:t>
      </w:r>
      <w:proofErr w:type="spellStart"/>
      <w:r>
        <w:rPr>
          <w:rFonts w:ascii="Cambria" w:hAnsi="Cambria"/>
          <w:sz w:val="20"/>
        </w:rPr>
        <w:t>Sphyrnidae</w:t>
      </w:r>
      <w:proofErr w:type="spellEnd"/>
      <w:r>
        <w:rPr>
          <w:rFonts w:ascii="Cambria" w:hAnsi="Cambria"/>
          <w:i/>
          <w:iCs/>
          <w:sz w:val="20"/>
        </w:rPr>
        <w:t xml:space="preserve">) capturados en asociación con las pesquerías gestionadas por ICCAT </w:t>
      </w:r>
      <w:r>
        <w:rPr>
          <w:rFonts w:ascii="Cambria" w:hAnsi="Cambria"/>
          <w:sz w:val="20"/>
        </w:rPr>
        <w:t>(Rec. 10-08),</w:t>
      </w:r>
    </w:p>
    <w:p w14:paraId="1F62ACBC" w14:textId="335B6C43" w:rsidR="00261660" w:rsidRPr="00BC0364" w:rsidRDefault="00136BCC" w:rsidP="004D17ED">
      <w:pPr>
        <w:ind w:left="567" w:hanging="567"/>
        <w:rPr>
          <w:rFonts w:ascii="Cambria" w:hAnsi="Cambria"/>
          <w:sz w:val="20"/>
          <w:szCs w:val="20"/>
        </w:rPr>
      </w:pPr>
      <w:r>
        <w:rPr>
          <w:rFonts w:ascii="Cambria" w:hAnsi="Cambria"/>
          <w:sz w:val="20"/>
        </w:rPr>
        <w:t xml:space="preserve">- </w:t>
      </w:r>
      <w:r w:rsidR="0010158F">
        <w:rPr>
          <w:rFonts w:ascii="Cambria" w:hAnsi="Cambria"/>
          <w:sz w:val="20"/>
        </w:rPr>
        <w:tab/>
      </w:r>
      <w:r>
        <w:rPr>
          <w:rFonts w:ascii="Cambria" w:hAnsi="Cambria"/>
          <w:i/>
          <w:iCs/>
          <w:sz w:val="20"/>
        </w:rPr>
        <w:t xml:space="preserve">Recomendación de ICCAT sobre la conservación del tiburón jaquetón capturado en asociación con las pesquerías de ICCAT </w:t>
      </w:r>
      <w:r>
        <w:rPr>
          <w:rFonts w:ascii="Cambria" w:hAnsi="Cambria"/>
          <w:sz w:val="20"/>
        </w:rPr>
        <w:t>(Rec. 11-08),</w:t>
      </w:r>
    </w:p>
    <w:p w14:paraId="5D7856BE" w14:textId="55551FCE" w:rsidR="00261660" w:rsidRPr="00BC0364" w:rsidRDefault="00136BCC" w:rsidP="004D17ED">
      <w:pPr>
        <w:ind w:left="567" w:hanging="567"/>
        <w:rPr>
          <w:rFonts w:ascii="Cambria" w:hAnsi="Cambria"/>
          <w:sz w:val="20"/>
          <w:szCs w:val="20"/>
        </w:rPr>
      </w:pPr>
      <w:r>
        <w:rPr>
          <w:rFonts w:ascii="Cambria" w:hAnsi="Cambria"/>
          <w:sz w:val="20"/>
        </w:rPr>
        <w:t xml:space="preserve">-  </w:t>
      </w:r>
      <w:r w:rsidR="0010158F">
        <w:rPr>
          <w:rFonts w:ascii="Cambria" w:hAnsi="Cambria"/>
          <w:sz w:val="20"/>
        </w:rPr>
        <w:tab/>
      </w:r>
      <w:r>
        <w:rPr>
          <w:rFonts w:ascii="Cambria" w:hAnsi="Cambria"/>
          <w:i/>
          <w:sz w:val="20"/>
        </w:rPr>
        <w:t xml:space="preserve">Recomendación de ICCAT sobre marrajo sardinero capturado en asociación con pesquerías de ICCAT </w:t>
      </w:r>
      <w:r>
        <w:rPr>
          <w:rFonts w:ascii="Cambria" w:hAnsi="Cambria"/>
          <w:sz w:val="20"/>
        </w:rPr>
        <w:t>(Rec. 15-06),</w:t>
      </w:r>
    </w:p>
    <w:p w14:paraId="6CA4B0DB" w14:textId="3DB1F708" w:rsidR="00261660" w:rsidRPr="00BC0364" w:rsidRDefault="00136BCC" w:rsidP="004D17ED">
      <w:pPr>
        <w:ind w:left="567" w:hanging="567"/>
        <w:rPr>
          <w:rFonts w:ascii="Cambria" w:hAnsi="Cambria"/>
          <w:sz w:val="20"/>
          <w:szCs w:val="20"/>
        </w:rPr>
      </w:pPr>
      <w:r>
        <w:rPr>
          <w:rFonts w:ascii="Cambria" w:hAnsi="Cambria"/>
          <w:sz w:val="20"/>
        </w:rPr>
        <w:t xml:space="preserve">- </w:t>
      </w:r>
      <w:r>
        <w:rPr>
          <w:rFonts w:ascii="Cambria" w:hAnsi="Cambria"/>
          <w:i/>
          <w:sz w:val="20"/>
        </w:rPr>
        <w:t xml:space="preserve"> </w:t>
      </w:r>
      <w:r w:rsidR="0010158F">
        <w:rPr>
          <w:rFonts w:ascii="Cambria" w:hAnsi="Cambria"/>
          <w:i/>
          <w:sz w:val="20"/>
        </w:rPr>
        <w:tab/>
      </w:r>
      <w:r>
        <w:rPr>
          <w:rFonts w:ascii="Cambria" w:hAnsi="Cambria"/>
          <w:i/>
          <w:sz w:val="20"/>
        </w:rPr>
        <w:t>Recomendación de ICCAT para sustituir la Recomendación 16-13 para mejorar la revisión del cumplimiento de las medidas de conservación y ordenación relacionadas con los tiburones capturados en asociación con las pesquerías de ICCAT</w:t>
      </w:r>
      <w:r>
        <w:rPr>
          <w:rFonts w:ascii="Cambria" w:hAnsi="Cambria"/>
          <w:sz w:val="20"/>
        </w:rPr>
        <w:t xml:space="preserve"> (Rec. 18-06) y</w:t>
      </w:r>
    </w:p>
    <w:p w14:paraId="550D0146" w14:textId="6F5EB589" w:rsidR="00EB38D7" w:rsidRPr="00BC0364" w:rsidRDefault="00136BCC" w:rsidP="004D17ED">
      <w:pPr>
        <w:ind w:left="567" w:hanging="567"/>
        <w:rPr>
          <w:rFonts w:ascii="Cambria" w:hAnsi="Cambria"/>
          <w:sz w:val="20"/>
          <w:szCs w:val="20"/>
        </w:rPr>
      </w:pPr>
      <w:r>
        <w:rPr>
          <w:rFonts w:ascii="Cambria" w:hAnsi="Cambria"/>
          <w:sz w:val="20"/>
        </w:rPr>
        <w:t xml:space="preserve">-  </w:t>
      </w:r>
      <w:r w:rsidR="0010158F">
        <w:rPr>
          <w:rFonts w:ascii="Cambria" w:hAnsi="Cambria"/>
          <w:sz w:val="20"/>
        </w:rPr>
        <w:tab/>
      </w:r>
      <w:r>
        <w:rPr>
          <w:rFonts w:ascii="Cambria" w:hAnsi="Cambria"/>
          <w:i/>
          <w:iCs/>
          <w:sz w:val="20"/>
        </w:rPr>
        <w:t>Recomendación de ICCAT para la conservación del tiburón ballena (</w:t>
      </w:r>
      <w:proofErr w:type="spellStart"/>
      <w:r>
        <w:rPr>
          <w:rFonts w:ascii="Cambria" w:hAnsi="Cambria"/>
          <w:sz w:val="20"/>
        </w:rPr>
        <w:t>Rhincodon</w:t>
      </w:r>
      <w:proofErr w:type="spellEnd"/>
      <w:r>
        <w:rPr>
          <w:rFonts w:ascii="Cambria" w:hAnsi="Cambria"/>
          <w:sz w:val="20"/>
        </w:rPr>
        <w:t xml:space="preserve"> </w:t>
      </w:r>
      <w:proofErr w:type="spellStart"/>
      <w:r>
        <w:rPr>
          <w:rFonts w:ascii="Cambria" w:hAnsi="Cambria"/>
          <w:sz w:val="20"/>
        </w:rPr>
        <w:t>typus</w:t>
      </w:r>
      <w:proofErr w:type="spellEnd"/>
      <w:r>
        <w:rPr>
          <w:rFonts w:ascii="Cambria" w:hAnsi="Cambria"/>
          <w:sz w:val="20"/>
        </w:rPr>
        <w:t>)</w:t>
      </w:r>
      <w:r>
        <w:rPr>
          <w:rFonts w:ascii="Cambria" w:hAnsi="Cambria"/>
          <w:i/>
          <w:iCs/>
          <w:sz w:val="20"/>
        </w:rPr>
        <w:t xml:space="preserve"> capturado en asociación con las pesquerías de ICCAT</w:t>
      </w:r>
      <w:r>
        <w:rPr>
          <w:rFonts w:ascii="Cambria" w:hAnsi="Cambria"/>
          <w:sz w:val="20"/>
        </w:rPr>
        <w:t xml:space="preserve"> (Rec. 23-12).</w:t>
      </w:r>
    </w:p>
    <w:p w14:paraId="0B06BA61" w14:textId="77777777" w:rsidR="00EB38D7" w:rsidRPr="00BC0364" w:rsidRDefault="00EB38D7" w:rsidP="00EB38D7">
      <w:pPr>
        <w:jc w:val="left"/>
        <w:rPr>
          <w:rFonts w:ascii="Cambria" w:hAnsi="Cambria"/>
          <w:sz w:val="20"/>
          <w:szCs w:val="20"/>
        </w:rPr>
      </w:pPr>
    </w:p>
    <w:p w14:paraId="630825BD" w14:textId="77777777" w:rsidR="00EB38D7" w:rsidRPr="00BC0364" w:rsidRDefault="00EB38D7" w:rsidP="00EB38D7">
      <w:pPr>
        <w:jc w:val="left"/>
        <w:rPr>
          <w:rFonts w:ascii="Cambria" w:hAnsi="Cambria"/>
          <w:sz w:val="20"/>
          <w:szCs w:val="20"/>
        </w:rPr>
      </w:pPr>
    </w:p>
    <w:p w14:paraId="663DE0B1" w14:textId="2757934D" w:rsidR="005742BB" w:rsidRPr="00BC0364" w:rsidRDefault="00F64E16" w:rsidP="00EB38D7">
      <w:pPr>
        <w:pStyle w:val="ListParagraph"/>
        <w:numPr>
          <w:ilvl w:val="0"/>
          <w:numId w:val="1"/>
        </w:numPr>
        <w:jc w:val="left"/>
        <w:rPr>
          <w:rFonts w:ascii="Cambria" w:hAnsi="Cambria"/>
          <w:b/>
          <w:bCs/>
          <w:sz w:val="20"/>
          <w:szCs w:val="20"/>
        </w:rPr>
      </w:pPr>
      <w:r>
        <w:rPr>
          <w:rFonts w:ascii="Cambria" w:hAnsi="Cambria"/>
          <w:b/>
          <w:sz w:val="20"/>
        </w:rPr>
        <w:t>Obligaciones específicas revisadas en este documento.</w:t>
      </w:r>
    </w:p>
    <w:p w14:paraId="4B04C0B1" w14:textId="77777777" w:rsidR="00FE669B" w:rsidRDefault="00FE669B" w:rsidP="005742BB">
      <w:pPr>
        <w:jc w:val="left"/>
        <w:rPr>
          <w:rFonts w:ascii="Cambria" w:hAnsi="Cambria"/>
          <w:sz w:val="20"/>
          <w:szCs w:val="20"/>
        </w:rPr>
      </w:pPr>
    </w:p>
    <w:p w14:paraId="5409AF52" w14:textId="51FBA240" w:rsidR="00EB38D7" w:rsidRPr="00BC0364" w:rsidRDefault="00136BCC" w:rsidP="00463FC7">
      <w:pPr>
        <w:rPr>
          <w:rFonts w:ascii="Cambria" w:hAnsi="Cambria"/>
          <w:sz w:val="20"/>
          <w:szCs w:val="20"/>
        </w:rPr>
      </w:pPr>
      <w:r>
        <w:rPr>
          <w:rFonts w:ascii="Cambria" w:hAnsi="Cambria"/>
          <w:sz w:val="20"/>
        </w:rPr>
        <w:t xml:space="preserve">Este documento resume las observaciones generales sobre el estado de </w:t>
      </w:r>
      <w:r w:rsidR="00463FC7">
        <w:rPr>
          <w:rFonts w:ascii="Cambria" w:hAnsi="Cambria"/>
          <w:sz w:val="20"/>
        </w:rPr>
        <w:t>implementación</w:t>
      </w:r>
      <w:r>
        <w:rPr>
          <w:rFonts w:ascii="Cambria" w:hAnsi="Cambria"/>
          <w:sz w:val="20"/>
        </w:rPr>
        <w:t xml:space="preserve"> de las Recomendaciones y las observaciones sobre algunas obligaciones específicas:</w:t>
      </w:r>
    </w:p>
    <w:p w14:paraId="622336BF" w14:textId="77777777" w:rsidR="009C368F" w:rsidRPr="00BC0364" w:rsidRDefault="009C368F" w:rsidP="00EB38D7">
      <w:pPr>
        <w:jc w:val="left"/>
        <w:rPr>
          <w:rFonts w:ascii="Cambria" w:hAnsi="Cambria"/>
          <w:sz w:val="20"/>
          <w:szCs w:val="20"/>
        </w:rPr>
      </w:pPr>
    </w:p>
    <w:p w14:paraId="5BB8D94B" w14:textId="77777777" w:rsidR="002E2046" w:rsidRPr="00BC0364" w:rsidRDefault="00BC6CD1" w:rsidP="00EB38D7">
      <w:pPr>
        <w:pStyle w:val="ListParagraph"/>
        <w:numPr>
          <w:ilvl w:val="0"/>
          <w:numId w:val="2"/>
        </w:numPr>
        <w:jc w:val="left"/>
        <w:rPr>
          <w:rFonts w:ascii="Cambria" w:hAnsi="Cambria"/>
          <w:sz w:val="20"/>
          <w:szCs w:val="20"/>
        </w:rPr>
      </w:pPr>
      <w:bookmarkStart w:id="0" w:name="_Hlk211433524"/>
      <w:r>
        <w:rPr>
          <w:rFonts w:ascii="Cambria" w:hAnsi="Cambria"/>
          <w:sz w:val="20"/>
        </w:rPr>
        <w:t xml:space="preserve">Presentación de datos </w:t>
      </w:r>
    </w:p>
    <w:p w14:paraId="7C429268" w14:textId="77777777" w:rsidR="00FE669B" w:rsidRDefault="00FE669B" w:rsidP="002E2046">
      <w:pPr>
        <w:pStyle w:val="ListParagraph"/>
        <w:ind w:left="360"/>
        <w:jc w:val="left"/>
        <w:rPr>
          <w:rFonts w:ascii="Cambria" w:hAnsi="Cambria"/>
          <w:sz w:val="20"/>
          <w:szCs w:val="20"/>
        </w:rPr>
      </w:pPr>
    </w:p>
    <w:p w14:paraId="4142D03B" w14:textId="58FC85DA" w:rsidR="00487627" w:rsidRDefault="00FE669B" w:rsidP="002E2046">
      <w:pPr>
        <w:pStyle w:val="ListParagraph"/>
        <w:ind w:left="360"/>
        <w:jc w:val="left"/>
        <w:rPr>
          <w:rFonts w:ascii="Cambria" w:hAnsi="Cambria"/>
          <w:sz w:val="20"/>
          <w:szCs w:val="20"/>
        </w:rPr>
      </w:pPr>
      <w:r>
        <w:rPr>
          <w:rFonts w:ascii="Cambria" w:hAnsi="Cambria"/>
          <w:sz w:val="20"/>
        </w:rPr>
        <w:t>(Rec. 04-10</w:t>
      </w:r>
      <w:r w:rsidR="00463FC7">
        <w:rPr>
          <w:rFonts w:ascii="Cambria" w:hAnsi="Cambria"/>
          <w:sz w:val="20"/>
        </w:rPr>
        <w:t>,</w:t>
      </w:r>
      <w:r>
        <w:rPr>
          <w:rFonts w:ascii="Cambria" w:hAnsi="Cambria"/>
          <w:sz w:val="20"/>
        </w:rPr>
        <w:t xml:space="preserve"> párr. 1), (Rec. 07-06</w:t>
      </w:r>
      <w:r w:rsidR="00463FC7">
        <w:rPr>
          <w:rFonts w:ascii="Cambria" w:hAnsi="Cambria"/>
          <w:sz w:val="20"/>
        </w:rPr>
        <w:t>,</w:t>
      </w:r>
      <w:r>
        <w:rPr>
          <w:rFonts w:ascii="Cambria" w:hAnsi="Cambria"/>
          <w:sz w:val="20"/>
        </w:rPr>
        <w:t xml:space="preserve"> párr. 1), (Rec. 11-15</w:t>
      </w:r>
      <w:r w:rsidR="00463FC7">
        <w:rPr>
          <w:rFonts w:ascii="Cambria" w:hAnsi="Cambria"/>
          <w:sz w:val="20"/>
        </w:rPr>
        <w:t>,</w:t>
      </w:r>
      <w:r>
        <w:rPr>
          <w:rFonts w:ascii="Cambria" w:hAnsi="Cambria"/>
          <w:sz w:val="20"/>
        </w:rPr>
        <w:t xml:space="preserve"> párr. 1) y (Rec. 15-06</w:t>
      </w:r>
      <w:r w:rsidR="00463FC7">
        <w:rPr>
          <w:rFonts w:ascii="Cambria" w:hAnsi="Cambria"/>
          <w:sz w:val="20"/>
        </w:rPr>
        <w:t>,</w:t>
      </w:r>
      <w:r>
        <w:rPr>
          <w:rFonts w:ascii="Cambria" w:hAnsi="Cambria"/>
          <w:sz w:val="20"/>
        </w:rPr>
        <w:t xml:space="preserve"> párr. 2)</w:t>
      </w:r>
    </w:p>
    <w:p w14:paraId="18281489" w14:textId="77777777" w:rsidR="00FE669B" w:rsidRPr="00BC0364" w:rsidRDefault="00FE669B" w:rsidP="002E2046">
      <w:pPr>
        <w:pStyle w:val="ListParagraph"/>
        <w:ind w:left="360"/>
        <w:jc w:val="left"/>
        <w:rPr>
          <w:rFonts w:ascii="Cambria" w:hAnsi="Cambria"/>
          <w:sz w:val="20"/>
          <w:szCs w:val="20"/>
        </w:rPr>
      </w:pPr>
    </w:p>
    <w:p w14:paraId="6E4C0337" w14:textId="77777777" w:rsidR="002E2046" w:rsidRPr="00BC0364" w:rsidRDefault="00BC6CD1" w:rsidP="00EB38D7">
      <w:pPr>
        <w:pStyle w:val="ListParagraph"/>
        <w:numPr>
          <w:ilvl w:val="0"/>
          <w:numId w:val="2"/>
        </w:numPr>
        <w:jc w:val="left"/>
        <w:rPr>
          <w:rFonts w:ascii="Cambria" w:hAnsi="Cambria"/>
          <w:sz w:val="20"/>
          <w:szCs w:val="20"/>
        </w:rPr>
      </w:pPr>
      <w:r>
        <w:rPr>
          <w:rFonts w:ascii="Cambria" w:hAnsi="Cambria"/>
          <w:sz w:val="20"/>
        </w:rPr>
        <w:t xml:space="preserve">Utilización plena </w:t>
      </w:r>
    </w:p>
    <w:p w14:paraId="5EDE88CA" w14:textId="77777777" w:rsidR="00FE669B" w:rsidRDefault="00FE669B" w:rsidP="002E2046">
      <w:pPr>
        <w:ind w:firstLineChars="150" w:firstLine="300"/>
        <w:jc w:val="left"/>
        <w:rPr>
          <w:rFonts w:ascii="Cambria" w:hAnsi="Cambria"/>
          <w:sz w:val="20"/>
          <w:szCs w:val="20"/>
        </w:rPr>
      </w:pPr>
    </w:p>
    <w:p w14:paraId="5CB6621B" w14:textId="225EE18A" w:rsidR="00487627" w:rsidRDefault="00FE669B" w:rsidP="002E2046">
      <w:pPr>
        <w:ind w:firstLineChars="150" w:firstLine="300"/>
        <w:jc w:val="left"/>
        <w:rPr>
          <w:rFonts w:ascii="Cambria" w:hAnsi="Cambria"/>
          <w:sz w:val="20"/>
          <w:szCs w:val="20"/>
        </w:rPr>
      </w:pPr>
      <w:r>
        <w:rPr>
          <w:rFonts w:ascii="Cambria" w:hAnsi="Cambria"/>
          <w:sz w:val="20"/>
        </w:rPr>
        <w:t xml:space="preserve">(Rec. 04-10, párr. 2, párr. 3 y párr. 5) </w:t>
      </w:r>
    </w:p>
    <w:p w14:paraId="54348219" w14:textId="77777777" w:rsidR="00FE669B" w:rsidRPr="00BC0364" w:rsidRDefault="00FE669B" w:rsidP="002E2046">
      <w:pPr>
        <w:ind w:firstLineChars="150" w:firstLine="300"/>
        <w:jc w:val="left"/>
        <w:rPr>
          <w:rFonts w:ascii="Cambria" w:hAnsi="Cambria"/>
          <w:sz w:val="20"/>
          <w:szCs w:val="20"/>
        </w:rPr>
      </w:pPr>
    </w:p>
    <w:p w14:paraId="2F5D3E73" w14:textId="643A3A04" w:rsidR="002E2046" w:rsidRDefault="00BC6CD1" w:rsidP="00EB38D7">
      <w:pPr>
        <w:pStyle w:val="ListParagraph"/>
        <w:numPr>
          <w:ilvl w:val="0"/>
          <w:numId w:val="2"/>
        </w:numPr>
        <w:jc w:val="left"/>
        <w:rPr>
          <w:rFonts w:ascii="Cambria" w:hAnsi="Cambria"/>
          <w:sz w:val="20"/>
          <w:szCs w:val="20"/>
        </w:rPr>
      </w:pPr>
      <w:r>
        <w:rPr>
          <w:rFonts w:ascii="Cambria" w:hAnsi="Cambria"/>
          <w:sz w:val="20"/>
        </w:rPr>
        <w:t xml:space="preserve">Exención de la hoja de </w:t>
      </w:r>
      <w:r w:rsidR="00000E52">
        <w:rPr>
          <w:rFonts w:ascii="Cambria" w:hAnsi="Cambria"/>
          <w:sz w:val="20"/>
        </w:rPr>
        <w:t>comprobación</w:t>
      </w:r>
    </w:p>
    <w:p w14:paraId="2884B283" w14:textId="77777777" w:rsidR="00FE669B" w:rsidRPr="00BC0364" w:rsidRDefault="00FE669B" w:rsidP="00FE669B">
      <w:pPr>
        <w:pStyle w:val="ListParagraph"/>
        <w:ind w:left="360"/>
        <w:jc w:val="left"/>
        <w:rPr>
          <w:rFonts w:ascii="Cambria" w:hAnsi="Cambria"/>
          <w:sz w:val="20"/>
          <w:szCs w:val="20"/>
        </w:rPr>
      </w:pPr>
    </w:p>
    <w:p w14:paraId="41963E94" w14:textId="28D08658" w:rsidR="00487627" w:rsidRDefault="00FE669B" w:rsidP="002E2046">
      <w:pPr>
        <w:pStyle w:val="ListParagraph"/>
        <w:ind w:left="360"/>
        <w:jc w:val="left"/>
        <w:rPr>
          <w:rFonts w:ascii="Cambria" w:hAnsi="Cambria"/>
          <w:sz w:val="20"/>
          <w:szCs w:val="20"/>
        </w:rPr>
      </w:pPr>
      <w:r>
        <w:rPr>
          <w:rFonts w:ascii="Cambria" w:hAnsi="Cambria"/>
          <w:sz w:val="20"/>
        </w:rPr>
        <w:t>(Rec. 18-06</w:t>
      </w:r>
      <w:r w:rsidR="00000E52">
        <w:rPr>
          <w:rFonts w:ascii="Cambria" w:hAnsi="Cambria"/>
          <w:sz w:val="20"/>
        </w:rPr>
        <w:t>,</w:t>
      </w:r>
      <w:r>
        <w:rPr>
          <w:rFonts w:ascii="Cambria" w:hAnsi="Cambria"/>
          <w:sz w:val="20"/>
        </w:rPr>
        <w:t xml:space="preserve"> párr. 3)</w:t>
      </w:r>
    </w:p>
    <w:p w14:paraId="59AC8DD6" w14:textId="77777777" w:rsidR="00FE669B" w:rsidRPr="00BC0364" w:rsidRDefault="00FE669B" w:rsidP="002E2046">
      <w:pPr>
        <w:pStyle w:val="ListParagraph"/>
        <w:ind w:left="360"/>
        <w:jc w:val="left"/>
        <w:rPr>
          <w:rFonts w:ascii="Cambria" w:hAnsi="Cambria"/>
          <w:sz w:val="20"/>
          <w:szCs w:val="20"/>
        </w:rPr>
      </w:pPr>
    </w:p>
    <w:p w14:paraId="605F6329" w14:textId="6C471E2B" w:rsidR="002E2046" w:rsidRPr="00BC0364" w:rsidRDefault="00BC6CD1" w:rsidP="00EB38D7">
      <w:pPr>
        <w:pStyle w:val="ListParagraph"/>
        <w:numPr>
          <w:ilvl w:val="0"/>
          <w:numId w:val="2"/>
        </w:numPr>
        <w:jc w:val="left"/>
        <w:rPr>
          <w:rFonts w:ascii="Cambria" w:hAnsi="Cambria"/>
          <w:sz w:val="20"/>
          <w:szCs w:val="20"/>
        </w:rPr>
      </w:pPr>
      <w:r>
        <w:rPr>
          <w:rFonts w:ascii="Cambria" w:hAnsi="Cambria"/>
          <w:sz w:val="20"/>
        </w:rPr>
        <w:t xml:space="preserve">Prohibición de "retener a bordo, transbordar, desembarcar, almacenar, vender u ofrecer </w:t>
      </w:r>
      <w:r w:rsidR="006715DF">
        <w:rPr>
          <w:rFonts w:ascii="Cambria" w:hAnsi="Cambria"/>
          <w:sz w:val="20"/>
        </w:rPr>
        <w:t>para su</w:t>
      </w:r>
      <w:r>
        <w:rPr>
          <w:rFonts w:ascii="Cambria" w:hAnsi="Cambria"/>
          <w:sz w:val="20"/>
        </w:rPr>
        <w:t xml:space="preserve"> venta" </w:t>
      </w:r>
    </w:p>
    <w:p w14:paraId="52D609B0" w14:textId="77777777" w:rsidR="00FE669B" w:rsidRDefault="00FE669B" w:rsidP="00A202BD">
      <w:pPr>
        <w:pStyle w:val="ListParagraph"/>
        <w:ind w:left="360"/>
        <w:jc w:val="left"/>
        <w:rPr>
          <w:rFonts w:ascii="Cambria" w:hAnsi="Cambria"/>
          <w:sz w:val="20"/>
          <w:szCs w:val="20"/>
        </w:rPr>
      </w:pPr>
    </w:p>
    <w:p w14:paraId="20017F15" w14:textId="222D3BAB" w:rsidR="00A202BD" w:rsidRPr="00BC0364" w:rsidRDefault="00FE669B" w:rsidP="00A202BD">
      <w:pPr>
        <w:pStyle w:val="ListParagraph"/>
        <w:ind w:left="360"/>
        <w:jc w:val="left"/>
        <w:rPr>
          <w:rFonts w:ascii="Cambria" w:hAnsi="Cambria"/>
          <w:sz w:val="20"/>
          <w:szCs w:val="20"/>
        </w:rPr>
      </w:pPr>
      <w:r>
        <w:rPr>
          <w:rFonts w:ascii="Cambria" w:hAnsi="Cambria"/>
          <w:sz w:val="20"/>
        </w:rPr>
        <w:t>(Rec. 09-07</w:t>
      </w:r>
      <w:r w:rsidR="006715DF">
        <w:rPr>
          <w:rFonts w:ascii="Cambria" w:hAnsi="Cambria"/>
          <w:sz w:val="20"/>
        </w:rPr>
        <w:t>,</w:t>
      </w:r>
      <w:r>
        <w:rPr>
          <w:rFonts w:ascii="Cambria" w:hAnsi="Cambria"/>
          <w:sz w:val="20"/>
        </w:rPr>
        <w:t xml:space="preserve"> párrafo 1), (Rec. 10-07</w:t>
      </w:r>
      <w:r w:rsidR="006715DF">
        <w:rPr>
          <w:rFonts w:ascii="Cambria" w:hAnsi="Cambria"/>
          <w:sz w:val="20"/>
        </w:rPr>
        <w:t>,</w:t>
      </w:r>
      <w:r>
        <w:rPr>
          <w:rFonts w:ascii="Cambria" w:hAnsi="Cambria"/>
          <w:sz w:val="20"/>
        </w:rPr>
        <w:t xml:space="preserve"> párrafo 1), (Rec. 10-08</w:t>
      </w:r>
      <w:r w:rsidR="006715DF">
        <w:rPr>
          <w:rFonts w:ascii="Cambria" w:hAnsi="Cambria"/>
          <w:sz w:val="20"/>
        </w:rPr>
        <w:t>,</w:t>
      </w:r>
      <w:r>
        <w:rPr>
          <w:rFonts w:ascii="Cambria" w:hAnsi="Cambria"/>
          <w:sz w:val="20"/>
        </w:rPr>
        <w:t xml:space="preserve"> párrafo 1), (Rec. 11-08</w:t>
      </w:r>
      <w:r w:rsidR="006715DF">
        <w:rPr>
          <w:rFonts w:ascii="Cambria" w:hAnsi="Cambria"/>
          <w:sz w:val="20"/>
        </w:rPr>
        <w:t>,</w:t>
      </w:r>
      <w:r>
        <w:rPr>
          <w:rFonts w:ascii="Cambria" w:hAnsi="Cambria"/>
          <w:sz w:val="20"/>
        </w:rPr>
        <w:t xml:space="preserve"> párrafo 1)</w:t>
      </w:r>
      <w:r w:rsidR="006715DF">
        <w:rPr>
          <w:rFonts w:ascii="Cambria" w:hAnsi="Cambria"/>
          <w:sz w:val="20"/>
        </w:rPr>
        <w:t xml:space="preserve"> </w:t>
      </w:r>
      <w:r>
        <w:rPr>
          <w:rFonts w:ascii="Cambria" w:hAnsi="Cambria"/>
          <w:sz w:val="20"/>
        </w:rPr>
        <w:t>y (Rec. 23-12</w:t>
      </w:r>
      <w:r w:rsidR="006715DF">
        <w:rPr>
          <w:rFonts w:ascii="Cambria" w:hAnsi="Cambria"/>
          <w:sz w:val="20"/>
        </w:rPr>
        <w:t>,</w:t>
      </w:r>
      <w:r>
        <w:rPr>
          <w:rFonts w:ascii="Cambria" w:hAnsi="Cambria"/>
          <w:sz w:val="20"/>
        </w:rPr>
        <w:t xml:space="preserve"> párrafo 1</w:t>
      </w:r>
      <w:bookmarkEnd w:id="0"/>
      <w:r>
        <w:rPr>
          <w:rFonts w:ascii="Cambria" w:hAnsi="Cambria"/>
          <w:sz w:val="20"/>
        </w:rPr>
        <w:t>)</w:t>
      </w:r>
    </w:p>
    <w:p w14:paraId="01D4094E" w14:textId="77777777" w:rsidR="00EB38D7" w:rsidRPr="00BC0364" w:rsidRDefault="00EB38D7" w:rsidP="00EB38D7">
      <w:pPr>
        <w:jc w:val="left"/>
        <w:rPr>
          <w:rFonts w:ascii="Cambria" w:hAnsi="Cambria"/>
          <w:b/>
          <w:bCs/>
          <w:sz w:val="20"/>
          <w:szCs w:val="20"/>
        </w:rPr>
      </w:pPr>
    </w:p>
    <w:p w14:paraId="74B72704" w14:textId="77777777" w:rsidR="005E25B0" w:rsidRDefault="005E25B0" w:rsidP="00EB38D7">
      <w:pPr>
        <w:jc w:val="left"/>
        <w:rPr>
          <w:rFonts w:ascii="Cambria" w:hAnsi="Cambria"/>
          <w:b/>
          <w:bCs/>
          <w:sz w:val="20"/>
          <w:szCs w:val="20"/>
        </w:rPr>
      </w:pPr>
    </w:p>
    <w:p w14:paraId="14669DDE" w14:textId="77777777" w:rsidR="00FE669B" w:rsidRPr="00BC0364" w:rsidRDefault="00FE669B" w:rsidP="00EB38D7">
      <w:pPr>
        <w:jc w:val="left"/>
        <w:rPr>
          <w:rFonts w:ascii="Cambria" w:hAnsi="Cambria"/>
          <w:b/>
          <w:bCs/>
          <w:sz w:val="20"/>
          <w:szCs w:val="20"/>
        </w:rPr>
      </w:pPr>
    </w:p>
    <w:p w14:paraId="64EFDA9C" w14:textId="77777777" w:rsidR="005E25B0" w:rsidRPr="00BC0364" w:rsidRDefault="005E25B0" w:rsidP="00EB38D7">
      <w:pPr>
        <w:jc w:val="left"/>
        <w:rPr>
          <w:rFonts w:ascii="Cambria" w:hAnsi="Cambria"/>
          <w:b/>
          <w:bCs/>
          <w:sz w:val="20"/>
          <w:szCs w:val="20"/>
        </w:rPr>
      </w:pPr>
    </w:p>
    <w:p w14:paraId="447512BE" w14:textId="1F8A2828" w:rsidR="00EB38D7" w:rsidRDefault="00EB38D7" w:rsidP="00261660">
      <w:pPr>
        <w:pStyle w:val="ListParagraph"/>
        <w:numPr>
          <w:ilvl w:val="0"/>
          <w:numId w:val="1"/>
        </w:numPr>
        <w:jc w:val="left"/>
        <w:rPr>
          <w:rFonts w:ascii="Cambria" w:hAnsi="Cambria"/>
          <w:b/>
          <w:bCs/>
          <w:sz w:val="20"/>
          <w:szCs w:val="20"/>
        </w:rPr>
      </w:pPr>
      <w:r>
        <w:rPr>
          <w:rFonts w:ascii="Cambria" w:hAnsi="Cambria"/>
          <w:b/>
          <w:sz w:val="20"/>
        </w:rPr>
        <w:t>Resultados</w:t>
      </w:r>
    </w:p>
    <w:p w14:paraId="723C1A28" w14:textId="77777777" w:rsidR="00142529" w:rsidRPr="00BC0364" w:rsidRDefault="00142529" w:rsidP="00142529">
      <w:pPr>
        <w:pStyle w:val="ListParagraph"/>
        <w:ind w:left="360"/>
        <w:jc w:val="left"/>
        <w:rPr>
          <w:rFonts w:ascii="Cambria" w:hAnsi="Cambria"/>
          <w:b/>
          <w:bCs/>
          <w:sz w:val="20"/>
          <w:szCs w:val="20"/>
        </w:rPr>
      </w:pPr>
    </w:p>
    <w:p w14:paraId="32B943F6" w14:textId="5E19E374" w:rsidR="00EB38D7" w:rsidRPr="00142529" w:rsidRDefault="005742BB" w:rsidP="00142529">
      <w:pPr>
        <w:pStyle w:val="ListParagraph"/>
        <w:numPr>
          <w:ilvl w:val="1"/>
          <w:numId w:val="1"/>
        </w:numPr>
        <w:tabs>
          <w:tab w:val="left" w:pos="426"/>
        </w:tabs>
        <w:jc w:val="left"/>
        <w:rPr>
          <w:rFonts w:ascii="Cambria" w:hAnsi="Cambria"/>
          <w:b/>
          <w:bCs/>
          <w:i/>
          <w:iCs/>
          <w:sz w:val="20"/>
          <w:szCs w:val="20"/>
        </w:rPr>
      </w:pPr>
      <w:r>
        <w:rPr>
          <w:rFonts w:ascii="Cambria" w:hAnsi="Cambria"/>
          <w:b/>
          <w:i/>
          <w:sz w:val="20"/>
        </w:rPr>
        <w:t>Observación general</w:t>
      </w:r>
    </w:p>
    <w:p w14:paraId="626BD6BC" w14:textId="77777777" w:rsidR="00142529" w:rsidRPr="00142529" w:rsidRDefault="00142529" w:rsidP="00142529">
      <w:pPr>
        <w:pStyle w:val="ListParagraph"/>
        <w:tabs>
          <w:tab w:val="left" w:pos="426"/>
        </w:tabs>
        <w:ind w:left="432"/>
        <w:jc w:val="left"/>
        <w:rPr>
          <w:rFonts w:ascii="Cambria" w:hAnsi="Cambria"/>
          <w:b/>
          <w:bCs/>
          <w:i/>
          <w:iCs/>
          <w:sz w:val="20"/>
          <w:szCs w:val="20"/>
        </w:rPr>
      </w:pPr>
    </w:p>
    <w:p w14:paraId="6355C4D4" w14:textId="5B5017C7" w:rsidR="00AC4466" w:rsidRPr="00C46404" w:rsidRDefault="00AC4466" w:rsidP="00EB38D7">
      <w:pPr>
        <w:jc w:val="left"/>
        <w:rPr>
          <w:rFonts w:ascii="Cambria" w:hAnsi="Cambria"/>
          <w:sz w:val="20"/>
          <w:szCs w:val="20"/>
        </w:rPr>
      </w:pPr>
      <w:r>
        <w:rPr>
          <w:rFonts w:ascii="Cambria" w:hAnsi="Cambria"/>
          <w:sz w:val="20"/>
        </w:rPr>
        <w:t>(1) Sin presentación</w:t>
      </w:r>
    </w:p>
    <w:p w14:paraId="27F42113" w14:textId="77777777" w:rsidR="00142529" w:rsidRDefault="00142529" w:rsidP="00EB38D7">
      <w:pPr>
        <w:jc w:val="left"/>
        <w:rPr>
          <w:rFonts w:ascii="Cambria" w:hAnsi="Cambria"/>
          <w:sz w:val="20"/>
          <w:szCs w:val="20"/>
        </w:rPr>
      </w:pPr>
    </w:p>
    <w:p w14:paraId="252629B5" w14:textId="7DB1880E" w:rsidR="00CC5865" w:rsidRPr="00BC0364" w:rsidRDefault="00D85EA6" w:rsidP="00142529">
      <w:pPr>
        <w:rPr>
          <w:rFonts w:ascii="Cambria" w:hAnsi="Cambria"/>
          <w:sz w:val="20"/>
          <w:szCs w:val="20"/>
        </w:rPr>
      </w:pPr>
      <w:r>
        <w:rPr>
          <w:rFonts w:ascii="Cambria" w:hAnsi="Cambria"/>
          <w:sz w:val="20"/>
        </w:rPr>
        <w:t xml:space="preserve">En 2025, cinco CPC no han presentado la hoja de comprobación </w:t>
      </w:r>
      <w:r w:rsidR="004B2961">
        <w:rPr>
          <w:rFonts w:ascii="Cambria" w:hAnsi="Cambria"/>
          <w:sz w:val="20"/>
        </w:rPr>
        <w:t xml:space="preserve">de </w:t>
      </w:r>
      <w:r>
        <w:rPr>
          <w:rFonts w:ascii="Cambria" w:hAnsi="Cambria"/>
          <w:sz w:val="20"/>
        </w:rPr>
        <w:t xml:space="preserve">tiburones. Según la Secretaría, estas CPC nunca han presentado </w:t>
      </w:r>
      <w:r w:rsidR="007A7B0F">
        <w:rPr>
          <w:rFonts w:ascii="Cambria" w:hAnsi="Cambria"/>
          <w:sz w:val="20"/>
        </w:rPr>
        <w:t xml:space="preserve">la </w:t>
      </w:r>
      <w:r>
        <w:rPr>
          <w:rFonts w:ascii="Cambria" w:hAnsi="Cambria"/>
          <w:sz w:val="20"/>
        </w:rPr>
        <w:t xml:space="preserve">hoja de comprobación </w:t>
      </w:r>
      <w:r w:rsidR="00B5405B">
        <w:rPr>
          <w:rFonts w:ascii="Cambria" w:hAnsi="Cambria"/>
          <w:sz w:val="20"/>
        </w:rPr>
        <w:t>de</w:t>
      </w:r>
      <w:r>
        <w:rPr>
          <w:rFonts w:ascii="Cambria" w:hAnsi="Cambria"/>
          <w:sz w:val="20"/>
        </w:rPr>
        <w:t xml:space="preserve"> tiburones.</w:t>
      </w:r>
    </w:p>
    <w:p w14:paraId="0336BFD6" w14:textId="77777777" w:rsidR="00D85EA6" w:rsidRPr="00BC0364" w:rsidRDefault="00D85EA6" w:rsidP="00EB38D7">
      <w:pPr>
        <w:jc w:val="left"/>
        <w:rPr>
          <w:rFonts w:ascii="Cambria" w:hAnsi="Cambria"/>
          <w:sz w:val="20"/>
          <w:szCs w:val="20"/>
        </w:rPr>
      </w:pPr>
    </w:p>
    <w:p w14:paraId="4E80EC49" w14:textId="29AFC539" w:rsidR="00AC4466" w:rsidRPr="00C46404" w:rsidRDefault="00AC4466" w:rsidP="00EB38D7">
      <w:pPr>
        <w:jc w:val="left"/>
        <w:rPr>
          <w:rFonts w:ascii="Cambria" w:hAnsi="Cambria"/>
          <w:sz w:val="20"/>
          <w:szCs w:val="20"/>
        </w:rPr>
      </w:pPr>
      <w:r>
        <w:rPr>
          <w:rFonts w:ascii="Cambria" w:hAnsi="Cambria"/>
          <w:sz w:val="20"/>
        </w:rPr>
        <w:t>(2) Exención</w:t>
      </w:r>
    </w:p>
    <w:p w14:paraId="7C87F262" w14:textId="77777777" w:rsidR="00142529" w:rsidRPr="00BC0364" w:rsidRDefault="00142529" w:rsidP="00EB38D7">
      <w:pPr>
        <w:jc w:val="left"/>
        <w:rPr>
          <w:rFonts w:ascii="Cambria" w:hAnsi="Cambria"/>
          <w:b/>
          <w:bCs/>
          <w:sz w:val="20"/>
          <w:szCs w:val="20"/>
        </w:rPr>
      </w:pPr>
    </w:p>
    <w:p w14:paraId="05B572A7" w14:textId="2587EE60" w:rsidR="005F3765" w:rsidRPr="00BC0364" w:rsidRDefault="005F3765" w:rsidP="00142529">
      <w:pPr>
        <w:rPr>
          <w:rFonts w:ascii="Cambria" w:hAnsi="Cambria"/>
          <w:sz w:val="20"/>
          <w:szCs w:val="20"/>
        </w:rPr>
      </w:pPr>
      <w:r>
        <w:rPr>
          <w:rFonts w:ascii="Cambria" w:hAnsi="Cambria"/>
          <w:sz w:val="20"/>
        </w:rPr>
        <w:t xml:space="preserve">Actualmente, sólo una CCP está exenta de su presentación. Algunas CPC mencionaron que no existen tales especies en sus aguas y eligieron N/A. Sin embargo, para recibir la exención, deberán obtener la confirmación del Grupo de especies de tiburones. Teniendo en cuenta que el SCRS propone procedimientos de exención, se espera que la Comisión aclare el proceso de exención basándose en la propuesta. </w:t>
      </w:r>
    </w:p>
    <w:p w14:paraId="71940BDC" w14:textId="77777777" w:rsidR="00B8178A" w:rsidRPr="00BC0364" w:rsidRDefault="00B8178A" w:rsidP="00142529">
      <w:pPr>
        <w:rPr>
          <w:rFonts w:ascii="Cambria" w:hAnsi="Cambria"/>
          <w:sz w:val="20"/>
          <w:szCs w:val="20"/>
        </w:rPr>
      </w:pPr>
    </w:p>
    <w:p w14:paraId="5BF1F36A" w14:textId="2ABD9204" w:rsidR="00AC4466" w:rsidRPr="00C46404" w:rsidRDefault="00AC4466" w:rsidP="00142529">
      <w:pPr>
        <w:rPr>
          <w:rFonts w:ascii="Cambria" w:hAnsi="Cambria"/>
          <w:sz w:val="20"/>
          <w:szCs w:val="20"/>
        </w:rPr>
      </w:pPr>
      <w:r>
        <w:rPr>
          <w:rFonts w:ascii="Cambria" w:hAnsi="Cambria"/>
          <w:sz w:val="20"/>
        </w:rPr>
        <w:t>(3) Explicación en "Nota"</w:t>
      </w:r>
    </w:p>
    <w:p w14:paraId="439DF9F2" w14:textId="77777777" w:rsidR="00142529" w:rsidRPr="00BC0364" w:rsidRDefault="00142529" w:rsidP="00142529">
      <w:pPr>
        <w:rPr>
          <w:rFonts w:ascii="Cambria" w:hAnsi="Cambria"/>
          <w:b/>
          <w:bCs/>
          <w:sz w:val="20"/>
          <w:szCs w:val="20"/>
        </w:rPr>
      </w:pPr>
    </w:p>
    <w:p w14:paraId="59627FCD" w14:textId="0E5A4F03" w:rsidR="00B45FEC" w:rsidRPr="00BC0364" w:rsidRDefault="00894F21" w:rsidP="00142529">
      <w:pPr>
        <w:rPr>
          <w:rFonts w:ascii="Cambria" w:hAnsi="Cambria"/>
          <w:sz w:val="20"/>
          <w:szCs w:val="20"/>
        </w:rPr>
      </w:pPr>
      <w:r>
        <w:rPr>
          <w:rFonts w:ascii="Cambria" w:hAnsi="Cambria"/>
          <w:sz w:val="20"/>
        </w:rPr>
        <w:t xml:space="preserve">Algunas CPC sólo utilizan la columna de "Nota", mientras que otras CPC sólo utilizan "Leyes o reglamentos internos pertinentes". Para revisar el estado de implementación con precisión, deben rellenarse ambas columnas. </w:t>
      </w:r>
    </w:p>
    <w:p w14:paraId="75151B50" w14:textId="77777777" w:rsidR="00894F21" w:rsidRPr="00BC0364" w:rsidRDefault="00894F21" w:rsidP="00142529">
      <w:pPr>
        <w:rPr>
          <w:rFonts w:ascii="Cambria" w:hAnsi="Cambria"/>
          <w:sz w:val="20"/>
          <w:szCs w:val="20"/>
        </w:rPr>
      </w:pPr>
    </w:p>
    <w:p w14:paraId="1B306079" w14:textId="5D18BBBC" w:rsidR="00CC5865" w:rsidRPr="00C46404" w:rsidRDefault="00C46404" w:rsidP="00C46404">
      <w:pPr>
        <w:tabs>
          <w:tab w:val="left" w:pos="426"/>
        </w:tabs>
        <w:rPr>
          <w:rFonts w:ascii="Cambria" w:hAnsi="Cambria"/>
          <w:sz w:val="20"/>
          <w:szCs w:val="20"/>
        </w:rPr>
      </w:pPr>
      <w:r>
        <w:rPr>
          <w:rFonts w:ascii="Cambria" w:hAnsi="Cambria"/>
          <w:sz w:val="20"/>
        </w:rPr>
        <w:t>(4) Sin cambios respecto al año anterior</w:t>
      </w:r>
    </w:p>
    <w:p w14:paraId="424FC8C3" w14:textId="77777777" w:rsidR="00142529" w:rsidRPr="00142529" w:rsidRDefault="00142529" w:rsidP="00142529">
      <w:pPr>
        <w:pStyle w:val="ListParagraph"/>
        <w:ind w:left="360"/>
        <w:rPr>
          <w:rFonts w:ascii="Cambria" w:hAnsi="Cambria"/>
          <w:b/>
          <w:bCs/>
          <w:sz w:val="20"/>
          <w:szCs w:val="20"/>
        </w:rPr>
      </w:pPr>
    </w:p>
    <w:p w14:paraId="2726BE9E" w14:textId="37711E23" w:rsidR="00AC4466" w:rsidRPr="00BC0364" w:rsidRDefault="005F3765" w:rsidP="00142529">
      <w:pPr>
        <w:rPr>
          <w:rFonts w:ascii="Cambria" w:hAnsi="Cambria"/>
          <w:sz w:val="20"/>
          <w:szCs w:val="20"/>
        </w:rPr>
      </w:pPr>
      <w:r>
        <w:rPr>
          <w:rFonts w:ascii="Cambria" w:hAnsi="Cambria"/>
          <w:sz w:val="20"/>
        </w:rPr>
        <w:t xml:space="preserve">Según el párrafo 2 de la Rec. 18-06, ninguna CPC necesita presentar la hoja de comprobación de tiburones si no hay cambios. No obstante, si se incluyen campos de </w:t>
      </w:r>
      <w:r w:rsidR="00AC66EB">
        <w:rPr>
          <w:rFonts w:ascii="Cambria" w:hAnsi="Cambria"/>
          <w:sz w:val="20"/>
        </w:rPr>
        <w:t>comunicación de información</w:t>
      </w:r>
      <w:r>
        <w:rPr>
          <w:rFonts w:ascii="Cambria" w:hAnsi="Cambria"/>
          <w:sz w:val="20"/>
        </w:rPr>
        <w:t xml:space="preserve"> adicionales, las CPC deberán presentar </w:t>
      </w:r>
      <w:r w:rsidR="00AC66EB">
        <w:rPr>
          <w:rFonts w:ascii="Cambria" w:hAnsi="Cambria"/>
          <w:sz w:val="20"/>
        </w:rPr>
        <w:t xml:space="preserve">los </w:t>
      </w:r>
      <w:r>
        <w:rPr>
          <w:rFonts w:ascii="Cambria" w:hAnsi="Cambria"/>
          <w:sz w:val="20"/>
        </w:rPr>
        <w:t xml:space="preserve">campos de </w:t>
      </w:r>
      <w:r w:rsidR="00AC66EB">
        <w:rPr>
          <w:rFonts w:ascii="Cambria" w:hAnsi="Cambria"/>
          <w:sz w:val="20"/>
        </w:rPr>
        <w:t>comunicación de información</w:t>
      </w:r>
      <w:r>
        <w:rPr>
          <w:rFonts w:ascii="Cambria" w:hAnsi="Cambria"/>
          <w:sz w:val="20"/>
        </w:rPr>
        <w:t xml:space="preserve"> nuevos, y si el COC tiene previsto dar prioridad a la revisión de las hojas de comprobación de tiburones, las CPC deberán presentar una hoja de comprobación totalmente actualizada. </w:t>
      </w:r>
    </w:p>
    <w:p w14:paraId="25C7EEBD" w14:textId="77777777" w:rsidR="00E925CB" w:rsidRPr="00BC0364" w:rsidRDefault="00E925CB" w:rsidP="00142529">
      <w:pPr>
        <w:rPr>
          <w:rFonts w:ascii="Cambria" w:hAnsi="Cambria"/>
          <w:sz w:val="20"/>
          <w:szCs w:val="20"/>
        </w:rPr>
      </w:pPr>
    </w:p>
    <w:p w14:paraId="6C107CE3" w14:textId="24508090" w:rsidR="00E925CB" w:rsidRPr="00BC0364" w:rsidRDefault="00E925CB" w:rsidP="00142529">
      <w:pPr>
        <w:rPr>
          <w:rFonts w:ascii="Cambria" w:hAnsi="Cambria"/>
          <w:sz w:val="20"/>
          <w:szCs w:val="20"/>
        </w:rPr>
      </w:pPr>
      <w:r>
        <w:rPr>
          <w:rFonts w:ascii="Cambria" w:hAnsi="Cambria"/>
          <w:sz w:val="20"/>
        </w:rPr>
        <w:t xml:space="preserve">En 2025, aunque todas las CPC deben presentar una hoja de </w:t>
      </w:r>
      <w:r w:rsidR="00B5405B">
        <w:rPr>
          <w:rFonts w:ascii="Cambria" w:hAnsi="Cambria"/>
          <w:sz w:val="20"/>
        </w:rPr>
        <w:t>comprobación</w:t>
      </w:r>
      <w:r>
        <w:rPr>
          <w:rFonts w:ascii="Cambria" w:hAnsi="Cambria"/>
          <w:sz w:val="20"/>
        </w:rPr>
        <w:t xml:space="preserve"> completa actualizada, seis CPC no la presentaron para 2024. </w:t>
      </w:r>
    </w:p>
    <w:p w14:paraId="108DF6DA" w14:textId="77777777" w:rsidR="005F3765" w:rsidRPr="00BC0364" w:rsidRDefault="005F3765" w:rsidP="00EB38D7">
      <w:pPr>
        <w:jc w:val="left"/>
        <w:rPr>
          <w:rFonts w:ascii="Cambria" w:hAnsi="Cambria"/>
          <w:sz w:val="20"/>
          <w:szCs w:val="20"/>
        </w:rPr>
      </w:pPr>
    </w:p>
    <w:p w14:paraId="0FDA1C25" w14:textId="066FED0B" w:rsidR="00894F21" w:rsidRPr="00C46404" w:rsidRDefault="00894F21" w:rsidP="00142529">
      <w:pPr>
        <w:pStyle w:val="ListParagraph"/>
        <w:numPr>
          <w:ilvl w:val="0"/>
          <w:numId w:val="2"/>
        </w:numPr>
        <w:jc w:val="left"/>
        <w:rPr>
          <w:rFonts w:ascii="Cambria" w:hAnsi="Cambria"/>
          <w:sz w:val="20"/>
          <w:szCs w:val="20"/>
        </w:rPr>
      </w:pPr>
      <w:r>
        <w:rPr>
          <w:rFonts w:ascii="Cambria" w:hAnsi="Cambria"/>
          <w:sz w:val="20"/>
        </w:rPr>
        <w:t>Sí, No o N/A</w:t>
      </w:r>
    </w:p>
    <w:p w14:paraId="4E852570" w14:textId="77777777" w:rsidR="00142529" w:rsidRPr="00142529" w:rsidRDefault="00142529" w:rsidP="00142529">
      <w:pPr>
        <w:pStyle w:val="ListParagraph"/>
        <w:ind w:left="360"/>
        <w:jc w:val="left"/>
        <w:rPr>
          <w:rFonts w:ascii="Cambria" w:hAnsi="Cambria"/>
          <w:b/>
          <w:bCs/>
          <w:sz w:val="20"/>
          <w:szCs w:val="20"/>
        </w:rPr>
      </w:pPr>
    </w:p>
    <w:p w14:paraId="11F41E44" w14:textId="584F6719" w:rsidR="005F3765" w:rsidRPr="00BC0364" w:rsidRDefault="00894F21" w:rsidP="00142529">
      <w:pPr>
        <w:rPr>
          <w:rFonts w:ascii="Cambria" w:hAnsi="Cambria"/>
          <w:sz w:val="20"/>
          <w:szCs w:val="20"/>
        </w:rPr>
      </w:pPr>
      <w:r>
        <w:rPr>
          <w:rFonts w:ascii="Cambria" w:hAnsi="Cambria"/>
          <w:sz w:val="20"/>
        </w:rPr>
        <w:t xml:space="preserve">En la hoja de comprobación de cumplimiento de </w:t>
      </w:r>
      <w:r w:rsidR="00ED17C8">
        <w:rPr>
          <w:rFonts w:ascii="Cambria" w:hAnsi="Cambria"/>
          <w:sz w:val="20"/>
        </w:rPr>
        <w:t>la implementación de las medidas</w:t>
      </w:r>
      <w:r w:rsidR="00E928EB">
        <w:rPr>
          <w:rFonts w:ascii="Cambria" w:hAnsi="Cambria"/>
          <w:sz w:val="20"/>
        </w:rPr>
        <w:t xml:space="preserve"> </w:t>
      </w:r>
      <w:r>
        <w:rPr>
          <w:rFonts w:ascii="Cambria" w:hAnsi="Cambria"/>
          <w:sz w:val="20"/>
        </w:rPr>
        <w:t>de tiburones se indica que "No aplicable" o "N/A" sólo puede utilizarse como respuesta cuando se ofrezca como opción en la columna Estado de implementación. Sin embargo, algunas CPC eligieron "no aplicable" o "N/A" para la columna que sólo debe rellenarse con "Sí" o "No".</w:t>
      </w:r>
    </w:p>
    <w:p w14:paraId="7FB0AE09" w14:textId="77777777" w:rsidR="00605BAF" w:rsidRPr="00BC0364" w:rsidRDefault="00605BAF" w:rsidP="00894F21">
      <w:pPr>
        <w:jc w:val="left"/>
        <w:rPr>
          <w:rFonts w:ascii="Cambria" w:hAnsi="Cambria"/>
          <w:sz w:val="20"/>
          <w:szCs w:val="20"/>
        </w:rPr>
      </w:pPr>
    </w:p>
    <w:p w14:paraId="01B5A8BC" w14:textId="3EF2B258" w:rsidR="00470D86" w:rsidRPr="00BC0364" w:rsidRDefault="00470D86" w:rsidP="00894F21">
      <w:pPr>
        <w:jc w:val="left"/>
        <w:rPr>
          <w:rFonts w:ascii="Cambria" w:hAnsi="Cambria"/>
          <w:sz w:val="20"/>
          <w:szCs w:val="20"/>
        </w:rPr>
      </w:pPr>
      <w:r>
        <w:rPr>
          <w:rFonts w:ascii="Cambria" w:hAnsi="Cambria"/>
          <w:sz w:val="20"/>
        </w:rPr>
        <w:t>Es posible que el COC tenga que discutir qué significan "Sí", "No" y "N/A".</w:t>
      </w:r>
    </w:p>
    <w:p w14:paraId="10021660" w14:textId="77777777" w:rsidR="005F3765" w:rsidRPr="00BC0364" w:rsidRDefault="005F3765" w:rsidP="00EB38D7">
      <w:pPr>
        <w:jc w:val="left"/>
        <w:rPr>
          <w:rFonts w:ascii="Cambria" w:hAnsi="Cambria"/>
          <w:sz w:val="20"/>
          <w:szCs w:val="20"/>
        </w:rPr>
      </w:pPr>
    </w:p>
    <w:p w14:paraId="393B9DAF" w14:textId="6631D96E" w:rsidR="00AC4466" w:rsidRPr="00142529" w:rsidRDefault="005F3765" w:rsidP="00142529">
      <w:pPr>
        <w:pStyle w:val="ListParagraph"/>
        <w:numPr>
          <w:ilvl w:val="1"/>
          <w:numId w:val="1"/>
        </w:numPr>
        <w:tabs>
          <w:tab w:val="left" w:pos="426"/>
        </w:tabs>
        <w:jc w:val="left"/>
        <w:rPr>
          <w:rFonts w:ascii="Cambria" w:hAnsi="Cambria"/>
          <w:b/>
          <w:bCs/>
          <w:i/>
          <w:iCs/>
          <w:sz w:val="20"/>
          <w:szCs w:val="20"/>
        </w:rPr>
      </w:pPr>
      <w:r>
        <w:rPr>
          <w:rFonts w:ascii="Cambria" w:hAnsi="Cambria"/>
          <w:b/>
          <w:i/>
          <w:sz w:val="20"/>
        </w:rPr>
        <w:t>Observaciones sobre las obligaciones específicas</w:t>
      </w:r>
    </w:p>
    <w:p w14:paraId="28A53D6A" w14:textId="77777777" w:rsidR="00142529" w:rsidRPr="00142529" w:rsidRDefault="00142529" w:rsidP="00142529">
      <w:pPr>
        <w:pStyle w:val="ListParagraph"/>
        <w:tabs>
          <w:tab w:val="left" w:pos="426"/>
        </w:tabs>
        <w:ind w:left="432"/>
        <w:jc w:val="left"/>
        <w:rPr>
          <w:rFonts w:ascii="Cambria" w:hAnsi="Cambria"/>
          <w:b/>
          <w:bCs/>
          <w:i/>
          <w:iCs/>
          <w:sz w:val="20"/>
          <w:szCs w:val="20"/>
        </w:rPr>
      </w:pPr>
    </w:p>
    <w:p w14:paraId="6D5ABEF7" w14:textId="7BC825DD" w:rsidR="00487627" w:rsidRPr="00C46404" w:rsidRDefault="00487627" w:rsidP="0039005A">
      <w:pPr>
        <w:pStyle w:val="ListParagraph"/>
        <w:numPr>
          <w:ilvl w:val="0"/>
          <w:numId w:val="3"/>
        </w:numPr>
        <w:ind w:left="426" w:hanging="426"/>
        <w:rPr>
          <w:rFonts w:ascii="Cambria" w:hAnsi="Cambria"/>
          <w:sz w:val="20"/>
          <w:szCs w:val="20"/>
        </w:rPr>
      </w:pPr>
      <w:r>
        <w:rPr>
          <w:rFonts w:ascii="Cambria" w:hAnsi="Cambria"/>
          <w:sz w:val="20"/>
        </w:rPr>
        <w:t>Presentación de datos (Rec. 04-10</w:t>
      </w:r>
      <w:r w:rsidR="0039005A">
        <w:rPr>
          <w:rFonts w:ascii="Cambria" w:hAnsi="Cambria"/>
          <w:sz w:val="20"/>
        </w:rPr>
        <w:t>,</w:t>
      </w:r>
      <w:r>
        <w:rPr>
          <w:rFonts w:ascii="Cambria" w:hAnsi="Cambria"/>
          <w:sz w:val="20"/>
        </w:rPr>
        <w:t xml:space="preserve"> párr. 1), (Rec. 07-06 </w:t>
      </w:r>
      <w:r w:rsidR="0039005A">
        <w:rPr>
          <w:rFonts w:ascii="Cambria" w:hAnsi="Cambria"/>
          <w:sz w:val="20"/>
        </w:rPr>
        <w:t>,</w:t>
      </w:r>
      <w:r>
        <w:rPr>
          <w:rFonts w:ascii="Cambria" w:hAnsi="Cambria"/>
          <w:sz w:val="20"/>
        </w:rPr>
        <w:t>párr. 1), (Rec. 11-15</w:t>
      </w:r>
      <w:r w:rsidR="0039005A">
        <w:rPr>
          <w:rFonts w:ascii="Cambria" w:hAnsi="Cambria"/>
          <w:sz w:val="20"/>
        </w:rPr>
        <w:t>,</w:t>
      </w:r>
      <w:r>
        <w:rPr>
          <w:rFonts w:ascii="Cambria" w:hAnsi="Cambria"/>
          <w:sz w:val="20"/>
        </w:rPr>
        <w:t xml:space="preserve"> párr. 1), (Rec. 15-06</w:t>
      </w:r>
      <w:r w:rsidR="0039005A">
        <w:rPr>
          <w:rFonts w:ascii="Cambria" w:hAnsi="Cambria"/>
          <w:sz w:val="20"/>
        </w:rPr>
        <w:t>,</w:t>
      </w:r>
      <w:r>
        <w:rPr>
          <w:rFonts w:ascii="Cambria" w:hAnsi="Cambria"/>
          <w:sz w:val="20"/>
        </w:rPr>
        <w:t xml:space="preserve"> párr. 2)</w:t>
      </w:r>
    </w:p>
    <w:p w14:paraId="0955343C" w14:textId="77777777" w:rsidR="00142529" w:rsidRPr="00511908" w:rsidRDefault="00142529" w:rsidP="00142529">
      <w:pPr>
        <w:jc w:val="left"/>
        <w:rPr>
          <w:rFonts w:ascii="Cambria" w:hAnsi="Cambria"/>
          <w:sz w:val="20"/>
          <w:szCs w:val="20"/>
        </w:rPr>
      </w:pPr>
    </w:p>
    <w:p w14:paraId="1E6D4FFF" w14:textId="07C486D8" w:rsidR="00487627" w:rsidRPr="00142529" w:rsidRDefault="00146C55" w:rsidP="00142529">
      <w:pPr>
        <w:rPr>
          <w:rFonts w:ascii="Cambria" w:hAnsi="Cambria"/>
          <w:sz w:val="20"/>
          <w:szCs w:val="20"/>
        </w:rPr>
      </w:pPr>
      <w:r>
        <w:rPr>
          <w:rFonts w:ascii="Cambria" w:hAnsi="Cambria"/>
          <w:sz w:val="20"/>
        </w:rPr>
        <w:t xml:space="preserve">En general, las CPC presentaron datos, aunque es imposible juzgar si todos los datos exigidos se presentan a través </w:t>
      </w:r>
      <w:r w:rsidRPr="00511908">
        <w:rPr>
          <w:rFonts w:ascii="Cambria" w:hAnsi="Cambria"/>
          <w:sz w:val="20"/>
        </w:rPr>
        <w:t xml:space="preserve">de la hoja de comprobación de cumplimiento </w:t>
      </w:r>
      <w:r w:rsidR="00511908" w:rsidRPr="00511908">
        <w:rPr>
          <w:rFonts w:ascii="Cambria" w:hAnsi="Cambria"/>
          <w:sz w:val="20"/>
        </w:rPr>
        <w:t>las medidas relacionadas con los</w:t>
      </w:r>
      <w:r w:rsidRPr="00511908">
        <w:rPr>
          <w:rFonts w:ascii="Cambria" w:hAnsi="Cambria"/>
          <w:sz w:val="20"/>
        </w:rPr>
        <w:t xml:space="preserve"> tiburones.</w:t>
      </w:r>
    </w:p>
    <w:p w14:paraId="751DBC03" w14:textId="77777777" w:rsidR="00142529" w:rsidRDefault="00142529" w:rsidP="00142529">
      <w:pPr>
        <w:rPr>
          <w:rFonts w:ascii="Cambria" w:hAnsi="Cambria"/>
          <w:sz w:val="20"/>
          <w:szCs w:val="20"/>
        </w:rPr>
      </w:pPr>
    </w:p>
    <w:p w14:paraId="4254A0F2" w14:textId="4D0CC050" w:rsidR="00983F3B" w:rsidRPr="00BC0364" w:rsidRDefault="002E2046" w:rsidP="00142529">
      <w:pPr>
        <w:rPr>
          <w:rFonts w:ascii="Cambria" w:hAnsi="Cambria"/>
          <w:sz w:val="20"/>
          <w:szCs w:val="20"/>
        </w:rPr>
      </w:pPr>
      <w:r>
        <w:rPr>
          <w:rFonts w:ascii="Cambria" w:hAnsi="Cambria"/>
          <w:sz w:val="20"/>
        </w:rPr>
        <w:t>Algunas CPC mencionaron que no hay tiburones de este tipo en sus aguas o que no hay pesquerías de tiburones. Aunque no haya pesquerías de tiburones,</w:t>
      </w:r>
      <w:r w:rsidR="00AE7A16">
        <w:rPr>
          <w:rFonts w:ascii="Cambria" w:hAnsi="Cambria"/>
          <w:sz w:val="20"/>
        </w:rPr>
        <w:t xml:space="preserve"> deben presentarse </w:t>
      </w:r>
      <w:r>
        <w:rPr>
          <w:rFonts w:ascii="Cambria" w:hAnsi="Cambria"/>
          <w:sz w:val="20"/>
        </w:rPr>
        <w:t xml:space="preserve">los datos de capturas </w:t>
      </w:r>
      <w:r w:rsidR="00AE7A16">
        <w:rPr>
          <w:rFonts w:ascii="Cambria" w:hAnsi="Cambria"/>
          <w:sz w:val="20"/>
        </w:rPr>
        <w:t>fortuitas</w:t>
      </w:r>
      <w:r>
        <w:rPr>
          <w:rFonts w:ascii="Cambria" w:hAnsi="Cambria"/>
          <w:sz w:val="20"/>
        </w:rPr>
        <w:t xml:space="preserve">. Si los tiburones </w:t>
      </w:r>
      <w:r w:rsidRPr="00AE7A16">
        <w:rPr>
          <w:rFonts w:ascii="Cambria" w:hAnsi="Cambria"/>
          <w:sz w:val="20"/>
        </w:rPr>
        <w:t>no migran en sus aguas, las CPC deben solicitar quedar exentas de presentar la hoja de comprobación de tiburones.</w:t>
      </w:r>
      <w:r>
        <w:rPr>
          <w:rFonts w:ascii="Cambria" w:hAnsi="Cambria"/>
          <w:sz w:val="20"/>
        </w:rPr>
        <w:t xml:space="preserve"> </w:t>
      </w:r>
    </w:p>
    <w:p w14:paraId="392D69D3" w14:textId="77777777" w:rsidR="00487627" w:rsidRDefault="00487627" w:rsidP="00142529">
      <w:pPr>
        <w:pStyle w:val="ListParagraph"/>
        <w:ind w:left="840"/>
        <w:rPr>
          <w:rFonts w:ascii="Cambria" w:hAnsi="Cambria"/>
          <w:sz w:val="20"/>
          <w:szCs w:val="20"/>
        </w:rPr>
      </w:pPr>
    </w:p>
    <w:p w14:paraId="535DD726" w14:textId="77777777" w:rsidR="00AE7A16" w:rsidRDefault="00AE7A16" w:rsidP="00142529">
      <w:pPr>
        <w:pStyle w:val="ListParagraph"/>
        <w:ind w:left="840"/>
        <w:rPr>
          <w:rFonts w:ascii="Cambria" w:hAnsi="Cambria"/>
          <w:sz w:val="20"/>
          <w:szCs w:val="20"/>
        </w:rPr>
      </w:pPr>
    </w:p>
    <w:p w14:paraId="571237EE" w14:textId="77777777" w:rsidR="00AE7A16" w:rsidRDefault="00AE7A16" w:rsidP="00142529">
      <w:pPr>
        <w:pStyle w:val="ListParagraph"/>
        <w:ind w:left="840"/>
        <w:rPr>
          <w:rFonts w:ascii="Cambria" w:hAnsi="Cambria"/>
          <w:sz w:val="20"/>
          <w:szCs w:val="20"/>
        </w:rPr>
      </w:pPr>
    </w:p>
    <w:p w14:paraId="0B9F7776" w14:textId="77777777" w:rsidR="00AE7A16" w:rsidRPr="00BC0364" w:rsidRDefault="00AE7A16" w:rsidP="00142529">
      <w:pPr>
        <w:pStyle w:val="ListParagraph"/>
        <w:ind w:left="840"/>
        <w:rPr>
          <w:rFonts w:ascii="Cambria" w:hAnsi="Cambria"/>
          <w:sz w:val="20"/>
          <w:szCs w:val="20"/>
        </w:rPr>
      </w:pPr>
    </w:p>
    <w:p w14:paraId="543893FB" w14:textId="7FB6AE46" w:rsidR="00487627" w:rsidRPr="00C46404" w:rsidRDefault="00487627" w:rsidP="00142529">
      <w:pPr>
        <w:pStyle w:val="ListParagraph"/>
        <w:numPr>
          <w:ilvl w:val="0"/>
          <w:numId w:val="3"/>
        </w:numPr>
        <w:ind w:left="426" w:hanging="426"/>
        <w:jc w:val="left"/>
        <w:rPr>
          <w:rFonts w:ascii="Cambria" w:hAnsi="Cambria"/>
          <w:sz w:val="20"/>
          <w:szCs w:val="20"/>
        </w:rPr>
      </w:pPr>
      <w:r>
        <w:rPr>
          <w:rFonts w:ascii="Cambria" w:hAnsi="Cambria"/>
          <w:sz w:val="20"/>
        </w:rPr>
        <w:t>Utilización plena (Rec. 04-10</w:t>
      </w:r>
      <w:r w:rsidR="00AE7A16">
        <w:rPr>
          <w:rFonts w:ascii="Cambria" w:hAnsi="Cambria"/>
          <w:sz w:val="20"/>
        </w:rPr>
        <w:t>,</w:t>
      </w:r>
      <w:r>
        <w:rPr>
          <w:rFonts w:ascii="Cambria" w:hAnsi="Cambria"/>
          <w:sz w:val="20"/>
        </w:rPr>
        <w:t xml:space="preserve"> párr. 2, párr. 3 y párr. 5)</w:t>
      </w:r>
    </w:p>
    <w:p w14:paraId="157FE525" w14:textId="77777777" w:rsidR="00142529" w:rsidRDefault="00142529" w:rsidP="00142529">
      <w:pPr>
        <w:rPr>
          <w:rFonts w:ascii="Cambria" w:hAnsi="Cambria"/>
          <w:sz w:val="20"/>
          <w:szCs w:val="20"/>
        </w:rPr>
      </w:pPr>
    </w:p>
    <w:p w14:paraId="4D5CF5A0" w14:textId="325F850C" w:rsidR="00487627" w:rsidRPr="00142529" w:rsidRDefault="008F166A" w:rsidP="00142529">
      <w:pPr>
        <w:rPr>
          <w:rFonts w:ascii="Cambria" w:hAnsi="Cambria"/>
          <w:sz w:val="20"/>
          <w:szCs w:val="20"/>
        </w:rPr>
      </w:pPr>
      <w:r>
        <w:rPr>
          <w:rFonts w:ascii="Cambria" w:hAnsi="Cambria"/>
          <w:sz w:val="20"/>
        </w:rPr>
        <w:lastRenderedPageBreak/>
        <w:t xml:space="preserve">Algunas CPC aplican la política de aletas adheridas de forma natural, y los observadores/inspectores supervisan la implementación. Sin embargo, hay casos en los que no se facilita ninguna información sobre la base jurídica. </w:t>
      </w:r>
    </w:p>
    <w:p w14:paraId="4CC60AA3" w14:textId="77777777" w:rsidR="00142529" w:rsidRPr="00BC0364" w:rsidRDefault="00142529" w:rsidP="00142529">
      <w:pPr>
        <w:pStyle w:val="ListParagraph"/>
        <w:ind w:left="840"/>
        <w:rPr>
          <w:rFonts w:ascii="Cambria" w:hAnsi="Cambria"/>
          <w:sz w:val="20"/>
          <w:szCs w:val="20"/>
        </w:rPr>
      </w:pPr>
    </w:p>
    <w:p w14:paraId="0247EA8C" w14:textId="1CEDEB82" w:rsidR="00487627" w:rsidRPr="00C46404" w:rsidRDefault="00487627" w:rsidP="00142529">
      <w:pPr>
        <w:pStyle w:val="ListParagraph"/>
        <w:numPr>
          <w:ilvl w:val="0"/>
          <w:numId w:val="3"/>
        </w:numPr>
        <w:ind w:left="426" w:hanging="426"/>
        <w:jc w:val="left"/>
        <w:rPr>
          <w:rFonts w:ascii="Cambria" w:hAnsi="Cambria"/>
          <w:sz w:val="20"/>
          <w:szCs w:val="20"/>
        </w:rPr>
      </w:pPr>
      <w:r>
        <w:rPr>
          <w:rFonts w:ascii="Cambria" w:hAnsi="Cambria"/>
          <w:sz w:val="20"/>
        </w:rPr>
        <w:t xml:space="preserve">Exención de presentación de la hoja de comprobación de </w:t>
      </w:r>
      <w:r w:rsidR="00114532">
        <w:rPr>
          <w:rFonts w:ascii="Cambria" w:hAnsi="Cambria"/>
          <w:sz w:val="20"/>
        </w:rPr>
        <w:t>tiburones</w:t>
      </w:r>
      <w:r>
        <w:rPr>
          <w:rFonts w:ascii="Cambria" w:hAnsi="Cambria"/>
          <w:sz w:val="20"/>
        </w:rPr>
        <w:t xml:space="preserve"> (Rec. 18-06</w:t>
      </w:r>
      <w:r w:rsidR="00114532">
        <w:rPr>
          <w:rFonts w:ascii="Cambria" w:hAnsi="Cambria"/>
          <w:sz w:val="20"/>
        </w:rPr>
        <w:t>,</w:t>
      </w:r>
      <w:r>
        <w:rPr>
          <w:rFonts w:ascii="Cambria" w:hAnsi="Cambria"/>
          <w:sz w:val="20"/>
        </w:rPr>
        <w:t xml:space="preserve"> párr. 3)</w:t>
      </w:r>
    </w:p>
    <w:p w14:paraId="650BA976" w14:textId="77777777" w:rsidR="00142529" w:rsidRDefault="00142529" w:rsidP="00142529">
      <w:pPr>
        <w:rPr>
          <w:rFonts w:ascii="Cambria" w:hAnsi="Cambria"/>
          <w:sz w:val="20"/>
          <w:szCs w:val="20"/>
        </w:rPr>
      </w:pPr>
    </w:p>
    <w:p w14:paraId="1EBC398F" w14:textId="67FCB72A" w:rsidR="009F6C39" w:rsidRPr="00142529" w:rsidRDefault="008F166A" w:rsidP="00142529">
      <w:pPr>
        <w:rPr>
          <w:rFonts w:ascii="Cambria" w:hAnsi="Cambria"/>
          <w:sz w:val="20"/>
          <w:szCs w:val="20"/>
        </w:rPr>
      </w:pPr>
      <w:r>
        <w:rPr>
          <w:rFonts w:ascii="Cambria" w:hAnsi="Cambria"/>
          <w:sz w:val="20"/>
        </w:rPr>
        <w:t xml:space="preserve">Como ya se ha mencionado, actualmente sólo una CPC está exenta de presentarla. Teniendo en cuenta que el SCRS propone procedimientos de exención, se espera que la Comisión aclare el proceso de exención basándose en la propuesta. </w:t>
      </w:r>
    </w:p>
    <w:p w14:paraId="2921046C" w14:textId="77777777" w:rsidR="009F6C39" w:rsidRPr="00BC0364" w:rsidRDefault="009F6C39" w:rsidP="0062418E">
      <w:pPr>
        <w:pStyle w:val="ListParagraph"/>
        <w:ind w:left="840"/>
        <w:rPr>
          <w:rFonts w:ascii="Cambria" w:hAnsi="Cambria"/>
          <w:sz w:val="20"/>
          <w:szCs w:val="20"/>
        </w:rPr>
      </w:pPr>
    </w:p>
    <w:p w14:paraId="6AA3B4F2" w14:textId="45DECDE0" w:rsidR="00170EAB" w:rsidRPr="00C46404" w:rsidRDefault="009F6C39" w:rsidP="00C46404">
      <w:pPr>
        <w:rPr>
          <w:rFonts w:ascii="Cambria" w:hAnsi="Cambria"/>
          <w:sz w:val="20"/>
          <w:szCs w:val="20"/>
        </w:rPr>
      </w:pPr>
      <w:r>
        <w:rPr>
          <w:rFonts w:ascii="Cambria" w:hAnsi="Cambria"/>
          <w:sz w:val="20"/>
        </w:rPr>
        <w:t xml:space="preserve">A lo largo de la revisión, no quedó claro si se debía conceder la exención para utilizar "N/A" en cada columna de la hoja de comprobación de tiburones. Si es así, los procedimientos pueden suponer una carga adicional para el SCRS, aunque no está claro en qué medida aumentan la carga de trabajo del SCRS. </w:t>
      </w:r>
    </w:p>
    <w:p w14:paraId="2C70301C" w14:textId="77777777" w:rsidR="00170EAB" w:rsidRPr="00BC0364" w:rsidRDefault="00170EAB" w:rsidP="0062418E">
      <w:pPr>
        <w:pStyle w:val="ListParagraph"/>
        <w:ind w:left="840"/>
        <w:rPr>
          <w:rFonts w:ascii="Cambria" w:hAnsi="Cambria"/>
          <w:sz w:val="20"/>
          <w:szCs w:val="20"/>
        </w:rPr>
      </w:pPr>
    </w:p>
    <w:p w14:paraId="2BA10C50" w14:textId="65C39517" w:rsidR="0062418E" w:rsidRPr="00C46404" w:rsidRDefault="00170EAB" w:rsidP="00C46404">
      <w:pPr>
        <w:rPr>
          <w:rFonts w:ascii="Cambria" w:hAnsi="Cambria"/>
          <w:sz w:val="20"/>
          <w:szCs w:val="20"/>
        </w:rPr>
      </w:pPr>
      <w:r>
        <w:rPr>
          <w:rFonts w:ascii="Cambria" w:hAnsi="Cambria"/>
          <w:sz w:val="20"/>
        </w:rPr>
        <w:t xml:space="preserve">Es posible que el COC tenga que discutir si las CPC necesitan solicitar una exención cuando aplican "N/A" en cada columna de la hoja de comprobación de tiburones. </w:t>
      </w:r>
    </w:p>
    <w:p w14:paraId="21E93CB0" w14:textId="77777777" w:rsidR="00487627" w:rsidRPr="00BC0364" w:rsidRDefault="00487627" w:rsidP="00487627">
      <w:pPr>
        <w:pStyle w:val="ListParagraph"/>
        <w:ind w:left="840"/>
        <w:jc w:val="left"/>
        <w:rPr>
          <w:rFonts w:ascii="Cambria" w:hAnsi="Cambria"/>
          <w:sz w:val="20"/>
          <w:szCs w:val="20"/>
        </w:rPr>
      </w:pPr>
    </w:p>
    <w:p w14:paraId="1BFDB429" w14:textId="19B55D77" w:rsidR="00487627" w:rsidRPr="00FA612B" w:rsidRDefault="00487627" w:rsidP="00A63547">
      <w:pPr>
        <w:pStyle w:val="ListParagraph"/>
        <w:numPr>
          <w:ilvl w:val="0"/>
          <w:numId w:val="3"/>
        </w:numPr>
        <w:ind w:left="426" w:hanging="426"/>
        <w:rPr>
          <w:rFonts w:ascii="Cambria" w:hAnsi="Cambria"/>
          <w:spacing w:val="-2"/>
          <w:sz w:val="20"/>
          <w:szCs w:val="20"/>
        </w:rPr>
      </w:pPr>
      <w:r w:rsidRPr="00FA612B">
        <w:rPr>
          <w:rFonts w:ascii="Cambria" w:hAnsi="Cambria"/>
          <w:spacing w:val="-2"/>
          <w:sz w:val="20"/>
        </w:rPr>
        <w:t xml:space="preserve">Prohibición de "retener a bordo, transbordar, desembarcar, almacenar, vender u ofrecer </w:t>
      </w:r>
      <w:r w:rsidR="002F22B0" w:rsidRPr="00FA612B">
        <w:rPr>
          <w:rFonts w:ascii="Cambria" w:hAnsi="Cambria"/>
          <w:spacing w:val="-2"/>
          <w:sz w:val="20"/>
        </w:rPr>
        <w:t>para su</w:t>
      </w:r>
      <w:r w:rsidRPr="00FA612B">
        <w:rPr>
          <w:rFonts w:ascii="Cambria" w:hAnsi="Cambria"/>
          <w:spacing w:val="-2"/>
          <w:sz w:val="20"/>
        </w:rPr>
        <w:t xml:space="preserve"> venta" (Rec. 09-07</w:t>
      </w:r>
      <w:r w:rsidR="002F22B0" w:rsidRPr="00FA612B">
        <w:rPr>
          <w:rFonts w:ascii="Cambria" w:hAnsi="Cambria"/>
          <w:spacing w:val="-2"/>
          <w:sz w:val="20"/>
        </w:rPr>
        <w:t xml:space="preserve">, </w:t>
      </w:r>
      <w:r w:rsidRPr="00FA612B">
        <w:rPr>
          <w:rFonts w:ascii="Cambria" w:hAnsi="Cambria"/>
          <w:spacing w:val="-2"/>
          <w:sz w:val="20"/>
        </w:rPr>
        <w:t>párr. 1), (Rec. 10-07</w:t>
      </w:r>
      <w:r w:rsidR="002F22B0" w:rsidRPr="00FA612B">
        <w:rPr>
          <w:rFonts w:ascii="Cambria" w:hAnsi="Cambria"/>
          <w:spacing w:val="-2"/>
          <w:sz w:val="20"/>
        </w:rPr>
        <w:t>,</w:t>
      </w:r>
      <w:r w:rsidRPr="00FA612B">
        <w:rPr>
          <w:rFonts w:ascii="Cambria" w:hAnsi="Cambria"/>
          <w:spacing w:val="-2"/>
          <w:sz w:val="20"/>
        </w:rPr>
        <w:t xml:space="preserve"> párr. 1), (Rec. 10-08</w:t>
      </w:r>
      <w:r w:rsidR="002F22B0" w:rsidRPr="00FA612B">
        <w:rPr>
          <w:rFonts w:ascii="Cambria" w:hAnsi="Cambria"/>
          <w:spacing w:val="-2"/>
          <w:sz w:val="20"/>
        </w:rPr>
        <w:t>,</w:t>
      </w:r>
      <w:r w:rsidRPr="00FA612B">
        <w:rPr>
          <w:rFonts w:ascii="Cambria" w:hAnsi="Cambria"/>
          <w:spacing w:val="-2"/>
          <w:sz w:val="20"/>
        </w:rPr>
        <w:t xml:space="preserve"> párr. 1), (Rec. 11-08</w:t>
      </w:r>
      <w:r w:rsidR="002F22B0" w:rsidRPr="00FA612B">
        <w:rPr>
          <w:rFonts w:ascii="Cambria" w:hAnsi="Cambria"/>
          <w:spacing w:val="-2"/>
          <w:sz w:val="20"/>
        </w:rPr>
        <w:t>,</w:t>
      </w:r>
      <w:r w:rsidRPr="00FA612B">
        <w:rPr>
          <w:rFonts w:ascii="Cambria" w:hAnsi="Cambria"/>
          <w:spacing w:val="-2"/>
          <w:sz w:val="20"/>
        </w:rPr>
        <w:t xml:space="preserve"> párr. 1) y (Rec. 23-12</w:t>
      </w:r>
      <w:r w:rsidR="002F22B0" w:rsidRPr="00FA612B">
        <w:rPr>
          <w:rFonts w:ascii="Cambria" w:hAnsi="Cambria"/>
          <w:spacing w:val="-2"/>
          <w:sz w:val="20"/>
        </w:rPr>
        <w:t>,</w:t>
      </w:r>
      <w:r w:rsidRPr="00FA612B">
        <w:rPr>
          <w:rFonts w:ascii="Cambria" w:hAnsi="Cambria"/>
          <w:spacing w:val="-2"/>
          <w:sz w:val="20"/>
        </w:rPr>
        <w:t xml:space="preserve"> párr. 1) </w:t>
      </w:r>
    </w:p>
    <w:p w14:paraId="2E47807B" w14:textId="77777777" w:rsidR="00487627" w:rsidRPr="00BC0364" w:rsidRDefault="00487627" w:rsidP="00487627">
      <w:pPr>
        <w:pStyle w:val="ListParagraph"/>
        <w:ind w:left="840"/>
        <w:jc w:val="left"/>
        <w:rPr>
          <w:rFonts w:ascii="Cambria" w:hAnsi="Cambria"/>
          <w:sz w:val="20"/>
          <w:szCs w:val="20"/>
        </w:rPr>
      </w:pPr>
    </w:p>
    <w:p w14:paraId="4AE88D79" w14:textId="74728796" w:rsidR="00470D86" w:rsidRPr="00C46404" w:rsidRDefault="00170EAB" w:rsidP="00C46404">
      <w:pPr>
        <w:rPr>
          <w:rFonts w:ascii="Cambria" w:hAnsi="Cambria"/>
          <w:sz w:val="20"/>
          <w:szCs w:val="20"/>
        </w:rPr>
      </w:pPr>
      <w:r>
        <w:rPr>
          <w:rFonts w:ascii="Cambria" w:hAnsi="Cambria"/>
          <w:sz w:val="20"/>
        </w:rPr>
        <w:t xml:space="preserve">Como se explica en </w:t>
      </w:r>
      <w:r w:rsidR="00FF2F2D">
        <w:rPr>
          <w:rFonts w:ascii="Cambria" w:hAnsi="Cambria"/>
          <w:sz w:val="20"/>
        </w:rPr>
        <w:t>el documento</w:t>
      </w:r>
      <w:r>
        <w:rPr>
          <w:rFonts w:ascii="Cambria" w:hAnsi="Cambria"/>
          <w:sz w:val="20"/>
        </w:rPr>
        <w:t xml:space="preserve"> IMM_06/2025, no está claro si todas las CPC aplican plenamente esta obligación, especialmente la prohibición de "almacenar, vender u ofrecer </w:t>
      </w:r>
      <w:r w:rsidR="00FF2F2D">
        <w:rPr>
          <w:rFonts w:ascii="Cambria" w:hAnsi="Cambria"/>
          <w:sz w:val="20"/>
        </w:rPr>
        <w:t>para su</w:t>
      </w:r>
      <w:r>
        <w:rPr>
          <w:rFonts w:ascii="Cambria" w:hAnsi="Cambria"/>
          <w:sz w:val="20"/>
        </w:rPr>
        <w:t xml:space="preserve"> venta". Algunas CPC sólo prohíben a sus buques pesqueros almacenar, vender u ofrecer para su venta. Otras CPC ni aplican estas medidas ni facilitan información suficiente para poder revisar su aplicación. </w:t>
      </w:r>
    </w:p>
    <w:p w14:paraId="43585C88" w14:textId="77777777" w:rsidR="00470D86" w:rsidRPr="00BC0364" w:rsidRDefault="00470D86" w:rsidP="00C46404">
      <w:pPr>
        <w:pStyle w:val="ListParagraph"/>
        <w:ind w:left="840"/>
        <w:rPr>
          <w:rFonts w:ascii="Cambria" w:hAnsi="Cambria"/>
          <w:sz w:val="20"/>
          <w:szCs w:val="20"/>
        </w:rPr>
      </w:pPr>
    </w:p>
    <w:p w14:paraId="78900A75" w14:textId="48C571EC" w:rsidR="001A1783" w:rsidRPr="00C46404" w:rsidRDefault="00470D86" w:rsidP="00C46404">
      <w:pPr>
        <w:rPr>
          <w:rFonts w:ascii="Cambria" w:hAnsi="Cambria"/>
          <w:sz w:val="20"/>
          <w:szCs w:val="20"/>
        </w:rPr>
      </w:pPr>
      <w:r>
        <w:rPr>
          <w:rFonts w:ascii="Cambria" w:hAnsi="Cambria"/>
          <w:sz w:val="20"/>
        </w:rPr>
        <w:t>El sistema jurídico de cada CPC es complejo y difícil de entender. Es casi imposible describir con todo detalle cómo el sistema jurídico cumple con las obligaciones de la hoja de comprobación</w:t>
      </w:r>
      <w:r w:rsidR="00C34182">
        <w:rPr>
          <w:rFonts w:ascii="Cambria" w:hAnsi="Cambria"/>
          <w:sz w:val="20"/>
        </w:rPr>
        <w:t xml:space="preserve"> de</w:t>
      </w:r>
      <w:r>
        <w:rPr>
          <w:rFonts w:ascii="Cambria" w:hAnsi="Cambria"/>
          <w:sz w:val="20"/>
        </w:rPr>
        <w:t xml:space="preserve"> tiburones. Sin embargo, para facilitar la revisión, se pide a las CPC que proporcionen al menos el nombre de la ley o del reglamento y una explicación de cómo funcionan.</w:t>
      </w:r>
    </w:p>
    <w:p w14:paraId="7073DB55" w14:textId="77777777" w:rsidR="001A1783" w:rsidRPr="00BC0364" w:rsidRDefault="001A1783" w:rsidP="00487627">
      <w:pPr>
        <w:pStyle w:val="ListParagraph"/>
        <w:ind w:left="840"/>
        <w:jc w:val="left"/>
        <w:rPr>
          <w:rFonts w:ascii="Cambria" w:hAnsi="Cambria"/>
          <w:sz w:val="20"/>
          <w:szCs w:val="20"/>
        </w:rPr>
      </w:pPr>
    </w:p>
    <w:sectPr w:rsidR="001A1783" w:rsidRPr="00BC0364" w:rsidSect="00EE13A9">
      <w:headerReference w:type="default" r:id="rId7"/>
      <w:footerReference w:type="default" r:id="rId8"/>
      <w:pgSz w:w="11906" w:h="16838" w:code="9"/>
      <w:pgMar w:top="1418" w:right="1418" w:bottom="1418" w:left="1418" w:header="851" w:footer="11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AECD" w14:textId="77777777" w:rsidR="00D5721D" w:rsidRDefault="00D5721D" w:rsidP="00B778DB">
      <w:r>
        <w:separator/>
      </w:r>
    </w:p>
  </w:endnote>
  <w:endnote w:type="continuationSeparator" w:id="0">
    <w:p w14:paraId="0914DA49" w14:textId="77777777" w:rsidR="00D5721D" w:rsidRDefault="00D5721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070C" w14:textId="42A6753C" w:rsidR="00F001EB" w:rsidRPr="0065271B" w:rsidRDefault="00272B1D" w:rsidP="0065271B">
    <w:pPr>
      <w:pStyle w:val="Footer"/>
      <w:jc w:val="center"/>
      <w:rPr>
        <w:sz w:val="20"/>
        <w:szCs w:val="20"/>
      </w:rPr>
    </w:pPr>
    <w:sdt>
      <w:sdtPr>
        <w:id w:val="-60483211"/>
        <w:docPartObj>
          <w:docPartGallery w:val="Page Numbers (Top of Page)"/>
          <w:docPartUnique/>
        </w:docPartObj>
      </w:sdtPr>
      <w:sdtEndPr>
        <w:rPr>
          <w:sz w:val="20"/>
          <w:szCs w:val="20"/>
        </w:rPr>
      </w:sdtEndPr>
      <w:sdtContent>
        <w:r w:rsidR="0065271B" w:rsidRPr="008854A8">
          <w:rPr>
            <w:rFonts w:ascii="Cambria" w:hAnsi="Cambria"/>
            <w:sz w:val="20"/>
          </w:rPr>
          <w:fldChar w:fldCharType="begin"/>
        </w:r>
        <w:r w:rsidR="0065271B" w:rsidRPr="008854A8">
          <w:rPr>
            <w:rFonts w:ascii="Cambria" w:hAnsi="Cambria"/>
            <w:sz w:val="20"/>
          </w:rPr>
          <w:instrText xml:space="preserve"> PAGE </w:instrText>
        </w:r>
        <w:r w:rsidR="0065271B" w:rsidRPr="008854A8">
          <w:rPr>
            <w:rFonts w:ascii="Cambria" w:hAnsi="Cambria"/>
            <w:sz w:val="20"/>
          </w:rPr>
          <w:fldChar w:fldCharType="separate"/>
        </w:r>
        <w:r w:rsidR="0065271B">
          <w:rPr>
            <w:rFonts w:ascii="Cambria" w:hAnsi="Cambria"/>
            <w:sz w:val="20"/>
          </w:rPr>
          <w:t>1</w:t>
        </w:r>
        <w:r w:rsidR="0065271B" w:rsidRPr="008854A8">
          <w:rPr>
            <w:rFonts w:ascii="Cambria" w:hAnsi="Cambria"/>
            <w:sz w:val="20"/>
          </w:rPr>
          <w:fldChar w:fldCharType="end"/>
        </w:r>
        <w:r w:rsidR="0065271B">
          <w:rPr>
            <w:rFonts w:ascii="Cambria" w:hAnsi="Cambria"/>
            <w:sz w:val="20"/>
          </w:rPr>
          <w:t xml:space="preserve"> / </w:t>
        </w:r>
        <w:r w:rsidR="0065271B" w:rsidRPr="008854A8">
          <w:rPr>
            <w:rFonts w:ascii="Cambria" w:hAnsi="Cambria"/>
            <w:sz w:val="20"/>
          </w:rPr>
          <w:fldChar w:fldCharType="begin"/>
        </w:r>
        <w:r w:rsidR="0065271B" w:rsidRPr="008854A8">
          <w:rPr>
            <w:rFonts w:ascii="Cambria" w:hAnsi="Cambria"/>
            <w:sz w:val="20"/>
          </w:rPr>
          <w:instrText xml:space="preserve"> NUMPAGES  </w:instrText>
        </w:r>
        <w:r w:rsidR="0065271B" w:rsidRPr="008854A8">
          <w:rPr>
            <w:rFonts w:ascii="Cambria" w:hAnsi="Cambria"/>
            <w:sz w:val="20"/>
          </w:rPr>
          <w:fldChar w:fldCharType="separate"/>
        </w:r>
        <w:r w:rsidR="0065271B">
          <w:rPr>
            <w:rFonts w:ascii="Cambria" w:hAnsi="Cambria"/>
            <w:sz w:val="20"/>
          </w:rPr>
          <w:t>4</w:t>
        </w:r>
        <w:r w:rsidR="0065271B" w:rsidRPr="008854A8">
          <w:rPr>
            <w:rFonts w:ascii="Cambria" w:hAnsi="Cambria"/>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BEB4" w14:textId="77777777" w:rsidR="00D5721D" w:rsidRDefault="00D5721D" w:rsidP="00B778DB">
      <w:r>
        <w:rPr>
          <w:rFonts w:hint="eastAsia"/>
        </w:rPr>
        <w:separator/>
      </w:r>
    </w:p>
  </w:footnote>
  <w:footnote w:type="continuationSeparator" w:id="0">
    <w:p w14:paraId="3CFDBD38" w14:textId="77777777" w:rsidR="00D5721D" w:rsidRDefault="00D5721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6570" w14:textId="67123488" w:rsidR="00EE13A9" w:rsidRPr="00793F38" w:rsidRDefault="00EE13A9" w:rsidP="00EE13A9">
    <w:pPr>
      <w:tabs>
        <w:tab w:val="center" w:pos="4680"/>
        <w:tab w:val="left" w:pos="6520"/>
        <w:tab w:val="right" w:pos="9360"/>
        <w:tab w:val="right" w:pos="14240"/>
      </w:tabs>
      <w:jc w:val="right"/>
      <w:rPr>
        <w:rFonts w:ascii="Cambria" w:eastAsia="Calibri" w:hAnsi="Cambria"/>
        <w:b/>
        <w:bCs/>
        <w:sz w:val="20"/>
        <w:szCs w:val="20"/>
      </w:rPr>
    </w:pPr>
    <w:r>
      <w:rPr>
        <w:rFonts w:ascii="Cambria" w:hAnsi="Cambria"/>
        <w:b/>
        <w:sz w:val="20"/>
      </w:rPr>
      <w:t>COC_324/2025</w:t>
    </w:r>
  </w:p>
  <w:p w14:paraId="3CA0155E" w14:textId="1177A95C" w:rsidR="00EE13A9" w:rsidRDefault="00EE13A9" w:rsidP="00EE13A9">
    <w:pPr>
      <w:tabs>
        <w:tab w:val="left" w:pos="7320"/>
      </w:tabs>
      <w:spacing w:line="240" w:lineRule="exact"/>
      <w:jc w:val="right"/>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2E7468">
      <w:rPr>
        <w:rFonts w:ascii="Cambria" w:hAnsi="Cambria"/>
        <w:b/>
        <w:noProof/>
        <w:sz w:val="16"/>
      </w:rPr>
      <w:t>10/11/2025 15:51</w:t>
    </w:r>
    <w:r w:rsidRPr="00793F38">
      <w:rPr>
        <w:rFonts w:ascii="Cambria" w:hAnsi="Cambria"/>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24D3"/>
    <w:multiLevelType w:val="hybridMultilevel"/>
    <w:tmpl w:val="D870EAF8"/>
    <w:lvl w:ilvl="0" w:tplc="F3D01F2A">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D43FFC"/>
    <w:multiLevelType w:val="multilevel"/>
    <w:tmpl w:val="5FE42AAA"/>
    <w:lvl w:ilvl="0">
      <w:start w:val="1"/>
      <w:numFmt w:val="decimal"/>
      <w:lvlText w:val="%1."/>
      <w:lvlJc w:val="left"/>
      <w:pPr>
        <w:ind w:left="360" w:hanging="360"/>
      </w:pPr>
      <w:rPr>
        <w:rFonts w:hint="default"/>
      </w:rPr>
    </w:lvl>
    <w:lvl w:ilvl="1">
      <w:start w:val="1"/>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6FF0247"/>
    <w:multiLevelType w:val="hybridMultilevel"/>
    <w:tmpl w:val="22AA4D76"/>
    <w:lvl w:ilvl="0" w:tplc="96A84B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00814187">
    <w:abstractNumId w:val="1"/>
  </w:num>
  <w:num w:numId="2" w16cid:durableId="486895972">
    <w:abstractNumId w:val="2"/>
  </w:num>
  <w:num w:numId="3" w16cid:durableId="1057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D7"/>
    <w:rsid w:val="00000E52"/>
    <w:rsid w:val="00003E35"/>
    <w:rsid w:val="00015298"/>
    <w:rsid w:val="00051DCA"/>
    <w:rsid w:val="000814A4"/>
    <w:rsid w:val="000C0575"/>
    <w:rsid w:val="000E7E1E"/>
    <w:rsid w:val="0010158F"/>
    <w:rsid w:val="001032D4"/>
    <w:rsid w:val="00114532"/>
    <w:rsid w:val="001168E3"/>
    <w:rsid w:val="00136BCC"/>
    <w:rsid w:val="00142529"/>
    <w:rsid w:val="00143704"/>
    <w:rsid w:val="00146C55"/>
    <w:rsid w:val="00170EAB"/>
    <w:rsid w:val="001771BB"/>
    <w:rsid w:val="00192D9D"/>
    <w:rsid w:val="001A1783"/>
    <w:rsid w:val="001D12FB"/>
    <w:rsid w:val="00226AC8"/>
    <w:rsid w:val="00261660"/>
    <w:rsid w:val="0027053F"/>
    <w:rsid w:val="00277175"/>
    <w:rsid w:val="00293714"/>
    <w:rsid w:val="002C5E2C"/>
    <w:rsid w:val="002E2046"/>
    <w:rsid w:val="002E432A"/>
    <w:rsid w:val="002E7468"/>
    <w:rsid w:val="002F22B0"/>
    <w:rsid w:val="00345AEB"/>
    <w:rsid w:val="00387C9A"/>
    <w:rsid w:val="0039005A"/>
    <w:rsid w:val="003A44B8"/>
    <w:rsid w:val="003B2A73"/>
    <w:rsid w:val="003C4395"/>
    <w:rsid w:val="003F370C"/>
    <w:rsid w:val="0044209D"/>
    <w:rsid w:val="00463FC7"/>
    <w:rsid w:val="00470D86"/>
    <w:rsid w:val="00487627"/>
    <w:rsid w:val="004B23E7"/>
    <w:rsid w:val="004B2961"/>
    <w:rsid w:val="004D17ED"/>
    <w:rsid w:val="004D6654"/>
    <w:rsid w:val="005040EB"/>
    <w:rsid w:val="00511908"/>
    <w:rsid w:val="005742BB"/>
    <w:rsid w:val="00590EDC"/>
    <w:rsid w:val="005B7B69"/>
    <w:rsid w:val="005D122A"/>
    <w:rsid w:val="005E25B0"/>
    <w:rsid w:val="005F3765"/>
    <w:rsid w:val="00605BAF"/>
    <w:rsid w:val="0062418E"/>
    <w:rsid w:val="0065271B"/>
    <w:rsid w:val="006715DF"/>
    <w:rsid w:val="00690A11"/>
    <w:rsid w:val="00694319"/>
    <w:rsid w:val="006A43C3"/>
    <w:rsid w:val="007041EB"/>
    <w:rsid w:val="007113C2"/>
    <w:rsid w:val="00715E27"/>
    <w:rsid w:val="007A7B0F"/>
    <w:rsid w:val="007E17EA"/>
    <w:rsid w:val="007F2950"/>
    <w:rsid w:val="008143F8"/>
    <w:rsid w:val="0084505D"/>
    <w:rsid w:val="00894F21"/>
    <w:rsid w:val="008F166A"/>
    <w:rsid w:val="009632E2"/>
    <w:rsid w:val="00983F3B"/>
    <w:rsid w:val="009C0DA5"/>
    <w:rsid w:val="009C368F"/>
    <w:rsid w:val="009F6C39"/>
    <w:rsid w:val="00A202BD"/>
    <w:rsid w:val="00A62A87"/>
    <w:rsid w:val="00A63547"/>
    <w:rsid w:val="00AA6D12"/>
    <w:rsid w:val="00AB6BBE"/>
    <w:rsid w:val="00AC4466"/>
    <w:rsid w:val="00AC66EB"/>
    <w:rsid w:val="00AE7A16"/>
    <w:rsid w:val="00B16B50"/>
    <w:rsid w:val="00B45FEC"/>
    <w:rsid w:val="00B5405B"/>
    <w:rsid w:val="00B5762F"/>
    <w:rsid w:val="00B778DB"/>
    <w:rsid w:val="00B8178A"/>
    <w:rsid w:val="00BC0364"/>
    <w:rsid w:val="00BC6CD1"/>
    <w:rsid w:val="00BD6805"/>
    <w:rsid w:val="00BE0BF8"/>
    <w:rsid w:val="00BE5360"/>
    <w:rsid w:val="00BE757A"/>
    <w:rsid w:val="00C03D01"/>
    <w:rsid w:val="00C34182"/>
    <w:rsid w:val="00C46404"/>
    <w:rsid w:val="00C51A90"/>
    <w:rsid w:val="00CA73CA"/>
    <w:rsid w:val="00CC5865"/>
    <w:rsid w:val="00CD4F48"/>
    <w:rsid w:val="00CD7299"/>
    <w:rsid w:val="00D058D8"/>
    <w:rsid w:val="00D25009"/>
    <w:rsid w:val="00D25E63"/>
    <w:rsid w:val="00D41523"/>
    <w:rsid w:val="00D5721D"/>
    <w:rsid w:val="00D85EA6"/>
    <w:rsid w:val="00D90149"/>
    <w:rsid w:val="00D92E31"/>
    <w:rsid w:val="00DA0AD5"/>
    <w:rsid w:val="00DB2C6F"/>
    <w:rsid w:val="00DC2D75"/>
    <w:rsid w:val="00DC4D93"/>
    <w:rsid w:val="00E3221E"/>
    <w:rsid w:val="00E376CE"/>
    <w:rsid w:val="00E832FF"/>
    <w:rsid w:val="00E925CB"/>
    <w:rsid w:val="00E928EB"/>
    <w:rsid w:val="00EB38D7"/>
    <w:rsid w:val="00ED17C8"/>
    <w:rsid w:val="00ED2565"/>
    <w:rsid w:val="00EE13A9"/>
    <w:rsid w:val="00EF3DF2"/>
    <w:rsid w:val="00F001EB"/>
    <w:rsid w:val="00F64E16"/>
    <w:rsid w:val="00FA45E3"/>
    <w:rsid w:val="00FA612B"/>
    <w:rsid w:val="00FB5D3A"/>
    <w:rsid w:val="00FE2588"/>
    <w:rsid w:val="00FE669B"/>
    <w:rsid w:val="00FE759C"/>
    <w:rsid w:val="00FF2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339DC8"/>
  <w15:chartTrackingRefBased/>
  <w15:docId w15:val="{53D689F9-C57C-4F58-A03F-542142F2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Gothic" w:hAnsi="Times New Roman" w:cstheme="minorBidi"/>
        <w:kern w:val="2"/>
        <w:sz w:val="24"/>
        <w:szCs w:val="22"/>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704"/>
    <w:pPr>
      <w:widowControl w:val="0"/>
      <w:jc w:val="both"/>
    </w:pPr>
  </w:style>
  <w:style w:type="paragraph" w:styleId="Heading1">
    <w:name w:val="heading 1"/>
    <w:basedOn w:val="Normal"/>
    <w:next w:val="Normal"/>
    <w:link w:val="Heading1Char"/>
    <w:uiPriority w:val="9"/>
    <w:qFormat/>
    <w:rsid w:val="00EB38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EB38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EB38D7"/>
    <w:pPr>
      <w:keepNext/>
      <w:keepLines/>
      <w:spacing w:before="160" w:after="80"/>
      <w:outlineLvl w:val="2"/>
    </w:pPr>
    <w:rPr>
      <w:rFonts w:asciiTheme="majorHAnsi" w:eastAsiaTheme="majorEastAsia" w:hAnsiTheme="majorHAnsi" w:cstheme="majorBidi"/>
      <w:color w:val="000000" w:themeColor="text1"/>
      <w:szCs w:val="24"/>
    </w:rPr>
  </w:style>
  <w:style w:type="paragraph" w:styleId="Heading4">
    <w:name w:val="heading 4"/>
    <w:basedOn w:val="Normal"/>
    <w:next w:val="Normal"/>
    <w:link w:val="Heading4Char"/>
    <w:uiPriority w:val="9"/>
    <w:semiHidden/>
    <w:unhideWhenUsed/>
    <w:qFormat/>
    <w:rsid w:val="00EB38D7"/>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EB38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EB38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EB38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EB38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EB38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8DB"/>
    <w:pPr>
      <w:tabs>
        <w:tab w:val="center" w:pos="4252"/>
        <w:tab w:val="right" w:pos="8504"/>
      </w:tabs>
      <w:snapToGrid w:val="0"/>
    </w:pPr>
  </w:style>
  <w:style w:type="character" w:customStyle="1" w:styleId="HeaderChar">
    <w:name w:val="Header Char"/>
    <w:basedOn w:val="DefaultParagraphFont"/>
    <w:link w:val="Header"/>
    <w:uiPriority w:val="99"/>
    <w:rsid w:val="00B778DB"/>
  </w:style>
  <w:style w:type="paragraph" w:styleId="Footer">
    <w:name w:val="footer"/>
    <w:basedOn w:val="Normal"/>
    <w:link w:val="FooterChar"/>
    <w:uiPriority w:val="99"/>
    <w:unhideWhenUsed/>
    <w:rsid w:val="00B778DB"/>
    <w:pPr>
      <w:tabs>
        <w:tab w:val="center" w:pos="4252"/>
        <w:tab w:val="right" w:pos="8504"/>
      </w:tabs>
      <w:snapToGrid w:val="0"/>
    </w:pPr>
  </w:style>
  <w:style w:type="character" w:customStyle="1" w:styleId="FooterChar">
    <w:name w:val="Footer Char"/>
    <w:basedOn w:val="DefaultParagraphFont"/>
    <w:link w:val="Footer"/>
    <w:uiPriority w:val="99"/>
    <w:rsid w:val="00B778DB"/>
  </w:style>
  <w:style w:type="character" w:customStyle="1" w:styleId="Heading1Char">
    <w:name w:val="Heading 1 Char"/>
    <w:basedOn w:val="DefaultParagraphFont"/>
    <w:link w:val="Heading1"/>
    <w:uiPriority w:val="9"/>
    <w:rsid w:val="00EB38D7"/>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EB38D7"/>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EB38D7"/>
    <w:rPr>
      <w:rFonts w:asciiTheme="majorHAnsi" w:eastAsiaTheme="majorEastAsia" w:hAnsiTheme="majorHAnsi" w:cstheme="majorBidi"/>
      <w:color w:val="000000" w:themeColor="text1"/>
      <w:szCs w:val="24"/>
    </w:rPr>
  </w:style>
  <w:style w:type="character" w:customStyle="1" w:styleId="Heading4Char">
    <w:name w:val="Heading 4 Char"/>
    <w:basedOn w:val="DefaultParagraphFont"/>
    <w:link w:val="Heading4"/>
    <w:uiPriority w:val="9"/>
    <w:semiHidden/>
    <w:rsid w:val="00EB38D7"/>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EB38D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EB38D7"/>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EB38D7"/>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EB38D7"/>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EB38D7"/>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EB38D7"/>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8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8D7"/>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EB38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38D7"/>
    <w:rPr>
      <w:i/>
      <w:iCs/>
      <w:color w:val="404040" w:themeColor="text1" w:themeTint="BF"/>
    </w:rPr>
  </w:style>
  <w:style w:type="paragraph" w:styleId="ListParagraph">
    <w:name w:val="List Paragraph"/>
    <w:basedOn w:val="Normal"/>
    <w:uiPriority w:val="34"/>
    <w:qFormat/>
    <w:rsid w:val="00EB38D7"/>
    <w:pPr>
      <w:ind w:left="720"/>
      <w:contextualSpacing/>
    </w:pPr>
  </w:style>
  <w:style w:type="character" w:styleId="IntenseEmphasis">
    <w:name w:val="Intense Emphasis"/>
    <w:basedOn w:val="DefaultParagraphFont"/>
    <w:uiPriority w:val="21"/>
    <w:qFormat/>
    <w:rsid w:val="00EB38D7"/>
    <w:rPr>
      <w:i/>
      <w:iCs/>
      <w:color w:val="0F4761" w:themeColor="accent1" w:themeShade="BF"/>
    </w:rPr>
  </w:style>
  <w:style w:type="paragraph" w:styleId="IntenseQuote">
    <w:name w:val="Intense Quote"/>
    <w:basedOn w:val="Normal"/>
    <w:next w:val="Normal"/>
    <w:link w:val="IntenseQuoteChar"/>
    <w:uiPriority w:val="30"/>
    <w:qFormat/>
    <w:rsid w:val="00EB3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8D7"/>
    <w:rPr>
      <w:i/>
      <w:iCs/>
      <w:color w:val="0F4761" w:themeColor="accent1" w:themeShade="BF"/>
    </w:rPr>
  </w:style>
  <w:style w:type="character" w:styleId="IntenseReference">
    <w:name w:val="Intense Reference"/>
    <w:basedOn w:val="DefaultParagraphFont"/>
    <w:uiPriority w:val="32"/>
    <w:qFormat/>
    <w:rsid w:val="00EB38D7"/>
    <w:rPr>
      <w:b/>
      <w:bCs/>
      <w:smallCaps/>
      <w:color w:val="0F4761" w:themeColor="accent1" w:themeShade="BF"/>
      <w:spacing w:val="5"/>
    </w:rPr>
  </w:style>
  <w:style w:type="paragraph" w:styleId="Revision">
    <w:name w:val="Revision"/>
    <w:hidden/>
    <w:uiPriority w:val="99"/>
    <w:semiHidden/>
    <w:rsid w:val="00146C55"/>
  </w:style>
  <w:style w:type="character" w:styleId="CommentReference">
    <w:name w:val="annotation reference"/>
    <w:basedOn w:val="DefaultParagraphFont"/>
    <w:uiPriority w:val="99"/>
    <w:semiHidden/>
    <w:unhideWhenUsed/>
    <w:rsid w:val="00146C55"/>
    <w:rPr>
      <w:sz w:val="18"/>
      <w:szCs w:val="18"/>
    </w:rPr>
  </w:style>
  <w:style w:type="paragraph" w:styleId="CommentText">
    <w:name w:val="annotation text"/>
    <w:basedOn w:val="Normal"/>
    <w:link w:val="CommentTextChar"/>
    <w:uiPriority w:val="99"/>
    <w:unhideWhenUsed/>
    <w:rsid w:val="00146C55"/>
    <w:pPr>
      <w:jc w:val="left"/>
    </w:pPr>
  </w:style>
  <w:style w:type="character" w:customStyle="1" w:styleId="CommentTextChar">
    <w:name w:val="Comment Text Char"/>
    <w:basedOn w:val="DefaultParagraphFont"/>
    <w:link w:val="CommentText"/>
    <w:uiPriority w:val="99"/>
    <w:rsid w:val="00146C55"/>
  </w:style>
  <w:style w:type="paragraph" w:styleId="CommentSubject">
    <w:name w:val="annotation subject"/>
    <w:basedOn w:val="CommentText"/>
    <w:next w:val="CommentText"/>
    <w:link w:val="CommentSubjectChar"/>
    <w:uiPriority w:val="99"/>
    <w:semiHidden/>
    <w:unhideWhenUsed/>
    <w:rsid w:val="00146C55"/>
    <w:rPr>
      <w:b/>
      <w:bCs/>
    </w:rPr>
  </w:style>
  <w:style w:type="character" w:customStyle="1" w:styleId="CommentSubjectChar">
    <w:name w:val="Comment Subject Char"/>
    <w:basedOn w:val="CommentTextChar"/>
    <w:link w:val="CommentSubject"/>
    <w:uiPriority w:val="99"/>
    <w:semiHidden/>
    <w:rsid w:val="00146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6166</Characters>
  <Application>Microsoft Office Word</Application>
  <DocSecurity>0</DocSecurity>
  <Lines>385</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富永 温夫(TOMINAGA Haruo)</dc:creator>
  <cp:keywords/>
  <dc:description/>
  <cp:lastModifiedBy>María José García</cp:lastModifiedBy>
  <cp:revision>2</cp:revision>
  <dcterms:created xsi:type="dcterms:W3CDTF">2025-11-10T15:09:00Z</dcterms:created>
  <dcterms:modified xsi:type="dcterms:W3CDTF">2025-11-10T15:09:00Z</dcterms:modified>
</cp:coreProperties>
</file>