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105D" w14:textId="381B4AD8" w:rsidR="00EE13A9" w:rsidRPr="00BC0364" w:rsidRDefault="00EE13A9" w:rsidP="00EE13A9">
      <w:pPr>
        <w:jc w:val="right"/>
        <w:rPr>
          <w:rFonts w:ascii="Cambria" w:hAnsi="Cambria"/>
          <w:b/>
          <w:bCs/>
          <w:sz w:val="20"/>
          <w:szCs w:val="20"/>
        </w:rPr>
      </w:pPr>
      <w:r>
        <w:rPr>
          <w:rFonts w:ascii="Cambria" w:hAnsi="Cambria"/>
          <w:b/>
          <w:bCs/>
          <w:sz w:val="20"/>
        </w:rPr>
        <w:t>Original :</w:t>
      </w:r>
      <w:r>
        <w:rPr>
          <w:rFonts w:ascii="Cambria" w:hAnsi="Cambria"/>
          <w:b/>
          <w:sz w:val="20"/>
        </w:rPr>
        <w:t xml:space="preserve"> </w:t>
      </w:r>
      <w:r>
        <w:rPr>
          <w:rFonts w:ascii="Cambria" w:hAnsi="Cambria"/>
          <w:b/>
          <w:bCs/>
          <w:sz w:val="20"/>
        </w:rPr>
        <w:t>anglais</w:t>
      </w:r>
    </w:p>
    <w:p w14:paraId="7F1CFC5D" w14:textId="77777777" w:rsidR="00BC0364" w:rsidRDefault="00BC0364" w:rsidP="00EB38D7">
      <w:pPr>
        <w:jc w:val="center"/>
        <w:rPr>
          <w:rFonts w:ascii="Cambria" w:hAnsi="Cambria"/>
          <w:b/>
          <w:bCs/>
          <w:sz w:val="20"/>
          <w:szCs w:val="20"/>
        </w:rPr>
      </w:pPr>
    </w:p>
    <w:p w14:paraId="70A6BA3F" w14:textId="6DA21C1A" w:rsidR="00AA6D12" w:rsidRPr="00BC0364" w:rsidRDefault="00EB38D7" w:rsidP="00EB38D7">
      <w:pPr>
        <w:jc w:val="center"/>
        <w:rPr>
          <w:rFonts w:ascii="Cambria" w:hAnsi="Cambria"/>
          <w:b/>
          <w:bCs/>
          <w:sz w:val="20"/>
          <w:szCs w:val="20"/>
        </w:rPr>
      </w:pPr>
      <w:r>
        <w:rPr>
          <w:rFonts w:ascii="Cambria" w:hAnsi="Cambria"/>
          <w:b/>
          <w:sz w:val="20"/>
        </w:rPr>
        <w:t>Examen de la mise en œuvre des Recommandations relatives aux requins</w:t>
      </w:r>
    </w:p>
    <w:p w14:paraId="4DDDAB72" w14:textId="418A21D4" w:rsidR="00EB38D7" w:rsidRPr="00BC0364" w:rsidRDefault="00EB38D7" w:rsidP="00EB38D7">
      <w:pPr>
        <w:jc w:val="center"/>
        <w:rPr>
          <w:rFonts w:ascii="Cambria" w:hAnsi="Cambria"/>
          <w:i/>
          <w:iCs/>
          <w:sz w:val="20"/>
          <w:szCs w:val="20"/>
        </w:rPr>
      </w:pPr>
      <w:r>
        <w:rPr>
          <w:rFonts w:ascii="Cambria" w:hAnsi="Cambria"/>
          <w:i/>
          <w:sz w:val="20"/>
        </w:rPr>
        <w:t>(Amis du Président du COC (Japon))</w:t>
      </w:r>
    </w:p>
    <w:p w14:paraId="456A54B4" w14:textId="2BEE071B" w:rsidR="00EB38D7" w:rsidRPr="00BC0364" w:rsidRDefault="00EB38D7" w:rsidP="00EB38D7">
      <w:pPr>
        <w:jc w:val="left"/>
        <w:rPr>
          <w:rFonts w:ascii="Cambria" w:hAnsi="Cambria"/>
          <w:sz w:val="20"/>
          <w:szCs w:val="20"/>
        </w:rPr>
      </w:pPr>
    </w:p>
    <w:p w14:paraId="20D19252" w14:textId="77777777" w:rsidR="00136BCC" w:rsidRPr="00BC0364" w:rsidRDefault="00136BCC" w:rsidP="00EB38D7">
      <w:pPr>
        <w:jc w:val="left"/>
        <w:rPr>
          <w:rFonts w:ascii="Cambria" w:hAnsi="Cambria"/>
          <w:sz w:val="20"/>
          <w:szCs w:val="20"/>
        </w:rPr>
      </w:pPr>
    </w:p>
    <w:p w14:paraId="18727AD0" w14:textId="114C0AC1" w:rsidR="00136BCC" w:rsidRPr="00BC0364" w:rsidRDefault="00136BCC" w:rsidP="00BC0364">
      <w:pPr>
        <w:rPr>
          <w:rFonts w:ascii="Cambria" w:hAnsi="Cambria"/>
          <w:sz w:val="20"/>
          <w:szCs w:val="20"/>
        </w:rPr>
      </w:pPr>
      <w:r>
        <w:rPr>
          <w:rFonts w:ascii="Cambria" w:hAnsi="Cambria"/>
          <w:sz w:val="20"/>
        </w:rPr>
        <w:t>En tant qu'un des amis du Président du COC, le Japon rend compte de l'état de mise en œuvre par les CPC des Recommandations de l’ICCAT relatives aux requins. L'examen a été réalisé sur la base des feuilles de contrôle sur la mise en œuvre des mesures s'appliquant aux requins (« feuilles de contrôle s'appliquant aux requins ») ayant été soumises.</w:t>
      </w:r>
    </w:p>
    <w:p w14:paraId="644142E1" w14:textId="77777777" w:rsidR="00EB38D7" w:rsidRDefault="00EB38D7" w:rsidP="00BC0364">
      <w:pPr>
        <w:rPr>
          <w:rFonts w:ascii="Cambria" w:hAnsi="Cambria"/>
          <w:sz w:val="20"/>
          <w:szCs w:val="20"/>
        </w:rPr>
      </w:pPr>
    </w:p>
    <w:p w14:paraId="17541729" w14:textId="77777777" w:rsidR="00FE669B" w:rsidRPr="00BC0364" w:rsidRDefault="00FE669B" w:rsidP="00BC0364">
      <w:pPr>
        <w:rPr>
          <w:rFonts w:ascii="Cambria" w:hAnsi="Cambria"/>
          <w:sz w:val="20"/>
          <w:szCs w:val="20"/>
        </w:rPr>
      </w:pPr>
    </w:p>
    <w:p w14:paraId="0BCBED6D" w14:textId="45C828DF" w:rsidR="00EB38D7" w:rsidRPr="00BC0364" w:rsidRDefault="00EB38D7" w:rsidP="00F019FD">
      <w:pPr>
        <w:pStyle w:val="ListParagraph"/>
        <w:numPr>
          <w:ilvl w:val="0"/>
          <w:numId w:val="1"/>
        </w:numPr>
        <w:ind w:left="426" w:hanging="426"/>
        <w:rPr>
          <w:rFonts w:ascii="Cambria" w:hAnsi="Cambria"/>
          <w:b/>
          <w:bCs/>
          <w:sz w:val="20"/>
          <w:szCs w:val="20"/>
        </w:rPr>
      </w:pPr>
      <w:r>
        <w:rPr>
          <w:rFonts w:ascii="Cambria" w:hAnsi="Cambria"/>
          <w:b/>
          <w:sz w:val="20"/>
        </w:rPr>
        <w:t>Recommandations pour cet examen</w:t>
      </w:r>
    </w:p>
    <w:p w14:paraId="26DC06ED" w14:textId="77777777" w:rsidR="00BC0364" w:rsidRDefault="00BC0364" w:rsidP="00BC0364">
      <w:pPr>
        <w:rPr>
          <w:rFonts w:ascii="Cambria" w:hAnsi="Cambria"/>
          <w:sz w:val="20"/>
          <w:szCs w:val="20"/>
        </w:rPr>
      </w:pPr>
    </w:p>
    <w:p w14:paraId="14D82A63" w14:textId="3F1E87C9" w:rsidR="00EB38D7" w:rsidRPr="00BC0364" w:rsidRDefault="00146C55" w:rsidP="00BC0364">
      <w:pPr>
        <w:rPr>
          <w:rFonts w:ascii="Cambria" w:hAnsi="Cambria"/>
          <w:sz w:val="20"/>
          <w:szCs w:val="20"/>
        </w:rPr>
      </w:pPr>
      <w:r>
        <w:rPr>
          <w:rFonts w:ascii="Cambria" w:hAnsi="Cambria"/>
          <w:sz w:val="20"/>
        </w:rPr>
        <w:t>Les Recommandations suivantes ont été examinées dans le présent document. En raison du manque de temps, les Recommandations concernant le requin peau bleue et le requin-taupe bleu ne sont pas incluses dans cet examen.</w:t>
      </w:r>
    </w:p>
    <w:p w14:paraId="4087306C" w14:textId="77777777" w:rsidR="00261660" w:rsidRPr="00BC0364" w:rsidRDefault="00261660" w:rsidP="00BC0364">
      <w:pPr>
        <w:rPr>
          <w:rFonts w:ascii="Cambria" w:hAnsi="Cambria"/>
          <w:sz w:val="20"/>
          <w:szCs w:val="20"/>
        </w:rPr>
      </w:pPr>
    </w:p>
    <w:p w14:paraId="2B6B6F5B" w14:textId="0F8EE502" w:rsidR="00136BCC" w:rsidRPr="00BC0364" w:rsidRDefault="00136BCC" w:rsidP="0010588F">
      <w:pPr>
        <w:ind w:left="851" w:hanging="425"/>
        <w:rPr>
          <w:rFonts w:ascii="Cambria" w:hAnsi="Cambria"/>
          <w:sz w:val="20"/>
          <w:szCs w:val="20"/>
        </w:rPr>
      </w:pPr>
      <w:r>
        <w:rPr>
          <w:rFonts w:ascii="Cambria" w:hAnsi="Cambria"/>
          <w:sz w:val="20"/>
        </w:rPr>
        <w:t xml:space="preserve">- </w:t>
      </w:r>
      <w:r w:rsidR="0010588F">
        <w:rPr>
          <w:rFonts w:ascii="Cambria" w:hAnsi="Cambria"/>
          <w:sz w:val="20"/>
        </w:rPr>
        <w:tab/>
      </w:r>
      <w:r>
        <w:rPr>
          <w:rFonts w:ascii="Cambria" w:hAnsi="Cambria"/>
          <w:i/>
          <w:iCs/>
          <w:sz w:val="20"/>
        </w:rPr>
        <w:t>Recommandation de l’ICCAT concernant la conservation des requins capturés en association avec les pêcheries gérées par l’ICCAT</w:t>
      </w:r>
      <w:r>
        <w:rPr>
          <w:rFonts w:ascii="Cambria" w:hAnsi="Cambria"/>
          <w:sz w:val="20"/>
        </w:rPr>
        <w:t xml:space="preserve"> (Rec. 04-10),</w:t>
      </w:r>
    </w:p>
    <w:p w14:paraId="17506C99" w14:textId="77F42429" w:rsidR="00136BCC" w:rsidRPr="00BC0364" w:rsidRDefault="00136BCC" w:rsidP="0010588F">
      <w:pPr>
        <w:ind w:left="851" w:hanging="425"/>
        <w:rPr>
          <w:rFonts w:ascii="Cambria" w:hAnsi="Cambria"/>
          <w:sz w:val="20"/>
          <w:szCs w:val="20"/>
        </w:rPr>
      </w:pPr>
      <w:r>
        <w:rPr>
          <w:rFonts w:ascii="Cambria" w:hAnsi="Cambria"/>
          <w:sz w:val="20"/>
        </w:rPr>
        <w:t xml:space="preserve">- </w:t>
      </w:r>
      <w:r w:rsidR="0010588F">
        <w:rPr>
          <w:rFonts w:ascii="Cambria" w:hAnsi="Cambria"/>
          <w:sz w:val="20"/>
        </w:rPr>
        <w:tab/>
      </w:r>
      <w:r>
        <w:rPr>
          <w:rFonts w:ascii="Cambria" w:hAnsi="Cambria"/>
          <w:i/>
          <w:iCs/>
          <w:sz w:val="20"/>
        </w:rPr>
        <w:t>Recommandation supplémentaire de l’ICCAT concernant les requins</w:t>
      </w:r>
      <w:r>
        <w:rPr>
          <w:rFonts w:ascii="Cambria" w:hAnsi="Cambria"/>
          <w:i/>
          <w:sz w:val="20"/>
        </w:rPr>
        <w:t xml:space="preserve"> </w:t>
      </w:r>
      <w:r>
        <w:rPr>
          <w:rFonts w:ascii="Cambria" w:hAnsi="Cambria"/>
          <w:sz w:val="20"/>
        </w:rPr>
        <w:t>(Rec. 07-06)</w:t>
      </w:r>
    </w:p>
    <w:p w14:paraId="69227BF0" w14:textId="535D3A02" w:rsidR="00136BCC" w:rsidRPr="00BC0364" w:rsidRDefault="00136BCC" w:rsidP="0010588F">
      <w:pPr>
        <w:ind w:left="851" w:hanging="425"/>
        <w:rPr>
          <w:rFonts w:ascii="Cambria" w:hAnsi="Cambria"/>
          <w:sz w:val="20"/>
          <w:szCs w:val="20"/>
        </w:rPr>
      </w:pPr>
      <w:r>
        <w:rPr>
          <w:rFonts w:ascii="Cambria" w:hAnsi="Cambria"/>
          <w:sz w:val="20"/>
        </w:rPr>
        <w:t>-</w:t>
      </w:r>
      <w:r>
        <w:rPr>
          <w:rFonts w:ascii="Cambria" w:hAnsi="Cambria"/>
          <w:sz w:val="20"/>
        </w:rPr>
        <w:tab/>
      </w:r>
      <w:r>
        <w:rPr>
          <w:rFonts w:ascii="Cambria" w:hAnsi="Cambria"/>
          <w:i/>
          <w:iCs/>
          <w:sz w:val="20"/>
        </w:rPr>
        <w:t>Recommandation de l’ICCAT sur la conservation des renards de mer capturés en association avec les pêcheries dans la zone de la Convention de l’ICCAT</w:t>
      </w:r>
      <w:r>
        <w:rPr>
          <w:rFonts w:ascii="Cambria" w:hAnsi="Cambria"/>
          <w:sz w:val="20"/>
        </w:rPr>
        <w:t xml:space="preserve"> (Rec. 09-07),</w:t>
      </w:r>
    </w:p>
    <w:p w14:paraId="7D9E0B38" w14:textId="16D41C9C" w:rsidR="00261660" w:rsidRPr="00BC0364" w:rsidRDefault="00136BCC" w:rsidP="0010588F">
      <w:pPr>
        <w:ind w:left="851" w:hanging="425"/>
        <w:rPr>
          <w:rFonts w:ascii="Cambria" w:hAnsi="Cambria"/>
          <w:sz w:val="20"/>
          <w:szCs w:val="20"/>
        </w:rPr>
      </w:pPr>
      <w:r>
        <w:rPr>
          <w:rFonts w:ascii="Cambria" w:hAnsi="Cambria"/>
          <w:sz w:val="20"/>
        </w:rPr>
        <w:t>-</w:t>
      </w:r>
      <w:r>
        <w:rPr>
          <w:rFonts w:ascii="Cambria" w:hAnsi="Cambria"/>
          <w:sz w:val="20"/>
        </w:rPr>
        <w:tab/>
      </w:r>
      <w:r>
        <w:rPr>
          <w:rFonts w:ascii="Cambria" w:hAnsi="Cambria"/>
          <w:i/>
          <w:iCs/>
          <w:sz w:val="20"/>
        </w:rPr>
        <w:t>Recommandation de l’ICCAT sur la conservation du requin océanique capturé en association avec les pêcheries dans la zone de la Convention de l’ICCAT</w:t>
      </w:r>
      <w:r>
        <w:rPr>
          <w:rFonts w:ascii="Cambria" w:hAnsi="Cambria"/>
          <w:sz w:val="20"/>
        </w:rPr>
        <w:t xml:space="preserve"> (Rec. 10-07),</w:t>
      </w:r>
    </w:p>
    <w:p w14:paraId="33214BB8" w14:textId="52FC4663" w:rsidR="00261660" w:rsidRPr="00BC0364" w:rsidRDefault="00136BCC" w:rsidP="0010588F">
      <w:pPr>
        <w:ind w:left="851" w:hanging="425"/>
        <w:rPr>
          <w:rFonts w:ascii="Cambria" w:hAnsi="Cambria"/>
          <w:sz w:val="20"/>
          <w:szCs w:val="20"/>
        </w:rPr>
      </w:pPr>
      <w:r>
        <w:rPr>
          <w:rFonts w:ascii="Cambria" w:hAnsi="Cambria"/>
          <w:sz w:val="20"/>
        </w:rPr>
        <w:t>-</w:t>
      </w:r>
      <w:r>
        <w:rPr>
          <w:rFonts w:ascii="Cambria" w:hAnsi="Cambria"/>
          <w:sz w:val="20"/>
        </w:rPr>
        <w:tab/>
      </w:r>
      <w:r>
        <w:rPr>
          <w:rFonts w:ascii="Cambria" w:hAnsi="Cambria"/>
          <w:i/>
          <w:iCs/>
          <w:sz w:val="20"/>
        </w:rPr>
        <w:t xml:space="preserve">Recommandation de l’ICCAT sur le requin marteau (famille </w:t>
      </w:r>
      <w:r w:rsidRPr="00F019FD">
        <w:rPr>
          <w:rFonts w:ascii="Cambria" w:hAnsi="Cambria"/>
          <w:sz w:val="20"/>
        </w:rPr>
        <w:t>Sphyrnidae</w:t>
      </w:r>
      <w:r>
        <w:rPr>
          <w:rFonts w:ascii="Cambria" w:hAnsi="Cambria"/>
          <w:i/>
          <w:iCs/>
          <w:sz w:val="20"/>
        </w:rPr>
        <w:t>) capturé en association avec les pêcheries gérées par l'ICCAT</w:t>
      </w:r>
      <w:r>
        <w:rPr>
          <w:rFonts w:ascii="Cambria" w:hAnsi="Cambria"/>
          <w:sz w:val="20"/>
        </w:rPr>
        <w:t xml:space="preserve"> (Rec. 10-08),</w:t>
      </w:r>
    </w:p>
    <w:p w14:paraId="1F62ACBC" w14:textId="33252B11" w:rsidR="00261660" w:rsidRPr="00BC0364" w:rsidRDefault="00136BCC" w:rsidP="0010588F">
      <w:pPr>
        <w:ind w:left="851" w:hanging="425"/>
        <w:rPr>
          <w:rFonts w:ascii="Cambria" w:hAnsi="Cambria"/>
          <w:sz w:val="20"/>
          <w:szCs w:val="20"/>
        </w:rPr>
      </w:pPr>
      <w:r>
        <w:rPr>
          <w:rFonts w:ascii="Cambria" w:hAnsi="Cambria"/>
          <w:sz w:val="20"/>
        </w:rPr>
        <w:t>-</w:t>
      </w:r>
      <w:r>
        <w:rPr>
          <w:rFonts w:ascii="Cambria" w:hAnsi="Cambria"/>
          <w:sz w:val="20"/>
        </w:rPr>
        <w:tab/>
      </w:r>
      <w:r>
        <w:rPr>
          <w:rFonts w:ascii="Cambria" w:hAnsi="Cambria"/>
          <w:i/>
          <w:iCs/>
          <w:sz w:val="20"/>
        </w:rPr>
        <w:t>Recommandation de l’ICCAT sur la conservation du requin soyeux capturé en association avec les pêcheries de l’ICCAT</w:t>
      </w:r>
      <w:r>
        <w:rPr>
          <w:rFonts w:ascii="Cambria" w:hAnsi="Cambria"/>
          <w:sz w:val="20"/>
        </w:rPr>
        <w:t xml:space="preserve"> (Rec. 11-08),</w:t>
      </w:r>
    </w:p>
    <w:p w14:paraId="5D7856BE" w14:textId="33F2029E" w:rsidR="00261660" w:rsidRPr="00BC0364" w:rsidRDefault="00136BCC" w:rsidP="0010588F">
      <w:pPr>
        <w:ind w:left="851" w:hanging="425"/>
        <w:rPr>
          <w:rFonts w:ascii="Cambria" w:hAnsi="Cambria"/>
          <w:sz w:val="20"/>
          <w:szCs w:val="20"/>
        </w:rPr>
      </w:pPr>
      <w:r>
        <w:rPr>
          <w:rFonts w:ascii="Cambria" w:hAnsi="Cambria"/>
          <w:sz w:val="20"/>
        </w:rPr>
        <w:t>-</w:t>
      </w:r>
      <w:r>
        <w:rPr>
          <w:rFonts w:ascii="Cambria" w:hAnsi="Cambria"/>
          <w:i/>
          <w:iCs/>
          <w:sz w:val="20"/>
        </w:rPr>
        <w:tab/>
        <w:t xml:space="preserve">Recommandation de l’ICCAT sur le requin-taupe commun capturé en association avec les pêcheries de l’ICCAT </w:t>
      </w:r>
      <w:r>
        <w:rPr>
          <w:rFonts w:ascii="Cambria" w:hAnsi="Cambria"/>
          <w:sz w:val="20"/>
        </w:rPr>
        <w:t>(Rec. 15-06),</w:t>
      </w:r>
    </w:p>
    <w:p w14:paraId="6CA4B0DB" w14:textId="665B4043" w:rsidR="00261660" w:rsidRPr="00BC0364" w:rsidRDefault="00136BCC" w:rsidP="0010588F">
      <w:pPr>
        <w:ind w:left="851" w:hanging="425"/>
        <w:rPr>
          <w:rFonts w:ascii="Cambria" w:hAnsi="Cambria"/>
          <w:sz w:val="20"/>
          <w:szCs w:val="20"/>
        </w:rPr>
      </w:pPr>
      <w:r>
        <w:rPr>
          <w:rFonts w:ascii="Cambria" w:hAnsi="Cambria"/>
          <w:sz w:val="20"/>
        </w:rPr>
        <w:t>-</w:t>
      </w:r>
      <w:r>
        <w:rPr>
          <w:rFonts w:ascii="Cambria" w:hAnsi="Cambria"/>
          <w:sz w:val="20"/>
        </w:rPr>
        <w:tab/>
      </w:r>
      <w:r>
        <w:rPr>
          <w:rFonts w:ascii="Cambria" w:hAnsi="Cambria"/>
          <w:i/>
          <w:iCs/>
          <w:sz w:val="20"/>
        </w:rPr>
        <w:t>Recommandation de l’ICCAT remplaçant la Recommandation 16-13 en vue d'améliorer l'examen de l'application des mesures de conservation et de gestion s'appliquant aux requins capturés en association avec les pêcheries de l’ICCAT</w:t>
      </w:r>
      <w:r>
        <w:rPr>
          <w:rFonts w:ascii="Cambria" w:hAnsi="Cambria"/>
          <w:sz w:val="20"/>
        </w:rPr>
        <w:t xml:space="preserve"> (Rec. 18-06), et</w:t>
      </w:r>
    </w:p>
    <w:p w14:paraId="550D0146" w14:textId="55BD3483" w:rsidR="00EB38D7" w:rsidRPr="00BC0364" w:rsidRDefault="00136BCC" w:rsidP="0010588F">
      <w:pPr>
        <w:ind w:left="851" w:hanging="425"/>
        <w:rPr>
          <w:rFonts w:ascii="Cambria" w:hAnsi="Cambria"/>
          <w:sz w:val="20"/>
          <w:szCs w:val="20"/>
        </w:rPr>
      </w:pPr>
      <w:r>
        <w:rPr>
          <w:rFonts w:ascii="Cambria" w:hAnsi="Cambria"/>
          <w:sz w:val="20"/>
        </w:rPr>
        <w:t>-</w:t>
      </w:r>
      <w:r>
        <w:rPr>
          <w:rFonts w:ascii="Cambria" w:hAnsi="Cambria"/>
          <w:sz w:val="20"/>
        </w:rPr>
        <w:tab/>
      </w:r>
      <w:r>
        <w:rPr>
          <w:rFonts w:ascii="Cambria" w:hAnsi="Cambria"/>
          <w:i/>
          <w:iCs/>
          <w:sz w:val="20"/>
        </w:rPr>
        <w:t>Recommandation de l’ICCAT pour la conservation des requins-baleines (</w:t>
      </w:r>
      <w:r>
        <w:rPr>
          <w:rFonts w:ascii="Cambria" w:hAnsi="Cambria"/>
          <w:sz w:val="20"/>
        </w:rPr>
        <w:t>Rhincodon typus</w:t>
      </w:r>
      <w:r>
        <w:rPr>
          <w:rFonts w:ascii="Cambria" w:hAnsi="Cambria"/>
          <w:i/>
          <w:iCs/>
          <w:sz w:val="20"/>
        </w:rPr>
        <w:t>) capturés en association avec les pêcheries de l’ICCAT</w:t>
      </w:r>
      <w:r>
        <w:rPr>
          <w:rFonts w:ascii="Cambria" w:hAnsi="Cambria"/>
          <w:sz w:val="20"/>
        </w:rPr>
        <w:t xml:space="preserve"> (Rec. 23-12).</w:t>
      </w:r>
    </w:p>
    <w:p w14:paraId="0B06BA61" w14:textId="77777777" w:rsidR="00EB38D7" w:rsidRPr="00BC0364" w:rsidRDefault="00EB38D7" w:rsidP="00EB38D7">
      <w:pPr>
        <w:jc w:val="left"/>
        <w:rPr>
          <w:rFonts w:ascii="Cambria" w:hAnsi="Cambria"/>
          <w:sz w:val="20"/>
          <w:szCs w:val="20"/>
        </w:rPr>
      </w:pPr>
    </w:p>
    <w:p w14:paraId="630825BD" w14:textId="77777777" w:rsidR="00EB38D7" w:rsidRPr="00BC0364" w:rsidRDefault="00EB38D7" w:rsidP="00EB38D7">
      <w:pPr>
        <w:jc w:val="left"/>
        <w:rPr>
          <w:rFonts w:ascii="Cambria" w:hAnsi="Cambria"/>
          <w:sz w:val="20"/>
          <w:szCs w:val="20"/>
        </w:rPr>
      </w:pPr>
    </w:p>
    <w:p w14:paraId="663DE0B1" w14:textId="2757934D" w:rsidR="005742BB" w:rsidRPr="00BC0364" w:rsidRDefault="00F64E16" w:rsidP="00F019FD">
      <w:pPr>
        <w:pStyle w:val="ListParagraph"/>
        <w:numPr>
          <w:ilvl w:val="0"/>
          <w:numId w:val="1"/>
        </w:numPr>
        <w:ind w:left="426" w:hanging="426"/>
        <w:jc w:val="left"/>
        <w:rPr>
          <w:rFonts w:ascii="Cambria" w:hAnsi="Cambria"/>
          <w:b/>
          <w:bCs/>
          <w:sz w:val="20"/>
          <w:szCs w:val="20"/>
        </w:rPr>
      </w:pPr>
      <w:r>
        <w:rPr>
          <w:rFonts w:ascii="Cambria" w:hAnsi="Cambria"/>
          <w:b/>
          <w:sz w:val="20"/>
        </w:rPr>
        <w:t>Obligations spécifiques examinées dans le présent document.</w:t>
      </w:r>
    </w:p>
    <w:p w14:paraId="4B04C0B1" w14:textId="77777777" w:rsidR="00FE669B" w:rsidRDefault="00FE669B" w:rsidP="005742BB">
      <w:pPr>
        <w:jc w:val="left"/>
        <w:rPr>
          <w:rFonts w:ascii="Cambria" w:hAnsi="Cambria"/>
          <w:sz w:val="20"/>
          <w:szCs w:val="20"/>
        </w:rPr>
      </w:pPr>
    </w:p>
    <w:p w14:paraId="5409AF52" w14:textId="10092CB4" w:rsidR="00EB38D7" w:rsidRPr="00BC0364" w:rsidRDefault="00136BCC" w:rsidP="005742BB">
      <w:pPr>
        <w:jc w:val="left"/>
        <w:rPr>
          <w:rFonts w:ascii="Cambria" w:hAnsi="Cambria"/>
          <w:sz w:val="20"/>
          <w:szCs w:val="20"/>
        </w:rPr>
      </w:pPr>
      <w:r>
        <w:rPr>
          <w:rFonts w:ascii="Cambria" w:hAnsi="Cambria"/>
          <w:sz w:val="20"/>
        </w:rPr>
        <w:t>Ce document résume les observations générales sur l'état de mise en œuvre des Recommandations et les observations relatives à certaines obligations spécifiques :</w:t>
      </w:r>
    </w:p>
    <w:p w14:paraId="622336BF" w14:textId="77777777" w:rsidR="009C368F" w:rsidRPr="00BC0364" w:rsidRDefault="009C368F" w:rsidP="00EB38D7">
      <w:pPr>
        <w:jc w:val="left"/>
        <w:rPr>
          <w:rFonts w:ascii="Cambria" w:hAnsi="Cambria"/>
          <w:sz w:val="20"/>
          <w:szCs w:val="20"/>
        </w:rPr>
      </w:pPr>
    </w:p>
    <w:p w14:paraId="5BB8D94B" w14:textId="77777777" w:rsidR="002E2046" w:rsidRPr="00BC0364" w:rsidRDefault="00BC6CD1" w:rsidP="00EB38D7">
      <w:pPr>
        <w:pStyle w:val="ListParagraph"/>
        <w:numPr>
          <w:ilvl w:val="0"/>
          <w:numId w:val="2"/>
        </w:numPr>
        <w:jc w:val="left"/>
        <w:rPr>
          <w:rFonts w:ascii="Cambria" w:hAnsi="Cambria"/>
          <w:sz w:val="20"/>
          <w:szCs w:val="20"/>
        </w:rPr>
      </w:pPr>
      <w:bookmarkStart w:id="0" w:name="_Hlk211433524"/>
      <w:r>
        <w:rPr>
          <w:rFonts w:ascii="Cambria" w:hAnsi="Cambria"/>
          <w:sz w:val="20"/>
        </w:rPr>
        <w:t xml:space="preserve">Soumission des données. </w:t>
      </w:r>
    </w:p>
    <w:p w14:paraId="7C429268" w14:textId="77777777" w:rsidR="00FE669B" w:rsidRDefault="00FE669B" w:rsidP="002E2046">
      <w:pPr>
        <w:pStyle w:val="ListParagraph"/>
        <w:ind w:left="360"/>
        <w:jc w:val="left"/>
        <w:rPr>
          <w:rFonts w:ascii="Cambria" w:hAnsi="Cambria"/>
          <w:sz w:val="20"/>
          <w:szCs w:val="20"/>
        </w:rPr>
      </w:pPr>
    </w:p>
    <w:p w14:paraId="4142D03B" w14:textId="78FDE383" w:rsidR="00487627" w:rsidRDefault="00FE669B" w:rsidP="002E2046">
      <w:pPr>
        <w:pStyle w:val="ListParagraph"/>
        <w:ind w:left="360"/>
        <w:jc w:val="left"/>
        <w:rPr>
          <w:rFonts w:ascii="Cambria" w:hAnsi="Cambria"/>
          <w:sz w:val="20"/>
          <w:szCs w:val="20"/>
        </w:rPr>
      </w:pPr>
      <w:r>
        <w:rPr>
          <w:rFonts w:ascii="Cambria" w:hAnsi="Cambria"/>
          <w:sz w:val="20"/>
        </w:rPr>
        <w:t>(Rec. 04-10 para 1), (Rec. 07-06 para 1), (Rec. 11-15 para 1) et (Rec. 15-06 para 2)</w:t>
      </w:r>
    </w:p>
    <w:p w14:paraId="18281489" w14:textId="77777777" w:rsidR="00FE669B" w:rsidRPr="00BC0364" w:rsidRDefault="00FE669B" w:rsidP="002E2046">
      <w:pPr>
        <w:pStyle w:val="ListParagraph"/>
        <w:ind w:left="360"/>
        <w:jc w:val="left"/>
        <w:rPr>
          <w:rFonts w:ascii="Cambria" w:hAnsi="Cambria"/>
          <w:sz w:val="20"/>
          <w:szCs w:val="20"/>
        </w:rPr>
      </w:pPr>
    </w:p>
    <w:p w14:paraId="6E4C0337" w14:textId="77777777" w:rsidR="002E2046" w:rsidRPr="00BC0364" w:rsidRDefault="00BC6CD1" w:rsidP="00EB38D7">
      <w:pPr>
        <w:pStyle w:val="ListParagraph"/>
        <w:numPr>
          <w:ilvl w:val="0"/>
          <w:numId w:val="2"/>
        </w:numPr>
        <w:jc w:val="left"/>
        <w:rPr>
          <w:rFonts w:ascii="Cambria" w:hAnsi="Cambria"/>
          <w:sz w:val="20"/>
          <w:szCs w:val="20"/>
        </w:rPr>
      </w:pPr>
      <w:r>
        <w:rPr>
          <w:rFonts w:ascii="Cambria" w:hAnsi="Cambria"/>
          <w:sz w:val="20"/>
        </w:rPr>
        <w:t xml:space="preserve">Utilisation complète </w:t>
      </w:r>
    </w:p>
    <w:p w14:paraId="5EDE88CA" w14:textId="77777777" w:rsidR="00FE669B" w:rsidRDefault="00FE669B" w:rsidP="002E2046">
      <w:pPr>
        <w:ind w:firstLineChars="150" w:firstLine="300"/>
        <w:jc w:val="left"/>
        <w:rPr>
          <w:rFonts w:ascii="Cambria" w:hAnsi="Cambria"/>
          <w:sz w:val="20"/>
          <w:szCs w:val="20"/>
        </w:rPr>
      </w:pPr>
    </w:p>
    <w:p w14:paraId="5CB6621B" w14:textId="225EE18A" w:rsidR="00487627" w:rsidRDefault="00FE669B" w:rsidP="002E2046">
      <w:pPr>
        <w:ind w:firstLineChars="150" w:firstLine="300"/>
        <w:jc w:val="left"/>
        <w:rPr>
          <w:rFonts w:ascii="Cambria" w:hAnsi="Cambria"/>
          <w:sz w:val="20"/>
          <w:szCs w:val="20"/>
        </w:rPr>
      </w:pPr>
      <w:r>
        <w:rPr>
          <w:rFonts w:ascii="Cambria" w:hAnsi="Cambria"/>
          <w:sz w:val="20"/>
        </w:rPr>
        <w:t xml:space="preserve">(Rec. 04-10 para 2, para 3 et para 5) </w:t>
      </w:r>
    </w:p>
    <w:p w14:paraId="54348219" w14:textId="77777777" w:rsidR="00FE669B" w:rsidRPr="00BC0364" w:rsidRDefault="00FE669B" w:rsidP="002E2046">
      <w:pPr>
        <w:ind w:firstLineChars="150" w:firstLine="300"/>
        <w:jc w:val="left"/>
        <w:rPr>
          <w:rFonts w:ascii="Cambria" w:hAnsi="Cambria"/>
          <w:sz w:val="20"/>
          <w:szCs w:val="20"/>
        </w:rPr>
      </w:pPr>
    </w:p>
    <w:p w14:paraId="2F5D3E73" w14:textId="5495A7B1" w:rsidR="002E2046" w:rsidRDefault="00BC6CD1" w:rsidP="00EB38D7">
      <w:pPr>
        <w:pStyle w:val="ListParagraph"/>
        <w:numPr>
          <w:ilvl w:val="0"/>
          <w:numId w:val="2"/>
        </w:numPr>
        <w:jc w:val="left"/>
        <w:rPr>
          <w:rFonts w:ascii="Cambria" w:hAnsi="Cambria"/>
          <w:sz w:val="20"/>
          <w:szCs w:val="20"/>
        </w:rPr>
      </w:pPr>
      <w:r>
        <w:rPr>
          <w:rFonts w:ascii="Cambria" w:hAnsi="Cambria"/>
          <w:sz w:val="20"/>
        </w:rPr>
        <w:t>Exemption de présentation de la feuille de contrôle s'appliquant aux requins</w:t>
      </w:r>
    </w:p>
    <w:p w14:paraId="2884B283" w14:textId="77777777" w:rsidR="00FE669B" w:rsidRPr="00BC0364" w:rsidRDefault="00FE669B" w:rsidP="00FE669B">
      <w:pPr>
        <w:pStyle w:val="ListParagraph"/>
        <w:ind w:left="360"/>
        <w:jc w:val="left"/>
        <w:rPr>
          <w:rFonts w:ascii="Cambria" w:hAnsi="Cambria"/>
          <w:sz w:val="20"/>
          <w:szCs w:val="20"/>
        </w:rPr>
      </w:pPr>
    </w:p>
    <w:p w14:paraId="41963E94" w14:textId="6EC2CF55" w:rsidR="00487627" w:rsidRDefault="00FE669B" w:rsidP="002E2046">
      <w:pPr>
        <w:pStyle w:val="ListParagraph"/>
        <w:ind w:left="360"/>
        <w:jc w:val="left"/>
        <w:rPr>
          <w:rFonts w:ascii="Cambria" w:hAnsi="Cambria"/>
          <w:sz w:val="20"/>
          <w:szCs w:val="20"/>
        </w:rPr>
      </w:pPr>
      <w:r>
        <w:rPr>
          <w:rFonts w:ascii="Cambria" w:hAnsi="Cambria"/>
          <w:sz w:val="20"/>
        </w:rPr>
        <w:t>(Rec. 18-06 para 3)</w:t>
      </w:r>
    </w:p>
    <w:p w14:paraId="59AC8DD6" w14:textId="77777777" w:rsidR="00FE669B" w:rsidRPr="00BC0364" w:rsidRDefault="00FE669B" w:rsidP="002E2046">
      <w:pPr>
        <w:pStyle w:val="ListParagraph"/>
        <w:ind w:left="360"/>
        <w:jc w:val="left"/>
        <w:rPr>
          <w:rFonts w:ascii="Cambria" w:hAnsi="Cambria"/>
          <w:sz w:val="20"/>
          <w:szCs w:val="20"/>
        </w:rPr>
      </w:pPr>
    </w:p>
    <w:p w14:paraId="605F6329" w14:textId="78F7318D" w:rsidR="002E2046" w:rsidRPr="00BC0364" w:rsidRDefault="00BC6CD1" w:rsidP="00EB38D7">
      <w:pPr>
        <w:pStyle w:val="ListParagraph"/>
        <w:numPr>
          <w:ilvl w:val="0"/>
          <w:numId w:val="2"/>
        </w:numPr>
        <w:jc w:val="left"/>
        <w:rPr>
          <w:rFonts w:ascii="Cambria" w:hAnsi="Cambria"/>
          <w:sz w:val="20"/>
          <w:szCs w:val="20"/>
        </w:rPr>
      </w:pPr>
      <w:r>
        <w:rPr>
          <w:rFonts w:ascii="Cambria" w:hAnsi="Cambria"/>
          <w:sz w:val="20"/>
        </w:rPr>
        <w:t xml:space="preserve">Interdiction de « conserver à bord, transborder, débarquer, stocker, vendre ou proposer à la vente » </w:t>
      </w:r>
    </w:p>
    <w:p w14:paraId="52D609B0" w14:textId="77777777" w:rsidR="00FE669B" w:rsidRDefault="00FE669B" w:rsidP="00A202BD">
      <w:pPr>
        <w:pStyle w:val="ListParagraph"/>
        <w:ind w:left="360"/>
        <w:jc w:val="left"/>
        <w:rPr>
          <w:rFonts w:ascii="Cambria" w:hAnsi="Cambria"/>
          <w:sz w:val="20"/>
          <w:szCs w:val="20"/>
        </w:rPr>
      </w:pPr>
    </w:p>
    <w:p w14:paraId="20017F15" w14:textId="4A4BA3C1" w:rsidR="00A202BD" w:rsidRPr="00BC0364" w:rsidRDefault="00FE669B" w:rsidP="00A202BD">
      <w:pPr>
        <w:pStyle w:val="ListParagraph"/>
        <w:ind w:left="360"/>
        <w:jc w:val="left"/>
        <w:rPr>
          <w:rFonts w:ascii="Cambria" w:hAnsi="Cambria"/>
          <w:sz w:val="20"/>
          <w:szCs w:val="20"/>
        </w:rPr>
      </w:pPr>
      <w:r>
        <w:rPr>
          <w:rFonts w:ascii="Cambria" w:hAnsi="Cambria"/>
          <w:sz w:val="20"/>
        </w:rPr>
        <w:t>(Rec. 09-07 para 1), (Rec. 10-07 para 1), (Rec. 10-08 para 1), (Rec. 11-08 para 1) et (Rec. 23-12 para 1</w:t>
      </w:r>
      <w:bookmarkEnd w:id="0"/>
      <w:r>
        <w:rPr>
          <w:rFonts w:ascii="Cambria" w:hAnsi="Cambria"/>
          <w:sz w:val="20"/>
        </w:rPr>
        <w:t>)</w:t>
      </w:r>
    </w:p>
    <w:p w14:paraId="4A7EA394" w14:textId="77777777" w:rsidR="00300734" w:rsidRDefault="00300734">
      <w:pPr>
        <w:widowControl/>
        <w:jc w:val="left"/>
        <w:rPr>
          <w:rFonts w:ascii="Cambria" w:hAnsi="Cambria"/>
          <w:b/>
          <w:sz w:val="20"/>
        </w:rPr>
      </w:pPr>
      <w:r>
        <w:rPr>
          <w:rFonts w:ascii="Cambria" w:hAnsi="Cambria"/>
          <w:b/>
          <w:sz w:val="20"/>
        </w:rPr>
        <w:br w:type="page"/>
      </w:r>
    </w:p>
    <w:p w14:paraId="447512BE" w14:textId="258DC300" w:rsidR="00EB38D7" w:rsidRDefault="00EB38D7" w:rsidP="00300734">
      <w:pPr>
        <w:pStyle w:val="ListParagraph"/>
        <w:numPr>
          <w:ilvl w:val="0"/>
          <w:numId w:val="1"/>
        </w:numPr>
        <w:ind w:left="426" w:hanging="426"/>
        <w:jc w:val="left"/>
        <w:rPr>
          <w:rFonts w:ascii="Cambria" w:hAnsi="Cambria"/>
          <w:b/>
          <w:bCs/>
          <w:sz w:val="20"/>
          <w:szCs w:val="20"/>
        </w:rPr>
      </w:pPr>
      <w:r>
        <w:rPr>
          <w:rFonts w:ascii="Cambria" w:hAnsi="Cambria"/>
          <w:b/>
          <w:sz w:val="20"/>
        </w:rPr>
        <w:t>Résultats</w:t>
      </w:r>
    </w:p>
    <w:p w14:paraId="723C1A28" w14:textId="77777777" w:rsidR="00142529" w:rsidRPr="00BC0364" w:rsidRDefault="00142529" w:rsidP="00142529">
      <w:pPr>
        <w:pStyle w:val="ListParagraph"/>
        <w:ind w:left="360"/>
        <w:jc w:val="left"/>
        <w:rPr>
          <w:rFonts w:ascii="Cambria" w:hAnsi="Cambria"/>
          <w:b/>
          <w:bCs/>
          <w:sz w:val="20"/>
          <w:szCs w:val="20"/>
        </w:rPr>
      </w:pPr>
    </w:p>
    <w:p w14:paraId="32B943F6" w14:textId="5E19E374" w:rsidR="00EB38D7" w:rsidRPr="00142529" w:rsidRDefault="005742BB" w:rsidP="00142529">
      <w:pPr>
        <w:pStyle w:val="ListParagraph"/>
        <w:numPr>
          <w:ilvl w:val="1"/>
          <w:numId w:val="1"/>
        </w:numPr>
        <w:tabs>
          <w:tab w:val="left" w:pos="426"/>
        </w:tabs>
        <w:jc w:val="left"/>
        <w:rPr>
          <w:rFonts w:ascii="Cambria" w:hAnsi="Cambria"/>
          <w:b/>
          <w:bCs/>
          <w:i/>
          <w:iCs/>
          <w:sz w:val="20"/>
          <w:szCs w:val="20"/>
        </w:rPr>
      </w:pPr>
      <w:r>
        <w:rPr>
          <w:rFonts w:ascii="Cambria" w:hAnsi="Cambria"/>
          <w:b/>
          <w:i/>
          <w:sz w:val="20"/>
        </w:rPr>
        <w:t>Observation générale</w:t>
      </w:r>
    </w:p>
    <w:p w14:paraId="626BD6BC" w14:textId="77777777" w:rsidR="00142529" w:rsidRPr="00142529" w:rsidRDefault="00142529" w:rsidP="00142529">
      <w:pPr>
        <w:pStyle w:val="ListParagraph"/>
        <w:tabs>
          <w:tab w:val="left" w:pos="426"/>
        </w:tabs>
        <w:ind w:left="432"/>
        <w:jc w:val="left"/>
        <w:rPr>
          <w:rFonts w:ascii="Cambria" w:hAnsi="Cambria"/>
          <w:b/>
          <w:bCs/>
          <w:i/>
          <w:iCs/>
          <w:sz w:val="20"/>
          <w:szCs w:val="20"/>
        </w:rPr>
      </w:pPr>
    </w:p>
    <w:p w14:paraId="6355C4D4" w14:textId="5B5017C7" w:rsidR="00AC4466" w:rsidRPr="00C46404" w:rsidRDefault="00AC4466" w:rsidP="00EB38D7">
      <w:pPr>
        <w:jc w:val="left"/>
        <w:rPr>
          <w:rFonts w:ascii="Cambria" w:hAnsi="Cambria"/>
          <w:sz w:val="20"/>
          <w:szCs w:val="20"/>
        </w:rPr>
      </w:pPr>
      <w:r>
        <w:rPr>
          <w:rFonts w:ascii="Cambria" w:hAnsi="Cambria"/>
          <w:sz w:val="20"/>
        </w:rPr>
        <w:t>(1) Aucune soumission</w:t>
      </w:r>
    </w:p>
    <w:p w14:paraId="27F42113" w14:textId="77777777" w:rsidR="00142529" w:rsidRDefault="00142529" w:rsidP="00EB38D7">
      <w:pPr>
        <w:jc w:val="left"/>
        <w:rPr>
          <w:rFonts w:ascii="Cambria" w:hAnsi="Cambria"/>
          <w:sz w:val="20"/>
          <w:szCs w:val="20"/>
        </w:rPr>
      </w:pPr>
    </w:p>
    <w:p w14:paraId="252629B5" w14:textId="6D0D07E0" w:rsidR="00CC5865" w:rsidRPr="00BC0364" w:rsidRDefault="00D85EA6" w:rsidP="00142529">
      <w:pPr>
        <w:rPr>
          <w:rFonts w:ascii="Cambria" w:hAnsi="Cambria"/>
          <w:sz w:val="20"/>
          <w:szCs w:val="20"/>
        </w:rPr>
      </w:pPr>
      <w:r>
        <w:rPr>
          <w:rFonts w:ascii="Cambria" w:hAnsi="Cambria"/>
          <w:sz w:val="20"/>
        </w:rPr>
        <w:t>En 2025, cinq CPC n'ont pas soumis leur feuille de contrôle s'appliquant aux requins. Selon le Secrétariat, ces CPC n'ont jamais soumis de feuilles de contrôle s'appliquant aux requins.</w:t>
      </w:r>
    </w:p>
    <w:p w14:paraId="0336BFD6" w14:textId="77777777" w:rsidR="00D85EA6" w:rsidRPr="00BC0364" w:rsidRDefault="00D85EA6" w:rsidP="00EB38D7">
      <w:pPr>
        <w:jc w:val="left"/>
        <w:rPr>
          <w:rFonts w:ascii="Cambria" w:hAnsi="Cambria"/>
          <w:sz w:val="20"/>
          <w:szCs w:val="20"/>
        </w:rPr>
      </w:pPr>
    </w:p>
    <w:p w14:paraId="4E80EC49" w14:textId="29AFC539" w:rsidR="00AC4466" w:rsidRPr="00C46404" w:rsidRDefault="00AC4466" w:rsidP="00EB38D7">
      <w:pPr>
        <w:jc w:val="left"/>
        <w:rPr>
          <w:rFonts w:ascii="Cambria" w:hAnsi="Cambria"/>
          <w:sz w:val="20"/>
          <w:szCs w:val="20"/>
        </w:rPr>
      </w:pPr>
      <w:r>
        <w:rPr>
          <w:rFonts w:ascii="Cambria" w:hAnsi="Cambria"/>
          <w:sz w:val="20"/>
        </w:rPr>
        <w:t>(2) Exemption</w:t>
      </w:r>
    </w:p>
    <w:p w14:paraId="7C87F262" w14:textId="77777777" w:rsidR="00142529" w:rsidRPr="00BC0364" w:rsidRDefault="00142529" w:rsidP="00EB38D7">
      <w:pPr>
        <w:jc w:val="left"/>
        <w:rPr>
          <w:rFonts w:ascii="Cambria" w:hAnsi="Cambria"/>
          <w:b/>
          <w:bCs/>
          <w:sz w:val="20"/>
          <w:szCs w:val="20"/>
        </w:rPr>
      </w:pPr>
    </w:p>
    <w:p w14:paraId="05B572A7" w14:textId="2587EE60" w:rsidR="005F3765" w:rsidRPr="00BC0364" w:rsidRDefault="005F3765" w:rsidP="00142529">
      <w:pPr>
        <w:rPr>
          <w:rFonts w:ascii="Cambria" w:hAnsi="Cambria"/>
          <w:sz w:val="20"/>
          <w:szCs w:val="20"/>
        </w:rPr>
      </w:pPr>
      <w:r>
        <w:rPr>
          <w:rFonts w:ascii="Cambria" w:hAnsi="Cambria"/>
          <w:sz w:val="20"/>
        </w:rPr>
        <w:t xml:space="preserve">Actuellement, seule une CPC est exemptée de cette obligation. Certaines CPC ont indiqué qu'il n'y avait pas d'espèces de ce type dans leurs eaux et ont choisi la réponse « non applicable ». Toutefois, pour bénéficier de cette exemption, elles doivent obtenir la confirmation du Groupe d'espèces sur les requins. Notant que le SCRS propose des procédures d'exemption, la Commission devrait clarifier le processus d'exemption sur la base de la proposition. </w:t>
      </w:r>
    </w:p>
    <w:p w14:paraId="71940BDC" w14:textId="77777777" w:rsidR="00B8178A" w:rsidRPr="00BC0364" w:rsidRDefault="00B8178A" w:rsidP="00142529">
      <w:pPr>
        <w:rPr>
          <w:rFonts w:ascii="Cambria" w:hAnsi="Cambria"/>
          <w:sz w:val="20"/>
          <w:szCs w:val="20"/>
        </w:rPr>
      </w:pPr>
    </w:p>
    <w:p w14:paraId="5BF1F36A" w14:textId="2ABD9204" w:rsidR="00AC4466" w:rsidRPr="00C46404" w:rsidRDefault="00AC4466" w:rsidP="00142529">
      <w:pPr>
        <w:rPr>
          <w:rFonts w:ascii="Cambria" w:hAnsi="Cambria"/>
          <w:sz w:val="20"/>
          <w:szCs w:val="20"/>
        </w:rPr>
      </w:pPr>
      <w:r>
        <w:rPr>
          <w:rFonts w:ascii="Cambria" w:hAnsi="Cambria"/>
          <w:sz w:val="20"/>
        </w:rPr>
        <w:t>(3) Explication dans « Note »</w:t>
      </w:r>
    </w:p>
    <w:p w14:paraId="439DF9F2" w14:textId="77777777" w:rsidR="00142529" w:rsidRPr="00BC0364" w:rsidRDefault="00142529" w:rsidP="00142529">
      <w:pPr>
        <w:rPr>
          <w:rFonts w:ascii="Cambria" w:hAnsi="Cambria"/>
          <w:b/>
          <w:bCs/>
          <w:sz w:val="20"/>
          <w:szCs w:val="20"/>
        </w:rPr>
      </w:pPr>
    </w:p>
    <w:p w14:paraId="59627FCD" w14:textId="4805CB56" w:rsidR="00B45FEC" w:rsidRPr="00BC0364" w:rsidRDefault="00894F21" w:rsidP="00142529">
      <w:pPr>
        <w:rPr>
          <w:rFonts w:ascii="Cambria" w:hAnsi="Cambria"/>
          <w:sz w:val="20"/>
          <w:szCs w:val="20"/>
        </w:rPr>
      </w:pPr>
      <w:r>
        <w:rPr>
          <w:rFonts w:ascii="Cambria" w:hAnsi="Cambria"/>
          <w:sz w:val="20"/>
        </w:rPr>
        <w:t>Certaines CPC utilisent uniquement la colonne « Note », tandis que d'autres utilisent uniquement</w:t>
      </w:r>
      <w:r w:rsidR="00536EBD">
        <w:rPr>
          <w:rFonts w:ascii="Cambria" w:hAnsi="Cambria"/>
          <w:sz w:val="20"/>
        </w:rPr>
        <w:t xml:space="preserve"> « </w:t>
      </w:r>
      <w:r>
        <w:rPr>
          <w:rFonts w:ascii="Cambria" w:hAnsi="Cambria"/>
          <w:sz w:val="20"/>
        </w:rPr>
        <w:t>Lois ou réglementations nationales pertinentes</w:t>
      </w:r>
      <w:r w:rsidR="00536EBD">
        <w:rPr>
          <w:rFonts w:ascii="Cambria" w:hAnsi="Cambria"/>
          <w:sz w:val="20"/>
        </w:rPr>
        <w:t> »</w:t>
      </w:r>
      <w:r>
        <w:rPr>
          <w:rFonts w:ascii="Cambria" w:hAnsi="Cambria"/>
          <w:sz w:val="20"/>
        </w:rPr>
        <w:t xml:space="preserve">. Pour examiner précisément l'état de mise en œuvre, les deux colonnes doivent être remplies. </w:t>
      </w:r>
    </w:p>
    <w:p w14:paraId="75151B50" w14:textId="77777777" w:rsidR="00894F21" w:rsidRPr="00BC0364" w:rsidRDefault="00894F21" w:rsidP="00142529">
      <w:pPr>
        <w:rPr>
          <w:rFonts w:ascii="Cambria" w:hAnsi="Cambria"/>
          <w:sz w:val="20"/>
          <w:szCs w:val="20"/>
        </w:rPr>
      </w:pPr>
    </w:p>
    <w:p w14:paraId="1B306079" w14:textId="5D18BBBC" w:rsidR="00CC5865" w:rsidRPr="00C46404" w:rsidRDefault="00C46404" w:rsidP="00C46404">
      <w:pPr>
        <w:tabs>
          <w:tab w:val="left" w:pos="426"/>
        </w:tabs>
        <w:rPr>
          <w:rFonts w:ascii="Cambria" w:hAnsi="Cambria"/>
          <w:sz w:val="20"/>
          <w:szCs w:val="20"/>
        </w:rPr>
      </w:pPr>
      <w:r>
        <w:rPr>
          <w:rFonts w:ascii="Cambria" w:hAnsi="Cambria"/>
          <w:sz w:val="20"/>
        </w:rPr>
        <w:t>(4)</w:t>
      </w:r>
      <w:r>
        <w:rPr>
          <w:rFonts w:ascii="Cambria" w:hAnsi="Cambria"/>
          <w:sz w:val="20"/>
        </w:rPr>
        <w:tab/>
        <w:t>Aucun changement par rapport à l'année précédente</w:t>
      </w:r>
    </w:p>
    <w:p w14:paraId="424FC8C3" w14:textId="77777777" w:rsidR="00142529" w:rsidRPr="00142529" w:rsidRDefault="00142529" w:rsidP="00142529">
      <w:pPr>
        <w:pStyle w:val="ListParagraph"/>
        <w:ind w:left="360"/>
        <w:rPr>
          <w:rFonts w:ascii="Cambria" w:hAnsi="Cambria"/>
          <w:b/>
          <w:bCs/>
          <w:sz w:val="20"/>
          <w:szCs w:val="20"/>
        </w:rPr>
      </w:pPr>
    </w:p>
    <w:p w14:paraId="2726BE9E" w14:textId="6AD2EF89" w:rsidR="00AC4466" w:rsidRPr="00BC0364" w:rsidRDefault="005F3765" w:rsidP="00142529">
      <w:pPr>
        <w:rPr>
          <w:rFonts w:ascii="Cambria" w:hAnsi="Cambria"/>
          <w:sz w:val="20"/>
          <w:szCs w:val="20"/>
        </w:rPr>
      </w:pPr>
      <w:r>
        <w:rPr>
          <w:rFonts w:ascii="Cambria" w:hAnsi="Cambria"/>
          <w:sz w:val="20"/>
        </w:rPr>
        <w:t xml:space="preserve">Conformément au paragraphe 2 de la Rec. 18-06, une CPC n'est pas tenue de soumettre de feuille de contrôle s'appliquant aux requins s'il n'y a pas de changements. Toutefois, si des champs supplémentaires sont ajoutés, les CPC doivent soumettre les nouveaux champs, et si le COC prévoit d'examiner en priorité les feuilles de contrôle s'appliquant aux requins, les CPC doivent soumettre une feuille de contrôle entièrement mise à jour. </w:t>
      </w:r>
    </w:p>
    <w:p w14:paraId="25C7EEBD" w14:textId="77777777" w:rsidR="00E925CB" w:rsidRPr="00BC0364" w:rsidRDefault="00E925CB" w:rsidP="00142529">
      <w:pPr>
        <w:rPr>
          <w:rFonts w:ascii="Cambria" w:hAnsi="Cambria"/>
          <w:sz w:val="20"/>
          <w:szCs w:val="20"/>
        </w:rPr>
      </w:pPr>
    </w:p>
    <w:p w14:paraId="6C107CE3" w14:textId="46F567BE" w:rsidR="00E925CB" w:rsidRPr="00BC0364" w:rsidRDefault="00E925CB" w:rsidP="00142529">
      <w:pPr>
        <w:rPr>
          <w:rFonts w:ascii="Cambria" w:hAnsi="Cambria"/>
          <w:sz w:val="20"/>
          <w:szCs w:val="20"/>
        </w:rPr>
      </w:pPr>
      <w:r>
        <w:rPr>
          <w:rFonts w:ascii="Cambria" w:hAnsi="Cambria"/>
          <w:sz w:val="20"/>
        </w:rPr>
        <w:t xml:space="preserve">En 2025, bien que toutes les CPC soient tenues de soumettre une feuille de contrôle complète mise à jour, six CPC ne l'ont pas fait pour 2024. </w:t>
      </w:r>
    </w:p>
    <w:p w14:paraId="108DF6DA" w14:textId="77777777" w:rsidR="005F3765" w:rsidRPr="00BC0364" w:rsidRDefault="005F3765" w:rsidP="00EB38D7">
      <w:pPr>
        <w:jc w:val="left"/>
        <w:rPr>
          <w:rFonts w:ascii="Cambria" w:hAnsi="Cambria"/>
          <w:sz w:val="20"/>
          <w:szCs w:val="20"/>
        </w:rPr>
      </w:pPr>
    </w:p>
    <w:p w14:paraId="0FDA1C25" w14:textId="066FED0B" w:rsidR="00894F21" w:rsidRPr="00C46404" w:rsidRDefault="00894F21" w:rsidP="00142529">
      <w:pPr>
        <w:pStyle w:val="ListParagraph"/>
        <w:numPr>
          <w:ilvl w:val="0"/>
          <w:numId w:val="2"/>
        </w:numPr>
        <w:jc w:val="left"/>
        <w:rPr>
          <w:rFonts w:ascii="Cambria" w:hAnsi="Cambria"/>
          <w:sz w:val="20"/>
          <w:szCs w:val="20"/>
        </w:rPr>
      </w:pPr>
      <w:r>
        <w:rPr>
          <w:rFonts w:ascii="Cambria" w:hAnsi="Cambria"/>
          <w:sz w:val="20"/>
        </w:rPr>
        <w:t>Oui, Non ou non applicable.</w:t>
      </w:r>
    </w:p>
    <w:p w14:paraId="4E852570" w14:textId="77777777" w:rsidR="00142529" w:rsidRPr="00142529" w:rsidRDefault="00142529" w:rsidP="00142529">
      <w:pPr>
        <w:pStyle w:val="ListParagraph"/>
        <w:ind w:left="360"/>
        <w:jc w:val="left"/>
        <w:rPr>
          <w:rFonts w:ascii="Cambria" w:hAnsi="Cambria"/>
          <w:b/>
          <w:bCs/>
          <w:sz w:val="20"/>
          <w:szCs w:val="20"/>
        </w:rPr>
      </w:pPr>
    </w:p>
    <w:p w14:paraId="11F41E44" w14:textId="7EB957C3" w:rsidR="005F3765" w:rsidRPr="00BC0364" w:rsidRDefault="00894F21" w:rsidP="00142529">
      <w:pPr>
        <w:rPr>
          <w:rFonts w:ascii="Cambria" w:hAnsi="Cambria"/>
          <w:sz w:val="20"/>
          <w:szCs w:val="20"/>
        </w:rPr>
      </w:pPr>
      <w:r>
        <w:rPr>
          <w:rFonts w:ascii="Cambria" w:hAnsi="Cambria"/>
          <w:sz w:val="20"/>
        </w:rPr>
        <w:t>La feuille de contrôle s'appliquant aux requins stipule que « la mention « non applicable » ou « N/A » ne peut être utilisée comme réponse que si elle est proposée comme option dans la colonne « État de mise en œuvre ». Cependant, certaines CPC ont choisi « non applicable » ou « N/A</w:t>
      </w:r>
      <w:r w:rsidR="009A0DAE">
        <w:rPr>
          <w:rFonts w:ascii="Cambria" w:hAnsi="Cambria"/>
          <w:sz w:val="20"/>
        </w:rPr>
        <w:t xml:space="preserve"> » </w:t>
      </w:r>
      <w:r>
        <w:rPr>
          <w:rFonts w:ascii="Cambria" w:hAnsi="Cambria"/>
          <w:sz w:val="20"/>
        </w:rPr>
        <w:t>pour la colonne qui ne doit être remplie qu'avec « Oui » ou « Non ».</w:t>
      </w:r>
    </w:p>
    <w:p w14:paraId="7FB0AE09" w14:textId="77777777" w:rsidR="00605BAF" w:rsidRPr="00BC0364" w:rsidRDefault="00605BAF" w:rsidP="00894F21">
      <w:pPr>
        <w:jc w:val="left"/>
        <w:rPr>
          <w:rFonts w:ascii="Cambria" w:hAnsi="Cambria"/>
          <w:sz w:val="20"/>
          <w:szCs w:val="20"/>
        </w:rPr>
      </w:pPr>
    </w:p>
    <w:p w14:paraId="01B5A8BC" w14:textId="7CF3F594" w:rsidR="00470D86" w:rsidRPr="00BC0364" w:rsidRDefault="00470D86" w:rsidP="00894F21">
      <w:pPr>
        <w:jc w:val="left"/>
        <w:rPr>
          <w:rFonts w:ascii="Cambria" w:hAnsi="Cambria"/>
          <w:sz w:val="20"/>
          <w:szCs w:val="20"/>
        </w:rPr>
      </w:pPr>
      <w:r>
        <w:rPr>
          <w:rFonts w:ascii="Cambria" w:hAnsi="Cambria"/>
          <w:sz w:val="20"/>
        </w:rPr>
        <w:t xml:space="preserve">Le COC devra peut-être discuter de la signification des réponses « Oui », « Non » et </w:t>
      </w:r>
      <w:r w:rsidR="00E37F2D">
        <w:rPr>
          <w:rFonts w:ascii="Cambria" w:hAnsi="Cambria"/>
          <w:sz w:val="20"/>
        </w:rPr>
        <w:t>« </w:t>
      </w:r>
      <w:r>
        <w:rPr>
          <w:rFonts w:ascii="Cambria" w:hAnsi="Cambria"/>
          <w:sz w:val="20"/>
        </w:rPr>
        <w:t>non applicable ».</w:t>
      </w:r>
    </w:p>
    <w:p w14:paraId="10021660" w14:textId="77777777" w:rsidR="005F3765" w:rsidRPr="00BC0364" w:rsidRDefault="005F3765" w:rsidP="00EB38D7">
      <w:pPr>
        <w:jc w:val="left"/>
        <w:rPr>
          <w:rFonts w:ascii="Cambria" w:hAnsi="Cambria"/>
          <w:sz w:val="20"/>
          <w:szCs w:val="20"/>
        </w:rPr>
      </w:pPr>
    </w:p>
    <w:p w14:paraId="393B9DAF" w14:textId="6631D96E" w:rsidR="00AC4466" w:rsidRPr="00142529" w:rsidRDefault="005F3765" w:rsidP="00142529">
      <w:pPr>
        <w:pStyle w:val="ListParagraph"/>
        <w:numPr>
          <w:ilvl w:val="1"/>
          <w:numId w:val="1"/>
        </w:numPr>
        <w:tabs>
          <w:tab w:val="left" w:pos="426"/>
        </w:tabs>
        <w:jc w:val="left"/>
        <w:rPr>
          <w:rFonts w:ascii="Cambria" w:hAnsi="Cambria"/>
          <w:b/>
          <w:bCs/>
          <w:i/>
          <w:iCs/>
          <w:sz w:val="20"/>
          <w:szCs w:val="20"/>
        </w:rPr>
      </w:pPr>
      <w:r>
        <w:rPr>
          <w:rFonts w:ascii="Cambria" w:hAnsi="Cambria"/>
          <w:b/>
          <w:i/>
          <w:sz w:val="20"/>
        </w:rPr>
        <w:t>Observations concernant des obligations spécifiques</w:t>
      </w:r>
    </w:p>
    <w:p w14:paraId="28A53D6A" w14:textId="77777777" w:rsidR="00142529" w:rsidRPr="00142529" w:rsidRDefault="00142529" w:rsidP="00142529">
      <w:pPr>
        <w:pStyle w:val="ListParagraph"/>
        <w:tabs>
          <w:tab w:val="left" w:pos="426"/>
        </w:tabs>
        <w:ind w:left="432"/>
        <w:jc w:val="left"/>
        <w:rPr>
          <w:rFonts w:ascii="Cambria" w:hAnsi="Cambria"/>
          <w:b/>
          <w:bCs/>
          <w:i/>
          <w:iCs/>
          <w:sz w:val="20"/>
          <w:szCs w:val="20"/>
        </w:rPr>
      </w:pPr>
    </w:p>
    <w:p w14:paraId="6D5ABEF7" w14:textId="0237FDD7" w:rsidR="00487627" w:rsidRPr="00C46404" w:rsidRDefault="00487627" w:rsidP="00142529">
      <w:pPr>
        <w:pStyle w:val="ListParagraph"/>
        <w:numPr>
          <w:ilvl w:val="0"/>
          <w:numId w:val="3"/>
        </w:numPr>
        <w:ind w:left="426" w:hanging="426"/>
        <w:jc w:val="left"/>
        <w:rPr>
          <w:rFonts w:ascii="Cambria" w:hAnsi="Cambria"/>
          <w:sz w:val="20"/>
          <w:szCs w:val="20"/>
        </w:rPr>
      </w:pPr>
      <w:r>
        <w:rPr>
          <w:rFonts w:ascii="Cambria" w:hAnsi="Cambria"/>
          <w:sz w:val="20"/>
        </w:rPr>
        <w:t>Soumission des données. (Rec. 04-10 para 1), (Rec. 07-06 para 1), (Rec. 11-15 para 1) et (Rec. 15-06 para 2)</w:t>
      </w:r>
    </w:p>
    <w:p w14:paraId="0955343C" w14:textId="77777777" w:rsidR="00142529" w:rsidRPr="0010588F" w:rsidRDefault="00142529" w:rsidP="00142529">
      <w:pPr>
        <w:jc w:val="left"/>
        <w:rPr>
          <w:rFonts w:ascii="Cambria" w:hAnsi="Cambria"/>
          <w:sz w:val="20"/>
          <w:szCs w:val="20"/>
        </w:rPr>
      </w:pPr>
    </w:p>
    <w:p w14:paraId="1E6D4FFF" w14:textId="7CBA1219" w:rsidR="00487627" w:rsidRPr="00142529" w:rsidRDefault="00146C55" w:rsidP="00142529">
      <w:pPr>
        <w:rPr>
          <w:rFonts w:ascii="Cambria" w:hAnsi="Cambria"/>
          <w:sz w:val="20"/>
          <w:szCs w:val="20"/>
        </w:rPr>
      </w:pPr>
      <w:r>
        <w:rPr>
          <w:rFonts w:ascii="Cambria" w:hAnsi="Cambria"/>
          <w:sz w:val="20"/>
        </w:rPr>
        <w:t>En général, les CPC ont soumis des données, mais il est impossible de déterminer si toutes les données requises ont été fournies dans la feuille de contrôle s'appliquant aux requins</w:t>
      </w:r>
      <w:r>
        <w:rPr>
          <w:rFonts w:ascii="Cambria" w:hAnsi="Cambria"/>
          <w:b/>
          <w:bCs/>
          <w:sz w:val="20"/>
        </w:rPr>
        <w:t>.</w:t>
      </w:r>
    </w:p>
    <w:p w14:paraId="751DBC03" w14:textId="77777777" w:rsidR="00142529" w:rsidRDefault="00142529" w:rsidP="00142529">
      <w:pPr>
        <w:rPr>
          <w:rFonts w:ascii="Cambria" w:hAnsi="Cambria"/>
          <w:sz w:val="20"/>
          <w:szCs w:val="20"/>
        </w:rPr>
      </w:pPr>
    </w:p>
    <w:p w14:paraId="4254A0F2" w14:textId="473FFB63" w:rsidR="00983F3B" w:rsidRPr="00BC0364" w:rsidRDefault="002E2046" w:rsidP="00142529">
      <w:pPr>
        <w:rPr>
          <w:rFonts w:ascii="Cambria" w:hAnsi="Cambria"/>
          <w:sz w:val="20"/>
          <w:szCs w:val="20"/>
        </w:rPr>
      </w:pPr>
      <w:r>
        <w:rPr>
          <w:rFonts w:ascii="Cambria" w:hAnsi="Cambria"/>
          <w:sz w:val="20"/>
        </w:rPr>
        <w:t>Certaines CPC ont indiqué que cette espèce de requin n’était pas présente dans leurs eaux ou qu'il n'y avait pas de pêcherie ciblant les requins. Même s'il n'y a pas de pêcherie ciblant les requins, les données relatives aux prises accessoires doivent être communiquées. Si les requins ne migrent pas dans leurs eaux, les CPC doivent demander une exemption à l'obligation de soumettre la feuille de contrôle s'appliquant aux requins</w:t>
      </w:r>
      <w:r>
        <w:rPr>
          <w:rFonts w:ascii="Cambria" w:hAnsi="Cambria"/>
          <w:b/>
          <w:bCs/>
          <w:sz w:val="20"/>
        </w:rPr>
        <w:t>.</w:t>
      </w:r>
    </w:p>
    <w:p w14:paraId="392D69D3" w14:textId="77777777" w:rsidR="00487627" w:rsidRPr="00BC0364" w:rsidRDefault="00487627" w:rsidP="00142529">
      <w:pPr>
        <w:pStyle w:val="ListParagraph"/>
        <w:ind w:left="840"/>
        <w:rPr>
          <w:rFonts w:ascii="Cambria" w:hAnsi="Cambria"/>
          <w:sz w:val="20"/>
          <w:szCs w:val="20"/>
        </w:rPr>
      </w:pPr>
    </w:p>
    <w:p w14:paraId="458117FF" w14:textId="77777777" w:rsidR="00300734" w:rsidRDefault="00300734">
      <w:pPr>
        <w:widowControl/>
        <w:jc w:val="left"/>
        <w:rPr>
          <w:rFonts w:ascii="Cambria" w:hAnsi="Cambria"/>
          <w:sz w:val="20"/>
        </w:rPr>
      </w:pPr>
      <w:r>
        <w:rPr>
          <w:rFonts w:ascii="Cambria" w:hAnsi="Cambria"/>
          <w:sz w:val="20"/>
        </w:rPr>
        <w:lastRenderedPageBreak/>
        <w:br w:type="page"/>
      </w:r>
    </w:p>
    <w:p w14:paraId="543893FB" w14:textId="412BB9BB" w:rsidR="00487627" w:rsidRPr="00C46404" w:rsidRDefault="00487627" w:rsidP="00142529">
      <w:pPr>
        <w:pStyle w:val="ListParagraph"/>
        <w:numPr>
          <w:ilvl w:val="0"/>
          <w:numId w:val="3"/>
        </w:numPr>
        <w:ind w:left="426" w:hanging="426"/>
        <w:jc w:val="left"/>
        <w:rPr>
          <w:rFonts w:ascii="Cambria" w:hAnsi="Cambria"/>
          <w:sz w:val="20"/>
          <w:szCs w:val="20"/>
        </w:rPr>
      </w:pPr>
      <w:r>
        <w:rPr>
          <w:rFonts w:ascii="Cambria" w:hAnsi="Cambria"/>
          <w:sz w:val="20"/>
        </w:rPr>
        <w:t>Utilisation complète (Rec. 04-10 para 2, para 3 et para 5)</w:t>
      </w:r>
    </w:p>
    <w:p w14:paraId="157FE525" w14:textId="77777777" w:rsidR="00142529" w:rsidRDefault="00142529" w:rsidP="00142529">
      <w:pPr>
        <w:rPr>
          <w:rFonts w:ascii="Cambria" w:hAnsi="Cambria"/>
          <w:sz w:val="20"/>
          <w:szCs w:val="20"/>
        </w:rPr>
      </w:pPr>
    </w:p>
    <w:p w14:paraId="4D5CF5A0" w14:textId="325F850C" w:rsidR="00487627" w:rsidRPr="00142529" w:rsidRDefault="008F166A" w:rsidP="00142529">
      <w:pPr>
        <w:rPr>
          <w:rFonts w:ascii="Cambria" w:hAnsi="Cambria"/>
          <w:sz w:val="20"/>
          <w:szCs w:val="20"/>
        </w:rPr>
      </w:pPr>
      <w:r>
        <w:rPr>
          <w:rFonts w:ascii="Cambria" w:hAnsi="Cambria"/>
          <w:sz w:val="20"/>
        </w:rPr>
        <w:t xml:space="preserve">Certaines CPC mettent en œuvre une politique d'ailerons naturellement attachés et des observateurs/inspecteurs surveillent son application. Cependant, dans certains cas, aucune information sur la base juridique n’est fournie. </w:t>
      </w:r>
    </w:p>
    <w:p w14:paraId="4CC60AA3" w14:textId="77777777" w:rsidR="00142529" w:rsidRPr="00BC0364" w:rsidRDefault="00142529" w:rsidP="00142529">
      <w:pPr>
        <w:pStyle w:val="ListParagraph"/>
        <w:ind w:left="840"/>
        <w:rPr>
          <w:rFonts w:ascii="Cambria" w:hAnsi="Cambria"/>
          <w:sz w:val="20"/>
          <w:szCs w:val="20"/>
        </w:rPr>
      </w:pPr>
    </w:p>
    <w:p w14:paraId="0247EA8C" w14:textId="29D868EE" w:rsidR="00487627" w:rsidRPr="00C46404" w:rsidRDefault="00487627" w:rsidP="00142529">
      <w:pPr>
        <w:pStyle w:val="ListParagraph"/>
        <w:numPr>
          <w:ilvl w:val="0"/>
          <w:numId w:val="3"/>
        </w:numPr>
        <w:ind w:left="426" w:hanging="426"/>
        <w:jc w:val="left"/>
        <w:rPr>
          <w:rFonts w:ascii="Cambria" w:hAnsi="Cambria"/>
          <w:sz w:val="20"/>
          <w:szCs w:val="20"/>
        </w:rPr>
      </w:pPr>
      <w:r>
        <w:rPr>
          <w:rFonts w:ascii="Cambria" w:hAnsi="Cambria"/>
          <w:sz w:val="20"/>
        </w:rPr>
        <w:t>Exemption de présentation de la feuille de contrôle s'appliquant aux requins (Rec. 18-06 para 3)</w:t>
      </w:r>
    </w:p>
    <w:p w14:paraId="650BA976" w14:textId="77777777" w:rsidR="00142529" w:rsidRDefault="00142529" w:rsidP="00142529">
      <w:pPr>
        <w:rPr>
          <w:rFonts w:ascii="Cambria" w:hAnsi="Cambria"/>
          <w:sz w:val="20"/>
          <w:szCs w:val="20"/>
        </w:rPr>
      </w:pPr>
    </w:p>
    <w:p w14:paraId="1EBC398F" w14:textId="67FCB72A" w:rsidR="009F6C39" w:rsidRPr="00142529" w:rsidRDefault="008F166A" w:rsidP="00142529">
      <w:pPr>
        <w:rPr>
          <w:rFonts w:ascii="Cambria" w:hAnsi="Cambria"/>
          <w:sz w:val="20"/>
          <w:szCs w:val="20"/>
        </w:rPr>
      </w:pPr>
      <w:r>
        <w:rPr>
          <w:rFonts w:ascii="Cambria" w:hAnsi="Cambria"/>
          <w:sz w:val="20"/>
        </w:rPr>
        <w:t xml:space="preserve">Comme déjà mentionné, actuellement, seule une CPC est exemptée de cette obligation. Notant que le SCRS propose des procédures d'exemption, la Commission devrait clarifier le processus d'exemption sur la base de la proposition. </w:t>
      </w:r>
    </w:p>
    <w:p w14:paraId="2921046C" w14:textId="77777777" w:rsidR="009F6C39" w:rsidRPr="00BC0364" w:rsidRDefault="009F6C39" w:rsidP="0062418E">
      <w:pPr>
        <w:pStyle w:val="ListParagraph"/>
        <w:ind w:left="840"/>
        <w:rPr>
          <w:rFonts w:ascii="Cambria" w:hAnsi="Cambria"/>
          <w:sz w:val="20"/>
          <w:szCs w:val="20"/>
        </w:rPr>
      </w:pPr>
    </w:p>
    <w:p w14:paraId="6AA3B4F2" w14:textId="701AA3F3" w:rsidR="00170EAB" w:rsidRPr="00C46404" w:rsidRDefault="009F6C39" w:rsidP="00C46404">
      <w:pPr>
        <w:rPr>
          <w:rFonts w:ascii="Cambria" w:hAnsi="Cambria"/>
          <w:sz w:val="20"/>
          <w:szCs w:val="20"/>
        </w:rPr>
      </w:pPr>
      <w:r>
        <w:rPr>
          <w:rFonts w:ascii="Cambria" w:hAnsi="Cambria"/>
          <w:sz w:val="20"/>
        </w:rPr>
        <w:t>Tout au long de l'examen, il n'était pas clair si l'exemption devait être accordée afin d'utiliser « N/A » dans chaque colonne de la feuille de contrôle s'appliquant aux requins</w:t>
      </w:r>
      <w:r>
        <w:rPr>
          <w:rFonts w:ascii="Cambria" w:hAnsi="Cambria"/>
          <w:b/>
          <w:bCs/>
          <w:sz w:val="20"/>
        </w:rPr>
        <w:t>.</w:t>
      </w:r>
      <w:r>
        <w:rPr>
          <w:rFonts w:ascii="Cambria" w:hAnsi="Cambria"/>
          <w:sz w:val="20"/>
        </w:rPr>
        <w:t xml:space="preserve"> Si tel est le cas, ces procédures pourraient entraîner une charge supplémentaire pour le SCRS, même si l'on ne sait pas exactement dans quelle mesure elles augmenteraient sa charge de travail. </w:t>
      </w:r>
    </w:p>
    <w:p w14:paraId="2C70301C" w14:textId="77777777" w:rsidR="00170EAB" w:rsidRPr="00BC0364" w:rsidRDefault="00170EAB" w:rsidP="0062418E">
      <w:pPr>
        <w:pStyle w:val="ListParagraph"/>
        <w:ind w:left="840"/>
        <w:rPr>
          <w:rFonts w:ascii="Cambria" w:hAnsi="Cambria"/>
          <w:sz w:val="20"/>
          <w:szCs w:val="20"/>
        </w:rPr>
      </w:pPr>
    </w:p>
    <w:p w14:paraId="2BA10C50" w14:textId="798CDDED" w:rsidR="0062418E" w:rsidRPr="00C46404" w:rsidRDefault="00170EAB" w:rsidP="00C46404">
      <w:pPr>
        <w:rPr>
          <w:rFonts w:ascii="Cambria" w:hAnsi="Cambria"/>
          <w:sz w:val="20"/>
          <w:szCs w:val="20"/>
        </w:rPr>
      </w:pPr>
      <w:r>
        <w:rPr>
          <w:rFonts w:ascii="Cambria" w:hAnsi="Cambria"/>
          <w:sz w:val="20"/>
        </w:rPr>
        <w:t xml:space="preserve">Le COC devra peut-être discuter de la nécessité pour les CPC de demander une exemption lorsqu'elles indiquent « N/A » dans chaque colonne de la feuille de contrôle s'appliquant aux requins </w:t>
      </w:r>
    </w:p>
    <w:p w14:paraId="21E93CB0" w14:textId="77777777" w:rsidR="00487627" w:rsidRPr="00BC0364" w:rsidRDefault="00487627" w:rsidP="00487627">
      <w:pPr>
        <w:pStyle w:val="ListParagraph"/>
        <w:ind w:left="840"/>
        <w:jc w:val="left"/>
        <w:rPr>
          <w:rFonts w:ascii="Cambria" w:hAnsi="Cambria"/>
          <w:sz w:val="20"/>
          <w:szCs w:val="20"/>
        </w:rPr>
      </w:pPr>
    </w:p>
    <w:p w14:paraId="1BFDB429" w14:textId="6E3E4DB9" w:rsidR="00487627" w:rsidRPr="00A63547" w:rsidRDefault="00487627" w:rsidP="00A63547">
      <w:pPr>
        <w:pStyle w:val="ListParagraph"/>
        <w:numPr>
          <w:ilvl w:val="0"/>
          <w:numId w:val="3"/>
        </w:numPr>
        <w:ind w:left="426" w:hanging="426"/>
        <w:rPr>
          <w:rFonts w:ascii="Cambria" w:hAnsi="Cambria"/>
          <w:sz w:val="20"/>
          <w:szCs w:val="20"/>
        </w:rPr>
      </w:pPr>
      <w:r>
        <w:rPr>
          <w:rFonts w:ascii="Cambria" w:hAnsi="Cambria"/>
          <w:sz w:val="20"/>
        </w:rPr>
        <w:t xml:space="preserve">Interdiction de « conserver à bord, transborder, débarquer, stocker, vendre ou proposer à la vente » (Rec. 09-07 para 1), (Rec. 10-07 para 1), (Rec. 10-08 para 1), (Rec. 11-08 para 1) et (Rec. 23-12 para 1) </w:t>
      </w:r>
    </w:p>
    <w:p w14:paraId="2E47807B" w14:textId="77777777" w:rsidR="00487627" w:rsidRPr="00BC0364" w:rsidRDefault="00487627" w:rsidP="00487627">
      <w:pPr>
        <w:pStyle w:val="ListParagraph"/>
        <w:ind w:left="840"/>
        <w:jc w:val="left"/>
        <w:rPr>
          <w:rFonts w:ascii="Cambria" w:hAnsi="Cambria"/>
          <w:sz w:val="20"/>
          <w:szCs w:val="20"/>
        </w:rPr>
      </w:pPr>
    </w:p>
    <w:p w14:paraId="4AE88D79" w14:textId="3755C978" w:rsidR="00470D86" w:rsidRPr="00C46404" w:rsidRDefault="00170EAB" w:rsidP="00C46404">
      <w:pPr>
        <w:rPr>
          <w:rFonts w:ascii="Cambria" w:hAnsi="Cambria"/>
          <w:sz w:val="20"/>
          <w:szCs w:val="20"/>
        </w:rPr>
      </w:pPr>
      <w:r>
        <w:rPr>
          <w:rFonts w:ascii="Cambria" w:hAnsi="Cambria"/>
          <w:sz w:val="20"/>
        </w:rPr>
        <w:t xml:space="preserve">Comme l'explique le document IMM_06/2025, il n'est pas clair que toutes les CPC respectent pleinement cette obligation, en particulier l'interdiction de « stocker, vendre ou proposer à la vente ». Certaines CPC interdisent uniquement à leurs navires de pêche de stocker, vendre ou proposer à la vente. D'autres CPC ne mettent pas en œuvre de telles mesures ni ne fournissent pas suffisamment d'informations pour permettre d'évaluer leur mise en œuvre. </w:t>
      </w:r>
    </w:p>
    <w:p w14:paraId="43585C88" w14:textId="77777777" w:rsidR="00470D86" w:rsidRPr="00BC0364" w:rsidRDefault="00470D86" w:rsidP="00C46404">
      <w:pPr>
        <w:pStyle w:val="ListParagraph"/>
        <w:ind w:left="840"/>
        <w:rPr>
          <w:rFonts w:ascii="Cambria" w:hAnsi="Cambria"/>
          <w:sz w:val="20"/>
          <w:szCs w:val="20"/>
        </w:rPr>
      </w:pPr>
    </w:p>
    <w:p w14:paraId="78900A75" w14:textId="24239655" w:rsidR="001A1783" w:rsidRPr="00C46404" w:rsidRDefault="00470D86" w:rsidP="00C46404">
      <w:pPr>
        <w:rPr>
          <w:rFonts w:ascii="Cambria" w:hAnsi="Cambria"/>
          <w:sz w:val="20"/>
          <w:szCs w:val="20"/>
        </w:rPr>
      </w:pPr>
      <w:r>
        <w:rPr>
          <w:rFonts w:ascii="Cambria" w:hAnsi="Cambria"/>
          <w:sz w:val="20"/>
        </w:rPr>
        <w:t>Le système juridique de chaque CPC est complexe et difficile à comprendre. Il est pratiquement impossible de décrire en détail la manière dont le système juridique se conforme à l'obligation énoncée dans la feuille de contrôle s'appliquant aux requins</w:t>
      </w:r>
      <w:r>
        <w:rPr>
          <w:rFonts w:ascii="Cambria" w:hAnsi="Cambria"/>
          <w:b/>
          <w:bCs/>
          <w:sz w:val="20"/>
        </w:rPr>
        <w:t>.</w:t>
      </w:r>
      <w:r>
        <w:rPr>
          <w:rFonts w:ascii="Cambria" w:hAnsi="Cambria"/>
          <w:sz w:val="20"/>
        </w:rPr>
        <w:t xml:space="preserve"> Toutefois, afin de faciliter l'examen, les CPC sont priées de fournir au moins le nom de la loi ou des règlements et une explication de leur fonctionnement.</w:t>
      </w:r>
    </w:p>
    <w:p w14:paraId="7073DB55" w14:textId="77777777" w:rsidR="001A1783" w:rsidRPr="00BC0364" w:rsidRDefault="001A1783" w:rsidP="00487627">
      <w:pPr>
        <w:pStyle w:val="ListParagraph"/>
        <w:ind w:left="840"/>
        <w:jc w:val="left"/>
        <w:rPr>
          <w:rFonts w:ascii="Cambria" w:hAnsi="Cambria"/>
          <w:sz w:val="20"/>
          <w:szCs w:val="20"/>
        </w:rPr>
      </w:pPr>
    </w:p>
    <w:sectPr w:rsidR="001A1783" w:rsidRPr="00BC0364" w:rsidSect="00EE13A9">
      <w:headerReference w:type="default" r:id="rId7"/>
      <w:footerReference w:type="default" r:id="rId8"/>
      <w:pgSz w:w="11906" w:h="16838" w:code="9"/>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AFED" w14:textId="77777777" w:rsidR="00E3221E" w:rsidRDefault="00E3221E" w:rsidP="00B778DB">
      <w:r>
        <w:separator/>
      </w:r>
    </w:p>
  </w:endnote>
  <w:endnote w:type="continuationSeparator" w:id="0">
    <w:p w14:paraId="3A496BFC" w14:textId="77777777" w:rsidR="00E3221E" w:rsidRDefault="00E3221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070C" w14:textId="42A6753C" w:rsidR="00F001EB" w:rsidRPr="0065271B" w:rsidRDefault="00034F95" w:rsidP="0065271B">
    <w:pPr>
      <w:pStyle w:val="Footer"/>
      <w:jc w:val="center"/>
      <w:rPr>
        <w:sz w:val="20"/>
        <w:szCs w:val="20"/>
      </w:rPr>
    </w:pPr>
    <w:sdt>
      <w:sdtPr>
        <w:id w:val="-60483211"/>
        <w:docPartObj>
          <w:docPartGallery w:val="Page Numbers (Top of Page)"/>
          <w:docPartUnique/>
        </w:docPartObj>
      </w:sdtPr>
      <w:sdtEndPr>
        <w:rPr>
          <w:sz w:val="20"/>
          <w:szCs w:val="20"/>
        </w:rPr>
      </w:sdtEndPr>
      <w:sdtContent>
        <w:r w:rsidR="0065271B" w:rsidRPr="008854A8">
          <w:rPr>
            <w:rFonts w:ascii="Cambria" w:hAnsi="Cambria"/>
            <w:sz w:val="20"/>
          </w:rPr>
          <w:fldChar w:fldCharType="begin"/>
        </w:r>
        <w:r w:rsidR="0065271B" w:rsidRPr="008854A8">
          <w:rPr>
            <w:rFonts w:ascii="Cambria" w:hAnsi="Cambria"/>
            <w:sz w:val="20"/>
          </w:rPr>
          <w:instrText xml:space="preserve"> PAGE </w:instrText>
        </w:r>
        <w:r w:rsidR="0065271B" w:rsidRPr="008854A8">
          <w:rPr>
            <w:rFonts w:ascii="Cambria" w:hAnsi="Cambria"/>
            <w:sz w:val="20"/>
          </w:rPr>
          <w:fldChar w:fldCharType="separate"/>
        </w:r>
        <w:r w:rsidR="0065271B">
          <w:rPr>
            <w:rFonts w:ascii="Cambria" w:hAnsi="Cambria"/>
            <w:sz w:val="20"/>
          </w:rPr>
          <w:t>1</w:t>
        </w:r>
        <w:r w:rsidR="0065271B" w:rsidRPr="008854A8">
          <w:rPr>
            <w:rFonts w:ascii="Cambria" w:hAnsi="Cambria"/>
            <w:sz w:val="20"/>
          </w:rPr>
          <w:fldChar w:fldCharType="end"/>
        </w:r>
        <w:r w:rsidR="0065271B">
          <w:rPr>
            <w:rFonts w:ascii="Cambria" w:hAnsi="Cambria"/>
            <w:sz w:val="20"/>
          </w:rPr>
          <w:t xml:space="preserve"> / </w:t>
        </w:r>
        <w:r w:rsidR="0065271B" w:rsidRPr="008854A8">
          <w:rPr>
            <w:rFonts w:ascii="Cambria" w:hAnsi="Cambria"/>
            <w:sz w:val="20"/>
          </w:rPr>
          <w:fldChar w:fldCharType="begin"/>
        </w:r>
        <w:r w:rsidR="0065271B" w:rsidRPr="008854A8">
          <w:rPr>
            <w:rFonts w:ascii="Cambria" w:hAnsi="Cambria"/>
            <w:sz w:val="20"/>
          </w:rPr>
          <w:instrText xml:space="preserve"> NUMPAGES  </w:instrText>
        </w:r>
        <w:r w:rsidR="0065271B" w:rsidRPr="008854A8">
          <w:rPr>
            <w:rFonts w:ascii="Cambria" w:hAnsi="Cambria"/>
            <w:sz w:val="20"/>
          </w:rPr>
          <w:fldChar w:fldCharType="separate"/>
        </w:r>
        <w:r w:rsidR="0065271B">
          <w:rPr>
            <w:rFonts w:ascii="Cambria" w:hAnsi="Cambria"/>
            <w:sz w:val="20"/>
          </w:rPr>
          <w:t>4</w:t>
        </w:r>
        <w:r w:rsidR="0065271B" w:rsidRPr="008854A8">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5DD2" w14:textId="77777777" w:rsidR="00E3221E" w:rsidRDefault="00E3221E" w:rsidP="00B778DB">
      <w:r>
        <w:rPr>
          <w:rFonts w:hint="eastAsia"/>
        </w:rPr>
        <w:separator/>
      </w:r>
    </w:p>
  </w:footnote>
  <w:footnote w:type="continuationSeparator" w:id="0">
    <w:p w14:paraId="02BA4E36" w14:textId="77777777" w:rsidR="00E3221E" w:rsidRDefault="00E3221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6570" w14:textId="67123488" w:rsidR="00EE13A9" w:rsidRPr="00793F38" w:rsidRDefault="00EE13A9" w:rsidP="00EE13A9">
    <w:pPr>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COC_324/2025</w:t>
    </w:r>
  </w:p>
  <w:p w14:paraId="3CA0155E" w14:textId="4D0B6583" w:rsidR="00EE13A9" w:rsidRDefault="00EE13A9" w:rsidP="00EE13A9">
    <w:pPr>
      <w:tabs>
        <w:tab w:val="left" w:pos="7320"/>
      </w:tabs>
      <w:spacing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10588F">
      <w:rPr>
        <w:rFonts w:ascii="Cambria" w:hAnsi="Cambria"/>
        <w:b/>
        <w:noProof/>
        <w:sz w:val="16"/>
      </w:rPr>
      <w:t>10/11/2025 16:16</w:t>
    </w:r>
    <w:r w:rsidRPr="00793F38">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24D3"/>
    <w:multiLevelType w:val="hybridMultilevel"/>
    <w:tmpl w:val="D870EAF8"/>
    <w:lvl w:ilvl="0" w:tplc="F3D01F2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D43FFC"/>
    <w:multiLevelType w:val="multilevel"/>
    <w:tmpl w:val="5FE42AAA"/>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6FF0247"/>
    <w:multiLevelType w:val="hybridMultilevel"/>
    <w:tmpl w:val="22AA4D76"/>
    <w:lvl w:ilvl="0" w:tplc="96A84B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814187">
    <w:abstractNumId w:val="1"/>
  </w:num>
  <w:num w:numId="2" w16cid:durableId="486895972">
    <w:abstractNumId w:val="2"/>
  </w:num>
  <w:num w:numId="3" w16cid:durableId="1057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D7"/>
    <w:rsid w:val="00003E35"/>
    <w:rsid w:val="00015298"/>
    <w:rsid w:val="00034F95"/>
    <w:rsid w:val="00051DCA"/>
    <w:rsid w:val="000814A4"/>
    <w:rsid w:val="000C0575"/>
    <w:rsid w:val="000E7E1E"/>
    <w:rsid w:val="001032D4"/>
    <w:rsid w:val="0010588F"/>
    <w:rsid w:val="001168E3"/>
    <w:rsid w:val="00136BCC"/>
    <w:rsid w:val="00142529"/>
    <w:rsid w:val="00143704"/>
    <w:rsid w:val="00146C55"/>
    <w:rsid w:val="00170EAB"/>
    <w:rsid w:val="001771BB"/>
    <w:rsid w:val="00192D9D"/>
    <w:rsid w:val="001A1783"/>
    <w:rsid w:val="001D12FB"/>
    <w:rsid w:val="00226AC8"/>
    <w:rsid w:val="00261660"/>
    <w:rsid w:val="0027053F"/>
    <w:rsid w:val="00277175"/>
    <w:rsid w:val="0028594B"/>
    <w:rsid w:val="00293714"/>
    <w:rsid w:val="002C5E2C"/>
    <w:rsid w:val="002E2046"/>
    <w:rsid w:val="002E432A"/>
    <w:rsid w:val="00300734"/>
    <w:rsid w:val="00345AEB"/>
    <w:rsid w:val="00387C9A"/>
    <w:rsid w:val="003B2A73"/>
    <w:rsid w:val="003C4395"/>
    <w:rsid w:val="003F370C"/>
    <w:rsid w:val="0044209D"/>
    <w:rsid w:val="00470D86"/>
    <w:rsid w:val="00487627"/>
    <w:rsid w:val="004B23E7"/>
    <w:rsid w:val="004D6654"/>
    <w:rsid w:val="00536EBD"/>
    <w:rsid w:val="005742BB"/>
    <w:rsid w:val="00590EDC"/>
    <w:rsid w:val="005D122A"/>
    <w:rsid w:val="005E25B0"/>
    <w:rsid w:val="005F3765"/>
    <w:rsid w:val="00605BAF"/>
    <w:rsid w:val="0062418E"/>
    <w:rsid w:val="0065271B"/>
    <w:rsid w:val="00690A11"/>
    <w:rsid w:val="00694319"/>
    <w:rsid w:val="006A43C3"/>
    <w:rsid w:val="007041EB"/>
    <w:rsid w:val="007113C2"/>
    <w:rsid w:val="007E17EA"/>
    <w:rsid w:val="007F2950"/>
    <w:rsid w:val="008143F8"/>
    <w:rsid w:val="0084505D"/>
    <w:rsid w:val="00894F21"/>
    <w:rsid w:val="008F166A"/>
    <w:rsid w:val="009632E2"/>
    <w:rsid w:val="00983F3B"/>
    <w:rsid w:val="009A0DAE"/>
    <w:rsid w:val="009C0DA5"/>
    <w:rsid w:val="009C368F"/>
    <w:rsid w:val="009F6C39"/>
    <w:rsid w:val="00A202BD"/>
    <w:rsid w:val="00A62A87"/>
    <w:rsid w:val="00A63547"/>
    <w:rsid w:val="00AA6D12"/>
    <w:rsid w:val="00AB6BBE"/>
    <w:rsid w:val="00AC4466"/>
    <w:rsid w:val="00B16B50"/>
    <w:rsid w:val="00B45FEC"/>
    <w:rsid w:val="00B5762F"/>
    <w:rsid w:val="00B778DB"/>
    <w:rsid w:val="00B8178A"/>
    <w:rsid w:val="00BC0364"/>
    <w:rsid w:val="00BC6CD1"/>
    <w:rsid w:val="00BD6805"/>
    <w:rsid w:val="00BE0BF8"/>
    <w:rsid w:val="00BE5360"/>
    <w:rsid w:val="00BE757A"/>
    <w:rsid w:val="00C03D01"/>
    <w:rsid w:val="00C46404"/>
    <w:rsid w:val="00C51A90"/>
    <w:rsid w:val="00CA73CA"/>
    <w:rsid w:val="00CC5865"/>
    <w:rsid w:val="00CD4F48"/>
    <w:rsid w:val="00CD7299"/>
    <w:rsid w:val="00D058D8"/>
    <w:rsid w:val="00D25009"/>
    <w:rsid w:val="00D25E63"/>
    <w:rsid w:val="00D41523"/>
    <w:rsid w:val="00D85EA6"/>
    <w:rsid w:val="00D92E31"/>
    <w:rsid w:val="00DB2C6F"/>
    <w:rsid w:val="00DC2D75"/>
    <w:rsid w:val="00DC4D93"/>
    <w:rsid w:val="00E3221E"/>
    <w:rsid w:val="00E376CE"/>
    <w:rsid w:val="00E37F2D"/>
    <w:rsid w:val="00E832FF"/>
    <w:rsid w:val="00E925CB"/>
    <w:rsid w:val="00EB38D7"/>
    <w:rsid w:val="00EE13A9"/>
    <w:rsid w:val="00EF3DF2"/>
    <w:rsid w:val="00F001EB"/>
    <w:rsid w:val="00F019FD"/>
    <w:rsid w:val="00F64E16"/>
    <w:rsid w:val="00FA45E3"/>
    <w:rsid w:val="00FB5D3A"/>
    <w:rsid w:val="00FE2588"/>
    <w:rsid w:val="00FE669B"/>
    <w:rsid w:val="00FE7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39DC8"/>
  <w15:chartTrackingRefBased/>
  <w15:docId w15:val="{53D689F9-C57C-4F58-A03F-542142F2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Gothic" w:hAnsi="Times New Roman" w:cstheme="minorBidi"/>
        <w:kern w:val="2"/>
        <w:sz w:val="24"/>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04"/>
    <w:pPr>
      <w:widowControl w:val="0"/>
      <w:jc w:val="both"/>
    </w:pPr>
  </w:style>
  <w:style w:type="paragraph" w:styleId="Heading1">
    <w:name w:val="heading 1"/>
    <w:basedOn w:val="Normal"/>
    <w:next w:val="Normal"/>
    <w:link w:val="Heading1Char"/>
    <w:uiPriority w:val="9"/>
    <w:qFormat/>
    <w:rsid w:val="00EB38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B38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B38D7"/>
    <w:pPr>
      <w:keepNext/>
      <w:keepLines/>
      <w:spacing w:before="160" w:after="8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unhideWhenUsed/>
    <w:qFormat/>
    <w:rsid w:val="00EB38D7"/>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B38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B38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B38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B38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B38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character" w:customStyle="1" w:styleId="Heading1Char">
    <w:name w:val="Heading 1 Char"/>
    <w:basedOn w:val="DefaultParagraphFont"/>
    <w:link w:val="Heading1"/>
    <w:uiPriority w:val="9"/>
    <w:rsid w:val="00EB38D7"/>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B38D7"/>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B38D7"/>
    <w:rPr>
      <w:rFonts w:asciiTheme="majorHAnsi" w:eastAsiaTheme="majorEastAsia" w:hAnsiTheme="majorHAnsi" w:cstheme="majorBidi"/>
      <w:color w:val="000000" w:themeColor="text1"/>
      <w:szCs w:val="24"/>
    </w:rPr>
  </w:style>
  <w:style w:type="character" w:customStyle="1" w:styleId="Heading4Char">
    <w:name w:val="Heading 4 Char"/>
    <w:basedOn w:val="DefaultParagraphFont"/>
    <w:link w:val="Heading4"/>
    <w:uiPriority w:val="9"/>
    <w:semiHidden/>
    <w:rsid w:val="00EB38D7"/>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B38D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B38D7"/>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B38D7"/>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B38D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B38D7"/>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B38D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8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8D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B38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8D7"/>
    <w:rPr>
      <w:i/>
      <w:iCs/>
      <w:color w:val="404040" w:themeColor="text1" w:themeTint="BF"/>
    </w:rPr>
  </w:style>
  <w:style w:type="paragraph" w:styleId="ListParagraph">
    <w:name w:val="List Paragraph"/>
    <w:basedOn w:val="Normal"/>
    <w:uiPriority w:val="34"/>
    <w:qFormat/>
    <w:rsid w:val="00EB38D7"/>
    <w:pPr>
      <w:ind w:left="720"/>
      <w:contextualSpacing/>
    </w:pPr>
  </w:style>
  <w:style w:type="character" w:styleId="IntenseEmphasis">
    <w:name w:val="Intense Emphasis"/>
    <w:basedOn w:val="DefaultParagraphFont"/>
    <w:uiPriority w:val="21"/>
    <w:qFormat/>
    <w:rsid w:val="00EB38D7"/>
    <w:rPr>
      <w:i/>
      <w:iCs/>
      <w:color w:val="0F4761" w:themeColor="accent1" w:themeShade="BF"/>
    </w:rPr>
  </w:style>
  <w:style w:type="paragraph" w:styleId="IntenseQuote">
    <w:name w:val="Intense Quote"/>
    <w:basedOn w:val="Normal"/>
    <w:next w:val="Normal"/>
    <w:link w:val="IntenseQuoteChar"/>
    <w:uiPriority w:val="30"/>
    <w:qFormat/>
    <w:rsid w:val="00EB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8D7"/>
    <w:rPr>
      <w:i/>
      <w:iCs/>
      <w:color w:val="0F4761" w:themeColor="accent1" w:themeShade="BF"/>
    </w:rPr>
  </w:style>
  <w:style w:type="character" w:styleId="IntenseReference">
    <w:name w:val="Intense Reference"/>
    <w:basedOn w:val="DefaultParagraphFont"/>
    <w:uiPriority w:val="32"/>
    <w:qFormat/>
    <w:rsid w:val="00EB38D7"/>
    <w:rPr>
      <w:b/>
      <w:bCs/>
      <w:smallCaps/>
      <w:color w:val="0F4761" w:themeColor="accent1" w:themeShade="BF"/>
      <w:spacing w:val="5"/>
    </w:rPr>
  </w:style>
  <w:style w:type="paragraph" w:styleId="Revision">
    <w:name w:val="Revision"/>
    <w:hidden/>
    <w:uiPriority w:val="99"/>
    <w:semiHidden/>
    <w:rsid w:val="00146C55"/>
  </w:style>
  <w:style w:type="character" w:styleId="CommentReference">
    <w:name w:val="annotation reference"/>
    <w:basedOn w:val="DefaultParagraphFont"/>
    <w:uiPriority w:val="99"/>
    <w:semiHidden/>
    <w:unhideWhenUsed/>
    <w:rsid w:val="00146C55"/>
    <w:rPr>
      <w:sz w:val="18"/>
      <w:szCs w:val="18"/>
    </w:rPr>
  </w:style>
  <w:style w:type="paragraph" w:styleId="CommentText">
    <w:name w:val="annotation text"/>
    <w:basedOn w:val="Normal"/>
    <w:link w:val="CommentTextChar"/>
    <w:uiPriority w:val="99"/>
    <w:unhideWhenUsed/>
    <w:rsid w:val="00146C55"/>
    <w:pPr>
      <w:jc w:val="left"/>
    </w:pPr>
  </w:style>
  <w:style w:type="character" w:customStyle="1" w:styleId="CommentTextChar">
    <w:name w:val="Comment Text Char"/>
    <w:basedOn w:val="DefaultParagraphFont"/>
    <w:link w:val="CommentText"/>
    <w:uiPriority w:val="99"/>
    <w:rsid w:val="00146C55"/>
  </w:style>
  <w:style w:type="paragraph" w:styleId="CommentSubject">
    <w:name w:val="annotation subject"/>
    <w:basedOn w:val="CommentText"/>
    <w:next w:val="CommentText"/>
    <w:link w:val="CommentSubjectChar"/>
    <w:uiPriority w:val="99"/>
    <w:semiHidden/>
    <w:unhideWhenUsed/>
    <w:rsid w:val="00146C55"/>
    <w:rPr>
      <w:b/>
      <w:bCs/>
    </w:rPr>
  </w:style>
  <w:style w:type="character" w:customStyle="1" w:styleId="CommentSubjectChar">
    <w:name w:val="Comment Subject Char"/>
    <w:basedOn w:val="CommentTextChar"/>
    <w:link w:val="CommentSubject"/>
    <w:uiPriority w:val="99"/>
    <w:semiHidden/>
    <w:rsid w:val="00146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1186</Words>
  <Characters>6764</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富永 温夫(TOMINAGA Haruo)</dc:creator>
  <cp:keywords/>
  <dc:description/>
  <cp:lastModifiedBy>Dorothee Pinet</cp:lastModifiedBy>
  <cp:revision>21</cp:revision>
  <dcterms:created xsi:type="dcterms:W3CDTF">2025-11-07T01:21:00Z</dcterms:created>
  <dcterms:modified xsi:type="dcterms:W3CDTF">2025-11-10T15:22:00Z</dcterms:modified>
</cp:coreProperties>
</file>