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826B" w14:textId="24FC3618" w:rsidR="002540D1" w:rsidRPr="008245ED" w:rsidRDefault="002540D1" w:rsidP="009F0D10">
      <w:pPr>
        <w:pStyle w:val="Heading1"/>
        <w:spacing w:before="0" w:line="240" w:lineRule="auto"/>
        <w:jc w:val="right"/>
        <w:rPr>
          <w:rFonts w:asciiTheme="minorHAnsi" w:hAnsiTheme="minorHAnsi" w:cs="Times New Roman"/>
          <w:color w:val="auto"/>
          <w:sz w:val="20"/>
          <w:szCs w:val="20"/>
        </w:rPr>
      </w:pPr>
      <w:r w:rsidRPr="008245ED">
        <w:rPr>
          <w:rFonts w:asciiTheme="minorHAnsi" w:hAnsiTheme="minorHAnsi" w:cs="Times New Roman"/>
          <w:color w:val="auto"/>
          <w:sz w:val="20"/>
          <w:szCs w:val="20"/>
        </w:rPr>
        <w:t>Original: English</w:t>
      </w:r>
    </w:p>
    <w:p w14:paraId="44297059" w14:textId="77777777" w:rsidR="00A02515" w:rsidRPr="008245ED" w:rsidRDefault="00A02515" w:rsidP="009F0D10">
      <w:pPr>
        <w:pStyle w:val="Heading1"/>
        <w:spacing w:before="0" w:line="240" w:lineRule="auto"/>
        <w:jc w:val="center"/>
        <w:rPr>
          <w:rFonts w:asciiTheme="minorHAnsi" w:hAnsiTheme="minorHAnsi" w:cs="Times New Roman"/>
          <w:color w:val="auto"/>
          <w:sz w:val="20"/>
          <w:szCs w:val="20"/>
        </w:rPr>
      </w:pPr>
    </w:p>
    <w:p w14:paraId="19B6E895" w14:textId="63A4CBC0" w:rsidR="003A6943" w:rsidRPr="008245ED" w:rsidRDefault="003A6943" w:rsidP="009F0D10">
      <w:pPr>
        <w:pStyle w:val="Heading1"/>
        <w:spacing w:before="0" w:line="240" w:lineRule="auto"/>
        <w:jc w:val="center"/>
        <w:rPr>
          <w:rFonts w:asciiTheme="minorHAnsi" w:hAnsiTheme="minorHAnsi" w:cs="Times New Roman"/>
          <w:color w:val="auto"/>
          <w:sz w:val="20"/>
          <w:szCs w:val="20"/>
        </w:rPr>
      </w:pPr>
      <w:r w:rsidRPr="008245ED">
        <w:rPr>
          <w:rFonts w:asciiTheme="minorHAnsi" w:hAnsiTheme="minorHAnsi" w:cs="Times New Roman"/>
          <w:color w:val="auto"/>
          <w:sz w:val="20"/>
          <w:szCs w:val="20"/>
        </w:rPr>
        <w:t xml:space="preserve">Proposal </w:t>
      </w:r>
      <w:r w:rsidR="00A955C9" w:rsidRPr="008245ED">
        <w:rPr>
          <w:rFonts w:asciiTheme="minorHAnsi" w:hAnsiTheme="minorHAnsi" w:cs="Times New Roman"/>
          <w:color w:val="auto"/>
          <w:sz w:val="20"/>
          <w:szCs w:val="20"/>
        </w:rPr>
        <w:t>to streamline and strengthen the</w:t>
      </w:r>
      <w:r w:rsidRPr="008245ED">
        <w:rPr>
          <w:rFonts w:asciiTheme="minorHAnsi" w:hAnsiTheme="minorHAnsi" w:cs="Times New Roman"/>
          <w:color w:val="auto"/>
          <w:sz w:val="20"/>
          <w:szCs w:val="20"/>
        </w:rPr>
        <w:t xml:space="preserve"> </w:t>
      </w:r>
      <w:r w:rsidR="00A955C9" w:rsidRPr="008245ED">
        <w:rPr>
          <w:rFonts w:asciiTheme="minorHAnsi" w:hAnsiTheme="minorHAnsi" w:cs="Times New Roman"/>
          <w:color w:val="auto"/>
          <w:sz w:val="20"/>
          <w:szCs w:val="20"/>
        </w:rPr>
        <w:t>p</w:t>
      </w:r>
      <w:r w:rsidRPr="008245ED">
        <w:rPr>
          <w:rFonts w:asciiTheme="minorHAnsi" w:hAnsiTheme="minorHAnsi" w:cs="Times New Roman"/>
          <w:color w:val="auto"/>
          <w:sz w:val="20"/>
          <w:szCs w:val="20"/>
        </w:rPr>
        <w:t>rocess for the ICCAT Compliance Committee (COC)</w:t>
      </w:r>
    </w:p>
    <w:p w14:paraId="4F0A4E93" w14:textId="3B6A487F" w:rsidR="00B27279" w:rsidRPr="008245ED" w:rsidRDefault="00B27279" w:rsidP="00B27279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8245ED">
        <w:rPr>
          <w:i/>
          <w:iCs/>
          <w:sz w:val="20"/>
          <w:szCs w:val="20"/>
        </w:rPr>
        <w:t xml:space="preserve">(submitted </w:t>
      </w:r>
      <w:r w:rsidR="00825796" w:rsidRPr="008245ED">
        <w:rPr>
          <w:i/>
          <w:iCs/>
          <w:sz w:val="20"/>
          <w:szCs w:val="20"/>
        </w:rPr>
        <w:t xml:space="preserve">and translated </w:t>
      </w:r>
      <w:r w:rsidRPr="008245ED">
        <w:rPr>
          <w:i/>
          <w:iCs/>
          <w:sz w:val="20"/>
          <w:szCs w:val="20"/>
        </w:rPr>
        <w:t>by the European Union)</w:t>
      </w:r>
    </w:p>
    <w:p w14:paraId="0C6CC4CE" w14:textId="77777777" w:rsidR="002D0886" w:rsidRPr="008245ED" w:rsidRDefault="002D0886" w:rsidP="009F0D10">
      <w:pPr>
        <w:pStyle w:val="Heading2"/>
        <w:spacing w:before="0" w:after="0" w:line="240" w:lineRule="auto"/>
        <w:ind w:left="360"/>
        <w:rPr>
          <w:rFonts w:asciiTheme="minorHAnsi" w:hAnsiTheme="minorHAnsi"/>
          <w:color w:val="auto"/>
          <w:sz w:val="20"/>
          <w:szCs w:val="20"/>
        </w:rPr>
      </w:pPr>
    </w:p>
    <w:p w14:paraId="2538FC4A" w14:textId="08B7C0D1" w:rsidR="004B5BE7" w:rsidRPr="008245ED" w:rsidRDefault="00510FDB" w:rsidP="009F0D10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8245ED">
        <w:rPr>
          <w:rFonts w:asciiTheme="minorHAnsi" w:hAnsiTheme="minorHAnsi"/>
          <w:color w:val="auto"/>
          <w:sz w:val="20"/>
          <w:szCs w:val="20"/>
        </w:rPr>
        <w:t xml:space="preserve">Background </w:t>
      </w:r>
      <w:r w:rsidR="004B5BE7" w:rsidRPr="008245ED">
        <w:rPr>
          <w:rFonts w:asciiTheme="minorHAnsi" w:hAnsiTheme="minorHAnsi"/>
          <w:color w:val="auto"/>
          <w:sz w:val="20"/>
          <w:szCs w:val="20"/>
        </w:rPr>
        <w:t>and objective of this paper</w:t>
      </w:r>
    </w:p>
    <w:p w14:paraId="3D9E469F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211DCA0" w14:textId="7E063CF9" w:rsidR="004C1ABB" w:rsidRPr="008245ED" w:rsidRDefault="2FCB013A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At the 2024 annual meeting, the EU highlighted the complexity under which the </w:t>
      </w:r>
      <w:r w:rsidR="002D505D" w:rsidRPr="008245ED">
        <w:rPr>
          <w:rFonts w:asciiTheme="minorHAnsi" w:hAnsiTheme="minorHAnsi"/>
          <w:sz w:val="20"/>
          <w:szCs w:val="20"/>
          <w:lang w:val="en-IE"/>
        </w:rPr>
        <w:t xml:space="preserve">Compliance Committee </w:t>
      </w:r>
      <w:r w:rsidR="007436F1" w:rsidRPr="008245ED">
        <w:rPr>
          <w:rFonts w:asciiTheme="minorHAnsi" w:hAnsiTheme="minorHAnsi"/>
          <w:sz w:val="20"/>
          <w:szCs w:val="20"/>
          <w:lang w:val="en-IE"/>
        </w:rPr>
        <w:t xml:space="preserve">(COC) </w:t>
      </w:r>
      <w:r w:rsidRPr="008245ED">
        <w:rPr>
          <w:rFonts w:asciiTheme="minorHAnsi" w:hAnsiTheme="minorHAnsi"/>
          <w:sz w:val="20"/>
          <w:szCs w:val="20"/>
          <w:lang w:val="en-IE"/>
        </w:rPr>
        <w:t>currently operates</w:t>
      </w:r>
      <w:r w:rsidR="00C81ADD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and proposed </w:t>
      </w:r>
      <w:r w:rsidR="2D65DB01" w:rsidRPr="008245ED">
        <w:rPr>
          <w:rFonts w:asciiTheme="minorHAnsi" w:hAnsiTheme="minorHAnsi"/>
          <w:sz w:val="20"/>
          <w:szCs w:val="20"/>
          <w:lang w:val="en-IE"/>
        </w:rPr>
        <w:t>to initiate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a procedure to simplify it.</w:t>
      </w:r>
      <w:r w:rsidR="009B5942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</w:p>
    <w:p w14:paraId="5BE72DD6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0429976" w14:textId="3EFB45D4" w:rsidR="00D0124C" w:rsidRPr="008245ED" w:rsidRDefault="009B5942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This complexity is due to several factors: </w:t>
      </w:r>
      <w:r w:rsidR="00A855D5" w:rsidRPr="008245ED">
        <w:rPr>
          <w:rFonts w:asciiTheme="minorHAnsi" w:hAnsiTheme="minorHAnsi"/>
          <w:sz w:val="20"/>
          <w:szCs w:val="20"/>
          <w:lang w:val="en-IE"/>
        </w:rPr>
        <w:t>the complexity of ICCAT fisheries; the large number of CPCs;</w:t>
      </w:r>
      <w:r w:rsidR="00FA5FE4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A855D5" w:rsidRPr="008245ED">
        <w:rPr>
          <w:rFonts w:asciiTheme="minorHAnsi" w:hAnsiTheme="minorHAnsi"/>
          <w:sz w:val="20"/>
          <w:szCs w:val="20"/>
          <w:lang w:val="en-IE"/>
        </w:rPr>
        <w:t xml:space="preserve">the large number of </w:t>
      </w:r>
      <w:r w:rsidR="006A0EDA" w:rsidRPr="008245ED">
        <w:rPr>
          <w:rFonts w:asciiTheme="minorHAnsi" w:hAnsiTheme="minorHAnsi"/>
          <w:sz w:val="20"/>
          <w:szCs w:val="20"/>
          <w:lang w:val="en-IE"/>
        </w:rPr>
        <w:t xml:space="preserve">conservation and management measures; the large number of reporting obligation and reports; </w:t>
      </w:r>
      <w:r w:rsidR="007F4A57" w:rsidRPr="008245ED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="6F10DE6F" w:rsidRPr="008245ED">
        <w:rPr>
          <w:rFonts w:asciiTheme="minorHAnsi" w:hAnsiTheme="minorHAnsi"/>
          <w:sz w:val="20"/>
          <w:szCs w:val="20"/>
          <w:lang w:val="en-IE"/>
        </w:rPr>
        <w:t>scattering</w:t>
      </w:r>
      <w:r w:rsidR="007F4A57" w:rsidRPr="008245ED">
        <w:rPr>
          <w:rFonts w:asciiTheme="minorHAnsi" w:hAnsiTheme="minorHAnsi"/>
          <w:sz w:val="20"/>
          <w:szCs w:val="20"/>
          <w:lang w:val="en-IE"/>
        </w:rPr>
        <w:t xml:space="preserve"> of the rules of procedures </w:t>
      </w:r>
      <w:r w:rsidR="25C59DC6" w:rsidRPr="008245ED">
        <w:rPr>
          <w:rFonts w:asciiTheme="minorHAnsi" w:hAnsiTheme="minorHAnsi"/>
          <w:sz w:val="20"/>
          <w:szCs w:val="20"/>
          <w:lang w:val="en-IE"/>
        </w:rPr>
        <w:t>across</w:t>
      </w:r>
      <w:r w:rsidR="007F4A57" w:rsidRPr="008245ED">
        <w:rPr>
          <w:rFonts w:asciiTheme="minorHAnsi" w:hAnsiTheme="minorHAnsi"/>
          <w:sz w:val="20"/>
          <w:szCs w:val="20"/>
          <w:lang w:val="en-IE"/>
        </w:rPr>
        <w:t xml:space="preserve"> several documents;</w:t>
      </w:r>
      <w:r w:rsidR="00007A31" w:rsidRPr="008245ED">
        <w:rPr>
          <w:rFonts w:asciiTheme="minorHAnsi" w:hAnsiTheme="minorHAnsi"/>
          <w:sz w:val="20"/>
          <w:szCs w:val="20"/>
          <w:lang w:val="en-IE"/>
        </w:rPr>
        <w:t xml:space="preserve"> the </w:t>
      </w:r>
      <w:r w:rsidR="0088421E" w:rsidRPr="008245ED">
        <w:rPr>
          <w:rFonts w:asciiTheme="minorHAnsi" w:hAnsiTheme="minorHAnsi"/>
          <w:sz w:val="20"/>
          <w:szCs w:val="20"/>
          <w:lang w:val="en-IE"/>
        </w:rPr>
        <w:t xml:space="preserve">large </w:t>
      </w:r>
      <w:r w:rsidR="006B2573" w:rsidRPr="008245ED">
        <w:rPr>
          <w:rFonts w:asciiTheme="minorHAnsi" w:hAnsiTheme="minorHAnsi"/>
          <w:sz w:val="20"/>
          <w:szCs w:val="20"/>
          <w:lang w:val="en-IE"/>
        </w:rPr>
        <w:t>number</w:t>
      </w:r>
      <w:r w:rsidR="00007A31" w:rsidRPr="008245ED">
        <w:rPr>
          <w:rFonts w:asciiTheme="minorHAnsi" w:hAnsiTheme="minorHAnsi"/>
          <w:sz w:val="20"/>
          <w:szCs w:val="20"/>
          <w:lang w:val="en-IE"/>
        </w:rPr>
        <w:t xml:space="preserve"> of documents produced; the design and format of the documents; the lack of conclusion o</w:t>
      </w:r>
      <w:r w:rsidR="00FA5FE4" w:rsidRPr="008245ED">
        <w:rPr>
          <w:rFonts w:asciiTheme="minorHAnsi" w:hAnsiTheme="minorHAnsi"/>
          <w:sz w:val="20"/>
          <w:szCs w:val="20"/>
          <w:lang w:val="en-IE"/>
        </w:rPr>
        <w:t>n compliance issues</w:t>
      </w:r>
      <w:r w:rsidR="00BD22D3" w:rsidRPr="008245ED">
        <w:rPr>
          <w:rFonts w:asciiTheme="minorHAnsi" w:hAnsiTheme="minorHAnsi"/>
          <w:sz w:val="20"/>
          <w:szCs w:val="20"/>
          <w:lang w:val="en-IE"/>
        </w:rPr>
        <w:t>; etc.</w:t>
      </w:r>
    </w:p>
    <w:p w14:paraId="0CB5DDF1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763F47CC" w14:textId="47305DB0" w:rsidR="00512D7D" w:rsidRPr="008245ED" w:rsidRDefault="00512D7D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The objective of this paper is to propose</w:t>
      </w:r>
      <w:r w:rsidR="54EBC9E3" w:rsidRPr="008245ED">
        <w:rPr>
          <w:rFonts w:asciiTheme="minorHAnsi" w:hAnsiTheme="minorHAnsi"/>
          <w:sz w:val="20"/>
          <w:szCs w:val="20"/>
          <w:lang w:val="en-IE"/>
        </w:rPr>
        <w:t>,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for the consideration of the</w:t>
      </w:r>
      <w:r w:rsidR="0EB22BB5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Pr="008245ED">
        <w:rPr>
          <w:rFonts w:asciiTheme="minorHAnsi" w:hAnsiTheme="minorHAnsi"/>
          <w:sz w:val="20"/>
          <w:szCs w:val="20"/>
          <w:lang w:val="en-IE"/>
        </w:rPr>
        <w:t>COC</w:t>
      </w:r>
      <w:r w:rsidR="198060E7" w:rsidRPr="008245ED">
        <w:rPr>
          <w:rFonts w:asciiTheme="minorHAnsi" w:hAnsiTheme="minorHAnsi"/>
          <w:sz w:val="20"/>
          <w:szCs w:val="20"/>
          <w:lang w:val="en-IE"/>
        </w:rPr>
        <w:t>,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a process to streamline the work of the </w:t>
      </w:r>
      <w:r w:rsidR="4E1F3F54" w:rsidRPr="008245ED">
        <w:rPr>
          <w:rFonts w:asciiTheme="minorHAnsi" w:hAnsiTheme="minorHAnsi"/>
          <w:sz w:val="20"/>
          <w:szCs w:val="20"/>
          <w:lang w:val="en-IE"/>
        </w:rPr>
        <w:t>COC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. </w:t>
      </w:r>
    </w:p>
    <w:p w14:paraId="5F35F405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C823759" w14:textId="6EF9E912" w:rsidR="00512D7D" w:rsidRPr="008245ED" w:rsidRDefault="00512D7D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It is propose</w:t>
      </w:r>
      <w:r w:rsidR="00630050" w:rsidRPr="008245ED">
        <w:rPr>
          <w:rFonts w:asciiTheme="minorHAnsi" w:hAnsiTheme="minorHAnsi"/>
          <w:sz w:val="20"/>
          <w:szCs w:val="20"/>
          <w:lang w:val="en-IE"/>
        </w:rPr>
        <w:t>d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that the </w:t>
      </w:r>
      <w:r w:rsidR="00801A42" w:rsidRPr="008245ED">
        <w:rPr>
          <w:rFonts w:asciiTheme="minorHAnsi" w:hAnsiTheme="minorHAnsi"/>
          <w:sz w:val="20"/>
          <w:szCs w:val="20"/>
          <w:lang w:val="en-IE"/>
        </w:rPr>
        <w:t>COC</w:t>
      </w:r>
      <w:r w:rsidR="00630050" w:rsidRPr="008245ED">
        <w:rPr>
          <w:rFonts w:asciiTheme="minorHAnsi" w:hAnsiTheme="minorHAnsi"/>
          <w:sz w:val="20"/>
          <w:szCs w:val="20"/>
          <w:lang w:val="en-IE"/>
        </w:rPr>
        <w:t>:</w:t>
      </w:r>
    </w:p>
    <w:p w14:paraId="199481F1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B864EE3" w14:textId="19ECD790" w:rsidR="0015531F" w:rsidRPr="008245ED" w:rsidRDefault="00630050" w:rsidP="009F0D10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Note the information provided in this paper</w:t>
      </w:r>
      <w:r w:rsidR="00D77D2D" w:rsidRPr="008245ED">
        <w:rPr>
          <w:rFonts w:asciiTheme="minorHAnsi" w:hAnsiTheme="minorHAnsi"/>
          <w:sz w:val="20"/>
          <w:szCs w:val="20"/>
          <w:lang w:val="en-IE"/>
        </w:rPr>
        <w:t xml:space="preserve"> and e</w:t>
      </w:r>
      <w:r w:rsidR="0015531F" w:rsidRPr="008245ED">
        <w:rPr>
          <w:rFonts w:asciiTheme="minorHAnsi" w:hAnsiTheme="minorHAnsi"/>
          <w:sz w:val="20"/>
          <w:szCs w:val="20"/>
          <w:lang w:val="en-IE"/>
        </w:rPr>
        <w:t xml:space="preserve">ndorse the need to engage in an intersessional process to </w:t>
      </w:r>
      <w:r w:rsidR="00D77D2D" w:rsidRPr="008245ED">
        <w:rPr>
          <w:rFonts w:asciiTheme="minorHAnsi" w:hAnsiTheme="minorHAnsi"/>
          <w:sz w:val="20"/>
          <w:szCs w:val="20"/>
          <w:lang w:val="en-IE"/>
        </w:rPr>
        <w:t xml:space="preserve">streamline the work of the </w:t>
      </w:r>
      <w:proofErr w:type="gramStart"/>
      <w:r w:rsidR="00D77D2D" w:rsidRPr="008245ED">
        <w:rPr>
          <w:rFonts w:asciiTheme="minorHAnsi" w:hAnsiTheme="minorHAnsi"/>
          <w:sz w:val="20"/>
          <w:szCs w:val="20"/>
          <w:lang w:val="en-IE"/>
        </w:rPr>
        <w:t>COC</w:t>
      </w:r>
      <w:r w:rsidR="000915D2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3E498890" w14:textId="2E16627D" w:rsidR="00630050" w:rsidRPr="008245ED" w:rsidRDefault="00286A1B" w:rsidP="009F0D10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Discuss, amend and endorse the</w:t>
      </w:r>
      <w:r w:rsidR="00A52E04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timeline of the </w:t>
      </w:r>
      <w:r w:rsidR="00A52E04" w:rsidRPr="008245ED">
        <w:rPr>
          <w:rFonts w:asciiTheme="minorHAnsi" w:hAnsiTheme="minorHAnsi"/>
          <w:sz w:val="20"/>
          <w:szCs w:val="20"/>
          <w:lang w:val="en-IE"/>
        </w:rPr>
        <w:t>intersessional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process (</w:t>
      </w:r>
      <w:r w:rsidR="2A1EF1DA" w:rsidRPr="008245ED">
        <w:rPr>
          <w:rFonts w:asciiTheme="minorHAnsi" w:hAnsiTheme="minorHAnsi"/>
          <w:sz w:val="20"/>
          <w:szCs w:val="20"/>
          <w:lang w:val="en-IE"/>
        </w:rPr>
        <w:t xml:space="preserve">section </w:t>
      </w:r>
      <w:r w:rsidRPr="008245ED">
        <w:rPr>
          <w:rFonts w:asciiTheme="minorHAnsi" w:hAnsiTheme="minorHAnsi"/>
          <w:sz w:val="20"/>
          <w:szCs w:val="20"/>
          <w:lang w:val="en-IE"/>
        </w:rPr>
        <w:t>2.2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)</w:t>
      </w:r>
      <w:r w:rsidR="000915D2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7241CC54" w14:textId="2BCD3193" w:rsidR="00286A1B" w:rsidRPr="008245ED" w:rsidRDefault="00360438" w:rsidP="009F0D10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Agree to launch an intersessional process to amend collectively the</w:t>
      </w:r>
      <w:r w:rsidR="00286A1B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“proposed course of action” </w:t>
      </w:r>
      <w:r w:rsidR="00286A1B" w:rsidRPr="008245ED">
        <w:rPr>
          <w:rFonts w:asciiTheme="minorHAnsi" w:hAnsiTheme="minorHAnsi"/>
          <w:sz w:val="20"/>
          <w:szCs w:val="20"/>
          <w:lang w:val="en-IE"/>
        </w:rPr>
        <w:t>(</w:t>
      </w:r>
      <w:r w:rsidR="228C9C2A" w:rsidRPr="008245ED">
        <w:rPr>
          <w:rFonts w:asciiTheme="minorHAnsi" w:hAnsiTheme="minorHAnsi"/>
          <w:sz w:val="20"/>
          <w:szCs w:val="20"/>
          <w:lang w:val="en-IE"/>
        </w:rPr>
        <w:t>section</w:t>
      </w:r>
      <w:r w:rsidR="00286A1B" w:rsidRPr="008245ED">
        <w:rPr>
          <w:rFonts w:asciiTheme="minorHAnsi" w:hAnsiTheme="minorHAnsi"/>
          <w:sz w:val="20"/>
          <w:szCs w:val="20"/>
          <w:lang w:val="en-IE"/>
        </w:rPr>
        <w:t xml:space="preserve"> 3)</w:t>
      </w:r>
      <w:r w:rsidR="000915D2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24A82E8E" w14:textId="77777777" w:rsidR="008B51D0" w:rsidRPr="008245ED" w:rsidRDefault="008B51D0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117B8BD" w14:textId="77777777" w:rsidR="000915D2" w:rsidRPr="008245ED" w:rsidRDefault="000915D2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5B2CBE00" w14:textId="3A9CDAB1" w:rsidR="00510FDB" w:rsidRPr="008245ED" w:rsidRDefault="00FA5FE4" w:rsidP="009F0D10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8245ED">
        <w:rPr>
          <w:rFonts w:asciiTheme="minorHAnsi" w:hAnsiTheme="minorHAnsi"/>
          <w:color w:val="auto"/>
          <w:sz w:val="20"/>
          <w:szCs w:val="20"/>
        </w:rPr>
        <w:t>Process to streamline the work of the Compliance Committee</w:t>
      </w:r>
    </w:p>
    <w:p w14:paraId="143080E0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2FFE5B6" w14:textId="05BF3A69" w:rsidR="00FE10AF" w:rsidRPr="008245ED" w:rsidRDefault="33C21A44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It is suggested to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 simplify the compliance assessment process by reducing and streamlining the information to be analysed and</w:t>
      </w:r>
      <w:r w:rsidR="0204906E" w:rsidRPr="008245ED">
        <w:rPr>
          <w:rFonts w:asciiTheme="minorHAnsi" w:hAnsiTheme="minorHAnsi"/>
          <w:sz w:val="20"/>
          <w:szCs w:val="20"/>
          <w:lang w:val="en-IE"/>
        </w:rPr>
        <w:t xml:space="preserve"> to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 establish mechanisms that allow for effective monitoring of </w:t>
      </w:r>
      <w:r w:rsidR="3AD6B788" w:rsidRPr="008245ED">
        <w:rPr>
          <w:rFonts w:asciiTheme="minorHAnsi" w:hAnsiTheme="minorHAnsi"/>
          <w:sz w:val="20"/>
          <w:szCs w:val="20"/>
          <w:lang w:val="en-IE"/>
        </w:rPr>
        <w:t xml:space="preserve">detected 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>compliance issues.</w:t>
      </w:r>
    </w:p>
    <w:p w14:paraId="017D92D0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A451931" w14:textId="429BEED5" w:rsidR="001262F5" w:rsidRPr="008245ED" w:rsidRDefault="001262F5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The process should also look at best practices in the compliance committees of </w:t>
      </w:r>
      <w:r w:rsidR="00D663C9" w:rsidRPr="008245ED">
        <w:rPr>
          <w:rFonts w:ascii="Cambria" w:hAnsi="Cambria"/>
          <w:sz w:val="20"/>
          <w:szCs w:val="20"/>
          <w:lang w:val="en-US"/>
        </w:rPr>
        <w:t>Regional Fisheries Management Organizations</w:t>
      </w:r>
      <w:r w:rsidR="00D663C9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11766708" w:rsidRPr="008245ED">
        <w:rPr>
          <w:rFonts w:asciiTheme="minorHAnsi" w:hAnsiTheme="minorHAnsi"/>
          <w:sz w:val="20"/>
          <w:szCs w:val="20"/>
          <w:lang w:val="en-IE"/>
        </w:rPr>
        <w:t>(</w:t>
      </w:r>
      <w:r w:rsidRPr="008245ED">
        <w:rPr>
          <w:rFonts w:asciiTheme="minorHAnsi" w:hAnsiTheme="minorHAnsi"/>
          <w:sz w:val="20"/>
          <w:szCs w:val="20"/>
          <w:lang w:val="en-IE"/>
        </w:rPr>
        <w:t>RFMOs</w:t>
      </w:r>
      <w:r w:rsidR="4C3DFCDD" w:rsidRPr="008245ED">
        <w:rPr>
          <w:rFonts w:asciiTheme="minorHAnsi" w:hAnsiTheme="minorHAnsi"/>
          <w:sz w:val="20"/>
          <w:szCs w:val="20"/>
          <w:lang w:val="en-IE"/>
        </w:rPr>
        <w:t>)</w:t>
      </w:r>
      <w:r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492CB0D1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AEF4D1B" w14:textId="4DFF7FA7" w:rsidR="000A7AF6" w:rsidRPr="008245ED" w:rsidRDefault="000A7AF6" w:rsidP="009F0D10">
      <w:pPr>
        <w:pStyle w:val="Heading2"/>
        <w:numPr>
          <w:ilvl w:val="1"/>
          <w:numId w:val="18"/>
        </w:numPr>
        <w:spacing w:before="0" w:after="0" w:line="240" w:lineRule="auto"/>
        <w:ind w:left="426" w:hanging="426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Areas </w:t>
      </w:r>
      <w:r w:rsidR="4AB4883D" w:rsidRPr="008245ED">
        <w:rPr>
          <w:rFonts w:asciiTheme="minorHAnsi" w:hAnsiTheme="minorHAnsi"/>
          <w:i/>
          <w:iCs/>
          <w:color w:val="auto"/>
          <w:sz w:val="20"/>
          <w:szCs w:val="20"/>
        </w:rPr>
        <w:t>for</w:t>
      </w: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 improvement</w:t>
      </w:r>
    </w:p>
    <w:p w14:paraId="5346AAE5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62561DA2" w14:textId="77777777" w:rsidR="002D0886" w:rsidRPr="008245ED" w:rsidRDefault="006D2355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The EU suggests that the process focus on improving </w:t>
      </w:r>
      <w:r w:rsidR="683AA88D" w:rsidRPr="008245ED">
        <w:rPr>
          <w:rFonts w:asciiTheme="minorHAnsi" w:hAnsiTheme="minorHAnsi"/>
          <w:sz w:val="20"/>
          <w:szCs w:val="20"/>
          <w:lang w:val="en-IE"/>
        </w:rPr>
        <w:t xml:space="preserve">four </w:t>
      </w:r>
      <w:r w:rsidRPr="008245ED">
        <w:rPr>
          <w:rFonts w:asciiTheme="minorHAnsi" w:hAnsiTheme="minorHAnsi"/>
          <w:sz w:val="20"/>
          <w:szCs w:val="20"/>
          <w:lang w:val="en-IE"/>
        </w:rPr>
        <w:t>areas</w:t>
      </w:r>
      <w:r w:rsidR="004D2847" w:rsidRPr="008245ED">
        <w:rPr>
          <w:rFonts w:asciiTheme="minorHAnsi" w:hAnsiTheme="minorHAnsi"/>
          <w:sz w:val="20"/>
          <w:szCs w:val="20"/>
          <w:lang w:val="en-IE"/>
        </w:rPr>
        <w:t xml:space="preserve"> of work of the COC</w:t>
      </w:r>
      <w:r w:rsidR="0FDB09D4" w:rsidRPr="008245ED">
        <w:rPr>
          <w:rFonts w:asciiTheme="minorHAnsi" w:hAnsiTheme="minorHAnsi"/>
          <w:sz w:val="20"/>
          <w:szCs w:val="20"/>
          <w:lang w:val="en-IE"/>
        </w:rPr>
        <w:t>, by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: </w:t>
      </w:r>
    </w:p>
    <w:p w14:paraId="58520D33" w14:textId="5916FF89" w:rsidR="00C3368B" w:rsidRPr="008245ED" w:rsidRDefault="006D2355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</w:p>
    <w:p w14:paraId="1C28F89B" w14:textId="76AA5630" w:rsidR="00C3368B" w:rsidRPr="008245ED" w:rsidRDefault="4C52A35D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i</w:t>
      </w:r>
      <w:r w:rsidR="002C5EE9" w:rsidRPr="008245ED">
        <w:rPr>
          <w:rFonts w:asciiTheme="minorHAnsi" w:hAnsiTheme="minorHAnsi"/>
          <w:sz w:val="20"/>
          <w:szCs w:val="20"/>
          <w:lang w:val="en-IE"/>
        </w:rPr>
        <w:t>dentif</w:t>
      </w:r>
      <w:r w:rsidR="463F5199" w:rsidRPr="008245ED">
        <w:rPr>
          <w:rFonts w:asciiTheme="minorHAnsi" w:hAnsiTheme="minorHAnsi"/>
          <w:sz w:val="20"/>
          <w:szCs w:val="20"/>
          <w:lang w:val="en-IE"/>
        </w:rPr>
        <w:t>ying</w:t>
      </w:r>
      <w:r w:rsidR="002C5EE9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those measures </w:t>
      </w:r>
      <w:r w:rsidR="00404A6A" w:rsidRPr="008245ED">
        <w:rPr>
          <w:rFonts w:asciiTheme="minorHAnsi" w:hAnsiTheme="minorHAnsi"/>
          <w:sz w:val="20"/>
          <w:szCs w:val="20"/>
          <w:lang w:val="en-IE"/>
        </w:rPr>
        <w:t xml:space="preserve">and obligations 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on which compliance is to be </w:t>
      </w:r>
      <w:proofErr w:type="gramStart"/>
      <w:r w:rsidR="00C3368B" w:rsidRPr="008245ED">
        <w:rPr>
          <w:rFonts w:asciiTheme="minorHAnsi" w:hAnsiTheme="minorHAnsi"/>
          <w:sz w:val="20"/>
          <w:szCs w:val="20"/>
          <w:lang w:val="en-IE"/>
        </w:rPr>
        <w:t>assessed</w:t>
      </w:r>
      <w:r w:rsidR="00D927A4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6AD6190A" w14:textId="7FB97568" w:rsidR="00C3368B" w:rsidRPr="008245ED" w:rsidRDefault="07A9EF83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identifying </w:t>
      </w:r>
      <w:r w:rsidR="00CB634A" w:rsidRPr="008245ED">
        <w:rPr>
          <w:rFonts w:asciiTheme="minorHAnsi" w:hAnsiTheme="minorHAnsi"/>
          <w:sz w:val="20"/>
          <w:szCs w:val="20"/>
          <w:lang w:val="en-IE"/>
        </w:rPr>
        <w:t>the av</w:t>
      </w:r>
      <w:r w:rsidR="00CD70A3" w:rsidRPr="008245ED">
        <w:rPr>
          <w:rFonts w:asciiTheme="minorHAnsi" w:hAnsiTheme="minorHAnsi"/>
          <w:sz w:val="20"/>
          <w:szCs w:val="20"/>
          <w:lang w:val="en-IE"/>
        </w:rPr>
        <w:t>ailable information and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 the information needed to carry out that assessment</w:t>
      </w:r>
      <w:r w:rsidR="00D927A4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7783F0DD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43E0F67" w14:textId="1994AB7F" w:rsidR="001A1CE3" w:rsidRPr="008245ED" w:rsidRDefault="00D22107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Some</w:t>
      </w:r>
      <w:r w:rsidR="00FF622B" w:rsidRPr="008245ED">
        <w:rPr>
          <w:rFonts w:asciiTheme="minorHAnsi" w:hAnsiTheme="minorHAnsi"/>
          <w:sz w:val="20"/>
          <w:szCs w:val="20"/>
          <w:lang w:val="en-IE"/>
        </w:rPr>
        <w:t xml:space="preserve"> of the COC documents </w:t>
      </w:r>
      <w:r w:rsidR="003917B4" w:rsidRPr="008245ED">
        <w:rPr>
          <w:rFonts w:asciiTheme="minorHAnsi" w:hAnsiTheme="minorHAnsi"/>
          <w:sz w:val="20"/>
          <w:szCs w:val="20"/>
          <w:lang w:val="en-IE"/>
        </w:rPr>
        <w:t xml:space="preserve">are </w:t>
      </w:r>
      <w:r w:rsidR="00505140" w:rsidRPr="008245ED">
        <w:rPr>
          <w:rFonts w:asciiTheme="minorHAnsi" w:hAnsiTheme="minorHAnsi"/>
          <w:sz w:val="20"/>
          <w:szCs w:val="20"/>
          <w:lang w:val="en-IE"/>
        </w:rPr>
        <w:t xml:space="preserve">not </w:t>
      </w:r>
      <w:r w:rsidR="00493FB4" w:rsidRPr="008245ED">
        <w:rPr>
          <w:rFonts w:asciiTheme="minorHAnsi" w:hAnsiTheme="minorHAnsi"/>
          <w:sz w:val="20"/>
          <w:szCs w:val="20"/>
          <w:lang w:val="en-IE"/>
        </w:rPr>
        <w:t xml:space="preserve">appropriate </w:t>
      </w:r>
      <w:r w:rsidR="003D7A0F" w:rsidRPr="008245ED">
        <w:rPr>
          <w:rFonts w:asciiTheme="minorHAnsi" w:hAnsiTheme="minorHAnsi"/>
          <w:sz w:val="20"/>
          <w:szCs w:val="20"/>
          <w:lang w:val="en-IE"/>
        </w:rPr>
        <w:t xml:space="preserve">or lack information necessary </w:t>
      </w:r>
      <w:r w:rsidR="00505140" w:rsidRPr="008245ED">
        <w:rPr>
          <w:rFonts w:asciiTheme="minorHAnsi" w:hAnsiTheme="minorHAnsi"/>
          <w:sz w:val="20"/>
          <w:szCs w:val="20"/>
          <w:lang w:val="en-IE"/>
        </w:rPr>
        <w:t xml:space="preserve">to </w:t>
      </w:r>
      <w:r w:rsidR="00993286" w:rsidRPr="008245ED">
        <w:rPr>
          <w:rFonts w:asciiTheme="minorHAnsi" w:hAnsiTheme="minorHAnsi"/>
          <w:sz w:val="20"/>
          <w:szCs w:val="20"/>
          <w:lang w:val="en-IE"/>
        </w:rPr>
        <w:t>make the require</w:t>
      </w:r>
      <w:r w:rsidR="00D33C52" w:rsidRPr="008245ED">
        <w:rPr>
          <w:rFonts w:asciiTheme="minorHAnsi" w:hAnsiTheme="minorHAnsi"/>
          <w:sz w:val="20"/>
          <w:szCs w:val="20"/>
          <w:lang w:val="en-IE"/>
        </w:rPr>
        <w:t>d</w:t>
      </w:r>
      <w:r w:rsidR="00993286" w:rsidRPr="008245ED">
        <w:rPr>
          <w:rFonts w:asciiTheme="minorHAnsi" w:hAnsiTheme="minorHAnsi"/>
          <w:sz w:val="20"/>
          <w:szCs w:val="20"/>
          <w:lang w:val="en-IE"/>
        </w:rPr>
        <w:t xml:space="preserve"> assessments</w:t>
      </w:r>
      <w:r w:rsidR="006C6159" w:rsidRPr="008245ED">
        <w:rPr>
          <w:rFonts w:asciiTheme="minorHAnsi" w:hAnsiTheme="minorHAnsi"/>
          <w:sz w:val="20"/>
          <w:szCs w:val="20"/>
          <w:lang w:val="en-IE"/>
        </w:rPr>
        <w:t xml:space="preserve">. </w:t>
      </w:r>
    </w:p>
    <w:p w14:paraId="2094F4BF" w14:textId="77777777" w:rsidR="002D0886" w:rsidRPr="008245ED" w:rsidRDefault="002D0886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12B012E" w14:textId="1BBC444D" w:rsidR="000A4E00" w:rsidRPr="008245ED" w:rsidRDefault="000A4E00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Some of the current reporting obligations in the various recommendations may need to be adapted. At the same time, other reporting obligations</w:t>
      </w:r>
      <w:r w:rsidR="005C3CCD" w:rsidRPr="008245ED">
        <w:rPr>
          <w:rFonts w:asciiTheme="minorHAnsi" w:hAnsiTheme="minorHAnsi"/>
          <w:sz w:val="20"/>
          <w:szCs w:val="20"/>
          <w:lang w:val="en-IE"/>
        </w:rPr>
        <w:t xml:space="preserve">, </w:t>
      </w:r>
      <w:r w:rsidR="00456B5F" w:rsidRPr="008245ED">
        <w:rPr>
          <w:rFonts w:asciiTheme="minorHAnsi" w:hAnsiTheme="minorHAnsi"/>
          <w:sz w:val="20"/>
          <w:szCs w:val="20"/>
          <w:lang w:val="en-IE"/>
        </w:rPr>
        <w:t>which are considered not useful,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could be eliminated.</w:t>
      </w:r>
    </w:p>
    <w:p w14:paraId="38EF3A5B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0E61802" w14:textId="6449B489" w:rsidR="00B0413C" w:rsidRPr="008245ED" w:rsidRDefault="686811F8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designing</w:t>
      </w:r>
      <w:r w:rsidR="006C120D" w:rsidRPr="008245ED">
        <w:rPr>
          <w:rFonts w:asciiTheme="minorHAnsi" w:hAnsiTheme="minorHAnsi"/>
          <w:sz w:val="20"/>
          <w:szCs w:val="20"/>
          <w:lang w:val="en-IE"/>
        </w:rPr>
        <w:t xml:space="preserve"> documents with </w:t>
      </w:r>
      <w:r w:rsidR="00404A6A" w:rsidRPr="008245ED">
        <w:rPr>
          <w:rFonts w:asciiTheme="minorHAnsi" w:hAnsiTheme="minorHAnsi"/>
          <w:sz w:val="20"/>
          <w:szCs w:val="20"/>
          <w:lang w:val="en-IE"/>
        </w:rPr>
        <w:t>‘</w:t>
      </w:r>
      <w:r w:rsidR="700C19F8" w:rsidRPr="008245ED">
        <w:rPr>
          <w:rFonts w:asciiTheme="minorHAnsi" w:hAnsiTheme="minorHAnsi"/>
          <w:sz w:val="20"/>
          <w:szCs w:val="20"/>
          <w:lang w:val="en-IE"/>
        </w:rPr>
        <w:t>abridged</w:t>
      </w:r>
      <w:r w:rsidR="006C120D" w:rsidRPr="008245ED">
        <w:rPr>
          <w:rFonts w:asciiTheme="minorHAnsi" w:hAnsiTheme="minorHAnsi"/>
          <w:sz w:val="20"/>
          <w:szCs w:val="20"/>
          <w:lang w:val="en-IE"/>
        </w:rPr>
        <w:t xml:space="preserve">’ information that would </w:t>
      </w:r>
      <w:r w:rsidR="0871B171" w:rsidRPr="008245ED">
        <w:rPr>
          <w:rFonts w:asciiTheme="minorHAnsi" w:hAnsiTheme="minorHAnsi"/>
          <w:sz w:val="20"/>
          <w:szCs w:val="20"/>
          <w:lang w:val="en-IE"/>
        </w:rPr>
        <w:t xml:space="preserve">facilitate </w:t>
      </w:r>
      <w:r w:rsidR="006B2573" w:rsidRPr="008245ED">
        <w:rPr>
          <w:rFonts w:asciiTheme="minorHAnsi" w:hAnsiTheme="minorHAnsi"/>
          <w:sz w:val="20"/>
          <w:szCs w:val="20"/>
          <w:lang w:val="en-IE"/>
        </w:rPr>
        <w:t>assessments</w:t>
      </w:r>
      <w:r w:rsidR="006C3A65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620AEE62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8B90FEA" w14:textId="07F87771" w:rsidR="00B0413C" w:rsidRPr="008245ED" w:rsidRDefault="001A1CE3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T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 xml:space="preserve">he </w:t>
      </w:r>
      <w:r w:rsidR="0088421E" w:rsidRPr="008245ED">
        <w:rPr>
          <w:rFonts w:asciiTheme="minorHAnsi" w:hAnsiTheme="minorHAnsi"/>
          <w:sz w:val="20"/>
          <w:szCs w:val="20"/>
          <w:lang w:val="en-IE"/>
        </w:rPr>
        <w:t xml:space="preserve">large </w:t>
      </w:r>
      <w:r w:rsidR="006B2573" w:rsidRPr="008245ED">
        <w:rPr>
          <w:rFonts w:asciiTheme="minorHAnsi" w:hAnsiTheme="minorHAnsi"/>
          <w:sz w:val="20"/>
          <w:szCs w:val="20"/>
          <w:lang w:val="en-IE"/>
        </w:rPr>
        <w:t>number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 xml:space="preserve"> of documents published under the COC as well as their length and format </w:t>
      </w:r>
      <w:r w:rsidR="05044059" w:rsidRPr="008245ED">
        <w:rPr>
          <w:rFonts w:asciiTheme="minorHAnsi" w:hAnsiTheme="minorHAnsi"/>
          <w:sz w:val="20"/>
          <w:szCs w:val="20"/>
          <w:lang w:val="en-IE"/>
        </w:rPr>
        <w:t>make</w:t>
      </w:r>
      <w:r w:rsidR="00AB2412" w:rsidRPr="008245ED">
        <w:rPr>
          <w:rFonts w:asciiTheme="minorHAnsi" w:hAnsiTheme="minorHAnsi"/>
          <w:sz w:val="20"/>
          <w:szCs w:val="20"/>
          <w:lang w:val="en-IE"/>
        </w:rPr>
        <w:t xml:space="preserve"> it</w:t>
      </w:r>
      <w:r w:rsidR="00692851" w:rsidRPr="008245ED">
        <w:rPr>
          <w:rFonts w:asciiTheme="minorHAnsi" w:hAnsiTheme="minorHAnsi"/>
          <w:sz w:val="20"/>
          <w:szCs w:val="20"/>
          <w:lang w:val="en-IE"/>
        </w:rPr>
        <w:t xml:space="preserve"> difficult for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 xml:space="preserve"> CPCs </w:t>
      </w:r>
      <w:r w:rsidR="00692851" w:rsidRPr="008245ED">
        <w:rPr>
          <w:rFonts w:asciiTheme="minorHAnsi" w:hAnsiTheme="minorHAnsi"/>
          <w:sz w:val="20"/>
          <w:szCs w:val="20"/>
          <w:lang w:val="en-IE"/>
        </w:rPr>
        <w:t xml:space="preserve">to 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>analys</w:t>
      </w:r>
      <w:r w:rsidR="00692851" w:rsidRPr="008245ED">
        <w:rPr>
          <w:rFonts w:asciiTheme="minorHAnsi" w:hAnsiTheme="minorHAnsi"/>
          <w:sz w:val="20"/>
          <w:szCs w:val="20"/>
          <w:lang w:val="en-IE"/>
        </w:rPr>
        <w:t>e</w:t>
      </w:r>
      <w:r w:rsidR="00B0413C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926F89" w:rsidRPr="008245ED">
        <w:rPr>
          <w:rFonts w:asciiTheme="minorHAnsi" w:hAnsiTheme="minorHAnsi"/>
          <w:sz w:val="20"/>
          <w:szCs w:val="20"/>
          <w:lang w:val="en-IE"/>
        </w:rPr>
        <w:t>the inf</w:t>
      </w:r>
      <w:r w:rsidR="00A612CD" w:rsidRPr="008245ED">
        <w:rPr>
          <w:rFonts w:asciiTheme="minorHAnsi" w:hAnsiTheme="minorHAnsi"/>
          <w:sz w:val="20"/>
          <w:szCs w:val="20"/>
          <w:lang w:val="en-IE"/>
        </w:rPr>
        <w:t xml:space="preserve">ormation </w:t>
      </w:r>
      <w:r w:rsidR="00E47DA5" w:rsidRPr="008245ED">
        <w:rPr>
          <w:rFonts w:asciiTheme="minorHAnsi" w:hAnsiTheme="minorHAnsi"/>
          <w:sz w:val="20"/>
          <w:szCs w:val="20"/>
          <w:lang w:val="en-IE"/>
        </w:rPr>
        <w:t>and draw the necessary conclusions.</w:t>
      </w:r>
    </w:p>
    <w:p w14:paraId="2C853845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318F7A57" w14:textId="47E3D74C" w:rsidR="00B0413C" w:rsidRPr="008245ED" w:rsidRDefault="00B0413C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In 2024, 64 meeting documents were available for </w:t>
      </w:r>
      <w:r w:rsidR="007D6229" w:rsidRPr="008245ED">
        <w:rPr>
          <w:rFonts w:asciiTheme="minorHAnsi" w:hAnsiTheme="minorHAnsi"/>
          <w:sz w:val="20"/>
          <w:szCs w:val="20"/>
          <w:lang w:val="en-IE"/>
        </w:rPr>
        <w:t>the COC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alone (23 documents + 31 annexes + 10 addendums). If we add up all the revised versions, this </w:t>
      </w:r>
      <w:r w:rsidR="3F4E9C82" w:rsidRPr="008245ED">
        <w:rPr>
          <w:rFonts w:asciiTheme="minorHAnsi" w:hAnsiTheme="minorHAnsi"/>
          <w:sz w:val="20"/>
          <w:szCs w:val="20"/>
          <w:lang w:val="en-IE"/>
        </w:rPr>
        <w:t xml:space="preserve">equates </w:t>
      </w:r>
      <w:r w:rsidRPr="008245ED">
        <w:rPr>
          <w:rFonts w:asciiTheme="minorHAnsi" w:hAnsiTheme="minorHAnsi"/>
          <w:sz w:val="20"/>
          <w:szCs w:val="20"/>
          <w:lang w:val="en-IE"/>
        </w:rPr>
        <w:t>to 123 meeting documents.</w:t>
      </w:r>
      <w:r w:rsidR="50BE8572" w:rsidRPr="008245ED">
        <w:rPr>
          <w:rFonts w:asciiTheme="minorHAnsi" w:hAnsiTheme="minorHAnsi"/>
          <w:sz w:val="20"/>
          <w:szCs w:val="20"/>
          <w:lang w:val="en-IE"/>
        </w:rPr>
        <w:t xml:space="preserve"> Some documents are extremely long (up to </w:t>
      </w:r>
      <w:r w:rsidR="00847F80" w:rsidRPr="008245ED">
        <w:rPr>
          <w:rFonts w:asciiTheme="minorHAnsi" w:hAnsiTheme="minorHAnsi"/>
          <w:sz w:val="20"/>
          <w:szCs w:val="20"/>
          <w:lang w:val="en-IE"/>
        </w:rPr>
        <w:t>1</w:t>
      </w:r>
      <w:r w:rsidR="50BE8572" w:rsidRPr="008245ED">
        <w:rPr>
          <w:rFonts w:asciiTheme="minorHAnsi" w:hAnsiTheme="minorHAnsi"/>
          <w:sz w:val="20"/>
          <w:szCs w:val="20"/>
          <w:lang w:val="en-IE"/>
        </w:rPr>
        <w:t>200 pages) and/or very complex (large amount of information or data)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52464A9B" w14:textId="0DCC84DD" w:rsidR="00710BBA" w:rsidRPr="008245ED" w:rsidRDefault="00710BBA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lastRenderedPageBreak/>
        <w:t>Beyond the number of documents</w:t>
      </w:r>
      <w:r w:rsidR="006F2F14" w:rsidRPr="008245ED">
        <w:rPr>
          <w:rFonts w:asciiTheme="minorHAnsi" w:hAnsiTheme="minorHAnsi"/>
          <w:sz w:val="20"/>
          <w:szCs w:val="20"/>
          <w:lang w:val="en-IE"/>
        </w:rPr>
        <w:t xml:space="preserve"> and their length</w:t>
      </w:r>
      <w:r w:rsidRPr="008245ED">
        <w:rPr>
          <w:rFonts w:asciiTheme="minorHAnsi" w:hAnsiTheme="minorHAnsi"/>
          <w:sz w:val="20"/>
          <w:szCs w:val="20"/>
          <w:lang w:val="en-IE"/>
        </w:rPr>
        <w:t>, the presentation and format of documents are of particular importance. Key documents</w:t>
      </w:r>
      <w:r w:rsidRPr="008245ED">
        <w:rPr>
          <w:rFonts w:asciiTheme="minorHAnsi" w:hAnsiTheme="minorHAnsi"/>
          <w:sz w:val="20"/>
          <w:szCs w:val="20"/>
          <w:lang w:val="en-GB"/>
        </w:rPr>
        <w:t>, despite containing important information, are presented in a way which make it difficult to draw</w:t>
      </w:r>
      <w:r w:rsidR="5EF0BBB5" w:rsidRPr="008245ED">
        <w:rPr>
          <w:rFonts w:asciiTheme="minorHAnsi" w:hAnsiTheme="minorHAnsi"/>
          <w:sz w:val="20"/>
          <w:szCs w:val="20"/>
          <w:lang w:val="en-GB"/>
        </w:rPr>
        <w:t xml:space="preserve"> immediate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3A73E0C" w:rsidRPr="008245ED">
        <w:rPr>
          <w:rFonts w:asciiTheme="minorHAnsi" w:hAnsiTheme="minorHAnsi"/>
          <w:sz w:val="20"/>
          <w:szCs w:val="20"/>
          <w:lang w:val="en-GB"/>
        </w:rPr>
        <w:t>conclusions</w:t>
      </w:r>
      <w:r w:rsidR="4B47A601" w:rsidRPr="008245ED">
        <w:rPr>
          <w:rFonts w:asciiTheme="minorHAnsi" w:hAnsiTheme="minorHAnsi"/>
          <w:sz w:val="20"/>
          <w:szCs w:val="20"/>
          <w:lang w:val="en-GB"/>
        </w:rPr>
        <w:t xml:space="preserve"> from them</w:t>
      </w:r>
      <w:r w:rsidRPr="008245ED">
        <w:rPr>
          <w:rFonts w:asciiTheme="minorHAnsi" w:hAnsiTheme="minorHAnsi"/>
          <w:sz w:val="20"/>
          <w:szCs w:val="20"/>
          <w:lang w:val="en-GB"/>
        </w:rPr>
        <w:t>.</w:t>
      </w:r>
    </w:p>
    <w:p w14:paraId="799D9B97" w14:textId="77777777" w:rsidR="002D0886" w:rsidRPr="008245ED" w:rsidRDefault="002D088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67D88D14" w14:textId="7B1A9BAE" w:rsidR="0046093F" w:rsidRPr="008245ED" w:rsidRDefault="0E9D5965" w:rsidP="009F0D10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providing</w:t>
      </w:r>
      <w:r w:rsidR="00C3368B" w:rsidRPr="008245ED">
        <w:rPr>
          <w:rFonts w:asciiTheme="minorHAnsi" w:hAnsiTheme="minorHAnsi"/>
          <w:sz w:val="20"/>
          <w:szCs w:val="20"/>
          <w:lang w:val="en-IE"/>
        </w:rPr>
        <w:t xml:space="preserve"> a mechanism to monitor compliance trends over time, identify significant compliance concerns and/or systemic issues and the consequences of non-</w:t>
      </w:r>
      <w:r w:rsidR="00C3368B" w:rsidRPr="008245ED">
        <w:rPr>
          <w:rFonts w:asciiTheme="minorHAnsi" w:hAnsiTheme="minorHAnsi"/>
          <w:sz w:val="20"/>
          <w:szCs w:val="20"/>
          <w:lang w:val="en-GB"/>
        </w:rPr>
        <w:t>compliance</w:t>
      </w:r>
      <w:r w:rsidR="00362341" w:rsidRPr="008245ED">
        <w:rPr>
          <w:rFonts w:asciiTheme="minorHAnsi" w:hAnsiTheme="minorHAnsi"/>
          <w:sz w:val="20"/>
          <w:szCs w:val="20"/>
          <w:lang w:val="en-GB"/>
        </w:rPr>
        <w:t xml:space="preserve">, </w:t>
      </w:r>
      <w:r w:rsidR="00404A6A" w:rsidRPr="008245ED">
        <w:rPr>
          <w:rFonts w:asciiTheme="minorHAnsi" w:hAnsiTheme="minorHAnsi"/>
          <w:sz w:val="20"/>
          <w:szCs w:val="20"/>
          <w:lang w:val="en-GB"/>
        </w:rPr>
        <w:t>and,</w:t>
      </w:r>
      <w:r w:rsidR="00362341" w:rsidRPr="008245ED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404A6A" w:rsidRPr="008245ED">
        <w:rPr>
          <w:rFonts w:asciiTheme="minorHAnsi" w:hAnsiTheme="minorHAnsi"/>
          <w:sz w:val="20"/>
          <w:szCs w:val="20"/>
          <w:lang w:val="en-GB"/>
        </w:rPr>
        <w:t xml:space="preserve">when appropriate, </w:t>
      </w:r>
      <w:r w:rsidR="007F196A" w:rsidRPr="008245ED">
        <w:rPr>
          <w:rFonts w:asciiTheme="minorHAnsi" w:hAnsiTheme="minorHAnsi"/>
          <w:sz w:val="20"/>
          <w:szCs w:val="20"/>
          <w:lang w:val="en-GB"/>
        </w:rPr>
        <w:t>develop standard</w:t>
      </w:r>
      <w:r w:rsidR="00362341" w:rsidRPr="008245ED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404A6A" w:rsidRPr="008245ED">
        <w:rPr>
          <w:rFonts w:asciiTheme="minorHAnsi" w:hAnsiTheme="minorHAnsi"/>
          <w:sz w:val="20"/>
          <w:szCs w:val="20"/>
          <w:lang w:val="en-GB"/>
        </w:rPr>
        <w:t>‘</w:t>
      </w:r>
      <w:r w:rsidR="00362341" w:rsidRPr="008245ED">
        <w:rPr>
          <w:rFonts w:asciiTheme="minorHAnsi" w:hAnsiTheme="minorHAnsi"/>
          <w:sz w:val="20"/>
          <w:szCs w:val="20"/>
          <w:lang w:val="en-GB"/>
        </w:rPr>
        <w:t>follow-up actions</w:t>
      </w:r>
      <w:r w:rsidR="00404A6A" w:rsidRPr="008245ED">
        <w:rPr>
          <w:rFonts w:asciiTheme="minorHAnsi" w:hAnsiTheme="minorHAnsi"/>
          <w:sz w:val="20"/>
          <w:szCs w:val="20"/>
          <w:lang w:val="en-GB"/>
        </w:rPr>
        <w:t xml:space="preserve">’ </w:t>
      </w:r>
      <w:r w:rsidR="007F196A" w:rsidRPr="008245ED">
        <w:rPr>
          <w:rFonts w:asciiTheme="minorHAnsi" w:hAnsiTheme="minorHAnsi"/>
          <w:sz w:val="20"/>
          <w:szCs w:val="20"/>
          <w:lang w:val="en-GB"/>
        </w:rPr>
        <w:t>to compliance issues</w:t>
      </w:r>
      <w:r w:rsidR="006C3A65" w:rsidRPr="008245ED">
        <w:rPr>
          <w:rFonts w:asciiTheme="minorHAnsi" w:hAnsiTheme="minorHAnsi"/>
          <w:sz w:val="20"/>
          <w:szCs w:val="20"/>
          <w:lang w:val="en-GB"/>
        </w:rPr>
        <w:t>.</w:t>
      </w:r>
    </w:p>
    <w:p w14:paraId="1625C826" w14:textId="77777777" w:rsidR="004D7BB6" w:rsidRPr="008245ED" w:rsidRDefault="004D7BB6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DE538F6" w14:textId="2FC79181" w:rsidR="0096594D" w:rsidRPr="008245ED" w:rsidRDefault="6A421298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The main objective of the COC is to </w:t>
      </w:r>
      <w:r w:rsidR="00A37C23" w:rsidRPr="008245ED">
        <w:rPr>
          <w:rFonts w:asciiTheme="minorHAnsi" w:hAnsiTheme="minorHAnsi"/>
          <w:sz w:val="20"/>
          <w:szCs w:val="20"/>
          <w:lang w:val="en-IE"/>
        </w:rPr>
        <w:t xml:space="preserve">identify </w:t>
      </w:r>
      <w:r w:rsidR="00CD7764" w:rsidRPr="008245ED">
        <w:rPr>
          <w:rFonts w:asciiTheme="minorHAnsi" w:hAnsiTheme="minorHAnsi"/>
          <w:sz w:val="20"/>
          <w:szCs w:val="20"/>
          <w:lang w:val="en-IE"/>
        </w:rPr>
        <w:t xml:space="preserve">and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address non-compliance with </w:t>
      </w:r>
      <w:r w:rsidR="00A61073" w:rsidRPr="008245ED">
        <w:rPr>
          <w:rFonts w:asciiTheme="minorHAnsi" w:hAnsiTheme="minorHAnsi"/>
          <w:sz w:val="20"/>
          <w:szCs w:val="20"/>
          <w:lang w:val="en-IE"/>
        </w:rPr>
        <w:t>ICCAT obligations.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355FC406" w:rsidRPr="008245ED">
        <w:rPr>
          <w:rFonts w:asciiTheme="minorHAnsi" w:hAnsiTheme="minorHAnsi"/>
          <w:sz w:val="20"/>
          <w:szCs w:val="20"/>
          <w:lang w:val="en-IE"/>
        </w:rPr>
        <w:t>I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>t is</w:t>
      </w:r>
      <w:r w:rsidR="00A61073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46093F" w:rsidRPr="008245ED">
        <w:rPr>
          <w:rFonts w:asciiTheme="minorHAnsi" w:hAnsiTheme="minorHAnsi"/>
          <w:sz w:val="20"/>
          <w:szCs w:val="20"/>
          <w:lang w:val="en-IE"/>
        </w:rPr>
        <w:t>important that there is timely and effective follow-up of the CPCs</w:t>
      </w:r>
      <w:r w:rsidR="645FFB8D" w:rsidRPr="008245ED">
        <w:rPr>
          <w:rFonts w:asciiTheme="minorHAnsi" w:hAnsiTheme="minorHAnsi"/>
          <w:sz w:val="20"/>
          <w:szCs w:val="20"/>
          <w:lang w:val="en-IE"/>
        </w:rPr>
        <w:t>’</w:t>
      </w:r>
      <w:r w:rsidR="0046093F" w:rsidRPr="008245ED">
        <w:rPr>
          <w:rFonts w:asciiTheme="minorHAnsi" w:hAnsiTheme="minorHAnsi"/>
          <w:sz w:val="20"/>
          <w:szCs w:val="20"/>
          <w:lang w:val="en-IE"/>
        </w:rPr>
        <w:t xml:space="preserve"> compliance </w:t>
      </w:r>
      <w:r w:rsidR="057A725B" w:rsidRPr="008245ED">
        <w:rPr>
          <w:rFonts w:asciiTheme="minorHAnsi" w:hAnsiTheme="minorHAnsi"/>
          <w:sz w:val="20"/>
          <w:szCs w:val="20"/>
          <w:lang w:val="en-IE"/>
        </w:rPr>
        <w:t>issues</w:t>
      </w:r>
      <w:r w:rsidR="0046093F" w:rsidRPr="008245ED">
        <w:rPr>
          <w:rFonts w:asciiTheme="minorHAnsi" w:hAnsiTheme="minorHAnsi"/>
          <w:sz w:val="20"/>
          <w:szCs w:val="20"/>
          <w:lang w:val="en-IE"/>
        </w:rPr>
        <w:t xml:space="preserve"> detected. </w:t>
      </w:r>
    </w:p>
    <w:p w14:paraId="6DFA0C7A" w14:textId="77777777" w:rsidR="00FA01D3" w:rsidRPr="008245ED" w:rsidRDefault="00FA01D3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6F249D8E" w14:textId="06EA84EC" w:rsidR="0096594D" w:rsidRPr="008245ED" w:rsidRDefault="0046093F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An “automatic” mechanism that triggers follow-up </w:t>
      </w:r>
      <w:r w:rsidR="005F409C" w:rsidRPr="008245ED">
        <w:rPr>
          <w:rFonts w:asciiTheme="minorHAnsi" w:hAnsiTheme="minorHAnsi"/>
          <w:sz w:val="20"/>
          <w:szCs w:val="20"/>
          <w:lang w:val="en-IE"/>
        </w:rPr>
        <w:t xml:space="preserve">actions </w:t>
      </w:r>
      <w:r w:rsidRPr="008245ED">
        <w:rPr>
          <w:rFonts w:asciiTheme="minorHAnsi" w:hAnsiTheme="minorHAnsi"/>
          <w:sz w:val="20"/>
          <w:szCs w:val="20"/>
          <w:lang w:val="en-IE"/>
        </w:rPr>
        <w:t>in case of detected non-compliance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 could be beneficial to guide CPCs </w:t>
      </w:r>
      <w:r w:rsidR="00367E92" w:rsidRPr="008245ED">
        <w:rPr>
          <w:rFonts w:asciiTheme="minorHAnsi" w:hAnsiTheme="minorHAnsi"/>
          <w:sz w:val="20"/>
          <w:szCs w:val="20"/>
          <w:lang w:val="en-IE"/>
        </w:rPr>
        <w:t xml:space="preserve">and the COC 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in </w:t>
      </w:r>
      <w:r w:rsidR="007D6229" w:rsidRPr="008245ED">
        <w:rPr>
          <w:rFonts w:asciiTheme="minorHAnsi" w:hAnsiTheme="minorHAnsi"/>
          <w:sz w:val="20"/>
          <w:szCs w:val="20"/>
          <w:lang w:val="en-IE"/>
        </w:rPr>
        <w:t>addressing issues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>.</w:t>
      </w:r>
      <w:r w:rsidR="001262F5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It could also provide guidance to the </w:t>
      </w:r>
      <w:r w:rsidR="221D2F30" w:rsidRPr="008245ED">
        <w:rPr>
          <w:rFonts w:asciiTheme="minorHAnsi" w:hAnsiTheme="minorHAnsi"/>
          <w:sz w:val="20"/>
          <w:szCs w:val="20"/>
          <w:lang w:val="en-IE"/>
        </w:rPr>
        <w:t>S</w:t>
      </w:r>
      <w:r w:rsidR="0096594D" w:rsidRPr="008245ED">
        <w:rPr>
          <w:rFonts w:asciiTheme="minorHAnsi" w:hAnsiTheme="minorHAnsi"/>
          <w:sz w:val="20"/>
          <w:szCs w:val="20"/>
          <w:lang w:val="en-IE"/>
        </w:rPr>
        <w:t xml:space="preserve">ecretariat in their compliance </w:t>
      </w:r>
      <w:r w:rsidR="001262F5" w:rsidRPr="008245ED">
        <w:rPr>
          <w:rFonts w:asciiTheme="minorHAnsi" w:hAnsiTheme="minorHAnsi"/>
          <w:sz w:val="20"/>
          <w:szCs w:val="20"/>
          <w:lang w:val="en-IE"/>
        </w:rPr>
        <w:t xml:space="preserve">and capacity building activities. </w:t>
      </w:r>
    </w:p>
    <w:p w14:paraId="7EF3A1BD" w14:textId="77777777" w:rsidR="00FA01D3" w:rsidRPr="008245ED" w:rsidRDefault="00FA01D3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591E877" w14:textId="2CBD8DBF" w:rsidR="0F801171" w:rsidRPr="008245ED" w:rsidRDefault="0F801171" w:rsidP="00825796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Devoting more time in the COC to discussing the CPCs' follow-up to 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detected</w:t>
      </w:r>
      <w:proofErr w:type="gramEnd"/>
      <w:r w:rsidRPr="008245ED">
        <w:rPr>
          <w:rFonts w:asciiTheme="minorHAnsi" w:hAnsiTheme="minorHAnsi"/>
          <w:sz w:val="20"/>
          <w:szCs w:val="20"/>
          <w:lang w:val="en-IE"/>
        </w:rPr>
        <w:t xml:space="preserve"> non-compliance issues could help achieve this.</w:t>
      </w:r>
    </w:p>
    <w:p w14:paraId="7E080060" w14:textId="77777777" w:rsidR="006C6159" w:rsidRPr="008245ED" w:rsidRDefault="006C6159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5727E010" w14:textId="2156EF99" w:rsidR="009402C0" w:rsidRPr="008245ED" w:rsidRDefault="009402C0" w:rsidP="009F0D10">
      <w:pPr>
        <w:pStyle w:val="Heading2"/>
        <w:numPr>
          <w:ilvl w:val="1"/>
          <w:numId w:val="20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Timeline</w:t>
      </w:r>
    </w:p>
    <w:p w14:paraId="41A9B429" w14:textId="77777777" w:rsidR="00FA01D3" w:rsidRPr="008245ED" w:rsidRDefault="00FA01D3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4C109395" w14:textId="278C0507" w:rsidR="00286A1B" w:rsidRPr="008245ED" w:rsidRDefault="00286A1B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The work could take place during the intersessional period, with a view to endors</w:t>
      </w:r>
      <w:r w:rsidR="678CB806" w:rsidRPr="008245ED">
        <w:rPr>
          <w:rFonts w:asciiTheme="minorHAnsi" w:hAnsiTheme="minorHAnsi"/>
          <w:sz w:val="20"/>
          <w:szCs w:val="20"/>
          <w:lang w:val="en-IE"/>
        </w:rPr>
        <w:t>ing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a way forward at the</w:t>
      </w:r>
      <w:r w:rsidR="5AE5F6AE" w:rsidRPr="008245ED">
        <w:rPr>
          <w:rFonts w:asciiTheme="minorHAnsi" w:hAnsiTheme="minorHAnsi"/>
          <w:sz w:val="20"/>
          <w:szCs w:val="20"/>
          <w:lang w:val="en-IE"/>
        </w:rPr>
        <w:t xml:space="preserve"> 2026 COC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through a “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>proposed course of action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” to implement the changes and with clear guidance to the Secretariat. </w:t>
      </w:r>
    </w:p>
    <w:p w14:paraId="66C31985" w14:textId="77777777" w:rsidR="00FA01D3" w:rsidRPr="008245ED" w:rsidRDefault="00FA01D3" w:rsidP="009F0D1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FCBA92B" w14:textId="206674D5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 xml:space="preserve">By </w:t>
      </w:r>
      <w:proofErr w:type="gramStart"/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1</w:t>
      </w:r>
      <w:r w:rsidRPr="008245ED">
        <w:rPr>
          <w:rFonts w:asciiTheme="minorHAnsi" w:hAnsiTheme="minorHAnsi"/>
          <w:i/>
          <w:iCs/>
          <w:sz w:val="20"/>
          <w:szCs w:val="20"/>
          <w:vertAlign w:val="superscript"/>
          <w:lang w:val="en-IE"/>
        </w:rPr>
        <w:t xml:space="preserve"> </w:t>
      </w:r>
      <w:r w:rsidR="00872F59" w:rsidRPr="008245ED">
        <w:rPr>
          <w:rFonts w:asciiTheme="minorHAnsi" w:hAnsiTheme="minorHAnsi"/>
          <w:i/>
          <w:iCs/>
          <w:sz w:val="20"/>
          <w:szCs w:val="20"/>
          <w:vertAlign w:val="superscript"/>
          <w:lang w:val="en-IE"/>
        </w:rPr>
        <w:t xml:space="preserve"> </w:t>
      </w: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December</w:t>
      </w:r>
      <w:proofErr w:type="gramEnd"/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 xml:space="preserve"> 2025: </w:t>
      </w:r>
      <w:r w:rsidR="2548270E" w:rsidRPr="008245ED">
        <w:rPr>
          <w:rFonts w:asciiTheme="minorHAnsi" w:hAnsiTheme="minorHAnsi"/>
          <w:sz w:val="20"/>
          <w:szCs w:val="20"/>
          <w:lang w:val="en-IE"/>
        </w:rPr>
        <w:t xml:space="preserve">draft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action </w:t>
      </w:r>
      <w:r w:rsidR="00A5116A" w:rsidRPr="008245ED">
        <w:rPr>
          <w:rFonts w:asciiTheme="minorHAnsi" w:hAnsiTheme="minorHAnsi"/>
          <w:sz w:val="20"/>
          <w:szCs w:val="20"/>
          <w:lang w:val="en-IE"/>
        </w:rPr>
        <w:t>(</w:t>
      </w:r>
      <w:r w:rsidR="6FECE6EA" w:rsidRPr="008245ED">
        <w:rPr>
          <w:rFonts w:asciiTheme="minorHAnsi" w:hAnsiTheme="minorHAnsi"/>
          <w:sz w:val="20"/>
          <w:szCs w:val="20"/>
          <w:lang w:val="en-IE"/>
        </w:rPr>
        <w:t xml:space="preserve">section </w:t>
      </w:r>
      <w:r w:rsidR="00A5116A" w:rsidRPr="008245ED">
        <w:rPr>
          <w:rFonts w:asciiTheme="minorHAnsi" w:hAnsiTheme="minorHAnsi"/>
          <w:sz w:val="20"/>
          <w:szCs w:val="20"/>
          <w:lang w:val="en-IE"/>
        </w:rPr>
        <w:t xml:space="preserve">3) </w:t>
      </w:r>
      <w:r w:rsidR="62FB7CAC" w:rsidRPr="008245ED">
        <w:rPr>
          <w:rFonts w:asciiTheme="minorHAnsi" w:hAnsiTheme="minorHAnsi"/>
          <w:sz w:val="20"/>
          <w:szCs w:val="20"/>
          <w:lang w:val="en-IE"/>
        </w:rPr>
        <w:t>available</w:t>
      </w:r>
      <w:r w:rsidR="0B03BD31" w:rsidRPr="008245ED">
        <w:rPr>
          <w:rFonts w:asciiTheme="minorHAnsi" w:hAnsiTheme="minorHAnsi"/>
          <w:sz w:val="20"/>
          <w:szCs w:val="20"/>
          <w:lang w:val="en-IE"/>
        </w:rPr>
        <w:t xml:space="preserve"> for further comment, also via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the ICCAT 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website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3325AAEB" w14:textId="18A8B76C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GB"/>
        </w:rPr>
        <w:t xml:space="preserve">By 1 March 2026: </w:t>
      </w:r>
      <w:r w:rsidR="2E163C0A" w:rsidRPr="008245ED">
        <w:rPr>
          <w:rFonts w:asciiTheme="minorHAnsi" w:hAnsiTheme="minorHAnsi"/>
          <w:sz w:val="20"/>
          <w:szCs w:val="20"/>
          <w:lang w:val="en-GB"/>
        </w:rPr>
        <w:t xml:space="preserve">first round of </w:t>
      </w:r>
      <w:r w:rsidRPr="008245ED">
        <w:rPr>
          <w:rFonts w:asciiTheme="minorHAnsi" w:hAnsiTheme="minorHAnsi"/>
          <w:sz w:val="20"/>
          <w:szCs w:val="20"/>
          <w:lang w:val="en-GB"/>
        </w:rPr>
        <w:t>CPCs comments</w:t>
      </w:r>
      <w:r w:rsidR="7452CAE8" w:rsidRPr="008245ED">
        <w:rPr>
          <w:rFonts w:asciiTheme="minorHAnsi" w:hAnsiTheme="minorHAnsi"/>
          <w:sz w:val="20"/>
          <w:szCs w:val="20"/>
          <w:lang w:val="en-GB"/>
        </w:rPr>
        <w:t xml:space="preserve"> received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on the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>proposed course of action</w:t>
      </w:r>
      <w:r w:rsidR="004057E5" w:rsidRPr="008245ED">
        <w:rPr>
          <w:rFonts w:asciiTheme="minorHAnsi" w:hAnsiTheme="minorHAnsi"/>
          <w:sz w:val="20"/>
          <w:szCs w:val="20"/>
          <w:lang w:val="en-IE"/>
        </w:rPr>
        <w:t xml:space="preserve"> (</w:t>
      </w:r>
      <w:r w:rsidR="1B0738A5" w:rsidRPr="008245ED">
        <w:rPr>
          <w:rFonts w:asciiTheme="minorHAnsi" w:hAnsiTheme="minorHAnsi"/>
          <w:sz w:val="20"/>
          <w:szCs w:val="20"/>
          <w:lang w:val="en-IE"/>
        </w:rPr>
        <w:t>section</w:t>
      </w:r>
      <w:r w:rsidR="004057E5" w:rsidRPr="008245ED">
        <w:rPr>
          <w:rFonts w:asciiTheme="minorHAnsi" w:hAnsiTheme="minorHAnsi"/>
          <w:sz w:val="20"/>
          <w:szCs w:val="20"/>
          <w:lang w:val="en-IE"/>
        </w:rPr>
        <w:t xml:space="preserve"> 3</w:t>
      </w:r>
      <w:proofErr w:type="gramStart"/>
      <w:r w:rsidR="004057E5" w:rsidRPr="008245ED">
        <w:rPr>
          <w:rFonts w:asciiTheme="minorHAnsi" w:hAnsiTheme="minorHAnsi"/>
          <w:sz w:val="20"/>
          <w:szCs w:val="20"/>
          <w:lang w:val="en-IE"/>
        </w:rPr>
        <w:t>)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  <w:r w:rsidR="004057E5"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</w:p>
    <w:p w14:paraId="471ABA1C" w14:textId="1B916847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By 1 April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6D744CB1" w:rsidRPr="008245ED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Pr="008245ED">
        <w:rPr>
          <w:rFonts w:asciiTheme="minorHAnsi" w:hAnsiTheme="minorHAnsi"/>
          <w:sz w:val="20"/>
          <w:szCs w:val="20"/>
          <w:lang w:val="en-IE"/>
        </w:rPr>
        <w:t>Secretariat</w:t>
      </w:r>
      <w:r w:rsidR="01D8D838" w:rsidRPr="008245ED">
        <w:rPr>
          <w:rFonts w:asciiTheme="minorHAnsi" w:hAnsiTheme="minorHAnsi"/>
          <w:sz w:val="20"/>
          <w:szCs w:val="20"/>
          <w:lang w:val="en-IE"/>
        </w:rPr>
        <w:t xml:space="preserve"> and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the Chair of COC gather comments and produce an amended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>course of action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, providing decisions options when conflicting approach are 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suggested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67629B9C" w14:textId="5543F4A0" w:rsidR="009402C0" w:rsidRPr="008245ED" w:rsidRDefault="19AB9D7C" w:rsidP="0018211E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June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>COC intersessional meeting (back</w:t>
      </w:r>
      <w:r w:rsidR="00941AAD" w:rsidRPr="008245ED">
        <w:rPr>
          <w:rFonts w:asciiTheme="minorHAnsi" w:hAnsiTheme="minorHAnsi"/>
          <w:sz w:val="20"/>
          <w:szCs w:val="20"/>
          <w:lang w:val="en-IE"/>
        </w:rPr>
        <w:t>-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>to</w:t>
      </w:r>
      <w:r w:rsidR="00941AAD" w:rsidRPr="008245ED">
        <w:rPr>
          <w:rFonts w:asciiTheme="minorHAnsi" w:hAnsiTheme="minorHAnsi"/>
          <w:sz w:val="20"/>
          <w:szCs w:val="20"/>
          <w:lang w:val="en-IE"/>
        </w:rPr>
        <w:t>-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 xml:space="preserve">back with </w:t>
      </w:r>
      <w:r w:rsidR="0018211E" w:rsidRPr="008245ED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="0018211E" w:rsidRPr="008245ED">
        <w:rPr>
          <w:rFonts w:ascii="Cambria" w:eastAsia="Cambria" w:hAnsi="Cambria"/>
          <w:sz w:val="20"/>
          <w:szCs w:val="20"/>
          <w:lang w:val="en-US"/>
        </w:rPr>
        <w:t>Working Group on Integrated Monitoring Measures (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>IMM</w:t>
      </w:r>
      <w:r w:rsidR="0018211E" w:rsidRPr="008245ED">
        <w:rPr>
          <w:sz w:val="20"/>
          <w:szCs w:val="20"/>
          <w:lang w:val="en-IE"/>
        </w:rPr>
        <w:t>)</w:t>
      </w:r>
      <w:r w:rsidR="00DA07A4" w:rsidRPr="008245ED">
        <w:rPr>
          <w:rFonts w:asciiTheme="minorHAnsi" w:hAnsiTheme="minorHAnsi"/>
          <w:sz w:val="20"/>
          <w:szCs w:val="20"/>
          <w:lang w:val="en-IE"/>
        </w:rPr>
        <w:t>)</w:t>
      </w:r>
      <w:r w:rsidR="009402C0" w:rsidRPr="008245ED">
        <w:rPr>
          <w:rFonts w:asciiTheme="minorHAnsi" w:hAnsiTheme="minorHAnsi"/>
          <w:sz w:val="20"/>
          <w:szCs w:val="20"/>
          <w:lang w:val="en-IE"/>
        </w:rPr>
        <w:t xml:space="preserve">: CPCs to further discuss and amend the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</w:t>
      </w:r>
      <w:proofErr w:type="gramStart"/>
      <w:r w:rsidR="000A6FEC" w:rsidRPr="008245ED">
        <w:rPr>
          <w:rFonts w:asciiTheme="minorHAnsi" w:hAnsiTheme="minorHAnsi"/>
          <w:sz w:val="20"/>
          <w:szCs w:val="20"/>
          <w:lang w:val="en-IE"/>
        </w:rPr>
        <w:t>action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4CF8AEE6" w14:textId="02B8D15C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By 1 September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1C31602C" w:rsidRPr="008245ED">
        <w:rPr>
          <w:rFonts w:asciiTheme="minorHAnsi" w:hAnsiTheme="minorHAnsi"/>
          <w:sz w:val="20"/>
          <w:szCs w:val="20"/>
          <w:lang w:val="en-IE"/>
        </w:rPr>
        <w:t xml:space="preserve">the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Secretariat, the Chair of COC and the Chair of IMM </w:t>
      </w:r>
      <w:r w:rsidR="009C14E2" w:rsidRPr="008245ED">
        <w:rPr>
          <w:rFonts w:asciiTheme="minorHAnsi" w:hAnsiTheme="minorHAnsi"/>
          <w:sz w:val="20"/>
          <w:szCs w:val="20"/>
          <w:lang w:val="en-IE"/>
        </w:rPr>
        <w:t xml:space="preserve">finalise the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</w:t>
      </w:r>
      <w:proofErr w:type="gramStart"/>
      <w:r w:rsidR="000A6FEC" w:rsidRPr="008245ED">
        <w:rPr>
          <w:rFonts w:asciiTheme="minorHAnsi" w:hAnsiTheme="minorHAnsi"/>
          <w:sz w:val="20"/>
          <w:szCs w:val="20"/>
          <w:lang w:val="en-IE"/>
        </w:rPr>
        <w:t>action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7B5A97BA" w14:textId="07446CC0" w:rsidR="009402C0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October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9C14E2" w:rsidRPr="008245ED">
        <w:rPr>
          <w:rFonts w:asciiTheme="minorHAnsi" w:hAnsiTheme="minorHAnsi"/>
          <w:sz w:val="20"/>
          <w:szCs w:val="20"/>
          <w:lang w:val="en-IE"/>
        </w:rPr>
        <w:t xml:space="preserve">if necessary,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virtual </w:t>
      </w:r>
      <w:r w:rsidR="50627062" w:rsidRPr="008245ED">
        <w:rPr>
          <w:rFonts w:asciiTheme="minorHAnsi" w:hAnsiTheme="minorHAnsi"/>
          <w:sz w:val="20"/>
          <w:szCs w:val="20"/>
          <w:lang w:val="en-IE"/>
        </w:rPr>
        <w:t xml:space="preserve">COC 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meeting to discuss and review the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</w:t>
      </w:r>
      <w:proofErr w:type="gramStart"/>
      <w:r w:rsidR="000A6FEC" w:rsidRPr="008245ED">
        <w:rPr>
          <w:rFonts w:asciiTheme="minorHAnsi" w:hAnsiTheme="minorHAnsi"/>
          <w:sz w:val="20"/>
          <w:szCs w:val="20"/>
          <w:lang w:val="en-IE"/>
        </w:rPr>
        <w:t>action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7B74BC2E" w14:textId="670CA950" w:rsidR="00286A1B" w:rsidRPr="008245ED" w:rsidRDefault="009402C0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COC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</w:t>
      </w:r>
      <w:r w:rsidR="000A6FEC" w:rsidRPr="008245ED">
        <w:rPr>
          <w:rFonts w:asciiTheme="minorHAnsi" w:hAnsiTheme="minorHAnsi"/>
          <w:sz w:val="20"/>
          <w:szCs w:val="20"/>
          <w:lang w:val="en-IE"/>
        </w:rPr>
        <w:t xml:space="preserve">course of action </w:t>
      </w:r>
      <w:r w:rsidRPr="008245ED">
        <w:rPr>
          <w:rFonts w:asciiTheme="minorHAnsi" w:hAnsiTheme="minorHAnsi"/>
          <w:sz w:val="20"/>
          <w:szCs w:val="20"/>
          <w:lang w:val="en-IE"/>
        </w:rPr>
        <w:t>endorsed, with clear guidance to the Secretariat</w:t>
      </w:r>
      <w:r w:rsidR="009C14E2" w:rsidRPr="008245ED">
        <w:rPr>
          <w:rFonts w:asciiTheme="minorHAnsi" w:hAnsiTheme="minorHAnsi"/>
          <w:sz w:val="20"/>
          <w:szCs w:val="20"/>
          <w:lang w:val="en-IE"/>
        </w:rPr>
        <w:t xml:space="preserve"> on its </w:t>
      </w:r>
      <w:proofErr w:type="gramStart"/>
      <w:r w:rsidR="009C14E2" w:rsidRPr="008245ED">
        <w:rPr>
          <w:rFonts w:asciiTheme="minorHAnsi" w:hAnsiTheme="minorHAnsi"/>
          <w:sz w:val="20"/>
          <w:szCs w:val="20"/>
          <w:lang w:val="en-IE"/>
        </w:rPr>
        <w:t>implementation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4753426E" w14:textId="021160D1" w:rsidR="009C14E2" w:rsidRPr="008245ED" w:rsidRDefault="00941AAD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i/>
          <w:iCs/>
          <w:sz w:val="20"/>
          <w:szCs w:val="20"/>
          <w:lang w:val="en-IE"/>
        </w:rPr>
        <w:t>After COC 2026: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 implementation of the course of action over several months/years</w:t>
      </w:r>
      <w:r w:rsidR="004D7BB6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2E5108B5" w14:textId="77777777" w:rsidR="00360438" w:rsidRPr="008245ED" w:rsidRDefault="00360438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8399CA0" w14:textId="77777777" w:rsidR="004D7BB6" w:rsidRPr="008245ED" w:rsidRDefault="004D7BB6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C57472A" w14:textId="6F1DBF1B" w:rsidR="009C14E2" w:rsidRPr="008245ED" w:rsidRDefault="7798330A" w:rsidP="009F0D10">
      <w:pPr>
        <w:pStyle w:val="Heading2"/>
        <w:numPr>
          <w:ilvl w:val="0"/>
          <w:numId w:val="18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8245ED">
        <w:rPr>
          <w:rFonts w:asciiTheme="minorHAnsi" w:hAnsiTheme="minorHAnsi"/>
          <w:color w:val="auto"/>
          <w:sz w:val="20"/>
          <w:szCs w:val="20"/>
        </w:rPr>
        <w:t xml:space="preserve">Proposed </w:t>
      </w:r>
      <w:r w:rsidR="0061540A" w:rsidRPr="008245ED">
        <w:rPr>
          <w:rFonts w:asciiTheme="minorHAnsi" w:hAnsiTheme="minorHAnsi"/>
          <w:color w:val="auto"/>
          <w:sz w:val="20"/>
          <w:szCs w:val="20"/>
        </w:rPr>
        <w:t>course of action</w:t>
      </w:r>
      <w:r w:rsidR="004057E5" w:rsidRPr="008245ED">
        <w:rPr>
          <w:rFonts w:asciiTheme="minorHAnsi" w:hAnsiTheme="minorHAnsi"/>
          <w:color w:val="auto"/>
          <w:sz w:val="20"/>
          <w:szCs w:val="20"/>
        </w:rPr>
        <w:t xml:space="preserve"> (to be amended </w:t>
      </w:r>
      <w:proofErr w:type="spellStart"/>
      <w:r w:rsidR="004057E5" w:rsidRPr="008245ED">
        <w:rPr>
          <w:rFonts w:asciiTheme="minorHAnsi" w:hAnsiTheme="minorHAnsi"/>
          <w:color w:val="auto"/>
          <w:sz w:val="20"/>
          <w:szCs w:val="20"/>
        </w:rPr>
        <w:t>intersessionally</w:t>
      </w:r>
      <w:proofErr w:type="spellEnd"/>
      <w:r w:rsidR="004057E5" w:rsidRPr="008245ED">
        <w:rPr>
          <w:rFonts w:asciiTheme="minorHAnsi" w:hAnsiTheme="minorHAnsi"/>
          <w:color w:val="auto"/>
          <w:sz w:val="20"/>
          <w:szCs w:val="20"/>
        </w:rPr>
        <w:t xml:space="preserve"> by the COC) </w:t>
      </w:r>
    </w:p>
    <w:p w14:paraId="38B95AE0" w14:textId="77777777" w:rsidR="00FA01D3" w:rsidRPr="008245ED" w:rsidRDefault="00FA01D3" w:rsidP="009F0D10">
      <w:pPr>
        <w:pStyle w:val="Heading2"/>
        <w:spacing w:before="0" w:after="0" w:line="240" w:lineRule="auto"/>
        <w:ind w:left="426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</w:p>
    <w:p w14:paraId="224CE907" w14:textId="4084AC52" w:rsidR="00FA01D3" w:rsidRPr="008245ED" w:rsidRDefault="004D7BB6" w:rsidP="009F0D10">
      <w:pPr>
        <w:pStyle w:val="Heading2"/>
        <w:numPr>
          <w:ilvl w:val="1"/>
          <w:numId w:val="21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I</w:t>
      </w:r>
      <w:r w:rsidR="6037B405" w:rsidRPr="008245ED">
        <w:rPr>
          <w:rFonts w:asciiTheme="minorHAnsi" w:hAnsiTheme="minorHAnsi"/>
          <w:i/>
          <w:iCs/>
          <w:color w:val="auto"/>
          <w:sz w:val="20"/>
          <w:szCs w:val="20"/>
        </w:rPr>
        <w:t>dentify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 those measures and obligations on which compliance is to be assessed</w:t>
      </w:r>
    </w:p>
    <w:p w14:paraId="5EA466CD" w14:textId="77777777" w:rsidR="00FA01D3" w:rsidRPr="008245ED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598FDD39" w14:textId="236E6EFB" w:rsidR="5A142CEE" w:rsidRPr="008245ED" w:rsidRDefault="5A142CEE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US"/>
        </w:rPr>
      </w:pPr>
      <w:r w:rsidRPr="008245ED">
        <w:rPr>
          <w:rFonts w:asciiTheme="minorHAnsi" w:hAnsiTheme="minorHAnsi"/>
          <w:b/>
          <w:bCs/>
          <w:sz w:val="20"/>
          <w:szCs w:val="20"/>
          <w:lang w:val="en-US"/>
        </w:rPr>
        <w:t xml:space="preserve">Table </w:t>
      </w:r>
      <w:r w:rsidR="003262D2" w:rsidRPr="008245ED">
        <w:rPr>
          <w:rFonts w:asciiTheme="minorHAnsi" w:hAnsiTheme="minorHAnsi"/>
          <w:b/>
          <w:bCs/>
          <w:sz w:val="20"/>
          <w:szCs w:val="20"/>
          <w:lang w:val="en-US"/>
        </w:rPr>
        <w:t>1</w:t>
      </w:r>
      <w:r w:rsidR="002E5A05" w:rsidRPr="008245ED">
        <w:rPr>
          <w:rFonts w:asciiTheme="minorHAnsi" w:hAnsiTheme="minorHAnsi"/>
          <w:sz w:val="20"/>
          <w:szCs w:val="20"/>
          <w:lang w:val="en-US"/>
        </w:rPr>
        <w:t xml:space="preserve"> </w:t>
      </w:r>
      <w:r w:rsidRPr="008245ED">
        <w:rPr>
          <w:rFonts w:asciiTheme="minorHAnsi" w:hAnsiTheme="minorHAnsi"/>
          <w:sz w:val="20"/>
          <w:szCs w:val="20"/>
          <w:lang w:val="en-US"/>
        </w:rPr>
        <w:t xml:space="preserve">lists the measures on which it is recommended to evaluate compliance, legal </w:t>
      </w:r>
      <w:r w:rsidR="0002759C" w:rsidRPr="008245ED">
        <w:rPr>
          <w:rFonts w:asciiTheme="minorHAnsi" w:hAnsiTheme="minorHAnsi"/>
          <w:sz w:val="20"/>
          <w:szCs w:val="20"/>
          <w:lang w:val="en-US"/>
        </w:rPr>
        <w:t>reference</w:t>
      </w:r>
      <w:r w:rsidR="00C3610D" w:rsidRPr="008245ED">
        <w:rPr>
          <w:rFonts w:asciiTheme="minorHAnsi" w:hAnsiTheme="minorHAnsi"/>
          <w:sz w:val="20"/>
          <w:szCs w:val="20"/>
          <w:lang w:val="en-US"/>
        </w:rPr>
        <w:t>s</w:t>
      </w:r>
      <w:r w:rsidR="0002759C" w:rsidRPr="008245ED">
        <w:rPr>
          <w:rFonts w:asciiTheme="minorHAnsi" w:hAnsiTheme="minorHAnsi"/>
          <w:sz w:val="20"/>
          <w:szCs w:val="20"/>
          <w:lang w:val="en-US"/>
        </w:rPr>
        <w:t>, available</w:t>
      </w:r>
      <w:r w:rsidRPr="008245ED">
        <w:rPr>
          <w:rFonts w:asciiTheme="minorHAnsi" w:hAnsiTheme="minorHAnsi"/>
          <w:sz w:val="20"/>
          <w:szCs w:val="20"/>
          <w:lang w:val="en-US"/>
        </w:rPr>
        <w:t xml:space="preserve"> information/data</w:t>
      </w:r>
      <w:r w:rsidR="2473FCA9" w:rsidRPr="008245ED">
        <w:rPr>
          <w:rFonts w:asciiTheme="minorHAnsi" w:hAnsiTheme="minorHAnsi"/>
          <w:sz w:val="20"/>
          <w:szCs w:val="20"/>
          <w:lang w:val="en-US"/>
        </w:rPr>
        <w:t>,</w:t>
      </w:r>
      <w:r w:rsidRPr="008245ED">
        <w:rPr>
          <w:rFonts w:asciiTheme="minorHAnsi" w:hAnsiTheme="minorHAnsi"/>
          <w:sz w:val="20"/>
          <w:szCs w:val="20"/>
          <w:lang w:val="en-US"/>
        </w:rPr>
        <w:t xml:space="preserve"> and the content of the document referred to in point 3</w:t>
      </w:r>
      <w:r w:rsidR="620C9426" w:rsidRPr="008245ED">
        <w:rPr>
          <w:rFonts w:asciiTheme="minorHAnsi" w:hAnsiTheme="minorHAnsi"/>
          <w:sz w:val="20"/>
          <w:szCs w:val="20"/>
          <w:lang w:val="en-US"/>
        </w:rPr>
        <w:t>.3</w:t>
      </w:r>
      <w:r w:rsidRPr="008245ED">
        <w:rPr>
          <w:rFonts w:asciiTheme="minorHAnsi" w:hAnsiTheme="minorHAnsi"/>
          <w:sz w:val="20"/>
          <w:szCs w:val="20"/>
          <w:lang w:val="en-US"/>
        </w:rPr>
        <w:t>.</w:t>
      </w:r>
      <w:r w:rsidR="3CD43E7F" w:rsidRPr="008245ED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C3610D" w:rsidRPr="008245ED">
        <w:rPr>
          <w:rFonts w:asciiTheme="minorHAnsi" w:hAnsiTheme="minorHAnsi"/>
          <w:sz w:val="20"/>
          <w:szCs w:val="20"/>
          <w:lang w:val="en-US"/>
        </w:rPr>
        <w:t xml:space="preserve">The </w:t>
      </w:r>
      <w:r w:rsidR="3CD43E7F" w:rsidRPr="008245ED">
        <w:rPr>
          <w:rFonts w:asciiTheme="minorHAnsi" w:hAnsiTheme="minorHAnsi"/>
          <w:sz w:val="20"/>
          <w:szCs w:val="20"/>
          <w:lang w:val="en-US"/>
        </w:rPr>
        <w:t xml:space="preserve">table is </w:t>
      </w:r>
      <w:r w:rsidR="00C3610D" w:rsidRPr="008245ED">
        <w:rPr>
          <w:rFonts w:asciiTheme="minorHAnsi" w:hAnsiTheme="minorHAnsi"/>
          <w:sz w:val="20"/>
          <w:szCs w:val="20"/>
          <w:lang w:val="en-US"/>
        </w:rPr>
        <w:t xml:space="preserve">a draft </w:t>
      </w:r>
      <w:r w:rsidR="3CD43E7F" w:rsidRPr="008245ED">
        <w:rPr>
          <w:rFonts w:asciiTheme="minorHAnsi" w:hAnsiTheme="minorHAnsi"/>
          <w:sz w:val="20"/>
          <w:szCs w:val="20"/>
          <w:lang w:val="en-US"/>
        </w:rPr>
        <w:t>and</w:t>
      </w:r>
      <w:r w:rsidR="00C3610D" w:rsidRPr="008245ED">
        <w:rPr>
          <w:rFonts w:asciiTheme="minorHAnsi" w:hAnsiTheme="minorHAnsi"/>
          <w:sz w:val="20"/>
          <w:szCs w:val="20"/>
          <w:lang w:val="en-US"/>
        </w:rPr>
        <w:t xml:space="preserve"> shall be completed</w:t>
      </w:r>
      <w:r w:rsidR="3CD43E7F" w:rsidRPr="008245ED">
        <w:rPr>
          <w:rFonts w:asciiTheme="minorHAnsi" w:hAnsiTheme="minorHAnsi"/>
          <w:sz w:val="20"/>
          <w:szCs w:val="20"/>
          <w:lang w:val="en-US"/>
        </w:rPr>
        <w:t xml:space="preserve"> during the proposed process.</w:t>
      </w:r>
    </w:p>
    <w:p w14:paraId="3E113FA9" w14:textId="77777777" w:rsidR="00FA01D3" w:rsidRPr="008245ED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54A4B1A1" w14:textId="62206814" w:rsidR="00FA01D3" w:rsidRPr="008245ED" w:rsidRDefault="004D7BB6" w:rsidP="009F0D10">
      <w:pPr>
        <w:pStyle w:val="Heading2"/>
        <w:numPr>
          <w:ilvl w:val="1"/>
          <w:numId w:val="21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I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dentifying the </w:t>
      </w:r>
      <w:r w:rsidR="00386D1F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available 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information </w:t>
      </w:r>
      <w:r w:rsidR="00386D1F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and the information 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>needed to carry out that assessment</w:t>
      </w:r>
    </w:p>
    <w:p w14:paraId="0A4AD0C0" w14:textId="77777777" w:rsidR="00FA01D3" w:rsidRPr="008245ED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3842D3CA" w14:textId="1882CDBC" w:rsidR="00BE29FC" w:rsidRPr="008245ED" w:rsidRDefault="005C1A2F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proofErr w:type="spellStart"/>
      <w:r w:rsidRPr="008245ED">
        <w:rPr>
          <w:rFonts w:asciiTheme="minorHAnsi" w:hAnsiTheme="minorHAnsi"/>
          <w:sz w:val="20"/>
          <w:szCs w:val="20"/>
        </w:rPr>
        <w:t>See</w:t>
      </w:r>
      <w:proofErr w:type="spellEnd"/>
      <w:r w:rsidRPr="008245ED">
        <w:rPr>
          <w:rFonts w:asciiTheme="minorHAnsi" w:hAnsiTheme="minorHAnsi"/>
          <w:sz w:val="20"/>
          <w:szCs w:val="20"/>
        </w:rPr>
        <w:t xml:space="preserve"> </w:t>
      </w:r>
      <w:r w:rsidR="006C160E" w:rsidRPr="008245ED">
        <w:rPr>
          <w:rFonts w:asciiTheme="minorHAnsi" w:hAnsiTheme="minorHAnsi"/>
          <w:b/>
          <w:bCs/>
          <w:sz w:val="20"/>
          <w:szCs w:val="20"/>
        </w:rPr>
        <w:t xml:space="preserve">Table </w:t>
      </w:r>
      <w:r w:rsidR="002E5A05" w:rsidRPr="008245ED">
        <w:rPr>
          <w:rFonts w:asciiTheme="minorHAnsi" w:hAnsiTheme="minorHAnsi"/>
          <w:b/>
          <w:bCs/>
          <w:sz w:val="20"/>
          <w:szCs w:val="20"/>
        </w:rPr>
        <w:t>1</w:t>
      </w:r>
      <w:r w:rsidR="002E5A05" w:rsidRPr="008245ED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8245ED">
        <w:rPr>
          <w:rFonts w:asciiTheme="minorHAnsi" w:hAnsiTheme="minorHAnsi"/>
          <w:sz w:val="20"/>
          <w:szCs w:val="20"/>
        </w:rPr>
        <w:t>below</w:t>
      </w:r>
      <w:proofErr w:type="spellEnd"/>
      <w:r w:rsidR="006C160E" w:rsidRPr="008245ED">
        <w:rPr>
          <w:rFonts w:asciiTheme="minorHAnsi" w:hAnsiTheme="minorHAnsi"/>
          <w:sz w:val="20"/>
          <w:szCs w:val="20"/>
        </w:rPr>
        <w:t>.</w:t>
      </w:r>
    </w:p>
    <w:p w14:paraId="1A08E6F9" w14:textId="77777777" w:rsidR="00FA01D3" w:rsidRPr="008245ED" w:rsidRDefault="00FA01D3" w:rsidP="009F0D10">
      <w:pPr>
        <w:pStyle w:val="ListParagraph"/>
        <w:spacing w:after="0" w:line="240" w:lineRule="auto"/>
        <w:ind w:left="426"/>
        <w:jc w:val="both"/>
        <w:rPr>
          <w:rFonts w:eastAsia="Times New Roman" w:cs="Times New Roman"/>
          <w:sz w:val="20"/>
          <w:szCs w:val="20"/>
        </w:rPr>
      </w:pPr>
    </w:p>
    <w:p w14:paraId="654F1E57" w14:textId="79B4754B" w:rsidR="00FA01D3" w:rsidRPr="008245ED" w:rsidRDefault="004D7BB6" w:rsidP="009F0D10">
      <w:pPr>
        <w:pStyle w:val="Heading2"/>
        <w:numPr>
          <w:ilvl w:val="1"/>
          <w:numId w:val="21"/>
        </w:numPr>
        <w:spacing w:before="0" w:after="0" w:line="240" w:lineRule="auto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D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>esign documents with ‘</w:t>
      </w:r>
      <w:r w:rsidR="00C3610D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abridged’ </w:t>
      </w:r>
      <w:r w:rsidR="005D20B7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information that would </w:t>
      </w:r>
      <w:r w:rsidR="00C3610D" w:rsidRPr="008245ED">
        <w:rPr>
          <w:rFonts w:asciiTheme="minorHAnsi" w:hAnsiTheme="minorHAnsi"/>
          <w:i/>
          <w:iCs/>
          <w:color w:val="auto"/>
          <w:sz w:val="20"/>
          <w:szCs w:val="20"/>
        </w:rPr>
        <w:t>facilitate assessment</w:t>
      </w:r>
    </w:p>
    <w:p w14:paraId="6BCFB84B" w14:textId="77777777" w:rsidR="00FA01D3" w:rsidRPr="008245ED" w:rsidRDefault="00FA01D3" w:rsidP="009F0D10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0CADB28F" w14:textId="254BE653" w:rsidR="00B0413C" w:rsidRPr="008245ED" w:rsidRDefault="00B0413C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>Identify the type of document</w:t>
      </w:r>
    </w:p>
    <w:p w14:paraId="76798C41" w14:textId="77777777" w:rsidR="00B26E6D" w:rsidRPr="008245ED" w:rsidRDefault="00B26E6D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1657AD33" w14:textId="6D1B5420" w:rsidR="00B0413C" w:rsidRPr="008245ED" w:rsidRDefault="00B0413C" w:rsidP="009F0D10">
      <w:pPr>
        <w:pStyle w:val="NormalWeb"/>
        <w:numPr>
          <w:ilvl w:val="1"/>
          <w:numId w:val="11"/>
        </w:numPr>
        <w:spacing w:before="0" w:beforeAutospacing="0" w:after="0" w:afterAutospacing="0"/>
        <w:ind w:left="1134" w:hanging="425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document for </w:t>
      </w:r>
      <w:r w:rsidR="57F09826" w:rsidRPr="008245ED">
        <w:rPr>
          <w:rFonts w:asciiTheme="minorHAnsi" w:hAnsiTheme="minorHAnsi"/>
          <w:sz w:val="20"/>
          <w:szCs w:val="20"/>
          <w:lang w:val="en-IE"/>
        </w:rPr>
        <w:t>assessment/</w:t>
      </w:r>
      <w:r w:rsidRPr="008245ED">
        <w:rPr>
          <w:rFonts w:asciiTheme="minorHAnsi" w:hAnsiTheme="minorHAnsi"/>
          <w:sz w:val="20"/>
          <w:szCs w:val="20"/>
          <w:lang w:val="en-IE"/>
        </w:rPr>
        <w:t xml:space="preserve">decision vs. document for </w:t>
      </w:r>
      <w:proofErr w:type="gramStart"/>
      <w:r w:rsidRPr="008245ED">
        <w:rPr>
          <w:rFonts w:asciiTheme="minorHAnsi" w:hAnsiTheme="minorHAnsi"/>
          <w:sz w:val="20"/>
          <w:szCs w:val="20"/>
          <w:lang w:val="en-IE"/>
        </w:rPr>
        <w:t>information</w:t>
      </w:r>
      <w:r w:rsidR="006C160E" w:rsidRPr="008245ED">
        <w:rPr>
          <w:rFonts w:asciiTheme="minorHAnsi" w:hAnsiTheme="minorHAnsi"/>
          <w:sz w:val="20"/>
          <w:szCs w:val="20"/>
          <w:lang w:val="en-IE"/>
        </w:rPr>
        <w:t>;</w:t>
      </w:r>
      <w:proofErr w:type="gramEnd"/>
    </w:p>
    <w:p w14:paraId="61175899" w14:textId="4C773D9F" w:rsidR="00B0413C" w:rsidRPr="008245ED" w:rsidRDefault="00B0413C" w:rsidP="009F0D10">
      <w:pPr>
        <w:pStyle w:val="NormalWeb"/>
        <w:numPr>
          <w:ilvl w:val="1"/>
          <w:numId w:val="11"/>
        </w:numPr>
        <w:spacing w:before="0" w:beforeAutospacing="0" w:after="0" w:afterAutospacing="0"/>
        <w:ind w:left="1134" w:hanging="425"/>
        <w:jc w:val="both"/>
        <w:rPr>
          <w:rFonts w:asciiTheme="minorHAnsi" w:hAnsiTheme="minorHAnsi"/>
          <w:sz w:val="20"/>
          <w:szCs w:val="20"/>
          <w:lang w:val="en-IE"/>
        </w:rPr>
      </w:pPr>
      <w:r w:rsidRPr="008245ED">
        <w:rPr>
          <w:rFonts w:asciiTheme="minorHAnsi" w:hAnsiTheme="minorHAnsi"/>
          <w:sz w:val="20"/>
          <w:szCs w:val="20"/>
          <w:lang w:val="en-IE"/>
        </w:rPr>
        <w:t xml:space="preserve">document produced by the </w:t>
      </w:r>
      <w:r w:rsidR="00C3610D" w:rsidRPr="008245ED">
        <w:rPr>
          <w:rFonts w:asciiTheme="minorHAnsi" w:hAnsiTheme="minorHAnsi"/>
          <w:sz w:val="20"/>
          <w:szCs w:val="20"/>
          <w:lang w:val="en-IE"/>
        </w:rPr>
        <w:t>S</w:t>
      </w:r>
      <w:r w:rsidRPr="008245ED">
        <w:rPr>
          <w:rFonts w:asciiTheme="minorHAnsi" w:hAnsiTheme="minorHAnsi"/>
          <w:sz w:val="20"/>
          <w:szCs w:val="20"/>
          <w:lang w:val="en-IE"/>
        </w:rPr>
        <w:t>ecretariat vs. document produced by CPCs or observers</w:t>
      </w:r>
      <w:r w:rsidR="006C160E" w:rsidRPr="008245ED">
        <w:rPr>
          <w:rFonts w:asciiTheme="minorHAnsi" w:hAnsiTheme="minorHAnsi"/>
          <w:sz w:val="20"/>
          <w:szCs w:val="20"/>
          <w:lang w:val="en-IE"/>
        </w:rPr>
        <w:t>.</w:t>
      </w:r>
    </w:p>
    <w:p w14:paraId="7F4D5CDA" w14:textId="77777777" w:rsidR="00B26E6D" w:rsidRPr="008245ED" w:rsidRDefault="00B26E6D" w:rsidP="009F0D10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7BC73AE4" w14:textId="77777777" w:rsidR="006C160E" w:rsidRPr="008245ED" w:rsidRDefault="006C160E" w:rsidP="009F0D10">
      <w:pPr>
        <w:pStyle w:val="NormalWeb"/>
        <w:spacing w:before="0" w:beforeAutospacing="0" w:after="0" w:afterAutospacing="0"/>
        <w:ind w:left="1134"/>
        <w:jc w:val="both"/>
        <w:rPr>
          <w:rFonts w:asciiTheme="minorHAnsi" w:hAnsiTheme="minorHAnsi"/>
          <w:sz w:val="20"/>
          <w:szCs w:val="20"/>
          <w:lang w:val="en-IE"/>
        </w:rPr>
      </w:pPr>
    </w:p>
    <w:p w14:paraId="2E2D9823" w14:textId="24A921C9" w:rsidR="001B4EA4" w:rsidRPr="008245ED" w:rsidRDefault="002A466C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GB"/>
        </w:rPr>
        <w:lastRenderedPageBreak/>
        <w:t>Regr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>oup information on compliance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in a few key documents</w:t>
      </w:r>
    </w:p>
    <w:p w14:paraId="76A776D5" w14:textId="77777777" w:rsidR="00B26E6D" w:rsidRPr="008245ED" w:rsidRDefault="00B26E6D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08162B67" w14:textId="70E92176" w:rsidR="001B4EA4" w:rsidRPr="008245ED" w:rsidRDefault="001B4EA4" w:rsidP="006C160E">
      <w:pPr>
        <w:pStyle w:val="NormalWeb"/>
        <w:numPr>
          <w:ilvl w:val="1"/>
          <w:numId w:val="11"/>
        </w:numPr>
        <w:spacing w:before="0" w:beforeAutospacing="0" w:after="0" w:afterAutospacing="0"/>
        <w:ind w:left="993" w:hanging="284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GB"/>
        </w:rPr>
        <w:t>O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>ne single and visual document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for general compliance</w:t>
      </w:r>
      <w:r w:rsidR="002D4CCD" w:rsidRPr="008245ED">
        <w:rPr>
          <w:rStyle w:val="FootnoteReference"/>
          <w:rFonts w:asciiTheme="minorHAnsi" w:hAnsiTheme="minorHAnsi"/>
          <w:sz w:val="20"/>
          <w:szCs w:val="20"/>
          <w:lang w:val="en-GB"/>
        </w:rPr>
        <w:footnoteReference w:id="2"/>
      </w:r>
      <w:r w:rsidR="00800F63" w:rsidRPr="008245ED">
        <w:rPr>
          <w:rFonts w:asciiTheme="minorHAnsi" w:hAnsiTheme="minorHAnsi"/>
          <w:sz w:val="20"/>
          <w:szCs w:val="20"/>
          <w:lang w:val="en-GB"/>
        </w:rPr>
        <w:t xml:space="preserve">, </w:t>
      </w:r>
      <w:proofErr w:type="gramStart"/>
      <w:r w:rsidR="00C6566F" w:rsidRPr="008245ED">
        <w:rPr>
          <w:rFonts w:asciiTheme="minorHAnsi" w:hAnsiTheme="minorHAnsi"/>
          <w:sz w:val="20"/>
          <w:szCs w:val="20"/>
          <w:lang w:val="en-GB"/>
        </w:rPr>
        <w:t>or</w:t>
      </w:r>
      <w:r w:rsidR="006C160E" w:rsidRPr="008245ED">
        <w:rPr>
          <w:rFonts w:asciiTheme="minorHAnsi" w:hAnsiTheme="minorHAnsi"/>
          <w:sz w:val="20"/>
          <w:szCs w:val="20"/>
          <w:lang w:val="en-GB"/>
        </w:rPr>
        <w:t>;</w:t>
      </w:r>
      <w:proofErr w:type="gramEnd"/>
    </w:p>
    <w:p w14:paraId="4DB89E0A" w14:textId="3AB59465" w:rsidR="002D4CCD" w:rsidRPr="008245ED" w:rsidRDefault="002A466C" w:rsidP="006C160E">
      <w:pPr>
        <w:pStyle w:val="NormalWeb"/>
        <w:numPr>
          <w:ilvl w:val="1"/>
          <w:numId w:val="11"/>
        </w:numPr>
        <w:spacing w:before="0" w:beforeAutospacing="0" w:after="0" w:afterAutospacing="0"/>
        <w:ind w:left="993" w:hanging="284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GB"/>
        </w:rPr>
        <w:t xml:space="preserve">One document 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>by area of implementation</w:t>
      </w:r>
      <w:r w:rsidR="002D4CCD" w:rsidRPr="008245ED">
        <w:rPr>
          <w:rStyle w:val="FootnoteReference"/>
          <w:rFonts w:asciiTheme="minorHAnsi" w:hAnsiTheme="minorHAnsi"/>
          <w:sz w:val="20"/>
          <w:szCs w:val="20"/>
          <w:lang w:val="en-GB"/>
        </w:rPr>
        <w:footnoteReference w:id="3"/>
      </w:r>
      <w:r w:rsidR="006C160E" w:rsidRPr="008245ED">
        <w:rPr>
          <w:rFonts w:asciiTheme="minorHAnsi" w:hAnsiTheme="minorHAnsi"/>
          <w:sz w:val="20"/>
          <w:szCs w:val="20"/>
          <w:lang w:val="en-GB"/>
        </w:rPr>
        <w:t>.</w:t>
      </w:r>
    </w:p>
    <w:p w14:paraId="7B1B4902" w14:textId="77777777" w:rsidR="00B26E6D" w:rsidRPr="008245ED" w:rsidRDefault="00B26E6D" w:rsidP="009F0D10">
      <w:pPr>
        <w:pStyle w:val="NormalWeb"/>
        <w:spacing w:before="0" w:beforeAutospacing="0" w:after="0" w:afterAutospacing="0"/>
        <w:ind w:left="851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3C271759" w14:textId="1EA611E2" w:rsidR="002D4CCD" w:rsidRPr="008245ED" w:rsidRDefault="002A466C" w:rsidP="009F0D1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n-GB"/>
        </w:rPr>
      </w:pPr>
      <w:r w:rsidRPr="008245ED">
        <w:rPr>
          <w:rFonts w:asciiTheme="minorHAnsi" w:hAnsiTheme="minorHAnsi"/>
          <w:sz w:val="20"/>
          <w:szCs w:val="20"/>
          <w:lang w:val="en-GB"/>
        </w:rPr>
        <w:t>For each</w:t>
      </w:r>
      <w:r w:rsidR="002A4EEF" w:rsidRPr="008245ED">
        <w:rPr>
          <w:rFonts w:asciiTheme="minorHAnsi" w:hAnsiTheme="minorHAnsi"/>
          <w:sz w:val="20"/>
          <w:szCs w:val="20"/>
          <w:lang w:val="en-GB"/>
        </w:rPr>
        <w:t xml:space="preserve"> document</w:t>
      </w:r>
      <w:r w:rsidRPr="008245ED">
        <w:rPr>
          <w:rFonts w:asciiTheme="minorHAnsi" w:hAnsiTheme="minorHAnsi"/>
          <w:sz w:val="20"/>
          <w:szCs w:val="20"/>
          <w:lang w:val="en-GB"/>
        </w:rPr>
        <w:t xml:space="preserve"> produced, r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>eview the format of the document to offer pre-conclusions and</w:t>
      </w:r>
      <w:r w:rsidR="00EF3C4C" w:rsidRPr="008245ED">
        <w:rPr>
          <w:rFonts w:asciiTheme="minorHAnsi" w:hAnsiTheme="minorHAnsi"/>
          <w:sz w:val="20"/>
          <w:szCs w:val="20"/>
          <w:lang w:val="en-GB"/>
        </w:rPr>
        <w:t xml:space="preserve"> a</w:t>
      </w:r>
      <w:r w:rsidR="002D4CCD" w:rsidRPr="008245ED">
        <w:rPr>
          <w:rFonts w:asciiTheme="minorHAnsi" w:hAnsiTheme="minorHAnsi"/>
          <w:sz w:val="20"/>
          <w:szCs w:val="20"/>
          <w:lang w:val="en-GB"/>
        </w:rPr>
        <w:t xml:space="preserve"> clear direction to the COC</w:t>
      </w:r>
      <w:r w:rsidR="002D4CCD" w:rsidRPr="008245ED">
        <w:rPr>
          <w:rStyle w:val="FootnoteReference"/>
          <w:rFonts w:asciiTheme="minorHAnsi" w:hAnsiTheme="minorHAnsi"/>
          <w:sz w:val="20"/>
          <w:szCs w:val="20"/>
          <w:lang w:val="en-GB"/>
        </w:rPr>
        <w:footnoteReference w:id="4"/>
      </w:r>
      <w:r w:rsidR="00EF3C4C" w:rsidRPr="008245ED">
        <w:rPr>
          <w:rFonts w:asciiTheme="minorHAnsi" w:hAnsiTheme="minorHAnsi"/>
          <w:sz w:val="20"/>
          <w:szCs w:val="20"/>
          <w:lang w:val="en-GB"/>
        </w:rPr>
        <w:t>.</w:t>
      </w:r>
    </w:p>
    <w:p w14:paraId="06DA4104" w14:textId="77777777" w:rsidR="00FA01D3" w:rsidRPr="008245ED" w:rsidRDefault="00FA01D3" w:rsidP="009F0D10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6FF14467" w14:textId="6CDD2250" w:rsidR="005D20B7" w:rsidRPr="008245ED" w:rsidRDefault="00D91EB9" w:rsidP="009F0D10">
      <w:pPr>
        <w:pStyle w:val="Heading2"/>
        <w:numPr>
          <w:ilvl w:val="1"/>
          <w:numId w:val="21"/>
        </w:numPr>
        <w:spacing w:before="0" w:after="0" w:line="240" w:lineRule="auto"/>
        <w:ind w:left="426" w:hanging="426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Provide </w:t>
      </w:r>
      <w:r w:rsidR="00E62F06" w:rsidRPr="008245ED">
        <w:rPr>
          <w:rFonts w:asciiTheme="minorHAnsi" w:hAnsiTheme="minorHAnsi"/>
          <w:i/>
          <w:iCs/>
          <w:color w:val="auto"/>
          <w:sz w:val="20"/>
          <w:szCs w:val="20"/>
        </w:rPr>
        <w:t>a mechanism to ensure adequate follow-up of non-compliance issues detected</w:t>
      </w:r>
      <w:r w:rsidR="007239E3" w:rsidRPr="008245ED">
        <w:rPr>
          <w:rFonts w:asciiTheme="minorHAnsi" w:hAnsiTheme="minorHAnsi"/>
          <w:i/>
          <w:iCs/>
          <w:color w:val="auto"/>
          <w:sz w:val="20"/>
          <w:szCs w:val="20"/>
        </w:rPr>
        <w:t>, using available</w:t>
      </w:r>
      <w:r w:rsidR="000265DD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 tools</w:t>
      </w:r>
      <w:r w:rsidR="005104C2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 and </w:t>
      </w:r>
      <w:r w:rsidR="62A48991" w:rsidRPr="008245ED">
        <w:rPr>
          <w:rFonts w:asciiTheme="minorHAnsi" w:hAnsiTheme="minorHAnsi"/>
          <w:i/>
          <w:iCs/>
          <w:color w:val="auto"/>
          <w:sz w:val="20"/>
          <w:szCs w:val="20"/>
        </w:rPr>
        <w:t xml:space="preserve">possible </w:t>
      </w:r>
      <w:r w:rsidR="005104C2" w:rsidRPr="008245ED">
        <w:rPr>
          <w:rFonts w:asciiTheme="minorHAnsi" w:hAnsiTheme="minorHAnsi"/>
          <w:i/>
          <w:iCs/>
          <w:color w:val="auto"/>
          <w:sz w:val="20"/>
          <w:szCs w:val="20"/>
        </w:rPr>
        <w:t>innovation</w:t>
      </w:r>
    </w:p>
    <w:p w14:paraId="5D86F3B2" w14:textId="77777777" w:rsidR="00FA01D3" w:rsidRPr="008245ED" w:rsidRDefault="00FA01D3" w:rsidP="009F0D10">
      <w:pPr>
        <w:pStyle w:val="ListParagraph"/>
        <w:spacing w:after="0" w:line="240" w:lineRule="auto"/>
        <w:ind w:left="714"/>
        <w:contextualSpacing w:val="0"/>
        <w:jc w:val="both"/>
        <w:rPr>
          <w:rFonts w:eastAsia="Times New Roman" w:cs="Times New Roman"/>
          <w:sz w:val="20"/>
          <w:szCs w:val="20"/>
        </w:rPr>
      </w:pPr>
    </w:p>
    <w:p w14:paraId="1FC65A1D" w14:textId="0A829B57" w:rsidR="00E62F06" w:rsidRPr="008245ED" w:rsidRDefault="000F34E2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M</w:t>
      </w:r>
      <w:r w:rsidR="00E62F06" w:rsidRPr="008245ED">
        <w:rPr>
          <w:rFonts w:eastAsia="Times New Roman" w:cs="Times New Roman"/>
          <w:sz w:val="20"/>
          <w:szCs w:val="20"/>
        </w:rPr>
        <w:t xml:space="preserve">onitor compliance trends over time, identify significant compliance concerns and/or systemic </w:t>
      </w:r>
      <w:proofErr w:type="gramStart"/>
      <w:r w:rsidR="00E62F06" w:rsidRPr="008245ED">
        <w:rPr>
          <w:rFonts w:eastAsia="Times New Roman" w:cs="Times New Roman"/>
          <w:sz w:val="20"/>
          <w:szCs w:val="20"/>
        </w:rPr>
        <w:t>issues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4F80AFF5" w14:textId="4F8E014A" w:rsidR="00314DFF" w:rsidRPr="008245ED" w:rsidRDefault="00CF4955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E</w:t>
      </w:r>
      <w:r w:rsidR="00314DFF" w:rsidRPr="008245ED">
        <w:rPr>
          <w:rFonts w:eastAsia="Times New Roman" w:cs="Times New Roman"/>
          <w:sz w:val="20"/>
          <w:szCs w:val="20"/>
        </w:rPr>
        <w:t xml:space="preserve">nsure </w:t>
      </w:r>
      <w:r w:rsidR="000213D3" w:rsidRPr="008245ED">
        <w:rPr>
          <w:rFonts w:eastAsia="Times New Roman" w:cs="Times New Roman"/>
          <w:sz w:val="20"/>
          <w:szCs w:val="20"/>
        </w:rPr>
        <w:t xml:space="preserve">timely and </w:t>
      </w:r>
      <w:r w:rsidR="00314DFF" w:rsidRPr="008245ED">
        <w:rPr>
          <w:rFonts w:eastAsia="Times New Roman" w:cs="Times New Roman"/>
          <w:sz w:val="20"/>
          <w:szCs w:val="20"/>
        </w:rPr>
        <w:t>appropriate follow-up of</w:t>
      </w:r>
      <w:r w:rsidR="00022365" w:rsidRPr="008245ED">
        <w:rPr>
          <w:rFonts w:eastAsia="Times New Roman" w:cs="Times New Roman"/>
          <w:sz w:val="20"/>
          <w:szCs w:val="20"/>
        </w:rPr>
        <w:t xml:space="preserve"> all</w:t>
      </w:r>
      <w:r w:rsidR="00314DFF" w:rsidRPr="008245ED">
        <w:rPr>
          <w:rFonts w:eastAsia="Times New Roman" w:cs="Times New Roman"/>
          <w:sz w:val="20"/>
          <w:szCs w:val="20"/>
        </w:rPr>
        <w:t xml:space="preserve"> compliance issues </w:t>
      </w:r>
      <w:proofErr w:type="gramStart"/>
      <w:r w:rsidR="00314DFF" w:rsidRPr="008245ED">
        <w:rPr>
          <w:rFonts w:eastAsia="Times New Roman" w:cs="Times New Roman"/>
          <w:sz w:val="20"/>
          <w:szCs w:val="20"/>
        </w:rPr>
        <w:t>detected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546EBA62" w14:textId="0B5FBBC6" w:rsidR="00FF0083" w:rsidRPr="008245ED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  <w:lang w:val="en-IE"/>
        </w:rPr>
      </w:pPr>
      <w:r w:rsidRPr="008245ED">
        <w:rPr>
          <w:rFonts w:eastAsia="Times New Roman" w:cs="Times New Roman"/>
          <w:sz w:val="20"/>
          <w:szCs w:val="20"/>
        </w:rPr>
        <w:t xml:space="preserve">Introduce a mechanism </w:t>
      </w:r>
      <w:r w:rsidR="00136E7B" w:rsidRPr="008245ED">
        <w:rPr>
          <w:rFonts w:eastAsia="Times New Roman" w:cs="Times New Roman"/>
          <w:sz w:val="20"/>
          <w:szCs w:val="20"/>
        </w:rPr>
        <w:t>that trigger</w:t>
      </w:r>
      <w:r w:rsidR="0058604C" w:rsidRPr="008245ED">
        <w:rPr>
          <w:rFonts w:eastAsia="Times New Roman" w:cs="Times New Roman"/>
          <w:sz w:val="20"/>
          <w:szCs w:val="20"/>
        </w:rPr>
        <w:t>s</w:t>
      </w:r>
      <w:r w:rsidR="00136E7B" w:rsidRPr="008245ED">
        <w:rPr>
          <w:rFonts w:eastAsia="Times New Roman" w:cs="Times New Roman"/>
          <w:sz w:val="20"/>
          <w:szCs w:val="20"/>
        </w:rPr>
        <w:t xml:space="preserve"> actions in the event of inadequate follow</w:t>
      </w:r>
      <w:r w:rsidR="006D358F" w:rsidRPr="008245ED">
        <w:rPr>
          <w:rFonts w:eastAsia="Times New Roman" w:cs="Times New Roman"/>
          <w:sz w:val="20"/>
          <w:szCs w:val="20"/>
        </w:rPr>
        <w:t>-up</w:t>
      </w:r>
      <w:r w:rsidR="0060228A" w:rsidRPr="008245ED">
        <w:rPr>
          <w:sz w:val="20"/>
          <w:szCs w:val="20"/>
        </w:rPr>
        <w:t xml:space="preserve">. </w:t>
      </w:r>
      <w:r w:rsidR="0060228A" w:rsidRPr="008245ED">
        <w:rPr>
          <w:rFonts w:eastAsia="Times New Roman" w:cs="Times New Roman"/>
          <w:sz w:val="20"/>
          <w:szCs w:val="20"/>
        </w:rPr>
        <w:t>I</w:t>
      </w:r>
      <w:r w:rsidRPr="008245ED">
        <w:rPr>
          <w:rFonts w:eastAsia="Times New Roman" w:cs="Times New Roman"/>
          <w:sz w:val="20"/>
          <w:szCs w:val="20"/>
        </w:rPr>
        <w:t>mplementation of the schedule of compliance issues and corresponding actions</w:t>
      </w:r>
      <w:r w:rsidRPr="008245ED">
        <w:rPr>
          <w:rFonts w:eastAsia="Times New Roman" w:cs="Times New Roman"/>
          <w:sz w:val="20"/>
          <w:szCs w:val="20"/>
          <w:lang w:val="en-IE"/>
        </w:rPr>
        <w:t xml:space="preserve"> (</w:t>
      </w:r>
      <w:hyperlink r:id="rId8" w:history="1">
        <w:r w:rsidR="0073057A" w:rsidRPr="008245ED">
          <w:rPr>
            <w:rStyle w:val="Hyperlink"/>
            <w:rFonts w:eastAsia="Times New Roman" w:cs="Times New Roman"/>
            <w:i/>
            <w:iCs/>
            <w:sz w:val="20"/>
            <w:szCs w:val="20"/>
            <w:u w:val="none"/>
          </w:rPr>
          <w:t>Schedule of compliance issues and corresponding actions</w:t>
        </w:r>
        <w:r w:rsidR="0073057A" w:rsidRPr="008245ED">
          <w:rPr>
            <w:rStyle w:val="Hyperlink"/>
            <w:rFonts w:eastAsia="Times New Roman" w:cs="Times New Roman"/>
            <w:sz w:val="20"/>
            <w:szCs w:val="20"/>
            <w:u w:val="none"/>
          </w:rPr>
          <w:t xml:space="preserve"> (</w:t>
        </w:r>
        <w:r w:rsidR="00825796" w:rsidRPr="008245ED">
          <w:rPr>
            <w:rStyle w:val="Hyperlink"/>
            <w:rFonts w:eastAsia="Times New Roman" w:cs="Times New Roman"/>
            <w:sz w:val="20"/>
            <w:szCs w:val="20"/>
            <w:u w:val="none"/>
            <w:lang w:val="en-IE"/>
          </w:rPr>
          <w:t>Ref</w:t>
        </w:r>
        <w:r w:rsidR="00560F9B" w:rsidRPr="008245ED">
          <w:rPr>
            <w:rStyle w:val="Hyperlink"/>
            <w:rFonts w:eastAsia="Times New Roman" w:cs="Times New Roman"/>
            <w:sz w:val="20"/>
            <w:szCs w:val="20"/>
            <w:u w:val="none"/>
            <w:lang w:val="en-IE"/>
          </w:rPr>
          <w:t xml:space="preserve">. </w:t>
        </w:r>
        <w:r w:rsidRPr="008245ED">
          <w:rPr>
            <w:rStyle w:val="Hyperlink"/>
            <w:rFonts w:eastAsia="Times New Roman" w:cs="Times New Roman"/>
            <w:sz w:val="20"/>
            <w:szCs w:val="20"/>
            <w:u w:val="none"/>
            <w:lang w:val="en-IE"/>
          </w:rPr>
          <w:t>22-18</w:t>
        </w:r>
        <w:r w:rsidR="0073057A" w:rsidRPr="008245ED">
          <w:rPr>
            <w:rStyle w:val="Hyperlink"/>
            <w:sz w:val="20"/>
            <w:szCs w:val="20"/>
            <w:u w:val="none"/>
          </w:rPr>
          <w:t>)</w:t>
        </w:r>
      </w:hyperlink>
      <w:r w:rsidRPr="008245ED">
        <w:rPr>
          <w:rFonts w:eastAsia="Times New Roman" w:cs="Times New Roman"/>
          <w:sz w:val="20"/>
          <w:szCs w:val="20"/>
          <w:lang w:val="en-IE"/>
        </w:rPr>
        <w:t xml:space="preserve">) </w:t>
      </w:r>
      <w:r w:rsidRPr="008245ED">
        <w:rPr>
          <w:rFonts w:eastAsia="Times New Roman" w:cs="Times New Roman"/>
          <w:sz w:val="20"/>
          <w:szCs w:val="20"/>
        </w:rPr>
        <w:t>in a systematic manner</w:t>
      </w:r>
      <w:r w:rsidR="00DC429F" w:rsidRPr="008245ED">
        <w:rPr>
          <w:rFonts w:eastAsia="Times New Roman" w:cs="Times New Roman"/>
          <w:sz w:val="20"/>
          <w:szCs w:val="20"/>
        </w:rPr>
        <w:t>;</w:t>
      </w:r>
    </w:p>
    <w:p w14:paraId="36F12DA6" w14:textId="6C8B934B" w:rsidR="00FF0083" w:rsidRPr="008245ED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A table compiling the non-compliances detected for different CPCs over the years would provide an overview of the persistence of the problems</w:t>
      </w:r>
      <w:r w:rsidR="00383959" w:rsidRPr="008245ED">
        <w:rPr>
          <w:rFonts w:eastAsia="Times New Roman" w:cs="Times New Roman"/>
          <w:sz w:val="20"/>
          <w:szCs w:val="20"/>
        </w:rPr>
        <w:t xml:space="preserve"> (</w:t>
      </w:r>
      <w:r w:rsidR="0033093E" w:rsidRPr="008245ED">
        <w:rPr>
          <w:rFonts w:eastAsia="Times New Roman" w:cs="Times New Roman"/>
          <w:sz w:val="20"/>
          <w:szCs w:val="20"/>
        </w:rPr>
        <w:t>ICCAT Sec tracks repeated non-compliances)</w:t>
      </w:r>
      <w:r w:rsidRPr="008245ED">
        <w:rPr>
          <w:rFonts w:eastAsia="Times New Roman" w:cs="Times New Roman"/>
          <w:sz w:val="20"/>
          <w:szCs w:val="20"/>
        </w:rPr>
        <w:t>.</w:t>
      </w:r>
      <w:r w:rsidR="005E1B01" w:rsidRPr="008245ED">
        <w:rPr>
          <w:rFonts w:eastAsia="Times New Roman" w:cs="Times New Roman"/>
          <w:sz w:val="20"/>
          <w:szCs w:val="20"/>
        </w:rPr>
        <w:t xml:space="preserve"> The follow-up of each detected non-compliance must be reflected in the COC </w:t>
      </w:r>
      <w:r w:rsidR="0073057A" w:rsidRPr="008245ED">
        <w:rPr>
          <w:rFonts w:eastAsia="Times New Roman" w:cs="Times New Roman"/>
          <w:sz w:val="20"/>
          <w:szCs w:val="20"/>
        </w:rPr>
        <w:t>Summary Compliance Tables [</w:t>
      </w:r>
      <w:r w:rsidR="005E1B01" w:rsidRPr="008245ED">
        <w:rPr>
          <w:rFonts w:eastAsia="Times New Roman" w:cs="Times New Roman"/>
          <w:sz w:val="20"/>
          <w:szCs w:val="20"/>
        </w:rPr>
        <w:t>COC</w:t>
      </w:r>
      <w:r w:rsidR="0073057A" w:rsidRPr="008245ED">
        <w:rPr>
          <w:rFonts w:eastAsia="Times New Roman" w:cs="Times New Roman"/>
          <w:sz w:val="20"/>
          <w:szCs w:val="20"/>
        </w:rPr>
        <w:t>_</w:t>
      </w:r>
      <w:r w:rsidR="005E1B01" w:rsidRPr="008245ED">
        <w:rPr>
          <w:rFonts w:eastAsia="Times New Roman" w:cs="Times New Roman"/>
          <w:sz w:val="20"/>
          <w:szCs w:val="20"/>
        </w:rPr>
        <w:t>308</w:t>
      </w:r>
      <w:proofErr w:type="gramStart"/>
      <w:r w:rsidR="0073057A" w:rsidRPr="008245ED">
        <w:rPr>
          <w:rFonts w:eastAsia="Times New Roman" w:cs="Times New Roman"/>
          <w:sz w:val="20"/>
          <w:szCs w:val="20"/>
        </w:rPr>
        <w:t>]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5D71104C" w14:textId="013A3466" w:rsidR="00FF0083" w:rsidRPr="008245ED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A color code for these non-compliances (</w:t>
      </w:r>
      <w:r w:rsidR="0027593F" w:rsidRPr="008245ED">
        <w:rPr>
          <w:rFonts w:eastAsia="Times New Roman" w:cs="Times New Roman"/>
          <w:sz w:val="20"/>
          <w:szCs w:val="20"/>
        </w:rPr>
        <w:t>for example</w:t>
      </w:r>
      <w:r w:rsidRPr="008245ED">
        <w:rPr>
          <w:rFonts w:eastAsia="Times New Roman" w:cs="Times New Roman"/>
          <w:sz w:val="20"/>
          <w:szCs w:val="20"/>
        </w:rPr>
        <w:t xml:space="preserve"> yellow for reporting obligations, red for failure to implement </w:t>
      </w:r>
      <w:r w:rsidR="00F909F0" w:rsidRPr="008245ED">
        <w:rPr>
          <w:rFonts w:eastAsia="Times New Roman" w:cs="Times New Roman"/>
          <w:sz w:val="20"/>
          <w:szCs w:val="20"/>
        </w:rPr>
        <w:t>Monitoring, Control and Surveillance (</w:t>
      </w:r>
      <w:r w:rsidRPr="008245ED">
        <w:rPr>
          <w:rFonts w:eastAsia="Times New Roman" w:cs="Times New Roman"/>
          <w:sz w:val="20"/>
          <w:szCs w:val="20"/>
        </w:rPr>
        <w:t>MCS</w:t>
      </w:r>
      <w:r w:rsidR="00F909F0" w:rsidRPr="008245ED">
        <w:rPr>
          <w:rFonts w:eastAsia="Times New Roman" w:cs="Times New Roman"/>
          <w:sz w:val="20"/>
          <w:szCs w:val="20"/>
        </w:rPr>
        <w:t>)</w:t>
      </w:r>
      <w:r w:rsidRPr="008245ED">
        <w:rPr>
          <w:rFonts w:eastAsia="Times New Roman" w:cs="Times New Roman"/>
          <w:sz w:val="20"/>
          <w:szCs w:val="20"/>
        </w:rPr>
        <w:t xml:space="preserve"> measures, etc.) can provide insight into the severity of the non-</w:t>
      </w:r>
      <w:proofErr w:type="gramStart"/>
      <w:r w:rsidRPr="008245ED">
        <w:rPr>
          <w:rFonts w:eastAsia="Times New Roman" w:cs="Times New Roman"/>
          <w:sz w:val="20"/>
          <w:szCs w:val="20"/>
        </w:rPr>
        <w:t>compliances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  <w:r w:rsidR="6C021F2C" w:rsidRPr="008245ED">
        <w:rPr>
          <w:rFonts w:eastAsia="Times New Roman" w:cs="Times New Roman"/>
          <w:sz w:val="20"/>
          <w:szCs w:val="20"/>
        </w:rPr>
        <w:t xml:space="preserve"> </w:t>
      </w:r>
    </w:p>
    <w:p w14:paraId="558B0907" w14:textId="65E97955" w:rsidR="00FF0083" w:rsidRPr="008245ED" w:rsidRDefault="00FF0083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 xml:space="preserve">Each year, CPCs for which compliance problems have been identified receive a letter of concern or identification, detailing the problem and information on the next step in the compliance mechanism according to </w:t>
      </w:r>
      <w:hyperlink r:id="rId9" w:history="1">
        <w:r w:rsidR="00825796" w:rsidRPr="008245ED">
          <w:rPr>
            <w:rStyle w:val="Hyperlink"/>
            <w:rFonts w:eastAsia="Times New Roman" w:cs="Times New Roman"/>
            <w:sz w:val="20"/>
            <w:szCs w:val="20"/>
            <w:u w:val="none"/>
          </w:rPr>
          <w:t>Ref</w:t>
        </w:r>
        <w:r w:rsidR="004B1B3F" w:rsidRPr="008245ED">
          <w:rPr>
            <w:rStyle w:val="Hyperlink"/>
            <w:rFonts w:eastAsia="Times New Roman" w:cs="Times New Roman"/>
            <w:sz w:val="20"/>
            <w:szCs w:val="20"/>
            <w:u w:val="none"/>
          </w:rPr>
          <w:t>. 22-18</w:t>
        </w:r>
      </w:hyperlink>
      <w:r w:rsidRPr="008245ED">
        <w:rPr>
          <w:rFonts w:eastAsia="Times New Roman" w:cs="Times New Roman"/>
          <w:sz w:val="20"/>
          <w:szCs w:val="20"/>
        </w:rPr>
        <w:t xml:space="preserve"> in case the issue is not solved (</w:t>
      </w:r>
      <w:r w:rsidR="003A6761" w:rsidRPr="008245ED">
        <w:rPr>
          <w:rFonts w:eastAsia="Times New Roman" w:cs="Times New Roman"/>
          <w:sz w:val="20"/>
          <w:szCs w:val="20"/>
        </w:rPr>
        <w:t>for example</w:t>
      </w:r>
      <w:r w:rsidRPr="008245ED">
        <w:rPr>
          <w:rFonts w:eastAsia="Times New Roman" w:cs="Times New Roman"/>
          <w:sz w:val="20"/>
          <w:szCs w:val="20"/>
        </w:rPr>
        <w:t xml:space="preserve"> year 3, Serious = </w:t>
      </w:r>
      <w:r w:rsidR="0045731D" w:rsidRPr="008245ED">
        <w:rPr>
          <w:rFonts w:eastAsia="Times New Roman" w:cs="Times New Roman"/>
          <w:sz w:val="20"/>
          <w:szCs w:val="20"/>
        </w:rPr>
        <w:t>i</w:t>
      </w:r>
      <w:r w:rsidRPr="008245ED">
        <w:rPr>
          <w:rFonts w:eastAsia="Times New Roman" w:cs="Times New Roman"/>
          <w:sz w:val="20"/>
          <w:szCs w:val="20"/>
        </w:rPr>
        <w:t xml:space="preserve">n coordination with the relevant Panel, consider recommending adoption by ICCAT of additional fishery restrictions). </w:t>
      </w:r>
    </w:p>
    <w:p w14:paraId="046AA74F" w14:textId="77777777" w:rsidR="00D91EB9" w:rsidRPr="008245ED" w:rsidRDefault="00D91EB9" w:rsidP="009F0D10">
      <w:pPr>
        <w:pStyle w:val="ListParagraph"/>
        <w:spacing w:after="0" w:line="240" w:lineRule="auto"/>
        <w:ind w:left="714"/>
        <w:contextualSpacing w:val="0"/>
        <w:jc w:val="both"/>
        <w:rPr>
          <w:rFonts w:eastAsia="Times New Roman" w:cs="Times New Roman"/>
          <w:b/>
          <w:bCs/>
          <w:i/>
          <w:iCs/>
          <w:sz w:val="20"/>
          <w:szCs w:val="20"/>
        </w:rPr>
      </w:pPr>
    </w:p>
    <w:p w14:paraId="678459DE" w14:textId="58D5CBD5" w:rsidR="00D91EB9" w:rsidRPr="008245ED" w:rsidRDefault="0097575C" w:rsidP="009F0D10">
      <w:pPr>
        <w:pStyle w:val="Heading2"/>
        <w:numPr>
          <w:ilvl w:val="1"/>
          <w:numId w:val="21"/>
        </w:numPr>
        <w:spacing w:before="0" w:after="0" w:line="240" w:lineRule="auto"/>
        <w:ind w:left="426" w:hanging="426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8245ED">
        <w:rPr>
          <w:rFonts w:asciiTheme="minorHAnsi" w:hAnsiTheme="minorHAnsi"/>
          <w:i/>
          <w:iCs/>
          <w:color w:val="auto"/>
          <w:sz w:val="20"/>
          <w:szCs w:val="20"/>
        </w:rPr>
        <w:t>P</w:t>
      </w:r>
      <w:r w:rsidR="4AF17DC0" w:rsidRPr="008245ED">
        <w:rPr>
          <w:rFonts w:asciiTheme="minorHAnsi" w:hAnsiTheme="minorHAnsi"/>
          <w:i/>
          <w:iCs/>
          <w:color w:val="auto"/>
          <w:sz w:val="20"/>
          <w:szCs w:val="20"/>
        </w:rPr>
        <w:t>ossible additional measures</w:t>
      </w:r>
    </w:p>
    <w:p w14:paraId="4BBE61D1" w14:textId="77777777" w:rsidR="00D91EB9" w:rsidRPr="008245ED" w:rsidRDefault="00D91EB9" w:rsidP="009F0D1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n-GB"/>
        </w:rPr>
      </w:pPr>
    </w:p>
    <w:p w14:paraId="11CB9214" w14:textId="122F220C" w:rsidR="006A7BFF" w:rsidRPr="008245ED" w:rsidRDefault="4AF17DC0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 xml:space="preserve">Identify meeting documents </w:t>
      </w:r>
      <w:r w:rsidR="00B966FF" w:rsidRPr="008245ED">
        <w:rPr>
          <w:rFonts w:eastAsia="Times New Roman" w:cs="Times New Roman"/>
          <w:sz w:val="20"/>
          <w:szCs w:val="20"/>
        </w:rPr>
        <w:t xml:space="preserve">for </w:t>
      </w:r>
      <w:r w:rsidRPr="008245ED">
        <w:rPr>
          <w:rFonts w:eastAsia="Times New Roman" w:cs="Times New Roman"/>
          <w:sz w:val="20"/>
          <w:szCs w:val="20"/>
        </w:rPr>
        <w:t>which production can be discontinued</w:t>
      </w:r>
      <w:r w:rsidR="49EC17D6" w:rsidRPr="008245ED">
        <w:rPr>
          <w:rFonts w:eastAsia="Times New Roman" w:cs="Times New Roman"/>
          <w:sz w:val="20"/>
          <w:szCs w:val="20"/>
        </w:rPr>
        <w:t>. Take advantage of the exercise</w:t>
      </w:r>
      <w:proofErr w:type="gramStart"/>
      <w:r w:rsidR="49EC17D6" w:rsidRPr="008245ED">
        <w:rPr>
          <w:rFonts w:eastAsia="Times New Roman" w:cs="Times New Roman"/>
          <w:sz w:val="20"/>
          <w:szCs w:val="20"/>
        </w:rPr>
        <w:t>, and in particular</w:t>
      </w:r>
      <w:proofErr w:type="gramEnd"/>
      <w:r w:rsidR="49EC17D6" w:rsidRPr="008245ED">
        <w:rPr>
          <w:rFonts w:eastAsia="Times New Roman" w:cs="Times New Roman"/>
          <w:sz w:val="20"/>
          <w:szCs w:val="20"/>
        </w:rPr>
        <w:t xml:space="preserve"> the tasks under point 3</w:t>
      </w:r>
      <w:r w:rsidR="00BA2FF9" w:rsidRPr="008245ED">
        <w:rPr>
          <w:rFonts w:eastAsia="Times New Roman" w:cs="Times New Roman"/>
          <w:sz w:val="20"/>
          <w:szCs w:val="20"/>
        </w:rPr>
        <w:t>.2</w:t>
      </w:r>
      <w:r w:rsidR="49EC17D6" w:rsidRPr="008245ED">
        <w:rPr>
          <w:rFonts w:eastAsia="Times New Roman" w:cs="Times New Roman"/>
          <w:sz w:val="20"/>
          <w:szCs w:val="20"/>
        </w:rPr>
        <w:t xml:space="preserve">, to reduce reporting </w:t>
      </w:r>
      <w:proofErr w:type="gramStart"/>
      <w:r w:rsidR="49EC17D6" w:rsidRPr="008245ED">
        <w:rPr>
          <w:rFonts w:eastAsia="Times New Roman" w:cs="Times New Roman"/>
          <w:sz w:val="20"/>
          <w:szCs w:val="20"/>
        </w:rPr>
        <w:t>obligations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5CFA45DB" w14:textId="08A2CB10" w:rsidR="006A7BFF" w:rsidRPr="008245ED" w:rsidRDefault="00DE3E15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 xml:space="preserve">In collaboration with the </w:t>
      </w:r>
      <w:r w:rsidR="008C0971" w:rsidRPr="008245ED">
        <w:rPr>
          <w:rFonts w:ascii="Cambria" w:eastAsia="Cambria" w:hAnsi="Cambria"/>
          <w:sz w:val="20"/>
          <w:szCs w:val="20"/>
        </w:rPr>
        <w:t xml:space="preserve">Integrated Online Management System </w:t>
      </w:r>
      <w:r w:rsidR="00C00E05" w:rsidRPr="008245ED">
        <w:rPr>
          <w:rFonts w:ascii="Cambria" w:eastAsia="Cambria" w:hAnsi="Cambria"/>
          <w:sz w:val="20"/>
          <w:szCs w:val="20"/>
        </w:rPr>
        <w:t>(</w:t>
      </w:r>
      <w:r w:rsidR="4AF17DC0" w:rsidRPr="008245ED">
        <w:rPr>
          <w:rFonts w:eastAsia="Times New Roman" w:cs="Times New Roman"/>
          <w:sz w:val="20"/>
          <w:szCs w:val="20"/>
        </w:rPr>
        <w:t>IOMS</w:t>
      </w:r>
      <w:r w:rsidR="00C00E05" w:rsidRPr="008245ED">
        <w:rPr>
          <w:rFonts w:eastAsia="Times New Roman" w:cs="Times New Roman"/>
          <w:sz w:val="20"/>
          <w:szCs w:val="20"/>
        </w:rPr>
        <w:t>)</w:t>
      </w:r>
      <w:r w:rsidRPr="008245ED">
        <w:rPr>
          <w:rFonts w:eastAsia="Times New Roman" w:cs="Times New Roman"/>
          <w:sz w:val="20"/>
          <w:szCs w:val="20"/>
        </w:rPr>
        <w:t xml:space="preserve"> Working Group</w:t>
      </w:r>
      <w:r w:rsidR="00C0480B" w:rsidRPr="008245ED">
        <w:rPr>
          <w:rFonts w:eastAsia="Times New Roman" w:cs="Times New Roman"/>
          <w:sz w:val="20"/>
          <w:szCs w:val="20"/>
        </w:rPr>
        <w:t>,</w:t>
      </w:r>
      <w:r w:rsidR="00BB20CB" w:rsidRPr="008245ED">
        <w:rPr>
          <w:rFonts w:eastAsia="Times New Roman" w:cs="Times New Roman"/>
          <w:sz w:val="20"/>
          <w:szCs w:val="20"/>
        </w:rPr>
        <w:t xml:space="preserve"> consider </w:t>
      </w:r>
      <w:proofErr w:type="gramStart"/>
      <w:r w:rsidR="00BB20CB" w:rsidRPr="008245ED">
        <w:rPr>
          <w:rFonts w:eastAsia="Times New Roman" w:cs="Times New Roman"/>
          <w:sz w:val="20"/>
          <w:szCs w:val="20"/>
        </w:rPr>
        <w:t>the IOMS</w:t>
      </w:r>
      <w:proofErr w:type="gramEnd"/>
      <w:r w:rsidR="4AF17DC0" w:rsidRPr="008245ED">
        <w:rPr>
          <w:rFonts w:eastAsia="Times New Roman" w:cs="Times New Roman"/>
          <w:sz w:val="20"/>
          <w:szCs w:val="20"/>
        </w:rPr>
        <w:t xml:space="preserve"> as the base platform for data extraction and adapt it to the needs of the </w:t>
      </w:r>
      <w:proofErr w:type="gramStart"/>
      <w:r w:rsidR="4AF17DC0" w:rsidRPr="008245ED">
        <w:rPr>
          <w:rFonts w:eastAsia="Times New Roman" w:cs="Times New Roman"/>
          <w:sz w:val="20"/>
          <w:szCs w:val="20"/>
        </w:rPr>
        <w:t>COC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28E1F315" w14:textId="06E55E3D" w:rsidR="006A7BFF" w:rsidRPr="008245ED" w:rsidRDefault="4AF17DC0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>Consider the possible need to increase the time devoted to the COC (other significantly smaller RFMOs devote more time to these discussions</w:t>
      </w:r>
      <w:proofErr w:type="gramStart"/>
      <w:r w:rsidRPr="008245ED">
        <w:rPr>
          <w:rFonts w:eastAsia="Times New Roman" w:cs="Times New Roman"/>
          <w:sz w:val="20"/>
          <w:szCs w:val="20"/>
        </w:rPr>
        <w:t>)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2E45D475" w14:textId="117593A9" w:rsidR="006A7BFF" w:rsidRPr="008245ED" w:rsidRDefault="70E753A5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8245ED">
        <w:rPr>
          <w:rFonts w:eastAsia="Times New Roman" w:cs="Times New Roman"/>
          <w:sz w:val="20"/>
          <w:szCs w:val="20"/>
        </w:rPr>
        <w:t xml:space="preserve">Instead of reviewing all the obligations of all the recommendations every year, the COC could </w:t>
      </w:r>
      <w:proofErr w:type="spellStart"/>
      <w:r w:rsidRPr="008245ED">
        <w:rPr>
          <w:rFonts w:eastAsia="Times New Roman" w:cs="Times New Roman"/>
          <w:sz w:val="20"/>
          <w:szCs w:val="20"/>
        </w:rPr>
        <w:t>organise</w:t>
      </w:r>
      <w:proofErr w:type="spellEnd"/>
      <w:r w:rsidRPr="008245ED">
        <w:rPr>
          <w:rFonts w:eastAsia="Times New Roman" w:cs="Times New Roman"/>
          <w:sz w:val="20"/>
          <w:szCs w:val="20"/>
        </w:rPr>
        <w:t xml:space="preserve"> the review over a longer cycle of 2 or 3 years</w:t>
      </w:r>
      <w:r w:rsidR="00335312" w:rsidRPr="008245ED">
        <w:rPr>
          <w:rFonts w:eastAsia="Times New Roman" w:cs="Times New Roman"/>
          <w:sz w:val="20"/>
          <w:szCs w:val="20"/>
        </w:rPr>
        <w:t>,</w:t>
      </w:r>
      <w:r w:rsidR="00AD42A3" w:rsidRPr="008245ED">
        <w:rPr>
          <w:rFonts w:eastAsia="Times New Roman" w:cs="Times New Roman"/>
          <w:sz w:val="20"/>
          <w:szCs w:val="20"/>
        </w:rPr>
        <w:t xml:space="preserve"> focusing on measures that are considered priorities</w:t>
      </w:r>
      <w:r w:rsidR="00772846" w:rsidRPr="008245ED">
        <w:rPr>
          <w:rFonts w:eastAsia="Times New Roman" w:cs="Times New Roman"/>
          <w:sz w:val="20"/>
          <w:szCs w:val="20"/>
        </w:rPr>
        <w:t xml:space="preserve">, allowing </w:t>
      </w:r>
      <w:r w:rsidR="00DE5F0F" w:rsidRPr="008245ED">
        <w:rPr>
          <w:rFonts w:eastAsia="Times New Roman" w:cs="Times New Roman"/>
          <w:sz w:val="20"/>
          <w:szCs w:val="20"/>
        </w:rPr>
        <w:t>deeper</w:t>
      </w:r>
      <w:r w:rsidR="0033667C" w:rsidRPr="008245ED">
        <w:rPr>
          <w:rFonts w:eastAsia="Times New Roman" w:cs="Times New Roman"/>
          <w:sz w:val="20"/>
          <w:szCs w:val="20"/>
        </w:rPr>
        <w:t xml:space="preserve"> and more </w:t>
      </w:r>
      <w:r w:rsidR="00DE5F0F" w:rsidRPr="008245ED">
        <w:rPr>
          <w:rFonts w:eastAsia="Times New Roman" w:cs="Times New Roman"/>
          <w:sz w:val="20"/>
          <w:szCs w:val="20"/>
        </w:rPr>
        <w:t>focused</w:t>
      </w:r>
      <w:r w:rsidR="0033667C" w:rsidRPr="008245ED">
        <w:rPr>
          <w:rFonts w:eastAsia="Times New Roman" w:cs="Times New Roman"/>
          <w:sz w:val="20"/>
          <w:szCs w:val="20"/>
        </w:rPr>
        <w:t xml:space="preserve"> </w:t>
      </w:r>
      <w:proofErr w:type="gramStart"/>
      <w:r w:rsidRPr="008245ED">
        <w:rPr>
          <w:rFonts w:eastAsia="Times New Roman" w:cs="Times New Roman"/>
          <w:sz w:val="20"/>
          <w:szCs w:val="20"/>
        </w:rPr>
        <w:t>discussion</w:t>
      </w:r>
      <w:r w:rsidR="00DE5F0F" w:rsidRPr="008245ED">
        <w:rPr>
          <w:rFonts w:eastAsia="Times New Roman" w:cs="Times New Roman"/>
          <w:sz w:val="20"/>
          <w:szCs w:val="20"/>
        </w:rPr>
        <w:t>s</w:t>
      </w:r>
      <w:r w:rsidR="00DC429F" w:rsidRPr="008245ED">
        <w:rPr>
          <w:rFonts w:eastAsia="Times New Roman" w:cs="Times New Roman"/>
          <w:sz w:val="20"/>
          <w:szCs w:val="20"/>
        </w:rPr>
        <w:t>;</w:t>
      </w:r>
      <w:proofErr w:type="gramEnd"/>
    </w:p>
    <w:p w14:paraId="0C78C46F" w14:textId="658CC3C2" w:rsidR="004F71B3" w:rsidRPr="008245ED" w:rsidRDefault="00C81721" w:rsidP="009F0D10">
      <w:pPr>
        <w:pStyle w:val="ListParagraph"/>
        <w:numPr>
          <w:ilvl w:val="0"/>
          <w:numId w:val="17"/>
        </w:numPr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sz w:val="20"/>
          <w:szCs w:val="20"/>
          <w:lang w:val="en-IE"/>
        </w:rPr>
      </w:pPr>
      <w:r w:rsidRPr="008245ED">
        <w:rPr>
          <w:rFonts w:eastAsia="Times New Roman" w:cs="Times New Roman"/>
          <w:sz w:val="20"/>
          <w:szCs w:val="20"/>
        </w:rPr>
        <w:t>Asses</w:t>
      </w:r>
      <w:r w:rsidR="00EB0C06" w:rsidRPr="008245ED">
        <w:rPr>
          <w:rFonts w:eastAsia="Times New Roman" w:cs="Times New Roman"/>
          <w:sz w:val="20"/>
          <w:szCs w:val="20"/>
        </w:rPr>
        <w:t xml:space="preserve"> the benefits of r</w:t>
      </w:r>
      <w:r w:rsidR="4AF17DC0" w:rsidRPr="008245ED">
        <w:rPr>
          <w:rFonts w:eastAsia="Times New Roman" w:cs="Times New Roman"/>
          <w:sz w:val="20"/>
          <w:szCs w:val="20"/>
        </w:rPr>
        <w:t>eview</w:t>
      </w:r>
      <w:r w:rsidR="00EB0C06" w:rsidRPr="008245ED">
        <w:rPr>
          <w:rFonts w:eastAsia="Times New Roman" w:cs="Times New Roman"/>
          <w:sz w:val="20"/>
          <w:szCs w:val="20"/>
        </w:rPr>
        <w:t>ing</w:t>
      </w:r>
      <w:r w:rsidR="00360438" w:rsidRPr="008245ED">
        <w:rPr>
          <w:rFonts w:eastAsia="Times New Roman" w:cs="Times New Roman"/>
          <w:sz w:val="20"/>
          <w:szCs w:val="20"/>
        </w:rPr>
        <w:t xml:space="preserve"> </w:t>
      </w:r>
      <w:r w:rsidR="00AE258E" w:rsidRPr="008245ED">
        <w:rPr>
          <w:rFonts w:eastAsia="Times New Roman" w:cs="Times New Roman"/>
          <w:sz w:val="20"/>
          <w:szCs w:val="20"/>
        </w:rPr>
        <w:t>the current</w:t>
      </w:r>
      <w:r w:rsidR="4AF17DC0" w:rsidRPr="008245ED">
        <w:rPr>
          <w:rFonts w:eastAsia="Times New Roman" w:cs="Times New Roman"/>
          <w:sz w:val="20"/>
          <w:szCs w:val="20"/>
        </w:rPr>
        <w:t xml:space="preserve"> legislation relating to the functioning of the </w:t>
      </w:r>
      <w:r w:rsidR="006565A0" w:rsidRPr="008245ED">
        <w:rPr>
          <w:rFonts w:eastAsia="Times New Roman" w:cs="Times New Roman"/>
          <w:sz w:val="20"/>
          <w:szCs w:val="20"/>
        </w:rPr>
        <w:t>COC and</w:t>
      </w:r>
      <w:r w:rsidR="4AF17DC0" w:rsidRPr="008245ED">
        <w:rPr>
          <w:rFonts w:eastAsia="Times New Roman" w:cs="Times New Roman"/>
          <w:sz w:val="20"/>
          <w:szCs w:val="20"/>
        </w:rPr>
        <w:t xml:space="preserve"> </w:t>
      </w:r>
      <w:r w:rsidR="007D27B6" w:rsidRPr="008245ED">
        <w:rPr>
          <w:rFonts w:eastAsia="Times New Roman" w:cs="Times New Roman"/>
          <w:sz w:val="20"/>
          <w:szCs w:val="20"/>
        </w:rPr>
        <w:t>its</w:t>
      </w:r>
      <w:r w:rsidR="00135AA4" w:rsidRPr="008245ED">
        <w:rPr>
          <w:rFonts w:eastAsia="Times New Roman" w:cs="Times New Roman"/>
          <w:sz w:val="20"/>
          <w:szCs w:val="20"/>
        </w:rPr>
        <w:t xml:space="preserve"> possible</w:t>
      </w:r>
      <w:r w:rsidR="00135AA4" w:rsidRPr="008245ED">
        <w:rPr>
          <w:rFonts w:eastAsia="Times New Roman" w:cs="Times New Roman"/>
          <w:sz w:val="20"/>
          <w:szCs w:val="20"/>
          <w:lang w:val="en-GB"/>
        </w:rPr>
        <w:t xml:space="preserve"> </w:t>
      </w:r>
      <w:r w:rsidR="4AF17DC0" w:rsidRPr="008245ED">
        <w:rPr>
          <w:rFonts w:eastAsia="Times New Roman" w:cs="Times New Roman"/>
          <w:sz w:val="20"/>
          <w:szCs w:val="20"/>
          <w:lang w:val="en-GB"/>
        </w:rPr>
        <w:t>consolidat</w:t>
      </w:r>
      <w:r w:rsidR="00135AA4" w:rsidRPr="008245ED">
        <w:rPr>
          <w:rFonts w:eastAsia="Times New Roman" w:cs="Times New Roman"/>
          <w:sz w:val="20"/>
          <w:szCs w:val="20"/>
          <w:lang w:val="en-GB"/>
        </w:rPr>
        <w:t>ion</w:t>
      </w:r>
      <w:r w:rsidR="4AF17DC0" w:rsidRPr="008245ED">
        <w:rPr>
          <w:rFonts w:eastAsia="Times New Roman" w:cs="Times New Roman"/>
          <w:sz w:val="20"/>
          <w:szCs w:val="20"/>
          <w:lang w:val="en-GB"/>
        </w:rPr>
        <w:t xml:space="preserve"> into a single recommendation</w:t>
      </w:r>
      <w:r w:rsidR="00A835AF" w:rsidRPr="008245ED">
        <w:rPr>
          <w:rFonts w:eastAsia="Times New Roman" w:cs="Times New Roman"/>
          <w:sz w:val="20"/>
          <w:szCs w:val="20"/>
          <w:lang w:val="en-GB"/>
        </w:rPr>
        <w:t xml:space="preserve">, that </w:t>
      </w:r>
      <w:r w:rsidR="002E05B4" w:rsidRPr="008245ED">
        <w:rPr>
          <w:rFonts w:eastAsia="Times New Roman" w:cs="Times New Roman"/>
          <w:sz w:val="20"/>
          <w:szCs w:val="20"/>
          <w:lang w:val="en-GB"/>
        </w:rPr>
        <w:t>could include</w:t>
      </w:r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 the rules or procedures that emerge from this discussion process</w:t>
      </w:r>
      <w:r w:rsidR="00DD351A" w:rsidRPr="008245ED">
        <w:rPr>
          <w:rFonts w:eastAsia="Times New Roman" w:cs="Times New Roman"/>
          <w:sz w:val="20"/>
          <w:szCs w:val="20"/>
          <w:lang w:val="en-GB"/>
        </w:rPr>
        <w:t>,</w:t>
      </w:r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 </w:t>
      </w:r>
      <w:proofErr w:type="gramStart"/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as a </w:t>
      </w:r>
      <w:r w:rsidR="00DD351A" w:rsidRPr="008245ED">
        <w:rPr>
          <w:rFonts w:eastAsia="Times New Roman" w:cs="Times New Roman"/>
          <w:sz w:val="20"/>
          <w:szCs w:val="20"/>
          <w:lang w:val="en-GB"/>
        </w:rPr>
        <w:t>way to</w:t>
      </w:r>
      <w:proofErr w:type="gramEnd"/>
      <w:r w:rsidR="00DD351A" w:rsidRPr="008245ED">
        <w:rPr>
          <w:rFonts w:eastAsia="Times New Roman" w:cs="Times New Roman"/>
          <w:sz w:val="20"/>
          <w:szCs w:val="20"/>
          <w:lang w:val="en-GB"/>
        </w:rPr>
        <w:t xml:space="preserve"> </w:t>
      </w:r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guide </w:t>
      </w:r>
      <w:r w:rsidR="002E05B4" w:rsidRPr="008245ED">
        <w:rPr>
          <w:rFonts w:eastAsia="Times New Roman" w:cs="Times New Roman"/>
          <w:sz w:val="20"/>
          <w:szCs w:val="20"/>
          <w:lang w:val="en-GB"/>
        </w:rPr>
        <w:t>and</w:t>
      </w:r>
      <w:r w:rsidR="0024175E" w:rsidRPr="008245ED">
        <w:rPr>
          <w:rFonts w:eastAsia="Times New Roman" w:cs="Times New Roman"/>
          <w:sz w:val="20"/>
          <w:szCs w:val="20"/>
          <w:lang w:val="en-GB"/>
        </w:rPr>
        <w:t xml:space="preserve"> facilitate the work of the CPCs in the </w:t>
      </w:r>
      <w:r w:rsidR="007202FF" w:rsidRPr="008245ED">
        <w:rPr>
          <w:rFonts w:eastAsia="Times New Roman" w:cs="Times New Roman"/>
          <w:sz w:val="20"/>
          <w:szCs w:val="20"/>
          <w:lang w:val="en-GB"/>
        </w:rPr>
        <w:t>COC</w:t>
      </w:r>
      <w:r w:rsidR="00DC429F" w:rsidRPr="008245ED">
        <w:rPr>
          <w:rFonts w:eastAsia="Times New Roman" w:cs="Times New Roman"/>
          <w:sz w:val="20"/>
          <w:szCs w:val="20"/>
          <w:lang w:val="en-GB"/>
        </w:rPr>
        <w:t>.</w:t>
      </w:r>
    </w:p>
    <w:p w14:paraId="22F7A786" w14:textId="77777777" w:rsidR="00EA3C67" w:rsidRPr="008245ED" w:rsidRDefault="00EA3C67" w:rsidP="009F0D10">
      <w:pPr>
        <w:pStyle w:val="ListParagraph"/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</w:p>
    <w:p w14:paraId="14CD8DE4" w14:textId="77777777" w:rsidR="008C2FB5" w:rsidRPr="008245ED" w:rsidRDefault="008C2FB5">
      <w:pPr>
        <w:rPr>
          <w:rFonts w:eastAsia="Times New Roman" w:cs="Times New Roman"/>
          <w:sz w:val="20"/>
          <w:szCs w:val="20"/>
          <w:lang w:val="en-GB"/>
        </w:rPr>
      </w:pPr>
      <w:r w:rsidRPr="008245ED">
        <w:rPr>
          <w:rFonts w:eastAsia="Times New Roman" w:cs="Times New Roman"/>
          <w:sz w:val="20"/>
          <w:szCs w:val="20"/>
          <w:lang w:val="en-GB"/>
        </w:rPr>
        <w:br w:type="page"/>
      </w:r>
    </w:p>
    <w:p w14:paraId="687E6A6B" w14:textId="15A923C2" w:rsidR="006A7BFF" w:rsidRPr="008245ED" w:rsidRDefault="4AF17DC0" w:rsidP="009F0D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  <w:r w:rsidRPr="008245ED">
        <w:rPr>
          <w:rFonts w:eastAsia="Times New Roman" w:cs="Times New Roman"/>
          <w:sz w:val="20"/>
          <w:szCs w:val="20"/>
          <w:lang w:val="en-GB"/>
        </w:rPr>
        <w:lastRenderedPageBreak/>
        <w:t xml:space="preserve">There </w:t>
      </w:r>
      <w:r w:rsidR="00922E50" w:rsidRPr="008245ED">
        <w:rPr>
          <w:rFonts w:eastAsia="Times New Roman" w:cs="Times New Roman"/>
          <w:sz w:val="20"/>
          <w:szCs w:val="20"/>
          <w:lang w:val="en-GB"/>
        </w:rPr>
        <w:t>are</w:t>
      </w:r>
      <w:r w:rsidRPr="008245ED">
        <w:rPr>
          <w:rFonts w:eastAsia="Times New Roman" w:cs="Times New Roman"/>
          <w:sz w:val="20"/>
          <w:szCs w:val="20"/>
          <w:lang w:val="en-GB"/>
        </w:rPr>
        <w:t xml:space="preserve"> at least nine Rec</w:t>
      </w:r>
      <w:r w:rsidR="008C2FB5" w:rsidRPr="008245ED">
        <w:rPr>
          <w:rFonts w:eastAsia="Times New Roman" w:cs="Times New Roman"/>
          <w:sz w:val="20"/>
          <w:szCs w:val="20"/>
          <w:lang w:val="en-GB"/>
        </w:rPr>
        <w:t>ommendations/Resolutions</w:t>
      </w:r>
      <w:r w:rsidRPr="008245ED">
        <w:rPr>
          <w:rFonts w:eastAsia="Times New Roman" w:cs="Times New Roman"/>
          <w:sz w:val="20"/>
          <w:szCs w:val="20"/>
          <w:lang w:val="en-GB"/>
        </w:rPr>
        <w:t xml:space="preserve"> related to the functioning of the COC, some of them old and possibly outdated, which would benefit from revision and consolidation.</w:t>
      </w:r>
      <w:r w:rsidRPr="008245ED">
        <w:rPr>
          <w:rFonts w:eastAsia="Times New Roman" w:cs="Times New Roman"/>
          <w:sz w:val="20"/>
          <w:szCs w:val="20"/>
          <w:lang w:val="en-IE"/>
        </w:rPr>
        <w:t> </w:t>
      </w:r>
    </w:p>
    <w:p w14:paraId="0D3DFC4C" w14:textId="77777777" w:rsidR="00097572" w:rsidRPr="008245ED" w:rsidRDefault="00097572" w:rsidP="009F0D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</w:p>
    <w:p w14:paraId="45F3A3A1" w14:textId="0105A764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0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F5215B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00-14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compliance with quotas and catch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limits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2683FDDD" w14:textId="20E43A0C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1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F5215B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01-12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temporary adjustment of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quotas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5EFE4857" w14:textId="6B3B097E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2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F5215B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01-13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compliance in Atlantic 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bluefin tuna</w:t>
      </w:r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and 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swordfish</w:t>
      </w:r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fisheries (deduction quotas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)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606F0985" w14:textId="0B458BA4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3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C37FC5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08-09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establishing a process for the review and reporting of compliance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information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62BBED53" w14:textId="67318F30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4" w:history="1">
        <w:r w:rsidRPr="008245ED">
          <w:rPr>
            <w:rStyle w:val="normaltextrun"/>
            <w:rFonts w:eastAsia="Times New Roman" w:cs="Times New Roman"/>
            <w:sz w:val="20"/>
            <w:szCs w:val="20"/>
            <w:lang w:val="en-GB"/>
          </w:rPr>
          <w:t>Rec</w:t>
        </w:r>
        <w:r w:rsidR="00C37FC5" w:rsidRPr="008245ED">
          <w:rPr>
            <w:rStyle w:val="normaltextrun"/>
            <w:rFonts w:eastAsia="Times New Roman"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eastAsia="Times New Roman" w:cs="Times New Roman"/>
            <w:sz w:val="20"/>
            <w:szCs w:val="20"/>
            <w:lang w:val="en-GB"/>
          </w:rPr>
          <w:t xml:space="preserve"> 11-11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application of compliance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Recommendations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</w:rPr>
        <w:t> </w:t>
      </w:r>
    </w:p>
    <w:p w14:paraId="12824DDB" w14:textId="680DE395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5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C37FC5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11-15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on penalties in case of no reporting; amended by </w:t>
      </w:r>
      <w:hyperlink r:id="rId16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Rec</w:t>
        </w:r>
        <w:r w:rsidR="008C2FB5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15-09</w:t>
        </w:r>
      </w:hyperlink>
      <w:r w:rsidR="008C2FB5" w:rsidRPr="008245ED">
        <w:rPr>
          <w:sz w:val="20"/>
          <w:szCs w:val="20"/>
        </w:rPr>
        <w:t>;</w:t>
      </w:r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78C0C5A9" w14:textId="019E1ED4" w:rsidR="006A7BFF" w:rsidRPr="008245ED" w:rsidRDefault="4AF17DC0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  <w:lang w:val="en-IE"/>
        </w:rPr>
      </w:pPr>
      <w:hyperlink r:id="rId17" w:history="1"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>Res</w:t>
        </w:r>
        <w:r w:rsidR="00C37FC5" w:rsidRPr="008245ED">
          <w:rPr>
            <w:rStyle w:val="normaltextrun"/>
            <w:rFonts w:cs="Times New Roman"/>
            <w:sz w:val="20"/>
            <w:szCs w:val="20"/>
            <w:lang w:val="en-GB"/>
          </w:rPr>
          <w:t>.</w:t>
        </w:r>
        <w:r w:rsidRPr="008245ED">
          <w:rPr>
            <w:rStyle w:val="normaltextrun"/>
            <w:rFonts w:cs="Times New Roman"/>
            <w:sz w:val="20"/>
            <w:szCs w:val="20"/>
            <w:lang w:val="en-GB"/>
          </w:rPr>
          <w:t xml:space="preserve"> 16-17</w:t>
        </w:r>
      </w:hyperlink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establishing a schedule of actions to improve </w:t>
      </w:r>
      <w:proofErr w:type="gramStart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compliance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;</w:t>
      </w:r>
      <w:proofErr w:type="gramEnd"/>
      <w:r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 </w:t>
      </w:r>
      <w:r w:rsidRPr="008245ED">
        <w:rPr>
          <w:rStyle w:val="eop"/>
          <w:rFonts w:eastAsia="Times New Roman" w:cs="Times New Roman"/>
          <w:sz w:val="20"/>
          <w:szCs w:val="20"/>
          <w:lang w:val="en-IE"/>
        </w:rPr>
        <w:t> </w:t>
      </w:r>
    </w:p>
    <w:p w14:paraId="79D4111D" w14:textId="5329533D" w:rsidR="006A7BFF" w:rsidRPr="008245ED" w:rsidRDefault="00825796" w:rsidP="009F0D1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val="en-IE"/>
        </w:rPr>
      </w:pPr>
      <w:hyperlink r:id="rId18" w:history="1">
        <w:r w:rsidRPr="008245ED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  <w:lang w:val="en-GB"/>
          </w:rPr>
          <w:t>Ref</w:t>
        </w:r>
        <w:r w:rsidR="00C37FC5" w:rsidRPr="008245ED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  <w:lang w:val="en-GB"/>
          </w:rPr>
          <w:t xml:space="preserve">. </w:t>
        </w:r>
        <w:r w:rsidR="4AF17DC0" w:rsidRPr="008245ED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  <w:lang w:val="en-GB"/>
          </w:rPr>
          <w:t>22-18</w:t>
        </w:r>
      </w:hyperlink>
      <w:r w:rsidR="4AF17DC0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 xml:space="preserve"> schedule of compliance issues and corresponding actions</w:t>
      </w:r>
      <w:r w:rsidR="008C2FB5" w:rsidRPr="008245ED">
        <w:rPr>
          <w:rStyle w:val="normaltextrun"/>
          <w:rFonts w:eastAsia="Times New Roman" w:cs="Times New Roman"/>
          <w:sz w:val="20"/>
          <w:szCs w:val="20"/>
          <w:lang w:val="en-GB"/>
        </w:rPr>
        <w:t>.</w:t>
      </w:r>
    </w:p>
    <w:p w14:paraId="07693026" w14:textId="2BBC74C0" w:rsidR="006A7BFF" w:rsidRPr="008245ED" w:rsidRDefault="006A7BFF" w:rsidP="009F0D1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  <w:sectPr w:rsidR="006A7BFF" w:rsidRPr="008245ED" w:rsidSect="0070701D">
          <w:headerReference w:type="default" r:id="rId19"/>
          <w:footerReference w:type="default" r:id="rId20"/>
          <w:pgSz w:w="11907" w:h="16840" w:orient="landscape" w:code="9"/>
          <w:pgMar w:top="1418" w:right="1418" w:bottom="1418" w:left="1418" w:header="851" w:footer="1134" w:gutter="0"/>
          <w:cols w:space="720"/>
          <w:docGrid w:linePitch="360"/>
        </w:sectPr>
      </w:pPr>
    </w:p>
    <w:p w14:paraId="1798BB13" w14:textId="2E5D1FE1" w:rsidR="006A7BFF" w:rsidRPr="008245ED" w:rsidRDefault="002E5A05" w:rsidP="009F0D10">
      <w:pPr>
        <w:spacing w:after="0" w:line="240" w:lineRule="auto"/>
        <w:rPr>
          <w:rFonts w:cs="Times New Roman"/>
          <w:i/>
          <w:iCs/>
          <w:sz w:val="20"/>
          <w:szCs w:val="20"/>
        </w:rPr>
      </w:pPr>
      <w:r w:rsidRPr="008245ED">
        <w:rPr>
          <w:rFonts w:cs="Times New Roman"/>
          <w:b/>
          <w:bCs/>
          <w:sz w:val="20"/>
          <w:szCs w:val="20"/>
        </w:rPr>
        <w:lastRenderedPageBreak/>
        <w:t>Table 1</w:t>
      </w:r>
      <w:r w:rsidR="00097572" w:rsidRPr="008245ED">
        <w:rPr>
          <w:rFonts w:cs="Times New Roman"/>
          <w:b/>
          <w:bCs/>
          <w:sz w:val="20"/>
          <w:szCs w:val="20"/>
        </w:rPr>
        <w:t>.</w:t>
      </w:r>
      <w:r w:rsidRPr="008245ED">
        <w:rPr>
          <w:rFonts w:cs="Times New Roman"/>
          <w:b/>
          <w:bCs/>
          <w:sz w:val="20"/>
          <w:szCs w:val="20"/>
        </w:rPr>
        <w:t xml:space="preserve"> </w:t>
      </w:r>
      <w:r w:rsidR="00097572" w:rsidRPr="008245ED">
        <w:rPr>
          <w:rFonts w:cs="Times New Roman"/>
          <w:sz w:val="20"/>
          <w:szCs w:val="20"/>
        </w:rPr>
        <w:t xml:space="preserve">Information needed to carry out assessment of compliance </w:t>
      </w:r>
      <w:r w:rsidR="00D04136" w:rsidRPr="008245ED">
        <w:rPr>
          <w:rFonts w:cs="Times New Roman"/>
          <w:i/>
          <w:iCs/>
          <w:sz w:val="20"/>
          <w:szCs w:val="20"/>
        </w:rPr>
        <w:t>(</w:t>
      </w:r>
      <w:r w:rsidR="008C2FB5" w:rsidRPr="008245ED">
        <w:rPr>
          <w:rFonts w:cs="Times New Roman"/>
          <w:i/>
          <w:iCs/>
          <w:sz w:val="20"/>
          <w:szCs w:val="20"/>
        </w:rPr>
        <w:t>i</w:t>
      </w:r>
      <w:r w:rsidR="00276E4F" w:rsidRPr="008245ED">
        <w:rPr>
          <w:rFonts w:cs="Times New Roman"/>
          <w:i/>
          <w:iCs/>
          <w:sz w:val="20"/>
          <w:szCs w:val="20"/>
        </w:rPr>
        <w:t xml:space="preserve">ncomplete table intended to be completed during the </w:t>
      </w:r>
      <w:r w:rsidR="00E751D8" w:rsidRPr="008245ED">
        <w:rPr>
          <w:rFonts w:cs="Times New Roman"/>
          <w:i/>
          <w:iCs/>
          <w:sz w:val="20"/>
          <w:szCs w:val="20"/>
        </w:rPr>
        <w:t xml:space="preserve">review </w:t>
      </w:r>
      <w:r w:rsidR="00276E4F" w:rsidRPr="008245ED">
        <w:rPr>
          <w:rFonts w:cs="Times New Roman"/>
          <w:i/>
          <w:iCs/>
          <w:sz w:val="20"/>
          <w:szCs w:val="20"/>
        </w:rPr>
        <w:t>process</w:t>
      </w:r>
      <w:r w:rsidR="00E751D8" w:rsidRPr="008245ED">
        <w:rPr>
          <w:rFonts w:cs="Times New Roman"/>
          <w:i/>
          <w:iCs/>
          <w:sz w:val="20"/>
          <w:szCs w:val="20"/>
        </w:rPr>
        <w:t>)</w:t>
      </w:r>
      <w:r w:rsidR="00097572" w:rsidRPr="008245ED">
        <w:rPr>
          <w:rFonts w:cs="Times New Roman"/>
          <w:i/>
          <w:iCs/>
          <w:sz w:val="20"/>
          <w:szCs w:val="20"/>
        </w:rPr>
        <w:t>.</w:t>
      </w:r>
    </w:p>
    <w:tbl>
      <w:tblPr>
        <w:tblStyle w:val="TableGrid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71"/>
        <w:gridCol w:w="3402"/>
        <w:gridCol w:w="3827"/>
        <w:gridCol w:w="2977"/>
      </w:tblGrid>
      <w:tr w:rsidR="002540D1" w:rsidRPr="008245ED" w14:paraId="0593ED32" w14:textId="77777777" w:rsidTr="00C37FC5">
        <w:trPr>
          <w:tblHeader/>
        </w:trPr>
        <w:tc>
          <w:tcPr>
            <w:tcW w:w="456" w:type="dxa"/>
            <w:vAlign w:val="center"/>
            <w:hideMark/>
          </w:tcPr>
          <w:p w14:paraId="7FE6395B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>#</w:t>
            </w:r>
          </w:p>
        </w:tc>
        <w:tc>
          <w:tcPr>
            <w:tcW w:w="2771" w:type="dxa"/>
            <w:vAlign w:val="center"/>
            <w:hideMark/>
          </w:tcPr>
          <w:p w14:paraId="4D4771DC" w14:textId="77777777" w:rsidR="002E5A05" w:rsidRPr="008245ED" w:rsidRDefault="002E5A05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Measure/rule</w:t>
            </w:r>
          </w:p>
          <w:p w14:paraId="3E335F88" w14:textId="2AE9E539" w:rsidR="004D3236" w:rsidRPr="008245ED" w:rsidRDefault="004D3236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(Point 3.1</w:t>
            </w:r>
            <w:r w:rsidR="00934B71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)</w:t>
            </w:r>
          </w:p>
        </w:tc>
        <w:tc>
          <w:tcPr>
            <w:tcW w:w="3402" w:type="dxa"/>
            <w:vAlign w:val="center"/>
            <w:hideMark/>
          </w:tcPr>
          <w:p w14:paraId="53E4A777" w14:textId="77777777" w:rsidR="002E5A05" w:rsidRPr="008245ED" w:rsidRDefault="002E5A05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 xml:space="preserve">Legal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>reference</w:t>
            </w:r>
            <w:proofErr w:type="spellEnd"/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fr-BE" w:eastAsia="fr-BE"/>
              </w:rPr>
              <w:t xml:space="preserve"> </w:t>
            </w:r>
          </w:p>
        </w:tc>
        <w:tc>
          <w:tcPr>
            <w:tcW w:w="3827" w:type="dxa"/>
            <w:vAlign w:val="center"/>
            <w:hideMark/>
          </w:tcPr>
          <w:p w14:paraId="3E00E820" w14:textId="459CD0E8" w:rsidR="002E5A05" w:rsidRPr="008245ED" w:rsidRDefault="001B19E8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Currently a</w:t>
            </w:r>
            <w:r w:rsidR="002E5A05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 xml:space="preserve">vailable docs/reporting obligation/information of interest </w:t>
            </w:r>
          </w:p>
          <w:p w14:paraId="05F96FE1" w14:textId="48C4F60F" w:rsidR="00934B71" w:rsidRPr="008245ED" w:rsidRDefault="00934B71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(Point 3.2)</w:t>
            </w:r>
          </w:p>
        </w:tc>
        <w:tc>
          <w:tcPr>
            <w:tcW w:w="2977" w:type="dxa"/>
            <w:vAlign w:val="center"/>
          </w:tcPr>
          <w:p w14:paraId="4D45B094" w14:textId="445F2AF9" w:rsidR="002E5A05" w:rsidRPr="008245ED" w:rsidRDefault="002E5A05" w:rsidP="009F0D10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Information required to assess compliance</w:t>
            </w:r>
            <w:r w:rsidR="00D64C31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.</w:t>
            </w:r>
            <w:r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 xml:space="preserve"> </w:t>
            </w:r>
            <w:r w:rsidR="00F1268B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Content of the reports/templates (Point 3.3</w:t>
            </w:r>
            <w:r w:rsidR="000B3381" w:rsidRPr="008245ED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IE" w:eastAsia="fr-BE"/>
              </w:rPr>
              <w:t>)</w:t>
            </w:r>
          </w:p>
        </w:tc>
      </w:tr>
      <w:tr w:rsidR="002540D1" w:rsidRPr="008245ED" w14:paraId="5838E5C5" w14:textId="77777777" w:rsidTr="00964B66">
        <w:tc>
          <w:tcPr>
            <w:tcW w:w="13433" w:type="dxa"/>
            <w:gridSpan w:val="5"/>
          </w:tcPr>
          <w:p w14:paraId="16FF38F6" w14:textId="736B3EB2" w:rsidR="002E5A05" w:rsidRPr="008245ED" w:rsidRDefault="002E5A05" w:rsidP="009F0D10">
            <w:pPr>
              <w:pStyle w:val="ListParagraph"/>
              <w:numPr>
                <w:ilvl w:val="1"/>
                <w:numId w:val="9"/>
              </w:num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Horizon</w:t>
            </w:r>
            <w:r w:rsidR="00825796"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t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al measures</w:t>
            </w:r>
          </w:p>
        </w:tc>
      </w:tr>
      <w:tr w:rsidR="002540D1" w:rsidRPr="008245ED" w14:paraId="68767F01" w14:textId="77777777" w:rsidTr="00964B66">
        <w:tc>
          <w:tcPr>
            <w:tcW w:w="456" w:type="dxa"/>
          </w:tcPr>
          <w:p w14:paraId="19D39D72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0</w:t>
            </w:r>
          </w:p>
        </w:tc>
        <w:tc>
          <w:tcPr>
            <w:tcW w:w="2771" w:type="dxa"/>
          </w:tcPr>
          <w:p w14:paraId="664BE0F3" w14:textId="77777777" w:rsidR="002E5A05" w:rsidRPr="008245ED" w:rsidRDefault="002E5A05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Reporting obligations</w:t>
            </w:r>
          </w:p>
        </w:tc>
        <w:tc>
          <w:tcPr>
            <w:tcW w:w="3402" w:type="dxa"/>
          </w:tcPr>
          <w:p w14:paraId="0801AF82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43B6D0EA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COC_301/2024 (CPC Annual Reports)</w:t>
            </w:r>
          </w:p>
        </w:tc>
        <w:tc>
          <w:tcPr>
            <w:tcW w:w="2977" w:type="dxa"/>
          </w:tcPr>
          <w:p w14:paraId="57796DCF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Summary report indicating late and incomplete information</w:t>
            </w:r>
          </w:p>
        </w:tc>
      </w:tr>
      <w:tr w:rsidR="002540D1" w:rsidRPr="008245ED" w14:paraId="5E67CDF2" w14:textId="77777777" w:rsidTr="00964B66">
        <w:tc>
          <w:tcPr>
            <w:tcW w:w="456" w:type="dxa"/>
            <w:hideMark/>
          </w:tcPr>
          <w:p w14:paraId="24F33D48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</w:t>
            </w:r>
          </w:p>
        </w:tc>
        <w:tc>
          <w:tcPr>
            <w:tcW w:w="2771" w:type="dxa"/>
            <w:hideMark/>
          </w:tcPr>
          <w:p w14:paraId="2282A68F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Catch limits / TACs and quota application (over/under harvests, transfers, repayment rules)</w:t>
            </w:r>
          </w:p>
        </w:tc>
        <w:tc>
          <w:tcPr>
            <w:tcW w:w="3402" w:type="dxa"/>
            <w:hideMark/>
          </w:tcPr>
          <w:p w14:paraId="4BFAAF35" w14:textId="3178BB03" w:rsidR="00E56D23" w:rsidRPr="008245ED" w:rsidRDefault="00E56D23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00-14 (GEN); Rec. 22-18 (GEN); species-specific Recs. (e.g., 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23-02, 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24-01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)</w:t>
            </w:r>
            <w:r w:rsidR="009A146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;</w:t>
            </w:r>
            <w:proofErr w:type="gramEnd"/>
          </w:p>
          <w:p w14:paraId="093C86A8" w14:textId="2388A3A5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 on multi-annual programmes &amp; quota rules (e.g., Tropical tunas Rec. series, Rec. 24-01; rules on under/overharvest &amp; quota tables). See also Rec. 11-11 on compliance reporting format.</w:t>
            </w:r>
          </w:p>
        </w:tc>
        <w:tc>
          <w:tcPr>
            <w:tcW w:w="3827" w:type="dxa"/>
            <w:hideMark/>
          </w:tcPr>
          <w:p w14:paraId="7206922D" w14:textId="4C08394B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COC_308/2024 (Annex 3, overharvest tables); Draft Compliance Tables COC_304 (Annex 1 “Application of Over/Underharvest”); - Task </w:t>
            </w:r>
            <w:r w:rsidR="00EE7BBC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1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catch data (annual), SCRS catch compilations; - Secretariat’s Compliance Annex / Draft Summary Compliance Tables.</w:t>
            </w:r>
          </w:p>
          <w:p w14:paraId="0122BC91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Annex 1 – Trade Information (Rec. 06-13) under COC_303/2024</w:t>
            </w:r>
          </w:p>
        </w:tc>
        <w:tc>
          <w:tcPr>
            <w:tcW w:w="2977" w:type="dxa"/>
          </w:tcPr>
          <w:p w14:paraId="2CA8AFAA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61B12682" w14:textId="77777777" w:rsidTr="00964B66">
        <w:tc>
          <w:tcPr>
            <w:tcW w:w="456" w:type="dxa"/>
            <w:hideMark/>
          </w:tcPr>
          <w:p w14:paraId="4F54A34E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2</w:t>
            </w:r>
          </w:p>
        </w:tc>
        <w:tc>
          <w:tcPr>
            <w:tcW w:w="2771" w:type="dxa"/>
            <w:hideMark/>
          </w:tcPr>
          <w:p w14:paraId="7D09B628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 xml:space="preserve">Observer coverage </w:t>
            </w:r>
          </w:p>
        </w:tc>
        <w:tc>
          <w:tcPr>
            <w:tcW w:w="3402" w:type="dxa"/>
            <w:hideMark/>
          </w:tcPr>
          <w:p w14:paraId="789E2007" w14:textId="4984770F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 on minimum observer standards and coverage (Rec.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16-14; Recs on observer safety 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19-10, </w:t>
            </w:r>
            <w:r w:rsidR="007D476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24-14).</w:t>
            </w:r>
          </w:p>
        </w:tc>
        <w:tc>
          <w:tcPr>
            <w:tcW w:w="3827" w:type="dxa"/>
            <w:hideMark/>
          </w:tcPr>
          <w:p w14:paraId="653FA45A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COC_318/2024 (summary information on scientific observer programmes)</w:t>
            </w:r>
          </w:p>
          <w:p w14:paraId="5590FB9E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Annual observer coverage summaries (coverage % by fleet, gear, fishery); -, observer data submitted to Secretariat/SCRS. </w:t>
            </w:r>
          </w:p>
        </w:tc>
        <w:tc>
          <w:tcPr>
            <w:tcW w:w="2977" w:type="dxa"/>
          </w:tcPr>
          <w:p w14:paraId="3611BDF5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Document with the number of active vessels in each regulated fishery and the number of vessels covered with observers (see example in Annex 1)</w:t>
            </w:r>
          </w:p>
        </w:tc>
      </w:tr>
      <w:tr w:rsidR="002540D1" w:rsidRPr="008245ED" w14:paraId="576F867D" w14:textId="77777777" w:rsidTr="00964B66">
        <w:tc>
          <w:tcPr>
            <w:tcW w:w="456" w:type="dxa"/>
            <w:hideMark/>
          </w:tcPr>
          <w:p w14:paraId="641F4681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2771" w:type="dxa"/>
            <w:hideMark/>
          </w:tcPr>
          <w:p w14:paraId="1EE0B7AE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Vessel Monitoring System (VMS) compliance (coverage, anomalies)</w:t>
            </w:r>
          </w:p>
        </w:tc>
        <w:tc>
          <w:tcPr>
            <w:tcW w:w="3402" w:type="dxa"/>
            <w:hideMark/>
          </w:tcPr>
          <w:p w14:paraId="2DF34882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18-10 Minimum standards for VMS (and Rec. 21-16 for bluefin VMS D/F). </w:t>
            </w:r>
          </w:p>
        </w:tc>
        <w:tc>
          <w:tcPr>
            <w:tcW w:w="3827" w:type="dxa"/>
            <w:hideMark/>
          </w:tcPr>
          <w:p w14:paraId="7A147B67" w14:textId="77777777" w:rsidR="001B505B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Secretariat summaries of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anomalies;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93162D7" w14:textId="40070F82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Correspondence on VMS irregularities and flag-state investigations.</w:t>
            </w:r>
          </w:p>
        </w:tc>
        <w:tc>
          <w:tcPr>
            <w:tcW w:w="2977" w:type="dxa"/>
          </w:tcPr>
          <w:p w14:paraId="26A9B41D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15E3E715" w14:textId="77777777" w:rsidTr="00964B66">
        <w:tc>
          <w:tcPr>
            <w:tcW w:w="456" w:type="dxa"/>
            <w:hideMark/>
          </w:tcPr>
          <w:p w14:paraId="6C874DF6" w14:textId="77777777" w:rsidR="002E5A05" w:rsidRPr="008245ED" w:rsidRDefault="002E5A05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4</w:t>
            </w:r>
          </w:p>
        </w:tc>
        <w:tc>
          <w:tcPr>
            <w:tcW w:w="2771" w:type="dxa"/>
            <w:hideMark/>
          </w:tcPr>
          <w:p w14:paraId="1DC6CD6E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Record of authorized vessels / ICCAT Record &amp; active vessels lists</w:t>
            </w:r>
          </w:p>
        </w:tc>
        <w:tc>
          <w:tcPr>
            <w:tcW w:w="3402" w:type="dxa"/>
            <w:hideMark/>
          </w:tcPr>
          <w:p w14:paraId="6EC3C090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establishing ICCAT Record of vessels and </w:t>
            </w:r>
            <w:proofErr w:type="spell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Rec.s</w:t>
            </w:r>
            <w:proofErr w:type="spell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within species-specific measures requiring notification of authorized vessels (e.g., Tropical tuna Rec. provisions). </w:t>
            </w:r>
          </w:p>
        </w:tc>
        <w:tc>
          <w:tcPr>
            <w:tcW w:w="3827" w:type="dxa"/>
            <w:hideMark/>
          </w:tcPr>
          <w:p w14:paraId="70EA103F" w14:textId="77777777" w:rsidR="001B505B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Secretariat’s published ICCAT Record and “vessels that fished”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list;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6BF38B7" w14:textId="2CDBBDCC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Evidence of timely notifications for additions/deletions. </w:t>
            </w:r>
          </w:p>
        </w:tc>
        <w:tc>
          <w:tcPr>
            <w:tcW w:w="2977" w:type="dxa"/>
          </w:tcPr>
          <w:p w14:paraId="571E33A9" w14:textId="77777777" w:rsidR="002E5A05" w:rsidRPr="008245ED" w:rsidRDefault="002E5A0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Summary document with the number of vessels authorised by each CPC and fishery</w:t>
            </w:r>
          </w:p>
          <w:p w14:paraId="50EFAD9B" w14:textId="770CB160" w:rsidR="009E2E95" w:rsidRPr="008245ED" w:rsidRDefault="009E2E95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CPCs </w:t>
            </w:r>
            <w:r w:rsidR="005779F0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properly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update</w:t>
            </w:r>
            <w:r w:rsidR="005779F0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register</w:t>
            </w:r>
            <w:r w:rsidR="00D713E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(timely notification to ICCAT)</w:t>
            </w:r>
          </w:p>
        </w:tc>
      </w:tr>
      <w:tr w:rsidR="002540D1" w:rsidRPr="008245ED" w14:paraId="44812D85" w14:textId="77777777" w:rsidTr="00964B66">
        <w:tc>
          <w:tcPr>
            <w:tcW w:w="456" w:type="dxa"/>
          </w:tcPr>
          <w:p w14:paraId="78538AA9" w14:textId="518872CA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5</w:t>
            </w:r>
          </w:p>
        </w:tc>
        <w:tc>
          <w:tcPr>
            <w:tcW w:w="2771" w:type="dxa"/>
          </w:tcPr>
          <w:p w14:paraId="37FB5E25" w14:textId="7AA8A192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Fishing capacity management</w:t>
            </w:r>
          </w:p>
        </w:tc>
        <w:tc>
          <w:tcPr>
            <w:tcW w:w="3402" w:type="dxa"/>
          </w:tcPr>
          <w:p w14:paraId="415788E2" w14:textId="7451364F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s-ES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Rec. 24-01 (Tropical tunas); Rec. 22-04 (</w:t>
            </w:r>
            <w:proofErr w:type="spellStart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Swordfish</w:t>
            </w:r>
            <w:proofErr w:type="spellEnd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 xml:space="preserve">); </w:t>
            </w:r>
            <w:proofErr w:type="spellStart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Rec</w:t>
            </w:r>
            <w:proofErr w:type="spellEnd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 xml:space="preserve"> 24-05 (</w:t>
            </w:r>
            <w:proofErr w:type="spellStart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b</w:t>
            </w:r>
            <w:r w:rsidR="00825796"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l</w:t>
            </w:r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uefin</w:t>
            </w:r>
            <w:proofErr w:type="spellEnd"/>
            <w:r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 xml:space="preserve"> tuna)</w:t>
            </w:r>
            <w:r w:rsidR="006D3F1A" w:rsidRPr="008245ED">
              <w:rPr>
                <w:rFonts w:eastAsia="Times New Roman" w:cs="Times New Roman"/>
                <w:sz w:val="20"/>
                <w:szCs w:val="20"/>
                <w:lang w:val="es-ES" w:eastAsia="fr-BE"/>
              </w:rPr>
              <w:t>.</w:t>
            </w:r>
          </w:p>
        </w:tc>
        <w:tc>
          <w:tcPr>
            <w:tcW w:w="3827" w:type="dxa"/>
          </w:tcPr>
          <w:p w14:paraId="562B1EF7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s-ES" w:eastAsia="fr-BE"/>
              </w:rPr>
            </w:pPr>
          </w:p>
        </w:tc>
        <w:tc>
          <w:tcPr>
            <w:tcW w:w="2977" w:type="dxa"/>
          </w:tcPr>
          <w:p w14:paraId="0F62CE2C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Number of authorized vessels consistent with quota/catch limits.</w:t>
            </w:r>
          </w:p>
          <w:p w14:paraId="4F4FD3E7" w14:textId="366F4A18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Flee</w:t>
            </w:r>
            <w:r w:rsidR="00825796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t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register, list of active vessels</w:t>
            </w:r>
          </w:p>
        </w:tc>
      </w:tr>
      <w:tr w:rsidR="002540D1" w:rsidRPr="008245ED" w14:paraId="0AF14473" w14:textId="77777777" w:rsidTr="00964B66">
        <w:tc>
          <w:tcPr>
            <w:tcW w:w="456" w:type="dxa"/>
            <w:hideMark/>
          </w:tcPr>
          <w:p w14:paraId="6324C6F3" w14:textId="7777777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6</w:t>
            </w:r>
          </w:p>
        </w:tc>
        <w:tc>
          <w:tcPr>
            <w:tcW w:w="2771" w:type="dxa"/>
            <w:hideMark/>
          </w:tcPr>
          <w:p w14:paraId="14F14C92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GB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GB" w:eastAsia="fr-BE"/>
              </w:rPr>
              <w:t xml:space="preserve">Electronic catch documentation / statistical 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GB" w:eastAsia="fr-BE"/>
              </w:rPr>
              <w:lastRenderedPageBreak/>
              <w:t>document programs (eBCD, CDS, SDP)</w:t>
            </w:r>
          </w:p>
        </w:tc>
        <w:tc>
          <w:tcPr>
            <w:tcW w:w="3402" w:type="dxa"/>
            <w:hideMark/>
          </w:tcPr>
          <w:p w14:paraId="08132CEC" w14:textId="70AB61ED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lastRenderedPageBreak/>
              <w:t xml:space="preserve">eBCD / Bluefin CDS &amp; broader SDP Recs (eBCD Recs and </w:t>
            </w:r>
            <w:r w:rsidR="006D3F1A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23-21, </w:t>
            </w:r>
            <w:r w:rsidR="006D3F1A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24-16</w:t>
            </w:r>
            <w:r w:rsidR="006D3F1A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,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etc.). </w:t>
            </w:r>
          </w:p>
        </w:tc>
        <w:tc>
          <w:tcPr>
            <w:tcW w:w="3827" w:type="dxa"/>
            <w:hideMark/>
          </w:tcPr>
          <w:p w14:paraId="62AF0FD5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70FF3DC3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27C10E50" w14:textId="77777777" w:rsidTr="00964B66">
        <w:tc>
          <w:tcPr>
            <w:tcW w:w="456" w:type="dxa"/>
            <w:hideMark/>
          </w:tcPr>
          <w:p w14:paraId="64DBA4C0" w14:textId="7777777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7</w:t>
            </w:r>
          </w:p>
        </w:tc>
        <w:tc>
          <w:tcPr>
            <w:tcW w:w="2771" w:type="dxa"/>
            <w:hideMark/>
          </w:tcPr>
          <w:p w14:paraId="594C43B3" w14:textId="20D78F54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 xml:space="preserve">Statistical reporting obligations (Task </w:t>
            </w:r>
            <w:r w:rsidR="00825796"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1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/</w:t>
            </w:r>
            <w:r w:rsidR="00825796"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2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/</w:t>
            </w:r>
            <w:r w:rsidR="00825796"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3</w:t>
            </w: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, port sampling, logbooks)</w:t>
            </w:r>
          </w:p>
        </w:tc>
        <w:tc>
          <w:tcPr>
            <w:tcW w:w="3402" w:type="dxa"/>
            <w:hideMark/>
          </w:tcPr>
          <w:p w14:paraId="5DCDFDB9" w14:textId="79D8AF9D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Recs and Resolutions on submission of Task 1/2/3 data, port sampling programmes and guidelines for Annual Reports and reporting deadlines (Rec. 05-09, Rec. 18-07; IOMS guidance).</w:t>
            </w:r>
          </w:p>
        </w:tc>
        <w:tc>
          <w:tcPr>
            <w:tcW w:w="3827" w:type="dxa"/>
            <w:hideMark/>
          </w:tcPr>
          <w:p w14:paraId="045F09E7" w14:textId="77777777" w:rsidR="008C5782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Submitted Task 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1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/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/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3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datasets (files uploaded to Secretariat/IOMS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);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2CEC6D78" w14:textId="77777777" w:rsidR="008C5782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National 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Annual Reports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(Part I/II and appendices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);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F1BC42C" w14:textId="77777777" w:rsidR="008C5782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Port sampling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reports;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428B77ED" w14:textId="4E2CCE42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Evidence of SCRS use of data and any identified gaps. </w:t>
            </w:r>
          </w:p>
        </w:tc>
        <w:tc>
          <w:tcPr>
            <w:tcW w:w="2977" w:type="dxa"/>
          </w:tcPr>
          <w:p w14:paraId="7B849124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228D7EEA" w14:textId="77777777" w:rsidTr="00964B66">
        <w:tc>
          <w:tcPr>
            <w:tcW w:w="456" w:type="dxa"/>
          </w:tcPr>
          <w:p w14:paraId="7A3C6B2C" w14:textId="35B7E42F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8</w:t>
            </w:r>
          </w:p>
        </w:tc>
        <w:tc>
          <w:tcPr>
            <w:tcW w:w="2771" w:type="dxa"/>
          </w:tcPr>
          <w:p w14:paraId="7AE86DAB" w14:textId="20B80A3B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Bycatch &amp; Discards</w:t>
            </w:r>
          </w:p>
        </w:tc>
        <w:tc>
          <w:tcPr>
            <w:tcW w:w="3402" w:type="dxa"/>
          </w:tcPr>
          <w:p w14:paraId="41C42E89" w14:textId="7163C2BD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Rec. 22-12 (Sea turtles); Rec. 07-07 (Seabirds); Rec. 18-06 (Sharks)</w:t>
            </w:r>
          </w:p>
        </w:tc>
        <w:tc>
          <w:tcPr>
            <w:tcW w:w="3827" w:type="dxa"/>
          </w:tcPr>
          <w:p w14:paraId="1E3A0986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3E093254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CPC collects and submits bycatch data.</w:t>
            </w:r>
          </w:p>
          <w:p w14:paraId="01DC9111" w14:textId="1348749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Mitigation devices (circle hooks, tori lines, etc.) used.</w:t>
            </w:r>
          </w:p>
          <w:p w14:paraId="338C25A8" w14:textId="0B5A4BCD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Discard rates of total catch.</w:t>
            </w:r>
          </w:p>
        </w:tc>
      </w:tr>
      <w:tr w:rsidR="002540D1" w:rsidRPr="008245ED" w14:paraId="61710EE7" w14:textId="77777777" w:rsidTr="00964B66">
        <w:tc>
          <w:tcPr>
            <w:tcW w:w="456" w:type="dxa"/>
          </w:tcPr>
          <w:p w14:paraId="344ECCD5" w14:textId="6AB9BE88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9</w:t>
            </w:r>
          </w:p>
        </w:tc>
        <w:tc>
          <w:tcPr>
            <w:tcW w:w="2771" w:type="dxa"/>
          </w:tcPr>
          <w:p w14:paraId="4E14E2F1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Joint International Inspection Scheme</w:t>
            </w:r>
          </w:p>
        </w:tc>
        <w:tc>
          <w:tcPr>
            <w:tcW w:w="3402" w:type="dxa"/>
          </w:tcPr>
          <w:p w14:paraId="1253100B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179B3D55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Appendix 4 (Inspection reports under Joint Scheme) &amp; Addenda (responses) under COC_303 Appendix 4</w:t>
            </w:r>
          </w:p>
        </w:tc>
        <w:tc>
          <w:tcPr>
            <w:tcW w:w="2977" w:type="dxa"/>
          </w:tcPr>
          <w:p w14:paraId="314FAC07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Summary table with inspections carried out and their result</w:t>
            </w:r>
          </w:p>
          <w:p w14:paraId="7A737A20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Follow up given to possible infringements reported</w:t>
            </w:r>
          </w:p>
          <w:p w14:paraId="398C965C" w14:textId="5CAA1B26" w:rsidR="00D65E2F" w:rsidRPr="008245ED" w:rsidRDefault="00D65E2F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6A1F3BFC" w14:textId="77777777" w:rsidTr="00964B66">
        <w:tc>
          <w:tcPr>
            <w:tcW w:w="456" w:type="dxa"/>
          </w:tcPr>
          <w:p w14:paraId="495598B2" w14:textId="1662846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10</w:t>
            </w:r>
          </w:p>
        </w:tc>
        <w:tc>
          <w:tcPr>
            <w:tcW w:w="2771" w:type="dxa"/>
          </w:tcPr>
          <w:p w14:paraId="73CFCA44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Observers (compliance) Possible non-compliances reported by ICCAT regional observers</w:t>
            </w:r>
          </w:p>
        </w:tc>
        <w:tc>
          <w:tcPr>
            <w:tcW w:w="3402" w:type="dxa"/>
          </w:tcPr>
          <w:p w14:paraId="058F783C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37057958" w14:textId="1140D37C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COC-305</w:t>
            </w:r>
          </w:p>
          <w:p w14:paraId="6C044E11" w14:textId="77777777" w:rsidR="0024175E" w:rsidRPr="008245ED" w:rsidRDefault="0024175E" w:rsidP="009F0D10">
            <w:pPr>
              <w:jc w:val="center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7C33CBD2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43AF1FB9" w14:textId="77777777" w:rsidTr="00964B66">
        <w:tc>
          <w:tcPr>
            <w:tcW w:w="456" w:type="dxa"/>
            <w:hideMark/>
          </w:tcPr>
          <w:p w14:paraId="4B4D26C3" w14:textId="5E19979E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11</w:t>
            </w:r>
          </w:p>
        </w:tc>
        <w:tc>
          <w:tcPr>
            <w:tcW w:w="2771" w:type="dxa"/>
            <w:hideMark/>
          </w:tcPr>
          <w:p w14:paraId="69D4D61D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 xml:space="preserve">Transhipment </w:t>
            </w:r>
          </w:p>
        </w:tc>
        <w:tc>
          <w:tcPr>
            <w:tcW w:w="3402" w:type="dxa"/>
            <w:hideMark/>
          </w:tcPr>
          <w:p w14:paraId="2526F71F" w14:textId="02FC039F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on transhipment (including recent amendments, e.g. Rec. 21-15 and </w:t>
            </w:r>
            <w:r w:rsidR="008C5782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24-15 amendments) and related inspection rules. </w:t>
            </w:r>
          </w:p>
        </w:tc>
        <w:tc>
          <w:tcPr>
            <w:tcW w:w="3827" w:type="dxa"/>
            <w:hideMark/>
          </w:tcPr>
          <w:p w14:paraId="155B9C3F" w14:textId="77777777" w:rsidR="008C5782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Transhipment authorizations and transhipment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declarations;  Observer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/inspection reports for at-sea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transhipments;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62E318E8" w14:textId="06A2D0F2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Port State transhipment controls. </w:t>
            </w:r>
          </w:p>
        </w:tc>
        <w:tc>
          <w:tcPr>
            <w:tcW w:w="2977" w:type="dxa"/>
          </w:tcPr>
          <w:p w14:paraId="3D3F6269" w14:textId="3E2068F0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08409657" w14:textId="77777777" w:rsidTr="00964B66">
        <w:tc>
          <w:tcPr>
            <w:tcW w:w="456" w:type="dxa"/>
            <w:hideMark/>
          </w:tcPr>
          <w:p w14:paraId="3060E449" w14:textId="71B53C50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12</w:t>
            </w:r>
          </w:p>
        </w:tc>
        <w:tc>
          <w:tcPr>
            <w:tcW w:w="2771" w:type="dxa"/>
            <w:hideMark/>
          </w:tcPr>
          <w:p w14:paraId="10228376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Port State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Measures</w:t>
            </w:r>
            <w:proofErr w:type="spellEnd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 and IUU actions (PSM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implementation</w:t>
            </w:r>
            <w:proofErr w:type="spellEnd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, IUU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vessel</w:t>
            </w:r>
            <w:proofErr w:type="spellEnd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 xml:space="preserve"> </w:t>
            </w:r>
            <w:proofErr w:type="spellStart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list</w:t>
            </w:r>
            <w:proofErr w:type="spellEnd"/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fr-BE" w:eastAsia="fr-BE"/>
              </w:rPr>
              <w:t>)</w:t>
            </w:r>
          </w:p>
        </w:tc>
        <w:tc>
          <w:tcPr>
            <w:tcW w:w="3402" w:type="dxa"/>
            <w:hideMark/>
          </w:tcPr>
          <w:p w14:paraId="171A0F86" w14:textId="51C190A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on 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PSM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and Rec. 23-17 (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PSM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), Rec. on IUU listing procedures and 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Rec.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23-16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,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etc. </w:t>
            </w:r>
          </w:p>
        </w:tc>
        <w:tc>
          <w:tcPr>
            <w:tcW w:w="3827" w:type="dxa"/>
            <w:hideMark/>
          </w:tcPr>
          <w:p w14:paraId="02E667D6" w14:textId="77777777" w:rsidR="00D65E2F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Port inspection reports; PSM national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regulations;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19D5DE8B" w14:textId="77777777" w:rsidR="00D65E2F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Evidence of actions against vessels on provisional/confirmed IUU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lists;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5DD2505C" w14:textId="40BCD54F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Trade restriction notifications. </w:t>
            </w:r>
          </w:p>
        </w:tc>
        <w:tc>
          <w:tcPr>
            <w:tcW w:w="2977" w:type="dxa"/>
          </w:tcPr>
          <w:p w14:paraId="7C66876A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Inspection rate ≥5%.</w:t>
            </w:r>
          </w:p>
          <w:p w14:paraId="0465F19C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Violations reported and followed up.</w:t>
            </w:r>
          </w:p>
          <w:p w14:paraId="6861BA9A" w14:textId="55F2AA23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Port entry denied for listed IUU vessels.</w:t>
            </w:r>
          </w:p>
        </w:tc>
      </w:tr>
      <w:tr w:rsidR="002540D1" w:rsidRPr="008245ED" w14:paraId="339702AE" w14:textId="77777777" w:rsidTr="00964B66">
        <w:trPr>
          <w:trHeight w:val="300"/>
        </w:trPr>
        <w:tc>
          <w:tcPr>
            <w:tcW w:w="456" w:type="dxa"/>
            <w:hideMark/>
          </w:tcPr>
          <w:p w14:paraId="490A7A0C" w14:textId="2B88348F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GB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GB" w:eastAsia="fr-BE"/>
              </w:rPr>
              <w:lastRenderedPageBreak/>
              <w:t>13</w:t>
            </w:r>
          </w:p>
        </w:tc>
        <w:tc>
          <w:tcPr>
            <w:tcW w:w="2771" w:type="dxa"/>
            <w:hideMark/>
          </w:tcPr>
          <w:p w14:paraId="31F8E76A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Capacity building</w:t>
            </w:r>
          </w:p>
        </w:tc>
        <w:tc>
          <w:tcPr>
            <w:tcW w:w="3402" w:type="dxa"/>
            <w:hideMark/>
          </w:tcPr>
          <w:p w14:paraId="34D2AB2B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  <w:hideMark/>
          </w:tcPr>
          <w:p w14:paraId="10FD6C69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6534BF2D" w14:textId="47619C49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>CPCs that have received capacity building (date, content,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 xml:space="preserve"> etc.</w:t>
            </w:r>
            <w:r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>)</w:t>
            </w:r>
            <w:r w:rsidR="00D65E2F"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>.</w:t>
            </w:r>
          </w:p>
        </w:tc>
      </w:tr>
      <w:tr w:rsidR="002540D1" w:rsidRPr="008245ED" w14:paraId="3B2392A1" w14:textId="77777777" w:rsidTr="00964B66">
        <w:tc>
          <w:tcPr>
            <w:tcW w:w="13433" w:type="dxa"/>
            <w:gridSpan w:val="5"/>
          </w:tcPr>
          <w:p w14:paraId="434EA52D" w14:textId="77777777" w:rsidR="0024175E" w:rsidRPr="008245ED" w:rsidRDefault="0024175E" w:rsidP="009F0D10">
            <w:pPr>
              <w:pStyle w:val="ListParagraph"/>
              <w:numPr>
                <w:ilvl w:val="1"/>
                <w:numId w:val="9"/>
              </w:num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Fisheries related measures</w:t>
            </w:r>
          </w:p>
        </w:tc>
      </w:tr>
      <w:tr w:rsidR="002540D1" w:rsidRPr="008245ED" w14:paraId="332BE316" w14:textId="77777777" w:rsidTr="00964B66">
        <w:tc>
          <w:tcPr>
            <w:tcW w:w="13433" w:type="dxa"/>
            <w:gridSpan w:val="5"/>
          </w:tcPr>
          <w:p w14:paraId="5EBCF7D0" w14:textId="7777777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  <w:p w14:paraId="127BD1CA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BFT</w:t>
            </w:r>
          </w:p>
        </w:tc>
      </w:tr>
      <w:tr w:rsidR="002540D1" w:rsidRPr="008245ED" w14:paraId="45C1C214" w14:textId="77777777" w:rsidTr="00964B66">
        <w:tc>
          <w:tcPr>
            <w:tcW w:w="456" w:type="dxa"/>
          </w:tcPr>
          <w:p w14:paraId="35B39F61" w14:textId="15E8DB36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14</w:t>
            </w:r>
          </w:p>
        </w:tc>
        <w:tc>
          <w:tcPr>
            <w:tcW w:w="2771" w:type="dxa"/>
          </w:tcPr>
          <w:p w14:paraId="46F624A7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Input farming capacity</w:t>
            </w:r>
          </w:p>
        </w:tc>
        <w:tc>
          <w:tcPr>
            <w:tcW w:w="3402" w:type="dxa"/>
          </w:tcPr>
          <w:p w14:paraId="6BE90164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64E75AA7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Report on annual amount of caging (not a COC document)</w:t>
            </w:r>
          </w:p>
        </w:tc>
        <w:tc>
          <w:tcPr>
            <w:tcW w:w="2977" w:type="dxa"/>
          </w:tcPr>
          <w:p w14:paraId="1A8DA64A" w14:textId="2F2AEC75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Para 24, Rec</w:t>
            </w:r>
            <w:r w:rsidR="00AE6E2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.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24-05</w:t>
            </w:r>
          </w:p>
          <w:p w14:paraId="473134C2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eastAsia="fr-BE"/>
              </w:rPr>
              <w:t>Quantities caged, harvested, traded by CPC (extracted from eBCD)</w:t>
            </w:r>
          </w:p>
        </w:tc>
      </w:tr>
      <w:tr w:rsidR="002540D1" w:rsidRPr="008245ED" w14:paraId="61B092CF" w14:textId="77777777" w:rsidTr="00964B66">
        <w:tc>
          <w:tcPr>
            <w:tcW w:w="456" w:type="dxa"/>
          </w:tcPr>
          <w:p w14:paraId="353F5DAC" w14:textId="0A379CE9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15</w:t>
            </w:r>
          </w:p>
        </w:tc>
        <w:tc>
          <w:tcPr>
            <w:tcW w:w="2771" w:type="dxa"/>
          </w:tcPr>
          <w:p w14:paraId="5AF9523F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Random controls</w:t>
            </w:r>
          </w:p>
        </w:tc>
        <w:tc>
          <w:tcPr>
            <w:tcW w:w="3402" w:type="dxa"/>
          </w:tcPr>
          <w:p w14:paraId="29D50EA9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3827" w:type="dxa"/>
          </w:tcPr>
          <w:p w14:paraId="6DA01FB7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  <w:tc>
          <w:tcPr>
            <w:tcW w:w="2977" w:type="dxa"/>
          </w:tcPr>
          <w:p w14:paraId="32EDA3C5" w14:textId="77777777" w:rsidR="0024175E" w:rsidRPr="008245ED" w:rsidRDefault="0024175E" w:rsidP="009F0D10">
            <w:pPr>
              <w:ind w:firstLine="720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  <w:tr w:rsidR="002540D1" w:rsidRPr="008245ED" w14:paraId="6D8A61E5" w14:textId="77777777" w:rsidTr="00964B66">
        <w:tc>
          <w:tcPr>
            <w:tcW w:w="13433" w:type="dxa"/>
            <w:gridSpan w:val="5"/>
          </w:tcPr>
          <w:p w14:paraId="4DFCEBA9" w14:textId="77777777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  <w:p w14:paraId="7AE991C6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TRO</w:t>
            </w:r>
          </w:p>
        </w:tc>
      </w:tr>
      <w:tr w:rsidR="0024175E" w:rsidRPr="008245ED" w14:paraId="77D45635" w14:textId="77777777" w:rsidTr="00964B66">
        <w:tc>
          <w:tcPr>
            <w:tcW w:w="456" w:type="dxa"/>
          </w:tcPr>
          <w:p w14:paraId="70DA8FE4" w14:textId="51E826D1" w:rsidR="0024175E" w:rsidRPr="008245ED" w:rsidRDefault="0024175E" w:rsidP="009F0D10">
            <w:pPr>
              <w:jc w:val="right"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fr-BE" w:eastAsia="fr-BE"/>
              </w:rPr>
              <w:t>16</w:t>
            </w:r>
          </w:p>
        </w:tc>
        <w:tc>
          <w:tcPr>
            <w:tcW w:w="2771" w:type="dxa"/>
          </w:tcPr>
          <w:p w14:paraId="0BCF07DB" w14:textId="77777777" w:rsidR="0024175E" w:rsidRPr="008245ED" w:rsidRDefault="0024175E" w:rsidP="009F0D10">
            <w:pPr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b/>
                <w:bCs/>
                <w:sz w:val="20"/>
                <w:szCs w:val="20"/>
                <w:lang w:val="en-IE" w:eastAsia="fr-BE"/>
              </w:rPr>
              <w:t>FAD management (FAD Management Plans, FAD logbooks, deployment limits, non-entangling/biodegradable rules)</w:t>
            </w:r>
          </w:p>
        </w:tc>
        <w:tc>
          <w:tcPr>
            <w:tcW w:w="3402" w:type="dxa"/>
          </w:tcPr>
          <w:p w14:paraId="206D10F0" w14:textId="2829529F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Multi-annual </w:t>
            </w:r>
            <w:r w:rsidR="00AE6E2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tropical tunas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Recs including Annexes on FAD Management Plans, FAD logbook templates and reporting requirements (Recs 16-01 onward; Rec.</w:t>
            </w:r>
            <w:r w:rsidR="00AE6E2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24-01</w:t>
            </w:r>
            <w:r w:rsidR="00AE6E2B"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,</w:t>
            </w: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etc.).</w:t>
            </w:r>
          </w:p>
        </w:tc>
        <w:tc>
          <w:tcPr>
            <w:tcW w:w="3827" w:type="dxa"/>
          </w:tcPr>
          <w:p w14:paraId="167A2C15" w14:textId="77777777" w:rsidR="00AE6E2B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CPC FAD Management Plans (submitted to Secretariat) and annual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updates;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15872F6B" w14:textId="77777777" w:rsidR="00AE6E2B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Vessel FAD logbooks, monthly lists of deployed FADs (1°x1° grids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);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712BC629" w14:textId="77777777" w:rsidR="00AE6E2B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Buoy/echo-sounder identifier lists and telecommunication / buoy activation </w:t>
            </w:r>
            <w:proofErr w:type="gramStart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stats;</w:t>
            </w:r>
            <w:proofErr w:type="gramEnd"/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 xml:space="preserve"> </w:t>
            </w:r>
          </w:p>
          <w:p w14:paraId="132F7964" w14:textId="2F5194EE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  <w:r w:rsidRPr="008245ED">
              <w:rPr>
                <w:rFonts w:eastAsia="Times New Roman" w:cs="Times New Roman"/>
                <w:sz w:val="20"/>
                <w:szCs w:val="20"/>
                <w:lang w:val="en-IE" w:eastAsia="fr-BE"/>
              </w:rPr>
              <w:t>SCRS FAD datasets (from Secretariat).</w:t>
            </w:r>
          </w:p>
        </w:tc>
        <w:tc>
          <w:tcPr>
            <w:tcW w:w="2977" w:type="dxa"/>
          </w:tcPr>
          <w:p w14:paraId="1F50BFA1" w14:textId="77777777" w:rsidR="0024175E" w:rsidRPr="008245ED" w:rsidRDefault="0024175E" w:rsidP="009F0D10">
            <w:pPr>
              <w:rPr>
                <w:rFonts w:eastAsia="Times New Roman" w:cs="Times New Roman"/>
                <w:sz w:val="20"/>
                <w:szCs w:val="20"/>
                <w:lang w:val="en-IE" w:eastAsia="fr-BE"/>
              </w:rPr>
            </w:pPr>
          </w:p>
        </w:tc>
      </w:tr>
    </w:tbl>
    <w:p w14:paraId="14B253F9" w14:textId="75E45476" w:rsidR="00052A6D" w:rsidRPr="008245ED" w:rsidRDefault="00052A6D" w:rsidP="009F0D10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53891878" w14:textId="77777777" w:rsidR="00052A6D" w:rsidRPr="008245ED" w:rsidRDefault="00052A6D" w:rsidP="009F0D10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245ED">
        <w:rPr>
          <w:rFonts w:cs="Times New Roman"/>
          <w:b/>
          <w:bCs/>
          <w:sz w:val="20"/>
          <w:szCs w:val="20"/>
        </w:rPr>
        <w:br w:type="page"/>
      </w:r>
    </w:p>
    <w:p w14:paraId="47733AD4" w14:textId="478D4781" w:rsidR="005A3CCB" w:rsidRPr="008245ED" w:rsidRDefault="002E5A05" w:rsidP="009F0D10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8245ED">
        <w:rPr>
          <w:rFonts w:cs="Times New Roman"/>
          <w:b/>
          <w:bCs/>
          <w:sz w:val="20"/>
          <w:szCs w:val="20"/>
        </w:rPr>
        <w:lastRenderedPageBreak/>
        <w:t>Table 2</w:t>
      </w:r>
      <w:r w:rsidR="009F0D10" w:rsidRPr="008245ED">
        <w:rPr>
          <w:rFonts w:cs="Times New Roman"/>
          <w:b/>
          <w:bCs/>
          <w:sz w:val="20"/>
          <w:szCs w:val="20"/>
        </w:rPr>
        <w:t>.</w:t>
      </w:r>
      <w:r w:rsidRPr="008245ED">
        <w:rPr>
          <w:rFonts w:cs="Times New Roman"/>
          <w:b/>
          <w:bCs/>
          <w:sz w:val="20"/>
          <w:szCs w:val="20"/>
        </w:rPr>
        <w:t xml:space="preserve"> </w:t>
      </w:r>
      <w:r w:rsidR="009F0D10" w:rsidRPr="008245ED">
        <w:rPr>
          <w:rFonts w:cs="Times New Roman"/>
          <w:sz w:val="20"/>
          <w:szCs w:val="20"/>
        </w:rPr>
        <w:t>Example of content of a template for assessing compliance with observer coverage.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1134"/>
        <w:gridCol w:w="850"/>
        <w:gridCol w:w="2631"/>
        <w:gridCol w:w="2066"/>
        <w:gridCol w:w="2070"/>
        <w:gridCol w:w="2899"/>
      </w:tblGrid>
      <w:tr w:rsidR="002540D1" w:rsidRPr="008245ED" w14:paraId="5133B28E" w14:textId="77777777" w:rsidTr="00964B66">
        <w:tc>
          <w:tcPr>
            <w:tcW w:w="675" w:type="dxa"/>
          </w:tcPr>
          <w:p w14:paraId="588BF899" w14:textId="1A61561A" w:rsidR="005A3CCB" w:rsidRPr="008245ED" w:rsidRDefault="005A3CCB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CPC</w:t>
            </w:r>
          </w:p>
        </w:tc>
        <w:tc>
          <w:tcPr>
            <w:tcW w:w="2835" w:type="dxa"/>
            <w:gridSpan w:val="3"/>
          </w:tcPr>
          <w:p w14:paraId="7B4E468A" w14:textId="77777777" w:rsidR="005A3CCB" w:rsidRPr="008245ED" w:rsidRDefault="005A3CCB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Rec. 16-14, para. 4</w:t>
            </w:r>
          </w:p>
          <w:p w14:paraId="0CCCEFAF" w14:textId="45657A92" w:rsidR="005E7A83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5% scientific observer coverage</w:t>
            </w:r>
          </w:p>
        </w:tc>
        <w:tc>
          <w:tcPr>
            <w:tcW w:w="2631" w:type="dxa"/>
          </w:tcPr>
          <w:p w14:paraId="3EC770BB" w14:textId="2AD14CE2" w:rsidR="005A3CCB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TRO-Rec. 23-18 &amp; Rec. 16-14 (paras. 66–67)</w:t>
            </w:r>
          </w:p>
          <w:p w14:paraId="2D13C7D8" w14:textId="37B76581" w:rsidR="005E7A83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≥10% coverage (human observers or combination with EMS) for vessels targeting bigeye, yellowfin, skipjack in 2025–</w:t>
            </w:r>
            <w:r w:rsidR="004E4D63" w:rsidRPr="008245ED">
              <w:rPr>
                <w:rFonts w:cs="Times New Roman"/>
                <w:sz w:val="20"/>
                <w:szCs w:val="20"/>
              </w:rPr>
              <w:t>20</w:t>
            </w:r>
            <w:r w:rsidRPr="008245ED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066" w:type="dxa"/>
          </w:tcPr>
          <w:p w14:paraId="6C6C2C87" w14:textId="060D5A3E" w:rsidR="005A3CCB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TRO-Rec. 23-18 &amp; Rec. 16-14 (para. 68)</w:t>
            </w:r>
          </w:p>
          <w:p w14:paraId="6AE676F1" w14:textId="7331CE9C" w:rsidR="005E7A83" w:rsidRPr="008245ED" w:rsidRDefault="005E7A83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100% observer coverage of fishing effort (human or EMS). CPC may keep 20% human if remaining 80% is EMS-audited</w:t>
            </w:r>
          </w:p>
        </w:tc>
        <w:tc>
          <w:tcPr>
            <w:tcW w:w="2070" w:type="dxa"/>
          </w:tcPr>
          <w:p w14:paraId="57D773C8" w14:textId="77777777" w:rsidR="005A3CCB" w:rsidRPr="008245ED" w:rsidRDefault="00016028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Rec. 22-01 (paras. 38–41)</w:t>
            </w:r>
          </w:p>
          <w:p w14:paraId="6EEA9C56" w14:textId="02902F99" w:rsidR="00016028" w:rsidRPr="008245ED" w:rsidRDefault="00016028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FAD/area-time closure for tropical tunas</w:t>
            </w:r>
            <w:r w:rsidR="00EE660E" w:rsidRPr="008245ED">
              <w:rPr>
                <w:rFonts w:cs="Times New Roman"/>
                <w:sz w:val="20"/>
                <w:szCs w:val="20"/>
              </w:rPr>
              <w:t>.</w:t>
            </w:r>
          </w:p>
          <w:p w14:paraId="266DF4B6" w14:textId="1A2D77FA" w:rsidR="00016028" w:rsidRPr="008245ED" w:rsidRDefault="00016028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Observer required on all vessels fishing during the closure; CPCs must report data annually</w:t>
            </w:r>
          </w:p>
        </w:tc>
        <w:tc>
          <w:tcPr>
            <w:tcW w:w="2899" w:type="dxa"/>
          </w:tcPr>
          <w:p w14:paraId="6351B904" w14:textId="627D8168" w:rsidR="005A3CCB" w:rsidRPr="008245ED" w:rsidRDefault="005A3CCB" w:rsidP="009F0D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40D1" w:rsidRPr="008245ED" w14:paraId="48028AE5" w14:textId="77777777" w:rsidTr="00964B66">
        <w:tc>
          <w:tcPr>
            <w:tcW w:w="675" w:type="dxa"/>
          </w:tcPr>
          <w:p w14:paraId="4755E533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C39603" w14:textId="527AAEF1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N</w:t>
            </w:r>
            <w:r w:rsidR="00571BB1" w:rsidRPr="008245ED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3D5EEBBF" w14:textId="29A6F9DB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N</w:t>
            </w:r>
            <w:r w:rsidR="00571BB1" w:rsidRPr="008245ED">
              <w:rPr>
                <w:rFonts w:cs="Times New Roman"/>
                <w:sz w:val="20"/>
                <w:szCs w:val="20"/>
              </w:rPr>
              <w:t>o</w:t>
            </w:r>
            <w:r w:rsidRPr="008245ED">
              <w:rPr>
                <w:rFonts w:cs="Times New Roman"/>
                <w:sz w:val="20"/>
                <w:szCs w:val="20"/>
              </w:rPr>
              <w:t>b</w:t>
            </w:r>
            <w:r w:rsidR="00571BB1" w:rsidRPr="008245ED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</w:tcPr>
          <w:p w14:paraId="4546B9C8" w14:textId="7EAE2CA5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  <w:r w:rsidRPr="008245ED">
              <w:rPr>
                <w:rFonts w:cs="Times New Roman"/>
                <w:sz w:val="20"/>
                <w:szCs w:val="20"/>
              </w:rPr>
              <w:t>%</w:t>
            </w:r>
            <w:r w:rsidR="00571BB1" w:rsidRPr="008245ED">
              <w:rPr>
                <w:rFonts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631" w:type="dxa"/>
          </w:tcPr>
          <w:p w14:paraId="455208D8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772A227A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79A49F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3AD3CCF" w14:textId="77777777" w:rsidR="009E7610" w:rsidRPr="008245ED" w:rsidRDefault="009E7610" w:rsidP="009F0D1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3C49DFC" w14:textId="317D7662" w:rsidR="00016028" w:rsidRPr="009F0D10" w:rsidRDefault="009E7610" w:rsidP="009F0D10">
      <w:pPr>
        <w:spacing w:after="0" w:line="240" w:lineRule="auto"/>
        <w:rPr>
          <w:rFonts w:cs="Times New Roman"/>
          <w:sz w:val="16"/>
          <w:szCs w:val="16"/>
        </w:rPr>
      </w:pPr>
      <w:r w:rsidRPr="008245ED">
        <w:rPr>
          <w:rFonts w:cs="Times New Roman"/>
          <w:sz w:val="16"/>
          <w:szCs w:val="16"/>
        </w:rPr>
        <w:t xml:space="preserve">For each provision, indicate: N: number of </w:t>
      </w:r>
      <w:proofErr w:type="spellStart"/>
      <w:r w:rsidRPr="008245ED">
        <w:rPr>
          <w:rFonts w:cs="Times New Roman"/>
          <w:sz w:val="16"/>
          <w:szCs w:val="16"/>
        </w:rPr>
        <w:t>authorised</w:t>
      </w:r>
      <w:proofErr w:type="spellEnd"/>
      <w:r w:rsidRPr="008245ED">
        <w:rPr>
          <w:rFonts w:cs="Times New Roman"/>
          <w:sz w:val="16"/>
          <w:szCs w:val="16"/>
        </w:rPr>
        <w:t xml:space="preserve">/active vessels; </w:t>
      </w:r>
      <w:proofErr w:type="spellStart"/>
      <w:r w:rsidRPr="008245ED">
        <w:rPr>
          <w:rFonts w:cs="Times New Roman"/>
          <w:sz w:val="16"/>
          <w:szCs w:val="16"/>
        </w:rPr>
        <w:t>NOb</w:t>
      </w:r>
      <w:proofErr w:type="spellEnd"/>
      <w:r w:rsidRPr="008245ED">
        <w:rPr>
          <w:rFonts w:cs="Times New Roman"/>
          <w:sz w:val="16"/>
          <w:szCs w:val="16"/>
        </w:rPr>
        <w:t>: number of vessels with observers; %: percentage of authorized/active vessels covered.</w:t>
      </w:r>
    </w:p>
    <w:sectPr w:rsidR="00016028" w:rsidRPr="009F0D10" w:rsidSect="0070701D">
      <w:pgSz w:w="16840" w:h="11907" w:orient="landscape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B7C3" w14:textId="77777777" w:rsidR="0001166C" w:rsidRDefault="0001166C" w:rsidP="00C208C1">
      <w:pPr>
        <w:spacing w:after="0" w:line="240" w:lineRule="auto"/>
      </w:pPr>
      <w:r>
        <w:separator/>
      </w:r>
    </w:p>
  </w:endnote>
  <w:endnote w:type="continuationSeparator" w:id="0">
    <w:p w14:paraId="6D609831" w14:textId="77777777" w:rsidR="0001166C" w:rsidRDefault="0001166C" w:rsidP="00C208C1">
      <w:pPr>
        <w:spacing w:after="0" w:line="240" w:lineRule="auto"/>
      </w:pPr>
      <w:r>
        <w:continuationSeparator/>
      </w:r>
    </w:p>
  </w:endnote>
  <w:endnote w:type="continuationNotice" w:id="1">
    <w:p w14:paraId="0B5778BD" w14:textId="77777777" w:rsidR="0001166C" w:rsidRDefault="00011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BB8D" w14:textId="45E1F300" w:rsidR="00FA01D3" w:rsidRDefault="0001166C" w:rsidP="00FA01D3">
    <w:pPr>
      <w:pStyle w:val="Footer"/>
      <w:jc w:val="center"/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FA01D3" w:rsidRPr="00713AD4">
          <w:rPr>
            <w:rFonts w:eastAsia="Calibri" w:cs="Calibri"/>
            <w:sz w:val="20"/>
            <w:szCs w:val="20"/>
          </w:rPr>
          <w:fldChar w:fldCharType="begin"/>
        </w:r>
        <w:r w:rsidR="00FA01D3" w:rsidRPr="00713AD4">
          <w:rPr>
            <w:rFonts w:eastAsia="Calibri" w:cs="Calibri"/>
            <w:sz w:val="20"/>
            <w:szCs w:val="20"/>
          </w:rPr>
          <w:instrText xml:space="preserve"> PAGE </w:instrText>
        </w:r>
        <w:r w:rsidR="00FA01D3" w:rsidRPr="00713AD4">
          <w:rPr>
            <w:rFonts w:eastAsia="Calibri" w:cs="Calibri"/>
            <w:sz w:val="20"/>
            <w:szCs w:val="20"/>
          </w:rPr>
          <w:fldChar w:fldCharType="separate"/>
        </w:r>
        <w:r w:rsidR="00FA01D3">
          <w:rPr>
            <w:rFonts w:eastAsia="Calibri" w:cs="Calibri"/>
          </w:rPr>
          <w:t>1</w:t>
        </w:r>
        <w:r w:rsidR="00FA01D3" w:rsidRPr="00713AD4">
          <w:rPr>
            <w:rFonts w:eastAsia="Calibri" w:cs="Calibri"/>
            <w:sz w:val="20"/>
            <w:szCs w:val="20"/>
          </w:rPr>
          <w:fldChar w:fldCharType="end"/>
        </w:r>
        <w:r w:rsidR="00FA01D3" w:rsidRPr="00713AD4">
          <w:rPr>
            <w:rFonts w:eastAsia="Calibri" w:cs="Calibri"/>
            <w:sz w:val="20"/>
            <w:szCs w:val="20"/>
          </w:rPr>
          <w:t xml:space="preserve"> / </w:t>
        </w:r>
        <w:r w:rsidR="00FA01D3" w:rsidRPr="00713AD4">
          <w:rPr>
            <w:rFonts w:eastAsia="Calibri" w:cs="Calibri"/>
            <w:sz w:val="20"/>
            <w:szCs w:val="20"/>
          </w:rPr>
          <w:fldChar w:fldCharType="begin"/>
        </w:r>
        <w:r w:rsidR="00FA01D3" w:rsidRPr="00713AD4">
          <w:rPr>
            <w:rFonts w:eastAsia="Calibri" w:cs="Calibri"/>
            <w:sz w:val="20"/>
            <w:szCs w:val="20"/>
          </w:rPr>
          <w:instrText xml:space="preserve"> NUMPAGES  </w:instrText>
        </w:r>
        <w:r w:rsidR="00FA01D3" w:rsidRPr="00713AD4">
          <w:rPr>
            <w:rFonts w:eastAsia="Calibri" w:cs="Calibri"/>
            <w:sz w:val="20"/>
            <w:szCs w:val="20"/>
          </w:rPr>
          <w:fldChar w:fldCharType="separate"/>
        </w:r>
        <w:r w:rsidR="00FA01D3">
          <w:rPr>
            <w:rFonts w:eastAsia="Calibri" w:cs="Calibri"/>
          </w:rPr>
          <w:t>3</w:t>
        </w:r>
        <w:r w:rsidR="00FA01D3" w:rsidRPr="00713AD4">
          <w:rPr>
            <w:rFonts w:eastAsia="Calibri" w:cs="Calibr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AF58" w14:textId="77777777" w:rsidR="0001166C" w:rsidRDefault="0001166C" w:rsidP="00C208C1">
      <w:pPr>
        <w:spacing w:after="0" w:line="240" w:lineRule="auto"/>
      </w:pPr>
      <w:r>
        <w:separator/>
      </w:r>
    </w:p>
  </w:footnote>
  <w:footnote w:type="continuationSeparator" w:id="0">
    <w:p w14:paraId="635DA637" w14:textId="77777777" w:rsidR="0001166C" w:rsidRDefault="0001166C" w:rsidP="00C208C1">
      <w:pPr>
        <w:spacing w:after="0" w:line="240" w:lineRule="auto"/>
      </w:pPr>
      <w:r>
        <w:continuationSeparator/>
      </w:r>
    </w:p>
  </w:footnote>
  <w:footnote w:type="continuationNotice" w:id="1">
    <w:p w14:paraId="18D2F2BE" w14:textId="77777777" w:rsidR="0001166C" w:rsidRDefault="0001166C">
      <w:pPr>
        <w:spacing w:after="0" w:line="240" w:lineRule="auto"/>
      </w:pPr>
    </w:p>
  </w:footnote>
  <w:footnote w:id="2">
    <w:p w14:paraId="48B1ADC3" w14:textId="685E7640" w:rsidR="002D4CCD" w:rsidRPr="00FA01D3" w:rsidRDefault="002D4CCD" w:rsidP="00D91EB9">
      <w:pPr>
        <w:pStyle w:val="FootnoteText"/>
        <w:tabs>
          <w:tab w:val="left" w:pos="284"/>
        </w:tabs>
        <w:rPr>
          <w:sz w:val="16"/>
          <w:szCs w:val="16"/>
          <w:lang w:val="en-GB"/>
        </w:rPr>
      </w:pPr>
      <w:r w:rsidRPr="00FA01D3">
        <w:rPr>
          <w:rStyle w:val="FootnoteReference"/>
          <w:sz w:val="16"/>
          <w:szCs w:val="16"/>
        </w:rPr>
        <w:footnoteRef/>
      </w:r>
      <w:r w:rsidR="00D91EB9">
        <w:rPr>
          <w:sz w:val="16"/>
          <w:szCs w:val="16"/>
          <w:lang w:val="en-GB"/>
        </w:rPr>
        <w:t xml:space="preserve"> </w:t>
      </w:r>
      <w:r w:rsidRPr="00FA01D3">
        <w:rPr>
          <w:sz w:val="16"/>
          <w:szCs w:val="16"/>
          <w:lang w:val="en-GB"/>
        </w:rPr>
        <w:t xml:space="preserve">Example: </w:t>
      </w:r>
      <w:hyperlink r:id="rId1" w:history="1">
        <w:r w:rsidRPr="00FA01D3">
          <w:rPr>
            <w:rStyle w:val="Hyperlink"/>
            <w:sz w:val="16"/>
            <w:szCs w:val="16"/>
            <w:u w:val="none"/>
            <w:lang w:val="en-GB"/>
          </w:rPr>
          <w:t>https://iotc.org/sites/default/files/documents/2025/04/IOTC-2025-CoC22-03_Rev2_E_-_Summary_Report_on_the_level_of_Compliance.pdf</w:t>
        </w:r>
      </w:hyperlink>
      <w:r w:rsidRPr="00FA01D3">
        <w:rPr>
          <w:sz w:val="16"/>
          <w:szCs w:val="16"/>
          <w:lang w:val="en-GB"/>
        </w:rPr>
        <w:t xml:space="preserve">  </w:t>
      </w:r>
    </w:p>
  </w:footnote>
  <w:footnote w:id="3">
    <w:p w14:paraId="6363ED53" w14:textId="77777777" w:rsidR="002D4CCD" w:rsidRPr="00FA01D3" w:rsidRDefault="002D4CCD" w:rsidP="00FA01D3">
      <w:pPr>
        <w:pStyle w:val="FootnoteText"/>
        <w:jc w:val="both"/>
        <w:rPr>
          <w:sz w:val="16"/>
          <w:szCs w:val="16"/>
          <w:lang w:val="en-GB"/>
        </w:rPr>
      </w:pPr>
      <w:r w:rsidRPr="00FA01D3">
        <w:rPr>
          <w:rStyle w:val="FootnoteReference"/>
          <w:sz w:val="16"/>
          <w:szCs w:val="16"/>
        </w:rPr>
        <w:footnoteRef/>
      </w:r>
      <w:r w:rsidRPr="00FA01D3">
        <w:rPr>
          <w:sz w:val="16"/>
          <w:szCs w:val="16"/>
        </w:rPr>
        <w:t xml:space="preserve"> Example : </w:t>
      </w:r>
      <w:hyperlink r:id="rId2" w:history="1">
        <w:r w:rsidRPr="00FA01D3">
          <w:rPr>
            <w:rStyle w:val="Hyperlink"/>
            <w:sz w:val="16"/>
            <w:szCs w:val="16"/>
            <w:u w:val="none"/>
          </w:rPr>
          <w:t>https://www.sprfmo.int/assets/Meetings/03-CTC/12th-CTC-2025/Meeting-Documents/CTC12-Doc08-Implementation-Report-Inspections-a.pdf</w:t>
        </w:r>
      </w:hyperlink>
    </w:p>
  </w:footnote>
  <w:footnote w:id="4">
    <w:p w14:paraId="0B94810B" w14:textId="77777777" w:rsidR="002D4CCD" w:rsidRPr="00C208C1" w:rsidRDefault="002D4CCD" w:rsidP="00FA01D3">
      <w:pPr>
        <w:pStyle w:val="FootnoteText"/>
        <w:jc w:val="both"/>
      </w:pPr>
      <w:r w:rsidRPr="00FA01D3">
        <w:rPr>
          <w:rStyle w:val="FootnoteReference"/>
          <w:sz w:val="16"/>
          <w:szCs w:val="16"/>
        </w:rPr>
        <w:footnoteRef/>
      </w:r>
      <w:r w:rsidRPr="00FA01D3">
        <w:rPr>
          <w:sz w:val="16"/>
          <w:szCs w:val="16"/>
        </w:rPr>
        <w:t xml:space="preserve"> Example: </w:t>
      </w:r>
      <w:hyperlink r:id="rId3" w:history="1">
        <w:r w:rsidRPr="00FA01D3">
          <w:rPr>
            <w:rStyle w:val="Hyperlink"/>
            <w:sz w:val="16"/>
            <w:szCs w:val="16"/>
            <w:u w:val="none"/>
          </w:rPr>
          <w:t>https://iotc.org/sites/default/files/documents/2025/03/IOTC-2025-CoC22-10_E_-_Compliance_Support_Activities.pdf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163A" w14:textId="27FBC7F7" w:rsidR="002540D1" w:rsidRPr="00EB3CAC" w:rsidRDefault="002540D1" w:rsidP="002540D1">
    <w:pPr>
      <w:tabs>
        <w:tab w:val="left" w:pos="7320"/>
      </w:tabs>
      <w:spacing w:after="0" w:line="240" w:lineRule="auto"/>
      <w:jc w:val="right"/>
      <w:rPr>
        <w:b/>
        <w:bCs/>
        <w:sz w:val="20"/>
        <w:szCs w:val="20"/>
        <w:lang w:val="es-ES"/>
      </w:rPr>
    </w:pPr>
    <w:r>
      <w:rPr>
        <w:b/>
        <w:bCs/>
        <w:sz w:val="20"/>
        <w:szCs w:val="20"/>
        <w:lang w:val="es-ES"/>
      </w:rPr>
      <w:t>COC_323</w:t>
    </w:r>
    <w:r w:rsidRPr="00EB3CAC">
      <w:rPr>
        <w:b/>
        <w:bCs/>
        <w:sz w:val="20"/>
        <w:szCs w:val="20"/>
        <w:lang w:val="es-ES"/>
      </w:rPr>
      <w:t>/2025</w:t>
    </w:r>
  </w:p>
  <w:p w14:paraId="59AC44D3" w14:textId="5CF05E28" w:rsidR="002540D1" w:rsidRDefault="002540D1" w:rsidP="004D7BB6">
    <w:pPr>
      <w:tabs>
        <w:tab w:val="left" w:pos="7320"/>
      </w:tabs>
      <w:spacing w:after="0" w:line="240" w:lineRule="auto"/>
      <w:jc w:val="right"/>
    </w:pPr>
    <w:r>
      <w:rPr>
        <w:b/>
        <w:bCs/>
        <w:sz w:val="16"/>
        <w:szCs w:val="16"/>
        <w:lang w:val="es-ES"/>
      </w:rPr>
      <w:fldChar w:fldCharType="begin"/>
    </w:r>
    <w:r>
      <w:rPr>
        <w:b/>
        <w:bCs/>
        <w:sz w:val="16"/>
        <w:szCs w:val="16"/>
        <w:lang w:val="es-ES"/>
      </w:rPr>
      <w:instrText xml:space="preserve"> TIME \@ "dd/MM/yyyy H:mm" </w:instrText>
    </w:r>
    <w:r>
      <w:rPr>
        <w:b/>
        <w:bCs/>
        <w:sz w:val="16"/>
        <w:szCs w:val="16"/>
        <w:lang w:val="es-ES"/>
      </w:rPr>
      <w:fldChar w:fldCharType="separate"/>
    </w:r>
    <w:r w:rsidR="008245ED">
      <w:rPr>
        <w:b/>
        <w:bCs/>
        <w:noProof/>
        <w:sz w:val="16"/>
        <w:szCs w:val="16"/>
        <w:lang w:val="es-ES"/>
      </w:rPr>
      <w:t>05/11/2025 9:28</w:t>
    </w:r>
    <w:r>
      <w:rPr>
        <w:b/>
        <w:bCs/>
        <w:sz w:val="16"/>
        <w:szCs w:val="16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B257C5"/>
    <w:multiLevelType w:val="hybridMultilevel"/>
    <w:tmpl w:val="94480C6A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5415"/>
    <w:multiLevelType w:val="multilevel"/>
    <w:tmpl w:val="50FE97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749EA"/>
    <w:multiLevelType w:val="hybridMultilevel"/>
    <w:tmpl w:val="BB10E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1EBA"/>
    <w:multiLevelType w:val="multilevel"/>
    <w:tmpl w:val="0C7A1B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5B3FFC"/>
    <w:multiLevelType w:val="hybridMultilevel"/>
    <w:tmpl w:val="B246A09A"/>
    <w:lvl w:ilvl="0" w:tplc="BF7A5620">
      <w:numFmt w:val="none"/>
      <w:lvlText w:val=""/>
      <w:lvlJc w:val="left"/>
      <w:pPr>
        <w:tabs>
          <w:tab w:val="num" w:pos="360"/>
        </w:tabs>
      </w:pPr>
    </w:lvl>
    <w:lvl w:ilvl="1" w:tplc="5ADC4664">
      <w:start w:val="1"/>
      <w:numFmt w:val="lowerLetter"/>
      <w:lvlText w:val="%2."/>
      <w:lvlJc w:val="left"/>
      <w:pPr>
        <w:ind w:left="1440" w:hanging="360"/>
      </w:pPr>
    </w:lvl>
    <w:lvl w:ilvl="2" w:tplc="DE0C1C4E">
      <w:start w:val="1"/>
      <w:numFmt w:val="lowerRoman"/>
      <w:lvlText w:val="%3."/>
      <w:lvlJc w:val="right"/>
      <w:pPr>
        <w:ind w:left="2160" w:hanging="180"/>
      </w:pPr>
    </w:lvl>
    <w:lvl w:ilvl="3" w:tplc="48A8DE5A">
      <w:start w:val="1"/>
      <w:numFmt w:val="decimal"/>
      <w:lvlText w:val="%4."/>
      <w:lvlJc w:val="left"/>
      <w:pPr>
        <w:ind w:left="2880" w:hanging="360"/>
      </w:pPr>
    </w:lvl>
    <w:lvl w:ilvl="4" w:tplc="D24086DC">
      <w:start w:val="1"/>
      <w:numFmt w:val="lowerLetter"/>
      <w:lvlText w:val="%5."/>
      <w:lvlJc w:val="left"/>
      <w:pPr>
        <w:ind w:left="3600" w:hanging="360"/>
      </w:pPr>
    </w:lvl>
    <w:lvl w:ilvl="5" w:tplc="17FA387C">
      <w:start w:val="1"/>
      <w:numFmt w:val="lowerRoman"/>
      <w:lvlText w:val="%6."/>
      <w:lvlJc w:val="right"/>
      <w:pPr>
        <w:ind w:left="4320" w:hanging="180"/>
      </w:pPr>
    </w:lvl>
    <w:lvl w:ilvl="6" w:tplc="3E9073A4">
      <w:start w:val="1"/>
      <w:numFmt w:val="decimal"/>
      <w:lvlText w:val="%7."/>
      <w:lvlJc w:val="left"/>
      <w:pPr>
        <w:ind w:left="5040" w:hanging="360"/>
      </w:pPr>
    </w:lvl>
    <w:lvl w:ilvl="7" w:tplc="EB0819E6">
      <w:start w:val="1"/>
      <w:numFmt w:val="lowerLetter"/>
      <w:lvlText w:val="%8."/>
      <w:lvlJc w:val="left"/>
      <w:pPr>
        <w:ind w:left="5760" w:hanging="360"/>
      </w:pPr>
    </w:lvl>
    <w:lvl w:ilvl="8" w:tplc="D696BD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5A71"/>
    <w:multiLevelType w:val="hybridMultilevel"/>
    <w:tmpl w:val="302EB84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D228F3"/>
    <w:multiLevelType w:val="multilevel"/>
    <w:tmpl w:val="578850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BE63DB"/>
    <w:multiLevelType w:val="hybridMultilevel"/>
    <w:tmpl w:val="011A7CB4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FE795"/>
    <w:multiLevelType w:val="hybridMultilevel"/>
    <w:tmpl w:val="76E0DC6C"/>
    <w:lvl w:ilvl="0" w:tplc="E974A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2726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C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4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A9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D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29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6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057F9"/>
    <w:multiLevelType w:val="hybridMultilevel"/>
    <w:tmpl w:val="2ED898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E542D"/>
    <w:multiLevelType w:val="hybridMultilevel"/>
    <w:tmpl w:val="D5F0D91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148BA"/>
    <w:multiLevelType w:val="multilevel"/>
    <w:tmpl w:val="AFECA3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96325A"/>
    <w:multiLevelType w:val="multilevel"/>
    <w:tmpl w:val="D57A32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B5423E"/>
    <w:multiLevelType w:val="multilevel"/>
    <w:tmpl w:val="AE6E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E5D00"/>
    <w:multiLevelType w:val="hybridMultilevel"/>
    <w:tmpl w:val="2F4AA31C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56971">
    <w:abstractNumId w:val="10"/>
  </w:num>
  <w:num w:numId="2" w16cid:durableId="471557658">
    <w:abstractNumId w:val="14"/>
  </w:num>
  <w:num w:numId="3" w16cid:durableId="1294484204">
    <w:abstractNumId w:val="5"/>
  </w:num>
  <w:num w:numId="4" w16cid:durableId="1159006479">
    <w:abstractNumId w:val="3"/>
  </w:num>
  <w:num w:numId="5" w16cid:durableId="1328363048">
    <w:abstractNumId w:val="2"/>
  </w:num>
  <w:num w:numId="6" w16cid:durableId="492792355">
    <w:abstractNumId w:val="4"/>
  </w:num>
  <w:num w:numId="7" w16cid:durableId="1874951199">
    <w:abstractNumId w:val="1"/>
  </w:num>
  <w:num w:numId="8" w16cid:durableId="1557011029">
    <w:abstractNumId w:val="0"/>
  </w:num>
  <w:num w:numId="9" w16cid:durableId="60561404">
    <w:abstractNumId w:val="19"/>
  </w:num>
  <w:num w:numId="10" w16cid:durableId="2120684636">
    <w:abstractNumId w:val="11"/>
  </w:num>
  <w:num w:numId="11" w16cid:durableId="306395705">
    <w:abstractNumId w:val="15"/>
  </w:num>
  <w:num w:numId="12" w16cid:durableId="383217107">
    <w:abstractNumId w:val="8"/>
  </w:num>
  <w:num w:numId="13" w16cid:durableId="813644096">
    <w:abstractNumId w:val="20"/>
  </w:num>
  <w:num w:numId="14" w16cid:durableId="1080980924">
    <w:abstractNumId w:val="7"/>
  </w:num>
  <w:num w:numId="15" w16cid:durableId="628049777">
    <w:abstractNumId w:val="6"/>
  </w:num>
  <w:num w:numId="16" w16cid:durableId="654988890">
    <w:abstractNumId w:val="16"/>
  </w:num>
  <w:num w:numId="17" w16cid:durableId="380373130">
    <w:abstractNumId w:val="13"/>
  </w:num>
  <w:num w:numId="18" w16cid:durableId="702831204">
    <w:abstractNumId w:val="18"/>
  </w:num>
  <w:num w:numId="19" w16cid:durableId="1792674095">
    <w:abstractNumId w:val="9"/>
  </w:num>
  <w:num w:numId="20" w16cid:durableId="621424640">
    <w:abstractNumId w:val="17"/>
  </w:num>
  <w:num w:numId="21" w16cid:durableId="113757682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47730"/>
    <w:rsid w:val="00000F7A"/>
    <w:rsid w:val="00003948"/>
    <w:rsid w:val="00004732"/>
    <w:rsid w:val="00007372"/>
    <w:rsid w:val="00007A31"/>
    <w:rsid w:val="0001166C"/>
    <w:rsid w:val="00012944"/>
    <w:rsid w:val="00016028"/>
    <w:rsid w:val="000176CC"/>
    <w:rsid w:val="00020736"/>
    <w:rsid w:val="000213D3"/>
    <w:rsid w:val="00021C91"/>
    <w:rsid w:val="00022365"/>
    <w:rsid w:val="00024AEB"/>
    <w:rsid w:val="00024EFC"/>
    <w:rsid w:val="000265DD"/>
    <w:rsid w:val="0002759C"/>
    <w:rsid w:val="00030985"/>
    <w:rsid w:val="00031909"/>
    <w:rsid w:val="00034616"/>
    <w:rsid w:val="00037FC3"/>
    <w:rsid w:val="000440DA"/>
    <w:rsid w:val="000445BA"/>
    <w:rsid w:val="00045941"/>
    <w:rsid w:val="00047D27"/>
    <w:rsid w:val="00052533"/>
    <w:rsid w:val="00052A6D"/>
    <w:rsid w:val="00052B85"/>
    <w:rsid w:val="000560B7"/>
    <w:rsid w:val="0006063C"/>
    <w:rsid w:val="000611CD"/>
    <w:rsid w:val="00063A6F"/>
    <w:rsid w:val="00065A22"/>
    <w:rsid w:val="00067DC4"/>
    <w:rsid w:val="00075054"/>
    <w:rsid w:val="000778F4"/>
    <w:rsid w:val="00080672"/>
    <w:rsid w:val="00084546"/>
    <w:rsid w:val="000915D2"/>
    <w:rsid w:val="00092A0F"/>
    <w:rsid w:val="00097572"/>
    <w:rsid w:val="000A39AA"/>
    <w:rsid w:val="000A4E00"/>
    <w:rsid w:val="000A6E79"/>
    <w:rsid w:val="000A6FEC"/>
    <w:rsid w:val="000A7AF6"/>
    <w:rsid w:val="000B048E"/>
    <w:rsid w:val="000B1575"/>
    <w:rsid w:val="000B3381"/>
    <w:rsid w:val="000B6185"/>
    <w:rsid w:val="000C3563"/>
    <w:rsid w:val="000C6928"/>
    <w:rsid w:val="000D46CB"/>
    <w:rsid w:val="000D4F53"/>
    <w:rsid w:val="000D50E4"/>
    <w:rsid w:val="000E5011"/>
    <w:rsid w:val="000F2928"/>
    <w:rsid w:val="000F34E2"/>
    <w:rsid w:val="000F6B94"/>
    <w:rsid w:val="000F7290"/>
    <w:rsid w:val="00100696"/>
    <w:rsid w:val="00101000"/>
    <w:rsid w:val="00103803"/>
    <w:rsid w:val="0010411E"/>
    <w:rsid w:val="0010502A"/>
    <w:rsid w:val="00110D6A"/>
    <w:rsid w:val="00115517"/>
    <w:rsid w:val="001205BC"/>
    <w:rsid w:val="00120A6E"/>
    <w:rsid w:val="00120B40"/>
    <w:rsid w:val="00121759"/>
    <w:rsid w:val="001232D7"/>
    <w:rsid w:val="001239B8"/>
    <w:rsid w:val="00126156"/>
    <w:rsid w:val="001262F5"/>
    <w:rsid w:val="00126C44"/>
    <w:rsid w:val="00131A9B"/>
    <w:rsid w:val="001357C0"/>
    <w:rsid w:val="00135AA4"/>
    <w:rsid w:val="00135F18"/>
    <w:rsid w:val="00136E7B"/>
    <w:rsid w:val="001403D0"/>
    <w:rsid w:val="00147ADF"/>
    <w:rsid w:val="00147BDE"/>
    <w:rsid w:val="0015074B"/>
    <w:rsid w:val="00150AA1"/>
    <w:rsid w:val="00151E7B"/>
    <w:rsid w:val="00152D33"/>
    <w:rsid w:val="001547E5"/>
    <w:rsid w:val="0015531F"/>
    <w:rsid w:val="00157FD7"/>
    <w:rsid w:val="001647CB"/>
    <w:rsid w:val="0016674C"/>
    <w:rsid w:val="0017354B"/>
    <w:rsid w:val="00176F23"/>
    <w:rsid w:val="0018211E"/>
    <w:rsid w:val="00183D4F"/>
    <w:rsid w:val="00184693"/>
    <w:rsid w:val="0018698C"/>
    <w:rsid w:val="0018771E"/>
    <w:rsid w:val="00190D19"/>
    <w:rsid w:val="00190FD7"/>
    <w:rsid w:val="00191411"/>
    <w:rsid w:val="001933E5"/>
    <w:rsid w:val="00196079"/>
    <w:rsid w:val="001A0DF3"/>
    <w:rsid w:val="001A0F41"/>
    <w:rsid w:val="001A1CE3"/>
    <w:rsid w:val="001A59D0"/>
    <w:rsid w:val="001A782C"/>
    <w:rsid w:val="001B0EFA"/>
    <w:rsid w:val="001B176A"/>
    <w:rsid w:val="001B19E8"/>
    <w:rsid w:val="001B1E1B"/>
    <w:rsid w:val="001B2E02"/>
    <w:rsid w:val="001B4EA4"/>
    <w:rsid w:val="001B505B"/>
    <w:rsid w:val="001B5DDB"/>
    <w:rsid w:val="001C514A"/>
    <w:rsid w:val="001D0761"/>
    <w:rsid w:val="001D2F84"/>
    <w:rsid w:val="001D3166"/>
    <w:rsid w:val="001E1478"/>
    <w:rsid w:val="001E1A15"/>
    <w:rsid w:val="001E5F5E"/>
    <w:rsid w:val="001E6D90"/>
    <w:rsid w:val="001E7696"/>
    <w:rsid w:val="001F0E7E"/>
    <w:rsid w:val="001F5765"/>
    <w:rsid w:val="001F5FB8"/>
    <w:rsid w:val="00204E3D"/>
    <w:rsid w:val="00205AA1"/>
    <w:rsid w:val="00205B0F"/>
    <w:rsid w:val="002062A6"/>
    <w:rsid w:val="00212192"/>
    <w:rsid w:val="002213EC"/>
    <w:rsid w:val="00223635"/>
    <w:rsid w:val="00223A49"/>
    <w:rsid w:val="0022651A"/>
    <w:rsid w:val="002302E3"/>
    <w:rsid w:val="00232ADF"/>
    <w:rsid w:val="0023696F"/>
    <w:rsid w:val="002373C5"/>
    <w:rsid w:val="0024175E"/>
    <w:rsid w:val="00241895"/>
    <w:rsid w:val="00245BE1"/>
    <w:rsid w:val="002511DE"/>
    <w:rsid w:val="00251BCD"/>
    <w:rsid w:val="0025245C"/>
    <w:rsid w:val="00252C6E"/>
    <w:rsid w:val="002535BB"/>
    <w:rsid w:val="002540D1"/>
    <w:rsid w:val="00254D45"/>
    <w:rsid w:val="00257BAA"/>
    <w:rsid w:val="00262187"/>
    <w:rsid w:val="00266649"/>
    <w:rsid w:val="00270A8C"/>
    <w:rsid w:val="00274313"/>
    <w:rsid w:val="0027445C"/>
    <w:rsid w:val="0027593F"/>
    <w:rsid w:val="00275FAD"/>
    <w:rsid w:val="00276E4F"/>
    <w:rsid w:val="00276E84"/>
    <w:rsid w:val="0028092B"/>
    <w:rsid w:val="00280B35"/>
    <w:rsid w:val="00281527"/>
    <w:rsid w:val="00283909"/>
    <w:rsid w:val="00285200"/>
    <w:rsid w:val="00286A1B"/>
    <w:rsid w:val="00287D67"/>
    <w:rsid w:val="0029081E"/>
    <w:rsid w:val="00292C0F"/>
    <w:rsid w:val="0029510F"/>
    <w:rsid w:val="0029639D"/>
    <w:rsid w:val="002979DF"/>
    <w:rsid w:val="002A15CA"/>
    <w:rsid w:val="002A466C"/>
    <w:rsid w:val="002A4EEF"/>
    <w:rsid w:val="002A793F"/>
    <w:rsid w:val="002A7A5F"/>
    <w:rsid w:val="002B23D3"/>
    <w:rsid w:val="002B32AC"/>
    <w:rsid w:val="002B360E"/>
    <w:rsid w:val="002B3F7C"/>
    <w:rsid w:val="002B5963"/>
    <w:rsid w:val="002C119E"/>
    <w:rsid w:val="002C5EE9"/>
    <w:rsid w:val="002C7821"/>
    <w:rsid w:val="002D0886"/>
    <w:rsid w:val="002D2111"/>
    <w:rsid w:val="002D28C9"/>
    <w:rsid w:val="002D4CCD"/>
    <w:rsid w:val="002D505D"/>
    <w:rsid w:val="002E05B4"/>
    <w:rsid w:val="002E07BD"/>
    <w:rsid w:val="002E5A05"/>
    <w:rsid w:val="002E7F68"/>
    <w:rsid w:val="002F071F"/>
    <w:rsid w:val="002F0ECF"/>
    <w:rsid w:val="002F22FE"/>
    <w:rsid w:val="002F2BFA"/>
    <w:rsid w:val="0030050A"/>
    <w:rsid w:val="00300689"/>
    <w:rsid w:val="003021D8"/>
    <w:rsid w:val="00302F1B"/>
    <w:rsid w:val="003039DF"/>
    <w:rsid w:val="0030627B"/>
    <w:rsid w:val="00307762"/>
    <w:rsid w:val="00314DFF"/>
    <w:rsid w:val="00321218"/>
    <w:rsid w:val="003228F7"/>
    <w:rsid w:val="00322A80"/>
    <w:rsid w:val="00323695"/>
    <w:rsid w:val="003262D2"/>
    <w:rsid w:val="00326F90"/>
    <w:rsid w:val="0033093E"/>
    <w:rsid w:val="003345C1"/>
    <w:rsid w:val="00335312"/>
    <w:rsid w:val="0033667C"/>
    <w:rsid w:val="00340BAE"/>
    <w:rsid w:val="00342281"/>
    <w:rsid w:val="003434BF"/>
    <w:rsid w:val="003542B6"/>
    <w:rsid w:val="0036033C"/>
    <w:rsid w:val="00360438"/>
    <w:rsid w:val="00362341"/>
    <w:rsid w:val="0036329E"/>
    <w:rsid w:val="00367E92"/>
    <w:rsid w:val="003754F6"/>
    <w:rsid w:val="00377AC1"/>
    <w:rsid w:val="00377D0A"/>
    <w:rsid w:val="00380512"/>
    <w:rsid w:val="003810F9"/>
    <w:rsid w:val="00383959"/>
    <w:rsid w:val="00383B27"/>
    <w:rsid w:val="00383CBA"/>
    <w:rsid w:val="00386AFE"/>
    <w:rsid w:val="00386D1F"/>
    <w:rsid w:val="003917B4"/>
    <w:rsid w:val="00394C31"/>
    <w:rsid w:val="003A375D"/>
    <w:rsid w:val="003A4FFB"/>
    <w:rsid w:val="003A6761"/>
    <w:rsid w:val="003A6943"/>
    <w:rsid w:val="003B024C"/>
    <w:rsid w:val="003B07EF"/>
    <w:rsid w:val="003B0BD8"/>
    <w:rsid w:val="003B50FA"/>
    <w:rsid w:val="003B7F32"/>
    <w:rsid w:val="003C57AA"/>
    <w:rsid w:val="003C7EFF"/>
    <w:rsid w:val="003D30DE"/>
    <w:rsid w:val="003D7A0F"/>
    <w:rsid w:val="003E257D"/>
    <w:rsid w:val="003E5034"/>
    <w:rsid w:val="003E58DB"/>
    <w:rsid w:val="003E5E3D"/>
    <w:rsid w:val="003E7B07"/>
    <w:rsid w:val="003F2F6B"/>
    <w:rsid w:val="003F5CE5"/>
    <w:rsid w:val="0040196B"/>
    <w:rsid w:val="00404A6A"/>
    <w:rsid w:val="004057E5"/>
    <w:rsid w:val="00410715"/>
    <w:rsid w:val="00411DEA"/>
    <w:rsid w:val="00416C48"/>
    <w:rsid w:val="00420D92"/>
    <w:rsid w:val="004305A0"/>
    <w:rsid w:val="00430EED"/>
    <w:rsid w:val="00432203"/>
    <w:rsid w:val="00432650"/>
    <w:rsid w:val="00433D26"/>
    <w:rsid w:val="004359C8"/>
    <w:rsid w:val="00435CF2"/>
    <w:rsid w:val="00440DED"/>
    <w:rsid w:val="00450C4E"/>
    <w:rsid w:val="004525F4"/>
    <w:rsid w:val="004545FF"/>
    <w:rsid w:val="00455BD0"/>
    <w:rsid w:val="00455EA7"/>
    <w:rsid w:val="00456B5F"/>
    <w:rsid w:val="0045731D"/>
    <w:rsid w:val="0045752C"/>
    <w:rsid w:val="004576D8"/>
    <w:rsid w:val="0045780E"/>
    <w:rsid w:val="0046093F"/>
    <w:rsid w:val="00460AA1"/>
    <w:rsid w:val="00463E88"/>
    <w:rsid w:val="00464ABC"/>
    <w:rsid w:val="00466415"/>
    <w:rsid w:val="00466C43"/>
    <w:rsid w:val="00467238"/>
    <w:rsid w:val="00471E53"/>
    <w:rsid w:val="004731EF"/>
    <w:rsid w:val="00473822"/>
    <w:rsid w:val="00482CED"/>
    <w:rsid w:val="00485B35"/>
    <w:rsid w:val="004868C0"/>
    <w:rsid w:val="00487FCA"/>
    <w:rsid w:val="00493FB4"/>
    <w:rsid w:val="00497F15"/>
    <w:rsid w:val="004A0A62"/>
    <w:rsid w:val="004A1798"/>
    <w:rsid w:val="004A18E4"/>
    <w:rsid w:val="004A2B54"/>
    <w:rsid w:val="004A43AB"/>
    <w:rsid w:val="004A6079"/>
    <w:rsid w:val="004A63EC"/>
    <w:rsid w:val="004B1B3F"/>
    <w:rsid w:val="004B4149"/>
    <w:rsid w:val="004B5BE7"/>
    <w:rsid w:val="004C1ABB"/>
    <w:rsid w:val="004D011E"/>
    <w:rsid w:val="004D1ED8"/>
    <w:rsid w:val="004D2847"/>
    <w:rsid w:val="004D28E7"/>
    <w:rsid w:val="004D3236"/>
    <w:rsid w:val="004D420D"/>
    <w:rsid w:val="004D4D60"/>
    <w:rsid w:val="004D7BB6"/>
    <w:rsid w:val="004E10CE"/>
    <w:rsid w:val="004E4D63"/>
    <w:rsid w:val="004E5594"/>
    <w:rsid w:val="004E618D"/>
    <w:rsid w:val="004E69C8"/>
    <w:rsid w:val="004F014F"/>
    <w:rsid w:val="004F2310"/>
    <w:rsid w:val="004F4D61"/>
    <w:rsid w:val="004F6645"/>
    <w:rsid w:val="004F6A00"/>
    <w:rsid w:val="004F71B3"/>
    <w:rsid w:val="005038B2"/>
    <w:rsid w:val="00503E08"/>
    <w:rsid w:val="00505140"/>
    <w:rsid w:val="005104C2"/>
    <w:rsid w:val="00510FDB"/>
    <w:rsid w:val="00512D7D"/>
    <w:rsid w:val="00513CBE"/>
    <w:rsid w:val="00513EE3"/>
    <w:rsid w:val="00514AAC"/>
    <w:rsid w:val="00517150"/>
    <w:rsid w:val="00522466"/>
    <w:rsid w:val="005233BC"/>
    <w:rsid w:val="00525498"/>
    <w:rsid w:val="00525C99"/>
    <w:rsid w:val="00527E63"/>
    <w:rsid w:val="005373A2"/>
    <w:rsid w:val="00543F60"/>
    <w:rsid w:val="00547F6B"/>
    <w:rsid w:val="0055160E"/>
    <w:rsid w:val="00554B3A"/>
    <w:rsid w:val="0055525B"/>
    <w:rsid w:val="0055586E"/>
    <w:rsid w:val="00560B18"/>
    <w:rsid w:val="00560F9B"/>
    <w:rsid w:val="00561927"/>
    <w:rsid w:val="00561A97"/>
    <w:rsid w:val="00564657"/>
    <w:rsid w:val="0056498D"/>
    <w:rsid w:val="00571BB1"/>
    <w:rsid w:val="00573B60"/>
    <w:rsid w:val="00573D90"/>
    <w:rsid w:val="0057502E"/>
    <w:rsid w:val="005779F0"/>
    <w:rsid w:val="00581EF9"/>
    <w:rsid w:val="0058604C"/>
    <w:rsid w:val="00590D53"/>
    <w:rsid w:val="00590DA3"/>
    <w:rsid w:val="00594EB0"/>
    <w:rsid w:val="00595CC7"/>
    <w:rsid w:val="005A1174"/>
    <w:rsid w:val="005A3CCB"/>
    <w:rsid w:val="005A4F22"/>
    <w:rsid w:val="005A7A05"/>
    <w:rsid w:val="005B5419"/>
    <w:rsid w:val="005B61A9"/>
    <w:rsid w:val="005B7798"/>
    <w:rsid w:val="005B79AB"/>
    <w:rsid w:val="005C10CF"/>
    <w:rsid w:val="005C1A2F"/>
    <w:rsid w:val="005C2AC6"/>
    <w:rsid w:val="005C2C79"/>
    <w:rsid w:val="005C3273"/>
    <w:rsid w:val="005C3CCD"/>
    <w:rsid w:val="005C40C0"/>
    <w:rsid w:val="005C7509"/>
    <w:rsid w:val="005C7D50"/>
    <w:rsid w:val="005D1FC5"/>
    <w:rsid w:val="005D20B7"/>
    <w:rsid w:val="005E0536"/>
    <w:rsid w:val="005E1B01"/>
    <w:rsid w:val="005E5CBC"/>
    <w:rsid w:val="005E5DA1"/>
    <w:rsid w:val="005E7A83"/>
    <w:rsid w:val="005F003C"/>
    <w:rsid w:val="005F3009"/>
    <w:rsid w:val="005F3F70"/>
    <w:rsid w:val="005F409C"/>
    <w:rsid w:val="005F5302"/>
    <w:rsid w:val="005F6AB8"/>
    <w:rsid w:val="005F7192"/>
    <w:rsid w:val="005F7314"/>
    <w:rsid w:val="005F7DA5"/>
    <w:rsid w:val="0060228A"/>
    <w:rsid w:val="00611D1F"/>
    <w:rsid w:val="00614630"/>
    <w:rsid w:val="0061540A"/>
    <w:rsid w:val="00615BAE"/>
    <w:rsid w:val="0062186E"/>
    <w:rsid w:val="00622090"/>
    <w:rsid w:val="00623E71"/>
    <w:rsid w:val="006265EA"/>
    <w:rsid w:val="00630050"/>
    <w:rsid w:val="0063029E"/>
    <w:rsid w:val="00630BD6"/>
    <w:rsid w:val="006341F1"/>
    <w:rsid w:val="0063799C"/>
    <w:rsid w:val="00637D88"/>
    <w:rsid w:val="006408E0"/>
    <w:rsid w:val="00641A4D"/>
    <w:rsid w:val="00642CCF"/>
    <w:rsid w:val="0065295C"/>
    <w:rsid w:val="00655FDA"/>
    <w:rsid w:val="006565A0"/>
    <w:rsid w:val="00661E86"/>
    <w:rsid w:val="00662823"/>
    <w:rsid w:val="006660F1"/>
    <w:rsid w:val="0066716D"/>
    <w:rsid w:val="00667522"/>
    <w:rsid w:val="00667638"/>
    <w:rsid w:val="0067321F"/>
    <w:rsid w:val="006758B4"/>
    <w:rsid w:val="00676E41"/>
    <w:rsid w:val="00677B39"/>
    <w:rsid w:val="00680B2F"/>
    <w:rsid w:val="00681257"/>
    <w:rsid w:val="006843F3"/>
    <w:rsid w:val="00685BA3"/>
    <w:rsid w:val="0068609C"/>
    <w:rsid w:val="00687FB2"/>
    <w:rsid w:val="00690C13"/>
    <w:rsid w:val="00691C37"/>
    <w:rsid w:val="00692812"/>
    <w:rsid w:val="00692851"/>
    <w:rsid w:val="00692C89"/>
    <w:rsid w:val="0069388A"/>
    <w:rsid w:val="006960F9"/>
    <w:rsid w:val="006A0EDA"/>
    <w:rsid w:val="006A27AA"/>
    <w:rsid w:val="006A4FEE"/>
    <w:rsid w:val="006A5395"/>
    <w:rsid w:val="006A7BFF"/>
    <w:rsid w:val="006B02A7"/>
    <w:rsid w:val="006B114B"/>
    <w:rsid w:val="006B2573"/>
    <w:rsid w:val="006B599E"/>
    <w:rsid w:val="006B654A"/>
    <w:rsid w:val="006B663A"/>
    <w:rsid w:val="006C120D"/>
    <w:rsid w:val="006C1588"/>
    <w:rsid w:val="006C160E"/>
    <w:rsid w:val="006C18B0"/>
    <w:rsid w:val="006C29FC"/>
    <w:rsid w:val="006C3A65"/>
    <w:rsid w:val="006C4559"/>
    <w:rsid w:val="006C6159"/>
    <w:rsid w:val="006C6398"/>
    <w:rsid w:val="006D2355"/>
    <w:rsid w:val="006D358F"/>
    <w:rsid w:val="006D3F1A"/>
    <w:rsid w:val="006D7CC1"/>
    <w:rsid w:val="006E1636"/>
    <w:rsid w:val="006F0DF5"/>
    <w:rsid w:val="006F2F14"/>
    <w:rsid w:val="006F3273"/>
    <w:rsid w:val="0070009E"/>
    <w:rsid w:val="00703962"/>
    <w:rsid w:val="00705313"/>
    <w:rsid w:val="00705DD3"/>
    <w:rsid w:val="0070701D"/>
    <w:rsid w:val="00710BBA"/>
    <w:rsid w:val="00712788"/>
    <w:rsid w:val="00712BF8"/>
    <w:rsid w:val="00714184"/>
    <w:rsid w:val="00717230"/>
    <w:rsid w:val="007202FF"/>
    <w:rsid w:val="00721246"/>
    <w:rsid w:val="007239E3"/>
    <w:rsid w:val="007264DA"/>
    <w:rsid w:val="0073057A"/>
    <w:rsid w:val="00731246"/>
    <w:rsid w:val="007330F3"/>
    <w:rsid w:val="007372FA"/>
    <w:rsid w:val="007374AC"/>
    <w:rsid w:val="007406C9"/>
    <w:rsid w:val="007408DB"/>
    <w:rsid w:val="00741D8F"/>
    <w:rsid w:val="007436F1"/>
    <w:rsid w:val="00745BD5"/>
    <w:rsid w:val="00752626"/>
    <w:rsid w:val="007531FF"/>
    <w:rsid w:val="007561C0"/>
    <w:rsid w:val="00756DC9"/>
    <w:rsid w:val="00762B0B"/>
    <w:rsid w:val="00766829"/>
    <w:rsid w:val="007708D1"/>
    <w:rsid w:val="00770DB5"/>
    <w:rsid w:val="00772846"/>
    <w:rsid w:val="007853FD"/>
    <w:rsid w:val="007864B8"/>
    <w:rsid w:val="00791FF0"/>
    <w:rsid w:val="00795E14"/>
    <w:rsid w:val="007A1997"/>
    <w:rsid w:val="007A6AC7"/>
    <w:rsid w:val="007B5227"/>
    <w:rsid w:val="007B547B"/>
    <w:rsid w:val="007C47B0"/>
    <w:rsid w:val="007C5C51"/>
    <w:rsid w:val="007D1352"/>
    <w:rsid w:val="007D27B6"/>
    <w:rsid w:val="007D476F"/>
    <w:rsid w:val="007D6229"/>
    <w:rsid w:val="007D6849"/>
    <w:rsid w:val="007E4A56"/>
    <w:rsid w:val="007F196A"/>
    <w:rsid w:val="007F472C"/>
    <w:rsid w:val="007F497B"/>
    <w:rsid w:val="007F4A57"/>
    <w:rsid w:val="007F54C6"/>
    <w:rsid w:val="007F63EC"/>
    <w:rsid w:val="007F6D6D"/>
    <w:rsid w:val="007F7855"/>
    <w:rsid w:val="00800F63"/>
    <w:rsid w:val="0080174F"/>
    <w:rsid w:val="00801A42"/>
    <w:rsid w:val="00805258"/>
    <w:rsid w:val="00807424"/>
    <w:rsid w:val="00817A59"/>
    <w:rsid w:val="00823BD3"/>
    <w:rsid w:val="008245ED"/>
    <w:rsid w:val="008256B5"/>
    <w:rsid w:val="00825796"/>
    <w:rsid w:val="00826781"/>
    <w:rsid w:val="00826D8C"/>
    <w:rsid w:val="008373BD"/>
    <w:rsid w:val="0084482F"/>
    <w:rsid w:val="00847F80"/>
    <w:rsid w:val="0085034D"/>
    <w:rsid w:val="00850465"/>
    <w:rsid w:val="00852186"/>
    <w:rsid w:val="00853A29"/>
    <w:rsid w:val="00861511"/>
    <w:rsid w:val="0086190D"/>
    <w:rsid w:val="00862A2D"/>
    <w:rsid w:val="00867A22"/>
    <w:rsid w:val="00867D3D"/>
    <w:rsid w:val="00870332"/>
    <w:rsid w:val="00872F59"/>
    <w:rsid w:val="008742C8"/>
    <w:rsid w:val="00874B18"/>
    <w:rsid w:val="008814D3"/>
    <w:rsid w:val="008817EF"/>
    <w:rsid w:val="0088421E"/>
    <w:rsid w:val="00886DC4"/>
    <w:rsid w:val="0089457C"/>
    <w:rsid w:val="0089532C"/>
    <w:rsid w:val="00897F12"/>
    <w:rsid w:val="008A167D"/>
    <w:rsid w:val="008A2A78"/>
    <w:rsid w:val="008A62AA"/>
    <w:rsid w:val="008B514B"/>
    <w:rsid w:val="008B51D0"/>
    <w:rsid w:val="008B6EB2"/>
    <w:rsid w:val="008C0971"/>
    <w:rsid w:val="008C0BE1"/>
    <w:rsid w:val="008C2A43"/>
    <w:rsid w:val="008C2FB5"/>
    <w:rsid w:val="008C5782"/>
    <w:rsid w:val="008C6463"/>
    <w:rsid w:val="008D022D"/>
    <w:rsid w:val="008D125A"/>
    <w:rsid w:val="008D20AD"/>
    <w:rsid w:val="008D3D35"/>
    <w:rsid w:val="008D7CA9"/>
    <w:rsid w:val="008E151C"/>
    <w:rsid w:val="008E2D58"/>
    <w:rsid w:val="008E664B"/>
    <w:rsid w:val="008F108A"/>
    <w:rsid w:val="008F3503"/>
    <w:rsid w:val="008F4487"/>
    <w:rsid w:val="008F5B77"/>
    <w:rsid w:val="0091348F"/>
    <w:rsid w:val="00922CA4"/>
    <w:rsid w:val="00922E50"/>
    <w:rsid w:val="0092553C"/>
    <w:rsid w:val="00925AC0"/>
    <w:rsid w:val="00926F63"/>
    <w:rsid w:val="00926F89"/>
    <w:rsid w:val="009303D8"/>
    <w:rsid w:val="00934193"/>
    <w:rsid w:val="00934B71"/>
    <w:rsid w:val="00934BC5"/>
    <w:rsid w:val="00935381"/>
    <w:rsid w:val="009358FD"/>
    <w:rsid w:val="0093634C"/>
    <w:rsid w:val="00936BEA"/>
    <w:rsid w:val="00937642"/>
    <w:rsid w:val="009402C0"/>
    <w:rsid w:val="00940625"/>
    <w:rsid w:val="00941AAD"/>
    <w:rsid w:val="00942E92"/>
    <w:rsid w:val="00943CD0"/>
    <w:rsid w:val="009454C7"/>
    <w:rsid w:val="0095551A"/>
    <w:rsid w:val="00956DA5"/>
    <w:rsid w:val="009600DA"/>
    <w:rsid w:val="00962655"/>
    <w:rsid w:val="00964B66"/>
    <w:rsid w:val="0096594D"/>
    <w:rsid w:val="00965A31"/>
    <w:rsid w:val="009729E7"/>
    <w:rsid w:val="00972B3C"/>
    <w:rsid w:val="00974071"/>
    <w:rsid w:val="0097575C"/>
    <w:rsid w:val="00977530"/>
    <w:rsid w:val="00977A93"/>
    <w:rsid w:val="00977BCB"/>
    <w:rsid w:val="00983630"/>
    <w:rsid w:val="0098569C"/>
    <w:rsid w:val="00986D8F"/>
    <w:rsid w:val="00987322"/>
    <w:rsid w:val="00992974"/>
    <w:rsid w:val="00993286"/>
    <w:rsid w:val="00993349"/>
    <w:rsid w:val="0099415E"/>
    <w:rsid w:val="009956DD"/>
    <w:rsid w:val="009964C3"/>
    <w:rsid w:val="009A146B"/>
    <w:rsid w:val="009B0FA7"/>
    <w:rsid w:val="009B5942"/>
    <w:rsid w:val="009B5AFE"/>
    <w:rsid w:val="009B75C0"/>
    <w:rsid w:val="009C0538"/>
    <w:rsid w:val="009C14E2"/>
    <w:rsid w:val="009C2A72"/>
    <w:rsid w:val="009C447E"/>
    <w:rsid w:val="009C4DF1"/>
    <w:rsid w:val="009C7BFC"/>
    <w:rsid w:val="009D559D"/>
    <w:rsid w:val="009E09C6"/>
    <w:rsid w:val="009E2991"/>
    <w:rsid w:val="009E2E95"/>
    <w:rsid w:val="009E6296"/>
    <w:rsid w:val="009E7610"/>
    <w:rsid w:val="009F0D10"/>
    <w:rsid w:val="009F21D3"/>
    <w:rsid w:val="009F2E06"/>
    <w:rsid w:val="009F41F5"/>
    <w:rsid w:val="009F5749"/>
    <w:rsid w:val="009F66E6"/>
    <w:rsid w:val="00A01A3B"/>
    <w:rsid w:val="00A01E85"/>
    <w:rsid w:val="00A02515"/>
    <w:rsid w:val="00A04222"/>
    <w:rsid w:val="00A061DF"/>
    <w:rsid w:val="00A10AEB"/>
    <w:rsid w:val="00A12391"/>
    <w:rsid w:val="00A12515"/>
    <w:rsid w:val="00A14D79"/>
    <w:rsid w:val="00A20C21"/>
    <w:rsid w:val="00A21066"/>
    <w:rsid w:val="00A22066"/>
    <w:rsid w:val="00A22F9A"/>
    <w:rsid w:val="00A23BE8"/>
    <w:rsid w:val="00A24072"/>
    <w:rsid w:val="00A30999"/>
    <w:rsid w:val="00A3219B"/>
    <w:rsid w:val="00A32DF4"/>
    <w:rsid w:val="00A37C23"/>
    <w:rsid w:val="00A42450"/>
    <w:rsid w:val="00A42CBF"/>
    <w:rsid w:val="00A47A85"/>
    <w:rsid w:val="00A47DDE"/>
    <w:rsid w:val="00A5116A"/>
    <w:rsid w:val="00A52E04"/>
    <w:rsid w:val="00A54512"/>
    <w:rsid w:val="00A56130"/>
    <w:rsid w:val="00A61073"/>
    <w:rsid w:val="00A612CD"/>
    <w:rsid w:val="00A66673"/>
    <w:rsid w:val="00A70506"/>
    <w:rsid w:val="00A72A91"/>
    <w:rsid w:val="00A73196"/>
    <w:rsid w:val="00A835AF"/>
    <w:rsid w:val="00A84B39"/>
    <w:rsid w:val="00A855D5"/>
    <w:rsid w:val="00A86D94"/>
    <w:rsid w:val="00A87D62"/>
    <w:rsid w:val="00A955C9"/>
    <w:rsid w:val="00A9683E"/>
    <w:rsid w:val="00A96F9D"/>
    <w:rsid w:val="00AA1D8D"/>
    <w:rsid w:val="00AA363A"/>
    <w:rsid w:val="00AA4833"/>
    <w:rsid w:val="00AA5572"/>
    <w:rsid w:val="00AA71A3"/>
    <w:rsid w:val="00AB1D54"/>
    <w:rsid w:val="00AB2412"/>
    <w:rsid w:val="00AB3462"/>
    <w:rsid w:val="00AB4D90"/>
    <w:rsid w:val="00AB5C09"/>
    <w:rsid w:val="00AB725F"/>
    <w:rsid w:val="00AC02FF"/>
    <w:rsid w:val="00AC6D1B"/>
    <w:rsid w:val="00AC6FC2"/>
    <w:rsid w:val="00AC7618"/>
    <w:rsid w:val="00AD42A3"/>
    <w:rsid w:val="00AD6ABD"/>
    <w:rsid w:val="00AE0F20"/>
    <w:rsid w:val="00AE1D49"/>
    <w:rsid w:val="00AE2495"/>
    <w:rsid w:val="00AE258E"/>
    <w:rsid w:val="00AE2BA7"/>
    <w:rsid w:val="00AE2F2C"/>
    <w:rsid w:val="00AE648E"/>
    <w:rsid w:val="00AE68B6"/>
    <w:rsid w:val="00AE6E2B"/>
    <w:rsid w:val="00AE7149"/>
    <w:rsid w:val="00AF0A56"/>
    <w:rsid w:val="00AF244B"/>
    <w:rsid w:val="00AF3428"/>
    <w:rsid w:val="00AF3F78"/>
    <w:rsid w:val="00B018BB"/>
    <w:rsid w:val="00B0413C"/>
    <w:rsid w:val="00B07A21"/>
    <w:rsid w:val="00B12B38"/>
    <w:rsid w:val="00B14436"/>
    <w:rsid w:val="00B21884"/>
    <w:rsid w:val="00B2335D"/>
    <w:rsid w:val="00B25177"/>
    <w:rsid w:val="00B26B2A"/>
    <w:rsid w:val="00B26E6D"/>
    <w:rsid w:val="00B27279"/>
    <w:rsid w:val="00B304DC"/>
    <w:rsid w:val="00B32298"/>
    <w:rsid w:val="00B32CD2"/>
    <w:rsid w:val="00B35300"/>
    <w:rsid w:val="00B401A1"/>
    <w:rsid w:val="00B41DB3"/>
    <w:rsid w:val="00B42A04"/>
    <w:rsid w:val="00B45D0F"/>
    <w:rsid w:val="00B47730"/>
    <w:rsid w:val="00B526AD"/>
    <w:rsid w:val="00B5332E"/>
    <w:rsid w:val="00B5567B"/>
    <w:rsid w:val="00B560A2"/>
    <w:rsid w:val="00B615A2"/>
    <w:rsid w:val="00B61E41"/>
    <w:rsid w:val="00B621FF"/>
    <w:rsid w:val="00B64B45"/>
    <w:rsid w:val="00B6596E"/>
    <w:rsid w:val="00B67047"/>
    <w:rsid w:val="00B67F4A"/>
    <w:rsid w:val="00B75D5A"/>
    <w:rsid w:val="00B82E41"/>
    <w:rsid w:val="00B875BC"/>
    <w:rsid w:val="00B90AFD"/>
    <w:rsid w:val="00B914C0"/>
    <w:rsid w:val="00B93F2C"/>
    <w:rsid w:val="00B966FF"/>
    <w:rsid w:val="00BA2FF9"/>
    <w:rsid w:val="00BA39E5"/>
    <w:rsid w:val="00BA40DC"/>
    <w:rsid w:val="00BA5F2F"/>
    <w:rsid w:val="00BB0866"/>
    <w:rsid w:val="00BB20CB"/>
    <w:rsid w:val="00BB4828"/>
    <w:rsid w:val="00BC2771"/>
    <w:rsid w:val="00BC3353"/>
    <w:rsid w:val="00BD22D3"/>
    <w:rsid w:val="00BE0B8D"/>
    <w:rsid w:val="00BE1168"/>
    <w:rsid w:val="00BE13F0"/>
    <w:rsid w:val="00BE29FC"/>
    <w:rsid w:val="00BE3971"/>
    <w:rsid w:val="00BE39F9"/>
    <w:rsid w:val="00BE3AE9"/>
    <w:rsid w:val="00BE569B"/>
    <w:rsid w:val="00BE5869"/>
    <w:rsid w:val="00BE6D29"/>
    <w:rsid w:val="00BF119A"/>
    <w:rsid w:val="00BF164B"/>
    <w:rsid w:val="00BF1983"/>
    <w:rsid w:val="00C00E05"/>
    <w:rsid w:val="00C0226D"/>
    <w:rsid w:val="00C0480B"/>
    <w:rsid w:val="00C050C8"/>
    <w:rsid w:val="00C06075"/>
    <w:rsid w:val="00C07147"/>
    <w:rsid w:val="00C11505"/>
    <w:rsid w:val="00C12704"/>
    <w:rsid w:val="00C139D7"/>
    <w:rsid w:val="00C208C1"/>
    <w:rsid w:val="00C20FD1"/>
    <w:rsid w:val="00C21A78"/>
    <w:rsid w:val="00C21AC8"/>
    <w:rsid w:val="00C22808"/>
    <w:rsid w:val="00C3368B"/>
    <w:rsid w:val="00C34417"/>
    <w:rsid w:val="00C34709"/>
    <w:rsid w:val="00C35106"/>
    <w:rsid w:val="00C3610D"/>
    <w:rsid w:val="00C36A6B"/>
    <w:rsid w:val="00C37978"/>
    <w:rsid w:val="00C37FC5"/>
    <w:rsid w:val="00C40592"/>
    <w:rsid w:val="00C43E4B"/>
    <w:rsid w:val="00C43E75"/>
    <w:rsid w:val="00C62C11"/>
    <w:rsid w:val="00C6366F"/>
    <w:rsid w:val="00C6566F"/>
    <w:rsid w:val="00C67796"/>
    <w:rsid w:val="00C7379A"/>
    <w:rsid w:val="00C74863"/>
    <w:rsid w:val="00C74D30"/>
    <w:rsid w:val="00C81721"/>
    <w:rsid w:val="00C81ADD"/>
    <w:rsid w:val="00C823CF"/>
    <w:rsid w:val="00C90B41"/>
    <w:rsid w:val="00C912C1"/>
    <w:rsid w:val="00C96C39"/>
    <w:rsid w:val="00CA2D66"/>
    <w:rsid w:val="00CA3888"/>
    <w:rsid w:val="00CA44FA"/>
    <w:rsid w:val="00CA6640"/>
    <w:rsid w:val="00CB0664"/>
    <w:rsid w:val="00CB5C67"/>
    <w:rsid w:val="00CB634A"/>
    <w:rsid w:val="00CB6D6B"/>
    <w:rsid w:val="00CB7951"/>
    <w:rsid w:val="00CC13AE"/>
    <w:rsid w:val="00CC152E"/>
    <w:rsid w:val="00CC2AA4"/>
    <w:rsid w:val="00CC5F88"/>
    <w:rsid w:val="00CC6A78"/>
    <w:rsid w:val="00CD0C93"/>
    <w:rsid w:val="00CD3DA5"/>
    <w:rsid w:val="00CD5BFF"/>
    <w:rsid w:val="00CD70A3"/>
    <w:rsid w:val="00CD7764"/>
    <w:rsid w:val="00CE147C"/>
    <w:rsid w:val="00CE3535"/>
    <w:rsid w:val="00CE4FA1"/>
    <w:rsid w:val="00CE5CBA"/>
    <w:rsid w:val="00CF0512"/>
    <w:rsid w:val="00CF1B18"/>
    <w:rsid w:val="00CF29AB"/>
    <w:rsid w:val="00CF4955"/>
    <w:rsid w:val="00D0124C"/>
    <w:rsid w:val="00D04136"/>
    <w:rsid w:val="00D04953"/>
    <w:rsid w:val="00D0538D"/>
    <w:rsid w:val="00D06275"/>
    <w:rsid w:val="00D07419"/>
    <w:rsid w:val="00D10B60"/>
    <w:rsid w:val="00D1255C"/>
    <w:rsid w:val="00D16DD2"/>
    <w:rsid w:val="00D22107"/>
    <w:rsid w:val="00D22444"/>
    <w:rsid w:val="00D25EF4"/>
    <w:rsid w:val="00D33C52"/>
    <w:rsid w:val="00D35909"/>
    <w:rsid w:val="00D35AED"/>
    <w:rsid w:val="00D35ED7"/>
    <w:rsid w:val="00D43FFC"/>
    <w:rsid w:val="00D44902"/>
    <w:rsid w:val="00D45F7A"/>
    <w:rsid w:val="00D460BB"/>
    <w:rsid w:val="00D4754F"/>
    <w:rsid w:val="00D5227C"/>
    <w:rsid w:val="00D54C5E"/>
    <w:rsid w:val="00D56771"/>
    <w:rsid w:val="00D603C3"/>
    <w:rsid w:val="00D64C31"/>
    <w:rsid w:val="00D65E2F"/>
    <w:rsid w:val="00D663C9"/>
    <w:rsid w:val="00D713E2"/>
    <w:rsid w:val="00D73425"/>
    <w:rsid w:val="00D74A6E"/>
    <w:rsid w:val="00D77600"/>
    <w:rsid w:val="00D77D2D"/>
    <w:rsid w:val="00D83163"/>
    <w:rsid w:val="00D860FC"/>
    <w:rsid w:val="00D87895"/>
    <w:rsid w:val="00D90004"/>
    <w:rsid w:val="00D91EB9"/>
    <w:rsid w:val="00D927A4"/>
    <w:rsid w:val="00D939A1"/>
    <w:rsid w:val="00D946F2"/>
    <w:rsid w:val="00DA07A4"/>
    <w:rsid w:val="00DA2FC2"/>
    <w:rsid w:val="00DA44C3"/>
    <w:rsid w:val="00DB40E3"/>
    <w:rsid w:val="00DB56B4"/>
    <w:rsid w:val="00DB797F"/>
    <w:rsid w:val="00DC08E6"/>
    <w:rsid w:val="00DC0D01"/>
    <w:rsid w:val="00DC1A80"/>
    <w:rsid w:val="00DC3E80"/>
    <w:rsid w:val="00DC429F"/>
    <w:rsid w:val="00DC4795"/>
    <w:rsid w:val="00DC6992"/>
    <w:rsid w:val="00DC707A"/>
    <w:rsid w:val="00DD2FBB"/>
    <w:rsid w:val="00DD351A"/>
    <w:rsid w:val="00DD53E9"/>
    <w:rsid w:val="00DD55EF"/>
    <w:rsid w:val="00DE1130"/>
    <w:rsid w:val="00DE16CE"/>
    <w:rsid w:val="00DE23FE"/>
    <w:rsid w:val="00DE3E15"/>
    <w:rsid w:val="00DE4BF1"/>
    <w:rsid w:val="00DE5485"/>
    <w:rsid w:val="00DE5E9E"/>
    <w:rsid w:val="00DE5F0F"/>
    <w:rsid w:val="00DF4971"/>
    <w:rsid w:val="00DF561C"/>
    <w:rsid w:val="00DF7645"/>
    <w:rsid w:val="00E015F0"/>
    <w:rsid w:val="00E229FB"/>
    <w:rsid w:val="00E2423A"/>
    <w:rsid w:val="00E242D9"/>
    <w:rsid w:val="00E26A93"/>
    <w:rsid w:val="00E33147"/>
    <w:rsid w:val="00E34EFE"/>
    <w:rsid w:val="00E438CE"/>
    <w:rsid w:val="00E44987"/>
    <w:rsid w:val="00E464D4"/>
    <w:rsid w:val="00E47DA5"/>
    <w:rsid w:val="00E56D23"/>
    <w:rsid w:val="00E62F06"/>
    <w:rsid w:val="00E6306A"/>
    <w:rsid w:val="00E63E13"/>
    <w:rsid w:val="00E66717"/>
    <w:rsid w:val="00E722D6"/>
    <w:rsid w:val="00E751D8"/>
    <w:rsid w:val="00E75737"/>
    <w:rsid w:val="00E75B75"/>
    <w:rsid w:val="00E763A4"/>
    <w:rsid w:val="00E8099A"/>
    <w:rsid w:val="00E83F2C"/>
    <w:rsid w:val="00E95A30"/>
    <w:rsid w:val="00E96C27"/>
    <w:rsid w:val="00EA1544"/>
    <w:rsid w:val="00EA3C67"/>
    <w:rsid w:val="00EA68D7"/>
    <w:rsid w:val="00EB0C06"/>
    <w:rsid w:val="00EB1752"/>
    <w:rsid w:val="00EB1B8D"/>
    <w:rsid w:val="00EB2E40"/>
    <w:rsid w:val="00EB32F6"/>
    <w:rsid w:val="00EC21EA"/>
    <w:rsid w:val="00EC4D0E"/>
    <w:rsid w:val="00EC6412"/>
    <w:rsid w:val="00ED04A9"/>
    <w:rsid w:val="00ED1A97"/>
    <w:rsid w:val="00ED2963"/>
    <w:rsid w:val="00ED5D6C"/>
    <w:rsid w:val="00EE660E"/>
    <w:rsid w:val="00EE7BBC"/>
    <w:rsid w:val="00EF3C4C"/>
    <w:rsid w:val="00EF4BA9"/>
    <w:rsid w:val="00EF702C"/>
    <w:rsid w:val="00EF753A"/>
    <w:rsid w:val="00EF7B49"/>
    <w:rsid w:val="00F0185C"/>
    <w:rsid w:val="00F11DA5"/>
    <w:rsid w:val="00F1268B"/>
    <w:rsid w:val="00F14558"/>
    <w:rsid w:val="00F16B05"/>
    <w:rsid w:val="00F2440D"/>
    <w:rsid w:val="00F25840"/>
    <w:rsid w:val="00F434D9"/>
    <w:rsid w:val="00F50BCE"/>
    <w:rsid w:val="00F5215B"/>
    <w:rsid w:val="00F575A4"/>
    <w:rsid w:val="00F63009"/>
    <w:rsid w:val="00F64365"/>
    <w:rsid w:val="00F65333"/>
    <w:rsid w:val="00F67B47"/>
    <w:rsid w:val="00F7298D"/>
    <w:rsid w:val="00F72AC7"/>
    <w:rsid w:val="00F73DC2"/>
    <w:rsid w:val="00F763D0"/>
    <w:rsid w:val="00F772E2"/>
    <w:rsid w:val="00F83C16"/>
    <w:rsid w:val="00F868C9"/>
    <w:rsid w:val="00F86AE0"/>
    <w:rsid w:val="00F87747"/>
    <w:rsid w:val="00F8E186"/>
    <w:rsid w:val="00F909F0"/>
    <w:rsid w:val="00F91B75"/>
    <w:rsid w:val="00F94040"/>
    <w:rsid w:val="00F96D82"/>
    <w:rsid w:val="00F97E43"/>
    <w:rsid w:val="00FA01D3"/>
    <w:rsid w:val="00FA1776"/>
    <w:rsid w:val="00FA34B3"/>
    <w:rsid w:val="00FA3C7F"/>
    <w:rsid w:val="00FA5FE4"/>
    <w:rsid w:val="00FB0BDE"/>
    <w:rsid w:val="00FB4E21"/>
    <w:rsid w:val="00FB58ED"/>
    <w:rsid w:val="00FC1C68"/>
    <w:rsid w:val="00FC550F"/>
    <w:rsid w:val="00FC5FC7"/>
    <w:rsid w:val="00FC693F"/>
    <w:rsid w:val="00FD153C"/>
    <w:rsid w:val="00FD231E"/>
    <w:rsid w:val="00FD3931"/>
    <w:rsid w:val="00FD6155"/>
    <w:rsid w:val="00FE10AF"/>
    <w:rsid w:val="00FE4B5C"/>
    <w:rsid w:val="00FF0083"/>
    <w:rsid w:val="00FF0354"/>
    <w:rsid w:val="00FF622B"/>
    <w:rsid w:val="01237F6C"/>
    <w:rsid w:val="015FF3A0"/>
    <w:rsid w:val="01D8D838"/>
    <w:rsid w:val="0204906E"/>
    <w:rsid w:val="0267F82E"/>
    <w:rsid w:val="03A73E0C"/>
    <w:rsid w:val="03CF4EF3"/>
    <w:rsid w:val="03CFC304"/>
    <w:rsid w:val="040B2F8B"/>
    <w:rsid w:val="04226E4E"/>
    <w:rsid w:val="05044059"/>
    <w:rsid w:val="057A725B"/>
    <w:rsid w:val="067DF264"/>
    <w:rsid w:val="07A9EF83"/>
    <w:rsid w:val="0871B171"/>
    <w:rsid w:val="08821651"/>
    <w:rsid w:val="088D10BB"/>
    <w:rsid w:val="09721B69"/>
    <w:rsid w:val="0B03BD31"/>
    <w:rsid w:val="0B62F413"/>
    <w:rsid w:val="0BBC3BE4"/>
    <w:rsid w:val="0C32D93C"/>
    <w:rsid w:val="0CAB2234"/>
    <w:rsid w:val="0CDB6508"/>
    <w:rsid w:val="0D9EF497"/>
    <w:rsid w:val="0DC685CE"/>
    <w:rsid w:val="0DECBB30"/>
    <w:rsid w:val="0E279F78"/>
    <w:rsid w:val="0E662D6E"/>
    <w:rsid w:val="0E9D5965"/>
    <w:rsid w:val="0EB22BB5"/>
    <w:rsid w:val="0F801171"/>
    <w:rsid w:val="0FDB09D4"/>
    <w:rsid w:val="105DEC9C"/>
    <w:rsid w:val="10BC2C8B"/>
    <w:rsid w:val="11766708"/>
    <w:rsid w:val="1176922B"/>
    <w:rsid w:val="11E2A296"/>
    <w:rsid w:val="1219A29A"/>
    <w:rsid w:val="142D8983"/>
    <w:rsid w:val="1580EAA8"/>
    <w:rsid w:val="15843F24"/>
    <w:rsid w:val="16375C98"/>
    <w:rsid w:val="17CB4F55"/>
    <w:rsid w:val="18DD702B"/>
    <w:rsid w:val="198060E7"/>
    <w:rsid w:val="19AB9D7C"/>
    <w:rsid w:val="1AAE8F57"/>
    <w:rsid w:val="1AC07E33"/>
    <w:rsid w:val="1B0738A5"/>
    <w:rsid w:val="1B7AB49C"/>
    <w:rsid w:val="1C31602C"/>
    <w:rsid w:val="1CF0015C"/>
    <w:rsid w:val="1DCD03B2"/>
    <w:rsid w:val="1E7F84A8"/>
    <w:rsid w:val="1E86D8ED"/>
    <w:rsid w:val="20191EA9"/>
    <w:rsid w:val="2155ECE9"/>
    <w:rsid w:val="221D2F30"/>
    <w:rsid w:val="228C9C2A"/>
    <w:rsid w:val="2306007D"/>
    <w:rsid w:val="2331053C"/>
    <w:rsid w:val="23B7F7F2"/>
    <w:rsid w:val="23E2169F"/>
    <w:rsid w:val="24397BAA"/>
    <w:rsid w:val="2473FCA9"/>
    <w:rsid w:val="24E585BF"/>
    <w:rsid w:val="2548270E"/>
    <w:rsid w:val="25C59DC6"/>
    <w:rsid w:val="2624F67C"/>
    <w:rsid w:val="265E7F85"/>
    <w:rsid w:val="26E3FEED"/>
    <w:rsid w:val="27AF4EBB"/>
    <w:rsid w:val="2A09F753"/>
    <w:rsid w:val="2A1EF1DA"/>
    <w:rsid w:val="2A8B2250"/>
    <w:rsid w:val="2AF84DB5"/>
    <w:rsid w:val="2CF95AE7"/>
    <w:rsid w:val="2D65DB01"/>
    <w:rsid w:val="2E163C0A"/>
    <w:rsid w:val="2E4F8A1A"/>
    <w:rsid w:val="2ED161EA"/>
    <w:rsid w:val="2F0E1AA1"/>
    <w:rsid w:val="2F0ECE25"/>
    <w:rsid w:val="2F68043D"/>
    <w:rsid w:val="2FB556F0"/>
    <w:rsid w:val="2FCB013A"/>
    <w:rsid w:val="30103146"/>
    <w:rsid w:val="309896C4"/>
    <w:rsid w:val="30BDB806"/>
    <w:rsid w:val="313694FE"/>
    <w:rsid w:val="31BCD481"/>
    <w:rsid w:val="31E99750"/>
    <w:rsid w:val="327EA4C1"/>
    <w:rsid w:val="33664FB1"/>
    <w:rsid w:val="33C21A44"/>
    <w:rsid w:val="33E838B3"/>
    <w:rsid w:val="34CD1D8B"/>
    <w:rsid w:val="355ECB3E"/>
    <w:rsid w:val="355FC406"/>
    <w:rsid w:val="35F76803"/>
    <w:rsid w:val="36A125D9"/>
    <w:rsid w:val="3959D6DC"/>
    <w:rsid w:val="3A0E7634"/>
    <w:rsid w:val="3A5E11AB"/>
    <w:rsid w:val="3AD6B788"/>
    <w:rsid w:val="3C4374ED"/>
    <w:rsid w:val="3C5DCA79"/>
    <w:rsid w:val="3CC13B83"/>
    <w:rsid w:val="3CD11480"/>
    <w:rsid w:val="3CD43E7F"/>
    <w:rsid w:val="3ED9C42C"/>
    <w:rsid w:val="3F0E0EF7"/>
    <w:rsid w:val="3F1A7FA0"/>
    <w:rsid w:val="3F499845"/>
    <w:rsid w:val="3F4E9C82"/>
    <w:rsid w:val="3F6AAC11"/>
    <w:rsid w:val="3F6C20E5"/>
    <w:rsid w:val="3FAC652F"/>
    <w:rsid w:val="3FECF960"/>
    <w:rsid w:val="406F55FE"/>
    <w:rsid w:val="4208E62F"/>
    <w:rsid w:val="42E9F46F"/>
    <w:rsid w:val="4308B630"/>
    <w:rsid w:val="43ABF8AB"/>
    <w:rsid w:val="45572F99"/>
    <w:rsid w:val="45A72261"/>
    <w:rsid w:val="463F5199"/>
    <w:rsid w:val="4697A95F"/>
    <w:rsid w:val="46A4929F"/>
    <w:rsid w:val="46A95C51"/>
    <w:rsid w:val="46E1CE7B"/>
    <w:rsid w:val="47845DCA"/>
    <w:rsid w:val="478AF251"/>
    <w:rsid w:val="496743D1"/>
    <w:rsid w:val="49EC17D6"/>
    <w:rsid w:val="4AB4883D"/>
    <w:rsid w:val="4AD6AFC0"/>
    <w:rsid w:val="4AF17DC0"/>
    <w:rsid w:val="4B020258"/>
    <w:rsid w:val="4B47A601"/>
    <w:rsid w:val="4B66FCDF"/>
    <w:rsid w:val="4B880066"/>
    <w:rsid w:val="4B8F1845"/>
    <w:rsid w:val="4B953E30"/>
    <w:rsid w:val="4BA06C9A"/>
    <w:rsid w:val="4C3DFCDD"/>
    <w:rsid w:val="4C52A35D"/>
    <w:rsid w:val="4CA329CA"/>
    <w:rsid w:val="4CCD6DC3"/>
    <w:rsid w:val="4D33E31B"/>
    <w:rsid w:val="4D67EBB9"/>
    <w:rsid w:val="4D6F273B"/>
    <w:rsid w:val="4DF44F73"/>
    <w:rsid w:val="4E1F3F54"/>
    <w:rsid w:val="4E9CACDF"/>
    <w:rsid w:val="4F23C5DA"/>
    <w:rsid w:val="4F39F46B"/>
    <w:rsid w:val="4F413F62"/>
    <w:rsid w:val="4F4F4D52"/>
    <w:rsid w:val="4FAED919"/>
    <w:rsid w:val="4FF30D3F"/>
    <w:rsid w:val="50627062"/>
    <w:rsid w:val="50BE8572"/>
    <w:rsid w:val="50D2E00D"/>
    <w:rsid w:val="51363B13"/>
    <w:rsid w:val="514A56F3"/>
    <w:rsid w:val="51C062B4"/>
    <w:rsid w:val="5238805A"/>
    <w:rsid w:val="531C17B1"/>
    <w:rsid w:val="535E3BB1"/>
    <w:rsid w:val="53A29AF7"/>
    <w:rsid w:val="54E4A403"/>
    <w:rsid w:val="54EBC9E3"/>
    <w:rsid w:val="55611F72"/>
    <w:rsid w:val="561FF3AA"/>
    <w:rsid w:val="5638E197"/>
    <w:rsid w:val="56688263"/>
    <w:rsid w:val="5700FF78"/>
    <w:rsid w:val="57F09826"/>
    <w:rsid w:val="58086B0C"/>
    <w:rsid w:val="582DF32E"/>
    <w:rsid w:val="58BBAD24"/>
    <w:rsid w:val="59F2CAC3"/>
    <w:rsid w:val="59F4D589"/>
    <w:rsid w:val="5A142CEE"/>
    <w:rsid w:val="5AC80874"/>
    <w:rsid w:val="5AC88EA7"/>
    <w:rsid w:val="5AE5F6AE"/>
    <w:rsid w:val="5B20F94E"/>
    <w:rsid w:val="5B4C04BC"/>
    <w:rsid w:val="5BE7DE6B"/>
    <w:rsid w:val="5C644AFD"/>
    <w:rsid w:val="5C995B05"/>
    <w:rsid w:val="5D408101"/>
    <w:rsid w:val="5D8AE842"/>
    <w:rsid w:val="5DA0BF60"/>
    <w:rsid w:val="5E903307"/>
    <w:rsid w:val="5EA83ED4"/>
    <w:rsid w:val="5EF0BBB5"/>
    <w:rsid w:val="5F83A214"/>
    <w:rsid w:val="6037B405"/>
    <w:rsid w:val="605BD6A9"/>
    <w:rsid w:val="60D3705B"/>
    <w:rsid w:val="6100E2D0"/>
    <w:rsid w:val="6152BB67"/>
    <w:rsid w:val="620C9426"/>
    <w:rsid w:val="622E126C"/>
    <w:rsid w:val="627C43F8"/>
    <w:rsid w:val="6285EFEB"/>
    <w:rsid w:val="62A48991"/>
    <w:rsid w:val="62FB7CAC"/>
    <w:rsid w:val="632E71AA"/>
    <w:rsid w:val="63A63F8E"/>
    <w:rsid w:val="645FFB8D"/>
    <w:rsid w:val="6493EC2F"/>
    <w:rsid w:val="64B98BAE"/>
    <w:rsid w:val="6548A418"/>
    <w:rsid w:val="666B698B"/>
    <w:rsid w:val="678CB806"/>
    <w:rsid w:val="682631A0"/>
    <w:rsid w:val="683AA88D"/>
    <w:rsid w:val="686811F8"/>
    <w:rsid w:val="69716592"/>
    <w:rsid w:val="699C9226"/>
    <w:rsid w:val="6A421298"/>
    <w:rsid w:val="6A9FA6B5"/>
    <w:rsid w:val="6AB267AB"/>
    <w:rsid w:val="6AEBDE8E"/>
    <w:rsid w:val="6C021F2C"/>
    <w:rsid w:val="6C616A96"/>
    <w:rsid w:val="6D744CB1"/>
    <w:rsid w:val="6D9FB9F5"/>
    <w:rsid w:val="6F10DE6F"/>
    <w:rsid w:val="6FECE6EA"/>
    <w:rsid w:val="700C19F8"/>
    <w:rsid w:val="701F232D"/>
    <w:rsid w:val="70E69818"/>
    <w:rsid w:val="70E753A5"/>
    <w:rsid w:val="7132483C"/>
    <w:rsid w:val="718DFA87"/>
    <w:rsid w:val="71F19A5A"/>
    <w:rsid w:val="723AEFA8"/>
    <w:rsid w:val="7273BD1D"/>
    <w:rsid w:val="72C136B0"/>
    <w:rsid w:val="73758413"/>
    <w:rsid w:val="73B6A896"/>
    <w:rsid w:val="7452CAE8"/>
    <w:rsid w:val="74B2607D"/>
    <w:rsid w:val="74CC68E0"/>
    <w:rsid w:val="74DF2C8A"/>
    <w:rsid w:val="751158C8"/>
    <w:rsid w:val="7538C578"/>
    <w:rsid w:val="75AB34B0"/>
    <w:rsid w:val="75D0F8B1"/>
    <w:rsid w:val="75E696CC"/>
    <w:rsid w:val="76B025F4"/>
    <w:rsid w:val="76EC7729"/>
    <w:rsid w:val="7798330A"/>
    <w:rsid w:val="77E55988"/>
    <w:rsid w:val="79038124"/>
    <w:rsid w:val="79DDEE55"/>
    <w:rsid w:val="7A470677"/>
    <w:rsid w:val="7AE20564"/>
    <w:rsid w:val="7BE8932E"/>
    <w:rsid w:val="7C2940CE"/>
    <w:rsid w:val="7C591747"/>
    <w:rsid w:val="7C59A111"/>
    <w:rsid w:val="7CD80886"/>
    <w:rsid w:val="7D20DB1D"/>
    <w:rsid w:val="7E4BD25E"/>
    <w:rsid w:val="7F4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477C7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D0"/>
    <w:pPr>
      <w:keepNext/>
      <w:keepLines/>
      <w:spacing w:before="240" w:after="240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51D0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cPr>
      <w:tcBorders>
        <w:left w:val="nil"/>
        <w:right w:val="nil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/>
    <w:tblStylePr w:type="firstRow">
      <w:rPr>
        <w:rFonts w:asciiTheme="majorHAnsi" w:eastAsiaTheme="majorEastAsia" w:hAnsiTheme="majorHAnsi" w:cstheme="majorBidi"/>
      </w:rPr>
    </w:tblStylePr>
    <w:tblStylePr w:type="lastRow">
      <w:rPr>
        <w:b/>
        <w:bCs/>
        <w:color w:val="1F497D" w:themeColor="text2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C0C0" w:themeFill="text1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3DFEE" w:themeFill="accent1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FD3D2" w:themeFill="accent2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ED5" w:themeFill="accent3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FD8E8" w:themeFill="accent4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2EAF1" w:themeFill="accent5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4D0" w:themeFill="accent6" w:themeFillTint="3F"/>
    </w:tcPr>
    <w:tblStylePr w:type="firstRow">
      <w:rPr>
        <w:sz w:val="24"/>
        <w:szCs w:val="24"/>
      </w:r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</w:tblStylePr>
    <w:tblStylePr w:type="lastCol">
      <w:rPr>
        <w:b w:val="0"/>
        <w:bCs w:val="0"/>
        <w:color w:val="000000" w:themeColor="text1"/>
      </w:r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/>
    <w:tblStylePr w:type="firstRow">
      <w:rPr>
        <w:b/>
        <w:bCs/>
      </w:r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</w:rPr>
    </w:tblStylePr>
    <w:tblStylePr w:type="lastRow">
      <w:rPr>
        <w:b/>
        <w:bCs/>
        <w:color w:val="FFFFFF" w:themeColor="background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/>
    <w:tblStylePr w:type="firstRow">
      <w:rPr>
        <w:b/>
        <w:bCs/>
      </w:rPr>
    </w:tblStylePr>
    <w:tblStylePr w:type="lastRow">
      <w:rPr>
        <w:b/>
        <w:bCs/>
        <w:color w:val="000000" w:themeColor="text1"/>
      </w:rPr>
    </w:tblStylePr>
    <w:tblStylePr w:type="firstCol">
      <w:rPr>
        <w:color w:val="FFFFFF" w:themeColor="background1"/>
      </w:rPr>
    </w:tblStylePr>
    <w:tblStylePr w:type="lastCol">
      <w:rPr>
        <w:color w:val="FFFFFF" w:themeColor="background1"/>
      </w:rPr>
    </w:tblStylePr>
  </w:style>
  <w:style w:type="paragraph" w:styleId="NormalWeb">
    <w:name w:val="Normal (Web)"/>
    <w:basedOn w:val="Normal"/>
    <w:uiPriority w:val="99"/>
    <w:unhideWhenUsed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relative">
    <w:name w:val="relative"/>
    <w:basedOn w:val="DefaultParagraphFont"/>
    <w:rsid w:val="003A6943"/>
  </w:style>
  <w:style w:type="paragraph" w:customStyle="1" w:styleId="not-prose">
    <w:name w:val="not-prose"/>
    <w:basedOn w:val="Normal"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table" w:styleId="TableGridLight">
    <w:name w:val="Grid Table Light"/>
    <w:basedOn w:val="TableNormal"/>
    <w:uiPriority w:val="99"/>
    <w:rsid w:val="006A7BFF"/>
    <w:pPr>
      <w:spacing w:after="0" w:line="240" w:lineRule="auto"/>
    </w:pPr>
    <w:tblPr/>
  </w:style>
  <w:style w:type="paragraph" w:customStyle="1" w:styleId="paragraph">
    <w:name w:val="paragraph"/>
    <w:basedOn w:val="Normal"/>
    <w:rsid w:val="0010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normaltextrun">
    <w:name w:val="normaltextrun"/>
    <w:basedOn w:val="DefaultParagraphFont"/>
    <w:rsid w:val="00100696"/>
  </w:style>
  <w:style w:type="character" w:customStyle="1" w:styleId="eop">
    <w:name w:val="eop"/>
    <w:basedOn w:val="DefaultParagraphFont"/>
    <w:rsid w:val="00100696"/>
  </w:style>
  <w:style w:type="table" w:styleId="ListTable3-Accent5">
    <w:name w:val="List Table 3 Accent 5"/>
    <w:basedOn w:val="TableNormal"/>
    <w:uiPriority w:val="48"/>
    <w:rsid w:val="007F63EC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cBorders>
    </w:tc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EF702C"/>
    <w:pPr>
      <w:spacing w:after="0" w:line="240" w:lineRule="auto"/>
    </w:pPr>
    <w:tblPr>
      <w:tblStyleColBandSize w:val="1"/>
    </w:tbl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7321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08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8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08C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208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7A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C447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iccat.int/Documents/Recs/compendiopdf-e/2022-18-e.pdf__;!!DOxrgLBm!DWsGIaH0kgIYYqtXdxv6PCu21SuI2rvSGQmELA9-8xtaodtr6pi4HL6gLnUxSOWsNTLHwqEWUcm93vJsUuO0AomwUhK2-gkx6D8$" TargetMode="External"/><Relationship Id="rId13" Type="http://schemas.openxmlformats.org/officeDocument/2006/relationships/hyperlink" Target="https://www.iccat.int/Documents/Recs/compendiopdf-e/2008-09-e.pdf" TargetMode="External"/><Relationship Id="rId18" Type="http://schemas.openxmlformats.org/officeDocument/2006/relationships/hyperlink" Target="https://www.iccat.int/Documents/Recs/compendiopdf-e/2022-18-e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ccat.int/Documents/Recs/compendiopdf-e/2001-13-e.pdf" TargetMode="External"/><Relationship Id="rId17" Type="http://schemas.openxmlformats.org/officeDocument/2006/relationships/hyperlink" Target="https://www.iccat.int/Documents/Recs/compendiopdf-e/2016-17-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uments/Recs/compendiopdf-e/2015-09-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cat.int/Documents/Recs/compendiopdf-e/2001-12-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uments/Recs/compendiopdf-e/2011-15-e.pdf" TargetMode="External"/><Relationship Id="rId10" Type="http://schemas.openxmlformats.org/officeDocument/2006/relationships/hyperlink" Target="https://www.iccat.int/Documents/Recs/compendiopdf-e/2000-14-e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ccat.int/Documents/Recs/compendiopdf-e/2022-18-e.pdf" TargetMode="External"/><Relationship Id="rId14" Type="http://schemas.openxmlformats.org/officeDocument/2006/relationships/hyperlink" Target="https://www.iccat.int/Documents/Recs/compendiopdf-e/2011-11-e.pdf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otc.org/sites/default/files/documents/2025/03/IOTC-2025-CoC22-10_E_-_Compliance_Support_Activities.pdf" TargetMode="External"/><Relationship Id="rId2" Type="http://schemas.openxmlformats.org/officeDocument/2006/relationships/hyperlink" Target="https://www.sprfmo.int/assets/Meetings/03-CTC/12th-CTC-2025/Meeting-Documents/CTC12-Doc08-Implementation-Report-Inspections-a.pdf" TargetMode="External"/><Relationship Id="rId1" Type="http://schemas.openxmlformats.org/officeDocument/2006/relationships/hyperlink" Target="https://iotc.org/sites/default/files/documents/2025/04/IOTC-2025-CoC22-03_Rev2_E_-_Summary_Report_on_the_level_of_Compli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63B81-CCD8-470D-B5A0-9B24878A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2025-11-04T12:01:00Z</dcterms:created>
  <dcterms:modified xsi:type="dcterms:W3CDTF">2025-11-05T13:46:00Z</dcterms:modified>
  <cp:category/>
</cp:coreProperties>
</file>