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6F9D" w14:textId="01A9A8E3" w:rsidR="00253B44" w:rsidRPr="00A55037" w:rsidRDefault="00253B44" w:rsidP="00253B44">
      <w:pPr>
        <w:pStyle w:val="P68B1DB1-Heading11"/>
        <w:spacing w:before="0" w:line="240" w:lineRule="auto"/>
        <w:jc w:val="right"/>
        <w:rPr>
          <w:rFonts w:asciiTheme="minorHAnsi" w:hAnsiTheme="minorHAnsi"/>
          <w:color w:val="auto"/>
          <w:sz w:val="20"/>
          <w:szCs w:val="20"/>
        </w:rPr>
      </w:pPr>
      <w:r w:rsidRPr="00A55037">
        <w:rPr>
          <w:rFonts w:asciiTheme="minorHAnsi" w:hAnsiTheme="minorHAnsi"/>
          <w:color w:val="auto"/>
          <w:sz w:val="20"/>
          <w:szCs w:val="20"/>
        </w:rPr>
        <w:t>Original: inglés</w:t>
      </w:r>
    </w:p>
    <w:p w14:paraId="40CEC4F4" w14:textId="77777777" w:rsidR="00253B44" w:rsidRPr="00A55037" w:rsidRDefault="00253B44" w:rsidP="00253B44">
      <w:pPr>
        <w:pStyle w:val="P68B1DB1-Heading11"/>
        <w:spacing w:before="0"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</w:p>
    <w:p w14:paraId="19B6E895" w14:textId="14529FF2" w:rsidR="00E86B6C" w:rsidRPr="00A55037" w:rsidRDefault="004E031D" w:rsidP="00253B44">
      <w:pPr>
        <w:pStyle w:val="P68B1DB1-Heading11"/>
        <w:spacing w:before="0"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A55037">
        <w:rPr>
          <w:rFonts w:asciiTheme="minorHAnsi" w:hAnsiTheme="minorHAnsi"/>
          <w:color w:val="auto"/>
          <w:sz w:val="20"/>
          <w:szCs w:val="20"/>
        </w:rPr>
        <w:t xml:space="preserve">Propuesta para racionalizar y reforzar el proceso del Comité de Cumplimiento </w:t>
      </w:r>
      <w:r w:rsidR="00097878" w:rsidRPr="00A55037">
        <w:rPr>
          <w:rFonts w:asciiTheme="minorHAnsi" w:hAnsiTheme="minorHAnsi"/>
          <w:color w:val="auto"/>
          <w:sz w:val="20"/>
          <w:szCs w:val="20"/>
        </w:rPr>
        <w:t xml:space="preserve">(COC) </w:t>
      </w:r>
      <w:r w:rsidRPr="00A55037">
        <w:rPr>
          <w:rFonts w:asciiTheme="minorHAnsi" w:hAnsiTheme="minorHAnsi"/>
          <w:color w:val="auto"/>
          <w:sz w:val="20"/>
          <w:szCs w:val="20"/>
        </w:rPr>
        <w:t>de la CICAA</w:t>
      </w:r>
    </w:p>
    <w:p w14:paraId="1D002FD2" w14:textId="7F675E49" w:rsidR="00253B44" w:rsidRPr="00A55037" w:rsidRDefault="00253B44" w:rsidP="00253B44">
      <w:pPr>
        <w:pStyle w:val="P68B1DB1-Heading11"/>
        <w:spacing w:before="0" w:line="240" w:lineRule="auto"/>
        <w:jc w:val="center"/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</w:pPr>
      <w:r w:rsidRPr="00A55037"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  <w:t>(Presentado por la Unión Europea)</w:t>
      </w:r>
    </w:p>
    <w:p w14:paraId="27D54D37" w14:textId="77777777" w:rsidR="00253B44" w:rsidRPr="00A55037" w:rsidRDefault="00253B44" w:rsidP="00253B44">
      <w:pPr>
        <w:pStyle w:val="P68B1DB1-Heading11"/>
        <w:spacing w:before="0" w:line="240" w:lineRule="auto"/>
        <w:jc w:val="center"/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</w:pPr>
    </w:p>
    <w:p w14:paraId="46BD3805" w14:textId="77777777" w:rsidR="00253B44" w:rsidRPr="00A55037" w:rsidRDefault="00253B44" w:rsidP="00253B44">
      <w:pPr>
        <w:pStyle w:val="P68B1DB1-Heading11"/>
        <w:spacing w:before="0" w:line="240" w:lineRule="auto"/>
        <w:jc w:val="center"/>
        <w:rPr>
          <w:rFonts w:asciiTheme="minorHAnsi" w:hAnsiTheme="minorHAnsi"/>
          <w:b w:val="0"/>
          <w:bCs w:val="0"/>
          <w:i/>
          <w:iCs/>
          <w:color w:val="auto"/>
          <w:sz w:val="20"/>
          <w:szCs w:val="20"/>
        </w:rPr>
      </w:pPr>
    </w:p>
    <w:p w14:paraId="2538FC4A" w14:textId="641BC291" w:rsidR="00E86B6C" w:rsidRPr="00A55037" w:rsidRDefault="004E031D" w:rsidP="00253B44">
      <w:pPr>
        <w:pStyle w:val="Heading2"/>
        <w:numPr>
          <w:ilvl w:val="0"/>
          <w:numId w:val="14"/>
        </w:numPr>
        <w:spacing w:before="0"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A55037">
        <w:rPr>
          <w:rFonts w:asciiTheme="minorHAnsi" w:hAnsiTheme="minorHAnsi"/>
          <w:color w:val="auto"/>
          <w:sz w:val="20"/>
          <w:szCs w:val="20"/>
        </w:rPr>
        <w:t>Antecedentes y objetivos del presente documento</w:t>
      </w:r>
    </w:p>
    <w:p w14:paraId="617FAB2A" w14:textId="77777777" w:rsidR="00253B44" w:rsidRPr="00A55037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2211DCA0" w14:textId="778762E3" w:rsidR="00E86B6C" w:rsidRPr="00A55037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 xml:space="preserve">En la reunión anual de 2024, la UE destacó la complejidad con la que opera actualmente el </w:t>
      </w:r>
      <w:r w:rsidR="00253B44" w:rsidRPr="00A55037">
        <w:rPr>
          <w:rFonts w:asciiTheme="minorHAnsi" w:hAnsiTheme="minorHAnsi"/>
          <w:sz w:val="20"/>
          <w:szCs w:val="20"/>
        </w:rPr>
        <w:t>C</w:t>
      </w:r>
      <w:r w:rsidRPr="00A55037">
        <w:rPr>
          <w:rFonts w:asciiTheme="minorHAnsi" w:hAnsiTheme="minorHAnsi"/>
          <w:sz w:val="20"/>
          <w:szCs w:val="20"/>
        </w:rPr>
        <w:t xml:space="preserve">omité de </w:t>
      </w:r>
      <w:r w:rsidR="00253B44" w:rsidRPr="00A55037">
        <w:rPr>
          <w:rFonts w:asciiTheme="minorHAnsi" w:hAnsiTheme="minorHAnsi"/>
          <w:sz w:val="20"/>
          <w:szCs w:val="20"/>
        </w:rPr>
        <w:t>C</w:t>
      </w:r>
      <w:r w:rsidRPr="00A55037">
        <w:rPr>
          <w:rFonts w:asciiTheme="minorHAnsi" w:hAnsiTheme="minorHAnsi"/>
          <w:sz w:val="20"/>
          <w:szCs w:val="20"/>
        </w:rPr>
        <w:t xml:space="preserve">umplimiento </w:t>
      </w:r>
      <w:r w:rsidR="00253B44" w:rsidRPr="00A55037">
        <w:rPr>
          <w:rFonts w:asciiTheme="minorHAnsi" w:hAnsiTheme="minorHAnsi"/>
          <w:sz w:val="20"/>
          <w:szCs w:val="20"/>
        </w:rPr>
        <w:t xml:space="preserve">(COC) </w:t>
      </w:r>
      <w:r w:rsidRPr="00A55037">
        <w:rPr>
          <w:rFonts w:asciiTheme="minorHAnsi" w:hAnsiTheme="minorHAnsi"/>
          <w:sz w:val="20"/>
          <w:szCs w:val="20"/>
        </w:rPr>
        <w:t xml:space="preserve">y propuso iniciar un procedimiento para simplificarlo. </w:t>
      </w:r>
    </w:p>
    <w:p w14:paraId="2D9A5243" w14:textId="77777777" w:rsidR="00253B44" w:rsidRPr="00A55037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00429976" w14:textId="59FC4839" w:rsidR="00E86B6C" w:rsidRPr="00A55037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 xml:space="preserve">Esta complejidad se debe a varios factores: la complejidad de las pesquerías de la CICAA; el gran número de </w:t>
      </w:r>
      <w:r w:rsidR="00253B44" w:rsidRPr="00A55037">
        <w:rPr>
          <w:rFonts w:asciiTheme="minorHAnsi" w:hAnsiTheme="minorHAnsi"/>
          <w:sz w:val="20"/>
          <w:szCs w:val="20"/>
        </w:rPr>
        <w:t>C</w:t>
      </w:r>
      <w:r w:rsidRPr="00A55037">
        <w:rPr>
          <w:rFonts w:asciiTheme="minorHAnsi" w:hAnsiTheme="minorHAnsi"/>
          <w:sz w:val="20"/>
          <w:szCs w:val="20"/>
        </w:rPr>
        <w:t xml:space="preserve">PC; el gran número de medidas de conservación y ordenación; el gran número de obligaciones de información y de informes; la dispersión de las normas de procedimiento en varios documentos; el elevado número de documentos elaborados; el diseño y el formato de los documentos; la falta de conclusión sobre cuestiones de cumplimiento; </w:t>
      </w:r>
      <w:r w:rsidR="00253B44" w:rsidRPr="00A55037">
        <w:rPr>
          <w:rFonts w:asciiTheme="minorHAnsi" w:hAnsiTheme="minorHAnsi"/>
          <w:sz w:val="20"/>
          <w:szCs w:val="20"/>
        </w:rPr>
        <w:t>etc.</w:t>
      </w:r>
    </w:p>
    <w:p w14:paraId="4020025D" w14:textId="77777777" w:rsidR="00253B44" w:rsidRPr="00A55037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763F47CC" w14:textId="41C48875" w:rsidR="00E86B6C" w:rsidRPr="00A55037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El objetivo del presente documento es proponer a la consideración del COC un proceso para racionalizar el trabajo del C</w:t>
      </w:r>
      <w:r w:rsidR="51D02995" w:rsidRPr="00A55037">
        <w:rPr>
          <w:rFonts w:asciiTheme="minorHAnsi" w:hAnsiTheme="minorHAnsi"/>
          <w:sz w:val="20"/>
          <w:szCs w:val="20"/>
        </w:rPr>
        <w:t>OC</w:t>
      </w:r>
      <w:r w:rsidRPr="00A55037">
        <w:rPr>
          <w:rFonts w:asciiTheme="minorHAnsi" w:hAnsiTheme="minorHAnsi"/>
          <w:sz w:val="20"/>
          <w:szCs w:val="20"/>
        </w:rPr>
        <w:t xml:space="preserve">. </w:t>
      </w:r>
    </w:p>
    <w:p w14:paraId="2D660C9F" w14:textId="77777777" w:rsidR="00253B44" w:rsidRPr="00A55037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1C823759" w14:textId="6EF9E912" w:rsidR="00E86B6C" w:rsidRPr="00A55037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Se propone que el COC:</w:t>
      </w:r>
    </w:p>
    <w:p w14:paraId="585CB369" w14:textId="77777777" w:rsidR="00253B44" w:rsidRPr="00A55037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0B864EE3" w14:textId="3ED522F7" w:rsidR="00E86B6C" w:rsidRPr="00A55037" w:rsidRDefault="004E031D" w:rsidP="00253B44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 xml:space="preserve">Tome nota de la información facilitada en el presente documento y respalde la necesidad de iniciar un proceso entre períodos de sesiones para racionalizar el trabajo del COC. </w:t>
      </w:r>
    </w:p>
    <w:p w14:paraId="3E498890" w14:textId="6CC2CF55" w:rsidR="00E86B6C" w:rsidRPr="00A55037" w:rsidRDefault="004E031D" w:rsidP="00253B44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>Debatir, modificar y aprobar el calendario del proceso entre sesiones (</w:t>
      </w:r>
      <w:r w:rsidR="61507C78" w:rsidRPr="00A55037">
        <w:rPr>
          <w:rFonts w:asciiTheme="minorHAnsi" w:hAnsiTheme="minorHAnsi"/>
          <w:sz w:val="20"/>
          <w:szCs w:val="20"/>
          <w:lang w:val="es-ES"/>
        </w:rPr>
        <w:t>sección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2.2)</w:t>
      </w:r>
      <w:r w:rsidR="00A5777C" w:rsidRPr="00A55037">
        <w:rPr>
          <w:rFonts w:asciiTheme="minorHAnsi" w:hAnsiTheme="minorHAnsi"/>
          <w:sz w:val="20"/>
          <w:szCs w:val="20"/>
          <w:lang w:val="es-ES"/>
        </w:rPr>
        <w:t>.</w:t>
      </w:r>
    </w:p>
    <w:p w14:paraId="7241CC54" w14:textId="0898D2F0" w:rsidR="00E86B6C" w:rsidRPr="00A55037" w:rsidRDefault="004E031D" w:rsidP="00253B44">
      <w:pPr>
        <w:pStyle w:val="Normal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>Acuerde poner en marcha un proceso entre sesiones para modificar colectivamente la «línea de actuación propuesta» (</w:t>
      </w:r>
      <w:r w:rsidR="16F2F74D" w:rsidRPr="00A55037">
        <w:rPr>
          <w:rFonts w:asciiTheme="minorHAnsi" w:hAnsiTheme="minorHAnsi"/>
          <w:sz w:val="20"/>
          <w:szCs w:val="20"/>
          <w:lang w:val="es-ES"/>
        </w:rPr>
        <w:t>sección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3)</w:t>
      </w:r>
      <w:r w:rsidR="00A5777C" w:rsidRPr="00A55037">
        <w:rPr>
          <w:rFonts w:asciiTheme="minorHAnsi" w:hAnsiTheme="minorHAnsi"/>
          <w:sz w:val="20"/>
          <w:szCs w:val="20"/>
          <w:lang w:val="es-ES"/>
        </w:rPr>
        <w:t>.</w:t>
      </w:r>
    </w:p>
    <w:p w14:paraId="24A82E8E" w14:textId="77777777" w:rsidR="00E86B6C" w:rsidRPr="00A55037" w:rsidRDefault="00E86B6C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0609228E" w14:textId="77777777" w:rsidR="00253B44" w:rsidRPr="00A55037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5B2CBE00" w14:textId="3A9CDAB1" w:rsidR="00E86B6C" w:rsidRPr="00A55037" w:rsidRDefault="004E031D" w:rsidP="00253B44">
      <w:pPr>
        <w:pStyle w:val="Heading2"/>
        <w:numPr>
          <w:ilvl w:val="0"/>
          <w:numId w:val="14"/>
        </w:numPr>
        <w:spacing w:before="0" w:after="0" w:line="240" w:lineRule="auto"/>
        <w:rPr>
          <w:rFonts w:asciiTheme="minorHAnsi" w:hAnsiTheme="minorHAnsi"/>
          <w:color w:val="auto"/>
          <w:sz w:val="20"/>
          <w:szCs w:val="20"/>
        </w:rPr>
      </w:pPr>
      <w:r w:rsidRPr="00A55037">
        <w:rPr>
          <w:rFonts w:asciiTheme="minorHAnsi" w:hAnsiTheme="minorHAnsi"/>
          <w:color w:val="auto"/>
          <w:sz w:val="20"/>
          <w:szCs w:val="20"/>
        </w:rPr>
        <w:t>Proceso para racionalizar el trabajo del Comité de Cumplimiento</w:t>
      </w:r>
    </w:p>
    <w:p w14:paraId="5DB7F869" w14:textId="77777777" w:rsidR="00253B44" w:rsidRPr="00A55037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12FFE5B6" w14:textId="277F67A5" w:rsidR="00E86B6C" w:rsidRPr="00A55037" w:rsidRDefault="02552FCC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>Se sugiere</w:t>
      </w:r>
      <w:r w:rsidR="004E031D" w:rsidRPr="00A55037">
        <w:rPr>
          <w:rFonts w:asciiTheme="minorHAnsi" w:hAnsiTheme="minorHAnsi"/>
          <w:sz w:val="20"/>
          <w:szCs w:val="20"/>
          <w:lang w:val="es-ES"/>
        </w:rPr>
        <w:t xml:space="preserve"> simplificar el proceso de evaluación del cumplimiento reduciendo y racionalizando la información a analizar y estableciendo mecanismos que permitan un seguimiento eficaz de los problemas de cumplimiento detectados.</w:t>
      </w:r>
    </w:p>
    <w:p w14:paraId="243C1733" w14:textId="77777777" w:rsidR="00253B44" w:rsidRPr="00A55037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2A451931" w14:textId="75C1BB51" w:rsidR="00E86B6C" w:rsidRPr="00A55037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>El proceso también debe examinar las mejores prácticas en los comités de cumplimiento de otras O</w:t>
      </w:r>
      <w:r w:rsidR="2CD57F3A" w:rsidRPr="00A55037">
        <w:rPr>
          <w:rFonts w:asciiTheme="minorHAnsi" w:hAnsiTheme="minorHAnsi"/>
          <w:sz w:val="20"/>
          <w:szCs w:val="20"/>
          <w:lang w:val="es-ES"/>
        </w:rPr>
        <w:t xml:space="preserve">rganizaciones Regionales de </w:t>
      </w:r>
      <w:r w:rsidR="26BDE933" w:rsidRPr="00A55037">
        <w:rPr>
          <w:rFonts w:asciiTheme="minorHAnsi" w:hAnsiTheme="minorHAnsi"/>
          <w:sz w:val="20"/>
          <w:szCs w:val="20"/>
          <w:lang w:val="es-ES"/>
        </w:rPr>
        <w:t>Ordenación</w:t>
      </w:r>
      <w:r w:rsidR="1188CA64" w:rsidRPr="00A55037">
        <w:rPr>
          <w:rFonts w:asciiTheme="minorHAnsi" w:hAnsiTheme="minorHAnsi"/>
          <w:sz w:val="20"/>
          <w:szCs w:val="20"/>
          <w:lang w:val="es-ES"/>
        </w:rPr>
        <w:t xml:space="preserve"> </w:t>
      </w:r>
      <w:r w:rsidR="2CD57F3A" w:rsidRPr="00A55037">
        <w:rPr>
          <w:rFonts w:asciiTheme="minorHAnsi" w:hAnsiTheme="minorHAnsi"/>
          <w:sz w:val="20"/>
          <w:szCs w:val="20"/>
          <w:lang w:val="es-ES"/>
        </w:rPr>
        <w:t>Pes</w:t>
      </w:r>
      <w:r w:rsidR="2F42C63E" w:rsidRPr="00A55037">
        <w:rPr>
          <w:rFonts w:asciiTheme="minorHAnsi" w:hAnsiTheme="minorHAnsi"/>
          <w:sz w:val="20"/>
          <w:szCs w:val="20"/>
          <w:lang w:val="es-ES"/>
        </w:rPr>
        <w:t>quera</w:t>
      </w:r>
      <w:r w:rsidR="40EA052E" w:rsidRPr="00A55037">
        <w:rPr>
          <w:rFonts w:asciiTheme="minorHAnsi" w:hAnsiTheme="minorHAnsi"/>
          <w:sz w:val="20"/>
          <w:szCs w:val="20"/>
          <w:lang w:val="es-ES"/>
        </w:rPr>
        <w:t xml:space="preserve"> (OROP)</w:t>
      </w:r>
      <w:r w:rsidRPr="00A55037">
        <w:rPr>
          <w:rFonts w:asciiTheme="minorHAnsi" w:hAnsiTheme="minorHAnsi"/>
          <w:sz w:val="20"/>
          <w:szCs w:val="20"/>
          <w:lang w:val="es-ES"/>
        </w:rPr>
        <w:t>.</w:t>
      </w:r>
    </w:p>
    <w:p w14:paraId="74A6459D" w14:textId="77777777" w:rsidR="00253B44" w:rsidRPr="00A55037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1AEF4D1B" w14:textId="7908D87E" w:rsidR="00E86B6C" w:rsidRPr="00A55037" w:rsidRDefault="004E031D" w:rsidP="00253B44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Ámbitos de mejora</w:t>
      </w:r>
    </w:p>
    <w:p w14:paraId="522F89CE" w14:textId="77777777" w:rsidR="00253B44" w:rsidRPr="00A55037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58520D33" w14:textId="70359204" w:rsidR="00E86B6C" w:rsidRPr="00A55037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La UE sugiere que el proceso se centre en la mejora</w:t>
      </w:r>
      <w:r w:rsidR="7316CC65" w:rsidRPr="00A55037">
        <w:rPr>
          <w:rFonts w:asciiTheme="minorHAnsi" w:hAnsiTheme="minorHAnsi"/>
          <w:sz w:val="20"/>
          <w:szCs w:val="20"/>
        </w:rPr>
        <w:t xml:space="preserve"> de cuatro</w:t>
      </w:r>
      <w:r w:rsidRPr="00A55037">
        <w:rPr>
          <w:rFonts w:asciiTheme="minorHAnsi" w:hAnsiTheme="minorHAnsi"/>
          <w:sz w:val="20"/>
          <w:szCs w:val="20"/>
        </w:rPr>
        <w:t xml:space="preserve"> ámbitos de trabajo del COC:  </w:t>
      </w:r>
    </w:p>
    <w:p w14:paraId="4E881F3E" w14:textId="77777777" w:rsidR="00253B44" w:rsidRPr="00A55037" w:rsidRDefault="00253B44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1C28F89B" w14:textId="534BE657" w:rsidR="00E86B6C" w:rsidRPr="00A55037" w:rsidRDefault="368B59A3" w:rsidP="00253B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I</w:t>
      </w:r>
      <w:r w:rsidR="004E031D" w:rsidRPr="00A55037">
        <w:rPr>
          <w:rFonts w:asciiTheme="minorHAnsi" w:hAnsiTheme="minorHAnsi"/>
          <w:sz w:val="20"/>
          <w:szCs w:val="20"/>
        </w:rPr>
        <w:t>dentifica</w:t>
      </w:r>
      <w:r w:rsidR="136527F8" w:rsidRPr="00A55037">
        <w:rPr>
          <w:rFonts w:asciiTheme="minorHAnsi" w:hAnsiTheme="minorHAnsi"/>
          <w:sz w:val="20"/>
          <w:szCs w:val="20"/>
        </w:rPr>
        <w:t>ndo</w:t>
      </w:r>
      <w:r w:rsidR="004E031D" w:rsidRPr="00A55037">
        <w:rPr>
          <w:rFonts w:asciiTheme="minorHAnsi" w:hAnsiTheme="minorHAnsi"/>
          <w:sz w:val="20"/>
          <w:szCs w:val="20"/>
        </w:rPr>
        <w:t xml:space="preserve"> las medidas y obligaciones respecto de las cuales debe evaluarse su cumplimiento</w:t>
      </w:r>
      <w:r w:rsidR="00864F70" w:rsidRPr="00A55037">
        <w:rPr>
          <w:rFonts w:asciiTheme="minorHAnsi" w:hAnsiTheme="minorHAnsi"/>
          <w:sz w:val="20"/>
          <w:szCs w:val="20"/>
        </w:rPr>
        <w:t>.</w:t>
      </w:r>
    </w:p>
    <w:p w14:paraId="542159A5" w14:textId="77777777" w:rsidR="00864F70" w:rsidRPr="00A55037" w:rsidRDefault="00864F70" w:rsidP="00864F7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</w:rPr>
      </w:pPr>
    </w:p>
    <w:p w14:paraId="6AD6190A" w14:textId="23050A1C" w:rsidR="00E86B6C" w:rsidRPr="00A55037" w:rsidRDefault="004E031D" w:rsidP="00253B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Identifica</w:t>
      </w:r>
      <w:r w:rsidR="6EE680EA" w:rsidRPr="00A55037">
        <w:rPr>
          <w:rFonts w:asciiTheme="minorHAnsi" w:hAnsiTheme="minorHAnsi"/>
          <w:sz w:val="20"/>
          <w:szCs w:val="20"/>
        </w:rPr>
        <w:t>ndo</w:t>
      </w:r>
      <w:r w:rsidRPr="00A55037">
        <w:rPr>
          <w:rFonts w:asciiTheme="minorHAnsi" w:hAnsiTheme="minorHAnsi"/>
          <w:sz w:val="20"/>
          <w:szCs w:val="20"/>
        </w:rPr>
        <w:t xml:space="preserve"> la información disponible y la información necesaria para llevar a cabo dicha evaluación</w:t>
      </w:r>
      <w:r w:rsidR="00864F70" w:rsidRPr="00A55037">
        <w:rPr>
          <w:rFonts w:asciiTheme="minorHAnsi" w:hAnsiTheme="minorHAnsi"/>
          <w:sz w:val="20"/>
          <w:szCs w:val="20"/>
        </w:rPr>
        <w:t>.</w:t>
      </w:r>
    </w:p>
    <w:p w14:paraId="22F37692" w14:textId="77777777" w:rsidR="00864F70" w:rsidRPr="00A55037" w:rsidRDefault="00864F70" w:rsidP="00864F70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</w:rPr>
      </w:pPr>
    </w:p>
    <w:p w14:paraId="443E0F67" w14:textId="7BF4B06D" w:rsidR="00E86B6C" w:rsidRPr="00A55037" w:rsidRDefault="004E031D" w:rsidP="00253B44">
      <w:pPr>
        <w:pStyle w:val="NormalWeb"/>
        <w:spacing w:before="0" w:beforeAutospacing="0" w:after="0" w:afterAutospacing="0"/>
        <w:ind w:left="1418" w:firstLine="22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 xml:space="preserve">Algunos de los documentos COC no son adecuados o carecen de la información necesaria para realizar las evaluaciones requeridas. </w:t>
      </w:r>
    </w:p>
    <w:p w14:paraId="39A63227" w14:textId="77777777" w:rsidR="00253B44" w:rsidRPr="00A55037" w:rsidRDefault="00253B44" w:rsidP="00253B44">
      <w:pPr>
        <w:pStyle w:val="NormalWeb"/>
        <w:spacing w:before="0" w:beforeAutospacing="0" w:after="0" w:afterAutospacing="0"/>
        <w:ind w:left="1418" w:firstLine="22"/>
        <w:jc w:val="both"/>
        <w:rPr>
          <w:rFonts w:asciiTheme="minorHAnsi" w:hAnsiTheme="minorHAnsi"/>
          <w:sz w:val="20"/>
          <w:szCs w:val="20"/>
        </w:rPr>
      </w:pPr>
    </w:p>
    <w:p w14:paraId="412B012E" w14:textId="48A54F54" w:rsidR="00E86B6C" w:rsidRPr="00A55037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  <w:lang w:val="es-ES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>Es posible que sea necesario adaptar algunas de las actuales obligaciones de información de las distintas recomendaciones. Al mismo tiempo, podrían eliminarse otras obligaciones de información, que no se consideran útiles.</w:t>
      </w:r>
    </w:p>
    <w:p w14:paraId="7ABC7521" w14:textId="77777777" w:rsidR="00253B44" w:rsidRPr="00A55037" w:rsidRDefault="00253B44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40E61802" w14:textId="711875BC" w:rsidR="00E86B6C" w:rsidRPr="00A55037" w:rsidRDefault="5FC5AAFA" w:rsidP="00253B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D</w:t>
      </w:r>
      <w:r w:rsidR="004E031D" w:rsidRPr="00A55037">
        <w:rPr>
          <w:rFonts w:asciiTheme="minorHAnsi" w:hAnsiTheme="minorHAnsi"/>
          <w:sz w:val="20"/>
          <w:szCs w:val="20"/>
        </w:rPr>
        <w:t>iseña</w:t>
      </w:r>
      <w:r w:rsidR="406A8A92" w:rsidRPr="00A55037">
        <w:rPr>
          <w:rFonts w:asciiTheme="minorHAnsi" w:hAnsiTheme="minorHAnsi"/>
          <w:sz w:val="20"/>
          <w:szCs w:val="20"/>
        </w:rPr>
        <w:t>ndo</w:t>
      </w:r>
      <w:r w:rsidR="004E031D" w:rsidRPr="00A55037">
        <w:rPr>
          <w:rFonts w:asciiTheme="minorHAnsi" w:hAnsiTheme="minorHAnsi"/>
          <w:sz w:val="20"/>
          <w:szCs w:val="20"/>
        </w:rPr>
        <w:t xml:space="preserve"> documentos con información «digerida» que facilite la realización de dicha evaluación</w:t>
      </w:r>
      <w:r w:rsidR="00864F70" w:rsidRPr="00A55037">
        <w:rPr>
          <w:rFonts w:asciiTheme="minorHAnsi" w:hAnsiTheme="minorHAnsi"/>
          <w:sz w:val="20"/>
          <w:szCs w:val="20"/>
        </w:rPr>
        <w:t>.</w:t>
      </w:r>
    </w:p>
    <w:p w14:paraId="18B90FEA" w14:textId="41B56891" w:rsidR="00E86B6C" w:rsidRPr="00A55037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lastRenderedPageBreak/>
        <w:t>El elevado número de documentos publicados en el marco del COC, así como su extensión y formato, dificultan que las CPC analicen la información y extraigan las conclusiones necesarias.</w:t>
      </w:r>
    </w:p>
    <w:p w14:paraId="318F7A57" w14:textId="2AE66F85" w:rsidR="00E86B6C" w:rsidRPr="00A55037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En 2024, el C</w:t>
      </w:r>
      <w:r w:rsidR="030C333F" w:rsidRPr="00A55037">
        <w:rPr>
          <w:rFonts w:asciiTheme="minorHAnsi" w:hAnsiTheme="minorHAnsi"/>
          <w:sz w:val="20"/>
          <w:szCs w:val="20"/>
        </w:rPr>
        <w:t>OC</w:t>
      </w:r>
      <w:r w:rsidRPr="00A55037">
        <w:rPr>
          <w:rFonts w:asciiTheme="minorHAnsi" w:hAnsiTheme="minorHAnsi"/>
          <w:sz w:val="20"/>
          <w:szCs w:val="20"/>
        </w:rPr>
        <w:t xml:space="preserve"> contó con 64 documentos de reunión (23 documentos + 31 anexos + 10 adendas). Si se suman todas las versiones revisadas, esto se eleva a 123 documentos de reunión. Algunos documentos son extremadamente largos (hasta 1200 páginas) o muy complejos (gran cantidad de información o datos)</w:t>
      </w:r>
      <w:r w:rsidR="00253B44" w:rsidRPr="00A55037">
        <w:rPr>
          <w:rFonts w:asciiTheme="minorHAnsi" w:hAnsiTheme="minorHAnsi"/>
          <w:sz w:val="20"/>
          <w:szCs w:val="20"/>
        </w:rPr>
        <w:t>.</w:t>
      </w:r>
    </w:p>
    <w:p w14:paraId="72EAA671" w14:textId="77777777" w:rsidR="00253B44" w:rsidRPr="00A55037" w:rsidRDefault="00253B44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52464A9B" w14:textId="5A658401" w:rsidR="00E86B6C" w:rsidRPr="00A55037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  <w:lang w:val="es-ES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>Más allá del número de documentos y de su extensión, la presentación y el formato de los documentos revisten especial importancia. Los documentos clave, a pesar de contener información importante, se presentan de una manera que dificulta la extracción inmediata de conclusiones.</w:t>
      </w:r>
    </w:p>
    <w:p w14:paraId="3740781A" w14:textId="77777777" w:rsidR="00253B44" w:rsidRPr="00A55037" w:rsidRDefault="00253B44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67D88D14" w14:textId="7CBD47E8" w:rsidR="00E86B6C" w:rsidRPr="00A55037" w:rsidRDefault="7F35854F" w:rsidP="00253B44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P</w:t>
      </w:r>
      <w:r w:rsidR="004E031D" w:rsidRPr="00A55037">
        <w:rPr>
          <w:rFonts w:asciiTheme="minorHAnsi" w:hAnsiTheme="minorHAnsi"/>
          <w:sz w:val="20"/>
          <w:szCs w:val="20"/>
        </w:rPr>
        <w:t>roporciona</w:t>
      </w:r>
      <w:r w:rsidR="19666838" w:rsidRPr="00A55037">
        <w:rPr>
          <w:rFonts w:asciiTheme="minorHAnsi" w:hAnsiTheme="minorHAnsi"/>
          <w:sz w:val="20"/>
          <w:szCs w:val="20"/>
        </w:rPr>
        <w:t>ndo</w:t>
      </w:r>
      <w:r w:rsidR="004E031D" w:rsidRPr="00A55037">
        <w:rPr>
          <w:rFonts w:asciiTheme="minorHAnsi" w:hAnsiTheme="minorHAnsi"/>
          <w:sz w:val="20"/>
          <w:szCs w:val="20"/>
        </w:rPr>
        <w:t xml:space="preserve"> un mecanismo para supervisar las tendencias de cumplimiento a lo largo del tiempo, detectar problemas de cumplimiento significativos o problemas sistémicos y las consecuencias del incumplimiento y, cuando proceda, desarrollar «medidas de seguimiento» </w:t>
      </w:r>
      <w:r w:rsidR="00864F70" w:rsidRPr="00A55037">
        <w:rPr>
          <w:rFonts w:asciiTheme="minorHAnsi" w:hAnsiTheme="minorHAnsi"/>
          <w:sz w:val="20"/>
          <w:szCs w:val="20"/>
        </w:rPr>
        <w:t xml:space="preserve">estándar </w:t>
      </w:r>
      <w:r w:rsidR="004E031D" w:rsidRPr="00A55037">
        <w:rPr>
          <w:rFonts w:asciiTheme="minorHAnsi" w:hAnsiTheme="minorHAnsi"/>
          <w:sz w:val="20"/>
          <w:szCs w:val="20"/>
        </w:rPr>
        <w:t>para los problemas de cumplimiento.</w:t>
      </w:r>
    </w:p>
    <w:p w14:paraId="69ECBFCB" w14:textId="60D2310B" w:rsidR="00A75D58" w:rsidRPr="00A55037" w:rsidRDefault="00A75D58" w:rsidP="00A75D5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</w:rPr>
      </w:pPr>
    </w:p>
    <w:p w14:paraId="2DE538F6" w14:textId="49D34B72" w:rsidR="00E86B6C" w:rsidRPr="00A55037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  <w:lang w:val="es-ES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 xml:space="preserve">El principal objetivo del COC es detectar y abordar el incumplimiento de las obligaciones de la CICAA. Es importante que se realice un seguimiento oportuno y eficaz de los problemas de cumplimiento de las </w:t>
      </w:r>
      <w:r w:rsidR="00141B93" w:rsidRPr="00A55037">
        <w:rPr>
          <w:rFonts w:asciiTheme="minorHAnsi" w:hAnsiTheme="minorHAnsi"/>
          <w:sz w:val="20"/>
          <w:szCs w:val="20"/>
          <w:lang w:val="es-ES"/>
        </w:rPr>
        <w:t>CPCs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detectados. </w:t>
      </w:r>
    </w:p>
    <w:p w14:paraId="59DC4FC4" w14:textId="77777777" w:rsidR="00A75D58" w:rsidRPr="00A55037" w:rsidRDefault="00A75D58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6F249D8E" w14:textId="3903E085" w:rsidR="00E86B6C" w:rsidRPr="00A55037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  <w:lang w:val="es-ES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 xml:space="preserve">Un mecanismo «automático» que active las acciones de seguimiento en caso de que se detecten incumplimientos podría ser beneficioso para orientar a las CPC y al COC a la hora de abordar los problemas. También podría proporcionar orientación a la </w:t>
      </w:r>
      <w:r w:rsidR="00864F70" w:rsidRPr="00A55037">
        <w:rPr>
          <w:rFonts w:asciiTheme="minorHAnsi" w:hAnsiTheme="minorHAnsi"/>
          <w:sz w:val="20"/>
          <w:szCs w:val="20"/>
          <w:lang w:val="es-ES"/>
        </w:rPr>
        <w:t xml:space="preserve">Secretaría 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en sus actividades de cumplimiento y desarrollo de capacidades. </w:t>
      </w:r>
    </w:p>
    <w:p w14:paraId="631CB42F" w14:textId="77777777" w:rsidR="00A75D58" w:rsidRPr="00A55037" w:rsidRDefault="00A75D58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0591E877" w14:textId="73F1A827" w:rsidR="00E86B6C" w:rsidRPr="00A55037" w:rsidRDefault="004E031D" w:rsidP="00253B44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Dedicar más tiempo en el COC a debatir el seguimiento por parte de las CPC de los problemas de incumplimiento detectados podría ayudar a lograrlo.</w:t>
      </w:r>
    </w:p>
    <w:p w14:paraId="7E080060" w14:textId="77777777" w:rsidR="00E86B6C" w:rsidRPr="00A55037" w:rsidRDefault="00E86B6C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5727E010" w14:textId="77777777" w:rsidR="00E86B6C" w:rsidRPr="00A55037" w:rsidRDefault="004E031D" w:rsidP="00A75D58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Cronología</w:t>
      </w:r>
    </w:p>
    <w:p w14:paraId="4468E852" w14:textId="77777777" w:rsidR="00A75D58" w:rsidRPr="00A55037" w:rsidRDefault="00A75D58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4C109395" w14:textId="17E4ED1B" w:rsidR="00E86B6C" w:rsidRPr="00A55037" w:rsidRDefault="004E031D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>El trabajo podría tener lugar durante el período entre períodos de sesiones, con vistas a aprobar una manera de avanzar en el C</w:t>
      </w:r>
      <w:r w:rsidR="6F1EECCA" w:rsidRPr="00A55037">
        <w:rPr>
          <w:rFonts w:asciiTheme="minorHAnsi" w:hAnsiTheme="minorHAnsi"/>
          <w:sz w:val="20"/>
          <w:szCs w:val="20"/>
          <w:lang w:val="es-ES"/>
        </w:rPr>
        <w:t>OC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en 2026 mediante una «línea de acción propuesta» para aplicar los cambios y con orientaciones claras para la Secretaría. </w:t>
      </w:r>
    </w:p>
    <w:p w14:paraId="6E27C7CA" w14:textId="77777777" w:rsidR="00A75D58" w:rsidRPr="00A55037" w:rsidRDefault="00A75D58" w:rsidP="00253B44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p w14:paraId="2FCBA92B" w14:textId="0A15F557" w:rsidR="00E86B6C" w:rsidRPr="00A55037" w:rsidRDefault="004E031D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 xml:space="preserve">Para el 1 de diciembre de 2025: </w:t>
      </w:r>
      <w:r w:rsidR="3352F0C6" w:rsidRPr="00A55037">
        <w:rPr>
          <w:rFonts w:asciiTheme="minorHAnsi" w:hAnsiTheme="minorHAnsi"/>
          <w:sz w:val="20"/>
          <w:szCs w:val="20"/>
          <w:lang w:val="es-ES"/>
        </w:rPr>
        <w:t xml:space="preserve">borrador de la </w:t>
      </w:r>
      <w:r w:rsidRPr="00A55037">
        <w:rPr>
          <w:rFonts w:asciiTheme="minorHAnsi" w:hAnsiTheme="minorHAnsi"/>
          <w:sz w:val="20"/>
          <w:szCs w:val="20"/>
          <w:lang w:val="es-ES"/>
        </w:rPr>
        <w:t>línea de actuación (</w:t>
      </w:r>
      <w:r w:rsidR="3AB8D2F4" w:rsidRPr="00A55037">
        <w:rPr>
          <w:rFonts w:asciiTheme="minorHAnsi" w:hAnsiTheme="minorHAnsi"/>
          <w:sz w:val="20"/>
          <w:szCs w:val="20"/>
          <w:lang w:val="es-ES"/>
        </w:rPr>
        <w:t>sección 3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) </w:t>
      </w:r>
      <w:r w:rsidR="0B35644A" w:rsidRPr="00A55037">
        <w:rPr>
          <w:rFonts w:asciiTheme="minorHAnsi" w:hAnsiTheme="minorHAnsi"/>
          <w:sz w:val="20"/>
          <w:szCs w:val="20"/>
          <w:lang w:val="es-ES"/>
        </w:rPr>
        <w:t xml:space="preserve">disponible para comentar, también </w:t>
      </w:r>
      <w:r w:rsidRPr="00A55037">
        <w:rPr>
          <w:rFonts w:asciiTheme="minorHAnsi" w:hAnsiTheme="minorHAnsi"/>
          <w:sz w:val="20"/>
          <w:szCs w:val="20"/>
          <w:lang w:val="es-ES"/>
        </w:rPr>
        <w:t>en el sitio web de la CICAA</w:t>
      </w:r>
      <w:r w:rsidR="005C1829" w:rsidRPr="00A55037">
        <w:rPr>
          <w:rFonts w:asciiTheme="minorHAnsi" w:hAnsiTheme="minorHAnsi"/>
          <w:sz w:val="20"/>
          <w:szCs w:val="20"/>
          <w:lang w:val="es-ES"/>
        </w:rPr>
        <w:t>.</w:t>
      </w:r>
    </w:p>
    <w:p w14:paraId="3325AAEB" w14:textId="0771C9A0" w:rsidR="00E86B6C" w:rsidRPr="00A55037" w:rsidRDefault="004E031D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 xml:space="preserve">Para el 1 de marzo de 2026: </w:t>
      </w:r>
      <w:r w:rsidR="1E2828B6" w:rsidRPr="00A55037">
        <w:rPr>
          <w:rFonts w:asciiTheme="minorHAnsi" w:hAnsiTheme="minorHAnsi"/>
          <w:sz w:val="20"/>
          <w:szCs w:val="20"/>
          <w:lang w:val="es-ES"/>
        </w:rPr>
        <w:t>primera ronda de comentarios de l</w:t>
      </w:r>
      <w:r w:rsidRPr="00A55037">
        <w:rPr>
          <w:rFonts w:asciiTheme="minorHAnsi" w:hAnsiTheme="minorHAnsi"/>
          <w:sz w:val="20"/>
          <w:szCs w:val="20"/>
          <w:lang w:val="es-ES"/>
        </w:rPr>
        <w:t>as CPC</w:t>
      </w:r>
      <w:r w:rsidR="006332CC" w:rsidRPr="00A55037">
        <w:rPr>
          <w:rFonts w:asciiTheme="minorHAnsi" w:hAnsiTheme="minorHAnsi"/>
          <w:sz w:val="20"/>
          <w:szCs w:val="20"/>
          <w:lang w:val="es-ES"/>
        </w:rPr>
        <w:t>s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sobre la línea de actuación propuesta (</w:t>
      </w:r>
      <w:r w:rsidR="6C75D3F0" w:rsidRPr="00A55037">
        <w:rPr>
          <w:rFonts w:asciiTheme="minorHAnsi" w:hAnsiTheme="minorHAnsi"/>
          <w:sz w:val="20"/>
          <w:szCs w:val="20"/>
          <w:lang w:val="es-ES"/>
        </w:rPr>
        <w:t>sección 3</w:t>
      </w:r>
      <w:r w:rsidRPr="00A55037">
        <w:rPr>
          <w:rFonts w:asciiTheme="minorHAnsi" w:hAnsiTheme="minorHAnsi"/>
          <w:sz w:val="20"/>
          <w:szCs w:val="20"/>
          <w:lang w:val="es-ES"/>
        </w:rPr>
        <w:t>)</w:t>
      </w:r>
      <w:r w:rsidR="005C1829" w:rsidRPr="00A55037">
        <w:rPr>
          <w:rFonts w:asciiTheme="minorHAnsi" w:hAnsiTheme="minorHAnsi"/>
          <w:sz w:val="20"/>
          <w:szCs w:val="20"/>
          <w:lang w:val="es-ES"/>
        </w:rPr>
        <w:t>.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</w:t>
      </w:r>
    </w:p>
    <w:p w14:paraId="471ABA1C" w14:textId="3350A963" w:rsidR="00E86B6C" w:rsidRPr="00A55037" w:rsidRDefault="004E031D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 xml:space="preserve">Para el 1 de abril de 2026: </w:t>
      </w:r>
      <w:r w:rsidR="7A4D85E0" w:rsidRPr="00A55037">
        <w:rPr>
          <w:rFonts w:asciiTheme="minorHAnsi" w:hAnsiTheme="minorHAnsi"/>
          <w:sz w:val="20"/>
          <w:szCs w:val="20"/>
        </w:rPr>
        <w:t>l</w:t>
      </w:r>
      <w:r w:rsidRPr="00A55037">
        <w:rPr>
          <w:rFonts w:asciiTheme="minorHAnsi" w:hAnsiTheme="minorHAnsi"/>
          <w:sz w:val="20"/>
          <w:szCs w:val="20"/>
        </w:rPr>
        <w:t>a Secretaría y el presidente de</w:t>
      </w:r>
      <w:r w:rsidR="4AC7C232" w:rsidRPr="00A55037">
        <w:rPr>
          <w:rFonts w:asciiTheme="minorHAnsi" w:hAnsiTheme="minorHAnsi"/>
          <w:sz w:val="20"/>
          <w:szCs w:val="20"/>
        </w:rPr>
        <w:t>l</w:t>
      </w:r>
      <w:r w:rsidRPr="00A55037">
        <w:rPr>
          <w:rFonts w:asciiTheme="minorHAnsi" w:hAnsiTheme="minorHAnsi"/>
          <w:sz w:val="20"/>
          <w:szCs w:val="20"/>
        </w:rPr>
        <w:t xml:space="preserve"> COC recopilan observaciones y elaboran una línea de actuación modificada, ofreciendo opciones de decisión cuando se proponen enfoques contradictorios</w:t>
      </w:r>
      <w:r w:rsidR="005C1829" w:rsidRPr="00A55037">
        <w:rPr>
          <w:rFonts w:asciiTheme="minorHAnsi" w:hAnsiTheme="minorHAnsi"/>
          <w:sz w:val="20"/>
          <w:szCs w:val="20"/>
        </w:rPr>
        <w:t>.</w:t>
      </w:r>
    </w:p>
    <w:p w14:paraId="67629B9C" w14:textId="44E2EED1" w:rsidR="00E86B6C" w:rsidRPr="00A55037" w:rsidRDefault="5882D6CC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>Junio 2026: r</w:t>
      </w:r>
      <w:r w:rsidR="00E45180" w:rsidRPr="00A55037">
        <w:rPr>
          <w:rFonts w:asciiTheme="minorHAnsi" w:hAnsiTheme="minorHAnsi"/>
          <w:sz w:val="20"/>
          <w:szCs w:val="20"/>
          <w:lang w:val="es-ES"/>
        </w:rPr>
        <w:t>eunión intersesion</w:t>
      </w:r>
      <w:r w:rsidR="005C1829" w:rsidRPr="00A55037">
        <w:rPr>
          <w:rFonts w:asciiTheme="minorHAnsi" w:hAnsiTheme="minorHAnsi"/>
          <w:sz w:val="20"/>
          <w:szCs w:val="20"/>
          <w:lang w:val="es-ES"/>
        </w:rPr>
        <w:t>es</w:t>
      </w:r>
      <w:r w:rsidR="00E45180" w:rsidRPr="00A55037">
        <w:rPr>
          <w:rFonts w:asciiTheme="minorHAnsi" w:hAnsiTheme="minorHAnsi"/>
          <w:sz w:val="20"/>
          <w:szCs w:val="20"/>
          <w:lang w:val="es-ES"/>
        </w:rPr>
        <w:t xml:space="preserve"> del COC (coincidente con el </w:t>
      </w:r>
      <w:r w:rsidR="005C1829" w:rsidRPr="00A55037">
        <w:rPr>
          <w:rFonts w:asciiTheme="minorHAnsi" w:hAnsiTheme="minorHAnsi"/>
          <w:sz w:val="20"/>
          <w:szCs w:val="20"/>
        </w:rPr>
        <w:t>Grupo de trabajo sobre medidas de seguimiento integradas (</w:t>
      </w:r>
      <w:r w:rsidR="00E45180" w:rsidRPr="00A55037">
        <w:rPr>
          <w:rFonts w:asciiTheme="minorHAnsi" w:hAnsiTheme="minorHAnsi"/>
          <w:sz w:val="20"/>
          <w:szCs w:val="20"/>
          <w:lang w:val="es-ES"/>
        </w:rPr>
        <w:t>IMM</w:t>
      </w:r>
      <w:r w:rsidR="005C1829" w:rsidRPr="00A55037">
        <w:rPr>
          <w:rFonts w:asciiTheme="minorHAnsi" w:hAnsiTheme="minorHAnsi"/>
          <w:sz w:val="20"/>
          <w:szCs w:val="20"/>
          <w:lang w:val="es-ES"/>
        </w:rPr>
        <w:t>)</w:t>
      </w:r>
      <w:r w:rsidR="00E45180" w:rsidRPr="00A55037">
        <w:rPr>
          <w:rFonts w:asciiTheme="minorHAnsi" w:hAnsiTheme="minorHAnsi"/>
          <w:sz w:val="20"/>
          <w:szCs w:val="20"/>
          <w:lang w:val="es-ES"/>
        </w:rPr>
        <w:t xml:space="preserve">): </w:t>
      </w:r>
      <w:r w:rsidR="003D5F84" w:rsidRPr="00A55037">
        <w:rPr>
          <w:rFonts w:asciiTheme="minorHAnsi" w:hAnsiTheme="minorHAnsi"/>
          <w:sz w:val="20"/>
          <w:szCs w:val="20"/>
          <w:lang w:val="es-ES"/>
        </w:rPr>
        <w:t xml:space="preserve">las </w:t>
      </w:r>
      <w:r w:rsidR="00E45180" w:rsidRPr="00A55037">
        <w:rPr>
          <w:rFonts w:asciiTheme="minorHAnsi" w:hAnsiTheme="minorHAnsi"/>
          <w:sz w:val="20"/>
          <w:szCs w:val="20"/>
          <w:lang w:val="es-ES"/>
        </w:rPr>
        <w:t xml:space="preserve">CPC </w:t>
      </w:r>
      <w:r w:rsidR="00541A05" w:rsidRPr="00A55037">
        <w:rPr>
          <w:rFonts w:asciiTheme="minorHAnsi" w:hAnsiTheme="minorHAnsi"/>
          <w:sz w:val="20"/>
          <w:szCs w:val="20"/>
          <w:lang w:val="es-ES"/>
        </w:rPr>
        <w:t>continúan</w:t>
      </w:r>
      <w:r w:rsidR="00C8515A" w:rsidRPr="00A55037">
        <w:rPr>
          <w:rFonts w:asciiTheme="minorHAnsi" w:hAnsiTheme="minorHAnsi"/>
          <w:sz w:val="20"/>
          <w:szCs w:val="20"/>
          <w:lang w:val="es-ES"/>
        </w:rPr>
        <w:t xml:space="preserve"> </w:t>
      </w:r>
      <w:r w:rsidR="00541A05" w:rsidRPr="00A55037">
        <w:rPr>
          <w:rFonts w:asciiTheme="minorHAnsi" w:hAnsiTheme="minorHAnsi"/>
          <w:sz w:val="20"/>
          <w:szCs w:val="20"/>
          <w:lang w:val="es-ES"/>
        </w:rPr>
        <w:t>la discusión</w:t>
      </w:r>
      <w:r w:rsidR="00E45180" w:rsidRPr="00A55037">
        <w:rPr>
          <w:rFonts w:asciiTheme="minorHAnsi" w:hAnsiTheme="minorHAnsi"/>
          <w:sz w:val="20"/>
          <w:szCs w:val="20"/>
          <w:lang w:val="es-ES"/>
        </w:rPr>
        <w:t xml:space="preserve"> y </w:t>
      </w:r>
      <w:r w:rsidR="00541A05" w:rsidRPr="00A55037">
        <w:rPr>
          <w:rFonts w:asciiTheme="minorHAnsi" w:hAnsiTheme="minorHAnsi"/>
          <w:sz w:val="20"/>
          <w:szCs w:val="20"/>
          <w:lang w:val="es-ES"/>
        </w:rPr>
        <w:t>modificación</w:t>
      </w:r>
      <w:r w:rsidR="00E45180" w:rsidRPr="00A55037">
        <w:rPr>
          <w:rFonts w:asciiTheme="minorHAnsi" w:hAnsiTheme="minorHAnsi"/>
          <w:sz w:val="20"/>
          <w:szCs w:val="20"/>
          <w:lang w:val="es-ES"/>
        </w:rPr>
        <w:t xml:space="preserve"> </w:t>
      </w:r>
      <w:r w:rsidR="00541A05" w:rsidRPr="00A55037">
        <w:rPr>
          <w:rFonts w:asciiTheme="minorHAnsi" w:hAnsiTheme="minorHAnsi"/>
          <w:sz w:val="20"/>
          <w:szCs w:val="20"/>
          <w:lang w:val="es-ES"/>
        </w:rPr>
        <w:t xml:space="preserve">de </w:t>
      </w:r>
      <w:r w:rsidR="00E45180" w:rsidRPr="00A55037">
        <w:rPr>
          <w:rFonts w:asciiTheme="minorHAnsi" w:hAnsiTheme="minorHAnsi"/>
          <w:sz w:val="20"/>
          <w:szCs w:val="20"/>
          <w:lang w:val="es-ES"/>
        </w:rPr>
        <w:t>la línea de actuación</w:t>
      </w:r>
      <w:r w:rsidR="005C1829" w:rsidRPr="00A55037">
        <w:rPr>
          <w:rFonts w:asciiTheme="minorHAnsi" w:hAnsiTheme="minorHAnsi"/>
          <w:sz w:val="20"/>
          <w:szCs w:val="20"/>
          <w:lang w:val="es-ES"/>
        </w:rPr>
        <w:t>.</w:t>
      </w:r>
    </w:p>
    <w:p w14:paraId="4CF8AEE6" w14:textId="2740DE46" w:rsidR="00E86B6C" w:rsidRPr="00A55037" w:rsidRDefault="004E031D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 xml:space="preserve">Para el 1 de septiembre de 2026: </w:t>
      </w:r>
      <w:r w:rsidR="0440A083" w:rsidRPr="00A55037">
        <w:rPr>
          <w:rFonts w:asciiTheme="minorHAnsi" w:hAnsiTheme="minorHAnsi"/>
          <w:sz w:val="20"/>
          <w:szCs w:val="20"/>
        </w:rPr>
        <w:t>l</w:t>
      </w:r>
      <w:r w:rsidRPr="00A55037">
        <w:rPr>
          <w:rFonts w:asciiTheme="minorHAnsi" w:hAnsiTheme="minorHAnsi"/>
          <w:sz w:val="20"/>
          <w:szCs w:val="20"/>
        </w:rPr>
        <w:t>a Secretaría, el presidente de</w:t>
      </w:r>
      <w:r w:rsidR="00AD6178" w:rsidRPr="00A55037">
        <w:rPr>
          <w:rFonts w:asciiTheme="minorHAnsi" w:hAnsiTheme="minorHAnsi"/>
          <w:sz w:val="20"/>
          <w:szCs w:val="20"/>
        </w:rPr>
        <w:t>l</w:t>
      </w:r>
      <w:r w:rsidRPr="00A55037">
        <w:rPr>
          <w:rFonts w:asciiTheme="minorHAnsi" w:hAnsiTheme="minorHAnsi"/>
          <w:sz w:val="20"/>
          <w:szCs w:val="20"/>
        </w:rPr>
        <w:t xml:space="preserve"> COC y el presidente del </w:t>
      </w:r>
      <w:r w:rsidR="005C1829" w:rsidRPr="00A55037">
        <w:rPr>
          <w:rFonts w:asciiTheme="minorHAnsi" w:hAnsiTheme="minorHAnsi"/>
          <w:sz w:val="20"/>
          <w:szCs w:val="20"/>
        </w:rPr>
        <w:t xml:space="preserve">GT </w:t>
      </w:r>
      <w:r w:rsidRPr="00A55037">
        <w:rPr>
          <w:rFonts w:asciiTheme="minorHAnsi" w:hAnsiTheme="minorHAnsi"/>
          <w:sz w:val="20"/>
          <w:szCs w:val="20"/>
        </w:rPr>
        <w:t>IMM finalizan la línea de actuación</w:t>
      </w:r>
      <w:r w:rsidR="005C1829" w:rsidRPr="00A55037">
        <w:rPr>
          <w:rFonts w:asciiTheme="minorHAnsi" w:hAnsiTheme="minorHAnsi"/>
          <w:sz w:val="20"/>
          <w:szCs w:val="20"/>
        </w:rPr>
        <w:t>.</w:t>
      </w:r>
    </w:p>
    <w:p w14:paraId="7B5A97BA" w14:textId="7E9BEF2E" w:rsidR="00E86B6C" w:rsidRPr="00A55037" w:rsidRDefault="004E031D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Octubre de 2026: en caso necesario, reunión virtual del COC para debatir y revisar la línea de actuación</w:t>
      </w:r>
      <w:r w:rsidR="005C1829" w:rsidRPr="00A55037">
        <w:rPr>
          <w:rFonts w:asciiTheme="minorHAnsi" w:hAnsiTheme="minorHAnsi"/>
          <w:sz w:val="20"/>
          <w:szCs w:val="20"/>
        </w:rPr>
        <w:t>.</w:t>
      </w:r>
    </w:p>
    <w:p w14:paraId="7B74BC2E" w14:textId="71678FB3" w:rsidR="00E86B6C" w:rsidRPr="00A55037" w:rsidRDefault="00921B14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COC 2026: línea de actuación aprobada, con orientaciones claras para la Secretaría sobre su aplicación</w:t>
      </w:r>
    </w:p>
    <w:p w14:paraId="4753426E" w14:textId="3F33AA0D" w:rsidR="00E86B6C" w:rsidRPr="00A55037" w:rsidRDefault="004E031D" w:rsidP="00A75D58">
      <w:pPr>
        <w:pStyle w:val="Normal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Después del COC 2026: aplicación de la línea de actuación a lo largo de varios meses/años</w:t>
      </w:r>
      <w:r w:rsidR="005C1829" w:rsidRPr="00A55037">
        <w:rPr>
          <w:rFonts w:asciiTheme="minorHAnsi" w:hAnsiTheme="minorHAnsi"/>
          <w:sz w:val="20"/>
          <w:szCs w:val="20"/>
        </w:rPr>
        <w:t>.</w:t>
      </w:r>
    </w:p>
    <w:p w14:paraId="2E5108B5" w14:textId="77777777" w:rsidR="00E86B6C" w:rsidRPr="00A55037" w:rsidRDefault="00E86B6C" w:rsidP="00253B44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</w:rPr>
      </w:pPr>
    </w:p>
    <w:p w14:paraId="1C57472A" w14:textId="6F1DBF1B" w:rsidR="00E86B6C" w:rsidRPr="00A55037" w:rsidRDefault="004E031D" w:rsidP="00253B44">
      <w:pPr>
        <w:pStyle w:val="Heading2"/>
        <w:numPr>
          <w:ilvl w:val="0"/>
          <w:numId w:val="14"/>
        </w:numPr>
        <w:spacing w:before="0" w:after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A55037">
        <w:rPr>
          <w:rFonts w:asciiTheme="minorHAnsi" w:hAnsiTheme="minorHAnsi"/>
          <w:color w:val="auto"/>
          <w:sz w:val="20"/>
          <w:szCs w:val="20"/>
        </w:rPr>
        <w:lastRenderedPageBreak/>
        <w:t xml:space="preserve">Línea de actuación propuesta (que deberá ser modificada entre sesiones por el COC) </w:t>
      </w:r>
    </w:p>
    <w:p w14:paraId="5177C602" w14:textId="77777777" w:rsidR="00A75D58" w:rsidRPr="00A55037" w:rsidRDefault="00A75D58" w:rsidP="00A75D58">
      <w:pPr>
        <w:pStyle w:val="P68B1DB1-Heading22"/>
        <w:spacing w:before="0" w:after="0" w:line="240" w:lineRule="auto"/>
        <w:ind w:left="792"/>
        <w:rPr>
          <w:rFonts w:asciiTheme="minorHAnsi" w:hAnsiTheme="minorHAnsi"/>
          <w:color w:val="auto"/>
          <w:sz w:val="20"/>
          <w:szCs w:val="20"/>
        </w:rPr>
      </w:pPr>
    </w:p>
    <w:p w14:paraId="4DE87181" w14:textId="2886ABC1" w:rsidR="00E86B6C" w:rsidRPr="00A55037" w:rsidRDefault="004E031D" w:rsidP="00A75D58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Identificar las medidas y obligaciones respecto de las cuales debe evaluarse su cumplimiento</w:t>
      </w:r>
    </w:p>
    <w:p w14:paraId="373F146B" w14:textId="77777777" w:rsidR="00A75D58" w:rsidRPr="00A55037" w:rsidRDefault="00A75D58" w:rsidP="00A75D58">
      <w:pPr>
        <w:pStyle w:val="P68B1DB1-Heading22"/>
        <w:tabs>
          <w:tab w:val="left" w:pos="426"/>
        </w:tabs>
        <w:spacing w:before="0" w:after="0" w:line="240" w:lineRule="auto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</w:p>
    <w:p w14:paraId="598FDD39" w14:textId="184C18FF" w:rsidR="00E86B6C" w:rsidRPr="00A55037" w:rsidRDefault="004E031D" w:rsidP="00253B44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  <w:lang w:val="es-ES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 xml:space="preserve">En </w:t>
      </w:r>
      <w:r w:rsidR="00F80904" w:rsidRPr="00A55037">
        <w:rPr>
          <w:rFonts w:asciiTheme="minorHAnsi" w:hAnsiTheme="minorHAnsi"/>
          <w:sz w:val="20"/>
          <w:szCs w:val="20"/>
          <w:lang w:val="es-ES"/>
        </w:rPr>
        <w:t xml:space="preserve">la </w:t>
      </w:r>
      <w:r w:rsidR="00F80904" w:rsidRPr="00A55037">
        <w:rPr>
          <w:rFonts w:asciiTheme="minorHAnsi" w:hAnsiTheme="minorHAnsi"/>
          <w:b/>
          <w:bCs/>
          <w:sz w:val="20"/>
          <w:szCs w:val="20"/>
          <w:lang w:val="es-ES"/>
        </w:rPr>
        <w:t>tabla</w:t>
      </w:r>
      <w:r w:rsidRPr="00A55037">
        <w:rPr>
          <w:rFonts w:asciiTheme="minorHAnsi" w:hAnsiTheme="minorHAnsi"/>
          <w:b/>
          <w:bCs/>
          <w:sz w:val="20"/>
          <w:szCs w:val="20"/>
          <w:lang w:val="es-ES"/>
        </w:rPr>
        <w:t xml:space="preserve"> 1 </w:t>
      </w:r>
      <w:r w:rsidRPr="00A55037">
        <w:rPr>
          <w:rFonts w:asciiTheme="minorHAnsi" w:hAnsiTheme="minorHAnsi"/>
          <w:sz w:val="20"/>
          <w:szCs w:val="20"/>
          <w:lang w:val="es-ES"/>
        </w:rPr>
        <w:t>se enumeran las medidas con respecto a las cuales se recomienda evaluar el cumplimiento, la referencia jurídica, la información o los datos disponibles y el contenido del documento mencionado en el punto 3.3. Est</w:t>
      </w:r>
      <w:r w:rsidR="34981EF3" w:rsidRPr="00A55037">
        <w:rPr>
          <w:rFonts w:asciiTheme="minorHAnsi" w:hAnsiTheme="minorHAnsi"/>
          <w:sz w:val="20"/>
          <w:szCs w:val="20"/>
          <w:lang w:val="es-ES"/>
        </w:rPr>
        <w:t>a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</w:t>
      </w:r>
      <w:r w:rsidR="65A638DE" w:rsidRPr="00A55037">
        <w:rPr>
          <w:rFonts w:asciiTheme="minorHAnsi" w:hAnsiTheme="minorHAnsi"/>
          <w:sz w:val="20"/>
          <w:szCs w:val="20"/>
          <w:lang w:val="es-ES"/>
        </w:rPr>
        <w:t>tabla es un borrador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y </w:t>
      </w:r>
      <w:r w:rsidR="5CE6EB38" w:rsidRPr="00A55037">
        <w:rPr>
          <w:rFonts w:asciiTheme="minorHAnsi" w:hAnsiTheme="minorHAnsi"/>
          <w:sz w:val="20"/>
          <w:szCs w:val="20"/>
          <w:lang w:val="es-ES"/>
        </w:rPr>
        <w:t>d</w:t>
      </w:r>
      <w:r w:rsidRPr="00A55037">
        <w:rPr>
          <w:rFonts w:asciiTheme="minorHAnsi" w:hAnsiTheme="minorHAnsi"/>
          <w:sz w:val="20"/>
          <w:szCs w:val="20"/>
          <w:lang w:val="es-ES"/>
        </w:rPr>
        <w:t>e</w:t>
      </w:r>
      <w:r w:rsidR="5CE6EB38" w:rsidRPr="00A55037">
        <w:rPr>
          <w:rFonts w:asciiTheme="minorHAnsi" w:hAnsiTheme="minorHAnsi"/>
          <w:sz w:val="20"/>
          <w:szCs w:val="20"/>
          <w:lang w:val="es-ES"/>
        </w:rPr>
        <w:t>berá ser completado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durante el proceso propuesto.</w:t>
      </w:r>
    </w:p>
    <w:p w14:paraId="3CF0EF92" w14:textId="77777777" w:rsidR="005C1829" w:rsidRPr="00A55037" w:rsidRDefault="005C1829" w:rsidP="005C1829">
      <w:pPr>
        <w:pStyle w:val="P68B1DB1-ListParagraph3"/>
        <w:spacing w:after="0" w:line="240" w:lineRule="auto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155ACCB7" w14:textId="652CEF77" w:rsidR="00E86B6C" w:rsidRPr="00A55037" w:rsidRDefault="00A75D58" w:rsidP="005C1829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jc w:val="both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Identificación </w:t>
      </w:r>
      <w:r w:rsidR="004E031D"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de la información disponible y de la información necesaria para llevar a cabo dicha evaluación</w:t>
      </w:r>
    </w:p>
    <w:p w14:paraId="7464D61E" w14:textId="77777777" w:rsidR="00A75D58" w:rsidRPr="00A55037" w:rsidRDefault="00A75D58" w:rsidP="00A75D58">
      <w:pPr>
        <w:pStyle w:val="P68B1DB1-Heading22"/>
        <w:tabs>
          <w:tab w:val="left" w:pos="426"/>
        </w:tabs>
        <w:spacing w:before="0" w:after="0" w:line="240" w:lineRule="auto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</w:p>
    <w:p w14:paraId="3842D3CA" w14:textId="3D8DFDCD" w:rsidR="00E86B6C" w:rsidRPr="00A55037" w:rsidRDefault="004E031D" w:rsidP="00253B44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 xml:space="preserve">Véase </w:t>
      </w:r>
      <w:r w:rsidR="001010F6" w:rsidRPr="00A55037">
        <w:rPr>
          <w:rFonts w:asciiTheme="minorHAnsi" w:hAnsiTheme="minorHAnsi"/>
          <w:sz w:val="20"/>
          <w:szCs w:val="20"/>
        </w:rPr>
        <w:t>la</w:t>
      </w:r>
      <w:r w:rsidR="001010F6" w:rsidRPr="00A55037">
        <w:rPr>
          <w:rFonts w:asciiTheme="minorHAnsi" w:hAnsiTheme="minorHAnsi"/>
          <w:b/>
          <w:bCs/>
          <w:sz w:val="20"/>
          <w:szCs w:val="20"/>
        </w:rPr>
        <w:t xml:space="preserve"> tabla</w:t>
      </w:r>
      <w:r w:rsidRPr="00A55037">
        <w:rPr>
          <w:rFonts w:asciiTheme="minorHAnsi" w:hAnsiTheme="minorHAnsi"/>
          <w:b/>
          <w:bCs/>
          <w:sz w:val="20"/>
          <w:szCs w:val="20"/>
        </w:rPr>
        <w:t xml:space="preserve"> 1.</w:t>
      </w:r>
    </w:p>
    <w:p w14:paraId="06A3F4E3" w14:textId="77777777" w:rsidR="00A75D58" w:rsidRPr="00A55037" w:rsidRDefault="00A75D58" w:rsidP="00A75D58">
      <w:pPr>
        <w:pStyle w:val="P68B1DB1-ListParagraph3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576C471F" w14:textId="0401A46B" w:rsidR="00E86B6C" w:rsidRPr="00A55037" w:rsidRDefault="00A75D58" w:rsidP="00A75D58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Diseñar </w:t>
      </w:r>
      <w:r w:rsidR="004E031D"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documentos con información «digerida» </w:t>
      </w:r>
      <w:r w:rsidR="47351260"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para facilitar</w:t>
      </w:r>
      <w:r w:rsidR="004E031D"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 dicha evaluación</w:t>
      </w:r>
    </w:p>
    <w:p w14:paraId="3A40068F" w14:textId="77777777" w:rsidR="00A75D58" w:rsidRPr="00A55037" w:rsidRDefault="00A75D58" w:rsidP="00A75D58">
      <w:pPr>
        <w:pStyle w:val="P68B1DB1-Heading22"/>
        <w:tabs>
          <w:tab w:val="left" w:pos="426"/>
        </w:tabs>
        <w:spacing w:before="0" w:after="0" w:line="240" w:lineRule="auto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</w:p>
    <w:p w14:paraId="0CADB28F" w14:textId="24FBD45F" w:rsidR="00E86B6C" w:rsidRPr="00A55037" w:rsidRDefault="004E031D" w:rsidP="00253B44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Identificar el tipo de documento</w:t>
      </w:r>
    </w:p>
    <w:p w14:paraId="7AE493D2" w14:textId="77777777" w:rsidR="00A75D58" w:rsidRPr="00A55037" w:rsidRDefault="00A75D58" w:rsidP="00A75D5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</w:rPr>
      </w:pPr>
    </w:p>
    <w:p w14:paraId="1657AD33" w14:textId="3BB70AB0" w:rsidR="00E86B6C" w:rsidRPr="00A55037" w:rsidRDefault="00A75D58" w:rsidP="00253B44">
      <w:pPr>
        <w:pStyle w:val="NormalWeb"/>
        <w:numPr>
          <w:ilvl w:val="1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D</w:t>
      </w:r>
      <w:r w:rsidR="004E031D" w:rsidRPr="00A55037">
        <w:rPr>
          <w:rFonts w:asciiTheme="minorHAnsi" w:hAnsiTheme="minorHAnsi"/>
          <w:sz w:val="20"/>
          <w:szCs w:val="20"/>
        </w:rPr>
        <w:t>ocumento para evaluación/decisión frente a documento a título informativo</w:t>
      </w:r>
    </w:p>
    <w:p w14:paraId="61175899" w14:textId="02238172" w:rsidR="00E86B6C" w:rsidRPr="00A55037" w:rsidRDefault="00A75D58" w:rsidP="00253B44">
      <w:pPr>
        <w:pStyle w:val="NormalWeb"/>
        <w:numPr>
          <w:ilvl w:val="1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D</w:t>
      </w:r>
      <w:r w:rsidR="004E031D" w:rsidRPr="00A55037">
        <w:rPr>
          <w:rFonts w:asciiTheme="minorHAnsi" w:hAnsiTheme="minorHAnsi"/>
          <w:sz w:val="20"/>
          <w:szCs w:val="20"/>
        </w:rPr>
        <w:t xml:space="preserve">ocumento elaborado por la </w:t>
      </w:r>
      <w:r w:rsidRPr="00A55037">
        <w:rPr>
          <w:rFonts w:asciiTheme="minorHAnsi" w:hAnsiTheme="minorHAnsi"/>
          <w:sz w:val="20"/>
          <w:szCs w:val="20"/>
        </w:rPr>
        <w:t xml:space="preserve">Secretaría </w:t>
      </w:r>
      <w:r w:rsidR="004E031D" w:rsidRPr="00A55037">
        <w:rPr>
          <w:rFonts w:asciiTheme="minorHAnsi" w:hAnsiTheme="minorHAnsi"/>
          <w:sz w:val="20"/>
          <w:szCs w:val="20"/>
        </w:rPr>
        <w:t>frente a documento elaborado por las CPC u observadores</w:t>
      </w:r>
    </w:p>
    <w:p w14:paraId="7728F2FD" w14:textId="77777777" w:rsidR="00A75D58" w:rsidRPr="00A55037" w:rsidRDefault="00A75D58" w:rsidP="00A75D58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2E2D9823" w14:textId="24A921C9" w:rsidR="00E86B6C" w:rsidRPr="00A55037" w:rsidRDefault="004E031D" w:rsidP="00A75D5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Agrupar la información sobre el cumplimiento en algunos documentos clave</w:t>
      </w:r>
    </w:p>
    <w:p w14:paraId="5FE1C36D" w14:textId="77777777" w:rsidR="00A75D58" w:rsidRPr="00A55037" w:rsidRDefault="00A75D58" w:rsidP="00A75D5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</w:rPr>
      </w:pPr>
    </w:p>
    <w:p w14:paraId="08162B67" w14:textId="3203B650" w:rsidR="00E86B6C" w:rsidRPr="00A55037" w:rsidRDefault="004E031D" w:rsidP="00A75D58">
      <w:pPr>
        <w:pStyle w:val="NormalWeb"/>
        <w:numPr>
          <w:ilvl w:val="1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Un único documento visual para el cumplimiento general</w:t>
      </w:r>
      <w:r w:rsidRPr="00A55037">
        <w:rPr>
          <w:vertAlign w:val="superscript"/>
        </w:rPr>
        <w:footnoteReference w:id="2"/>
      </w:r>
      <w:r w:rsidRPr="00A55037">
        <w:rPr>
          <w:rFonts w:asciiTheme="minorHAnsi" w:hAnsiTheme="minorHAnsi"/>
          <w:sz w:val="20"/>
          <w:szCs w:val="20"/>
        </w:rPr>
        <w:t>, o</w:t>
      </w:r>
    </w:p>
    <w:p w14:paraId="4DB89E0A" w14:textId="0B015A36" w:rsidR="00E86B6C" w:rsidRPr="00A55037" w:rsidRDefault="004E031D" w:rsidP="00A75D58">
      <w:pPr>
        <w:pStyle w:val="NormalWeb"/>
        <w:numPr>
          <w:ilvl w:val="1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Un documento por ámbito de aplicación</w:t>
      </w:r>
      <w:r w:rsidRPr="00A55037">
        <w:rPr>
          <w:rStyle w:val="FootnoteReference"/>
          <w:rFonts w:asciiTheme="minorHAnsi" w:hAnsiTheme="minorHAnsi"/>
          <w:sz w:val="20"/>
          <w:szCs w:val="20"/>
        </w:rPr>
        <w:footnoteReference w:id="3"/>
      </w:r>
    </w:p>
    <w:p w14:paraId="17A8361F" w14:textId="77777777" w:rsidR="00A75D58" w:rsidRPr="00A55037" w:rsidRDefault="00A75D58" w:rsidP="00A75D58">
      <w:pPr>
        <w:pStyle w:val="NormalWeb"/>
        <w:spacing w:before="0" w:beforeAutospacing="0" w:after="0" w:afterAutospacing="0"/>
        <w:ind w:left="1440"/>
        <w:jc w:val="both"/>
        <w:rPr>
          <w:rFonts w:asciiTheme="minorHAnsi" w:hAnsiTheme="minorHAnsi"/>
          <w:sz w:val="20"/>
          <w:szCs w:val="20"/>
        </w:rPr>
      </w:pPr>
    </w:p>
    <w:p w14:paraId="3C271759" w14:textId="10FABC63" w:rsidR="00E86B6C" w:rsidRPr="00A55037" w:rsidRDefault="004E031D" w:rsidP="00A75D58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  <w:lang w:val="es-ES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>Para cada documento elaborado, revis</w:t>
      </w:r>
      <w:r w:rsidR="008F6660" w:rsidRPr="00A55037">
        <w:rPr>
          <w:rFonts w:asciiTheme="minorHAnsi" w:hAnsiTheme="minorHAnsi"/>
          <w:sz w:val="20"/>
          <w:szCs w:val="20"/>
          <w:lang w:val="es-ES"/>
        </w:rPr>
        <w:t>ar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el formato del documento para ofrecer conclusiones previas y una dirección clara al COC</w:t>
      </w:r>
      <w:r w:rsidRPr="00A55037">
        <w:rPr>
          <w:rStyle w:val="FootnoteReference"/>
          <w:rFonts w:asciiTheme="minorHAnsi" w:hAnsiTheme="minorHAnsi"/>
          <w:sz w:val="20"/>
          <w:szCs w:val="20"/>
          <w:lang w:val="es-ES"/>
        </w:rPr>
        <w:footnoteReference w:id="4"/>
      </w:r>
      <w:r w:rsidR="00A75D58" w:rsidRPr="00A55037">
        <w:rPr>
          <w:rFonts w:asciiTheme="minorHAnsi" w:hAnsiTheme="minorHAnsi"/>
          <w:sz w:val="20"/>
          <w:szCs w:val="20"/>
          <w:lang w:val="es-ES"/>
        </w:rPr>
        <w:t>.</w:t>
      </w:r>
    </w:p>
    <w:p w14:paraId="40631E9E" w14:textId="77777777" w:rsidR="00A75D58" w:rsidRPr="00A55037" w:rsidRDefault="00A75D58" w:rsidP="00A75D5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  <w:sz w:val="20"/>
          <w:szCs w:val="20"/>
          <w:lang w:val="es-ES"/>
        </w:rPr>
      </w:pPr>
    </w:p>
    <w:p w14:paraId="6FF14467" w14:textId="02BEF36B" w:rsidR="00E86B6C" w:rsidRPr="00A55037" w:rsidRDefault="00A75D58" w:rsidP="00A75D58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jc w:val="both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Proporcionar </w:t>
      </w:r>
      <w:r w:rsidR="004E031D"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un mecanismo para garantizar un seguimiento adecuado de los problemas de incumplimiento detectados, utilizando las herramientas actualmente disponibles</w:t>
      </w:r>
      <w:r w:rsidR="0DFBF21E"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 y posible innovacion</w:t>
      </w:r>
      <w:r w:rsidR="004E031D"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 xml:space="preserve">  </w:t>
      </w:r>
    </w:p>
    <w:p w14:paraId="280270C8" w14:textId="77777777" w:rsidR="00A75D58" w:rsidRPr="00A55037" w:rsidRDefault="00A75D58" w:rsidP="00A75D58">
      <w:pPr>
        <w:pStyle w:val="P68B1DB1-Heading22"/>
        <w:tabs>
          <w:tab w:val="left" w:pos="426"/>
        </w:tabs>
        <w:spacing w:before="0" w:after="0" w:line="240" w:lineRule="auto"/>
        <w:jc w:val="both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</w:p>
    <w:p w14:paraId="1FC65A1D" w14:textId="4CBDF920" w:rsidR="00E86B6C" w:rsidRPr="00A55037" w:rsidRDefault="00A75D58" w:rsidP="00A75D58">
      <w:pPr>
        <w:pStyle w:val="P68B1DB1-ListParagraph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 xml:space="preserve">Supervisar </w:t>
      </w:r>
      <w:r w:rsidR="004E031D" w:rsidRPr="00A55037">
        <w:rPr>
          <w:rFonts w:asciiTheme="minorHAnsi" w:hAnsiTheme="minorHAnsi"/>
          <w:sz w:val="20"/>
          <w:szCs w:val="20"/>
        </w:rPr>
        <w:t>las tendencias de cumplimiento a lo largo del tiempo, detectar problemas de cumplimiento significativos o problemas sistémicos</w:t>
      </w:r>
      <w:r w:rsidR="003A7391" w:rsidRPr="00A55037">
        <w:rPr>
          <w:rFonts w:asciiTheme="minorHAnsi" w:hAnsiTheme="minorHAnsi"/>
          <w:sz w:val="20"/>
          <w:szCs w:val="20"/>
        </w:rPr>
        <w:t>.</w:t>
      </w:r>
    </w:p>
    <w:p w14:paraId="4F80AFF5" w14:textId="2F0B1991" w:rsidR="00E86B6C" w:rsidRPr="00A55037" w:rsidRDefault="00A75D58" w:rsidP="00A75D58">
      <w:pPr>
        <w:pStyle w:val="P68B1DB1-ListParagraph3"/>
        <w:numPr>
          <w:ilvl w:val="0"/>
          <w:numId w:val="20"/>
        </w:numPr>
        <w:spacing w:after="0" w:line="240" w:lineRule="auto"/>
        <w:contextualSpacing w:val="0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 xml:space="preserve">Garantizar </w:t>
      </w:r>
      <w:r w:rsidR="004E031D" w:rsidRPr="00A55037">
        <w:rPr>
          <w:rFonts w:asciiTheme="minorHAnsi" w:hAnsiTheme="minorHAnsi"/>
          <w:sz w:val="20"/>
          <w:szCs w:val="20"/>
        </w:rPr>
        <w:t>un seguimiento oportuno y adecuado de todos los problemas de cumplimiento detectados</w:t>
      </w:r>
      <w:r w:rsidR="003A7391" w:rsidRPr="00A55037">
        <w:rPr>
          <w:rFonts w:asciiTheme="minorHAnsi" w:hAnsiTheme="minorHAnsi"/>
          <w:sz w:val="20"/>
          <w:szCs w:val="20"/>
        </w:rPr>
        <w:t>.</w:t>
      </w:r>
    </w:p>
    <w:p w14:paraId="546EBA62" w14:textId="71A4A670" w:rsidR="00E86B6C" w:rsidRPr="00A55037" w:rsidRDefault="004E031D" w:rsidP="00A75D58">
      <w:pPr>
        <w:pStyle w:val="ListParagraph"/>
        <w:numPr>
          <w:ilvl w:val="0"/>
          <w:numId w:val="20"/>
        </w:numPr>
        <w:spacing w:after="0" w:line="240" w:lineRule="auto"/>
        <w:contextualSpacing w:val="0"/>
        <w:jc w:val="both"/>
        <w:rPr>
          <w:rFonts w:eastAsia="Times New Roman" w:cs="Times New Roman"/>
          <w:sz w:val="20"/>
          <w:szCs w:val="20"/>
        </w:rPr>
      </w:pPr>
      <w:r w:rsidRPr="00A55037">
        <w:rPr>
          <w:rFonts w:eastAsia="Times New Roman" w:cs="Times New Roman"/>
          <w:sz w:val="20"/>
          <w:szCs w:val="20"/>
        </w:rPr>
        <w:t>Introducir un mecanismo que desencadene acciones en caso de seguimiento inadecuado</w:t>
      </w:r>
      <w:r w:rsidRPr="00A55037">
        <w:rPr>
          <w:sz w:val="20"/>
          <w:szCs w:val="20"/>
        </w:rPr>
        <w:t xml:space="preserve">. </w:t>
      </w:r>
      <w:r w:rsidRPr="00A55037">
        <w:rPr>
          <w:rFonts w:eastAsia="Times New Roman" w:cs="Times New Roman"/>
          <w:sz w:val="20"/>
          <w:szCs w:val="20"/>
        </w:rPr>
        <w:t xml:space="preserve">Aplicación sistemática del </w:t>
      </w:r>
      <w:r w:rsidR="00A75D58" w:rsidRPr="00A55037">
        <w:rPr>
          <w:rFonts w:eastAsia="Times New Roman" w:cs="Times New Roman"/>
          <w:sz w:val="20"/>
          <w:szCs w:val="20"/>
        </w:rPr>
        <w:t xml:space="preserve">Programa de cuestiones </w:t>
      </w:r>
      <w:r w:rsidRPr="00A55037">
        <w:rPr>
          <w:rFonts w:eastAsia="Times New Roman" w:cs="Times New Roman"/>
          <w:sz w:val="20"/>
          <w:szCs w:val="20"/>
        </w:rPr>
        <w:t>de cumplimiento y acciones correspondientes (</w:t>
      </w:r>
      <w:hyperlink r:id="rId11">
        <w:r w:rsidR="00A75D58" w:rsidRPr="00A55037">
          <w:rPr>
            <w:rStyle w:val="Hyperlink"/>
            <w:rFonts w:eastAsia="Times New Roman" w:cs="Times New Roman"/>
            <w:color w:val="auto"/>
            <w:sz w:val="20"/>
            <w:szCs w:val="20"/>
            <w:u w:val="none"/>
          </w:rPr>
          <w:t>Ref.</w:t>
        </w:r>
        <w:r w:rsidR="00E86B6C" w:rsidRPr="00A55037">
          <w:rPr>
            <w:rStyle w:val="Hyperlink"/>
            <w:rFonts w:eastAsia="Times New Roman" w:cs="Times New Roman"/>
            <w:color w:val="auto"/>
            <w:sz w:val="20"/>
            <w:szCs w:val="20"/>
            <w:u w:val="none"/>
          </w:rPr>
          <w:t xml:space="preserve"> 22-18</w:t>
        </w:r>
      </w:hyperlink>
      <w:r w:rsidRPr="00A55037">
        <w:rPr>
          <w:rFonts w:eastAsia="Times New Roman" w:cs="Times New Roman"/>
          <w:sz w:val="20"/>
          <w:szCs w:val="20"/>
        </w:rPr>
        <w:t>).</w:t>
      </w:r>
    </w:p>
    <w:p w14:paraId="36F12DA6" w14:textId="6808A4A3" w:rsidR="00E86B6C" w:rsidRPr="00A55037" w:rsidRDefault="004E031D" w:rsidP="00A75D58">
      <w:pPr>
        <w:pStyle w:val="P68B1DB1-ListParagraph3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>Un</w:t>
      </w:r>
      <w:r w:rsidR="00117AD5" w:rsidRPr="00A55037">
        <w:rPr>
          <w:rFonts w:asciiTheme="minorHAnsi" w:hAnsiTheme="minorHAnsi"/>
          <w:sz w:val="20"/>
          <w:szCs w:val="20"/>
          <w:lang w:val="es-ES"/>
        </w:rPr>
        <w:t>a tabla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en </w:t>
      </w:r>
      <w:r w:rsidR="00117AD5" w:rsidRPr="00A55037">
        <w:rPr>
          <w:rFonts w:asciiTheme="minorHAnsi" w:hAnsiTheme="minorHAnsi"/>
          <w:sz w:val="20"/>
          <w:szCs w:val="20"/>
          <w:lang w:val="es-ES"/>
        </w:rPr>
        <w:t>la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que se compilen los incumplimientos detectados en diferentes </w:t>
      </w:r>
      <w:r w:rsidR="00117AD5" w:rsidRPr="00A55037">
        <w:rPr>
          <w:rFonts w:asciiTheme="minorHAnsi" w:hAnsiTheme="minorHAnsi"/>
          <w:sz w:val="20"/>
          <w:szCs w:val="20"/>
          <w:lang w:val="es-ES"/>
        </w:rPr>
        <w:t>CPC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a lo largo de los años proporcionaría una visión general de la persistencia de los problemas (seguimiento de los incumplimientos reiterados por parte de la </w:t>
      </w:r>
      <w:r w:rsidR="00450772" w:rsidRPr="00A55037">
        <w:rPr>
          <w:rFonts w:asciiTheme="minorHAnsi" w:hAnsiTheme="minorHAnsi"/>
          <w:sz w:val="20"/>
          <w:szCs w:val="20"/>
          <w:lang w:val="es-ES"/>
        </w:rPr>
        <w:t xml:space="preserve">Secretaría de la </w:t>
      </w:r>
      <w:r w:rsidRPr="00A55037">
        <w:rPr>
          <w:rFonts w:asciiTheme="minorHAnsi" w:hAnsiTheme="minorHAnsi"/>
          <w:sz w:val="20"/>
          <w:szCs w:val="20"/>
          <w:lang w:val="es-ES"/>
        </w:rPr>
        <w:t>CICAA). El seguimiento de cada incumplimiento detectado debe reflejarse en l</w:t>
      </w:r>
      <w:r w:rsidR="002D6FDA" w:rsidRPr="00A55037">
        <w:rPr>
          <w:rFonts w:asciiTheme="minorHAnsi" w:hAnsiTheme="minorHAnsi"/>
          <w:sz w:val="20"/>
          <w:szCs w:val="20"/>
          <w:lang w:val="es-ES"/>
        </w:rPr>
        <w:t>a</w:t>
      </w:r>
      <w:r w:rsidRPr="00A55037">
        <w:rPr>
          <w:rFonts w:asciiTheme="minorHAnsi" w:hAnsiTheme="minorHAnsi"/>
          <w:sz w:val="20"/>
          <w:szCs w:val="20"/>
          <w:lang w:val="es-ES"/>
        </w:rPr>
        <w:t>s</w:t>
      </w:r>
      <w:r w:rsidR="002D6FDA" w:rsidRPr="00A55037">
        <w:rPr>
          <w:rFonts w:asciiTheme="minorHAnsi" w:hAnsiTheme="minorHAnsi"/>
          <w:sz w:val="20"/>
          <w:szCs w:val="20"/>
          <w:lang w:val="es-ES"/>
        </w:rPr>
        <w:t xml:space="preserve"> Tablas resumen de cumplimiento </w:t>
      </w:r>
      <w:r w:rsidRPr="00A55037">
        <w:rPr>
          <w:rFonts w:asciiTheme="minorHAnsi" w:hAnsiTheme="minorHAnsi"/>
          <w:sz w:val="20"/>
          <w:szCs w:val="20"/>
          <w:lang w:val="es-ES"/>
        </w:rPr>
        <w:t>del COC (COC 308).</w:t>
      </w:r>
    </w:p>
    <w:p w14:paraId="5D71104C" w14:textId="75408E5E" w:rsidR="00E86B6C" w:rsidRPr="00A55037" w:rsidRDefault="004E031D" w:rsidP="00A75D58">
      <w:pPr>
        <w:pStyle w:val="P68B1DB1-ListParagraph3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>Un código de color para estos incumplimientos (</w:t>
      </w:r>
      <w:r w:rsidR="00D31BF4" w:rsidRPr="00A55037">
        <w:rPr>
          <w:rFonts w:asciiTheme="minorHAnsi" w:hAnsiTheme="minorHAnsi"/>
          <w:sz w:val="20"/>
          <w:szCs w:val="20"/>
          <w:lang w:val="es-ES"/>
        </w:rPr>
        <w:t xml:space="preserve">por </w:t>
      </w:r>
      <w:r w:rsidR="00A75D58" w:rsidRPr="00A55037">
        <w:rPr>
          <w:rFonts w:asciiTheme="minorHAnsi" w:hAnsiTheme="minorHAnsi"/>
          <w:sz w:val="20"/>
          <w:szCs w:val="20"/>
          <w:lang w:val="es-ES"/>
        </w:rPr>
        <w:t>ejemplo,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 amarillo para las obligaciones de </w:t>
      </w:r>
      <w:r w:rsidR="006259AD" w:rsidRPr="00A55037">
        <w:rPr>
          <w:rFonts w:asciiTheme="minorHAnsi" w:hAnsiTheme="minorHAnsi"/>
          <w:sz w:val="20"/>
          <w:szCs w:val="20"/>
          <w:lang w:val="es-ES"/>
        </w:rPr>
        <w:t>información</w:t>
      </w:r>
      <w:r w:rsidRPr="00A55037">
        <w:rPr>
          <w:rFonts w:asciiTheme="minorHAnsi" w:hAnsiTheme="minorHAnsi"/>
          <w:sz w:val="20"/>
          <w:szCs w:val="20"/>
          <w:lang w:val="es-ES"/>
        </w:rPr>
        <w:t>, rojo en caso de incumplimiento de las medidas de SC</w:t>
      </w:r>
      <w:r w:rsidR="002D6FDA" w:rsidRPr="00A55037">
        <w:rPr>
          <w:rFonts w:asciiTheme="minorHAnsi" w:hAnsiTheme="minorHAnsi"/>
          <w:sz w:val="20"/>
          <w:szCs w:val="20"/>
          <w:lang w:val="es-ES"/>
        </w:rPr>
        <w:t>V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, etc.) puede proporcionar información sobre la gravedad de los incumplimientos. </w:t>
      </w:r>
    </w:p>
    <w:p w14:paraId="558B0907" w14:textId="44A1389E" w:rsidR="00E86B6C" w:rsidRPr="00A55037" w:rsidRDefault="004E031D" w:rsidP="00A75D58">
      <w:pPr>
        <w:pStyle w:val="P68B1DB1-ListParagraph3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 xml:space="preserve">Cada año, las CPC para las que se han detectado problemas de cumplimiento reciben una carta de preocupación o identificación en la que se detalla el problema y se incluye información sobre el siguiente paso del mecanismo de cumplimiento con arreglo a la norma </w:t>
      </w:r>
      <w:hyperlink r:id="rId12" w:history="1">
        <w:r w:rsidR="002D6FDA" w:rsidRPr="00A55037">
          <w:rPr>
            <w:rStyle w:val="Hyperlink"/>
            <w:rFonts w:asciiTheme="minorHAnsi" w:hAnsiTheme="minorHAnsi"/>
            <w:sz w:val="20"/>
            <w:szCs w:val="20"/>
            <w:u w:val="none"/>
            <w:lang w:val="es-ES"/>
          </w:rPr>
          <w:t>Ref.</w:t>
        </w:r>
        <w:r w:rsidRPr="00A55037">
          <w:rPr>
            <w:rStyle w:val="Hyperlink"/>
            <w:rFonts w:asciiTheme="minorHAnsi" w:hAnsiTheme="minorHAnsi"/>
            <w:sz w:val="20"/>
            <w:szCs w:val="20"/>
            <w:u w:val="none"/>
            <w:lang w:val="es-ES"/>
          </w:rPr>
          <w:t xml:space="preserve"> 22-18</w:t>
        </w:r>
      </w:hyperlink>
      <w:r w:rsidRPr="00A55037">
        <w:rPr>
          <w:rFonts w:asciiTheme="minorHAnsi" w:hAnsiTheme="minorHAnsi"/>
          <w:sz w:val="20"/>
          <w:szCs w:val="20"/>
          <w:lang w:val="es-ES"/>
        </w:rPr>
        <w:t xml:space="preserve"> en caso de que el problema no se resuelva (</w:t>
      </w:r>
      <w:r w:rsidR="002F7824" w:rsidRPr="00A55037">
        <w:rPr>
          <w:rFonts w:asciiTheme="minorHAnsi" w:hAnsiTheme="minorHAnsi"/>
          <w:sz w:val="20"/>
          <w:szCs w:val="20"/>
          <w:lang w:val="es-ES"/>
        </w:rPr>
        <w:t>por ejemplo</w:t>
      </w:r>
      <w:r w:rsidRPr="00A55037">
        <w:rPr>
          <w:rFonts w:asciiTheme="minorHAnsi" w:hAnsiTheme="minorHAnsi"/>
          <w:sz w:val="20"/>
          <w:szCs w:val="20"/>
          <w:lang w:val="es-ES"/>
        </w:rPr>
        <w:t xml:space="preserve">, el año 3, Serious = En coordinación con el panel pertinente, </w:t>
      </w:r>
      <w:r w:rsidRPr="00A55037">
        <w:rPr>
          <w:rFonts w:asciiTheme="minorHAnsi" w:hAnsiTheme="minorHAnsi"/>
          <w:sz w:val="20"/>
          <w:szCs w:val="20"/>
          <w:lang w:val="es-ES"/>
        </w:rPr>
        <w:lastRenderedPageBreak/>
        <w:t xml:space="preserve">considerar la posibilidad de recomendar la adopción por parte de la CICAA de restricciones adicionales en materia de pesca). </w:t>
      </w:r>
    </w:p>
    <w:p w14:paraId="08D1B3A8" w14:textId="77777777" w:rsidR="00A75D58" w:rsidRPr="00A55037" w:rsidRDefault="00A75D58" w:rsidP="00A75D58">
      <w:pPr>
        <w:pStyle w:val="P68B1DB1-ListParagraph3"/>
        <w:spacing w:after="0" w:line="240" w:lineRule="auto"/>
        <w:ind w:left="714"/>
        <w:jc w:val="both"/>
        <w:rPr>
          <w:rFonts w:asciiTheme="minorHAnsi" w:hAnsiTheme="minorHAnsi"/>
          <w:sz w:val="20"/>
          <w:szCs w:val="20"/>
        </w:rPr>
      </w:pPr>
    </w:p>
    <w:p w14:paraId="134E0260" w14:textId="7D04F71E" w:rsidR="00E86B6C" w:rsidRPr="00A55037" w:rsidRDefault="004E031D" w:rsidP="00A75D58">
      <w:pPr>
        <w:pStyle w:val="P68B1DB1-Heading22"/>
        <w:numPr>
          <w:ilvl w:val="1"/>
          <w:numId w:val="14"/>
        </w:numPr>
        <w:tabs>
          <w:tab w:val="left" w:pos="426"/>
        </w:tabs>
        <w:spacing w:before="0" w:after="0" w:line="240" w:lineRule="auto"/>
        <w:ind w:left="0" w:firstLine="0"/>
        <w:jc w:val="both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  <w:r w:rsidRPr="00A55037"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  <w:t>Otras posibles medidas adicionales</w:t>
      </w:r>
    </w:p>
    <w:p w14:paraId="13FBBCB7" w14:textId="77777777" w:rsidR="002D6FDA" w:rsidRPr="00A55037" w:rsidRDefault="002D6FDA" w:rsidP="002D6FDA">
      <w:pPr>
        <w:pStyle w:val="P68B1DB1-Heading22"/>
        <w:tabs>
          <w:tab w:val="left" w:pos="426"/>
        </w:tabs>
        <w:spacing w:before="0" w:after="0" w:line="240" w:lineRule="auto"/>
        <w:jc w:val="both"/>
        <w:rPr>
          <w:rFonts w:asciiTheme="minorHAnsi" w:hAnsiTheme="minorHAnsi"/>
          <w:b/>
          <w:bCs/>
          <w:i/>
          <w:iCs/>
          <w:color w:val="auto"/>
          <w:sz w:val="20"/>
          <w:szCs w:val="20"/>
        </w:rPr>
      </w:pPr>
    </w:p>
    <w:p w14:paraId="11CB9214" w14:textId="38DC010A" w:rsidR="00E86B6C" w:rsidRPr="00A55037" w:rsidRDefault="004E031D" w:rsidP="002D6FDA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Identificar los documentos de reunión cuya producción puede interrumpirse. Aprovechar el ejercicio y, en particular, las tareas contempladas en el punto 3.2, para reducir las obligaciones de información.</w:t>
      </w:r>
    </w:p>
    <w:p w14:paraId="5CFA45DB" w14:textId="02B034E7" w:rsidR="00E86B6C" w:rsidRPr="00A55037" w:rsidRDefault="004E031D" w:rsidP="00253B44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 xml:space="preserve">En colaboración con el grupo de trabajo del </w:t>
      </w:r>
      <w:r w:rsidR="002D6FDA" w:rsidRPr="00A55037">
        <w:rPr>
          <w:rFonts w:asciiTheme="minorHAnsi" w:hAnsiTheme="minorHAnsi"/>
          <w:sz w:val="20"/>
          <w:szCs w:val="20"/>
        </w:rPr>
        <w:t>Sistema de gestión en línea integrado de ICCAT (</w:t>
      </w:r>
      <w:r w:rsidRPr="00A55037">
        <w:rPr>
          <w:rFonts w:asciiTheme="minorHAnsi" w:hAnsiTheme="minorHAnsi"/>
          <w:sz w:val="20"/>
          <w:szCs w:val="20"/>
        </w:rPr>
        <w:t>IOMS</w:t>
      </w:r>
      <w:r w:rsidR="002D6FDA" w:rsidRPr="00A55037">
        <w:rPr>
          <w:rFonts w:asciiTheme="minorHAnsi" w:hAnsiTheme="minorHAnsi"/>
          <w:sz w:val="20"/>
          <w:szCs w:val="20"/>
        </w:rPr>
        <w:t>)</w:t>
      </w:r>
      <w:r w:rsidRPr="00A55037">
        <w:rPr>
          <w:rFonts w:asciiTheme="minorHAnsi" w:hAnsiTheme="minorHAnsi"/>
          <w:sz w:val="20"/>
          <w:szCs w:val="20"/>
        </w:rPr>
        <w:t>, considerar el IOMS como plataforma de base para la extracción de datos y adaptarla a las necesidades del COC.</w:t>
      </w:r>
    </w:p>
    <w:p w14:paraId="28E1F315" w14:textId="6C2FDEF8" w:rsidR="00E86B6C" w:rsidRPr="00A55037" w:rsidRDefault="004E031D" w:rsidP="00253B44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  <w:lang w:val="es-ES"/>
        </w:rPr>
        <w:t>Considerar la posible necesidad de aumentar el tiempo dedicado al COC (otras OR</w:t>
      </w:r>
      <w:r w:rsidR="707937BB" w:rsidRPr="00A55037">
        <w:rPr>
          <w:rFonts w:asciiTheme="minorHAnsi" w:hAnsiTheme="minorHAnsi"/>
          <w:sz w:val="20"/>
          <w:szCs w:val="20"/>
          <w:lang w:val="es-ES"/>
        </w:rPr>
        <w:t>O</w:t>
      </w:r>
      <w:r w:rsidRPr="00A55037">
        <w:rPr>
          <w:rFonts w:asciiTheme="minorHAnsi" w:hAnsiTheme="minorHAnsi"/>
          <w:sz w:val="20"/>
          <w:szCs w:val="20"/>
          <w:lang w:val="es-ES"/>
        </w:rPr>
        <w:t>P significativamente más pequeñas dedican más tiempo a estos debates)</w:t>
      </w:r>
      <w:r w:rsidR="007D3E8C" w:rsidRPr="00A55037">
        <w:rPr>
          <w:rFonts w:asciiTheme="minorHAnsi" w:hAnsiTheme="minorHAnsi"/>
          <w:sz w:val="20"/>
          <w:szCs w:val="20"/>
          <w:lang w:val="es-ES"/>
        </w:rPr>
        <w:t>.</w:t>
      </w:r>
    </w:p>
    <w:p w14:paraId="2E45D475" w14:textId="01DED9CB" w:rsidR="00E86B6C" w:rsidRPr="00A55037" w:rsidRDefault="004E031D" w:rsidP="00253B44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En lugar de revisar todas las obligaciones de todas las recomendaciones cada año, el COC podría organizar la revisión a lo largo de un ciclo más largo de 2 o 3 años, centrándose en medidas consideradas prioritarias, permitiendo debates más profundos y específicos.</w:t>
      </w:r>
    </w:p>
    <w:p w14:paraId="22F7A786" w14:textId="4C938B1F" w:rsidR="00E86B6C" w:rsidRPr="00A55037" w:rsidRDefault="004E031D" w:rsidP="00253B44">
      <w:pPr>
        <w:pStyle w:val="P68B1DB1-ListParagraph3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Eval</w:t>
      </w:r>
      <w:r w:rsidR="007D3E8C" w:rsidRPr="00A55037">
        <w:rPr>
          <w:rFonts w:asciiTheme="minorHAnsi" w:hAnsiTheme="minorHAnsi"/>
          <w:sz w:val="20"/>
          <w:szCs w:val="20"/>
        </w:rPr>
        <w:t>uar</w:t>
      </w:r>
      <w:r w:rsidRPr="00A55037">
        <w:rPr>
          <w:rFonts w:asciiTheme="minorHAnsi" w:hAnsiTheme="minorHAnsi"/>
          <w:sz w:val="20"/>
          <w:szCs w:val="20"/>
        </w:rPr>
        <w:t xml:space="preserve"> los beneficios de revisar la legislación vigente relativa al funcionamiento del COC y su posible consolidación en una única recomendación, que podría incluir las normas o procedimientos que se desprenden de este proceso de debate, como forma de orientar y facilitar el trabajo de las CPC en el </w:t>
      </w:r>
      <w:r w:rsidR="007D3E8C" w:rsidRPr="00A55037">
        <w:rPr>
          <w:rFonts w:asciiTheme="minorHAnsi" w:hAnsiTheme="minorHAnsi"/>
          <w:sz w:val="20"/>
          <w:szCs w:val="20"/>
        </w:rPr>
        <w:t>COC</w:t>
      </w:r>
      <w:r w:rsidRPr="00A55037">
        <w:rPr>
          <w:rFonts w:asciiTheme="minorHAnsi" w:hAnsiTheme="minorHAnsi"/>
          <w:sz w:val="20"/>
          <w:szCs w:val="20"/>
        </w:rPr>
        <w:t>.</w:t>
      </w:r>
    </w:p>
    <w:p w14:paraId="4DDF248B" w14:textId="77777777" w:rsidR="007D3E8C" w:rsidRPr="00A55037" w:rsidRDefault="007D3E8C" w:rsidP="007D3E8C">
      <w:pPr>
        <w:pStyle w:val="P68B1DB1-ListParagraph3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687E6A6B" w14:textId="39D90FCA" w:rsidR="00E86B6C" w:rsidRPr="00A55037" w:rsidRDefault="004E031D" w:rsidP="00253B44">
      <w:pPr>
        <w:pStyle w:val="P68B1DB1-ListParagraph3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Hay al menos nueve Rec</w:t>
      </w:r>
      <w:r w:rsidR="007D3E8C" w:rsidRPr="00A55037">
        <w:rPr>
          <w:rFonts w:asciiTheme="minorHAnsi" w:hAnsiTheme="minorHAnsi"/>
          <w:sz w:val="20"/>
          <w:szCs w:val="20"/>
        </w:rPr>
        <w:t>omendaciones</w:t>
      </w:r>
      <w:r w:rsidRPr="00A55037">
        <w:rPr>
          <w:rFonts w:asciiTheme="minorHAnsi" w:hAnsiTheme="minorHAnsi"/>
          <w:sz w:val="20"/>
          <w:szCs w:val="20"/>
        </w:rPr>
        <w:t>/Res</w:t>
      </w:r>
      <w:r w:rsidR="007D3E8C" w:rsidRPr="00A55037">
        <w:rPr>
          <w:rFonts w:asciiTheme="minorHAnsi" w:hAnsiTheme="minorHAnsi"/>
          <w:sz w:val="20"/>
          <w:szCs w:val="20"/>
        </w:rPr>
        <w:t>oluciones</w:t>
      </w:r>
      <w:r w:rsidRPr="00A55037">
        <w:rPr>
          <w:rFonts w:asciiTheme="minorHAnsi" w:hAnsiTheme="minorHAnsi"/>
          <w:sz w:val="20"/>
          <w:szCs w:val="20"/>
        </w:rPr>
        <w:t xml:space="preserve"> relacionadas con el funcionamiento del C</w:t>
      </w:r>
      <w:r w:rsidR="00310C3B" w:rsidRPr="00A55037">
        <w:rPr>
          <w:rFonts w:asciiTheme="minorHAnsi" w:hAnsiTheme="minorHAnsi"/>
          <w:sz w:val="20"/>
          <w:szCs w:val="20"/>
        </w:rPr>
        <w:t>O</w:t>
      </w:r>
      <w:r w:rsidRPr="00A55037">
        <w:rPr>
          <w:rFonts w:asciiTheme="minorHAnsi" w:hAnsiTheme="minorHAnsi"/>
          <w:sz w:val="20"/>
          <w:szCs w:val="20"/>
        </w:rPr>
        <w:t>C, algunas de ellas antiguas y posiblemente obsoletas, que se beneficiarían de la revisión y la consolidación. </w:t>
      </w:r>
    </w:p>
    <w:p w14:paraId="3E29CE40" w14:textId="77777777" w:rsidR="007D3E8C" w:rsidRPr="00A55037" w:rsidRDefault="007D3E8C" w:rsidP="00253B44">
      <w:pPr>
        <w:pStyle w:val="P68B1DB1-ListParagraph3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45F3A3A1" w14:textId="19D85ACE" w:rsidR="00E86B6C" w:rsidRPr="00A55037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13" w:history="1">
        <w:r w:rsidRPr="00A55037">
          <w:rPr>
            <w:rStyle w:val="normaltextrun"/>
            <w:rFonts w:cs="Times New Roman"/>
            <w:color w:val="0000FF"/>
            <w:sz w:val="20"/>
            <w:szCs w:val="20"/>
          </w:rPr>
          <w:t>R</w:t>
        </w:r>
        <w:r w:rsidR="0083711E" w:rsidRPr="00A55037">
          <w:rPr>
            <w:rStyle w:val="normaltextrun"/>
            <w:rFonts w:cs="Times New Roman"/>
            <w:color w:val="0000FF"/>
            <w:sz w:val="20"/>
            <w:szCs w:val="20"/>
          </w:rPr>
          <w:t>ec.</w:t>
        </w:r>
        <w:r w:rsidRPr="00A55037">
          <w:rPr>
            <w:rStyle w:val="normaltextrun"/>
            <w:rFonts w:cs="Times New Roman"/>
            <w:color w:val="0000FF"/>
            <w:sz w:val="20"/>
            <w:szCs w:val="20"/>
          </w:rPr>
          <w:t xml:space="preserve"> 00-14</w:t>
        </w:r>
      </w:hyperlink>
      <w:r w:rsidR="004E031D" w:rsidRPr="00A55037">
        <w:rPr>
          <w:rStyle w:val="normaltextrun"/>
          <w:rFonts w:eastAsia="Times New Roman" w:cs="Times New Roman"/>
          <w:sz w:val="20"/>
          <w:szCs w:val="20"/>
        </w:rPr>
        <w:t xml:space="preserve"> sobre el respeto de las cuotas y los límites de capturas,  </w:t>
      </w:r>
    </w:p>
    <w:p w14:paraId="2683FDDD" w14:textId="38FC7C82" w:rsidR="00E86B6C" w:rsidRPr="00A55037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14" w:history="1">
        <w:r w:rsidRPr="00A55037">
          <w:rPr>
            <w:rStyle w:val="normaltextrun"/>
            <w:rFonts w:cs="Times New Roman"/>
            <w:color w:val="0000FF"/>
            <w:sz w:val="20"/>
            <w:szCs w:val="20"/>
          </w:rPr>
          <w:t>R</w:t>
        </w:r>
        <w:r w:rsidR="0083711E" w:rsidRPr="00A55037">
          <w:rPr>
            <w:rStyle w:val="normaltextrun"/>
            <w:rFonts w:cs="Times New Roman"/>
            <w:color w:val="0000FF"/>
            <w:sz w:val="20"/>
            <w:szCs w:val="20"/>
          </w:rPr>
          <w:t>ec.</w:t>
        </w:r>
        <w:r w:rsidRPr="00A55037">
          <w:rPr>
            <w:rStyle w:val="normaltextrun"/>
            <w:rFonts w:cs="Times New Roman"/>
            <w:color w:val="0000FF"/>
            <w:sz w:val="20"/>
            <w:szCs w:val="20"/>
          </w:rPr>
          <w:t xml:space="preserve"> 01-12</w:t>
        </w:r>
      </w:hyperlink>
      <w:r w:rsidR="004E031D" w:rsidRPr="00A55037">
        <w:rPr>
          <w:rStyle w:val="normaltextrun"/>
          <w:rFonts w:eastAsia="Times New Roman" w:cs="Times New Roman"/>
          <w:sz w:val="20"/>
          <w:szCs w:val="20"/>
        </w:rPr>
        <w:t xml:space="preserve"> sobre el ajuste temporal de las cuotas,  </w:t>
      </w:r>
    </w:p>
    <w:p w14:paraId="5EFE4857" w14:textId="0CD83402" w:rsidR="00E86B6C" w:rsidRPr="00A55037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15" w:history="1">
        <w:r w:rsidRPr="00A55037">
          <w:rPr>
            <w:rStyle w:val="normaltextrun"/>
            <w:rFonts w:cs="Times New Roman"/>
            <w:color w:val="0000FF"/>
            <w:sz w:val="20"/>
            <w:szCs w:val="20"/>
          </w:rPr>
          <w:t>R</w:t>
        </w:r>
        <w:r w:rsidR="0083711E" w:rsidRPr="00A55037">
          <w:rPr>
            <w:rStyle w:val="normaltextrun"/>
            <w:rFonts w:cs="Times New Roman"/>
            <w:color w:val="0000FF"/>
            <w:sz w:val="20"/>
            <w:szCs w:val="20"/>
          </w:rPr>
          <w:t>ec.</w:t>
        </w:r>
        <w:r w:rsidRPr="00A55037">
          <w:rPr>
            <w:rStyle w:val="normaltextrun"/>
            <w:rFonts w:cs="Times New Roman"/>
            <w:color w:val="0000FF"/>
            <w:sz w:val="20"/>
            <w:szCs w:val="20"/>
          </w:rPr>
          <w:t xml:space="preserve"> 01-13</w:t>
        </w:r>
        <w:r w:rsidRPr="00A55037">
          <w:rPr>
            <w:rStyle w:val="normaltextrun"/>
            <w:rFonts w:cs="Times New Roman"/>
            <w:sz w:val="20"/>
            <w:szCs w:val="20"/>
          </w:rPr>
          <w:t xml:space="preserve"> sobre</w:t>
        </w:r>
      </w:hyperlink>
      <w:r w:rsidR="004E031D" w:rsidRPr="00A55037">
        <w:rPr>
          <w:rStyle w:val="normaltextrun"/>
          <w:rFonts w:eastAsia="Times New Roman" w:cs="Times New Roman"/>
          <w:sz w:val="20"/>
          <w:szCs w:val="20"/>
        </w:rPr>
        <w:t xml:space="preserve"> el cumplimiento en las pesquerías de atún rojo y </w:t>
      </w:r>
      <w:r w:rsidR="007D3E8C" w:rsidRPr="00A55037">
        <w:rPr>
          <w:rStyle w:val="normaltextrun"/>
          <w:rFonts w:eastAsia="Times New Roman" w:cs="Times New Roman"/>
          <w:sz w:val="20"/>
          <w:szCs w:val="20"/>
        </w:rPr>
        <w:t>pez espada</w:t>
      </w:r>
      <w:r w:rsidR="004E031D" w:rsidRPr="00A55037">
        <w:rPr>
          <w:rStyle w:val="normaltextrun"/>
          <w:rFonts w:eastAsia="Times New Roman" w:cs="Times New Roman"/>
          <w:sz w:val="20"/>
          <w:szCs w:val="20"/>
        </w:rPr>
        <w:t xml:space="preserve"> del Atlántico (cuotas de deducción),  </w:t>
      </w:r>
    </w:p>
    <w:p w14:paraId="606F0985" w14:textId="0775512A" w:rsidR="00E86B6C" w:rsidRPr="00A55037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16" w:history="1">
        <w:r w:rsidRPr="00A55037">
          <w:rPr>
            <w:rStyle w:val="normaltextrun"/>
            <w:rFonts w:cs="Times New Roman"/>
            <w:color w:val="0000FF"/>
            <w:sz w:val="20"/>
            <w:szCs w:val="20"/>
          </w:rPr>
          <w:t>R</w:t>
        </w:r>
        <w:r w:rsidR="0083711E" w:rsidRPr="00A55037">
          <w:rPr>
            <w:rStyle w:val="normaltextrun"/>
            <w:rFonts w:cs="Times New Roman"/>
            <w:color w:val="0000FF"/>
            <w:sz w:val="20"/>
            <w:szCs w:val="20"/>
          </w:rPr>
          <w:t>ec.</w:t>
        </w:r>
        <w:r w:rsidRPr="00A55037">
          <w:rPr>
            <w:rStyle w:val="normaltextrun"/>
            <w:rFonts w:cs="Times New Roman"/>
            <w:color w:val="0000FF"/>
            <w:sz w:val="20"/>
            <w:szCs w:val="20"/>
          </w:rPr>
          <w:t xml:space="preserve"> 08-09</w:t>
        </w:r>
      </w:hyperlink>
      <w:r w:rsidR="004E031D" w:rsidRPr="00A55037">
        <w:rPr>
          <w:rStyle w:val="normaltextrun"/>
          <w:rFonts w:eastAsia="Times New Roman" w:cs="Times New Roman"/>
          <w:sz w:val="20"/>
          <w:szCs w:val="20"/>
        </w:rPr>
        <w:t>, por el que se establece un proceso de revisión y notificación de la información sobre el cumplimiento,  </w:t>
      </w:r>
    </w:p>
    <w:p w14:paraId="62BBED53" w14:textId="52E00DE2" w:rsidR="00E86B6C" w:rsidRPr="00A55037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17" w:history="1">
        <w:r w:rsidRPr="00A55037">
          <w:rPr>
            <w:rStyle w:val="normaltextrun"/>
            <w:rFonts w:eastAsia="Times New Roman" w:cs="Times New Roman"/>
            <w:color w:val="0000FF"/>
            <w:sz w:val="20"/>
            <w:szCs w:val="20"/>
          </w:rPr>
          <w:t>R</w:t>
        </w:r>
        <w:r w:rsidR="0083711E" w:rsidRPr="00A55037">
          <w:rPr>
            <w:rStyle w:val="normaltextrun"/>
            <w:rFonts w:eastAsia="Times New Roman" w:cs="Times New Roman"/>
            <w:color w:val="0000FF"/>
            <w:sz w:val="20"/>
            <w:szCs w:val="20"/>
          </w:rPr>
          <w:t>ec.</w:t>
        </w:r>
        <w:r w:rsidRPr="00A55037">
          <w:rPr>
            <w:rStyle w:val="normaltextrun"/>
            <w:rFonts w:eastAsia="Times New Roman" w:cs="Times New Roman"/>
            <w:color w:val="0000FF"/>
            <w:sz w:val="20"/>
            <w:szCs w:val="20"/>
          </w:rPr>
          <w:t xml:space="preserve"> 11-11</w:t>
        </w:r>
      </w:hyperlink>
      <w:r w:rsidR="004E031D" w:rsidRPr="00A55037">
        <w:rPr>
          <w:rStyle w:val="normaltextrun"/>
          <w:rFonts w:eastAsia="Times New Roman" w:cs="Times New Roman"/>
          <w:sz w:val="20"/>
          <w:szCs w:val="20"/>
        </w:rPr>
        <w:t xml:space="preserve"> sobre la aplicación de las recomendaciones de cumplimiento,  </w:t>
      </w:r>
    </w:p>
    <w:p w14:paraId="12824DDB" w14:textId="1D985B1C" w:rsidR="00E86B6C" w:rsidRPr="00A55037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18" w:history="1">
        <w:r w:rsidRPr="00A55037">
          <w:rPr>
            <w:rStyle w:val="normaltextrun"/>
            <w:rFonts w:cs="Times New Roman"/>
            <w:color w:val="0000FF"/>
            <w:sz w:val="20"/>
            <w:szCs w:val="20"/>
          </w:rPr>
          <w:t>R</w:t>
        </w:r>
        <w:r w:rsidR="0083711E" w:rsidRPr="00A55037">
          <w:rPr>
            <w:rStyle w:val="normaltextrun"/>
            <w:rFonts w:cs="Times New Roman"/>
            <w:color w:val="0000FF"/>
            <w:sz w:val="20"/>
            <w:szCs w:val="20"/>
          </w:rPr>
          <w:t>ec.</w:t>
        </w:r>
        <w:r w:rsidRPr="00A55037">
          <w:rPr>
            <w:rStyle w:val="normaltextrun"/>
            <w:rFonts w:cs="Times New Roman"/>
            <w:color w:val="0000FF"/>
            <w:sz w:val="20"/>
            <w:szCs w:val="20"/>
          </w:rPr>
          <w:t xml:space="preserve"> 11-15</w:t>
        </w:r>
      </w:hyperlink>
      <w:r w:rsidR="004E031D" w:rsidRPr="00A55037">
        <w:rPr>
          <w:rStyle w:val="normaltextrun"/>
          <w:rFonts w:eastAsia="Times New Roman" w:cs="Times New Roman"/>
          <w:sz w:val="20"/>
          <w:szCs w:val="20"/>
        </w:rPr>
        <w:t xml:space="preserve"> sobre sanciones en caso de ausencia de notificación; modificada por </w:t>
      </w:r>
      <w:r w:rsidR="00536379" w:rsidRPr="00A55037">
        <w:rPr>
          <w:rStyle w:val="normaltextrun"/>
          <w:rFonts w:eastAsia="Times New Roman" w:cs="Times New Roman"/>
          <w:sz w:val="20"/>
          <w:szCs w:val="20"/>
        </w:rPr>
        <w:t xml:space="preserve">la </w:t>
      </w:r>
      <w:hyperlink r:id="rId19" w:history="1">
        <w:r w:rsidRPr="00A55037">
          <w:rPr>
            <w:rStyle w:val="normaltextrun"/>
            <w:rFonts w:cs="Times New Roman"/>
            <w:sz w:val="20"/>
            <w:szCs w:val="20"/>
          </w:rPr>
          <w:t>Rec</w:t>
        </w:r>
        <w:r w:rsidR="00536379" w:rsidRPr="00A55037">
          <w:rPr>
            <w:rStyle w:val="normaltextrun"/>
            <w:rFonts w:cs="Times New Roman"/>
            <w:sz w:val="20"/>
            <w:szCs w:val="20"/>
          </w:rPr>
          <w:t>.</w:t>
        </w:r>
        <w:r w:rsidRPr="00A55037">
          <w:rPr>
            <w:rStyle w:val="normaltextrun"/>
            <w:rFonts w:cs="Times New Roman"/>
            <w:sz w:val="20"/>
            <w:szCs w:val="20"/>
          </w:rPr>
          <w:t xml:space="preserve"> 15-09</w:t>
        </w:r>
      </w:hyperlink>
      <w:r w:rsidR="004E031D" w:rsidRPr="00A55037">
        <w:rPr>
          <w:rStyle w:val="normaltextrun"/>
          <w:rFonts w:eastAsia="Times New Roman" w:cs="Times New Roman"/>
          <w:sz w:val="20"/>
          <w:szCs w:val="20"/>
        </w:rPr>
        <w:t>,  </w:t>
      </w:r>
    </w:p>
    <w:p w14:paraId="78C0C5A9" w14:textId="71D9A30B" w:rsidR="00E86B6C" w:rsidRPr="00A55037" w:rsidRDefault="00E86B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Style w:val="eop"/>
          <w:rFonts w:eastAsia="Times New Roman" w:cs="Times New Roman"/>
          <w:sz w:val="20"/>
          <w:szCs w:val="20"/>
        </w:rPr>
      </w:pPr>
      <w:hyperlink r:id="rId20" w:history="1">
        <w:r w:rsidRPr="00A55037">
          <w:rPr>
            <w:rStyle w:val="normaltextrun"/>
            <w:rFonts w:cs="Times New Roman"/>
            <w:color w:val="0000FF"/>
            <w:sz w:val="20"/>
            <w:szCs w:val="20"/>
          </w:rPr>
          <w:t>R</w:t>
        </w:r>
        <w:r w:rsidR="0083711E" w:rsidRPr="00A55037">
          <w:rPr>
            <w:rStyle w:val="normaltextrun"/>
            <w:rFonts w:cs="Times New Roman"/>
            <w:color w:val="0000FF"/>
            <w:sz w:val="20"/>
            <w:szCs w:val="20"/>
          </w:rPr>
          <w:t>es.</w:t>
        </w:r>
        <w:r w:rsidRPr="00A55037">
          <w:rPr>
            <w:rStyle w:val="normaltextrun"/>
            <w:rFonts w:cs="Times New Roman"/>
            <w:color w:val="0000FF"/>
            <w:sz w:val="20"/>
            <w:szCs w:val="20"/>
          </w:rPr>
          <w:t xml:space="preserve"> 16-17</w:t>
        </w:r>
      </w:hyperlink>
      <w:r w:rsidR="004E031D" w:rsidRPr="00A55037">
        <w:rPr>
          <w:rStyle w:val="normaltextrun"/>
          <w:rFonts w:eastAsia="Times New Roman" w:cs="Times New Roman"/>
          <w:color w:val="0000FF"/>
          <w:sz w:val="20"/>
          <w:szCs w:val="20"/>
        </w:rPr>
        <w:t xml:space="preserve"> </w:t>
      </w:r>
      <w:r w:rsidR="004E031D" w:rsidRPr="00A55037">
        <w:rPr>
          <w:rStyle w:val="normaltextrun"/>
          <w:rFonts w:eastAsia="Times New Roman" w:cs="Times New Roman"/>
          <w:sz w:val="20"/>
          <w:szCs w:val="20"/>
        </w:rPr>
        <w:t>que establece un calendario de medidas para mejorar el cumplimiento,  </w:t>
      </w:r>
    </w:p>
    <w:p w14:paraId="79D4111D" w14:textId="76C19856" w:rsidR="00E86B6C" w:rsidRPr="00A55037" w:rsidRDefault="0072636C" w:rsidP="0083711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A55037">
        <w:rPr>
          <w:rStyle w:val="normaltextrun"/>
          <w:rFonts w:eastAsia="Times New Roman" w:cs="Times New Roman"/>
          <w:color w:val="0000FF"/>
          <w:sz w:val="20"/>
          <w:szCs w:val="20"/>
        </w:rPr>
        <w:t xml:space="preserve">Ref. </w:t>
      </w:r>
      <w:hyperlink r:id="rId21" w:history="1">
        <w:r w:rsidRPr="00A55037">
          <w:rPr>
            <w:rStyle w:val="Hyperlink"/>
            <w:rFonts w:eastAsia="Times New Roman" w:cs="Times New Roman"/>
            <w:sz w:val="20"/>
            <w:szCs w:val="20"/>
            <w:u w:val="none"/>
          </w:rPr>
          <w:t>22-18</w:t>
        </w:r>
      </w:hyperlink>
      <w:r w:rsidRPr="00A55037">
        <w:rPr>
          <w:rStyle w:val="normaltextrun"/>
          <w:rFonts w:eastAsia="Times New Roman" w:cs="Times New Roman"/>
          <w:sz w:val="20"/>
          <w:szCs w:val="20"/>
        </w:rPr>
        <w:t xml:space="preserve"> </w:t>
      </w:r>
      <w:r w:rsidR="004E031D" w:rsidRPr="00A55037">
        <w:rPr>
          <w:rStyle w:val="normaltextrun"/>
          <w:rFonts w:eastAsia="Times New Roman" w:cs="Times New Roman"/>
          <w:sz w:val="20"/>
          <w:szCs w:val="20"/>
        </w:rPr>
        <w:t>Calendario de cuestiones de cumplimiento y acciones correspondientes</w:t>
      </w:r>
      <w:r w:rsidRPr="00A55037">
        <w:rPr>
          <w:rStyle w:val="normaltextrun"/>
          <w:rFonts w:eastAsia="Times New Roman" w:cs="Times New Roman"/>
          <w:sz w:val="20"/>
          <w:szCs w:val="20"/>
        </w:rPr>
        <w:t>.</w:t>
      </w:r>
    </w:p>
    <w:p w14:paraId="07693026" w14:textId="2BBC74C0" w:rsidR="00E86B6C" w:rsidRPr="00A55037" w:rsidRDefault="00E86B6C" w:rsidP="00253B4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  <w:sectPr w:rsidR="00E86B6C" w:rsidRPr="00A55037" w:rsidSect="00253B44">
          <w:headerReference w:type="default" r:id="rId22"/>
          <w:footerReference w:type="default" r:id="rId23"/>
          <w:pgSz w:w="12240" w:h="15840"/>
          <w:pgMar w:top="1418" w:right="1418" w:bottom="1418" w:left="1418" w:header="851" w:footer="1134" w:gutter="0"/>
          <w:cols w:space="720"/>
          <w:docGrid w:linePitch="360"/>
        </w:sectPr>
      </w:pPr>
    </w:p>
    <w:p w14:paraId="1798BB13" w14:textId="1E26935A" w:rsidR="00E86B6C" w:rsidRPr="00A55037" w:rsidRDefault="0072636C">
      <w:pPr>
        <w:pStyle w:val="P68B1DB1-Normal4"/>
        <w:rPr>
          <w:rFonts w:asciiTheme="minorHAnsi" w:hAnsiTheme="minorHAnsi"/>
          <w:bCs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lastRenderedPageBreak/>
        <w:t xml:space="preserve">Tabla </w:t>
      </w:r>
      <w:r w:rsidR="004E031D" w:rsidRPr="00A55037">
        <w:rPr>
          <w:rFonts w:asciiTheme="minorHAnsi" w:hAnsiTheme="minorHAnsi"/>
          <w:sz w:val="20"/>
          <w:szCs w:val="20"/>
        </w:rPr>
        <w:t>1</w:t>
      </w:r>
      <w:r w:rsidRPr="00A55037">
        <w:rPr>
          <w:rFonts w:asciiTheme="minorHAnsi" w:hAnsiTheme="minorHAnsi"/>
          <w:sz w:val="20"/>
          <w:szCs w:val="20"/>
        </w:rPr>
        <w:t>.</w:t>
      </w:r>
      <w:r w:rsidR="004E031D" w:rsidRPr="00A55037">
        <w:rPr>
          <w:rFonts w:asciiTheme="minorHAnsi" w:hAnsiTheme="minorHAnsi"/>
          <w:sz w:val="20"/>
          <w:szCs w:val="20"/>
        </w:rPr>
        <w:t xml:space="preserve"> </w:t>
      </w:r>
      <w:r w:rsidRPr="00A55037">
        <w:rPr>
          <w:rFonts w:asciiTheme="minorHAnsi" w:hAnsiTheme="minorHAnsi"/>
          <w:b w:val="0"/>
          <w:bCs/>
          <w:sz w:val="20"/>
          <w:szCs w:val="20"/>
        </w:rPr>
        <w:t xml:space="preserve">Información especializada para la evaluación del cumplimiento </w:t>
      </w:r>
      <w:r w:rsidR="004E031D" w:rsidRPr="00A55037">
        <w:rPr>
          <w:rFonts w:asciiTheme="minorHAnsi" w:hAnsiTheme="minorHAnsi"/>
          <w:b w:val="0"/>
          <w:bCs/>
          <w:sz w:val="20"/>
          <w:szCs w:val="20"/>
        </w:rPr>
        <w:t>(</w:t>
      </w:r>
      <w:r w:rsidR="004E031D" w:rsidRPr="00A55037">
        <w:rPr>
          <w:rFonts w:asciiTheme="minorHAnsi" w:hAnsiTheme="minorHAnsi"/>
          <w:b w:val="0"/>
          <w:bCs/>
          <w:i/>
          <w:sz w:val="20"/>
          <w:szCs w:val="20"/>
        </w:rPr>
        <w:t>cuadro incompleto destinado a ser completado durante el proceso de revisión</w:t>
      </w:r>
      <w:r w:rsidR="004E031D" w:rsidRPr="00A55037">
        <w:rPr>
          <w:rFonts w:asciiTheme="minorHAnsi" w:hAnsiTheme="minorHAnsi"/>
          <w:b w:val="0"/>
          <w:bCs/>
          <w:sz w:val="20"/>
          <w:szCs w:val="20"/>
        </w:rPr>
        <w:t>)</w:t>
      </w: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456"/>
        <w:gridCol w:w="2771"/>
        <w:gridCol w:w="3402"/>
        <w:gridCol w:w="3827"/>
        <w:gridCol w:w="2977"/>
      </w:tblGrid>
      <w:tr w:rsidR="00253B44" w:rsidRPr="00A55037" w14:paraId="0593ED32" w14:textId="77777777">
        <w:tc>
          <w:tcPr>
            <w:tcW w:w="456" w:type="dxa"/>
            <w:hideMark/>
          </w:tcPr>
          <w:p w14:paraId="7FE6395B" w14:textId="77777777" w:rsidR="00E86B6C" w:rsidRPr="00A55037" w:rsidRDefault="004E031D">
            <w:pPr>
              <w:pStyle w:val="P68B1DB1-Normal5"/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#</w:t>
            </w:r>
          </w:p>
        </w:tc>
        <w:tc>
          <w:tcPr>
            <w:tcW w:w="2771" w:type="dxa"/>
            <w:hideMark/>
          </w:tcPr>
          <w:p w14:paraId="4D4771DC" w14:textId="77777777" w:rsidR="00E86B6C" w:rsidRPr="00A55037" w:rsidRDefault="004E031D">
            <w:pPr>
              <w:pStyle w:val="P68B1DB1-Normal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Medida/norma</w:t>
            </w:r>
          </w:p>
          <w:p w14:paraId="3E335F88" w14:textId="2AE9E539" w:rsidR="00E86B6C" w:rsidRPr="00A55037" w:rsidRDefault="004E031D">
            <w:pPr>
              <w:pStyle w:val="P68B1DB1-Normal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(Punto 3.1)</w:t>
            </w:r>
          </w:p>
        </w:tc>
        <w:tc>
          <w:tcPr>
            <w:tcW w:w="3402" w:type="dxa"/>
            <w:hideMark/>
          </w:tcPr>
          <w:p w14:paraId="53E4A777" w14:textId="77777777" w:rsidR="00E86B6C" w:rsidRPr="00A55037" w:rsidRDefault="004E031D">
            <w:pPr>
              <w:pStyle w:val="P68B1DB1-Normal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Referencia jurídica </w:t>
            </w:r>
          </w:p>
        </w:tc>
        <w:tc>
          <w:tcPr>
            <w:tcW w:w="3827" w:type="dxa"/>
            <w:hideMark/>
          </w:tcPr>
          <w:p w14:paraId="3E00E820" w14:textId="44AC8C23" w:rsidR="00E86B6C" w:rsidRPr="00A55037" w:rsidRDefault="004E031D">
            <w:pPr>
              <w:pStyle w:val="P68B1DB1-Normal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Documentos disponibles/obligación de </w:t>
            </w:r>
            <w:r w:rsidR="009237D3" w:rsidRPr="00A55037">
              <w:rPr>
                <w:rFonts w:asciiTheme="minorHAnsi" w:hAnsiTheme="minorHAnsi"/>
                <w:sz w:val="20"/>
                <w:szCs w:val="20"/>
              </w:rPr>
              <w:t>información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/información de interés </w:t>
            </w:r>
          </w:p>
          <w:p w14:paraId="05F96FE1" w14:textId="48C4F60F" w:rsidR="00E86B6C" w:rsidRPr="00A55037" w:rsidRDefault="004E031D">
            <w:pPr>
              <w:pStyle w:val="P68B1DB1-Normal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(Punto 3.2)</w:t>
            </w:r>
          </w:p>
        </w:tc>
        <w:tc>
          <w:tcPr>
            <w:tcW w:w="2977" w:type="dxa"/>
          </w:tcPr>
          <w:p w14:paraId="4D45B094" w14:textId="445F2AF9" w:rsidR="00E86B6C" w:rsidRPr="00A55037" w:rsidRDefault="004E031D">
            <w:pPr>
              <w:pStyle w:val="P68B1DB1-Normal5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Información necesaria para evaluar el cumplimiento. Contenido de los informes/plantillas (punto 3.3)</w:t>
            </w:r>
          </w:p>
        </w:tc>
      </w:tr>
      <w:tr w:rsidR="00253B44" w:rsidRPr="00A55037" w14:paraId="5838E5C5" w14:textId="77777777">
        <w:tc>
          <w:tcPr>
            <w:tcW w:w="13433" w:type="dxa"/>
            <w:gridSpan w:val="5"/>
          </w:tcPr>
          <w:p w14:paraId="16FF38F6" w14:textId="622890EC" w:rsidR="00E86B6C" w:rsidRPr="00A55037" w:rsidRDefault="004E031D">
            <w:pPr>
              <w:pStyle w:val="P68B1DB1-ListParagraph6"/>
              <w:numPr>
                <w:ilvl w:val="1"/>
                <w:numId w:val="9"/>
              </w:num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Medidas de carácter </w:t>
            </w:r>
            <w:r w:rsidR="00536379" w:rsidRPr="00A55037">
              <w:rPr>
                <w:rFonts w:asciiTheme="minorHAnsi" w:hAnsiTheme="minorHAnsi"/>
                <w:sz w:val="20"/>
                <w:szCs w:val="20"/>
              </w:rPr>
              <w:t>horizontal</w:t>
            </w:r>
          </w:p>
        </w:tc>
      </w:tr>
      <w:tr w:rsidR="00253B44" w:rsidRPr="00A55037" w14:paraId="68767F01" w14:textId="77777777">
        <w:tc>
          <w:tcPr>
            <w:tcW w:w="456" w:type="dxa"/>
          </w:tcPr>
          <w:p w14:paraId="19D39D72" w14:textId="77777777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2771" w:type="dxa"/>
          </w:tcPr>
          <w:p w14:paraId="664BE0F3" w14:textId="77777777" w:rsidR="00E86B6C" w:rsidRPr="00A55037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Informes obligatorios</w:t>
            </w:r>
          </w:p>
        </w:tc>
        <w:tc>
          <w:tcPr>
            <w:tcW w:w="3402" w:type="dxa"/>
          </w:tcPr>
          <w:p w14:paraId="0801AF82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3B6D0EA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COC_301/2024 (Informes anuales de CPC)</w:t>
            </w:r>
          </w:p>
        </w:tc>
        <w:tc>
          <w:tcPr>
            <w:tcW w:w="2977" w:type="dxa"/>
          </w:tcPr>
          <w:p w14:paraId="57796DCF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Informe resumido en el que se indica información tardía e incompleta</w:t>
            </w:r>
          </w:p>
        </w:tc>
      </w:tr>
      <w:tr w:rsidR="00253B44" w:rsidRPr="00A55037" w14:paraId="5E67CDF2" w14:textId="77777777">
        <w:tc>
          <w:tcPr>
            <w:tcW w:w="456" w:type="dxa"/>
            <w:hideMark/>
          </w:tcPr>
          <w:p w14:paraId="24F33D48" w14:textId="77777777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771" w:type="dxa"/>
            <w:hideMark/>
          </w:tcPr>
          <w:p w14:paraId="2282A68F" w14:textId="1B2B1F44" w:rsidR="00E86B6C" w:rsidRPr="00A55037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Límites de capturas/TAC y aplicación de cuotas (</w:t>
            </w:r>
            <w:r w:rsidR="00536379" w:rsidRPr="00A55037">
              <w:rPr>
                <w:rFonts w:asciiTheme="minorHAnsi" w:hAnsiTheme="minorHAnsi"/>
                <w:sz w:val="20"/>
                <w:szCs w:val="20"/>
              </w:rPr>
              <w:t>excedente/remanente de captura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, transferencias, normas de reembolso)</w:t>
            </w:r>
          </w:p>
        </w:tc>
        <w:tc>
          <w:tcPr>
            <w:tcW w:w="3402" w:type="dxa"/>
            <w:hideMark/>
          </w:tcPr>
          <w:p w14:paraId="4BFAAF35" w14:textId="25C3ECD2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R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>ec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. 00-14 (GEN); R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>ec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. 22-18 (GEN); Recs específic</w:t>
            </w:r>
            <w:r w:rsidR="00536379" w:rsidRPr="00A55037">
              <w:rPr>
                <w:rFonts w:asciiTheme="minorHAnsi" w:hAnsiTheme="minorHAnsi"/>
                <w:sz w:val="20"/>
                <w:szCs w:val="20"/>
              </w:rPr>
              <w:t>a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s de cada especie. (por ejemplo, 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23-02, 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24-01)</w:t>
            </w:r>
          </w:p>
          <w:p w14:paraId="093C86A8" w14:textId="273DD278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Rec. sobre los programas plurianuales: normas de cuotas (por ejemplo, serie de </w:t>
            </w:r>
            <w:r w:rsidR="00536379" w:rsidRPr="00A55037">
              <w:rPr>
                <w:rFonts w:asciiTheme="minorHAnsi" w:hAnsiTheme="minorHAnsi"/>
                <w:sz w:val="20"/>
                <w:szCs w:val="20"/>
              </w:rPr>
              <w:t xml:space="preserve">Recs. de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túnidos tropicales, Rec. 24-01; normas relativas a 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>excesos/remanentes y tablas de cuota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). Véase también la Rec. 11-11 sobre el formato de notificación del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 xml:space="preserve"> cumplimiento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827" w:type="dxa"/>
            <w:hideMark/>
          </w:tcPr>
          <w:p w14:paraId="7206922D" w14:textId="73112E28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COC_308/2024 (anexo 3, tablas de sobrecosecha); Proyecto de cuadros de cumplimiento COC_304 (anexo 1 «Aplicación de la cosecha mayor/subcosecha»); — Datos de capturas de la tarea 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>1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(anual), compilaciones de capturas del SCRS; — Anexo/Proyecto de 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 xml:space="preserve">Tablas resumen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de cumplimiento de la Secretaría.</w:t>
            </w:r>
          </w:p>
          <w:p w14:paraId="0122BC91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Anexo 1 — Información comercial (Rec. 06-13) con arreglo al documento COC_303/2024</w:t>
            </w:r>
          </w:p>
        </w:tc>
        <w:tc>
          <w:tcPr>
            <w:tcW w:w="2977" w:type="dxa"/>
          </w:tcPr>
          <w:p w14:paraId="2CA8AFAA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A55037" w14:paraId="61B12682" w14:textId="77777777">
        <w:tc>
          <w:tcPr>
            <w:tcW w:w="456" w:type="dxa"/>
            <w:hideMark/>
          </w:tcPr>
          <w:p w14:paraId="4F54A34E" w14:textId="77777777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771" w:type="dxa"/>
            <w:hideMark/>
          </w:tcPr>
          <w:p w14:paraId="7D09B628" w14:textId="77777777" w:rsidR="00E86B6C" w:rsidRPr="00A55037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Cobertura de observadores </w:t>
            </w:r>
          </w:p>
        </w:tc>
        <w:tc>
          <w:tcPr>
            <w:tcW w:w="3402" w:type="dxa"/>
            <w:hideMark/>
          </w:tcPr>
          <w:p w14:paraId="789E2007" w14:textId="61E24743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Rec. sobre las normas mínimas de los observadores y su cobertura (Rec.16-14; Recs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>.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sobre la seguridad de los observadores 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19-10 y 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24-14).</w:t>
            </w:r>
          </w:p>
        </w:tc>
        <w:tc>
          <w:tcPr>
            <w:tcW w:w="3827" w:type="dxa"/>
            <w:hideMark/>
          </w:tcPr>
          <w:p w14:paraId="653FA45A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COC_318/2024 (información resumida sobre los programas de observadores científicos)</w:t>
            </w:r>
          </w:p>
          <w:p w14:paraId="5590FB9E" w14:textId="13D2A80E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Resúmenes anuales de la cobertura de los observadores (cobertura</w:t>
            </w:r>
            <w:r w:rsidR="00D50AF2" w:rsidRPr="00A5503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% por flota, arte, pesca); —, datos de observadores presentados a la Secretaría/SCRS. </w:t>
            </w:r>
          </w:p>
        </w:tc>
        <w:tc>
          <w:tcPr>
            <w:tcW w:w="2977" w:type="dxa"/>
          </w:tcPr>
          <w:p w14:paraId="3611BDF5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Documento con el número de buques activos en cada pesquería regulada y el número de buques cubiertos por observadores (véase el ejemplo en el anexo 1)</w:t>
            </w:r>
          </w:p>
        </w:tc>
      </w:tr>
      <w:tr w:rsidR="00253B44" w:rsidRPr="00A55037" w14:paraId="576F867D" w14:textId="77777777">
        <w:tc>
          <w:tcPr>
            <w:tcW w:w="456" w:type="dxa"/>
            <w:hideMark/>
          </w:tcPr>
          <w:p w14:paraId="641F4681" w14:textId="77777777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771" w:type="dxa"/>
            <w:hideMark/>
          </w:tcPr>
          <w:p w14:paraId="1EE0B7AE" w14:textId="77777777" w:rsidR="00E86B6C" w:rsidRPr="00A55037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Cumplimiento del sistema de localización de buques (SLB) (cobertura, anomalías)</w:t>
            </w:r>
          </w:p>
        </w:tc>
        <w:tc>
          <w:tcPr>
            <w:tcW w:w="3402" w:type="dxa"/>
            <w:hideMark/>
          </w:tcPr>
          <w:p w14:paraId="2DF34882" w14:textId="0AA991FC" w:rsidR="00E86B6C" w:rsidRPr="00A55037" w:rsidRDefault="0072636C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Rec</w:t>
            </w:r>
            <w:r w:rsidR="004E031D" w:rsidRPr="00A55037">
              <w:rPr>
                <w:rFonts w:asciiTheme="minorHAnsi" w:hAnsiTheme="minorHAnsi"/>
                <w:sz w:val="20"/>
                <w:szCs w:val="20"/>
              </w:rPr>
              <w:t xml:space="preserve">. 18-10 Normas mínimas para el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VMS </w:t>
            </w:r>
            <w:r w:rsidR="004E031D" w:rsidRPr="00A55037">
              <w:rPr>
                <w:rFonts w:asciiTheme="minorHAnsi" w:hAnsiTheme="minorHAnsi"/>
                <w:sz w:val="20"/>
                <w:szCs w:val="20"/>
              </w:rPr>
              <w:t xml:space="preserve">(y Rec. 21-16 para el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D/F VMS</w:t>
            </w:r>
            <w:r w:rsidR="004E031D" w:rsidRPr="00A5503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de atún </w:t>
            </w:r>
            <w:r w:rsidR="004E031D" w:rsidRPr="00A55037">
              <w:rPr>
                <w:rFonts w:asciiTheme="minorHAnsi" w:hAnsiTheme="minorHAnsi"/>
                <w:sz w:val="20"/>
                <w:szCs w:val="20"/>
              </w:rPr>
              <w:t xml:space="preserve">rojo). </w:t>
            </w:r>
          </w:p>
        </w:tc>
        <w:tc>
          <w:tcPr>
            <w:tcW w:w="3827" w:type="dxa"/>
            <w:hideMark/>
          </w:tcPr>
          <w:p w14:paraId="693162D7" w14:textId="63DCF239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Resúmenes de anomalías de la Secretaría;  Correspondencia sobre las irregularidades del 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>VMS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y las investigaciones de</w:t>
            </w:r>
            <w:r w:rsidR="00F6569D">
              <w:rPr>
                <w:rFonts w:asciiTheme="minorHAnsi" w:hAnsiTheme="minorHAnsi"/>
                <w:sz w:val="20"/>
                <w:szCs w:val="20"/>
              </w:rPr>
              <w:t xml:space="preserve"> la </w:t>
            </w:r>
            <w:r w:rsidR="00F6569D" w:rsidRPr="00F6569D">
              <w:rPr>
                <w:rFonts w:asciiTheme="minorHAnsi" w:hAnsiTheme="minorHAnsi"/>
                <w:sz w:val="20"/>
                <w:szCs w:val="20"/>
                <w:u w:val="single"/>
              </w:rPr>
              <w:t>CPC</w:t>
            </w:r>
            <w:r w:rsidR="00F6569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de abanderamiento.</w:t>
            </w:r>
          </w:p>
        </w:tc>
        <w:tc>
          <w:tcPr>
            <w:tcW w:w="2977" w:type="dxa"/>
          </w:tcPr>
          <w:p w14:paraId="26A9B41D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A55037" w14:paraId="15E3E715" w14:textId="77777777">
        <w:tc>
          <w:tcPr>
            <w:tcW w:w="456" w:type="dxa"/>
            <w:hideMark/>
          </w:tcPr>
          <w:p w14:paraId="6C874DF6" w14:textId="77777777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771" w:type="dxa"/>
            <w:hideMark/>
          </w:tcPr>
          <w:p w14:paraId="1DC6CD6E" w14:textId="77777777" w:rsidR="00E86B6C" w:rsidRPr="00A55037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Registro de buques autorizados/Listas de buques activos del registro CICAA</w:t>
            </w:r>
          </w:p>
        </w:tc>
        <w:tc>
          <w:tcPr>
            <w:tcW w:w="3402" w:type="dxa"/>
            <w:hideMark/>
          </w:tcPr>
          <w:p w14:paraId="6EC3C090" w14:textId="790D831B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Rec. por la que se establece el registro de buques de la CICAA y el registro de las medidas específicas para cada especie que requieren la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lastRenderedPageBreak/>
              <w:t>notificación de los buques autorizados (por ejemplo, disposiciones de</w:t>
            </w:r>
            <w:r w:rsidR="00D50AF2" w:rsidRPr="00A55037">
              <w:rPr>
                <w:rFonts w:asciiTheme="minorHAnsi" w:hAnsiTheme="minorHAnsi"/>
                <w:sz w:val="20"/>
                <w:szCs w:val="20"/>
              </w:rPr>
              <w:t xml:space="preserve"> las Recs.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de</w:t>
            </w:r>
            <w:r w:rsidR="00D50AF2" w:rsidRPr="00A5503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l</w:t>
            </w:r>
            <w:r w:rsidR="00D50AF2" w:rsidRPr="00A55037">
              <w:rPr>
                <w:rFonts w:asciiTheme="minorHAnsi" w:hAnsiTheme="minorHAnsi"/>
                <w:sz w:val="20"/>
                <w:szCs w:val="20"/>
              </w:rPr>
              <w:t>os túnidos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tropical</w:t>
            </w:r>
            <w:r w:rsidR="00D50AF2" w:rsidRPr="00A55037">
              <w:rPr>
                <w:rFonts w:asciiTheme="minorHAnsi" w:hAnsiTheme="minorHAnsi"/>
                <w:sz w:val="20"/>
                <w:szCs w:val="20"/>
              </w:rPr>
              <w:t>es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). </w:t>
            </w:r>
          </w:p>
        </w:tc>
        <w:tc>
          <w:tcPr>
            <w:tcW w:w="3827" w:type="dxa"/>
            <w:hideMark/>
          </w:tcPr>
          <w:p w14:paraId="66BF38B7" w14:textId="7432B1CC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 — El registro de publicado por la Secretaría y la lista de «buques que faenaron»; — Pruebas de las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notificaciones oportunas de adiciones o supresiones. </w:t>
            </w:r>
          </w:p>
        </w:tc>
        <w:tc>
          <w:tcPr>
            <w:tcW w:w="2977" w:type="dxa"/>
          </w:tcPr>
          <w:p w14:paraId="571E33A9" w14:textId="18414C65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Documento resumido con el número de buques autorizados por cada </w:t>
            </w:r>
            <w:r w:rsidR="00D50AF2" w:rsidRPr="00A55037">
              <w:rPr>
                <w:rFonts w:asciiTheme="minorHAnsi" w:hAnsiTheme="minorHAnsi"/>
                <w:sz w:val="20"/>
                <w:szCs w:val="20"/>
              </w:rPr>
              <w:t>C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PC y pesquería</w:t>
            </w:r>
          </w:p>
          <w:p w14:paraId="50EFAD9B" w14:textId="770CB160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lastRenderedPageBreak/>
              <w:t>Las CPC actualizan adecuadamente el registro (notificación oportuna a la CICAA)</w:t>
            </w:r>
          </w:p>
        </w:tc>
      </w:tr>
      <w:tr w:rsidR="00253B44" w:rsidRPr="00A55037" w14:paraId="44812D85" w14:textId="77777777">
        <w:tc>
          <w:tcPr>
            <w:tcW w:w="456" w:type="dxa"/>
          </w:tcPr>
          <w:p w14:paraId="78538AA9" w14:textId="518872CA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2771" w:type="dxa"/>
          </w:tcPr>
          <w:p w14:paraId="37FB5E25" w14:textId="7AA8A192" w:rsidR="00E86B6C" w:rsidRPr="00A55037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Gestión de la capacidad pesquera</w:t>
            </w:r>
          </w:p>
        </w:tc>
        <w:tc>
          <w:tcPr>
            <w:tcW w:w="3402" w:type="dxa"/>
          </w:tcPr>
          <w:p w14:paraId="415788E2" w14:textId="56DB081C" w:rsidR="00E86B6C" w:rsidRPr="00A55037" w:rsidRDefault="0072636C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Rec.</w:t>
            </w:r>
            <w:r w:rsidR="004E031D" w:rsidRPr="00A55037">
              <w:rPr>
                <w:rFonts w:asciiTheme="minorHAnsi" w:hAnsiTheme="minorHAnsi"/>
                <w:sz w:val="20"/>
                <w:szCs w:val="20"/>
              </w:rPr>
              <w:t xml:space="preserve"> 24-01 (</w:t>
            </w:r>
            <w:r w:rsidR="00D50AF2" w:rsidRPr="00A55037">
              <w:rPr>
                <w:rFonts w:asciiTheme="minorHAnsi" w:hAnsiTheme="minorHAnsi"/>
                <w:sz w:val="20"/>
                <w:szCs w:val="20"/>
              </w:rPr>
              <w:t>túnidos</w:t>
            </w:r>
            <w:r w:rsidR="004E031D" w:rsidRPr="00A55037">
              <w:rPr>
                <w:rFonts w:asciiTheme="minorHAnsi" w:hAnsiTheme="minorHAnsi"/>
                <w:sz w:val="20"/>
                <w:szCs w:val="20"/>
              </w:rPr>
              <w:t xml:space="preserve"> tropicales); R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ec</w:t>
            </w:r>
            <w:r w:rsidR="004E031D" w:rsidRPr="00A55037">
              <w:rPr>
                <w:rFonts w:asciiTheme="minorHAnsi" w:hAnsiTheme="minorHAnsi"/>
                <w:sz w:val="20"/>
                <w:szCs w:val="20"/>
              </w:rPr>
              <w:t>. 22-04 (pez espada); R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ec.</w:t>
            </w:r>
            <w:r w:rsidR="004E031D" w:rsidRPr="00A55037">
              <w:rPr>
                <w:rFonts w:asciiTheme="minorHAnsi" w:hAnsiTheme="minorHAnsi"/>
                <w:sz w:val="20"/>
                <w:szCs w:val="20"/>
              </w:rPr>
              <w:t xml:space="preserve"> 24-05 (atún rojo)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E031D" w:rsidRPr="00A55037">
              <w:rPr>
                <w:rFonts w:asciiTheme="minorHAnsi" w:hAnsiTheme="minorHAnsi"/>
                <w:sz w:val="20"/>
                <w:szCs w:val="20"/>
              </w:rPr>
              <w:t>...</w:t>
            </w:r>
          </w:p>
        </w:tc>
        <w:tc>
          <w:tcPr>
            <w:tcW w:w="3827" w:type="dxa"/>
          </w:tcPr>
          <w:p w14:paraId="562B1EF7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F62CE2C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Número de buques autorizados en consonancia con los límites de cuota/capturas.</w:t>
            </w:r>
          </w:p>
          <w:p w14:paraId="4F4FD3E7" w14:textId="0BAD014C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  <w:lang w:val="pt-PT"/>
              </w:rPr>
            </w:pPr>
            <w:proofErr w:type="gramStart"/>
            <w:r w:rsidRPr="00A55037">
              <w:rPr>
                <w:rFonts w:asciiTheme="minorHAnsi" w:hAnsiTheme="minorHAnsi"/>
                <w:sz w:val="20"/>
                <w:szCs w:val="20"/>
                <w:lang w:val="pt-PT"/>
              </w:rPr>
              <w:t>Registro</w:t>
            </w:r>
            <w:proofErr w:type="gramEnd"/>
            <w:r w:rsidRPr="00A55037">
              <w:rPr>
                <w:rFonts w:asciiTheme="minorHAnsi" w:hAnsiTheme="minorHAnsi"/>
                <w:sz w:val="20"/>
                <w:szCs w:val="20"/>
                <w:lang w:val="pt-PT"/>
              </w:rPr>
              <w:t xml:space="preserve"> de </w:t>
            </w:r>
            <w:r w:rsidR="00D50AF2" w:rsidRPr="00A55037">
              <w:rPr>
                <w:rFonts w:asciiTheme="minorHAnsi" w:hAnsiTheme="minorHAnsi"/>
                <w:sz w:val="20"/>
                <w:szCs w:val="20"/>
                <w:lang w:val="pt-PT"/>
              </w:rPr>
              <w:t>la flota</w:t>
            </w:r>
            <w:r w:rsidRPr="00A55037">
              <w:rPr>
                <w:rFonts w:asciiTheme="minorHAnsi" w:hAnsiTheme="minorHAnsi"/>
                <w:sz w:val="20"/>
                <w:szCs w:val="20"/>
                <w:lang w:val="pt-PT"/>
              </w:rPr>
              <w:t>, lista de buques activos</w:t>
            </w:r>
          </w:p>
        </w:tc>
      </w:tr>
      <w:tr w:rsidR="00253B44" w:rsidRPr="00A55037" w14:paraId="0AF14473" w14:textId="77777777">
        <w:tc>
          <w:tcPr>
            <w:tcW w:w="456" w:type="dxa"/>
            <w:hideMark/>
          </w:tcPr>
          <w:p w14:paraId="6324C6F3" w14:textId="77777777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771" w:type="dxa"/>
            <w:hideMark/>
          </w:tcPr>
          <w:p w14:paraId="14F14C92" w14:textId="77777777" w:rsidR="00E86B6C" w:rsidRPr="00A55037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Programas electrónicos de documentación de capturas/documentos estadísticos (eBCD, CDS, PDS)</w:t>
            </w:r>
          </w:p>
        </w:tc>
        <w:tc>
          <w:tcPr>
            <w:tcW w:w="3402" w:type="dxa"/>
            <w:hideMark/>
          </w:tcPr>
          <w:p w14:paraId="08132CEC" w14:textId="6BA462B1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eBCD/CDS rojo, 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>R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ecs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.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más ampli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>a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s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 xml:space="preserve"> sobre SDP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(eBCD 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>Recs.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23-21, 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24-16, etc.). </w:t>
            </w:r>
          </w:p>
        </w:tc>
        <w:tc>
          <w:tcPr>
            <w:tcW w:w="3827" w:type="dxa"/>
            <w:hideMark/>
          </w:tcPr>
          <w:p w14:paraId="62AF0FD5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FF3DC3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A55037" w14:paraId="27C10E50" w14:textId="77777777">
        <w:tc>
          <w:tcPr>
            <w:tcW w:w="456" w:type="dxa"/>
            <w:hideMark/>
          </w:tcPr>
          <w:p w14:paraId="64DBA4C0" w14:textId="77777777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771" w:type="dxa"/>
            <w:hideMark/>
          </w:tcPr>
          <w:p w14:paraId="594C43B3" w14:textId="536DF536" w:rsidR="00E86B6C" w:rsidRPr="00A55037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Obligaciones de información estadística (Tarea 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1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/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2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/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3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, muestreo en puerto, cuadernos de pesca)</w:t>
            </w:r>
          </w:p>
        </w:tc>
        <w:tc>
          <w:tcPr>
            <w:tcW w:w="3402" w:type="dxa"/>
            <w:hideMark/>
          </w:tcPr>
          <w:p w14:paraId="5DCDFDB9" w14:textId="330F7B2C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Recs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.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y Resoluciones sobre la presentación de datos de la Tarea 1/2/3, programas de muestreo en puertos y directrices para los informes anuales y los plazos de notificación (Rec. 05-09, Rec. 18-07; 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o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rientaciones de</w:t>
            </w:r>
            <w:r w:rsidR="0072636C" w:rsidRPr="00A55037">
              <w:rPr>
                <w:rFonts w:asciiTheme="minorHAnsi" w:hAnsiTheme="minorHAnsi"/>
                <w:sz w:val="20"/>
                <w:szCs w:val="20"/>
              </w:rPr>
              <w:t>l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IOMS.</w:t>
            </w:r>
          </w:p>
        </w:tc>
        <w:tc>
          <w:tcPr>
            <w:tcW w:w="3827" w:type="dxa"/>
            <w:hideMark/>
          </w:tcPr>
          <w:p w14:paraId="428B77ED" w14:textId="2CD9B966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— Conjuntos de datos de la Tarea 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1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/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2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/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3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presentados (archivos cargados en la Secretaría/IOMS); — Informes anuales nacionales (parte I/II y apéndices); — Informes de muestreo en puerto; — Pruebas del uso de los datos por el SCRS y las lagunas detectadas. </w:t>
            </w:r>
          </w:p>
        </w:tc>
        <w:tc>
          <w:tcPr>
            <w:tcW w:w="2977" w:type="dxa"/>
          </w:tcPr>
          <w:p w14:paraId="7B849124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A55037" w14:paraId="228D7EEA" w14:textId="77777777">
        <w:tc>
          <w:tcPr>
            <w:tcW w:w="456" w:type="dxa"/>
          </w:tcPr>
          <w:p w14:paraId="7A3C6B2C" w14:textId="35B7E42F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2771" w:type="dxa"/>
          </w:tcPr>
          <w:p w14:paraId="7AE86DAB" w14:textId="068CC5C1" w:rsidR="00E86B6C" w:rsidRPr="00A55037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Capturas 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fortuitas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— Descartes</w:t>
            </w:r>
          </w:p>
        </w:tc>
        <w:tc>
          <w:tcPr>
            <w:tcW w:w="3402" w:type="dxa"/>
          </w:tcPr>
          <w:p w14:paraId="41C42E89" w14:textId="61F25CAD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  <w:lang w:val="pt-PT"/>
              </w:rPr>
            </w:pPr>
            <w:r w:rsidRPr="00A55037">
              <w:rPr>
                <w:rFonts w:asciiTheme="minorHAnsi" w:hAnsiTheme="minorHAnsi"/>
                <w:sz w:val="20"/>
                <w:szCs w:val="20"/>
                <w:lang w:val="pt-PT"/>
              </w:rPr>
              <w:t>R</w:t>
            </w:r>
            <w:r w:rsidR="00F564C7" w:rsidRPr="00A55037">
              <w:rPr>
                <w:rFonts w:asciiTheme="minorHAnsi" w:hAnsiTheme="minorHAnsi"/>
                <w:sz w:val="20"/>
                <w:szCs w:val="20"/>
                <w:lang w:val="pt-PT"/>
              </w:rPr>
              <w:t>ec</w:t>
            </w:r>
            <w:r w:rsidRPr="00A55037">
              <w:rPr>
                <w:rFonts w:asciiTheme="minorHAnsi" w:hAnsiTheme="minorHAnsi"/>
                <w:sz w:val="20"/>
                <w:szCs w:val="20"/>
                <w:lang w:val="pt-PT"/>
              </w:rPr>
              <w:t>. 22-12 (tortugas marinas); R</w:t>
            </w:r>
            <w:r w:rsidR="00F564C7" w:rsidRPr="00A55037">
              <w:rPr>
                <w:rFonts w:asciiTheme="minorHAnsi" w:hAnsiTheme="minorHAnsi"/>
                <w:sz w:val="20"/>
                <w:szCs w:val="20"/>
                <w:lang w:val="pt-PT"/>
              </w:rPr>
              <w:t>ec</w:t>
            </w:r>
            <w:r w:rsidRPr="00A55037">
              <w:rPr>
                <w:rFonts w:asciiTheme="minorHAnsi" w:hAnsiTheme="minorHAnsi"/>
                <w:sz w:val="20"/>
                <w:szCs w:val="20"/>
                <w:lang w:val="pt-PT"/>
              </w:rPr>
              <w:t>. 07-07 (</w:t>
            </w:r>
            <w:r w:rsidR="00F564C7" w:rsidRPr="00A55037">
              <w:rPr>
                <w:rFonts w:asciiTheme="minorHAnsi" w:hAnsiTheme="minorHAnsi"/>
                <w:sz w:val="20"/>
                <w:szCs w:val="20"/>
                <w:lang w:val="pt-PT"/>
              </w:rPr>
              <w:t>a</w:t>
            </w:r>
            <w:r w:rsidRPr="00A55037">
              <w:rPr>
                <w:rFonts w:asciiTheme="minorHAnsi" w:hAnsiTheme="minorHAnsi"/>
                <w:sz w:val="20"/>
                <w:szCs w:val="20"/>
                <w:lang w:val="pt-PT"/>
              </w:rPr>
              <w:t>ves marinas); R</w:t>
            </w:r>
            <w:r w:rsidR="00F564C7" w:rsidRPr="00A55037">
              <w:rPr>
                <w:rFonts w:asciiTheme="minorHAnsi" w:hAnsiTheme="minorHAnsi"/>
                <w:sz w:val="20"/>
                <w:szCs w:val="20"/>
                <w:lang w:val="pt-PT"/>
              </w:rPr>
              <w:t>ec</w:t>
            </w:r>
            <w:r w:rsidRPr="00A55037">
              <w:rPr>
                <w:rFonts w:asciiTheme="minorHAnsi" w:hAnsiTheme="minorHAnsi"/>
                <w:sz w:val="20"/>
                <w:szCs w:val="20"/>
                <w:lang w:val="pt-PT"/>
              </w:rPr>
              <w:t>. 18-06 (tiburones)</w:t>
            </w:r>
          </w:p>
        </w:tc>
        <w:tc>
          <w:tcPr>
            <w:tcW w:w="3827" w:type="dxa"/>
          </w:tcPr>
          <w:p w14:paraId="1E3A0986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  <w:lang w:val="pt-PT"/>
              </w:rPr>
            </w:pPr>
          </w:p>
        </w:tc>
        <w:tc>
          <w:tcPr>
            <w:tcW w:w="2977" w:type="dxa"/>
          </w:tcPr>
          <w:p w14:paraId="3E093254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La CPC recopila y presenta los datos de las capturas accesorias.</w:t>
            </w:r>
          </w:p>
          <w:p w14:paraId="01DC9111" w14:textId="1348749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Dispositivos de mitigación (anzuelos circulares, líneas espantapájaros, etc.) utilizados.</w:t>
            </w:r>
          </w:p>
          <w:p w14:paraId="338C25A8" w14:textId="0B5A4BCD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Tasas de descartes del total de capturas.</w:t>
            </w:r>
          </w:p>
        </w:tc>
      </w:tr>
      <w:tr w:rsidR="00253B44" w:rsidRPr="00A55037" w14:paraId="61710EE7" w14:textId="77777777">
        <w:tc>
          <w:tcPr>
            <w:tcW w:w="456" w:type="dxa"/>
          </w:tcPr>
          <w:p w14:paraId="344ECCD5" w14:textId="6AB9BE88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2771" w:type="dxa"/>
          </w:tcPr>
          <w:p w14:paraId="4E14E2F1" w14:textId="77777777" w:rsidR="00E86B6C" w:rsidRPr="00A55037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Programa internacional conjunto de inspección</w:t>
            </w:r>
          </w:p>
        </w:tc>
        <w:tc>
          <w:tcPr>
            <w:tcW w:w="3402" w:type="dxa"/>
          </w:tcPr>
          <w:p w14:paraId="1253100B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79B3D55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Apéndice 4 (Informes de inspección en el marco del programa conjunto) — Addenda (respuestas) en el marco de COC_303 Apéndice 4</w:t>
            </w:r>
          </w:p>
        </w:tc>
        <w:tc>
          <w:tcPr>
            <w:tcW w:w="2977" w:type="dxa"/>
          </w:tcPr>
          <w:p w14:paraId="314FAC07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Cuadro sinóptico con las inspecciones realizadas y sus resultados</w:t>
            </w:r>
          </w:p>
          <w:p w14:paraId="398C965C" w14:textId="5CAA1B26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Seguimiento dado a las posibles infracciones notificadas</w:t>
            </w:r>
          </w:p>
        </w:tc>
      </w:tr>
      <w:tr w:rsidR="00253B44" w:rsidRPr="00A55037" w14:paraId="6A1F3BFC" w14:textId="77777777">
        <w:tc>
          <w:tcPr>
            <w:tcW w:w="456" w:type="dxa"/>
          </w:tcPr>
          <w:p w14:paraId="495598B2" w14:textId="16628467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2771" w:type="dxa"/>
          </w:tcPr>
          <w:p w14:paraId="73CFCA44" w14:textId="77777777" w:rsidR="00E86B6C" w:rsidRPr="00A55037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Observadores (cumplimiento) Posibles incumplimientos notificados por observadores regionales de la CICAA</w:t>
            </w:r>
          </w:p>
        </w:tc>
        <w:tc>
          <w:tcPr>
            <w:tcW w:w="3402" w:type="dxa"/>
          </w:tcPr>
          <w:p w14:paraId="058F783C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7057958" w14:textId="1140D37C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COC-305</w:t>
            </w:r>
          </w:p>
          <w:p w14:paraId="6C044E11" w14:textId="77777777" w:rsidR="00E86B6C" w:rsidRPr="00A55037" w:rsidRDefault="00E86B6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33CBD2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A55037" w14:paraId="43AF1FB9" w14:textId="77777777">
        <w:tc>
          <w:tcPr>
            <w:tcW w:w="456" w:type="dxa"/>
            <w:hideMark/>
          </w:tcPr>
          <w:p w14:paraId="4B4D26C3" w14:textId="5E19979E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2771" w:type="dxa"/>
            <w:hideMark/>
          </w:tcPr>
          <w:p w14:paraId="69D4D61D" w14:textId="77777777" w:rsidR="00E86B6C" w:rsidRPr="00A55037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Transbordo </w:t>
            </w:r>
          </w:p>
        </w:tc>
        <w:tc>
          <w:tcPr>
            <w:tcW w:w="3402" w:type="dxa"/>
            <w:hideMark/>
          </w:tcPr>
          <w:p w14:paraId="2526F71F" w14:textId="5AB0A149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Rec. sobre el transbordo (incluidas las modificaciones recientes, por ejemplo, las enmiendas Rec. 21-15 y 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 xml:space="preserve">Rec.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24-15) y las normas de inspección correspondientes. </w:t>
            </w:r>
          </w:p>
        </w:tc>
        <w:tc>
          <w:tcPr>
            <w:tcW w:w="3827" w:type="dxa"/>
            <w:hideMark/>
          </w:tcPr>
          <w:p w14:paraId="62E318E8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— Autorizaciones de transbordo y declaraciones de transbordo; — Informes del observador/inspección de los transbordos en el mar; — Controles de transbordo por el Estado rector del puerto. </w:t>
            </w:r>
          </w:p>
        </w:tc>
        <w:tc>
          <w:tcPr>
            <w:tcW w:w="2977" w:type="dxa"/>
          </w:tcPr>
          <w:p w14:paraId="3D3F6269" w14:textId="3E2068F0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A55037" w14:paraId="08409657" w14:textId="77777777">
        <w:tc>
          <w:tcPr>
            <w:tcW w:w="456" w:type="dxa"/>
            <w:hideMark/>
          </w:tcPr>
          <w:p w14:paraId="3060E449" w14:textId="71B53C50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2771" w:type="dxa"/>
            <w:hideMark/>
          </w:tcPr>
          <w:p w14:paraId="10228376" w14:textId="77777777" w:rsidR="00E86B6C" w:rsidRPr="00A55037" w:rsidRDefault="004E031D">
            <w:pPr>
              <w:pStyle w:val="P68B1DB1-Normal5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Medidas del Estado rector del puerto y acciones de pesca INDNR (aplicación de la GSP, lista de buques INDNR)</w:t>
            </w:r>
          </w:p>
        </w:tc>
        <w:tc>
          <w:tcPr>
            <w:tcW w:w="3402" w:type="dxa"/>
            <w:hideMark/>
          </w:tcPr>
          <w:p w14:paraId="171A0F86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Rec. sobre medidas del Estado rector del puerto y Rec. 23-17 (medidas del Estado rector del puerto), Rec. sobre procedimientos de inclusión en la lista INDNR y 23-16, etc. </w:t>
            </w:r>
          </w:p>
        </w:tc>
        <w:tc>
          <w:tcPr>
            <w:tcW w:w="3827" w:type="dxa"/>
            <w:hideMark/>
          </w:tcPr>
          <w:p w14:paraId="5DD2505C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— Informes de inspección en puerto; La normativa nacional relativa a la gestión del sector público; — Pruebas de acciones contra buques incluidos en listas INDNR provisionales o confirmadas; — Notificaciones de restricciones comerciales. </w:t>
            </w:r>
          </w:p>
        </w:tc>
        <w:tc>
          <w:tcPr>
            <w:tcW w:w="2977" w:type="dxa"/>
          </w:tcPr>
          <w:p w14:paraId="7C66876A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Porcentaje de inspección ≥ 5 %.</w:t>
            </w:r>
          </w:p>
          <w:p w14:paraId="0465F19C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Infracciones notificadas y objeto de seguimiento.</w:t>
            </w:r>
          </w:p>
          <w:p w14:paraId="6861BA9A" w14:textId="55F2AA23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Se deniega la entrada en puerto a los buques INDNR incluidos en la lista.</w:t>
            </w:r>
          </w:p>
        </w:tc>
      </w:tr>
      <w:tr w:rsidR="00253B44" w:rsidRPr="00A55037" w14:paraId="339702AE" w14:textId="77777777">
        <w:trPr>
          <w:trHeight w:val="300"/>
        </w:trPr>
        <w:tc>
          <w:tcPr>
            <w:tcW w:w="456" w:type="dxa"/>
            <w:hideMark/>
          </w:tcPr>
          <w:p w14:paraId="490A7A0C" w14:textId="2B88348F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2771" w:type="dxa"/>
            <w:hideMark/>
          </w:tcPr>
          <w:p w14:paraId="31F8E76A" w14:textId="77777777" w:rsidR="00E86B6C" w:rsidRPr="00A55037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Capacitación</w:t>
            </w:r>
          </w:p>
        </w:tc>
        <w:tc>
          <w:tcPr>
            <w:tcW w:w="3402" w:type="dxa"/>
            <w:hideMark/>
          </w:tcPr>
          <w:p w14:paraId="34D2AB2B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hideMark/>
          </w:tcPr>
          <w:p w14:paraId="10FD6C69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34BF2D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CPC que han recibido el desarrollo de capacidades (fecha, contenido, etc.)</w:t>
            </w:r>
          </w:p>
        </w:tc>
      </w:tr>
      <w:tr w:rsidR="00253B44" w:rsidRPr="00A55037" w14:paraId="3B2392A1" w14:textId="77777777">
        <w:tc>
          <w:tcPr>
            <w:tcW w:w="13433" w:type="dxa"/>
            <w:gridSpan w:val="5"/>
          </w:tcPr>
          <w:p w14:paraId="434EA52D" w14:textId="77777777" w:rsidR="00E86B6C" w:rsidRPr="00A55037" w:rsidRDefault="004E031D">
            <w:pPr>
              <w:pStyle w:val="P68B1DB1-ListParagraph6"/>
              <w:numPr>
                <w:ilvl w:val="1"/>
                <w:numId w:val="9"/>
              </w:numPr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Medidas relacionadas con la pesca</w:t>
            </w:r>
          </w:p>
        </w:tc>
      </w:tr>
      <w:tr w:rsidR="00253B44" w:rsidRPr="00A55037" w14:paraId="332BE316" w14:textId="77777777">
        <w:tc>
          <w:tcPr>
            <w:tcW w:w="13433" w:type="dxa"/>
            <w:gridSpan w:val="5"/>
          </w:tcPr>
          <w:p w14:paraId="5EBCF7D0" w14:textId="77777777" w:rsidR="00E86B6C" w:rsidRPr="00A55037" w:rsidRDefault="00E86B6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  <w:p w14:paraId="127BD1CA" w14:textId="77777777" w:rsidR="00E86B6C" w:rsidRPr="00A55037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ARA</w:t>
            </w:r>
          </w:p>
        </w:tc>
      </w:tr>
      <w:tr w:rsidR="00253B44" w:rsidRPr="00A55037" w14:paraId="45C1C214" w14:textId="77777777">
        <w:tc>
          <w:tcPr>
            <w:tcW w:w="456" w:type="dxa"/>
          </w:tcPr>
          <w:p w14:paraId="35B39F61" w14:textId="15E8DB36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2771" w:type="dxa"/>
          </w:tcPr>
          <w:p w14:paraId="46F624A7" w14:textId="3C68361F" w:rsidR="00E86B6C" w:rsidRPr="00A55037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Capacidad de 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cría de entrada</w:t>
            </w:r>
          </w:p>
        </w:tc>
        <w:tc>
          <w:tcPr>
            <w:tcW w:w="3402" w:type="dxa"/>
          </w:tcPr>
          <w:p w14:paraId="6BE90164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4E75AA7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Informe sobre la cantidad anual de introducción en jaula (no un documento COC)</w:t>
            </w:r>
          </w:p>
        </w:tc>
        <w:tc>
          <w:tcPr>
            <w:tcW w:w="2977" w:type="dxa"/>
          </w:tcPr>
          <w:p w14:paraId="1A8DA64A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Apartado 24, Rec 24-05</w:t>
            </w:r>
          </w:p>
          <w:p w14:paraId="473134C2" w14:textId="77777777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Cantidades introducidas en jaulas, recolectadas, comercializadas por la CPC (extraídas de eBCD)</w:t>
            </w:r>
          </w:p>
        </w:tc>
      </w:tr>
      <w:tr w:rsidR="00253B44" w:rsidRPr="00A55037" w14:paraId="61B092CF" w14:textId="77777777">
        <w:tc>
          <w:tcPr>
            <w:tcW w:w="456" w:type="dxa"/>
          </w:tcPr>
          <w:p w14:paraId="353F5DAC" w14:textId="0A379CE9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2771" w:type="dxa"/>
          </w:tcPr>
          <w:p w14:paraId="5AF9523F" w14:textId="77777777" w:rsidR="00E86B6C" w:rsidRPr="00A55037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Controles aleatorios</w:t>
            </w:r>
          </w:p>
        </w:tc>
        <w:tc>
          <w:tcPr>
            <w:tcW w:w="3402" w:type="dxa"/>
          </w:tcPr>
          <w:p w14:paraId="29D50EA9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DA01FB7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2EDA3C5" w14:textId="77777777" w:rsidR="00E86B6C" w:rsidRPr="00A55037" w:rsidRDefault="00E86B6C">
            <w:pPr>
              <w:ind w:firstLine="720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53B44" w:rsidRPr="00A55037" w14:paraId="6D8A61E5" w14:textId="77777777">
        <w:tc>
          <w:tcPr>
            <w:tcW w:w="13433" w:type="dxa"/>
            <w:gridSpan w:val="5"/>
          </w:tcPr>
          <w:p w14:paraId="4DFCEBA9" w14:textId="77777777" w:rsidR="00E86B6C" w:rsidRPr="00A55037" w:rsidRDefault="00E86B6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  <w:p w14:paraId="7AE991C6" w14:textId="77777777" w:rsidR="00E86B6C" w:rsidRPr="00A55037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TRO</w:t>
            </w:r>
          </w:p>
        </w:tc>
      </w:tr>
      <w:tr w:rsidR="00E86B6C" w:rsidRPr="00A55037" w14:paraId="77D45635" w14:textId="77777777">
        <w:tc>
          <w:tcPr>
            <w:tcW w:w="456" w:type="dxa"/>
          </w:tcPr>
          <w:p w14:paraId="70DA8FE4" w14:textId="51E826D1" w:rsidR="00E86B6C" w:rsidRPr="00A55037" w:rsidRDefault="004E031D">
            <w:pPr>
              <w:pStyle w:val="P68B1DB1-Normal7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2771" w:type="dxa"/>
          </w:tcPr>
          <w:p w14:paraId="0BCF07DB" w14:textId="79F8B829" w:rsidR="00E86B6C" w:rsidRPr="00A55037" w:rsidRDefault="004E031D">
            <w:pPr>
              <w:pStyle w:val="P68B1DB1-Normal5"/>
              <w:rPr>
                <w:rFonts w:asciiTheme="minorHAnsi" w:hAnsiTheme="minorHAnsi"/>
                <w:bCs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Gestión de DCP (planes de gestión de DCP, cuadernos de los DCP, límites de implantación, normas de no enredo/biodegradables)</w:t>
            </w:r>
          </w:p>
        </w:tc>
        <w:tc>
          <w:tcPr>
            <w:tcW w:w="3402" w:type="dxa"/>
          </w:tcPr>
          <w:p w14:paraId="206D10F0" w14:textId="19695BF0" w:rsidR="00E86B6C" w:rsidRPr="00A55037" w:rsidRDefault="00F564C7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Recs. plurianuales sobre túnidos </w:t>
            </w:r>
            <w:r w:rsidR="004E031D" w:rsidRPr="00A55037">
              <w:rPr>
                <w:rFonts w:asciiTheme="minorHAnsi" w:hAnsiTheme="minorHAnsi"/>
                <w:sz w:val="20"/>
                <w:szCs w:val="20"/>
              </w:rPr>
              <w:t>tropicales, incluidos los anexos sobre los planes de gestión de los DCP, las plantillas de los cuadernos diarios de los DCP y los requisitos de notificación (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Recs. </w:t>
            </w:r>
            <w:r w:rsidR="004E031D" w:rsidRPr="00A55037">
              <w:rPr>
                <w:rFonts w:asciiTheme="minorHAnsi" w:hAnsiTheme="minorHAnsi"/>
                <w:sz w:val="20"/>
                <w:szCs w:val="20"/>
              </w:rPr>
              <w:t>16-01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en adelante</w:t>
            </w:r>
            <w:r w:rsidR="004E031D" w:rsidRPr="00A55037">
              <w:rPr>
                <w:rFonts w:asciiTheme="minorHAnsi" w:hAnsiTheme="minorHAnsi"/>
                <w:sz w:val="20"/>
                <w:szCs w:val="20"/>
              </w:rPr>
              <w:t>; Rec.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E031D" w:rsidRPr="00A55037">
              <w:rPr>
                <w:rFonts w:asciiTheme="minorHAnsi" w:hAnsiTheme="minorHAnsi"/>
                <w:sz w:val="20"/>
                <w:szCs w:val="20"/>
              </w:rPr>
              <w:t>24-01, etc.).</w:t>
            </w:r>
          </w:p>
        </w:tc>
        <w:tc>
          <w:tcPr>
            <w:tcW w:w="3827" w:type="dxa"/>
          </w:tcPr>
          <w:p w14:paraId="132F7964" w14:textId="65CE821B" w:rsidR="00E86B6C" w:rsidRPr="00A55037" w:rsidRDefault="004E031D">
            <w:pPr>
              <w:pStyle w:val="P68B1DB1-Normal7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— Planes de gestión de DCP de la CPC (presentados a la Secretaría) y actualizaciones anuales; — Cuadernos de DCP de buques, listas mensuales de DCP desplegados (cuadrículas de 1.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 xml:space="preserve"> º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x1.º); — Listas de identificadores de boya/ecosonda y estados de activación de telecomunicaciones/boyas; — Conjuntos de datos de DCP del SCRS (de la Secretaría).</w:t>
            </w:r>
          </w:p>
        </w:tc>
        <w:tc>
          <w:tcPr>
            <w:tcW w:w="2977" w:type="dxa"/>
          </w:tcPr>
          <w:p w14:paraId="1F50BFA1" w14:textId="77777777" w:rsidR="00E86B6C" w:rsidRPr="00A55037" w:rsidRDefault="00E86B6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14B253F9" w14:textId="75E45476" w:rsidR="00E86B6C" w:rsidRPr="00A55037" w:rsidRDefault="00E86B6C">
      <w:pPr>
        <w:rPr>
          <w:rFonts w:cs="Times New Roman"/>
          <w:b/>
          <w:bCs/>
          <w:sz w:val="20"/>
          <w:szCs w:val="20"/>
        </w:rPr>
      </w:pPr>
    </w:p>
    <w:p w14:paraId="47733AD4" w14:textId="10DDAE42" w:rsidR="00E86B6C" w:rsidRPr="00A55037" w:rsidRDefault="00F564C7">
      <w:pPr>
        <w:pStyle w:val="P68B1DB1-Normal4"/>
        <w:rPr>
          <w:rFonts w:asciiTheme="minorHAnsi" w:hAnsiTheme="minorHAnsi"/>
          <w:bCs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lastRenderedPageBreak/>
        <w:t xml:space="preserve">Tabla </w:t>
      </w:r>
      <w:r w:rsidR="004E031D" w:rsidRPr="00A55037">
        <w:rPr>
          <w:rFonts w:asciiTheme="minorHAnsi" w:hAnsiTheme="minorHAnsi"/>
          <w:sz w:val="20"/>
          <w:szCs w:val="20"/>
        </w:rPr>
        <w:t>2</w:t>
      </w:r>
      <w:r w:rsidRPr="00A55037">
        <w:rPr>
          <w:rFonts w:asciiTheme="minorHAnsi" w:hAnsiTheme="minorHAnsi"/>
          <w:sz w:val="20"/>
          <w:szCs w:val="20"/>
        </w:rPr>
        <w:t>.</w:t>
      </w:r>
      <w:r w:rsidR="004E031D" w:rsidRPr="00A55037">
        <w:rPr>
          <w:rFonts w:asciiTheme="minorHAnsi" w:hAnsiTheme="minorHAnsi"/>
          <w:b w:val="0"/>
          <w:bCs/>
          <w:sz w:val="20"/>
          <w:szCs w:val="20"/>
        </w:rPr>
        <w:t xml:space="preserve"> E</w:t>
      </w:r>
      <w:r w:rsidRPr="00A55037">
        <w:rPr>
          <w:rFonts w:asciiTheme="minorHAnsi" w:hAnsiTheme="minorHAnsi"/>
          <w:b w:val="0"/>
          <w:bCs/>
          <w:sz w:val="20"/>
          <w:szCs w:val="20"/>
        </w:rPr>
        <w:t>jemplo de contenido de un modelo para evaluar el cumplimiento con cobertura de observadores.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1"/>
        <w:gridCol w:w="839"/>
        <w:gridCol w:w="1121"/>
        <w:gridCol w:w="839"/>
        <w:gridCol w:w="2600"/>
        <w:gridCol w:w="2048"/>
        <w:gridCol w:w="2048"/>
        <w:gridCol w:w="2828"/>
      </w:tblGrid>
      <w:tr w:rsidR="00253B44" w:rsidRPr="00A55037" w14:paraId="5133B28E" w14:textId="77777777">
        <w:tc>
          <w:tcPr>
            <w:tcW w:w="675" w:type="dxa"/>
          </w:tcPr>
          <w:p w14:paraId="588BF899" w14:textId="1A61561A" w:rsidR="00E86B6C" w:rsidRPr="00A55037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CPC</w:t>
            </w:r>
          </w:p>
        </w:tc>
        <w:tc>
          <w:tcPr>
            <w:tcW w:w="2835" w:type="dxa"/>
            <w:gridSpan w:val="3"/>
          </w:tcPr>
          <w:p w14:paraId="7B4E468A" w14:textId="52CEDD73" w:rsidR="00E86B6C" w:rsidRPr="00A55037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R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ec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. 16-14, </w:t>
            </w:r>
            <w:r w:rsidR="005A2BAB" w:rsidRPr="00A55037">
              <w:rPr>
                <w:rFonts w:asciiTheme="minorHAnsi" w:hAnsiTheme="minorHAnsi"/>
                <w:sz w:val="20"/>
                <w:szCs w:val="20"/>
              </w:rPr>
              <w:t>párrafo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 4</w:t>
            </w:r>
          </w:p>
          <w:p w14:paraId="0CCCEFAF" w14:textId="45657A92" w:rsidR="00E86B6C" w:rsidRPr="00A55037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5 % de cobertura de observadores científicos</w:t>
            </w:r>
          </w:p>
        </w:tc>
        <w:tc>
          <w:tcPr>
            <w:tcW w:w="2631" w:type="dxa"/>
          </w:tcPr>
          <w:p w14:paraId="3EC770BB" w14:textId="0986A154" w:rsidR="00E86B6C" w:rsidRPr="00A55037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TRO-Rec. 23-18, Rec. 16-14 (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párrafos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66-67)</w:t>
            </w:r>
          </w:p>
          <w:p w14:paraId="2D13C7D8" w14:textId="4CF8B072" w:rsidR="00E86B6C" w:rsidRPr="00A55037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Cobertura ≥ 10 % (observadores humanos o combinación con un </w:t>
            </w:r>
            <w:r w:rsidR="005A2BAB" w:rsidRPr="00A55037">
              <w:rPr>
                <w:rFonts w:asciiTheme="minorHAnsi" w:hAnsiTheme="minorHAnsi"/>
                <w:sz w:val="20"/>
                <w:szCs w:val="20"/>
              </w:rPr>
              <w:t>EMS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) para buques que pesquen patudo, rabil o listado en 2025-2</w:t>
            </w:r>
            <w:r w:rsidR="00F564C7" w:rsidRPr="00A55037">
              <w:rPr>
                <w:rFonts w:asciiTheme="minorHAnsi" w:hAnsiTheme="minorHAnsi"/>
                <w:sz w:val="20"/>
                <w:szCs w:val="20"/>
              </w:rPr>
              <w:t>02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2066" w:type="dxa"/>
          </w:tcPr>
          <w:p w14:paraId="6C6C2C87" w14:textId="2F827003" w:rsidR="00E86B6C" w:rsidRPr="00A55037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TRO-Rec. 23-18, Rec. 16-14 (</w:t>
            </w:r>
            <w:r w:rsidR="005A2BAB" w:rsidRPr="00A55037">
              <w:rPr>
                <w:rFonts w:asciiTheme="minorHAnsi" w:hAnsiTheme="minorHAnsi"/>
                <w:sz w:val="20"/>
                <w:szCs w:val="20"/>
              </w:rPr>
              <w:t>párrafo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 68)</w:t>
            </w:r>
          </w:p>
          <w:p w14:paraId="6AE676F1" w14:textId="4A8E5074" w:rsidR="00E86B6C" w:rsidRPr="00A55037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Cobertura de observadores del 100 % del esfuerzo pesquero (humano o </w:t>
            </w:r>
            <w:r w:rsidR="005A2BAB" w:rsidRPr="00A55037">
              <w:rPr>
                <w:rFonts w:asciiTheme="minorHAnsi" w:hAnsiTheme="minorHAnsi"/>
                <w:sz w:val="20"/>
                <w:szCs w:val="20"/>
              </w:rPr>
              <w:t>EMS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). La CPC puede mantener el 20 % humano si el 80 % restante es auditado por el EMS.</w:t>
            </w:r>
          </w:p>
        </w:tc>
        <w:tc>
          <w:tcPr>
            <w:tcW w:w="2070" w:type="dxa"/>
          </w:tcPr>
          <w:p w14:paraId="57D773C8" w14:textId="655CD87D" w:rsidR="00E86B6C" w:rsidRPr="00A55037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R</w:t>
            </w:r>
            <w:r w:rsidR="005A2BAB" w:rsidRPr="00A55037">
              <w:rPr>
                <w:rFonts w:asciiTheme="minorHAnsi" w:hAnsiTheme="minorHAnsi"/>
                <w:sz w:val="20"/>
                <w:szCs w:val="20"/>
              </w:rPr>
              <w:t>ec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. 22-01 (</w:t>
            </w:r>
            <w:r w:rsidR="005A2BAB" w:rsidRPr="00A55037">
              <w:rPr>
                <w:rFonts w:asciiTheme="minorHAnsi" w:hAnsiTheme="minorHAnsi"/>
                <w:sz w:val="20"/>
                <w:szCs w:val="20"/>
              </w:rPr>
              <w:t xml:space="preserve">párrafos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38-41)</w:t>
            </w:r>
          </w:p>
          <w:p w14:paraId="6EEA9C56" w14:textId="57AB7CDD" w:rsidR="00E86B6C" w:rsidRPr="00A55037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DCP/veda </w:t>
            </w:r>
            <w:r w:rsidR="005A2BAB" w:rsidRPr="00A55037">
              <w:rPr>
                <w:rFonts w:asciiTheme="minorHAnsi" w:hAnsiTheme="minorHAnsi"/>
                <w:sz w:val="20"/>
                <w:szCs w:val="20"/>
              </w:rPr>
              <w:t xml:space="preserve">espacio temporal 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>en el caso de los atunes tropicales</w:t>
            </w:r>
            <w:r w:rsidR="005A2BAB" w:rsidRPr="00A55037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66DF4B6" w14:textId="440F76EA" w:rsidR="00E86B6C" w:rsidRPr="00A55037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Se requiere un observador en todos los buques que faenen durante la veda</w:t>
            </w:r>
            <w:r w:rsidR="005A2BAB" w:rsidRPr="00A55037">
              <w:rPr>
                <w:rFonts w:asciiTheme="minorHAnsi" w:hAnsiTheme="minorHAnsi"/>
                <w:sz w:val="20"/>
                <w:szCs w:val="20"/>
              </w:rPr>
              <w:t>.</w:t>
            </w:r>
            <w:r w:rsidRPr="00A55037">
              <w:rPr>
                <w:rFonts w:asciiTheme="minorHAnsi" w:hAnsiTheme="minorHAnsi"/>
                <w:sz w:val="20"/>
                <w:szCs w:val="20"/>
              </w:rPr>
              <w:t xml:space="preserve"> Las CPC deben comunicar los datos anualmente</w:t>
            </w:r>
          </w:p>
        </w:tc>
        <w:tc>
          <w:tcPr>
            <w:tcW w:w="2899" w:type="dxa"/>
          </w:tcPr>
          <w:p w14:paraId="6351B904" w14:textId="627D8168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3B44" w:rsidRPr="00A55037" w14:paraId="48028AE5" w14:textId="77777777">
        <w:tc>
          <w:tcPr>
            <w:tcW w:w="675" w:type="dxa"/>
          </w:tcPr>
          <w:p w14:paraId="4755E533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FC39603" w14:textId="527AAEF1" w:rsidR="00E86B6C" w:rsidRPr="00A55037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N:</w:t>
            </w:r>
          </w:p>
        </w:tc>
        <w:tc>
          <w:tcPr>
            <w:tcW w:w="1134" w:type="dxa"/>
          </w:tcPr>
          <w:p w14:paraId="3D5EEBBF" w14:textId="29A6F9DB" w:rsidR="00E86B6C" w:rsidRPr="00A55037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>NOB:</w:t>
            </w:r>
          </w:p>
        </w:tc>
        <w:tc>
          <w:tcPr>
            <w:tcW w:w="850" w:type="dxa"/>
          </w:tcPr>
          <w:p w14:paraId="4546B9C8" w14:textId="7EAE2CA5" w:rsidR="00E86B6C" w:rsidRPr="00A55037" w:rsidRDefault="004E031D">
            <w:pPr>
              <w:pStyle w:val="P68B1DB1-Normal8"/>
              <w:rPr>
                <w:rFonts w:asciiTheme="minorHAnsi" w:hAnsiTheme="minorHAnsi"/>
                <w:sz w:val="20"/>
                <w:szCs w:val="20"/>
              </w:rPr>
            </w:pPr>
            <w:r w:rsidRPr="00A55037">
              <w:rPr>
                <w:rFonts w:asciiTheme="minorHAnsi" w:hAnsiTheme="minorHAnsi"/>
                <w:sz w:val="20"/>
                <w:szCs w:val="20"/>
              </w:rPr>
              <w:t xml:space="preserve">%: </w:t>
            </w:r>
          </w:p>
        </w:tc>
        <w:tc>
          <w:tcPr>
            <w:tcW w:w="2631" w:type="dxa"/>
          </w:tcPr>
          <w:p w14:paraId="455208D8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14:paraId="772A227A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679A49F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9" w:type="dxa"/>
          </w:tcPr>
          <w:p w14:paraId="23AD3CCF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3B44" w:rsidRPr="00A55037" w14:paraId="6AAB8336" w14:textId="77777777">
        <w:tc>
          <w:tcPr>
            <w:tcW w:w="675" w:type="dxa"/>
          </w:tcPr>
          <w:p w14:paraId="249747CA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5AA9C6A1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3E35FBCF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14:paraId="380A0E90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4DD8665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9" w:type="dxa"/>
          </w:tcPr>
          <w:p w14:paraId="7179D9F5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53B44" w:rsidRPr="00A55037" w14:paraId="6D82BA48" w14:textId="77777777">
        <w:tc>
          <w:tcPr>
            <w:tcW w:w="675" w:type="dxa"/>
          </w:tcPr>
          <w:p w14:paraId="50D5AE85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14:paraId="3095007B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5F403231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6" w:type="dxa"/>
          </w:tcPr>
          <w:p w14:paraId="3CD274E4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0DB28AA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9" w:type="dxa"/>
          </w:tcPr>
          <w:p w14:paraId="22B3F9CC" w14:textId="77777777" w:rsidR="00E86B6C" w:rsidRPr="00A55037" w:rsidRDefault="00E86B6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1BA2F3F1" w14:textId="77777777" w:rsidR="00E86B6C" w:rsidRPr="00A55037" w:rsidRDefault="00E86B6C">
      <w:pPr>
        <w:rPr>
          <w:rFonts w:cs="Times New Roman"/>
          <w:sz w:val="20"/>
          <w:szCs w:val="20"/>
        </w:rPr>
      </w:pPr>
    </w:p>
    <w:p w14:paraId="03C49DFC" w14:textId="317D7662" w:rsidR="00E86B6C" w:rsidRPr="00A55037" w:rsidRDefault="004E031D">
      <w:pPr>
        <w:pStyle w:val="P68B1DB1-Normal8"/>
        <w:rPr>
          <w:rFonts w:asciiTheme="minorHAnsi" w:hAnsiTheme="minorHAnsi"/>
          <w:sz w:val="20"/>
          <w:szCs w:val="20"/>
        </w:rPr>
      </w:pPr>
      <w:r w:rsidRPr="00A55037">
        <w:rPr>
          <w:rFonts w:asciiTheme="minorHAnsi" w:hAnsiTheme="minorHAnsi"/>
          <w:sz w:val="20"/>
          <w:szCs w:val="20"/>
        </w:rPr>
        <w:t>Para cada disposición, indíquese: N: número de buques autorizados/activos; NOB: número de buques con observadores; %: porcentaje de buques autorizados/activos cubiertos.</w:t>
      </w:r>
    </w:p>
    <w:sectPr w:rsidR="00E86B6C" w:rsidRPr="00A55037" w:rsidSect="00253B44">
      <w:pgSz w:w="15840" w:h="12240" w:orient="landscape" w:code="1"/>
      <w:pgMar w:top="1418" w:right="1418" w:bottom="1418" w:left="1418" w:header="851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C1792" w14:textId="77777777" w:rsidR="00FC2B75" w:rsidRDefault="00FC2B75">
      <w:pPr>
        <w:spacing w:after="0" w:line="240" w:lineRule="auto"/>
      </w:pPr>
      <w:r>
        <w:separator/>
      </w:r>
    </w:p>
  </w:endnote>
  <w:endnote w:type="continuationSeparator" w:id="0">
    <w:p w14:paraId="00472638" w14:textId="77777777" w:rsidR="00FC2B75" w:rsidRDefault="00FC2B75">
      <w:pPr>
        <w:spacing w:after="0" w:line="240" w:lineRule="auto"/>
      </w:pPr>
      <w:r>
        <w:continuationSeparator/>
      </w:r>
    </w:p>
  </w:endnote>
  <w:endnote w:type="continuationNotice" w:id="1">
    <w:p w14:paraId="2CA61567" w14:textId="77777777" w:rsidR="00FC2B75" w:rsidRDefault="00FC2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963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51771" w14:textId="52BFA872" w:rsidR="00E86B6C" w:rsidRDefault="005A49B5" w:rsidP="00253B44">
        <w:pPr>
          <w:pStyle w:val="Footer"/>
          <w:jc w:val="center"/>
        </w:pPr>
        <w:sdt>
          <w:sdtPr>
            <w:rPr>
              <w:rFonts w:ascii="Calibri" w:eastAsia="Calibri" w:hAnsi="Calibri" w:cs="Calibri"/>
              <w:sz w:val="20"/>
              <w:szCs w:val="20"/>
            </w:rPr>
            <w:id w:val="810910487"/>
            <w:docPartObj>
              <w:docPartGallery w:val="Page Numbers (Top of Page)"/>
              <w:docPartUnique/>
            </w:docPartObj>
          </w:sdtPr>
          <w:sdtEndPr/>
          <w:sdtContent>
            <w:r w:rsidR="00253B44" w:rsidRPr="00713AD4">
              <w:rPr>
                <w:rFonts w:eastAsia="Calibri" w:cs="Calibri"/>
                <w:sz w:val="20"/>
                <w:szCs w:val="20"/>
              </w:rPr>
              <w:fldChar w:fldCharType="begin"/>
            </w:r>
            <w:r w:rsidR="00253B44" w:rsidRPr="00713AD4">
              <w:rPr>
                <w:rFonts w:eastAsia="Calibri" w:cs="Calibri"/>
                <w:sz w:val="20"/>
                <w:szCs w:val="20"/>
              </w:rPr>
              <w:instrText xml:space="preserve"> PAGE </w:instrText>
            </w:r>
            <w:r w:rsidR="00253B44" w:rsidRPr="00713AD4">
              <w:rPr>
                <w:rFonts w:eastAsia="Calibri" w:cs="Calibri"/>
                <w:sz w:val="20"/>
                <w:szCs w:val="20"/>
              </w:rPr>
              <w:fldChar w:fldCharType="separate"/>
            </w:r>
            <w:r w:rsidR="00253B44">
              <w:rPr>
                <w:rFonts w:eastAsia="Calibri" w:cs="Calibri"/>
                <w:sz w:val="20"/>
                <w:szCs w:val="20"/>
              </w:rPr>
              <w:t>1</w:t>
            </w:r>
            <w:r w:rsidR="00253B44" w:rsidRPr="00713AD4">
              <w:rPr>
                <w:rFonts w:eastAsia="Calibri" w:cs="Calibri"/>
                <w:sz w:val="20"/>
                <w:szCs w:val="20"/>
              </w:rPr>
              <w:fldChar w:fldCharType="end"/>
            </w:r>
            <w:r w:rsidR="00253B44" w:rsidRPr="00713AD4">
              <w:rPr>
                <w:rFonts w:eastAsia="Calibri" w:cs="Calibri"/>
                <w:sz w:val="20"/>
                <w:szCs w:val="20"/>
              </w:rPr>
              <w:t xml:space="preserve"> / </w:t>
            </w:r>
            <w:r w:rsidR="00253B44" w:rsidRPr="00713AD4">
              <w:rPr>
                <w:rFonts w:eastAsia="Calibri" w:cs="Calibri"/>
                <w:sz w:val="20"/>
                <w:szCs w:val="20"/>
              </w:rPr>
              <w:fldChar w:fldCharType="begin"/>
            </w:r>
            <w:r w:rsidR="00253B44" w:rsidRPr="00713AD4">
              <w:rPr>
                <w:rFonts w:eastAsia="Calibri" w:cs="Calibri"/>
                <w:sz w:val="20"/>
                <w:szCs w:val="20"/>
              </w:rPr>
              <w:instrText xml:space="preserve"> NUMPAGES  </w:instrText>
            </w:r>
            <w:r w:rsidR="00253B44" w:rsidRPr="00713AD4">
              <w:rPr>
                <w:rFonts w:eastAsia="Calibri" w:cs="Calibri"/>
                <w:sz w:val="20"/>
                <w:szCs w:val="20"/>
              </w:rPr>
              <w:fldChar w:fldCharType="separate"/>
            </w:r>
            <w:r w:rsidR="00253B44">
              <w:rPr>
                <w:rFonts w:eastAsia="Calibri" w:cs="Calibri"/>
                <w:sz w:val="20"/>
                <w:szCs w:val="20"/>
              </w:rPr>
              <w:t>8</w:t>
            </w:r>
            <w:r w:rsidR="00253B44" w:rsidRPr="00713AD4">
              <w:rPr>
                <w:rFonts w:eastAsia="Calibri" w:cs="Calibri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90DF" w14:textId="77777777" w:rsidR="00FC2B75" w:rsidRDefault="00FC2B75">
      <w:pPr>
        <w:spacing w:after="0" w:line="240" w:lineRule="auto"/>
      </w:pPr>
      <w:r>
        <w:separator/>
      </w:r>
    </w:p>
  </w:footnote>
  <w:footnote w:type="continuationSeparator" w:id="0">
    <w:p w14:paraId="4099CFED" w14:textId="77777777" w:rsidR="00FC2B75" w:rsidRDefault="00FC2B75">
      <w:pPr>
        <w:spacing w:after="0" w:line="240" w:lineRule="auto"/>
      </w:pPr>
      <w:r>
        <w:continuationSeparator/>
      </w:r>
    </w:p>
  </w:footnote>
  <w:footnote w:type="continuationNotice" w:id="1">
    <w:p w14:paraId="60AB7E6B" w14:textId="77777777" w:rsidR="00FC2B75" w:rsidRDefault="00FC2B75">
      <w:pPr>
        <w:spacing w:after="0" w:line="240" w:lineRule="auto"/>
      </w:pPr>
    </w:p>
  </w:footnote>
  <w:footnote w:id="2">
    <w:p w14:paraId="48B1ADC3" w14:textId="77777777" w:rsidR="00E86B6C" w:rsidRPr="009F259F" w:rsidRDefault="004E031D">
      <w:pPr>
        <w:pStyle w:val="FootnoteText"/>
        <w:rPr>
          <w:sz w:val="16"/>
          <w:szCs w:val="16"/>
        </w:rPr>
      </w:pPr>
      <w:r w:rsidRPr="009F259F">
        <w:rPr>
          <w:rStyle w:val="FootnoteReference"/>
          <w:sz w:val="16"/>
          <w:szCs w:val="16"/>
        </w:rPr>
        <w:footnoteRef/>
      </w:r>
      <w:r w:rsidRPr="009F259F">
        <w:rPr>
          <w:sz w:val="16"/>
          <w:szCs w:val="16"/>
        </w:rPr>
        <w:t xml:space="preserve"> Ejemplo: </w:t>
      </w:r>
      <w:hyperlink r:id="rId1" w:history="1">
        <w:r w:rsidR="00E86B6C" w:rsidRPr="009F259F">
          <w:rPr>
            <w:rStyle w:val="Hyperlink"/>
            <w:sz w:val="16"/>
            <w:szCs w:val="16"/>
            <w:u w:val="none"/>
          </w:rPr>
          <w:t>https://iotc.org/sites/default/files/documents/2025/04/IOTC-2025-CoC22-03_Rev2_E_-_Summary_Report_on_the_level_of_Compliance.pdf</w:t>
        </w:r>
      </w:hyperlink>
      <w:r w:rsidRPr="009F259F">
        <w:rPr>
          <w:sz w:val="16"/>
          <w:szCs w:val="16"/>
        </w:rPr>
        <w:t xml:space="preserve">  </w:t>
      </w:r>
    </w:p>
  </w:footnote>
  <w:footnote w:id="3">
    <w:p w14:paraId="6363ED53" w14:textId="77777777" w:rsidR="00E86B6C" w:rsidRPr="009F259F" w:rsidRDefault="004E031D">
      <w:pPr>
        <w:pStyle w:val="FootnoteText"/>
        <w:rPr>
          <w:sz w:val="16"/>
          <w:szCs w:val="16"/>
        </w:rPr>
      </w:pPr>
      <w:r w:rsidRPr="009F259F">
        <w:rPr>
          <w:rStyle w:val="FootnoteReference"/>
          <w:sz w:val="16"/>
          <w:szCs w:val="16"/>
        </w:rPr>
        <w:footnoteRef/>
      </w:r>
      <w:r w:rsidRPr="009F259F">
        <w:rPr>
          <w:sz w:val="16"/>
          <w:szCs w:val="16"/>
        </w:rPr>
        <w:t xml:space="preserve"> Ejemplo: </w:t>
      </w:r>
      <w:hyperlink r:id="rId2" w:history="1">
        <w:r w:rsidR="00E86B6C" w:rsidRPr="009F259F">
          <w:rPr>
            <w:rStyle w:val="Hyperlink"/>
            <w:sz w:val="16"/>
            <w:szCs w:val="16"/>
            <w:u w:val="none"/>
          </w:rPr>
          <w:t>https://www.sprfmo.int/assets/Meetings/03-CTC/12th-CTC-2025/Meeting-Documents/CTC12-Doc08-Implementation-Report-Inspections-a.pdf</w:t>
        </w:r>
      </w:hyperlink>
    </w:p>
  </w:footnote>
  <w:footnote w:id="4">
    <w:p w14:paraId="0B94810B" w14:textId="77777777" w:rsidR="00E86B6C" w:rsidRPr="002D6FDA" w:rsidRDefault="004E031D">
      <w:pPr>
        <w:pStyle w:val="FootnoteText"/>
        <w:rPr>
          <w:sz w:val="16"/>
          <w:szCs w:val="16"/>
        </w:rPr>
      </w:pPr>
      <w:r w:rsidRPr="009F259F">
        <w:rPr>
          <w:rStyle w:val="FootnoteReference"/>
          <w:sz w:val="16"/>
          <w:szCs w:val="16"/>
        </w:rPr>
        <w:footnoteRef/>
      </w:r>
      <w:r w:rsidRPr="009F259F">
        <w:rPr>
          <w:sz w:val="16"/>
          <w:szCs w:val="16"/>
        </w:rPr>
        <w:t xml:space="preserve"> Ejemplo: </w:t>
      </w:r>
      <w:hyperlink r:id="rId3" w:history="1">
        <w:r w:rsidR="00E86B6C" w:rsidRPr="009F259F">
          <w:rPr>
            <w:rStyle w:val="Hyperlink"/>
            <w:sz w:val="16"/>
            <w:szCs w:val="16"/>
            <w:u w:val="none"/>
          </w:rPr>
          <w:t>https://iotc.org/sites/default/files/documents/2025/03/IOTC-2025-CoC22-10_E_-_Compliance_Support_Activities.pdf</w:t>
        </w:r>
      </w:hyperlink>
      <w:r w:rsidRPr="009F259F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5590" w14:textId="3079E198" w:rsidR="00253B44" w:rsidRPr="00EB3CAC" w:rsidRDefault="00253B44" w:rsidP="00253B44">
    <w:pPr>
      <w:tabs>
        <w:tab w:val="left" w:pos="7320"/>
      </w:tabs>
      <w:spacing w:after="0" w:line="240" w:lineRule="auto"/>
      <w:jc w:val="right"/>
      <w:rPr>
        <w:b/>
        <w:bCs/>
        <w:sz w:val="20"/>
        <w:szCs w:val="20"/>
        <w:lang w:val="es-ES"/>
      </w:rPr>
    </w:pPr>
    <w:r>
      <w:rPr>
        <w:b/>
        <w:bCs/>
        <w:sz w:val="20"/>
        <w:szCs w:val="20"/>
        <w:lang w:val="es-ES"/>
      </w:rPr>
      <w:t>COC_323</w:t>
    </w:r>
    <w:r w:rsidR="00EF64EE">
      <w:rPr>
        <w:b/>
        <w:bCs/>
        <w:sz w:val="20"/>
        <w:szCs w:val="20"/>
        <w:lang w:val="es-ES"/>
      </w:rPr>
      <w:t>A</w:t>
    </w:r>
    <w:r w:rsidRPr="00EB3CAC">
      <w:rPr>
        <w:b/>
        <w:bCs/>
        <w:sz w:val="20"/>
        <w:szCs w:val="20"/>
        <w:lang w:val="es-ES"/>
      </w:rPr>
      <w:t>/2025</w:t>
    </w:r>
  </w:p>
  <w:p w14:paraId="3E508E8D" w14:textId="401D255D" w:rsidR="00E86B6C" w:rsidRDefault="00253B44" w:rsidP="00253B44">
    <w:pPr>
      <w:tabs>
        <w:tab w:val="left" w:pos="7320"/>
      </w:tabs>
      <w:spacing w:after="0" w:line="240" w:lineRule="auto"/>
      <w:jc w:val="right"/>
    </w:pPr>
    <w:r>
      <w:rPr>
        <w:b/>
        <w:bCs/>
        <w:sz w:val="16"/>
        <w:szCs w:val="16"/>
        <w:lang w:val="es-ES"/>
      </w:rPr>
      <w:fldChar w:fldCharType="begin"/>
    </w:r>
    <w:r>
      <w:rPr>
        <w:b/>
        <w:bCs/>
        <w:sz w:val="16"/>
        <w:szCs w:val="16"/>
        <w:lang w:val="es-ES"/>
      </w:rPr>
      <w:instrText xml:space="preserve"> TIME \@ "dd/MM/yyyy H:mm" </w:instrText>
    </w:r>
    <w:r>
      <w:rPr>
        <w:b/>
        <w:bCs/>
        <w:sz w:val="16"/>
        <w:szCs w:val="16"/>
        <w:lang w:val="es-ES"/>
      </w:rPr>
      <w:fldChar w:fldCharType="separate"/>
    </w:r>
    <w:r w:rsidR="00EF64EE">
      <w:rPr>
        <w:b/>
        <w:bCs/>
        <w:noProof/>
        <w:sz w:val="16"/>
        <w:szCs w:val="16"/>
        <w:lang w:val="es-ES"/>
      </w:rPr>
      <w:t>20/11/2025 8:49</w:t>
    </w:r>
    <w:r>
      <w:rPr>
        <w:b/>
        <w:bCs/>
        <w:sz w:val="16"/>
        <w:szCs w:val="16"/>
        <w:lang w:val="es-E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B257C5"/>
    <w:multiLevelType w:val="hybridMultilevel"/>
    <w:tmpl w:val="C0E0D5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15415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749EA"/>
    <w:multiLevelType w:val="hybridMultilevel"/>
    <w:tmpl w:val="BB10E1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6D68"/>
    <w:multiLevelType w:val="hybridMultilevel"/>
    <w:tmpl w:val="4A54FD90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0B56"/>
    <w:multiLevelType w:val="hybridMultilevel"/>
    <w:tmpl w:val="467C7B76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B3FFC"/>
    <w:multiLevelType w:val="hybridMultilevel"/>
    <w:tmpl w:val="B246A09A"/>
    <w:lvl w:ilvl="0" w:tplc="BF7A5620">
      <w:numFmt w:val="none"/>
      <w:lvlText w:val=""/>
      <w:lvlJc w:val="left"/>
      <w:pPr>
        <w:tabs>
          <w:tab w:val="num" w:pos="360"/>
        </w:tabs>
      </w:pPr>
    </w:lvl>
    <w:lvl w:ilvl="1" w:tplc="5ADC4664">
      <w:start w:val="1"/>
      <w:numFmt w:val="lowerLetter"/>
      <w:lvlText w:val="%2."/>
      <w:lvlJc w:val="left"/>
      <w:pPr>
        <w:ind w:left="1440" w:hanging="360"/>
      </w:pPr>
    </w:lvl>
    <w:lvl w:ilvl="2" w:tplc="DE0C1C4E">
      <w:start w:val="1"/>
      <w:numFmt w:val="lowerRoman"/>
      <w:lvlText w:val="%3."/>
      <w:lvlJc w:val="right"/>
      <w:pPr>
        <w:ind w:left="2160" w:hanging="180"/>
      </w:pPr>
    </w:lvl>
    <w:lvl w:ilvl="3" w:tplc="48A8DE5A">
      <w:start w:val="1"/>
      <w:numFmt w:val="decimal"/>
      <w:lvlText w:val="%4."/>
      <w:lvlJc w:val="left"/>
      <w:pPr>
        <w:ind w:left="2880" w:hanging="360"/>
      </w:pPr>
    </w:lvl>
    <w:lvl w:ilvl="4" w:tplc="D24086DC">
      <w:start w:val="1"/>
      <w:numFmt w:val="lowerLetter"/>
      <w:lvlText w:val="%5."/>
      <w:lvlJc w:val="left"/>
      <w:pPr>
        <w:ind w:left="3600" w:hanging="360"/>
      </w:pPr>
    </w:lvl>
    <w:lvl w:ilvl="5" w:tplc="17FA387C">
      <w:start w:val="1"/>
      <w:numFmt w:val="lowerRoman"/>
      <w:lvlText w:val="%6."/>
      <w:lvlJc w:val="right"/>
      <w:pPr>
        <w:ind w:left="4320" w:hanging="180"/>
      </w:pPr>
    </w:lvl>
    <w:lvl w:ilvl="6" w:tplc="3E9073A4">
      <w:start w:val="1"/>
      <w:numFmt w:val="decimal"/>
      <w:lvlText w:val="%7."/>
      <w:lvlJc w:val="left"/>
      <w:pPr>
        <w:ind w:left="5040" w:hanging="360"/>
      </w:pPr>
    </w:lvl>
    <w:lvl w:ilvl="7" w:tplc="EB0819E6">
      <w:start w:val="1"/>
      <w:numFmt w:val="lowerLetter"/>
      <w:lvlText w:val="%8."/>
      <w:lvlJc w:val="left"/>
      <w:pPr>
        <w:ind w:left="5760" w:hanging="360"/>
      </w:pPr>
    </w:lvl>
    <w:lvl w:ilvl="8" w:tplc="D696BDC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95A71"/>
    <w:multiLevelType w:val="hybridMultilevel"/>
    <w:tmpl w:val="302EB84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BE63DB"/>
    <w:multiLevelType w:val="hybridMultilevel"/>
    <w:tmpl w:val="4E52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F283A"/>
    <w:multiLevelType w:val="hybridMultilevel"/>
    <w:tmpl w:val="383251E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94BC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FE795"/>
    <w:multiLevelType w:val="hybridMultilevel"/>
    <w:tmpl w:val="569057E2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9F46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263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C0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84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6A9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D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29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6D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057F9"/>
    <w:multiLevelType w:val="hybridMultilevel"/>
    <w:tmpl w:val="225ED618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74AC3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E542D"/>
    <w:multiLevelType w:val="hybridMultilevel"/>
    <w:tmpl w:val="D5F0D916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13A49"/>
    <w:multiLevelType w:val="hybridMultilevel"/>
    <w:tmpl w:val="23DE4C70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5423E"/>
    <w:multiLevelType w:val="multilevel"/>
    <w:tmpl w:val="AE6E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E5D00"/>
    <w:multiLevelType w:val="hybridMultilevel"/>
    <w:tmpl w:val="04E061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56971">
    <w:abstractNumId w:val="11"/>
  </w:num>
  <w:num w:numId="2" w16cid:durableId="471557658">
    <w:abstractNumId w:val="15"/>
  </w:num>
  <w:num w:numId="3" w16cid:durableId="1294484204">
    <w:abstractNumId w:val="5"/>
  </w:num>
  <w:num w:numId="4" w16cid:durableId="1159006479">
    <w:abstractNumId w:val="3"/>
  </w:num>
  <w:num w:numId="5" w16cid:durableId="1328363048">
    <w:abstractNumId w:val="2"/>
  </w:num>
  <w:num w:numId="6" w16cid:durableId="492792355">
    <w:abstractNumId w:val="4"/>
  </w:num>
  <w:num w:numId="7" w16cid:durableId="1874951199">
    <w:abstractNumId w:val="1"/>
  </w:num>
  <w:num w:numId="8" w16cid:durableId="1557011029">
    <w:abstractNumId w:val="0"/>
  </w:num>
  <w:num w:numId="9" w16cid:durableId="60561404">
    <w:abstractNumId w:val="19"/>
  </w:num>
  <w:num w:numId="10" w16cid:durableId="2120684636">
    <w:abstractNumId w:val="12"/>
  </w:num>
  <w:num w:numId="11" w16cid:durableId="306395705">
    <w:abstractNumId w:val="16"/>
  </w:num>
  <w:num w:numId="12" w16cid:durableId="383217107">
    <w:abstractNumId w:val="8"/>
  </w:num>
  <w:num w:numId="13" w16cid:durableId="813644096">
    <w:abstractNumId w:val="20"/>
  </w:num>
  <w:num w:numId="14" w16cid:durableId="1080980924">
    <w:abstractNumId w:val="7"/>
  </w:num>
  <w:num w:numId="15" w16cid:durableId="628049777">
    <w:abstractNumId w:val="6"/>
  </w:num>
  <w:num w:numId="16" w16cid:durableId="654988890">
    <w:abstractNumId w:val="17"/>
  </w:num>
  <w:num w:numId="17" w16cid:durableId="380373130">
    <w:abstractNumId w:val="13"/>
  </w:num>
  <w:num w:numId="18" w16cid:durableId="76904930">
    <w:abstractNumId w:val="10"/>
  </w:num>
  <w:num w:numId="19" w16cid:durableId="16279572">
    <w:abstractNumId w:val="9"/>
  </w:num>
  <w:num w:numId="20" w16cid:durableId="866677110">
    <w:abstractNumId w:val="18"/>
  </w:num>
  <w:num w:numId="21" w16cid:durableId="180507716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948"/>
    <w:rsid w:val="00004732"/>
    <w:rsid w:val="00007372"/>
    <w:rsid w:val="00007A31"/>
    <w:rsid w:val="00012944"/>
    <w:rsid w:val="000141EB"/>
    <w:rsid w:val="00016028"/>
    <w:rsid w:val="000176CC"/>
    <w:rsid w:val="00020736"/>
    <w:rsid w:val="000213D3"/>
    <w:rsid w:val="00022365"/>
    <w:rsid w:val="00024AEB"/>
    <w:rsid w:val="00024EFC"/>
    <w:rsid w:val="000265DD"/>
    <w:rsid w:val="0002759C"/>
    <w:rsid w:val="00030985"/>
    <w:rsid w:val="00031909"/>
    <w:rsid w:val="00034616"/>
    <w:rsid w:val="000440DA"/>
    <w:rsid w:val="000445BA"/>
    <w:rsid w:val="00045941"/>
    <w:rsid w:val="00047D27"/>
    <w:rsid w:val="00052A6D"/>
    <w:rsid w:val="000560B7"/>
    <w:rsid w:val="0006063C"/>
    <w:rsid w:val="000611CD"/>
    <w:rsid w:val="00063A6F"/>
    <w:rsid w:val="00065A22"/>
    <w:rsid w:val="00075054"/>
    <w:rsid w:val="000778F4"/>
    <w:rsid w:val="00080672"/>
    <w:rsid w:val="000870F3"/>
    <w:rsid w:val="00092A0F"/>
    <w:rsid w:val="00097878"/>
    <w:rsid w:val="000A4E00"/>
    <w:rsid w:val="000A6FEC"/>
    <w:rsid w:val="000A7AF6"/>
    <w:rsid w:val="000B1575"/>
    <w:rsid w:val="000B3381"/>
    <w:rsid w:val="000B6185"/>
    <w:rsid w:val="000D46CB"/>
    <w:rsid w:val="000D4F53"/>
    <w:rsid w:val="000D50E4"/>
    <w:rsid w:val="000E4738"/>
    <w:rsid w:val="000F2928"/>
    <w:rsid w:val="000F6B94"/>
    <w:rsid w:val="00100696"/>
    <w:rsid w:val="001010F6"/>
    <w:rsid w:val="0010411E"/>
    <w:rsid w:val="0010502A"/>
    <w:rsid w:val="00110D6A"/>
    <w:rsid w:val="00115517"/>
    <w:rsid w:val="00117AD5"/>
    <w:rsid w:val="001205BC"/>
    <w:rsid w:val="00120A6E"/>
    <w:rsid w:val="00120B40"/>
    <w:rsid w:val="00121759"/>
    <w:rsid w:val="001232D7"/>
    <w:rsid w:val="00126156"/>
    <w:rsid w:val="001262F5"/>
    <w:rsid w:val="00126C44"/>
    <w:rsid w:val="00131A9B"/>
    <w:rsid w:val="001357C0"/>
    <w:rsid w:val="00135AA4"/>
    <w:rsid w:val="00136E7B"/>
    <w:rsid w:val="00141B93"/>
    <w:rsid w:val="00147ADF"/>
    <w:rsid w:val="00147BDE"/>
    <w:rsid w:val="0015074B"/>
    <w:rsid w:val="00152D33"/>
    <w:rsid w:val="001547E5"/>
    <w:rsid w:val="0015531F"/>
    <w:rsid w:val="001647CB"/>
    <w:rsid w:val="0016674C"/>
    <w:rsid w:val="0017354B"/>
    <w:rsid w:val="00184693"/>
    <w:rsid w:val="0018698C"/>
    <w:rsid w:val="0018771E"/>
    <w:rsid w:val="00190D19"/>
    <w:rsid w:val="00191411"/>
    <w:rsid w:val="00196079"/>
    <w:rsid w:val="001A0DF3"/>
    <w:rsid w:val="001A0F41"/>
    <w:rsid w:val="001A1CE3"/>
    <w:rsid w:val="001A59D0"/>
    <w:rsid w:val="001A782C"/>
    <w:rsid w:val="001B176A"/>
    <w:rsid w:val="001B19E8"/>
    <w:rsid w:val="001B1E1B"/>
    <w:rsid w:val="001B4EA4"/>
    <w:rsid w:val="001B5DDB"/>
    <w:rsid w:val="001C1B4A"/>
    <w:rsid w:val="001C514A"/>
    <w:rsid w:val="001D0761"/>
    <w:rsid w:val="001D2F84"/>
    <w:rsid w:val="001E1478"/>
    <w:rsid w:val="001E5F5E"/>
    <w:rsid w:val="001E6D90"/>
    <w:rsid w:val="00204E3D"/>
    <w:rsid w:val="00205AA1"/>
    <w:rsid w:val="00205B0F"/>
    <w:rsid w:val="00212192"/>
    <w:rsid w:val="002213EC"/>
    <w:rsid w:val="00223635"/>
    <w:rsid w:val="00223A49"/>
    <w:rsid w:val="002302E3"/>
    <w:rsid w:val="00232ADF"/>
    <w:rsid w:val="0024175E"/>
    <w:rsid w:val="00241895"/>
    <w:rsid w:val="00245BE1"/>
    <w:rsid w:val="00251BCD"/>
    <w:rsid w:val="00253B44"/>
    <w:rsid w:val="00262187"/>
    <w:rsid w:val="00266649"/>
    <w:rsid w:val="00274313"/>
    <w:rsid w:val="0027445C"/>
    <w:rsid w:val="00275FAD"/>
    <w:rsid w:val="00276E4F"/>
    <w:rsid w:val="0028092B"/>
    <w:rsid w:val="00283909"/>
    <w:rsid w:val="00285200"/>
    <w:rsid w:val="00286A1B"/>
    <w:rsid w:val="00287D67"/>
    <w:rsid w:val="00292C0F"/>
    <w:rsid w:val="0029510F"/>
    <w:rsid w:val="0029639D"/>
    <w:rsid w:val="002979DF"/>
    <w:rsid w:val="00297B29"/>
    <w:rsid w:val="002A15CA"/>
    <w:rsid w:val="002A466C"/>
    <w:rsid w:val="002A793F"/>
    <w:rsid w:val="002A7A5F"/>
    <w:rsid w:val="002B32AC"/>
    <w:rsid w:val="002B360E"/>
    <w:rsid w:val="002B3F7C"/>
    <w:rsid w:val="002C119E"/>
    <w:rsid w:val="002C7821"/>
    <w:rsid w:val="002D28C9"/>
    <w:rsid w:val="002D4CCD"/>
    <w:rsid w:val="002D6FDA"/>
    <w:rsid w:val="002E05B4"/>
    <w:rsid w:val="002E07BD"/>
    <w:rsid w:val="002E5A05"/>
    <w:rsid w:val="002E7F68"/>
    <w:rsid w:val="002F071F"/>
    <w:rsid w:val="002F22FE"/>
    <w:rsid w:val="002F2BFA"/>
    <w:rsid w:val="002F7824"/>
    <w:rsid w:val="0030050A"/>
    <w:rsid w:val="003017C9"/>
    <w:rsid w:val="00302F1B"/>
    <w:rsid w:val="0030627B"/>
    <w:rsid w:val="00307762"/>
    <w:rsid w:val="00310C3B"/>
    <w:rsid w:val="00314DFF"/>
    <w:rsid w:val="00321218"/>
    <w:rsid w:val="00323695"/>
    <w:rsid w:val="003242BD"/>
    <w:rsid w:val="003262D2"/>
    <w:rsid w:val="00326F90"/>
    <w:rsid w:val="0033093E"/>
    <w:rsid w:val="00335312"/>
    <w:rsid w:val="0033667C"/>
    <w:rsid w:val="003434BF"/>
    <w:rsid w:val="003542B6"/>
    <w:rsid w:val="00360438"/>
    <w:rsid w:val="00360C23"/>
    <w:rsid w:val="00362341"/>
    <w:rsid w:val="0036329E"/>
    <w:rsid w:val="00367E92"/>
    <w:rsid w:val="00380512"/>
    <w:rsid w:val="003810F9"/>
    <w:rsid w:val="00383959"/>
    <w:rsid w:val="00383CBA"/>
    <w:rsid w:val="00386AFE"/>
    <w:rsid w:val="00386D1F"/>
    <w:rsid w:val="003917B4"/>
    <w:rsid w:val="00394C31"/>
    <w:rsid w:val="003A375D"/>
    <w:rsid w:val="003A6943"/>
    <w:rsid w:val="003A7391"/>
    <w:rsid w:val="003B024C"/>
    <w:rsid w:val="003B50FA"/>
    <w:rsid w:val="003C7EFF"/>
    <w:rsid w:val="003D30DE"/>
    <w:rsid w:val="003D5F84"/>
    <w:rsid w:val="003D7A0F"/>
    <w:rsid w:val="003E58DB"/>
    <w:rsid w:val="003E5E3D"/>
    <w:rsid w:val="003E7B07"/>
    <w:rsid w:val="003F2F6B"/>
    <w:rsid w:val="003F5CE5"/>
    <w:rsid w:val="00404A6A"/>
    <w:rsid w:val="004057E5"/>
    <w:rsid w:val="00410715"/>
    <w:rsid w:val="00411DEA"/>
    <w:rsid w:val="00416C48"/>
    <w:rsid w:val="00420D92"/>
    <w:rsid w:val="004305A0"/>
    <w:rsid w:val="00430EED"/>
    <w:rsid w:val="00432203"/>
    <w:rsid w:val="00432650"/>
    <w:rsid w:val="00435CF2"/>
    <w:rsid w:val="00440DED"/>
    <w:rsid w:val="00450772"/>
    <w:rsid w:val="004525F4"/>
    <w:rsid w:val="004545FF"/>
    <w:rsid w:val="00456B5F"/>
    <w:rsid w:val="004576D8"/>
    <w:rsid w:val="0045780E"/>
    <w:rsid w:val="0046093F"/>
    <w:rsid w:val="00463E88"/>
    <w:rsid w:val="00464ABC"/>
    <w:rsid w:val="004731EF"/>
    <w:rsid w:val="00473822"/>
    <w:rsid w:val="00482CED"/>
    <w:rsid w:val="00485B35"/>
    <w:rsid w:val="00487FCA"/>
    <w:rsid w:val="00493FB4"/>
    <w:rsid w:val="004A0A62"/>
    <w:rsid w:val="004A18E4"/>
    <w:rsid w:val="004A2B54"/>
    <w:rsid w:val="004A3226"/>
    <w:rsid w:val="004A63EC"/>
    <w:rsid w:val="004B4149"/>
    <w:rsid w:val="004B5BE7"/>
    <w:rsid w:val="004C1ABB"/>
    <w:rsid w:val="004D011E"/>
    <w:rsid w:val="004D0CD4"/>
    <w:rsid w:val="004D1ED8"/>
    <w:rsid w:val="004D2847"/>
    <w:rsid w:val="004D3236"/>
    <w:rsid w:val="004D4D60"/>
    <w:rsid w:val="004E031D"/>
    <w:rsid w:val="004E10CE"/>
    <w:rsid w:val="004E618D"/>
    <w:rsid w:val="004E69C8"/>
    <w:rsid w:val="004F014F"/>
    <w:rsid w:val="004F2310"/>
    <w:rsid w:val="004F652E"/>
    <w:rsid w:val="004F6645"/>
    <w:rsid w:val="004F71B3"/>
    <w:rsid w:val="005038B2"/>
    <w:rsid w:val="00505140"/>
    <w:rsid w:val="00510FDB"/>
    <w:rsid w:val="00512D7D"/>
    <w:rsid w:val="00513CBE"/>
    <w:rsid w:val="00514AAC"/>
    <w:rsid w:val="00517150"/>
    <w:rsid w:val="00522466"/>
    <w:rsid w:val="00525498"/>
    <w:rsid w:val="00525C99"/>
    <w:rsid w:val="00536379"/>
    <w:rsid w:val="005373A2"/>
    <w:rsid w:val="00541A05"/>
    <w:rsid w:val="00543F60"/>
    <w:rsid w:val="0055525B"/>
    <w:rsid w:val="00560B18"/>
    <w:rsid w:val="00561927"/>
    <w:rsid w:val="00564657"/>
    <w:rsid w:val="00571BB1"/>
    <w:rsid w:val="00573B60"/>
    <w:rsid w:val="0057502E"/>
    <w:rsid w:val="005779F0"/>
    <w:rsid w:val="00581EF9"/>
    <w:rsid w:val="0058604C"/>
    <w:rsid w:val="00590D53"/>
    <w:rsid w:val="00590DA3"/>
    <w:rsid w:val="00595CC7"/>
    <w:rsid w:val="005A1174"/>
    <w:rsid w:val="005A2BAB"/>
    <w:rsid w:val="005A3CCB"/>
    <w:rsid w:val="005A49B5"/>
    <w:rsid w:val="005A7A05"/>
    <w:rsid w:val="005B7798"/>
    <w:rsid w:val="005B79AB"/>
    <w:rsid w:val="005C1829"/>
    <w:rsid w:val="005C1A2F"/>
    <w:rsid w:val="005C2AC6"/>
    <w:rsid w:val="005C2C44"/>
    <w:rsid w:val="005C3273"/>
    <w:rsid w:val="005C3CCD"/>
    <w:rsid w:val="005C7509"/>
    <w:rsid w:val="005D1FC5"/>
    <w:rsid w:val="005D20B7"/>
    <w:rsid w:val="005E0536"/>
    <w:rsid w:val="005E1B01"/>
    <w:rsid w:val="005E5CBC"/>
    <w:rsid w:val="005E5DA1"/>
    <w:rsid w:val="005E7A83"/>
    <w:rsid w:val="005F3009"/>
    <w:rsid w:val="005F3F70"/>
    <w:rsid w:val="005F409C"/>
    <w:rsid w:val="005F5302"/>
    <w:rsid w:val="005F6AB8"/>
    <w:rsid w:val="005F7314"/>
    <w:rsid w:val="005F7DA5"/>
    <w:rsid w:val="0060228A"/>
    <w:rsid w:val="00611D1F"/>
    <w:rsid w:val="0061540A"/>
    <w:rsid w:val="00615BAE"/>
    <w:rsid w:val="0062186E"/>
    <w:rsid w:val="00622090"/>
    <w:rsid w:val="00623E71"/>
    <w:rsid w:val="006259AD"/>
    <w:rsid w:val="006265EA"/>
    <w:rsid w:val="0062774A"/>
    <w:rsid w:val="00630050"/>
    <w:rsid w:val="0063029E"/>
    <w:rsid w:val="00630BD6"/>
    <w:rsid w:val="006332CC"/>
    <w:rsid w:val="006341F1"/>
    <w:rsid w:val="0063799C"/>
    <w:rsid w:val="00637D88"/>
    <w:rsid w:val="00641A4D"/>
    <w:rsid w:val="0065295C"/>
    <w:rsid w:val="00655FDA"/>
    <w:rsid w:val="00661E86"/>
    <w:rsid w:val="00662823"/>
    <w:rsid w:val="006660F1"/>
    <w:rsid w:val="0066716D"/>
    <w:rsid w:val="00667522"/>
    <w:rsid w:val="00667638"/>
    <w:rsid w:val="0067321F"/>
    <w:rsid w:val="006758B4"/>
    <w:rsid w:val="00676E41"/>
    <w:rsid w:val="00677B39"/>
    <w:rsid w:val="00681257"/>
    <w:rsid w:val="006843F3"/>
    <w:rsid w:val="00685BA3"/>
    <w:rsid w:val="0068609C"/>
    <w:rsid w:val="00687FB2"/>
    <w:rsid w:val="00690C13"/>
    <w:rsid w:val="00691C37"/>
    <w:rsid w:val="00692812"/>
    <w:rsid w:val="00692851"/>
    <w:rsid w:val="006A0EDA"/>
    <w:rsid w:val="006A27AA"/>
    <w:rsid w:val="006A4FEE"/>
    <w:rsid w:val="006A5395"/>
    <w:rsid w:val="006A7BFF"/>
    <w:rsid w:val="006B114B"/>
    <w:rsid w:val="006B599E"/>
    <w:rsid w:val="006B654A"/>
    <w:rsid w:val="006C120D"/>
    <w:rsid w:val="006C1588"/>
    <w:rsid w:val="006C18B0"/>
    <w:rsid w:val="006C29FC"/>
    <w:rsid w:val="006C4559"/>
    <w:rsid w:val="006C6159"/>
    <w:rsid w:val="006C6398"/>
    <w:rsid w:val="006D2355"/>
    <w:rsid w:val="006D358F"/>
    <w:rsid w:val="006D7CC1"/>
    <w:rsid w:val="006F2F14"/>
    <w:rsid w:val="006F3273"/>
    <w:rsid w:val="00705313"/>
    <w:rsid w:val="00705DD3"/>
    <w:rsid w:val="00710BBA"/>
    <w:rsid w:val="00712788"/>
    <w:rsid w:val="00712BF8"/>
    <w:rsid w:val="00714184"/>
    <w:rsid w:val="00721246"/>
    <w:rsid w:val="007239E3"/>
    <w:rsid w:val="0072636C"/>
    <w:rsid w:val="007264DA"/>
    <w:rsid w:val="007408DB"/>
    <w:rsid w:val="00745BD5"/>
    <w:rsid w:val="00752626"/>
    <w:rsid w:val="00762B0B"/>
    <w:rsid w:val="00766829"/>
    <w:rsid w:val="007708D1"/>
    <w:rsid w:val="00770DB5"/>
    <w:rsid w:val="00772846"/>
    <w:rsid w:val="007853FD"/>
    <w:rsid w:val="007864B8"/>
    <w:rsid w:val="00791FF0"/>
    <w:rsid w:val="007A6AC7"/>
    <w:rsid w:val="007B5227"/>
    <w:rsid w:val="007B547B"/>
    <w:rsid w:val="007C0F70"/>
    <w:rsid w:val="007C5C51"/>
    <w:rsid w:val="007D27B6"/>
    <w:rsid w:val="007D3E8C"/>
    <w:rsid w:val="007F196A"/>
    <w:rsid w:val="007F472C"/>
    <w:rsid w:val="007F497B"/>
    <w:rsid w:val="007F4A57"/>
    <w:rsid w:val="007F63EC"/>
    <w:rsid w:val="007F6D6D"/>
    <w:rsid w:val="00800F63"/>
    <w:rsid w:val="0080174F"/>
    <w:rsid w:val="00801A42"/>
    <w:rsid w:val="00805258"/>
    <w:rsid w:val="00807424"/>
    <w:rsid w:val="00817A59"/>
    <w:rsid w:val="00823BD3"/>
    <w:rsid w:val="00826781"/>
    <w:rsid w:val="00826D8C"/>
    <w:rsid w:val="0083711E"/>
    <w:rsid w:val="0084482F"/>
    <w:rsid w:val="00847F80"/>
    <w:rsid w:val="00850465"/>
    <w:rsid w:val="00852186"/>
    <w:rsid w:val="00853A29"/>
    <w:rsid w:val="00861511"/>
    <w:rsid w:val="00864F70"/>
    <w:rsid w:val="00867A22"/>
    <w:rsid w:val="00867D3D"/>
    <w:rsid w:val="00870332"/>
    <w:rsid w:val="008742C8"/>
    <w:rsid w:val="00874B18"/>
    <w:rsid w:val="008817EF"/>
    <w:rsid w:val="00886DC4"/>
    <w:rsid w:val="008B514B"/>
    <w:rsid w:val="008B51D0"/>
    <w:rsid w:val="008B6EB2"/>
    <w:rsid w:val="008C0BE1"/>
    <w:rsid w:val="008C2A43"/>
    <w:rsid w:val="008D022D"/>
    <w:rsid w:val="008D20AD"/>
    <w:rsid w:val="008D3D35"/>
    <w:rsid w:val="008D7CA9"/>
    <w:rsid w:val="008F4487"/>
    <w:rsid w:val="008F6660"/>
    <w:rsid w:val="0091348F"/>
    <w:rsid w:val="00921B14"/>
    <w:rsid w:val="00922CA4"/>
    <w:rsid w:val="009237D3"/>
    <w:rsid w:val="00925AC0"/>
    <w:rsid w:val="00926F89"/>
    <w:rsid w:val="009303D8"/>
    <w:rsid w:val="00934B71"/>
    <w:rsid w:val="00935381"/>
    <w:rsid w:val="0093634C"/>
    <w:rsid w:val="00936BEA"/>
    <w:rsid w:val="00937642"/>
    <w:rsid w:val="009402C0"/>
    <w:rsid w:val="00940625"/>
    <w:rsid w:val="00941AAD"/>
    <w:rsid w:val="00942E92"/>
    <w:rsid w:val="00943CD0"/>
    <w:rsid w:val="009454C7"/>
    <w:rsid w:val="0095551A"/>
    <w:rsid w:val="00956DA5"/>
    <w:rsid w:val="0096594D"/>
    <w:rsid w:val="00965A31"/>
    <w:rsid w:val="00972B3C"/>
    <w:rsid w:val="00977BCB"/>
    <w:rsid w:val="00986D8F"/>
    <w:rsid w:val="00987322"/>
    <w:rsid w:val="00992974"/>
    <w:rsid w:val="00993286"/>
    <w:rsid w:val="00993349"/>
    <w:rsid w:val="0099415E"/>
    <w:rsid w:val="009964C3"/>
    <w:rsid w:val="00997764"/>
    <w:rsid w:val="009B0FA7"/>
    <w:rsid w:val="009B5942"/>
    <w:rsid w:val="009B75C0"/>
    <w:rsid w:val="009C0538"/>
    <w:rsid w:val="009C14E2"/>
    <w:rsid w:val="009C3E87"/>
    <w:rsid w:val="009C447E"/>
    <w:rsid w:val="009C4DF1"/>
    <w:rsid w:val="009C7BFC"/>
    <w:rsid w:val="009D559D"/>
    <w:rsid w:val="009E2991"/>
    <w:rsid w:val="009E2E95"/>
    <w:rsid w:val="009E6296"/>
    <w:rsid w:val="009E7610"/>
    <w:rsid w:val="009F21D3"/>
    <w:rsid w:val="009F259F"/>
    <w:rsid w:val="009F2E06"/>
    <w:rsid w:val="009F41F5"/>
    <w:rsid w:val="009F5749"/>
    <w:rsid w:val="009F66E6"/>
    <w:rsid w:val="00A01A3B"/>
    <w:rsid w:val="00A01E85"/>
    <w:rsid w:val="00A04222"/>
    <w:rsid w:val="00A061DF"/>
    <w:rsid w:val="00A12391"/>
    <w:rsid w:val="00A12515"/>
    <w:rsid w:val="00A21066"/>
    <w:rsid w:val="00A22066"/>
    <w:rsid w:val="00A22F9A"/>
    <w:rsid w:val="00A23BE8"/>
    <w:rsid w:val="00A24072"/>
    <w:rsid w:val="00A30999"/>
    <w:rsid w:val="00A32DF4"/>
    <w:rsid w:val="00A37C23"/>
    <w:rsid w:val="00A42450"/>
    <w:rsid w:val="00A42CBF"/>
    <w:rsid w:val="00A47A85"/>
    <w:rsid w:val="00A47DDE"/>
    <w:rsid w:val="00A5116A"/>
    <w:rsid w:val="00A52E04"/>
    <w:rsid w:val="00A54512"/>
    <w:rsid w:val="00A55037"/>
    <w:rsid w:val="00A56130"/>
    <w:rsid w:val="00A5777C"/>
    <w:rsid w:val="00A61073"/>
    <w:rsid w:val="00A612CD"/>
    <w:rsid w:val="00A66673"/>
    <w:rsid w:val="00A73196"/>
    <w:rsid w:val="00A75D58"/>
    <w:rsid w:val="00A835AF"/>
    <w:rsid w:val="00A84B39"/>
    <w:rsid w:val="00A855D5"/>
    <w:rsid w:val="00A87D62"/>
    <w:rsid w:val="00A955C9"/>
    <w:rsid w:val="00A9683E"/>
    <w:rsid w:val="00A96F9D"/>
    <w:rsid w:val="00AA1D8D"/>
    <w:rsid w:val="00AA5572"/>
    <w:rsid w:val="00AA71A3"/>
    <w:rsid w:val="00AB1D54"/>
    <w:rsid w:val="00AB2412"/>
    <w:rsid w:val="00AB3462"/>
    <w:rsid w:val="00AB725F"/>
    <w:rsid w:val="00AC02FF"/>
    <w:rsid w:val="00AC6D1B"/>
    <w:rsid w:val="00AC6FC2"/>
    <w:rsid w:val="00AC7618"/>
    <w:rsid w:val="00AD42A3"/>
    <w:rsid w:val="00AD6178"/>
    <w:rsid w:val="00AD6ABD"/>
    <w:rsid w:val="00AE1D49"/>
    <w:rsid w:val="00AE258E"/>
    <w:rsid w:val="00AE2BA7"/>
    <w:rsid w:val="00AE2F2C"/>
    <w:rsid w:val="00AE68B6"/>
    <w:rsid w:val="00AF0A56"/>
    <w:rsid w:val="00AF244B"/>
    <w:rsid w:val="00AF3428"/>
    <w:rsid w:val="00AF64DF"/>
    <w:rsid w:val="00B018BB"/>
    <w:rsid w:val="00B0413C"/>
    <w:rsid w:val="00B07A21"/>
    <w:rsid w:val="00B12B38"/>
    <w:rsid w:val="00B14436"/>
    <w:rsid w:val="00B25177"/>
    <w:rsid w:val="00B32298"/>
    <w:rsid w:val="00B32CD2"/>
    <w:rsid w:val="00B35300"/>
    <w:rsid w:val="00B41DB3"/>
    <w:rsid w:val="00B42A04"/>
    <w:rsid w:val="00B47730"/>
    <w:rsid w:val="00B5332E"/>
    <w:rsid w:val="00B5567B"/>
    <w:rsid w:val="00B560A2"/>
    <w:rsid w:val="00B61E41"/>
    <w:rsid w:val="00B64B45"/>
    <w:rsid w:val="00B6596E"/>
    <w:rsid w:val="00B67047"/>
    <w:rsid w:val="00B75D5A"/>
    <w:rsid w:val="00B875BC"/>
    <w:rsid w:val="00B90AFD"/>
    <w:rsid w:val="00B914C0"/>
    <w:rsid w:val="00B93F2C"/>
    <w:rsid w:val="00BA2FF9"/>
    <w:rsid w:val="00BA5F2F"/>
    <w:rsid w:val="00BB0866"/>
    <w:rsid w:val="00BB20CB"/>
    <w:rsid w:val="00BC2771"/>
    <w:rsid w:val="00BC3353"/>
    <w:rsid w:val="00BD22D3"/>
    <w:rsid w:val="00BE1168"/>
    <w:rsid w:val="00BE13F0"/>
    <w:rsid w:val="00BE29FC"/>
    <w:rsid w:val="00BE39F9"/>
    <w:rsid w:val="00BE3AE9"/>
    <w:rsid w:val="00BE569B"/>
    <w:rsid w:val="00BE5869"/>
    <w:rsid w:val="00BF119A"/>
    <w:rsid w:val="00BF164B"/>
    <w:rsid w:val="00BF1983"/>
    <w:rsid w:val="00C0226D"/>
    <w:rsid w:val="00C0480B"/>
    <w:rsid w:val="00C06075"/>
    <w:rsid w:val="00C11505"/>
    <w:rsid w:val="00C12704"/>
    <w:rsid w:val="00C208C1"/>
    <w:rsid w:val="00C21A78"/>
    <w:rsid w:val="00C21AC8"/>
    <w:rsid w:val="00C22808"/>
    <w:rsid w:val="00C3368B"/>
    <w:rsid w:val="00C35106"/>
    <w:rsid w:val="00C37978"/>
    <w:rsid w:val="00C40592"/>
    <w:rsid w:val="00C43E75"/>
    <w:rsid w:val="00C62C11"/>
    <w:rsid w:val="00C6566F"/>
    <w:rsid w:val="00C7379A"/>
    <w:rsid w:val="00C74863"/>
    <w:rsid w:val="00C74D30"/>
    <w:rsid w:val="00C81721"/>
    <w:rsid w:val="00C81ADD"/>
    <w:rsid w:val="00C823CF"/>
    <w:rsid w:val="00C8515A"/>
    <w:rsid w:val="00C912C1"/>
    <w:rsid w:val="00C96C39"/>
    <w:rsid w:val="00CA17DB"/>
    <w:rsid w:val="00CB0664"/>
    <w:rsid w:val="00CB5C67"/>
    <w:rsid w:val="00CB634A"/>
    <w:rsid w:val="00CB7951"/>
    <w:rsid w:val="00CC2AA4"/>
    <w:rsid w:val="00CC5F88"/>
    <w:rsid w:val="00CD0C93"/>
    <w:rsid w:val="00CD3DA5"/>
    <w:rsid w:val="00CD70A3"/>
    <w:rsid w:val="00CD7764"/>
    <w:rsid w:val="00CE147C"/>
    <w:rsid w:val="00CE3535"/>
    <w:rsid w:val="00CE4FA1"/>
    <w:rsid w:val="00CE5CBA"/>
    <w:rsid w:val="00CF0512"/>
    <w:rsid w:val="00CF29AB"/>
    <w:rsid w:val="00D0124C"/>
    <w:rsid w:val="00D04136"/>
    <w:rsid w:val="00D04953"/>
    <w:rsid w:val="00D0538D"/>
    <w:rsid w:val="00D1255C"/>
    <w:rsid w:val="00D16DD2"/>
    <w:rsid w:val="00D22107"/>
    <w:rsid w:val="00D25EF4"/>
    <w:rsid w:val="00D31BF4"/>
    <w:rsid w:val="00D33C52"/>
    <w:rsid w:val="00D35909"/>
    <w:rsid w:val="00D35AED"/>
    <w:rsid w:val="00D43FFC"/>
    <w:rsid w:val="00D45F7A"/>
    <w:rsid w:val="00D50AF2"/>
    <w:rsid w:val="00D5227C"/>
    <w:rsid w:val="00D56771"/>
    <w:rsid w:val="00D603C3"/>
    <w:rsid w:val="00D64C31"/>
    <w:rsid w:val="00D713E2"/>
    <w:rsid w:val="00D74A6E"/>
    <w:rsid w:val="00D77600"/>
    <w:rsid w:val="00D77D2D"/>
    <w:rsid w:val="00D83163"/>
    <w:rsid w:val="00D860FC"/>
    <w:rsid w:val="00D87895"/>
    <w:rsid w:val="00D939A1"/>
    <w:rsid w:val="00D946F2"/>
    <w:rsid w:val="00DA07A4"/>
    <w:rsid w:val="00DA44C3"/>
    <w:rsid w:val="00DC3E80"/>
    <w:rsid w:val="00DC707A"/>
    <w:rsid w:val="00DD351A"/>
    <w:rsid w:val="00DD53E9"/>
    <w:rsid w:val="00DE1130"/>
    <w:rsid w:val="00DE23FE"/>
    <w:rsid w:val="00DE3E15"/>
    <w:rsid w:val="00DE4BF1"/>
    <w:rsid w:val="00DE5485"/>
    <w:rsid w:val="00DE5E9E"/>
    <w:rsid w:val="00DE5F0F"/>
    <w:rsid w:val="00DF561C"/>
    <w:rsid w:val="00E242D9"/>
    <w:rsid w:val="00E26A93"/>
    <w:rsid w:val="00E33147"/>
    <w:rsid w:val="00E34EFE"/>
    <w:rsid w:val="00E438CE"/>
    <w:rsid w:val="00E44987"/>
    <w:rsid w:val="00E45180"/>
    <w:rsid w:val="00E464D4"/>
    <w:rsid w:val="00E47DA5"/>
    <w:rsid w:val="00E56D23"/>
    <w:rsid w:val="00E62F06"/>
    <w:rsid w:val="00E63E13"/>
    <w:rsid w:val="00E66717"/>
    <w:rsid w:val="00E751D8"/>
    <w:rsid w:val="00E75737"/>
    <w:rsid w:val="00E763A4"/>
    <w:rsid w:val="00E8099A"/>
    <w:rsid w:val="00E86B6C"/>
    <w:rsid w:val="00E95A30"/>
    <w:rsid w:val="00EA1544"/>
    <w:rsid w:val="00EA3C67"/>
    <w:rsid w:val="00EA68D7"/>
    <w:rsid w:val="00EB0C06"/>
    <w:rsid w:val="00EB1B8D"/>
    <w:rsid w:val="00EB2E40"/>
    <w:rsid w:val="00EB32F6"/>
    <w:rsid w:val="00EC21EA"/>
    <w:rsid w:val="00EC4D0E"/>
    <w:rsid w:val="00EC6412"/>
    <w:rsid w:val="00ED04A9"/>
    <w:rsid w:val="00ED1A97"/>
    <w:rsid w:val="00ED2963"/>
    <w:rsid w:val="00ED5D6C"/>
    <w:rsid w:val="00EF55F3"/>
    <w:rsid w:val="00EF64EE"/>
    <w:rsid w:val="00EF702C"/>
    <w:rsid w:val="00EF753A"/>
    <w:rsid w:val="00EF7B49"/>
    <w:rsid w:val="00F0185C"/>
    <w:rsid w:val="00F11DA5"/>
    <w:rsid w:val="00F1268B"/>
    <w:rsid w:val="00F14558"/>
    <w:rsid w:val="00F16B05"/>
    <w:rsid w:val="00F2440D"/>
    <w:rsid w:val="00F25840"/>
    <w:rsid w:val="00F434D9"/>
    <w:rsid w:val="00F50BCE"/>
    <w:rsid w:val="00F564C7"/>
    <w:rsid w:val="00F575A4"/>
    <w:rsid w:val="00F63009"/>
    <w:rsid w:val="00F6569D"/>
    <w:rsid w:val="00F67B47"/>
    <w:rsid w:val="00F7298D"/>
    <w:rsid w:val="00F72AC7"/>
    <w:rsid w:val="00F763D0"/>
    <w:rsid w:val="00F80904"/>
    <w:rsid w:val="00F83C16"/>
    <w:rsid w:val="00F868C9"/>
    <w:rsid w:val="00F86AE0"/>
    <w:rsid w:val="00F94040"/>
    <w:rsid w:val="00F96D82"/>
    <w:rsid w:val="00F97E43"/>
    <w:rsid w:val="00FA1776"/>
    <w:rsid w:val="00FA34B3"/>
    <w:rsid w:val="00FA3C7F"/>
    <w:rsid w:val="00FA5FE4"/>
    <w:rsid w:val="00FB0BDE"/>
    <w:rsid w:val="00FB7F34"/>
    <w:rsid w:val="00FC1C68"/>
    <w:rsid w:val="00FC2B75"/>
    <w:rsid w:val="00FC5FC7"/>
    <w:rsid w:val="00FC693F"/>
    <w:rsid w:val="00FD3931"/>
    <w:rsid w:val="00FE10AF"/>
    <w:rsid w:val="00FF0083"/>
    <w:rsid w:val="00FF0354"/>
    <w:rsid w:val="00FF622B"/>
    <w:rsid w:val="01237F6C"/>
    <w:rsid w:val="015FF3A0"/>
    <w:rsid w:val="018FCCCC"/>
    <w:rsid w:val="02552FCC"/>
    <w:rsid w:val="0267F82E"/>
    <w:rsid w:val="030C333F"/>
    <w:rsid w:val="03CF4EF3"/>
    <w:rsid w:val="03CFC304"/>
    <w:rsid w:val="04226E4E"/>
    <w:rsid w:val="0440A083"/>
    <w:rsid w:val="067DF264"/>
    <w:rsid w:val="0865B5C6"/>
    <w:rsid w:val="08821651"/>
    <w:rsid w:val="088D10BB"/>
    <w:rsid w:val="08E28930"/>
    <w:rsid w:val="09721B69"/>
    <w:rsid w:val="09BFBC5E"/>
    <w:rsid w:val="0B35644A"/>
    <w:rsid w:val="0B62F413"/>
    <w:rsid w:val="0BBC3BE4"/>
    <w:rsid w:val="0C32D93C"/>
    <w:rsid w:val="0CAB2234"/>
    <w:rsid w:val="0CDB6508"/>
    <w:rsid w:val="0D9EF497"/>
    <w:rsid w:val="0DC685CE"/>
    <w:rsid w:val="0DECBB30"/>
    <w:rsid w:val="0DFBF21E"/>
    <w:rsid w:val="0F801171"/>
    <w:rsid w:val="105DEC9C"/>
    <w:rsid w:val="1176922B"/>
    <w:rsid w:val="1188CA64"/>
    <w:rsid w:val="11E2A296"/>
    <w:rsid w:val="1219A29A"/>
    <w:rsid w:val="136527F8"/>
    <w:rsid w:val="142D8983"/>
    <w:rsid w:val="1580EAA8"/>
    <w:rsid w:val="15843F24"/>
    <w:rsid w:val="16375C98"/>
    <w:rsid w:val="16F2F74D"/>
    <w:rsid w:val="17CB4F55"/>
    <w:rsid w:val="1941F065"/>
    <w:rsid w:val="19666838"/>
    <w:rsid w:val="1A1405C8"/>
    <w:rsid w:val="1AAE8F57"/>
    <w:rsid w:val="1AC07E33"/>
    <w:rsid w:val="1B408AD8"/>
    <w:rsid w:val="1B7AB49C"/>
    <w:rsid w:val="1CBB620E"/>
    <w:rsid w:val="1CF0015C"/>
    <w:rsid w:val="1E2828B6"/>
    <w:rsid w:val="1E7F84A8"/>
    <w:rsid w:val="1E86D8ED"/>
    <w:rsid w:val="20191EA9"/>
    <w:rsid w:val="2155ECE9"/>
    <w:rsid w:val="23001C2A"/>
    <w:rsid w:val="2306007D"/>
    <w:rsid w:val="2331053C"/>
    <w:rsid w:val="23E2169F"/>
    <w:rsid w:val="2473FCA9"/>
    <w:rsid w:val="2624F67C"/>
    <w:rsid w:val="26BDE933"/>
    <w:rsid w:val="26E3FEED"/>
    <w:rsid w:val="27AF4EBB"/>
    <w:rsid w:val="2A09F753"/>
    <w:rsid w:val="2A8B2250"/>
    <w:rsid w:val="2AF84DB5"/>
    <w:rsid w:val="2C1E1961"/>
    <w:rsid w:val="2CD57F3A"/>
    <w:rsid w:val="2CF95AE7"/>
    <w:rsid w:val="2E4F8A1A"/>
    <w:rsid w:val="2ED161EA"/>
    <w:rsid w:val="2F0E1AA1"/>
    <w:rsid w:val="2F42C63E"/>
    <w:rsid w:val="2FB556F0"/>
    <w:rsid w:val="2FCB013A"/>
    <w:rsid w:val="309896C4"/>
    <w:rsid w:val="313694FE"/>
    <w:rsid w:val="31BCD481"/>
    <w:rsid w:val="32786ED1"/>
    <w:rsid w:val="327EA4C1"/>
    <w:rsid w:val="3352F0C6"/>
    <w:rsid w:val="33E838B3"/>
    <w:rsid w:val="34981EF3"/>
    <w:rsid w:val="34CD1D8B"/>
    <w:rsid w:val="35F76803"/>
    <w:rsid w:val="368B59A3"/>
    <w:rsid w:val="36A125D9"/>
    <w:rsid w:val="3831341F"/>
    <w:rsid w:val="3959D6DC"/>
    <w:rsid w:val="3A0E7634"/>
    <w:rsid w:val="3A5E11AB"/>
    <w:rsid w:val="3AB8D2F4"/>
    <w:rsid w:val="3C4374ED"/>
    <w:rsid w:val="3C5DCA79"/>
    <w:rsid w:val="3CD11480"/>
    <w:rsid w:val="3CD43E7F"/>
    <w:rsid w:val="3F0E0EF7"/>
    <w:rsid w:val="3F1A7FA0"/>
    <w:rsid w:val="3F499845"/>
    <w:rsid w:val="3F6AAC11"/>
    <w:rsid w:val="3FAC652F"/>
    <w:rsid w:val="3FECF960"/>
    <w:rsid w:val="406A8A92"/>
    <w:rsid w:val="406F55FE"/>
    <w:rsid w:val="40EA052E"/>
    <w:rsid w:val="4208E62F"/>
    <w:rsid w:val="42E9F46F"/>
    <w:rsid w:val="4308B630"/>
    <w:rsid w:val="43ABF8AB"/>
    <w:rsid w:val="45572F99"/>
    <w:rsid w:val="45A72261"/>
    <w:rsid w:val="464EEF79"/>
    <w:rsid w:val="46A4929F"/>
    <w:rsid w:val="46A95C51"/>
    <w:rsid w:val="46E1CE7B"/>
    <w:rsid w:val="47351260"/>
    <w:rsid w:val="47845DCA"/>
    <w:rsid w:val="478AF251"/>
    <w:rsid w:val="49EC17D6"/>
    <w:rsid w:val="4AC7C232"/>
    <w:rsid w:val="4AD6AFC0"/>
    <w:rsid w:val="4AF17DC0"/>
    <w:rsid w:val="4B020258"/>
    <w:rsid w:val="4B66FCDF"/>
    <w:rsid w:val="4B880066"/>
    <w:rsid w:val="4B8F1845"/>
    <w:rsid w:val="4B953E30"/>
    <w:rsid w:val="4BA06C9A"/>
    <w:rsid w:val="4D33E31B"/>
    <w:rsid w:val="4D6F273B"/>
    <w:rsid w:val="4E9CACDF"/>
    <w:rsid w:val="4F39F46B"/>
    <w:rsid w:val="4FAED919"/>
    <w:rsid w:val="50BE8572"/>
    <w:rsid w:val="50D2E00D"/>
    <w:rsid w:val="51363B13"/>
    <w:rsid w:val="514A56F3"/>
    <w:rsid w:val="51BB9BC1"/>
    <w:rsid w:val="51C062B4"/>
    <w:rsid w:val="51D02995"/>
    <w:rsid w:val="5230032A"/>
    <w:rsid w:val="5238805A"/>
    <w:rsid w:val="53158E28"/>
    <w:rsid w:val="531C17B1"/>
    <w:rsid w:val="535E3BB1"/>
    <w:rsid w:val="53A29AF7"/>
    <w:rsid w:val="54E4A403"/>
    <w:rsid w:val="561FF3AA"/>
    <w:rsid w:val="5638E197"/>
    <w:rsid w:val="56688263"/>
    <w:rsid w:val="5700FF78"/>
    <w:rsid w:val="574E9B4D"/>
    <w:rsid w:val="57F09826"/>
    <w:rsid w:val="582DF32E"/>
    <w:rsid w:val="5882D6CC"/>
    <w:rsid w:val="58BBAD24"/>
    <w:rsid w:val="59F2CAC3"/>
    <w:rsid w:val="5A142CEE"/>
    <w:rsid w:val="5AC80874"/>
    <w:rsid w:val="5AC88EA7"/>
    <w:rsid w:val="5B4C04BC"/>
    <w:rsid w:val="5BE7DE6B"/>
    <w:rsid w:val="5C644AFD"/>
    <w:rsid w:val="5CE6EB38"/>
    <w:rsid w:val="5D12E995"/>
    <w:rsid w:val="5D408101"/>
    <w:rsid w:val="5DA0BF60"/>
    <w:rsid w:val="5E903307"/>
    <w:rsid w:val="5EA83ED4"/>
    <w:rsid w:val="5F51D40F"/>
    <w:rsid w:val="5F83A214"/>
    <w:rsid w:val="5FC5AAFA"/>
    <w:rsid w:val="6037B405"/>
    <w:rsid w:val="60D3705B"/>
    <w:rsid w:val="6100E2D0"/>
    <w:rsid w:val="61507C78"/>
    <w:rsid w:val="620C9426"/>
    <w:rsid w:val="622E126C"/>
    <w:rsid w:val="627C43F8"/>
    <w:rsid w:val="632E71AA"/>
    <w:rsid w:val="63A63F8E"/>
    <w:rsid w:val="63D244C7"/>
    <w:rsid w:val="6493EC2F"/>
    <w:rsid w:val="65A638DE"/>
    <w:rsid w:val="6669D62C"/>
    <w:rsid w:val="666B698B"/>
    <w:rsid w:val="682631A0"/>
    <w:rsid w:val="68979746"/>
    <w:rsid w:val="699C9226"/>
    <w:rsid w:val="6A421298"/>
    <w:rsid w:val="6A9FA6B5"/>
    <w:rsid w:val="6AB267AB"/>
    <w:rsid w:val="6BA57AE5"/>
    <w:rsid w:val="6C021F2C"/>
    <w:rsid w:val="6C616A96"/>
    <w:rsid w:val="6C75D3F0"/>
    <w:rsid w:val="6D9855F9"/>
    <w:rsid w:val="6D9FB9F5"/>
    <w:rsid w:val="6EE680EA"/>
    <w:rsid w:val="6F1EECCA"/>
    <w:rsid w:val="701F232D"/>
    <w:rsid w:val="707937BB"/>
    <w:rsid w:val="70E753A5"/>
    <w:rsid w:val="7132483C"/>
    <w:rsid w:val="718DFA87"/>
    <w:rsid w:val="71F19A5A"/>
    <w:rsid w:val="723AEFA8"/>
    <w:rsid w:val="7273BD1D"/>
    <w:rsid w:val="72C136B0"/>
    <w:rsid w:val="7316CC65"/>
    <w:rsid w:val="73758413"/>
    <w:rsid w:val="73770B02"/>
    <w:rsid w:val="743165C6"/>
    <w:rsid w:val="74B2607D"/>
    <w:rsid w:val="74CC68E0"/>
    <w:rsid w:val="751158C8"/>
    <w:rsid w:val="7538C578"/>
    <w:rsid w:val="75D0F8B1"/>
    <w:rsid w:val="75E696CC"/>
    <w:rsid w:val="766423AA"/>
    <w:rsid w:val="76EC7729"/>
    <w:rsid w:val="7798330A"/>
    <w:rsid w:val="77E55988"/>
    <w:rsid w:val="79038124"/>
    <w:rsid w:val="79DDEE55"/>
    <w:rsid w:val="7A4D85E0"/>
    <w:rsid w:val="7AE20564"/>
    <w:rsid w:val="7BE8932E"/>
    <w:rsid w:val="7C2940CE"/>
    <w:rsid w:val="7C591747"/>
    <w:rsid w:val="7C59A111"/>
    <w:rsid w:val="7CD80886"/>
    <w:rsid w:val="7D20DB1D"/>
    <w:rsid w:val="7E4BD25E"/>
    <w:rsid w:val="7F288864"/>
    <w:rsid w:val="7F35854F"/>
    <w:rsid w:val="7F46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77C7C"/>
  <w14:defaultImageDpi w14:val="300"/>
  <w15:docId w15:val="{70CE464E-0002-45DA-B1BC-A68D3F2D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1D0"/>
    <w:pPr>
      <w:keepNext/>
      <w:keepLines/>
      <w:spacing w:before="240" w:after="240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51D0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tive">
    <w:name w:val="relative"/>
    <w:basedOn w:val="DefaultParagraphFont"/>
    <w:rsid w:val="003A6943"/>
  </w:style>
  <w:style w:type="paragraph" w:customStyle="1" w:styleId="not-prose">
    <w:name w:val="not-prose"/>
    <w:basedOn w:val="Normal"/>
    <w:rsid w:val="003A6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99"/>
    <w:rsid w:val="006A7B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10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00696"/>
  </w:style>
  <w:style w:type="character" w:customStyle="1" w:styleId="eop">
    <w:name w:val="eop"/>
    <w:basedOn w:val="DefaultParagraphFont"/>
    <w:rsid w:val="00100696"/>
  </w:style>
  <w:style w:type="table" w:styleId="ListTable3-Accent5">
    <w:name w:val="List Table 3 Accent 5"/>
    <w:basedOn w:val="TableNormal"/>
    <w:uiPriority w:val="48"/>
    <w:rsid w:val="007F63E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EF702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67321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08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08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08C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208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7A8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C447E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CD"/>
    <w:rPr>
      <w:b/>
      <w:bCs/>
      <w:sz w:val="20"/>
      <w:szCs w:val="20"/>
    </w:rPr>
  </w:style>
  <w:style w:type="paragraph" w:customStyle="1" w:styleId="P68B1DB1-Heading11">
    <w:name w:val="P68B1DB1-Heading11"/>
    <w:basedOn w:val="Heading1"/>
    <w:rPr>
      <w:rFonts w:ascii="Times New Roman" w:hAnsi="Times New Roman" w:cs="Times New Roman"/>
      <w:sz w:val="32"/>
      <w:szCs w:val="32"/>
    </w:rPr>
  </w:style>
  <w:style w:type="paragraph" w:customStyle="1" w:styleId="P68B1DB1-Heading22">
    <w:name w:val="P68B1DB1-Heading22"/>
    <w:basedOn w:val="Heading2"/>
    <w:rPr>
      <w:b w:val="0"/>
      <w:bCs w:val="0"/>
      <w:sz w:val="24"/>
      <w:szCs w:val="24"/>
    </w:rPr>
  </w:style>
  <w:style w:type="paragraph" w:customStyle="1" w:styleId="P68B1DB1-ListParagraph3">
    <w:name w:val="P68B1DB1-ListParagraph3"/>
    <w:basedOn w:val="ListParagraph"/>
    <w:rPr>
      <w:rFonts w:ascii="Times New Roman" w:eastAsia="Times New Roman" w:hAnsi="Times New Roman" w:cs="Times New Roman"/>
      <w:sz w:val="24"/>
      <w:szCs w:val="24"/>
    </w:rPr>
  </w:style>
  <w:style w:type="paragraph" w:customStyle="1" w:styleId="P68B1DB1-Normal4">
    <w:name w:val="P68B1DB1-Normal4"/>
    <w:basedOn w:val="Normal"/>
    <w:rPr>
      <w:rFonts w:ascii="Times New Roman" w:hAnsi="Times New Roman" w:cs="Times New Roman"/>
      <w:b/>
      <w:sz w:val="24"/>
      <w:szCs w:val="24"/>
    </w:rPr>
  </w:style>
  <w:style w:type="paragraph" w:customStyle="1" w:styleId="P68B1DB1-Normal5">
    <w:name w:val="P68B1DB1-Normal5"/>
    <w:basedOn w:val="Normal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68B1DB1-ListParagraph6">
    <w:name w:val="P68B1DB1-ListParagraph6"/>
    <w:basedOn w:val="ListParagraph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68B1DB1-Normal7">
    <w:name w:val="P68B1DB1-Normal7"/>
    <w:basedOn w:val="Normal"/>
    <w:rPr>
      <w:rFonts w:ascii="Times New Roman" w:eastAsia="Times New Roman" w:hAnsi="Times New Roman" w:cs="Times New Roman"/>
      <w:sz w:val="24"/>
      <w:szCs w:val="24"/>
    </w:rPr>
  </w:style>
  <w:style w:type="paragraph" w:customStyle="1" w:styleId="P68B1DB1-Normal8">
    <w:name w:val="P68B1DB1-Normal8"/>
    <w:basedOn w:val="Normal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ccat.int/Documents/Recs/compendiopdf-s/2000-14-s.pdf" TargetMode="External"/><Relationship Id="rId18" Type="http://schemas.openxmlformats.org/officeDocument/2006/relationships/hyperlink" Target="https://www.iccat.int/Documents/Recs/compendiopdf-s/2011-15-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ccat.int/Documents/Recs/compendiopdf-s/2022-18-s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ccat.int/Documents/Recs/compendiopdf-s/2022-18-s.pdf" TargetMode="External"/><Relationship Id="rId17" Type="http://schemas.openxmlformats.org/officeDocument/2006/relationships/hyperlink" Target="https://www.iccat.int/Documents/Recs/compendiopdf-s/2011-11-s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ccat.int/Documents/Recs/compendiopdf-s/2008-09-s.pdf" TargetMode="External"/><Relationship Id="rId20" Type="http://schemas.openxmlformats.org/officeDocument/2006/relationships/hyperlink" Target="https://www.iccat.int/Documents/Recs/compendiopdf-s/2016-17-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ccat.int/Documents/Recs/compendiopdf-s/2022-18-s.pdf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ccat.int/Documents/Recs/compendiopdf-s/2001-13-s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ccat.int/Documents/Recs/compendiopdf-s/2015-09-s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ccat.int/Documents/Recs/compendiopdf-s/2001-12-s.pdf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otc.org/sites/default/files/documents/2025/03/IOTC-2025-CoC22-10_E_-_Compliance_Support_Activities.pdf" TargetMode="External"/><Relationship Id="rId2" Type="http://schemas.openxmlformats.org/officeDocument/2006/relationships/hyperlink" Target="https://www.sprfmo.int/assets/Meetings/03-CTC/12th-CTC-2025/Meeting-Documents/CTC12-Doc08-Implementation-Report-Inspections-a.pdf" TargetMode="External"/><Relationship Id="rId1" Type="http://schemas.openxmlformats.org/officeDocument/2006/relationships/hyperlink" Target="https://iotc.org/sites/default/files/documents/2025/04/IOTC-2025-CoC22-03_Rev2_E_-_Summary_Report_on_the_level_of_Compli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9f5ee3-6126-495d-84fb-deab44380441">
      <Terms xmlns="http://schemas.microsoft.com/office/infopath/2007/PartnerControls"/>
    </lcf76f155ced4ddcb4097134ff3c332f>
    <TaxCatchAll xmlns="109fe164-c690-497e-a27a-2f9db3c5ef7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F78C904FD5D479F9D99C5899B7D55" ma:contentTypeVersion="18" ma:contentTypeDescription="Create a new document." ma:contentTypeScope="" ma:versionID="fcf7daab4c7946db9108a330e12ae09d">
  <xsd:schema xmlns:xsd="http://www.w3.org/2001/XMLSchema" xmlns:xs="http://www.w3.org/2001/XMLSchema" xmlns:p="http://schemas.microsoft.com/office/2006/metadata/properties" xmlns:ns2="e79f5ee3-6126-495d-84fb-deab44380441" xmlns:ns3="109fe164-c690-497e-a27a-2f9db3c5ef70" targetNamespace="http://schemas.microsoft.com/office/2006/metadata/properties" ma:root="true" ma:fieldsID="4b820f553532dfdfd344da649f6db379" ns2:_="" ns3:_="">
    <xsd:import namespace="e79f5ee3-6126-495d-84fb-deab44380441"/>
    <xsd:import namespace="109fe164-c690-497e-a27a-2f9db3c5e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f5ee3-6126-495d-84fb-deab44380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fe164-c690-497e-a27a-2f9db3c5e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7b1a440-6b9a-40cb-aa19-eb82162fca31}" ma:internalName="TaxCatchAll" ma:showField="CatchAllData" ma:web="109fe164-c690-497e-a27a-2f9db3c5e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1283E-60E1-4259-9BDD-BCFB1ED46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0328D3-7FA0-4C11-9CF0-B7E448AD3C4F}">
  <ds:schemaRefs>
    <ds:schemaRef ds:uri="http://schemas.microsoft.com/office/2006/metadata/properties"/>
    <ds:schemaRef ds:uri="http://schemas.microsoft.com/office/infopath/2007/PartnerControls"/>
    <ds:schemaRef ds:uri="e79f5ee3-6126-495d-84fb-deab44380441"/>
    <ds:schemaRef ds:uri="109fe164-c690-497e-a27a-2f9db3c5ef70"/>
  </ds:schemaRefs>
</ds:datastoreItem>
</file>

<file path=customXml/itemProps4.xml><?xml version="1.0" encoding="utf-8"?>
<ds:datastoreItem xmlns:ds="http://schemas.openxmlformats.org/officeDocument/2006/customXml" ds:itemID="{8A9D17AA-7848-423C-817B-B864983DE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9f5ee3-6126-495d-84fb-deab44380441"/>
    <ds:schemaRef ds:uri="109fe164-c690-497e-a27a-2f9db3c5e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2897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María José García</cp:lastModifiedBy>
  <cp:revision>2</cp:revision>
  <dcterms:created xsi:type="dcterms:W3CDTF">2025-11-20T07:56:00Z</dcterms:created>
  <dcterms:modified xsi:type="dcterms:W3CDTF">2025-11-20T07:56:00Z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2025-09-17T08:30:32Z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4eafa8a7-70b9-4680-9a8b-ce5d8e1c1ab2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  <property fmtid="{D5CDD505-2E9C-101B-9397-08002B2CF9AE}" pid="10" name="ContentTypeId">
    <vt:lpwstr>0x01010017FF78C904FD5D479F9D99C5899B7D55</vt:lpwstr>
  </property>
  <property fmtid="{D5CDD505-2E9C-101B-9397-08002B2CF9AE}" pid="11" name="MediaServiceImageTags">
    <vt:lpwstr/>
  </property>
</Properties>
</file>