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A17E" w14:textId="2573D3BF" w:rsidR="00B74EB4" w:rsidRPr="00262830" w:rsidRDefault="00B74EB4" w:rsidP="00B74EB4">
      <w:pPr>
        <w:pStyle w:val="P68B1DB1-Heading11"/>
        <w:spacing w:before="0" w:line="240" w:lineRule="auto"/>
        <w:jc w:val="right"/>
        <w:rPr>
          <w:rFonts w:asciiTheme="minorHAnsi" w:hAnsiTheme="minorHAnsi"/>
          <w:color w:val="auto"/>
          <w:sz w:val="20"/>
          <w:szCs w:val="20"/>
        </w:rPr>
      </w:pPr>
      <w:r w:rsidRPr="00262830">
        <w:rPr>
          <w:rFonts w:asciiTheme="minorHAnsi" w:hAnsiTheme="minorHAnsi"/>
          <w:color w:val="auto"/>
          <w:sz w:val="20"/>
          <w:szCs w:val="20"/>
        </w:rPr>
        <w:t>Original : anglais</w:t>
      </w:r>
    </w:p>
    <w:p w14:paraId="6A1039FF" w14:textId="77777777" w:rsidR="005460A5" w:rsidRPr="00262830" w:rsidRDefault="005460A5" w:rsidP="00B74EB4">
      <w:pPr>
        <w:pStyle w:val="P68B1DB1-Heading11"/>
        <w:spacing w:before="0" w:line="240" w:lineRule="auto"/>
        <w:jc w:val="both"/>
        <w:rPr>
          <w:rFonts w:asciiTheme="minorHAnsi" w:hAnsiTheme="minorHAnsi"/>
          <w:color w:val="auto"/>
          <w:sz w:val="20"/>
          <w:szCs w:val="20"/>
        </w:rPr>
      </w:pPr>
    </w:p>
    <w:p w14:paraId="58C678CA" w14:textId="18D876E6" w:rsidR="00B74EB4" w:rsidRPr="00262830" w:rsidRDefault="00E078D0" w:rsidP="00B74EB4">
      <w:pPr>
        <w:pStyle w:val="P68B1DB1-Heading11"/>
        <w:spacing w:before="0" w:line="240" w:lineRule="auto"/>
        <w:jc w:val="both"/>
        <w:rPr>
          <w:rFonts w:asciiTheme="minorHAnsi" w:hAnsiTheme="minorHAnsi"/>
          <w:color w:val="auto"/>
          <w:sz w:val="20"/>
          <w:szCs w:val="20"/>
        </w:rPr>
      </w:pPr>
      <w:r w:rsidRPr="00262830">
        <w:rPr>
          <w:rFonts w:asciiTheme="minorHAnsi" w:hAnsiTheme="minorHAnsi"/>
          <w:color w:val="auto"/>
          <w:sz w:val="20"/>
          <w:szCs w:val="20"/>
        </w:rPr>
        <w:t xml:space="preserve">Proposition visant à rationaliser et à renforcer le processus du </w:t>
      </w:r>
      <w:r w:rsidR="00921A0B" w:rsidRPr="00262830">
        <w:rPr>
          <w:rFonts w:asciiTheme="minorHAnsi" w:hAnsiTheme="minorHAnsi"/>
          <w:color w:val="auto"/>
          <w:sz w:val="20"/>
          <w:szCs w:val="20"/>
        </w:rPr>
        <w:t>C</w:t>
      </w:r>
      <w:r w:rsidRPr="00262830">
        <w:rPr>
          <w:rFonts w:asciiTheme="minorHAnsi" w:hAnsiTheme="minorHAnsi"/>
          <w:color w:val="auto"/>
          <w:sz w:val="20"/>
          <w:szCs w:val="20"/>
        </w:rPr>
        <w:t xml:space="preserve">omité d’application de </w:t>
      </w:r>
      <w:r w:rsidR="00585DD3" w:rsidRPr="00262830">
        <w:rPr>
          <w:rFonts w:asciiTheme="minorHAnsi" w:hAnsiTheme="minorHAnsi"/>
          <w:color w:val="auto"/>
          <w:sz w:val="20"/>
          <w:szCs w:val="20"/>
        </w:rPr>
        <w:t>l’ICCAT</w:t>
      </w:r>
      <w:r w:rsidRPr="00262830">
        <w:rPr>
          <w:rFonts w:asciiTheme="minorHAnsi" w:hAnsiTheme="minorHAnsi"/>
          <w:color w:val="auto"/>
          <w:sz w:val="20"/>
          <w:szCs w:val="20"/>
        </w:rPr>
        <w:t xml:space="preserve"> (COC)</w:t>
      </w:r>
    </w:p>
    <w:p w14:paraId="1AC56086" w14:textId="6420B4A9" w:rsidR="00B74EB4" w:rsidRPr="00262830" w:rsidRDefault="00B74EB4" w:rsidP="00B74EB4">
      <w:pPr>
        <w:widowControl w:val="0"/>
        <w:spacing w:after="0" w:line="240" w:lineRule="auto"/>
        <w:jc w:val="center"/>
        <w:rPr>
          <w:rFonts w:eastAsia="Cambria" w:cs="Cambria"/>
          <w:i/>
          <w:sz w:val="20"/>
          <w:szCs w:val="20"/>
        </w:rPr>
      </w:pPr>
      <w:r w:rsidRPr="00262830">
        <w:rPr>
          <w:i/>
          <w:sz w:val="20"/>
          <w:szCs w:val="20"/>
        </w:rPr>
        <w:t xml:space="preserve">(Document présenté </w:t>
      </w:r>
      <w:r w:rsidR="00D86D4B" w:rsidRPr="00262830">
        <w:rPr>
          <w:i/>
          <w:sz w:val="20"/>
          <w:szCs w:val="20"/>
        </w:rPr>
        <w:t>par</w:t>
      </w:r>
      <w:r w:rsidRPr="00262830">
        <w:rPr>
          <w:i/>
          <w:sz w:val="20"/>
          <w:szCs w:val="20"/>
        </w:rPr>
        <w:t xml:space="preserve"> l’Union européenne)</w:t>
      </w:r>
    </w:p>
    <w:p w14:paraId="2380AEFA" w14:textId="77777777" w:rsidR="00B74EB4" w:rsidRPr="00262830" w:rsidRDefault="00B74EB4" w:rsidP="00B74EB4">
      <w:pPr>
        <w:pStyle w:val="P68B1DB1-Heading11"/>
        <w:spacing w:before="0" w:line="240" w:lineRule="auto"/>
        <w:jc w:val="both"/>
        <w:rPr>
          <w:rFonts w:asciiTheme="minorHAnsi" w:hAnsiTheme="minorHAnsi"/>
          <w:color w:val="auto"/>
          <w:sz w:val="20"/>
          <w:szCs w:val="20"/>
        </w:rPr>
      </w:pPr>
    </w:p>
    <w:p w14:paraId="4FD5C7D9" w14:textId="77777777" w:rsidR="00B74EB4" w:rsidRPr="00262830" w:rsidRDefault="00B74EB4" w:rsidP="00B74EB4">
      <w:pPr>
        <w:pStyle w:val="P68B1DB1-Heading11"/>
        <w:spacing w:before="0" w:line="240" w:lineRule="auto"/>
        <w:jc w:val="both"/>
        <w:rPr>
          <w:rFonts w:asciiTheme="minorHAnsi" w:hAnsiTheme="minorHAnsi"/>
          <w:color w:val="auto"/>
          <w:sz w:val="20"/>
          <w:szCs w:val="20"/>
        </w:rPr>
      </w:pPr>
    </w:p>
    <w:p w14:paraId="2538FC4A" w14:textId="0EA7BFB0" w:rsidR="002B6C43" w:rsidRPr="00262830" w:rsidRDefault="00B74EB4" w:rsidP="00B74EB4">
      <w:pPr>
        <w:pStyle w:val="P68B1DB1-Heading11"/>
        <w:tabs>
          <w:tab w:val="left" w:pos="426"/>
        </w:tabs>
        <w:spacing w:before="0" w:line="240" w:lineRule="auto"/>
        <w:jc w:val="both"/>
        <w:rPr>
          <w:rFonts w:asciiTheme="minorHAnsi" w:hAnsiTheme="minorHAnsi"/>
          <w:color w:val="auto"/>
          <w:sz w:val="20"/>
          <w:szCs w:val="20"/>
        </w:rPr>
      </w:pPr>
      <w:r w:rsidRPr="00262830">
        <w:rPr>
          <w:rFonts w:asciiTheme="minorHAnsi" w:hAnsiTheme="minorHAnsi"/>
          <w:color w:val="auto"/>
          <w:sz w:val="20"/>
          <w:szCs w:val="20"/>
        </w:rPr>
        <w:t>1.</w:t>
      </w:r>
      <w:r w:rsidRPr="00262830">
        <w:rPr>
          <w:rFonts w:asciiTheme="minorHAnsi" w:hAnsiTheme="minorHAnsi"/>
          <w:color w:val="auto"/>
          <w:sz w:val="20"/>
          <w:szCs w:val="20"/>
        </w:rPr>
        <w:tab/>
      </w:r>
      <w:r w:rsidR="00E078D0" w:rsidRPr="00262830">
        <w:rPr>
          <w:rFonts w:asciiTheme="minorHAnsi" w:hAnsiTheme="minorHAnsi"/>
          <w:color w:val="auto"/>
          <w:sz w:val="20"/>
          <w:szCs w:val="20"/>
        </w:rPr>
        <w:t>Contexte et objectif d</w:t>
      </w:r>
      <w:r w:rsidR="003A6E0D" w:rsidRPr="00262830">
        <w:rPr>
          <w:rFonts w:asciiTheme="minorHAnsi" w:hAnsiTheme="minorHAnsi"/>
          <w:color w:val="auto"/>
          <w:sz w:val="20"/>
          <w:szCs w:val="20"/>
        </w:rPr>
        <w:t>e</w:t>
      </w:r>
      <w:r w:rsidR="00E078D0" w:rsidRPr="00262830">
        <w:rPr>
          <w:rFonts w:asciiTheme="minorHAnsi" w:hAnsiTheme="minorHAnsi"/>
          <w:color w:val="auto"/>
          <w:sz w:val="20"/>
          <w:szCs w:val="20"/>
        </w:rPr>
        <w:t xml:space="preserve"> </w:t>
      </w:r>
      <w:r w:rsidR="003A6E0D" w:rsidRPr="00262830">
        <w:rPr>
          <w:rFonts w:asciiTheme="minorHAnsi" w:hAnsiTheme="minorHAnsi"/>
          <w:color w:val="auto"/>
          <w:sz w:val="20"/>
          <w:szCs w:val="20"/>
        </w:rPr>
        <w:t>ce</w:t>
      </w:r>
      <w:r w:rsidR="00E078D0" w:rsidRPr="00262830">
        <w:rPr>
          <w:rFonts w:asciiTheme="minorHAnsi" w:hAnsiTheme="minorHAnsi"/>
          <w:color w:val="auto"/>
          <w:sz w:val="20"/>
          <w:szCs w:val="20"/>
        </w:rPr>
        <w:t xml:space="preserve"> document</w:t>
      </w:r>
    </w:p>
    <w:p w14:paraId="325FBCE6" w14:textId="77777777" w:rsidR="00B74EB4" w:rsidRPr="00262830" w:rsidRDefault="00B74EB4">
      <w:pPr>
        <w:pStyle w:val="NormalWeb"/>
        <w:spacing w:before="0" w:beforeAutospacing="0" w:after="120" w:afterAutospacing="0"/>
        <w:jc w:val="both"/>
        <w:rPr>
          <w:rFonts w:asciiTheme="minorHAnsi" w:hAnsiTheme="minorHAnsi"/>
          <w:sz w:val="20"/>
          <w:szCs w:val="20"/>
        </w:rPr>
      </w:pPr>
    </w:p>
    <w:p w14:paraId="2211DCA0" w14:textId="2743AF44" w:rsidR="002B6C43" w:rsidRPr="00262830" w:rsidRDefault="00E078D0" w:rsidP="00B74EB4">
      <w:pPr>
        <w:pStyle w:val="NormalWeb"/>
        <w:spacing w:before="0" w:beforeAutospacing="0" w:after="0" w:afterAutospacing="0"/>
        <w:jc w:val="both"/>
        <w:rPr>
          <w:rFonts w:asciiTheme="minorHAnsi" w:hAnsiTheme="minorHAnsi"/>
          <w:sz w:val="20"/>
          <w:szCs w:val="20"/>
        </w:rPr>
      </w:pPr>
      <w:r w:rsidRPr="00262830">
        <w:rPr>
          <w:rFonts w:asciiTheme="minorHAnsi" w:hAnsiTheme="minorHAnsi"/>
          <w:sz w:val="20"/>
          <w:szCs w:val="20"/>
        </w:rPr>
        <w:t xml:space="preserve">Lors de la réunion annuelle de 2024, l’UE a souligné la complexité du fonctionnement actuel du </w:t>
      </w:r>
      <w:r w:rsidR="00921A0B" w:rsidRPr="00262830">
        <w:rPr>
          <w:rFonts w:asciiTheme="minorHAnsi" w:hAnsiTheme="minorHAnsi"/>
          <w:sz w:val="20"/>
          <w:szCs w:val="20"/>
        </w:rPr>
        <w:t>C</w:t>
      </w:r>
      <w:r w:rsidRPr="00262830">
        <w:rPr>
          <w:rFonts w:asciiTheme="minorHAnsi" w:hAnsiTheme="minorHAnsi"/>
          <w:sz w:val="20"/>
          <w:szCs w:val="20"/>
        </w:rPr>
        <w:t xml:space="preserve">omité </w:t>
      </w:r>
      <w:r w:rsidR="00B74EB4" w:rsidRPr="00262830">
        <w:rPr>
          <w:rFonts w:asciiTheme="minorHAnsi" w:hAnsiTheme="minorHAnsi"/>
          <w:sz w:val="20"/>
          <w:szCs w:val="20"/>
        </w:rPr>
        <w:t xml:space="preserve">d’application (COC) </w:t>
      </w:r>
      <w:r w:rsidRPr="00262830">
        <w:rPr>
          <w:rFonts w:asciiTheme="minorHAnsi" w:hAnsiTheme="minorHAnsi"/>
          <w:sz w:val="20"/>
          <w:szCs w:val="20"/>
        </w:rPr>
        <w:t xml:space="preserve">et a proposé d’engager une procédure pour le simplifier. </w:t>
      </w:r>
    </w:p>
    <w:p w14:paraId="1AA88A09" w14:textId="77777777" w:rsidR="00B74EB4" w:rsidRPr="00262830" w:rsidRDefault="00B74EB4" w:rsidP="00B74EB4">
      <w:pPr>
        <w:pStyle w:val="NormalWeb"/>
        <w:spacing w:before="0" w:beforeAutospacing="0" w:after="0" w:afterAutospacing="0"/>
        <w:jc w:val="both"/>
        <w:rPr>
          <w:rFonts w:asciiTheme="minorHAnsi" w:hAnsiTheme="minorHAnsi"/>
          <w:sz w:val="20"/>
          <w:szCs w:val="20"/>
        </w:rPr>
      </w:pPr>
    </w:p>
    <w:p w14:paraId="00429976" w14:textId="55B3D471" w:rsidR="002B6C43" w:rsidRPr="00262830" w:rsidRDefault="00E078D0" w:rsidP="00B74EB4">
      <w:pPr>
        <w:pStyle w:val="NormalWeb"/>
        <w:spacing w:before="0" w:beforeAutospacing="0" w:after="0" w:afterAutospacing="0"/>
        <w:jc w:val="both"/>
        <w:rPr>
          <w:rFonts w:asciiTheme="minorHAnsi" w:hAnsiTheme="minorHAnsi"/>
          <w:sz w:val="20"/>
          <w:szCs w:val="20"/>
        </w:rPr>
      </w:pPr>
      <w:r w:rsidRPr="00262830">
        <w:rPr>
          <w:rFonts w:asciiTheme="minorHAnsi" w:hAnsiTheme="minorHAnsi"/>
          <w:sz w:val="20"/>
          <w:szCs w:val="20"/>
        </w:rPr>
        <w:t xml:space="preserve">Cette complexité est due à plusieurs </w:t>
      </w:r>
      <w:r w:rsidR="005037AB" w:rsidRPr="00262830">
        <w:rPr>
          <w:rFonts w:asciiTheme="minorHAnsi" w:hAnsiTheme="minorHAnsi"/>
          <w:sz w:val="20"/>
          <w:szCs w:val="20"/>
        </w:rPr>
        <w:t>facteurs :</w:t>
      </w:r>
      <w:r w:rsidRPr="00262830">
        <w:rPr>
          <w:rFonts w:asciiTheme="minorHAnsi" w:hAnsiTheme="minorHAnsi"/>
          <w:sz w:val="20"/>
          <w:szCs w:val="20"/>
        </w:rPr>
        <w:t xml:space="preserve"> la complexité des pêcheries de </w:t>
      </w:r>
      <w:r w:rsidR="00585DD3" w:rsidRPr="00262830">
        <w:rPr>
          <w:rFonts w:asciiTheme="minorHAnsi" w:hAnsiTheme="minorHAnsi"/>
          <w:sz w:val="20"/>
          <w:szCs w:val="20"/>
        </w:rPr>
        <w:t>l’ICCAT</w:t>
      </w:r>
      <w:r w:rsidR="005037AB" w:rsidRPr="00262830">
        <w:rPr>
          <w:rFonts w:asciiTheme="minorHAnsi" w:hAnsiTheme="minorHAnsi"/>
          <w:sz w:val="20"/>
          <w:szCs w:val="20"/>
        </w:rPr>
        <w:t xml:space="preserve"> </w:t>
      </w:r>
      <w:r w:rsidRPr="00262830">
        <w:rPr>
          <w:rFonts w:asciiTheme="minorHAnsi" w:hAnsiTheme="minorHAnsi"/>
          <w:sz w:val="20"/>
          <w:szCs w:val="20"/>
        </w:rPr>
        <w:t xml:space="preserve">; le grand nombre de </w:t>
      </w:r>
      <w:r w:rsidR="000D3815" w:rsidRPr="00262830">
        <w:rPr>
          <w:rFonts w:asciiTheme="minorHAnsi" w:hAnsiTheme="minorHAnsi"/>
          <w:sz w:val="20"/>
          <w:szCs w:val="20"/>
        </w:rPr>
        <w:t>CPC</w:t>
      </w:r>
      <w:r w:rsidR="00921A0B" w:rsidRPr="00262830">
        <w:rPr>
          <w:rFonts w:asciiTheme="minorHAnsi" w:hAnsiTheme="minorHAnsi"/>
          <w:sz w:val="20"/>
          <w:szCs w:val="20"/>
        </w:rPr>
        <w:t> </w:t>
      </w:r>
      <w:r w:rsidRPr="00262830">
        <w:rPr>
          <w:rFonts w:asciiTheme="minorHAnsi" w:hAnsiTheme="minorHAnsi"/>
          <w:sz w:val="20"/>
          <w:szCs w:val="20"/>
        </w:rPr>
        <w:t>; le grand nombre de mesures de conservation et de gestion</w:t>
      </w:r>
      <w:r w:rsidR="000D3815" w:rsidRPr="00262830">
        <w:rPr>
          <w:rFonts w:asciiTheme="minorHAnsi" w:hAnsiTheme="minorHAnsi"/>
          <w:sz w:val="20"/>
          <w:szCs w:val="20"/>
        </w:rPr>
        <w:t xml:space="preserve"> </w:t>
      </w:r>
      <w:r w:rsidRPr="00262830">
        <w:rPr>
          <w:rFonts w:asciiTheme="minorHAnsi" w:hAnsiTheme="minorHAnsi"/>
          <w:sz w:val="20"/>
          <w:szCs w:val="20"/>
        </w:rPr>
        <w:t xml:space="preserve">; le grand nombre d’obligations de </w:t>
      </w:r>
      <w:r w:rsidR="00B27AE4" w:rsidRPr="00262830">
        <w:rPr>
          <w:rFonts w:asciiTheme="minorHAnsi" w:hAnsiTheme="minorHAnsi"/>
          <w:sz w:val="20"/>
          <w:szCs w:val="20"/>
        </w:rPr>
        <w:t>soumissions de données, d’informations</w:t>
      </w:r>
      <w:r w:rsidRPr="00262830">
        <w:rPr>
          <w:rFonts w:asciiTheme="minorHAnsi" w:hAnsiTheme="minorHAnsi"/>
          <w:sz w:val="20"/>
          <w:szCs w:val="20"/>
        </w:rPr>
        <w:t xml:space="preserve"> et de rapports</w:t>
      </w:r>
      <w:r w:rsidR="000D3815" w:rsidRPr="00262830">
        <w:rPr>
          <w:rFonts w:asciiTheme="minorHAnsi" w:hAnsiTheme="minorHAnsi"/>
          <w:sz w:val="20"/>
          <w:szCs w:val="20"/>
        </w:rPr>
        <w:t xml:space="preserve"> </w:t>
      </w:r>
      <w:r w:rsidRPr="00262830">
        <w:rPr>
          <w:rFonts w:asciiTheme="minorHAnsi" w:hAnsiTheme="minorHAnsi"/>
          <w:sz w:val="20"/>
          <w:szCs w:val="20"/>
        </w:rPr>
        <w:t>; la dispersion des règles de procédure dans plusieurs documents</w:t>
      </w:r>
      <w:r w:rsidR="00B27AE4" w:rsidRPr="00262830">
        <w:rPr>
          <w:rFonts w:asciiTheme="minorHAnsi" w:hAnsiTheme="minorHAnsi"/>
          <w:sz w:val="20"/>
          <w:szCs w:val="20"/>
        </w:rPr>
        <w:t xml:space="preserve"> </w:t>
      </w:r>
      <w:r w:rsidRPr="00262830">
        <w:rPr>
          <w:rFonts w:asciiTheme="minorHAnsi" w:hAnsiTheme="minorHAnsi"/>
          <w:sz w:val="20"/>
          <w:szCs w:val="20"/>
        </w:rPr>
        <w:t xml:space="preserve">; le nombre élevé de documents </w:t>
      </w:r>
      <w:r w:rsidR="00B27AE4" w:rsidRPr="00262830">
        <w:rPr>
          <w:rFonts w:asciiTheme="minorHAnsi" w:hAnsiTheme="minorHAnsi"/>
          <w:sz w:val="20"/>
          <w:szCs w:val="20"/>
        </w:rPr>
        <w:t xml:space="preserve">disponibles au COC </w:t>
      </w:r>
      <w:r w:rsidRPr="00262830">
        <w:rPr>
          <w:rFonts w:asciiTheme="minorHAnsi" w:hAnsiTheme="minorHAnsi"/>
          <w:sz w:val="20"/>
          <w:szCs w:val="20"/>
        </w:rPr>
        <w:t xml:space="preserve">; la </w:t>
      </w:r>
      <w:r w:rsidR="00B27AE4" w:rsidRPr="00262830">
        <w:rPr>
          <w:rFonts w:asciiTheme="minorHAnsi" w:hAnsiTheme="minorHAnsi"/>
          <w:sz w:val="20"/>
          <w:szCs w:val="20"/>
        </w:rPr>
        <w:t>longueur</w:t>
      </w:r>
      <w:r w:rsidRPr="00262830">
        <w:rPr>
          <w:rFonts w:asciiTheme="minorHAnsi" w:hAnsiTheme="minorHAnsi"/>
          <w:sz w:val="20"/>
          <w:szCs w:val="20"/>
        </w:rPr>
        <w:t xml:space="preserve"> et le format des documents</w:t>
      </w:r>
      <w:r w:rsidR="00B27AE4" w:rsidRPr="00262830">
        <w:rPr>
          <w:rFonts w:asciiTheme="minorHAnsi" w:hAnsiTheme="minorHAnsi"/>
          <w:sz w:val="20"/>
          <w:szCs w:val="20"/>
        </w:rPr>
        <w:t xml:space="preserve"> </w:t>
      </w:r>
      <w:r w:rsidRPr="00262830">
        <w:rPr>
          <w:rFonts w:asciiTheme="minorHAnsi" w:hAnsiTheme="minorHAnsi"/>
          <w:sz w:val="20"/>
          <w:szCs w:val="20"/>
        </w:rPr>
        <w:t>; l’absence de conclusion sur les questions d</w:t>
      </w:r>
      <w:r w:rsidR="00921A0B" w:rsidRPr="00262830">
        <w:rPr>
          <w:rFonts w:asciiTheme="minorHAnsi" w:hAnsiTheme="minorHAnsi"/>
          <w:sz w:val="20"/>
          <w:szCs w:val="20"/>
        </w:rPr>
        <w:t>’application</w:t>
      </w:r>
      <w:r w:rsidR="006458E8" w:rsidRPr="00262830">
        <w:rPr>
          <w:rFonts w:asciiTheme="minorHAnsi" w:hAnsiTheme="minorHAnsi"/>
          <w:sz w:val="20"/>
          <w:szCs w:val="20"/>
        </w:rPr>
        <w:t xml:space="preserve"> </w:t>
      </w:r>
      <w:r w:rsidRPr="00262830">
        <w:rPr>
          <w:rFonts w:asciiTheme="minorHAnsi" w:hAnsiTheme="minorHAnsi"/>
          <w:sz w:val="20"/>
          <w:szCs w:val="20"/>
        </w:rPr>
        <w:t xml:space="preserve">; </w:t>
      </w:r>
      <w:r w:rsidR="006458E8" w:rsidRPr="00262830">
        <w:rPr>
          <w:rFonts w:asciiTheme="minorHAnsi" w:hAnsiTheme="minorHAnsi"/>
          <w:sz w:val="20"/>
          <w:szCs w:val="20"/>
        </w:rPr>
        <w:t>etc</w:t>
      </w:r>
      <w:r w:rsidRPr="00262830">
        <w:rPr>
          <w:rFonts w:asciiTheme="minorHAnsi" w:hAnsiTheme="minorHAnsi"/>
          <w:sz w:val="20"/>
          <w:szCs w:val="20"/>
        </w:rPr>
        <w:t>.</w:t>
      </w:r>
    </w:p>
    <w:p w14:paraId="58B21681" w14:textId="77777777" w:rsidR="00B74EB4" w:rsidRPr="00262830" w:rsidRDefault="00B74EB4" w:rsidP="00B74EB4">
      <w:pPr>
        <w:pStyle w:val="NormalWeb"/>
        <w:spacing w:before="0" w:beforeAutospacing="0" w:after="0" w:afterAutospacing="0"/>
        <w:jc w:val="both"/>
        <w:rPr>
          <w:rFonts w:asciiTheme="minorHAnsi" w:hAnsiTheme="minorHAnsi"/>
          <w:sz w:val="20"/>
          <w:szCs w:val="20"/>
        </w:rPr>
      </w:pPr>
    </w:p>
    <w:p w14:paraId="763F47CC" w14:textId="4D7EF8E9" w:rsidR="002B6C43" w:rsidRPr="00262830" w:rsidRDefault="00E078D0" w:rsidP="00B74EB4">
      <w:pPr>
        <w:pStyle w:val="NormalWeb"/>
        <w:spacing w:before="0" w:beforeAutospacing="0" w:after="0" w:afterAutospacing="0"/>
        <w:jc w:val="both"/>
        <w:rPr>
          <w:rFonts w:asciiTheme="minorHAnsi" w:hAnsiTheme="minorHAnsi"/>
          <w:sz w:val="20"/>
          <w:szCs w:val="20"/>
        </w:rPr>
      </w:pPr>
      <w:r w:rsidRPr="00262830">
        <w:rPr>
          <w:rFonts w:asciiTheme="minorHAnsi" w:hAnsiTheme="minorHAnsi"/>
          <w:sz w:val="20"/>
          <w:szCs w:val="20"/>
        </w:rPr>
        <w:t>L’objectif d</w:t>
      </w:r>
      <w:r w:rsidR="003A6E0D" w:rsidRPr="00262830">
        <w:rPr>
          <w:rFonts w:asciiTheme="minorHAnsi" w:hAnsiTheme="minorHAnsi"/>
          <w:sz w:val="20"/>
          <w:szCs w:val="20"/>
        </w:rPr>
        <w:t>e</w:t>
      </w:r>
      <w:r w:rsidRPr="00262830">
        <w:rPr>
          <w:rFonts w:asciiTheme="minorHAnsi" w:hAnsiTheme="minorHAnsi"/>
          <w:sz w:val="20"/>
          <w:szCs w:val="20"/>
        </w:rPr>
        <w:t xml:space="preserve"> </w:t>
      </w:r>
      <w:r w:rsidR="003A6E0D" w:rsidRPr="00262830">
        <w:rPr>
          <w:rFonts w:asciiTheme="minorHAnsi" w:hAnsiTheme="minorHAnsi"/>
          <w:sz w:val="20"/>
          <w:szCs w:val="20"/>
        </w:rPr>
        <w:t>ce</w:t>
      </w:r>
      <w:r w:rsidRPr="00262830">
        <w:rPr>
          <w:rFonts w:asciiTheme="minorHAnsi" w:hAnsiTheme="minorHAnsi"/>
          <w:sz w:val="20"/>
          <w:szCs w:val="20"/>
        </w:rPr>
        <w:t xml:space="preserve"> document est de proposer, pour l’examen du COC, un processus visant à rationaliser les travaux du </w:t>
      </w:r>
      <w:r w:rsidR="00921A0B" w:rsidRPr="00262830">
        <w:rPr>
          <w:rFonts w:asciiTheme="minorHAnsi" w:hAnsiTheme="minorHAnsi"/>
          <w:sz w:val="20"/>
          <w:szCs w:val="20"/>
        </w:rPr>
        <w:t>COC</w:t>
      </w:r>
      <w:r w:rsidRPr="00262830">
        <w:rPr>
          <w:rFonts w:asciiTheme="minorHAnsi" w:hAnsiTheme="minorHAnsi"/>
          <w:sz w:val="20"/>
          <w:szCs w:val="20"/>
        </w:rPr>
        <w:t xml:space="preserve">. </w:t>
      </w:r>
    </w:p>
    <w:p w14:paraId="461C7749" w14:textId="6D49D8FC" w:rsidR="00B74EB4" w:rsidRPr="00262830" w:rsidRDefault="00921A0B" w:rsidP="00B74EB4">
      <w:pPr>
        <w:pStyle w:val="NormalWeb"/>
        <w:spacing w:before="0" w:beforeAutospacing="0" w:after="0" w:afterAutospacing="0"/>
        <w:jc w:val="both"/>
        <w:rPr>
          <w:rFonts w:asciiTheme="minorHAnsi" w:hAnsiTheme="minorHAnsi"/>
          <w:sz w:val="20"/>
          <w:szCs w:val="20"/>
        </w:rPr>
      </w:pPr>
      <w:r w:rsidRPr="00262830">
        <w:rPr>
          <w:rFonts w:asciiTheme="minorHAnsi" w:hAnsiTheme="minorHAnsi"/>
          <w:sz w:val="20"/>
          <w:szCs w:val="20"/>
        </w:rPr>
        <w:t> </w:t>
      </w:r>
    </w:p>
    <w:p w14:paraId="1C823759" w14:textId="431635D8" w:rsidR="002B6C43" w:rsidRPr="00262830" w:rsidRDefault="00E078D0" w:rsidP="00B74EB4">
      <w:pPr>
        <w:pStyle w:val="NormalWeb"/>
        <w:spacing w:before="0" w:beforeAutospacing="0" w:after="0" w:afterAutospacing="0"/>
        <w:jc w:val="both"/>
        <w:rPr>
          <w:rFonts w:asciiTheme="minorHAnsi" w:hAnsiTheme="minorHAnsi"/>
          <w:sz w:val="20"/>
          <w:szCs w:val="20"/>
        </w:rPr>
      </w:pPr>
      <w:r w:rsidRPr="00262830">
        <w:rPr>
          <w:rFonts w:asciiTheme="minorHAnsi" w:hAnsiTheme="minorHAnsi"/>
          <w:sz w:val="20"/>
          <w:szCs w:val="20"/>
        </w:rPr>
        <w:t>Il est proposé que le COC</w:t>
      </w:r>
      <w:r w:rsidR="003A6E0D" w:rsidRPr="00262830">
        <w:rPr>
          <w:rFonts w:asciiTheme="minorHAnsi" w:hAnsiTheme="minorHAnsi"/>
          <w:sz w:val="20"/>
          <w:szCs w:val="20"/>
        </w:rPr>
        <w:t xml:space="preserve"> </w:t>
      </w:r>
      <w:r w:rsidRPr="00262830">
        <w:rPr>
          <w:rFonts w:asciiTheme="minorHAnsi" w:hAnsiTheme="minorHAnsi"/>
          <w:sz w:val="20"/>
          <w:szCs w:val="20"/>
        </w:rPr>
        <w:t>:</w:t>
      </w:r>
    </w:p>
    <w:p w14:paraId="5342F3DA" w14:textId="77777777" w:rsidR="00B74EB4" w:rsidRPr="00262830" w:rsidRDefault="00B74EB4" w:rsidP="00B74EB4">
      <w:pPr>
        <w:pStyle w:val="NormalWeb"/>
        <w:spacing w:before="0" w:beforeAutospacing="0" w:after="0" w:afterAutospacing="0"/>
        <w:jc w:val="both"/>
        <w:rPr>
          <w:rFonts w:asciiTheme="minorHAnsi" w:hAnsiTheme="minorHAnsi"/>
          <w:sz w:val="20"/>
          <w:szCs w:val="20"/>
        </w:rPr>
      </w:pPr>
    </w:p>
    <w:p w14:paraId="0B864EE3" w14:textId="01146362" w:rsidR="002B6C43" w:rsidRPr="00262830" w:rsidRDefault="00E078D0" w:rsidP="00262830">
      <w:pPr>
        <w:pStyle w:val="NormalWeb"/>
        <w:numPr>
          <w:ilvl w:val="0"/>
          <w:numId w:val="15"/>
        </w:numPr>
        <w:spacing w:before="0" w:beforeAutospacing="0" w:after="0" w:afterAutospacing="0"/>
        <w:ind w:left="851" w:hanging="425"/>
        <w:jc w:val="both"/>
        <w:rPr>
          <w:rFonts w:asciiTheme="minorHAnsi" w:hAnsiTheme="minorHAnsi"/>
          <w:sz w:val="20"/>
          <w:szCs w:val="20"/>
        </w:rPr>
      </w:pPr>
      <w:r w:rsidRPr="00262830">
        <w:rPr>
          <w:rFonts w:asciiTheme="minorHAnsi" w:hAnsiTheme="minorHAnsi"/>
          <w:sz w:val="20"/>
          <w:szCs w:val="20"/>
        </w:rPr>
        <w:t>Pren</w:t>
      </w:r>
      <w:r w:rsidR="003A6E0D" w:rsidRPr="00262830">
        <w:rPr>
          <w:rFonts w:asciiTheme="minorHAnsi" w:hAnsiTheme="minorHAnsi"/>
          <w:sz w:val="20"/>
          <w:szCs w:val="20"/>
        </w:rPr>
        <w:t>ne</w:t>
      </w:r>
      <w:r w:rsidRPr="00262830">
        <w:rPr>
          <w:rFonts w:asciiTheme="minorHAnsi" w:hAnsiTheme="minorHAnsi"/>
          <w:sz w:val="20"/>
          <w:szCs w:val="20"/>
        </w:rPr>
        <w:t xml:space="preserve"> acte des informations fournies dans </w:t>
      </w:r>
      <w:r w:rsidR="003A6E0D" w:rsidRPr="00262830">
        <w:rPr>
          <w:rFonts w:asciiTheme="minorHAnsi" w:hAnsiTheme="minorHAnsi"/>
          <w:sz w:val="20"/>
          <w:szCs w:val="20"/>
        </w:rPr>
        <w:t>ce</w:t>
      </w:r>
      <w:r w:rsidRPr="00262830">
        <w:rPr>
          <w:rFonts w:asciiTheme="minorHAnsi" w:hAnsiTheme="minorHAnsi"/>
          <w:sz w:val="20"/>
          <w:szCs w:val="20"/>
        </w:rPr>
        <w:t xml:space="preserve"> document et approuve la nécessité </w:t>
      </w:r>
      <w:r w:rsidR="009D29E8" w:rsidRPr="00262830">
        <w:rPr>
          <w:rFonts w:asciiTheme="minorHAnsi" w:hAnsiTheme="minorHAnsi"/>
          <w:sz w:val="20"/>
          <w:szCs w:val="20"/>
        </w:rPr>
        <w:t xml:space="preserve">de lancer </w:t>
      </w:r>
      <w:r w:rsidRPr="00262830">
        <w:rPr>
          <w:rFonts w:asciiTheme="minorHAnsi" w:hAnsiTheme="minorHAnsi"/>
          <w:sz w:val="20"/>
          <w:szCs w:val="20"/>
        </w:rPr>
        <w:t>un processus intersession</w:t>
      </w:r>
      <w:r w:rsidR="009B3940" w:rsidRPr="00262830">
        <w:rPr>
          <w:rFonts w:asciiTheme="minorHAnsi" w:hAnsiTheme="minorHAnsi"/>
          <w:sz w:val="20"/>
          <w:szCs w:val="20"/>
        </w:rPr>
        <w:t>s</w:t>
      </w:r>
      <w:r w:rsidRPr="00262830">
        <w:rPr>
          <w:rFonts w:asciiTheme="minorHAnsi" w:hAnsiTheme="minorHAnsi"/>
          <w:sz w:val="20"/>
          <w:szCs w:val="20"/>
        </w:rPr>
        <w:t xml:space="preserve"> visant à rationaliser les travaux du COC. </w:t>
      </w:r>
    </w:p>
    <w:p w14:paraId="3E498890" w14:textId="6655B52D" w:rsidR="002B6C43" w:rsidRPr="00262830" w:rsidRDefault="00E078D0" w:rsidP="00262830">
      <w:pPr>
        <w:pStyle w:val="NormalWeb"/>
        <w:numPr>
          <w:ilvl w:val="0"/>
          <w:numId w:val="15"/>
        </w:numPr>
        <w:spacing w:before="0" w:beforeAutospacing="0" w:after="0" w:afterAutospacing="0"/>
        <w:ind w:left="851" w:hanging="425"/>
        <w:jc w:val="both"/>
        <w:rPr>
          <w:rFonts w:asciiTheme="minorHAnsi" w:hAnsiTheme="minorHAnsi"/>
          <w:sz w:val="20"/>
          <w:szCs w:val="20"/>
        </w:rPr>
      </w:pPr>
      <w:r w:rsidRPr="00262830">
        <w:rPr>
          <w:rFonts w:asciiTheme="minorHAnsi" w:hAnsiTheme="minorHAnsi"/>
          <w:sz w:val="20"/>
          <w:szCs w:val="20"/>
        </w:rPr>
        <w:t>Examine, modifie et approuve le calendrier du processus intersession</w:t>
      </w:r>
      <w:r w:rsidR="009B3940" w:rsidRPr="00262830">
        <w:rPr>
          <w:rFonts w:asciiTheme="minorHAnsi" w:hAnsiTheme="minorHAnsi"/>
          <w:sz w:val="20"/>
          <w:szCs w:val="20"/>
        </w:rPr>
        <w:t>s</w:t>
      </w:r>
      <w:r w:rsidRPr="00262830">
        <w:rPr>
          <w:rFonts w:asciiTheme="minorHAnsi" w:hAnsiTheme="minorHAnsi"/>
          <w:sz w:val="20"/>
          <w:szCs w:val="20"/>
        </w:rPr>
        <w:t xml:space="preserve"> (partie 2.2 d</w:t>
      </w:r>
      <w:r w:rsidR="003A6E0D" w:rsidRPr="00262830">
        <w:rPr>
          <w:rFonts w:asciiTheme="minorHAnsi" w:hAnsiTheme="minorHAnsi"/>
          <w:sz w:val="20"/>
          <w:szCs w:val="20"/>
        </w:rPr>
        <w:t xml:space="preserve">e ce </w:t>
      </w:r>
      <w:r w:rsidRPr="00262830">
        <w:rPr>
          <w:rFonts w:asciiTheme="minorHAnsi" w:hAnsiTheme="minorHAnsi"/>
          <w:sz w:val="20"/>
          <w:szCs w:val="20"/>
        </w:rPr>
        <w:t>document)</w:t>
      </w:r>
    </w:p>
    <w:p w14:paraId="7241CC54" w14:textId="7B78DA25" w:rsidR="002B6C43" w:rsidRPr="00262830" w:rsidRDefault="00E078D0" w:rsidP="00262830">
      <w:pPr>
        <w:pStyle w:val="NormalWeb"/>
        <w:numPr>
          <w:ilvl w:val="0"/>
          <w:numId w:val="15"/>
        </w:numPr>
        <w:spacing w:before="0" w:beforeAutospacing="0" w:after="0" w:afterAutospacing="0"/>
        <w:ind w:left="851" w:hanging="425"/>
        <w:jc w:val="both"/>
        <w:rPr>
          <w:rFonts w:asciiTheme="minorHAnsi" w:hAnsiTheme="minorHAnsi"/>
          <w:sz w:val="20"/>
          <w:szCs w:val="20"/>
        </w:rPr>
      </w:pPr>
      <w:r w:rsidRPr="00262830">
        <w:rPr>
          <w:rFonts w:asciiTheme="minorHAnsi" w:hAnsiTheme="minorHAnsi"/>
          <w:sz w:val="20"/>
          <w:szCs w:val="20"/>
        </w:rPr>
        <w:t>Conv</w:t>
      </w:r>
      <w:r w:rsidR="003A3B70" w:rsidRPr="00262830">
        <w:rPr>
          <w:rFonts w:asciiTheme="minorHAnsi" w:hAnsiTheme="minorHAnsi"/>
          <w:sz w:val="20"/>
          <w:szCs w:val="20"/>
        </w:rPr>
        <w:t>ien</w:t>
      </w:r>
      <w:r w:rsidR="009B3940" w:rsidRPr="00262830">
        <w:rPr>
          <w:rFonts w:asciiTheme="minorHAnsi" w:hAnsiTheme="minorHAnsi"/>
          <w:sz w:val="20"/>
          <w:szCs w:val="20"/>
        </w:rPr>
        <w:t>ne</w:t>
      </w:r>
      <w:r w:rsidRPr="00262830">
        <w:rPr>
          <w:rFonts w:asciiTheme="minorHAnsi" w:hAnsiTheme="minorHAnsi"/>
          <w:sz w:val="20"/>
          <w:szCs w:val="20"/>
        </w:rPr>
        <w:t xml:space="preserve"> de lancer un processus intersessions visant à modifier collectivement la «</w:t>
      </w:r>
      <w:r w:rsidR="003A3B70" w:rsidRPr="00262830">
        <w:rPr>
          <w:rFonts w:asciiTheme="minorHAnsi" w:hAnsiTheme="minorHAnsi"/>
          <w:sz w:val="20"/>
          <w:szCs w:val="20"/>
        </w:rPr>
        <w:t xml:space="preserve"> </w:t>
      </w:r>
      <w:r w:rsidRPr="00262830">
        <w:rPr>
          <w:rFonts w:asciiTheme="minorHAnsi" w:hAnsiTheme="minorHAnsi"/>
          <w:sz w:val="20"/>
          <w:szCs w:val="20"/>
        </w:rPr>
        <w:t>ligne de conduite proposée</w:t>
      </w:r>
      <w:r w:rsidR="003A3B70" w:rsidRPr="00262830">
        <w:rPr>
          <w:rFonts w:asciiTheme="minorHAnsi" w:hAnsiTheme="minorHAnsi"/>
          <w:sz w:val="20"/>
          <w:szCs w:val="20"/>
        </w:rPr>
        <w:t xml:space="preserve"> </w:t>
      </w:r>
      <w:r w:rsidRPr="00262830">
        <w:rPr>
          <w:rFonts w:asciiTheme="minorHAnsi" w:hAnsiTheme="minorHAnsi"/>
          <w:sz w:val="20"/>
          <w:szCs w:val="20"/>
        </w:rPr>
        <w:t>» (partie 3 d</w:t>
      </w:r>
      <w:r w:rsidR="003A3B70" w:rsidRPr="00262830">
        <w:rPr>
          <w:rFonts w:asciiTheme="minorHAnsi" w:hAnsiTheme="minorHAnsi"/>
          <w:sz w:val="20"/>
          <w:szCs w:val="20"/>
        </w:rPr>
        <w:t xml:space="preserve">e ce </w:t>
      </w:r>
      <w:r w:rsidRPr="00262830">
        <w:rPr>
          <w:rFonts w:asciiTheme="minorHAnsi" w:hAnsiTheme="minorHAnsi"/>
          <w:sz w:val="20"/>
          <w:szCs w:val="20"/>
        </w:rPr>
        <w:t>document)</w:t>
      </w:r>
    </w:p>
    <w:p w14:paraId="24A82E8E" w14:textId="77777777" w:rsidR="002B6C43" w:rsidRPr="00262830" w:rsidRDefault="002B6C43">
      <w:pPr>
        <w:pStyle w:val="NormalWeb"/>
        <w:spacing w:before="0" w:beforeAutospacing="0" w:after="120" w:afterAutospacing="0"/>
        <w:jc w:val="both"/>
        <w:rPr>
          <w:rFonts w:asciiTheme="minorHAnsi" w:hAnsiTheme="minorHAnsi"/>
          <w:sz w:val="20"/>
          <w:szCs w:val="20"/>
        </w:rPr>
      </w:pPr>
    </w:p>
    <w:p w14:paraId="5B2CBE00" w14:textId="170683BE" w:rsidR="002B6C43" w:rsidRPr="00262830" w:rsidRDefault="00B74EB4" w:rsidP="00B74EB4">
      <w:pPr>
        <w:pStyle w:val="Heading2"/>
        <w:tabs>
          <w:tab w:val="left" w:pos="426"/>
        </w:tabs>
        <w:spacing w:before="0" w:after="0" w:line="240" w:lineRule="auto"/>
        <w:rPr>
          <w:rFonts w:asciiTheme="minorHAnsi" w:hAnsiTheme="minorHAnsi"/>
          <w:color w:val="auto"/>
          <w:sz w:val="20"/>
          <w:szCs w:val="20"/>
        </w:rPr>
      </w:pPr>
      <w:r w:rsidRPr="00262830">
        <w:rPr>
          <w:rFonts w:asciiTheme="minorHAnsi" w:hAnsiTheme="minorHAnsi"/>
          <w:color w:val="auto"/>
          <w:sz w:val="20"/>
          <w:szCs w:val="20"/>
        </w:rPr>
        <w:t>2.</w:t>
      </w:r>
      <w:r w:rsidRPr="00262830">
        <w:rPr>
          <w:rFonts w:asciiTheme="minorHAnsi" w:hAnsiTheme="minorHAnsi"/>
          <w:color w:val="auto"/>
          <w:sz w:val="20"/>
          <w:szCs w:val="20"/>
        </w:rPr>
        <w:tab/>
      </w:r>
      <w:r w:rsidR="00E078D0" w:rsidRPr="00262830">
        <w:rPr>
          <w:rFonts w:asciiTheme="minorHAnsi" w:hAnsiTheme="minorHAnsi"/>
          <w:color w:val="auto"/>
          <w:sz w:val="20"/>
          <w:szCs w:val="20"/>
        </w:rPr>
        <w:t xml:space="preserve">Processus visant à rationaliser les travaux du </w:t>
      </w:r>
      <w:r w:rsidR="002E006A" w:rsidRPr="00262830">
        <w:rPr>
          <w:rFonts w:asciiTheme="minorHAnsi" w:hAnsiTheme="minorHAnsi"/>
          <w:color w:val="auto"/>
          <w:sz w:val="20"/>
          <w:szCs w:val="20"/>
        </w:rPr>
        <w:t>C</w:t>
      </w:r>
      <w:r w:rsidR="00E078D0" w:rsidRPr="00262830">
        <w:rPr>
          <w:rFonts w:asciiTheme="minorHAnsi" w:hAnsiTheme="minorHAnsi"/>
          <w:color w:val="auto"/>
          <w:sz w:val="20"/>
          <w:szCs w:val="20"/>
        </w:rPr>
        <w:t>omité d’application</w:t>
      </w:r>
    </w:p>
    <w:p w14:paraId="210D522D" w14:textId="77777777" w:rsidR="00B74EB4" w:rsidRPr="00262830" w:rsidRDefault="00B74EB4" w:rsidP="00B74EB4">
      <w:pPr>
        <w:pStyle w:val="NormalWeb"/>
        <w:spacing w:before="0" w:beforeAutospacing="0" w:after="0" w:afterAutospacing="0"/>
        <w:jc w:val="both"/>
        <w:rPr>
          <w:rFonts w:asciiTheme="minorHAnsi" w:hAnsiTheme="minorHAnsi"/>
          <w:sz w:val="20"/>
          <w:szCs w:val="20"/>
        </w:rPr>
      </w:pPr>
    </w:p>
    <w:p w14:paraId="12FFE5B6" w14:textId="28B69B06" w:rsidR="002B6C43" w:rsidRPr="00262830" w:rsidRDefault="00E078D0" w:rsidP="00B74EB4">
      <w:pPr>
        <w:pStyle w:val="NormalWeb"/>
        <w:spacing w:before="0" w:beforeAutospacing="0" w:after="0" w:afterAutospacing="0"/>
        <w:jc w:val="both"/>
        <w:rPr>
          <w:rFonts w:asciiTheme="minorHAnsi" w:hAnsiTheme="minorHAnsi"/>
          <w:sz w:val="20"/>
          <w:szCs w:val="20"/>
        </w:rPr>
      </w:pPr>
      <w:r w:rsidRPr="00262830">
        <w:rPr>
          <w:rFonts w:asciiTheme="minorHAnsi" w:hAnsiTheme="minorHAnsi"/>
          <w:sz w:val="20"/>
          <w:szCs w:val="20"/>
        </w:rPr>
        <w:t>Le processus proposé vise à simplifier le processus d’évaluation de l</w:t>
      </w:r>
      <w:r w:rsidR="002F5A20" w:rsidRPr="00262830">
        <w:rPr>
          <w:rFonts w:asciiTheme="minorHAnsi" w:hAnsiTheme="minorHAnsi"/>
          <w:sz w:val="20"/>
          <w:szCs w:val="20"/>
        </w:rPr>
        <w:t>’application</w:t>
      </w:r>
      <w:r w:rsidRPr="00262830">
        <w:rPr>
          <w:rFonts w:asciiTheme="minorHAnsi" w:hAnsiTheme="minorHAnsi"/>
          <w:sz w:val="20"/>
          <w:szCs w:val="20"/>
        </w:rPr>
        <w:t xml:space="preserve"> en réduisant et en rationalisant les informations à analyser et à mettre en place des mécanismes permettant un contrôle efficace des problèmes d</w:t>
      </w:r>
      <w:r w:rsidR="00D86D4B" w:rsidRPr="00262830">
        <w:rPr>
          <w:rFonts w:asciiTheme="minorHAnsi" w:hAnsiTheme="minorHAnsi"/>
          <w:sz w:val="20"/>
          <w:szCs w:val="20"/>
        </w:rPr>
        <w:t>’application</w:t>
      </w:r>
      <w:r w:rsidRPr="00262830">
        <w:rPr>
          <w:rFonts w:asciiTheme="minorHAnsi" w:hAnsiTheme="minorHAnsi"/>
          <w:sz w:val="20"/>
          <w:szCs w:val="20"/>
        </w:rPr>
        <w:t xml:space="preserve"> détectés.</w:t>
      </w:r>
    </w:p>
    <w:p w14:paraId="4F6E6C5F" w14:textId="77777777" w:rsidR="00B74EB4" w:rsidRPr="00262830" w:rsidRDefault="00B74EB4" w:rsidP="00B74EB4">
      <w:pPr>
        <w:pStyle w:val="NormalWeb"/>
        <w:spacing w:before="0" w:beforeAutospacing="0" w:after="0" w:afterAutospacing="0"/>
        <w:jc w:val="both"/>
        <w:rPr>
          <w:rFonts w:asciiTheme="minorHAnsi" w:hAnsiTheme="minorHAnsi"/>
          <w:sz w:val="20"/>
          <w:szCs w:val="20"/>
        </w:rPr>
      </w:pPr>
    </w:p>
    <w:p w14:paraId="2A451931" w14:textId="3E4D1E5F" w:rsidR="002B6C43" w:rsidRPr="00262830" w:rsidRDefault="00E078D0" w:rsidP="00B74EB4">
      <w:pPr>
        <w:pStyle w:val="NormalWeb"/>
        <w:spacing w:before="0" w:beforeAutospacing="0" w:after="0" w:afterAutospacing="0"/>
        <w:jc w:val="both"/>
        <w:rPr>
          <w:rFonts w:asciiTheme="minorHAnsi" w:hAnsiTheme="minorHAnsi"/>
          <w:sz w:val="20"/>
          <w:szCs w:val="20"/>
        </w:rPr>
      </w:pPr>
      <w:r w:rsidRPr="00262830">
        <w:rPr>
          <w:rFonts w:asciiTheme="minorHAnsi" w:hAnsiTheme="minorHAnsi"/>
          <w:sz w:val="20"/>
          <w:szCs w:val="20"/>
        </w:rPr>
        <w:t xml:space="preserve">Le processus devrait également examiner les meilleures pratiques au sein des comités </w:t>
      </w:r>
      <w:r w:rsidR="002F5A20" w:rsidRPr="00262830">
        <w:rPr>
          <w:rFonts w:asciiTheme="minorHAnsi" w:hAnsiTheme="minorHAnsi"/>
          <w:sz w:val="20"/>
          <w:szCs w:val="20"/>
        </w:rPr>
        <w:t>d’application</w:t>
      </w:r>
      <w:r w:rsidRPr="00262830">
        <w:rPr>
          <w:rFonts w:asciiTheme="minorHAnsi" w:hAnsiTheme="minorHAnsi"/>
          <w:sz w:val="20"/>
          <w:szCs w:val="20"/>
        </w:rPr>
        <w:t xml:space="preserve"> d’autres </w:t>
      </w:r>
      <w:r w:rsidR="00626204" w:rsidRPr="00262830">
        <w:rPr>
          <w:rFonts w:asciiTheme="minorHAnsi" w:hAnsiTheme="minorHAnsi"/>
          <w:sz w:val="20"/>
          <w:szCs w:val="20"/>
        </w:rPr>
        <w:t>Organisations régionales de gestion des pêches (</w:t>
      </w:r>
      <w:r w:rsidRPr="00262830">
        <w:rPr>
          <w:rFonts w:asciiTheme="minorHAnsi" w:hAnsiTheme="minorHAnsi"/>
          <w:sz w:val="20"/>
          <w:szCs w:val="20"/>
        </w:rPr>
        <w:t>ORGP</w:t>
      </w:r>
      <w:r w:rsidR="00626204" w:rsidRPr="00262830">
        <w:rPr>
          <w:rFonts w:asciiTheme="minorHAnsi" w:hAnsiTheme="minorHAnsi"/>
          <w:sz w:val="20"/>
          <w:szCs w:val="20"/>
        </w:rPr>
        <w:t>)</w:t>
      </w:r>
      <w:r w:rsidRPr="00262830">
        <w:rPr>
          <w:rFonts w:asciiTheme="minorHAnsi" w:hAnsiTheme="minorHAnsi"/>
          <w:sz w:val="20"/>
          <w:szCs w:val="20"/>
        </w:rPr>
        <w:t>.</w:t>
      </w:r>
    </w:p>
    <w:p w14:paraId="6EB5AE9C" w14:textId="77777777" w:rsidR="00B74EB4" w:rsidRPr="00262830" w:rsidRDefault="00B74EB4" w:rsidP="00B74EB4">
      <w:pPr>
        <w:pStyle w:val="NormalWeb"/>
        <w:spacing w:before="0" w:beforeAutospacing="0" w:after="0" w:afterAutospacing="0"/>
        <w:jc w:val="both"/>
        <w:rPr>
          <w:rFonts w:asciiTheme="minorHAnsi" w:hAnsiTheme="minorHAnsi"/>
          <w:sz w:val="20"/>
          <w:szCs w:val="20"/>
        </w:rPr>
      </w:pPr>
    </w:p>
    <w:p w14:paraId="1AEF4D1B" w14:textId="06016B30" w:rsidR="002B6C43" w:rsidRPr="00262830" w:rsidRDefault="00B74EB4" w:rsidP="00B74EB4">
      <w:pPr>
        <w:pStyle w:val="P68B1DB1-Heading22"/>
        <w:spacing w:before="0" w:after="0" w:line="240" w:lineRule="auto"/>
        <w:rPr>
          <w:rFonts w:asciiTheme="minorHAnsi" w:hAnsiTheme="minorHAnsi"/>
          <w:b/>
          <w:bCs/>
          <w:i/>
          <w:iCs/>
          <w:color w:val="auto"/>
          <w:sz w:val="20"/>
          <w:szCs w:val="20"/>
        </w:rPr>
      </w:pPr>
      <w:r w:rsidRPr="00262830">
        <w:rPr>
          <w:rFonts w:asciiTheme="minorHAnsi" w:hAnsiTheme="minorHAnsi"/>
          <w:b/>
          <w:bCs/>
          <w:i/>
          <w:iCs/>
          <w:color w:val="auto"/>
          <w:sz w:val="20"/>
          <w:szCs w:val="20"/>
        </w:rPr>
        <w:t xml:space="preserve">2.1 </w:t>
      </w:r>
      <w:r w:rsidR="00E078D0" w:rsidRPr="00262830">
        <w:rPr>
          <w:rFonts w:asciiTheme="minorHAnsi" w:hAnsiTheme="minorHAnsi"/>
          <w:b/>
          <w:bCs/>
          <w:i/>
          <w:iCs/>
          <w:color w:val="auto"/>
          <w:sz w:val="20"/>
          <w:szCs w:val="20"/>
        </w:rPr>
        <w:t>Domaines d’amélioration</w:t>
      </w:r>
    </w:p>
    <w:p w14:paraId="0049180F" w14:textId="77777777" w:rsidR="00B74EB4" w:rsidRPr="00262830" w:rsidRDefault="00B74EB4" w:rsidP="00B74EB4">
      <w:pPr>
        <w:pStyle w:val="NormalWeb"/>
        <w:spacing w:before="0" w:beforeAutospacing="0" w:after="0" w:afterAutospacing="0"/>
        <w:jc w:val="both"/>
        <w:rPr>
          <w:rFonts w:asciiTheme="minorHAnsi" w:hAnsiTheme="minorHAnsi"/>
          <w:sz w:val="20"/>
          <w:szCs w:val="20"/>
        </w:rPr>
      </w:pPr>
    </w:p>
    <w:p w14:paraId="58520D33" w14:textId="660B401C" w:rsidR="002B6C43" w:rsidRPr="00262830" w:rsidRDefault="00E078D0" w:rsidP="00B74EB4">
      <w:pPr>
        <w:pStyle w:val="NormalWeb"/>
        <w:spacing w:before="0" w:beforeAutospacing="0" w:after="0" w:afterAutospacing="0"/>
        <w:jc w:val="both"/>
        <w:rPr>
          <w:rFonts w:asciiTheme="minorHAnsi" w:hAnsiTheme="minorHAnsi"/>
          <w:sz w:val="20"/>
          <w:szCs w:val="20"/>
        </w:rPr>
      </w:pPr>
      <w:r w:rsidRPr="00262830">
        <w:rPr>
          <w:rFonts w:asciiTheme="minorHAnsi" w:hAnsiTheme="minorHAnsi"/>
          <w:sz w:val="20"/>
          <w:szCs w:val="20"/>
        </w:rPr>
        <w:t xml:space="preserve">L’UE suggère que le processus se concentre sur l’amélioration, en particulier, de </w:t>
      </w:r>
      <w:r w:rsidR="00FA30F8" w:rsidRPr="00262830">
        <w:rPr>
          <w:rFonts w:asciiTheme="minorHAnsi" w:hAnsiTheme="minorHAnsi"/>
          <w:sz w:val="20"/>
          <w:szCs w:val="20"/>
        </w:rPr>
        <w:t>quatre</w:t>
      </w:r>
      <w:r w:rsidRPr="00262830">
        <w:rPr>
          <w:rFonts w:asciiTheme="minorHAnsi" w:hAnsiTheme="minorHAnsi"/>
          <w:sz w:val="20"/>
          <w:szCs w:val="20"/>
        </w:rPr>
        <w:t xml:space="preserve"> domaines de travail du COC</w:t>
      </w:r>
      <w:r w:rsidR="00EC767D" w:rsidRPr="00262830">
        <w:rPr>
          <w:rFonts w:asciiTheme="minorHAnsi" w:hAnsiTheme="minorHAnsi"/>
          <w:sz w:val="20"/>
          <w:szCs w:val="20"/>
        </w:rPr>
        <w:t> </w:t>
      </w:r>
      <w:r w:rsidRPr="00262830">
        <w:rPr>
          <w:rFonts w:asciiTheme="minorHAnsi" w:hAnsiTheme="minorHAnsi"/>
          <w:sz w:val="20"/>
          <w:szCs w:val="20"/>
        </w:rPr>
        <w:t xml:space="preserve">:  </w:t>
      </w:r>
    </w:p>
    <w:p w14:paraId="147991F5" w14:textId="77777777" w:rsidR="00EC767D" w:rsidRPr="00262830" w:rsidRDefault="00EC767D" w:rsidP="00B74EB4">
      <w:pPr>
        <w:pStyle w:val="NormalWeb"/>
        <w:spacing w:before="0" w:beforeAutospacing="0" w:after="0" w:afterAutospacing="0"/>
        <w:jc w:val="both"/>
        <w:rPr>
          <w:rFonts w:asciiTheme="minorHAnsi" w:hAnsiTheme="minorHAnsi"/>
          <w:sz w:val="20"/>
          <w:szCs w:val="20"/>
        </w:rPr>
      </w:pPr>
    </w:p>
    <w:p w14:paraId="1C28F89B" w14:textId="7526C3D5" w:rsidR="002B6C43" w:rsidRPr="00262830" w:rsidRDefault="00113940" w:rsidP="00262830">
      <w:pPr>
        <w:pStyle w:val="NormalWeb"/>
        <w:numPr>
          <w:ilvl w:val="0"/>
          <w:numId w:val="16"/>
        </w:numPr>
        <w:spacing w:before="0" w:beforeAutospacing="0" w:after="0" w:afterAutospacing="0"/>
        <w:ind w:left="426" w:hanging="426"/>
        <w:jc w:val="both"/>
        <w:rPr>
          <w:rFonts w:asciiTheme="minorHAnsi" w:hAnsiTheme="minorHAnsi"/>
          <w:sz w:val="20"/>
          <w:szCs w:val="20"/>
        </w:rPr>
      </w:pPr>
      <w:r w:rsidRPr="00262830">
        <w:rPr>
          <w:rFonts w:asciiTheme="minorHAnsi" w:hAnsiTheme="minorHAnsi"/>
          <w:sz w:val="20"/>
          <w:szCs w:val="20"/>
        </w:rPr>
        <w:t>I</w:t>
      </w:r>
      <w:r w:rsidR="00E078D0" w:rsidRPr="00262830">
        <w:rPr>
          <w:rFonts w:asciiTheme="minorHAnsi" w:hAnsiTheme="minorHAnsi"/>
          <w:sz w:val="20"/>
          <w:szCs w:val="20"/>
        </w:rPr>
        <w:t>dentifier les mesures et obligations pour lesquelles l</w:t>
      </w:r>
      <w:r w:rsidR="00D86D4B" w:rsidRPr="00262830">
        <w:rPr>
          <w:rFonts w:asciiTheme="minorHAnsi" w:hAnsiTheme="minorHAnsi"/>
          <w:sz w:val="20"/>
          <w:szCs w:val="20"/>
        </w:rPr>
        <w:t>’application</w:t>
      </w:r>
      <w:r w:rsidR="00E078D0" w:rsidRPr="00262830">
        <w:rPr>
          <w:rFonts w:asciiTheme="minorHAnsi" w:hAnsiTheme="minorHAnsi"/>
          <w:sz w:val="20"/>
          <w:szCs w:val="20"/>
        </w:rPr>
        <w:t xml:space="preserve"> doit être évaluée</w:t>
      </w:r>
      <w:r w:rsidR="004945B0" w:rsidRPr="00262830">
        <w:rPr>
          <w:rFonts w:asciiTheme="minorHAnsi" w:hAnsiTheme="minorHAnsi"/>
          <w:sz w:val="20"/>
          <w:szCs w:val="20"/>
        </w:rPr>
        <w:t> ;</w:t>
      </w:r>
    </w:p>
    <w:p w14:paraId="6AD6190A" w14:textId="6B33B252" w:rsidR="002B6C43" w:rsidRPr="00262830" w:rsidRDefault="00E078D0" w:rsidP="00262830">
      <w:pPr>
        <w:pStyle w:val="NormalWeb"/>
        <w:numPr>
          <w:ilvl w:val="0"/>
          <w:numId w:val="16"/>
        </w:numPr>
        <w:spacing w:before="0" w:beforeAutospacing="0" w:after="0" w:afterAutospacing="0"/>
        <w:ind w:left="426" w:hanging="426"/>
        <w:jc w:val="both"/>
        <w:rPr>
          <w:rFonts w:asciiTheme="minorHAnsi" w:hAnsiTheme="minorHAnsi"/>
          <w:sz w:val="20"/>
          <w:szCs w:val="20"/>
        </w:rPr>
      </w:pPr>
      <w:r w:rsidRPr="00262830">
        <w:rPr>
          <w:rFonts w:asciiTheme="minorHAnsi" w:hAnsiTheme="minorHAnsi"/>
          <w:sz w:val="20"/>
          <w:szCs w:val="20"/>
        </w:rPr>
        <w:t>Identifi</w:t>
      </w:r>
      <w:r w:rsidR="00113940" w:rsidRPr="00262830">
        <w:rPr>
          <w:rFonts w:asciiTheme="minorHAnsi" w:hAnsiTheme="minorHAnsi"/>
          <w:sz w:val="20"/>
          <w:szCs w:val="20"/>
        </w:rPr>
        <w:t>er</w:t>
      </w:r>
      <w:r w:rsidRPr="00262830">
        <w:rPr>
          <w:rFonts w:asciiTheme="minorHAnsi" w:hAnsiTheme="minorHAnsi"/>
          <w:sz w:val="20"/>
          <w:szCs w:val="20"/>
        </w:rPr>
        <w:t xml:space="preserve"> </w:t>
      </w:r>
      <w:r w:rsidR="00113940" w:rsidRPr="00262830">
        <w:rPr>
          <w:rFonts w:asciiTheme="minorHAnsi" w:hAnsiTheme="minorHAnsi"/>
          <w:sz w:val="20"/>
          <w:szCs w:val="20"/>
        </w:rPr>
        <w:t>l</w:t>
      </w:r>
      <w:r w:rsidRPr="00262830">
        <w:rPr>
          <w:rFonts w:asciiTheme="minorHAnsi" w:hAnsiTheme="minorHAnsi"/>
          <w:sz w:val="20"/>
          <w:szCs w:val="20"/>
        </w:rPr>
        <w:t xml:space="preserve">es informations disponibles et </w:t>
      </w:r>
      <w:r w:rsidR="00113940" w:rsidRPr="00262830">
        <w:rPr>
          <w:rFonts w:asciiTheme="minorHAnsi" w:hAnsiTheme="minorHAnsi"/>
          <w:sz w:val="20"/>
          <w:szCs w:val="20"/>
        </w:rPr>
        <w:t>l</w:t>
      </w:r>
      <w:r w:rsidRPr="00262830">
        <w:rPr>
          <w:rFonts w:asciiTheme="minorHAnsi" w:hAnsiTheme="minorHAnsi"/>
          <w:sz w:val="20"/>
          <w:szCs w:val="20"/>
        </w:rPr>
        <w:t>es informations nécessaires à la réalisation de cette évaluation</w:t>
      </w:r>
      <w:r w:rsidR="004945B0" w:rsidRPr="00262830">
        <w:rPr>
          <w:rFonts w:asciiTheme="minorHAnsi" w:hAnsiTheme="minorHAnsi"/>
          <w:sz w:val="20"/>
          <w:szCs w:val="20"/>
        </w:rPr>
        <w:t>.</w:t>
      </w:r>
    </w:p>
    <w:p w14:paraId="5850CD2F" w14:textId="77777777" w:rsidR="00EC767D" w:rsidRPr="00262830" w:rsidRDefault="00EC767D" w:rsidP="00EC767D">
      <w:pPr>
        <w:pStyle w:val="NormalWeb"/>
        <w:spacing w:before="0" w:beforeAutospacing="0" w:after="0" w:afterAutospacing="0"/>
        <w:jc w:val="both"/>
        <w:rPr>
          <w:rFonts w:asciiTheme="minorHAnsi" w:hAnsiTheme="minorHAnsi"/>
          <w:sz w:val="20"/>
          <w:szCs w:val="20"/>
        </w:rPr>
      </w:pPr>
    </w:p>
    <w:p w14:paraId="443E0F67" w14:textId="4BE32829" w:rsidR="002B6C43" w:rsidRPr="00262830" w:rsidRDefault="00E078D0" w:rsidP="00D86D4B">
      <w:pPr>
        <w:pStyle w:val="NormalWeb"/>
        <w:spacing w:before="0" w:beforeAutospacing="0" w:after="0" w:afterAutospacing="0"/>
        <w:ind w:left="426"/>
        <w:jc w:val="both"/>
        <w:rPr>
          <w:rFonts w:asciiTheme="minorHAnsi" w:hAnsiTheme="minorHAnsi"/>
          <w:sz w:val="20"/>
          <w:szCs w:val="20"/>
        </w:rPr>
      </w:pPr>
      <w:r w:rsidRPr="00262830">
        <w:rPr>
          <w:rFonts w:asciiTheme="minorHAnsi" w:hAnsiTheme="minorHAnsi"/>
          <w:sz w:val="20"/>
          <w:szCs w:val="20"/>
        </w:rPr>
        <w:t xml:space="preserve">Certains des documents </w:t>
      </w:r>
      <w:r w:rsidR="004945B0" w:rsidRPr="00262830">
        <w:rPr>
          <w:rFonts w:asciiTheme="minorHAnsi" w:hAnsiTheme="minorHAnsi"/>
          <w:sz w:val="20"/>
          <w:szCs w:val="20"/>
        </w:rPr>
        <w:t xml:space="preserve">du </w:t>
      </w:r>
      <w:r w:rsidRPr="00262830">
        <w:rPr>
          <w:rFonts w:asciiTheme="minorHAnsi" w:hAnsiTheme="minorHAnsi"/>
          <w:sz w:val="20"/>
          <w:szCs w:val="20"/>
        </w:rPr>
        <w:t xml:space="preserve">COC ne sont pas </w:t>
      </w:r>
      <w:r w:rsidR="00113940" w:rsidRPr="00262830">
        <w:rPr>
          <w:rFonts w:asciiTheme="minorHAnsi" w:hAnsiTheme="minorHAnsi"/>
          <w:sz w:val="20"/>
          <w:szCs w:val="20"/>
        </w:rPr>
        <w:t xml:space="preserve">entièrement </w:t>
      </w:r>
      <w:r w:rsidRPr="00262830">
        <w:rPr>
          <w:rFonts w:asciiTheme="minorHAnsi" w:hAnsiTheme="minorHAnsi"/>
          <w:sz w:val="20"/>
          <w:szCs w:val="20"/>
        </w:rPr>
        <w:t xml:space="preserve">appropriés ou manquent d’informations nécessaires pour effectuer les évaluations requises. </w:t>
      </w:r>
    </w:p>
    <w:p w14:paraId="5AB7A164" w14:textId="77777777" w:rsidR="00EC767D" w:rsidRPr="00262830" w:rsidRDefault="00EC767D" w:rsidP="00D86D4B">
      <w:pPr>
        <w:pStyle w:val="NormalWeb"/>
        <w:spacing w:before="0" w:beforeAutospacing="0" w:after="0" w:afterAutospacing="0"/>
        <w:ind w:left="426"/>
        <w:jc w:val="both"/>
        <w:rPr>
          <w:rFonts w:asciiTheme="minorHAnsi" w:hAnsiTheme="minorHAnsi"/>
          <w:sz w:val="20"/>
          <w:szCs w:val="20"/>
        </w:rPr>
      </w:pPr>
    </w:p>
    <w:p w14:paraId="412B012E" w14:textId="6B83556B" w:rsidR="002B6C43" w:rsidRPr="00262830" w:rsidRDefault="00E078D0" w:rsidP="00D86D4B">
      <w:pPr>
        <w:pStyle w:val="NormalWeb"/>
        <w:spacing w:before="0" w:beforeAutospacing="0" w:after="0" w:afterAutospacing="0"/>
        <w:ind w:left="426"/>
        <w:jc w:val="both"/>
        <w:rPr>
          <w:rFonts w:asciiTheme="minorHAnsi" w:hAnsiTheme="minorHAnsi"/>
          <w:sz w:val="20"/>
          <w:szCs w:val="20"/>
        </w:rPr>
      </w:pPr>
      <w:r w:rsidRPr="00262830">
        <w:rPr>
          <w:rFonts w:asciiTheme="minorHAnsi" w:hAnsiTheme="minorHAnsi"/>
          <w:sz w:val="20"/>
          <w:szCs w:val="20"/>
        </w:rPr>
        <w:t xml:space="preserve">Certaines des obligations actuelles en matière de </w:t>
      </w:r>
      <w:r w:rsidR="00B3034C" w:rsidRPr="00262830">
        <w:rPr>
          <w:rFonts w:asciiTheme="minorHAnsi" w:hAnsiTheme="minorHAnsi"/>
          <w:sz w:val="20"/>
          <w:szCs w:val="20"/>
        </w:rPr>
        <w:t>déclaration</w:t>
      </w:r>
      <w:r w:rsidRPr="00262830">
        <w:rPr>
          <w:rFonts w:asciiTheme="minorHAnsi" w:hAnsiTheme="minorHAnsi"/>
          <w:sz w:val="20"/>
          <w:szCs w:val="20"/>
        </w:rPr>
        <w:t xml:space="preserve"> figurant dans les différentes recommandations pourraient devoir être adaptées. Dans le même temps, d’autres obligations de déclaration, qui ne sont pas jugées utiles, pourraient être supprimées.</w:t>
      </w:r>
    </w:p>
    <w:p w14:paraId="134EB3FA" w14:textId="77777777" w:rsidR="00EC767D" w:rsidRPr="00262830" w:rsidRDefault="00EC767D" w:rsidP="00EC767D">
      <w:pPr>
        <w:pStyle w:val="NormalWeb"/>
        <w:spacing w:before="0" w:beforeAutospacing="0" w:after="0" w:afterAutospacing="0"/>
        <w:jc w:val="both"/>
        <w:rPr>
          <w:rFonts w:asciiTheme="minorHAnsi" w:hAnsiTheme="minorHAnsi"/>
          <w:sz w:val="20"/>
          <w:szCs w:val="20"/>
        </w:rPr>
      </w:pPr>
    </w:p>
    <w:p w14:paraId="65CE38EC" w14:textId="77777777" w:rsidR="00262830" w:rsidRDefault="00262830">
      <w:pPr>
        <w:rPr>
          <w:rFonts w:eastAsia="Times New Roman" w:cs="Times New Roman"/>
          <w:sz w:val="20"/>
          <w:szCs w:val="20"/>
        </w:rPr>
      </w:pPr>
      <w:bookmarkStart w:id="0" w:name="_Hlk212643019"/>
      <w:r>
        <w:rPr>
          <w:sz w:val="20"/>
          <w:szCs w:val="20"/>
        </w:rPr>
        <w:br w:type="page"/>
      </w:r>
    </w:p>
    <w:p w14:paraId="40E61802" w14:textId="18112BE9" w:rsidR="002B6C43" w:rsidRPr="00262830" w:rsidRDefault="007C0DF7" w:rsidP="00EC767D">
      <w:pPr>
        <w:pStyle w:val="NormalWeb"/>
        <w:numPr>
          <w:ilvl w:val="0"/>
          <w:numId w:val="16"/>
        </w:numPr>
        <w:tabs>
          <w:tab w:val="left" w:pos="426"/>
        </w:tabs>
        <w:spacing w:before="0" w:beforeAutospacing="0" w:after="0" w:afterAutospacing="0"/>
        <w:ind w:left="426" w:hanging="426"/>
        <w:jc w:val="both"/>
        <w:rPr>
          <w:rFonts w:asciiTheme="minorHAnsi" w:hAnsiTheme="minorHAnsi"/>
          <w:sz w:val="20"/>
          <w:szCs w:val="20"/>
        </w:rPr>
      </w:pPr>
      <w:r w:rsidRPr="00262830">
        <w:rPr>
          <w:rFonts w:asciiTheme="minorHAnsi" w:hAnsiTheme="minorHAnsi"/>
          <w:sz w:val="20"/>
          <w:szCs w:val="20"/>
        </w:rPr>
        <w:lastRenderedPageBreak/>
        <w:t>Concevoir des d</w:t>
      </w:r>
      <w:r w:rsidR="00E078D0" w:rsidRPr="00262830">
        <w:rPr>
          <w:rFonts w:asciiTheme="minorHAnsi" w:hAnsiTheme="minorHAnsi"/>
          <w:sz w:val="20"/>
          <w:szCs w:val="20"/>
        </w:rPr>
        <w:t xml:space="preserve">ocuments de </w:t>
      </w:r>
      <w:r w:rsidRPr="00262830">
        <w:rPr>
          <w:rFonts w:asciiTheme="minorHAnsi" w:hAnsiTheme="minorHAnsi"/>
          <w:sz w:val="20"/>
          <w:szCs w:val="20"/>
        </w:rPr>
        <w:t>réunion</w:t>
      </w:r>
      <w:r w:rsidR="00E078D0" w:rsidRPr="00262830">
        <w:rPr>
          <w:rFonts w:asciiTheme="minorHAnsi" w:hAnsiTheme="minorHAnsi"/>
          <w:sz w:val="20"/>
          <w:szCs w:val="20"/>
        </w:rPr>
        <w:t xml:space="preserve"> contenant des informations </w:t>
      </w:r>
      <w:r w:rsidR="006E03E4" w:rsidRPr="00262830">
        <w:rPr>
          <w:rFonts w:asciiTheme="minorHAnsi" w:hAnsiTheme="minorHAnsi"/>
          <w:sz w:val="20"/>
          <w:szCs w:val="20"/>
        </w:rPr>
        <w:t>abrégées</w:t>
      </w:r>
      <w:r w:rsidR="00E078D0" w:rsidRPr="00262830">
        <w:rPr>
          <w:rFonts w:asciiTheme="minorHAnsi" w:hAnsiTheme="minorHAnsi"/>
          <w:sz w:val="20"/>
          <w:szCs w:val="20"/>
        </w:rPr>
        <w:t xml:space="preserve"> qui faciliteraient la réalisation de cette évaluation</w:t>
      </w:r>
      <w:r w:rsidR="00B3034C" w:rsidRPr="00262830">
        <w:rPr>
          <w:rFonts w:asciiTheme="minorHAnsi" w:hAnsiTheme="minorHAnsi"/>
          <w:sz w:val="20"/>
          <w:szCs w:val="20"/>
        </w:rPr>
        <w:t>.</w:t>
      </w:r>
    </w:p>
    <w:p w14:paraId="3D0AB408" w14:textId="77777777" w:rsidR="00EC767D" w:rsidRPr="00262830" w:rsidRDefault="00EC767D" w:rsidP="00EC767D">
      <w:pPr>
        <w:pStyle w:val="NormalWeb"/>
        <w:tabs>
          <w:tab w:val="left" w:pos="426"/>
        </w:tabs>
        <w:spacing w:before="0" w:beforeAutospacing="0" w:after="0" w:afterAutospacing="0"/>
        <w:jc w:val="both"/>
        <w:rPr>
          <w:rFonts w:asciiTheme="minorHAnsi" w:hAnsiTheme="minorHAnsi"/>
          <w:sz w:val="20"/>
          <w:szCs w:val="20"/>
        </w:rPr>
      </w:pPr>
    </w:p>
    <w:bookmarkEnd w:id="0"/>
    <w:p w14:paraId="18B90FEA" w14:textId="1208C026" w:rsidR="002B6C43" w:rsidRPr="00262830" w:rsidRDefault="00E078D0" w:rsidP="00D86D4B">
      <w:pPr>
        <w:pStyle w:val="NormalWeb"/>
        <w:spacing w:before="0" w:beforeAutospacing="0" w:after="0" w:afterAutospacing="0"/>
        <w:ind w:left="426"/>
        <w:jc w:val="both"/>
        <w:rPr>
          <w:rFonts w:asciiTheme="minorHAnsi" w:hAnsiTheme="minorHAnsi"/>
          <w:sz w:val="20"/>
          <w:szCs w:val="20"/>
        </w:rPr>
      </w:pPr>
      <w:r w:rsidRPr="00262830">
        <w:rPr>
          <w:rFonts w:asciiTheme="minorHAnsi" w:hAnsiTheme="minorHAnsi"/>
          <w:sz w:val="20"/>
          <w:szCs w:val="20"/>
        </w:rPr>
        <w:t xml:space="preserve">Compte tenu du nombre élevé de documents publiés </w:t>
      </w:r>
      <w:r w:rsidR="00DB075F" w:rsidRPr="00262830">
        <w:rPr>
          <w:rFonts w:asciiTheme="minorHAnsi" w:hAnsiTheme="minorHAnsi"/>
          <w:sz w:val="20"/>
          <w:szCs w:val="20"/>
        </w:rPr>
        <w:t>pour le COC</w:t>
      </w:r>
      <w:r w:rsidRPr="00262830">
        <w:rPr>
          <w:rFonts w:asciiTheme="minorHAnsi" w:hAnsiTheme="minorHAnsi"/>
          <w:sz w:val="20"/>
          <w:szCs w:val="20"/>
        </w:rPr>
        <w:t xml:space="preserve">, ainsi que de leur longueur et de leur format, il est </w:t>
      </w:r>
      <w:r w:rsidR="00DB075F" w:rsidRPr="00262830">
        <w:rPr>
          <w:rFonts w:asciiTheme="minorHAnsi" w:hAnsiTheme="minorHAnsi"/>
          <w:sz w:val="20"/>
          <w:szCs w:val="20"/>
        </w:rPr>
        <w:t xml:space="preserve">souvent </w:t>
      </w:r>
      <w:r w:rsidRPr="00262830">
        <w:rPr>
          <w:rFonts w:asciiTheme="minorHAnsi" w:hAnsiTheme="minorHAnsi"/>
          <w:sz w:val="20"/>
          <w:szCs w:val="20"/>
        </w:rPr>
        <w:t xml:space="preserve">difficile pour les </w:t>
      </w:r>
      <w:r w:rsidR="000D3815" w:rsidRPr="00262830">
        <w:rPr>
          <w:rFonts w:asciiTheme="minorHAnsi" w:hAnsiTheme="minorHAnsi"/>
          <w:sz w:val="20"/>
          <w:szCs w:val="20"/>
        </w:rPr>
        <w:t>CPC</w:t>
      </w:r>
      <w:r w:rsidRPr="00262830">
        <w:rPr>
          <w:rFonts w:asciiTheme="minorHAnsi" w:hAnsiTheme="minorHAnsi"/>
          <w:sz w:val="20"/>
          <w:szCs w:val="20"/>
        </w:rPr>
        <w:t xml:space="preserve"> d’analyser les informations et de tirer les conclusions nécessaires.</w:t>
      </w:r>
    </w:p>
    <w:p w14:paraId="7A12BC78" w14:textId="77777777" w:rsidR="00EC767D" w:rsidRPr="00262830" w:rsidRDefault="00EC767D" w:rsidP="00D86D4B">
      <w:pPr>
        <w:pStyle w:val="NormalWeb"/>
        <w:spacing w:before="0" w:beforeAutospacing="0" w:after="0" w:afterAutospacing="0"/>
        <w:ind w:left="426"/>
        <w:jc w:val="both"/>
        <w:rPr>
          <w:rFonts w:asciiTheme="minorHAnsi" w:hAnsiTheme="minorHAnsi"/>
          <w:sz w:val="20"/>
          <w:szCs w:val="20"/>
        </w:rPr>
      </w:pPr>
    </w:p>
    <w:p w14:paraId="318F7A57" w14:textId="7F48BDE7" w:rsidR="002B6C43" w:rsidRPr="00262830" w:rsidRDefault="00E078D0" w:rsidP="00D86D4B">
      <w:pPr>
        <w:pStyle w:val="NormalWeb"/>
        <w:spacing w:before="0" w:beforeAutospacing="0" w:after="0" w:afterAutospacing="0"/>
        <w:ind w:left="426"/>
        <w:jc w:val="both"/>
        <w:rPr>
          <w:rFonts w:asciiTheme="minorHAnsi" w:hAnsiTheme="minorHAnsi"/>
          <w:sz w:val="20"/>
          <w:szCs w:val="20"/>
        </w:rPr>
      </w:pPr>
      <w:r w:rsidRPr="00262830">
        <w:rPr>
          <w:rFonts w:asciiTheme="minorHAnsi" w:hAnsiTheme="minorHAnsi"/>
          <w:sz w:val="20"/>
          <w:szCs w:val="20"/>
        </w:rPr>
        <w:t xml:space="preserve">En 2024, 64 documents de réunion étaient disponibles pour le seul </w:t>
      </w:r>
      <w:r w:rsidR="003D1FED" w:rsidRPr="00262830">
        <w:rPr>
          <w:rFonts w:asciiTheme="minorHAnsi" w:hAnsiTheme="minorHAnsi"/>
          <w:sz w:val="20"/>
          <w:szCs w:val="20"/>
        </w:rPr>
        <w:t>C</w:t>
      </w:r>
      <w:r w:rsidRPr="00262830">
        <w:rPr>
          <w:rFonts w:asciiTheme="minorHAnsi" w:hAnsiTheme="minorHAnsi"/>
          <w:sz w:val="20"/>
          <w:szCs w:val="20"/>
        </w:rPr>
        <w:t xml:space="preserve">omité </w:t>
      </w:r>
      <w:r w:rsidR="00DB075F" w:rsidRPr="00262830">
        <w:rPr>
          <w:rFonts w:asciiTheme="minorHAnsi" w:hAnsiTheme="minorHAnsi"/>
          <w:sz w:val="20"/>
          <w:szCs w:val="20"/>
        </w:rPr>
        <w:t>d’application</w:t>
      </w:r>
      <w:r w:rsidRPr="00262830">
        <w:rPr>
          <w:rFonts w:asciiTheme="minorHAnsi" w:hAnsiTheme="minorHAnsi"/>
          <w:sz w:val="20"/>
          <w:szCs w:val="20"/>
        </w:rPr>
        <w:t xml:space="preserve"> (23 documents + 31 annexes + 10 </w:t>
      </w:r>
      <w:proofErr w:type="spellStart"/>
      <w:r w:rsidRPr="00262830">
        <w:rPr>
          <w:rFonts w:asciiTheme="minorHAnsi" w:hAnsiTheme="minorHAnsi"/>
          <w:sz w:val="20"/>
          <w:szCs w:val="20"/>
        </w:rPr>
        <w:t>addendums</w:t>
      </w:r>
      <w:proofErr w:type="spellEnd"/>
      <w:r w:rsidRPr="00262830">
        <w:rPr>
          <w:rFonts w:asciiTheme="minorHAnsi" w:hAnsiTheme="minorHAnsi"/>
          <w:sz w:val="20"/>
          <w:szCs w:val="20"/>
        </w:rPr>
        <w:t>). Si l’on ajoute toutes les versions révisées, cela va jusqu’à 123 documents de réunion. Certains documents sont extrêmement longs (jusqu’à 1200 pages) et/ou très complexes (grande quantité d’informations ou de données)</w:t>
      </w:r>
      <w:r w:rsidR="00EC767D" w:rsidRPr="00262830">
        <w:rPr>
          <w:rFonts w:asciiTheme="minorHAnsi" w:hAnsiTheme="minorHAnsi"/>
          <w:sz w:val="20"/>
          <w:szCs w:val="20"/>
        </w:rPr>
        <w:t>.</w:t>
      </w:r>
    </w:p>
    <w:p w14:paraId="01B15D88" w14:textId="77777777" w:rsidR="00EC767D" w:rsidRPr="00262830" w:rsidRDefault="00EC767D" w:rsidP="00D86D4B">
      <w:pPr>
        <w:pStyle w:val="NormalWeb"/>
        <w:spacing w:before="0" w:beforeAutospacing="0" w:after="0" w:afterAutospacing="0"/>
        <w:ind w:left="426"/>
        <w:jc w:val="both"/>
        <w:rPr>
          <w:rFonts w:asciiTheme="minorHAnsi" w:hAnsiTheme="minorHAnsi"/>
          <w:sz w:val="20"/>
          <w:szCs w:val="20"/>
        </w:rPr>
      </w:pPr>
    </w:p>
    <w:p w14:paraId="52464A9B" w14:textId="5A658401" w:rsidR="002B6C43" w:rsidRPr="00262830" w:rsidRDefault="00E078D0" w:rsidP="00D86D4B">
      <w:pPr>
        <w:pStyle w:val="NormalWeb"/>
        <w:spacing w:before="0" w:beforeAutospacing="0" w:after="0" w:afterAutospacing="0"/>
        <w:ind w:left="426"/>
        <w:jc w:val="both"/>
        <w:rPr>
          <w:rFonts w:asciiTheme="minorHAnsi" w:hAnsiTheme="minorHAnsi"/>
          <w:sz w:val="20"/>
          <w:szCs w:val="20"/>
        </w:rPr>
      </w:pPr>
      <w:r w:rsidRPr="00262830">
        <w:rPr>
          <w:rFonts w:asciiTheme="minorHAnsi" w:hAnsiTheme="minorHAnsi"/>
          <w:sz w:val="20"/>
          <w:szCs w:val="20"/>
        </w:rPr>
        <w:t>Au-delà du nombre de documents et de leur longueur, la présentation et le format des documents revêtent une importance particulière. Les documents clés, bien qu’ils contiennent des informations importantes, sont présentés d’une manière telle qu’il est difficile de tirer des conclusions immédiates.</w:t>
      </w:r>
    </w:p>
    <w:p w14:paraId="445422E3" w14:textId="77777777" w:rsidR="00EC767D" w:rsidRPr="00262830" w:rsidRDefault="00EC767D" w:rsidP="00EC767D">
      <w:pPr>
        <w:pStyle w:val="NormalWeb"/>
        <w:spacing w:before="0" w:beforeAutospacing="0" w:after="0" w:afterAutospacing="0"/>
        <w:jc w:val="both"/>
        <w:rPr>
          <w:rFonts w:asciiTheme="minorHAnsi" w:hAnsiTheme="minorHAnsi"/>
          <w:sz w:val="20"/>
          <w:szCs w:val="20"/>
        </w:rPr>
      </w:pPr>
    </w:p>
    <w:p w14:paraId="67D88D14" w14:textId="56337AD5" w:rsidR="002B6C43" w:rsidRPr="00262830" w:rsidRDefault="002F751D" w:rsidP="00EC767D">
      <w:pPr>
        <w:pStyle w:val="NormalWeb"/>
        <w:numPr>
          <w:ilvl w:val="0"/>
          <w:numId w:val="16"/>
        </w:numPr>
        <w:tabs>
          <w:tab w:val="left" w:pos="426"/>
        </w:tabs>
        <w:spacing w:before="0" w:beforeAutospacing="0" w:after="0" w:afterAutospacing="0"/>
        <w:ind w:left="426" w:hanging="426"/>
        <w:jc w:val="both"/>
        <w:rPr>
          <w:rFonts w:asciiTheme="minorHAnsi" w:hAnsiTheme="minorHAnsi"/>
          <w:sz w:val="20"/>
          <w:szCs w:val="20"/>
        </w:rPr>
      </w:pPr>
      <w:r w:rsidRPr="00262830">
        <w:rPr>
          <w:rFonts w:asciiTheme="minorHAnsi" w:hAnsiTheme="minorHAnsi"/>
          <w:sz w:val="20"/>
          <w:szCs w:val="20"/>
        </w:rPr>
        <w:t>M</w:t>
      </w:r>
      <w:r w:rsidR="00E078D0" w:rsidRPr="00262830">
        <w:rPr>
          <w:rFonts w:asciiTheme="minorHAnsi" w:hAnsiTheme="minorHAnsi"/>
          <w:sz w:val="20"/>
          <w:szCs w:val="20"/>
        </w:rPr>
        <w:t>ettre en place un mécanisme permettant de suivre les tendances en matière d</w:t>
      </w:r>
      <w:r w:rsidR="00BC5438" w:rsidRPr="00262830">
        <w:rPr>
          <w:rFonts w:asciiTheme="minorHAnsi" w:hAnsiTheme="minorHAnsi"/>
          <w:sz w:val="20"/>
          <w:szCs w:val="20"/>
        </w:rPr>
        <w:t xml:space="preserve">’application </w:t>
      </w:r>
      <w:r w:rsidR="00E078D0" w:rsidRPr="00262830">
        <w:rPr>
          <w:rFonts w:asciiTheme="minorHAnsi" w:hAnsiTheme="minorHAnsi"/>
          <w:sz w:val="20"/>
          <w:szCs w:val="20"/>
        </w:rPr>
        <w:t>au fil du temps, de recenser les préoccupations importantes en matière d</w:t>
      </w:r>
      <w:r w:rsidR="00D86D4B" w:rsidRPr="00262830">
        <w:rPr>
          <w:rFonts w:asciiTheme="minorHAnsi" w:hAnsiTheme="minorHAnsi"/>
          <w:sz w:val="20"/>
          <w:szCs w:val="20"/>
        </w:rPr>
        <w:t>’application</w:t>
      </w:r>
      <w:r w:rsidR="00E078D0" w:rsidRPr="00262830">
        <w:rPr>
          <w:rFonts w:asciiTheme="minorHAnsi" w:hAnsiTheme="minorHAnsi"/>
          <w:sz w:val="20"/>
          <w:szCs w:val="20"/>
        </w:rPr>
        <w:t xml:space="preserve"> et/ou les problèmes systémiques et les conséquences de la non-</w:t>
      </w:r>
      <w:r w:rsidR="00BC5438" w:rsidRPr="00262830">
        <w:rPr>
          <w:rFonts w:asciiTheme="minorHAnsi" w:hAnsiTheme="minorHAnsi"/>
          <w:sz w:val="20"/>
          <w:szCs w:val="20"/>
        </w:rPr>
        <w:t>application</w:t>
      </w:r>
      <w:r w:rsidR="00E078D0" w:rsidRPr="00262830">
        <w:rPr>
          <w:rFonts w:asciiTheme="minorHAnsi" w:hAnsiTheme="minorHAnsi"/>
          <w:sz w:val="20"/>
          <w:szCs w:val="20"/>
        </w:rPr>
        <w:t xml:space="preserve"> et, le cas échéant, d’élaborer des normes</w:t>
      </w:r>
      <w:r w:rsidRPr="00262830">
        <w:rPr>
          <w:rFonts w:asciiTheme="minorHAnsi" w:hAnsiTheme="minorHAnsi"/>
          <w:sz w:val="20"/>
          <w:szCs w:val="20"/>
        </w:rPr>
        <w:t xml:space="preserve"> </w:t>
      </w:r>
      <w:r w:rsidR="00E078D0" w:rsidRPr="00262830">
        <w:rPr>
          <w:rFonts w:asciiTheme="minorHAnsi" w:hAnsiTheme="minorHAnsi"/>
          <w:sz w:val="20"/>
          <w:szCs w:val="20"/>
        </w:rPr>
        <w:t>«</w:t>
      </w:r>
      <w:r w:rsidRPr="00262830">
        <w:rPr>
          <w:rFonts w:asciiTheme="minorHAnsi" w:hAnsiTheme="minorHAnsi"/>
          <w:sz w:val="20"/>
          <w:szCs w:val="20"/>
        </w:rPr>
        <w:t xml:space="preserve"> </w:t>
      </w:r>
      <w:r w:rsidR="00E078D0" w:rsidRPr="00262830">
        <w:rPr>
          <w:rFonts w:asciiTheme="minorHAnsi" w:hAnsiTheme="minorHAnsi"/>
          <w:sz w:val="20"/>
          <w:szCs w:val="20"/>
        </w:rPr>
        <w:t>actions de suivi</w:t>
      </w:r>
      <w:r w:rsidRPr="00262830">
        <w:rPr>
          <w:rFonts w:asciiTheme="minorHAnsi" w:hAnsiTheme="minorHAnsi"/>
          <w:sz w:val="20"/>
          <w:szCs w:val="20"/>
        </w:rPr>
        <w:t xml:space="preserve"> </w:t>
      </w:r>
      <w:r w:rsidR="00E078D0" w:rsidRPr="00262830">
        <w:rPr>
          <w:rFonts w:asciiTheme="minorHAnsi" w:hAnsiTheme="minorHAnsi"/>
          <w:sz w:val="20"/>
          <w:szCs w:val="20"/>
        </w:rPr>
        <w:t>» des problèmes d</w:t>
      </w:r>
      <w:r w:rsidR="00D86D4B" w:rsidRPr="00262830">
        <w:rPr>
          <w:rFonts w:asciiTheme="minorHAnsi" w:hAnsiTheme="minorHAnsi"/>
          <w:sz w:val="20"/>
          <w:szCs w:val="20"/>
        </w:rPr>
        <w:t>’application</w:t>
      </w:r>
      <w:r w:rsidR="00EC767D" w:rsidRPr="00262830">
        <w:rPr>
          <w:rFonts w:asciiTheme="minorHAnsi" w:hAnsiTheme="minorHAnsi"/>
          <w:sz w:val="20"/>
          <w:szCs w:val="20"/>
        </w:rPr>
        <w:t>.</w:t>
      </w:r>
    </w:p>
    <w:p w14:paraId="298131FE" w14:textId="77777777" w:rsidR="00EC767D" w:rsidRPr="00262830" w:rsidRDefault="00EC767D" w:rsidP="00EC767D">
      <w:pPr>
        <w:pStyle w:val="NormalWeb"/>
        <w:tabs>
          <w:tab w:val="left" w:pos="426"/>
        </w:tabs>
        <w:spacing w:before="0" w:beforeAutospacing="0" w:after="0" w:afterAutospacing="0"/>
        <w:ind w:left="426"/>
        <w:jc w:val="both"/>
        <w:rPr>
          <w:rFonts w:asciiTheme="minorHAnsi" w:hAnsiTheme="minorHAnsi"/>
          <w:sz w:val="20"/>
          <w:szCs w:val="20"/>
        </w:rPr>
      </w:pPr>
    </w:p>
    <w:p w14:paraId="2DE538F6" w14:textId="1A7757BA" w:rsidR="002B6C43" w:rsidRPr="00262830" w:rsidRDefault="00E078D0" w:rsidP="00D86D4B">
      <w:pPr>
        <w:pStyle w:val="NormalWeb"/>
        <w:spacing w:before="0" w:beforeAutospacing="0" w:after="0" w:afterAutospacing="0"/>
        <w:ind w:left="426"/>
        <w:jc w:val="both"/>
        <w:rPr>
          <w:rFonts w:asciiTheme="minorHAnsi" w:hAnsiTheme="minorHAnsi"/>
          <w:sz w:val="20"/>
          <w:szCs w:val="20"/>
        </w:rPr>
      </w:pPr>
      <w:r w:rsidRPr="00262830">
        <w:rPr>
          <w:rFonts w:asciiTheme="minorHAnsi" w:hAnsiTheme="minorHAnsi"/>
          <w:sz w:val="20"/>
          <w:szCs w:val="20"/>
        </w:rPr>
        <w:t xml:space="preserve">Le principal objectif du COC est d’identifier et de remédier au non-respect des obligations de </w:t>
      </w:r>
      <w:r w:rsidR="00585DD3" w:rsidRPr="00262830">
        <w:rPr>
          <w:rFonts w:asciiTheme="minorHAnsi" w:hAnsiTheme="minorHAnsi"/>
          <w:sz w:val="20"/>
          <w:szCs w:val="20"/>
        </w:rPr>
        <w:t>l’ICCAT</w:t>
      </w:r>
      <w:r w:rsidRPr="00262830">
        <w:rPr>
          <w:rFonts w:asciiTheme="minorHAnsi" w:hAnsiTheme="minorHAnsi"/>
          <w:sz w:val="20"/>
          <w:szCs w:val="20"/>
        </w:rPr>
        <w:t>. Il importe que les problèmes d</w:t>
      </w:r>
      <w:r w:rsidR="00D86D4B" w:rsidRPr="00262830">
        <w:rPr>
          <w:rFonts w:asciiTheme="minorHAnsi" w:hAnsiTheme="minorHAnsi"/>
          <w:sz w:val="20"/>
          <w:szCs w:val="20"/>
        </w:rPr>
        <w:t>’application</w:t>
      </w:r>
      <w:r w:rsidRPr="00262830">
        <w:rPr>
          <w:rFonts w:asciiTheme="minorHAnsi" w:hAnsiTheme="minorHAnsi"/>
          <w:sz w:val="20"/>
          <w:szCs w:val="20"/>
        </w:rPr>
        <w:t xml:space="preserve"> détectés par les </w:t>
      </w:r>
      <w:r w:rsidR="000D3815" w:rsidRPr="00262830">
        <w:rPr>
          <w:rFonts w:asciiTheme="minorHAnsi" w:hAnsiTheme="minorHAnsi"/>
          <w:sz w:val="20"/>
          <w:szCs w:val="20"/>
        </w:rPr>
        <w:t>CPC</w:t>
      </w:r>
      <w:r w:rsidRPr="00262830">
        <w:rPr>
          <w:rFonts w:asciiTheme="minorHAnsi" w:hAnsiTheme="minorHAnsi"/>
          <w:sz w:val="20"/>
          <w:szCs w:val="20"/>
        </w:rPr>
        <w:t xml:space="preserve"> fassent l’objet d’un suivi efficace et en temps utile. </w:t>
      </w:r>
    </w:p>
    <w:p w14:paraId="248CF30F" w14:textId="77777777" w:rsidR="00EC767D" w:rsidRPr="00262830" w:rsidRDefault="00EC767D" w:rsidP="00D86D4B">
      <w:pPr>
        <w:pStyle w:val="NormalWeb"/>
        <w:spacing w:before="0" w:beforeAutospacing="0" w:after="0" w:afterAutospacing="0"/>
        <w:ind w:left="426"/>
        <w:jc w:val="both"/>
        <w:rPr>
          <w:rFonts w:asciiTheme="minorHAnsi" w:hAnsiTheme="minorHAnsi"/>
          <w:sz w:val="20"/>
          <w:szCs w:val="20"/>
        </w:rPr>
      </w:pPr>
    </w:p>
    <w:p w14:paraId="6F249D8E" w14:textId="17A3CF22" w:rsidR="002B6C43" w:rsidRPr="00262830" w:rsidRDefault="00E078D0" w:rsidP="00D86D4B">
      <w:pPr>
        <w:pStyle w:val="NormalWeb"/>
        <w:spacing w:before="0" w:beforeAutospacing="0" w:after="0" w:afterAutospacing="0"/>
        <w:ind w:left="426"/>
        <w:jc w:val="both"/>
        <w:rPr>
          <w:rFonts w:asciiTheme="minorHAnsi" w:hAnsiTheme="minorHAnsi"/>
          <w:sz w:val="20"/>
          <w:szCs w:val="20"/>
        </w:rPr>
      </w:pPr>
      <w:r w:rsidRPr="00262830">
        <w:rPr>
          <w:rFonts w:asciiTheme="minorHAnsi" w:hAnsiTheme="minorHAnsi"/>
          <w:sz w:val="20"/>
          <w:szCs w:val="20"/>
        </w:rPr>
        <w:t>Un mécanisme «</w:t>
      </w:r>
      <w:r w:rsidR="002F751D" w:rsidRPr="00262830">
        <w:rPr>
          <w:rFonts w:asciiTheme="minorHAnsi" w:hAnsiTheme="minorHAnsi"/>
          <w:sz w:val="20"/>
          <w:szCs w:val="20"/>
        </w:rPr>
        <w:t xml:space="preserve"> </w:t>
      </w:r>
      <w:r w:rsidRPr="00262830">
        <w:rPr>
          <w:rFonts w:asciiTheme="minorHAnsi" w:hAnsiTheme="minorHAnsi"/>
          <w:sz w:val="20"/>
          <w:szCs w:val="20"/>
        </w:rPr>
        <w:t>automatique</w:t>
      </w:r>
      <w:r w:rsidR="002F751D" w:rsidRPr="00262830">
        <w:rPr>
          <w:rFonts w:asciiTheme="minorHAnsi" w:hAnsiTheme="minorHAnsi"/>
          <w:sz w:val="20"/>
          <w:szCs w:val="20"/>
        </w:rPr>
        <w:t xml:space="preserve"> </w:t>
      </w:r>
      <w:r w:rsidRPr="00262830">
        <w:rPr>
          <w:rFonts w:asciiTheme="minorHAnsi" w:hAnsiTheme="minorHAnsi"/>
          <w:sz w:val="20"/>
          <w:szCs w:val="20"/>
        </w:rPr>
        <w:t>» qui déclenche des actions de suivi en cas de non-</w:t>
      </w:r>
      <w:r w:rsidR="00A56645" w:rsidRPr="00262830">
        <w:rPr>
          <w:rFonts w:asciiTheme="minorHAnsi" w:hAnsiTheme="minorHAnsi"/>
          <w:sz w:val="20"/>
          <w:szCs w:val="20"/>
        </w:rPr>
        <w:t xml:space="preserve"> application </w:t>
      </w:r>
      <w:r w:rsidRPr="00262830">
        <w:rPr>
          <w:rFonts w:asciiTheme="minorHAnsi" w:hAnsiTheme="minorHAnsi"/>
          <w:sz w:val="20"/>
          <w:szCs w:val="20"/>
        </w:rPr>
        <w:t xml:space="preserve">détectée pourrait être utile pour guider les </w:t>
      </w:r>
      <w:r w:rsidR="000D3815" w:rsidRPr="00262830">
        <w:rPr>
          <w:rFonts w:asciiTheme="minorHAnsi" w:hAnsiTheme="minorHAnsi"/>
          <w:sz w:val="20"/>
          <w:szCs w:val="20"/>
        </w:rPr>
        <w:t>CPC</w:t>
      </w:r>
      <w:r w:rsidRPr="00262830">
        <w:rPr>
          <w:rFonts w:asciiTheme="minorHAnsi" w:hAnsiTheme="minorHAnsi"/>
          <w:sz w:val="20"/>
          <w:szCs w:val="20"/>
        </w:rPr>
        <w:t xml:space="preserve"> et le COC dans la résolution des problèmes. Il pourrait également fournir des orientations au </w:t>
      </w:r>
      <w:r w:rsidR="00A56645" w:rsidRPr="00262830">
        <w:rPr>
          <w:rFonts w:asciiTheme="minorHAnsi" w:hAnsiTheme="minorHAnsi"/>
          <w:sz w:val="20"/>
          <w:szCs w:val="20"/>
        </w:rPr>
        <w:t>S</w:t>
      </w:r>
      <w:r w:rsidRPr="00262830">
        <w:rPr>
          <w:rFonts w:asciiTheme="minorHAnsi" w:hAnsiTheme="minorHAnsi"/>
          <w:sz w:val="20"/>
          <w:szCs w:val="20"/>
        </w:rPr>
        <w:t xml:space="preserve">ecrétariat dans ses activités </w:t>
      </w:r>
      <w:r w:rsidR="001D3F96" w:rsidRPr="00262830">
        <w:rPr>
          <w:rFonts w:asciiTheme="minorHAnsi" w:hAnsiTheme="minorHAnsi"/>
          <w:sz w:val="20"/>
          <w:szCs w:val="20"/>
        </w:rPr>
        <w:t>d’application</w:t>
      </w:r>
      <w:r w:rsidRPr="00262830">
        <w:rPr>
          <w:rFonts w:asciiTheme="minorHAnsi" w:hAnsiTheme="minorHAnsi"/>
          <w:sz w:val="20"/>
          <w:szCs w:val="20"/>
        </w:rPr>
        <w:t xml:space="preserve"> et de renforcement des capacités. </w:t>
      </w:r>
    </w:p>
    <w:p w14:paraId="37E97BC5" w14:textId="77777777" w:rsidR="00EC767D" w:rsidRPr="00262830" w:rsidRDefault="00EC767D" w:rsidP="00D86D4B">
      <w:pPr>
        <w:pStyle w:val="NormalWeb"/>
        <w:spacing w:before="0" w:beforeAutospacing="0" w:after="0" w:afterAutospacing="0"/>
        <w:ind w:left="426"/>
        <w:jc w:val="both"/>
        <w:rPr>
          <w:rFonts w:asciiTheme="minorHAnsi" w:hAnsiTheme="minorHAnsi"/>
          <w:sz w:val="20"/>
          <w:szCs w:val="20"/>
        </w:rPr>
      </w:pPr>
    </w:p>
    <w:p w14:paraId="0591E877" w14:textId="3C287343" w:rsidR="002B6C43" w:rsidRPr="00262830" w:rsidRDefault="00E078D0" w:rsidP="00D86D4B">
      <w:pPr>
        <w:pStyle w:val="NormalWeb"/>
        <w:spacing w:before="0" w:beforeAutospacing="0" w:after="0" w:afterAutospacing="0"/>
        <w:ind w:left="426"/>
        <w:jc w:val="both"/>
        <w:rPr>
          <w:rFonts w:asciiTheme="minorHAnsi" w:hAnsiTheme="minorHAnsi"/>
          <w:sz w:val="20"/>
          <w:szCs w:val="20"/>
        </w:rPr>
      </w:pPr>
      <w:r w:rsidRPr="00262830">
        <w:rPr>
          <w:rFonts w:asciiTheme="minorHAnsi" w:hAnsiTheme="minorHAnsi"/>
          <w:sz w:val="20"/>
          <w:szCs w:val="20"/>
        </w:rPr>
        <w:t xml:space="preserve">Le fait de consacrer davantage de temps au COC pour discuter du suivi par les </w:t>
      </w:r>
      <w:r w:rsidR="000D3815" w:rsidRPr="00262830">
        <w:rPr>
          <w:rFonts w:asciiTheme="minorHAnsi" w:hAnsiTheme="minorHAnsi"/>
          <w:sz w:val="20"/>
          <w:szCs w:val="20"/>
        </w:rPr>
        <w:t>CPC</w:t>
      </w:r>
      <w:r w:rsidRPr="00262830">
        <w:rPr>
          <w:rFonts w:asciiTheme="minorHAnsi" w:hAnsiTheme="minorHAnsi"/>
          <w:sz w:val="20"/>
          <w:szCs w:val="20"/>
        </w:rPr>
        <w:t xml:space="preserve"> des problèmes de non-</w:t>
      </w:r>
      <w:r w:rsidR="001D3F96" w:rsidRPr="00262830">
        <w:rPr>
          <w:rFonts w:asciiTheme="minorHAnsi" w:hAnsiTheme="minorHAnsi"/>
          <w:sz w:val="20"/>
          <w:szCs w:val="20"/>
        </w:rPr>
        <w:t xml:space="preserve"> application </w:t>
      </w:r>
      <w:r w:rsidRPr="00262830">
        <w:rPr>
          <w:rFonts w:asciiTheme="minorHAnsi" w:hAnsiTheme="minorHAnsi"/>
          <w:sz w:val="20"/>
          <w:szCs w:val="20"/>
        </w:rPr>
        <w:t>détectés pourrait contribuer à y parvenir.</w:t>
      </w:r>
    </w:p>
    <w:p w14:paraId="7E080060" w14:textId="77777777" w:rsidR="002B6C43" w:rsidRPr="00262830" w:rsidRDefault="002B6C43" w:rsidP="00EC767D">
      <w:pPr>
        <w:pStyle w:val="NormalWeb"/>
        <w:spacing w:before="0" w:beforeAutospacing="0" w:after="0" w:afterAutospacing="0"/>
        <w:jc w:val="both"/>
        <w:rPr>
          <w:rFonts w:asciiTheme="minorHAnsi" w:hAnsiTheme="minorHAnsi"/>
          <w:sz w:val="20"/>
          <w:szCs w:val="20"/>
        </w:rPr>
      </w:pPr>
    </w:p>
    <w:p w14:paraId="5727E010" w14:textId="02686BEE" w:rsidR="002B6C43" w:rsidRPr="00262830" w:rsidRDefault="00EC767D" w:rsidP="00EC767D">
      <w:pPr>
        <w:pStyle w:val="P68B1DB1-Heading22"/>
        <w:spacing w:before="0" w:after="0" w:line="240" w:lineRule="auto"/>
        <w:rPr>
          <w:rFonts w:asciiTheme="minorHAnsi" w:hAnsiTheme="minorHAnsi"/>
          <w:b/>
          <w:bCs/>
          <w:i/>
          <w:iCs/>
          <w:color w:val="auto"/>
          <w:sz w:val="20"/>
          <w:szCs w:val="20"/>
        </w:rPr>
      </w:pPr>
      <w:r w:rsidRPr="00262830">
        <w:rPr>
          <w:rFonts w:asciiTheme="minorHAnsi" w:hAnsiTheme="minorHAnsi"/>
          <w:b/>
          <w:bCs/>
          <w:i/>
          <w:iCs/>
          <w:color w:val="auto"/>
          <w:sz w:val="20"/>
          <w:szCs w:val="20"/>
        </w:rPr>
        <w:t xml:space="preserve">2.2 </w:t>
      </w:r>
      <w:r w:rsidR="00E078D0" w:rsidRPr="00262830">
        <w:rPr>
          <w:rFonts w:asciiTheme="minorHAnsi" w:hAnsiTheme="minorHAnsi"/>
          <w:b/>
          <w:bCs/>
          <w:i/>
          <w:iCs/>
          <w:color w:val="auto"/>
          <w:sz w:val="20"/>
          <w:szCs w:val="20"/>
        </w:rPr>
        <w:t>Chronologie</w:t>
      </w:r>
    </w:p>
    <w:p w14:paraId="7BA7FC8C" w14:textId="77777777" w:rsidR="00EC767D" w:rsidRPr="00262830" w:rsidRDefault="00EC767D" w:rsidP="00EC767D">
      <w:pPr>
        <w:pStyle w:val="P68B1DB1-Heading22"/>
        <w:spacing w:before="0" w:after="0" w:line="240" w:lineRule="auto"/>
        <w:rPr>
          <w:rFonts w:asciiTheme="minorHAnsi" w:hAnsiTheme="minorHAnsi"/>
          <w:b/>
          <w:bCs/>
          <w:i/>
          <w:iCs/>
          <w:color w:val="auto"/>
          <w:sz w:val="20"/>
          <w:szCs w:val="20"/>
        </w:rPr>
      </w:pPr>
    </w:p>
    <w:p w14:paraId="4C109395" w14:textId="6800591F" w:rsidR="002B6C43" w:rsidRPr="00262830" w:rsidRDefault="00E078D0" w:rsidP="00EC767D">
      <w:pPr>
        <w:pStyle w:val="NormalWeb"/>
        <w:spacing w:before="0" w:beforeAutospacing="0" w:after="0" w:afterAutospacing="0"/>
        <w:jc w:val="both"/>
        <w:rPr>
          <w:rFonts w:asciiTheme="minorHAnsi" w:hAnsiTheme="minorHAnsi"/>
          <w:sz w:val="20"/>
          <w:szCs w:val="20"/>
        </w:rPr>
      </w:pPr>
      <w:r w:rsidRPr="00262830">
        <w:rPr>
          <w:rFonts w:asciiTheme="minorHAnsi" w:hAnsiTheme="minorHAnsi"/>
          <w:sz w:val="20"/>
          <w:szCs w:val="20"/>
        </w:rPr>
        <w:t>Les travaux pourraient avoir lieu au cours de la période intersession</w:t>
      </w:r>
      <w:r w:rsidR="001D3F96" w:rsidRPr="00262830">
        <w:rPr>
          <w:rFonts w:asciiTheme="minorHAnsi" w:hAnsiTheme="minorHAnsi"/>
          <w:sz w:val="20"/>
          <w:szCs w:val="20"/>
        </w:rPr>
        <w:t>s</w:t>
      </w:r>
      <w:r w:rsidRPr="00262830">
        <w:rPr>
          <w:rFonts w:asciiTheme="minorHAnsi" w:hAnsiTheme="minorHAnsi"/>
          <w:sz w:val="20"/>
          <w:szCs w:val="20"/>
        </w:rPr>
        <w:t xml:space="preserve">, en vue d’approuver une voie à suivre lors de la réunion du </w:t>
      </w:r>
      <w:r w:rsidR="008D787F" w:rsidRPr="00262830">
        <w:rPr>
          <w:rFonts w:asciiTheme="minorHAnsi" w:hAnsiTheme="minorHAnsi"/>
          <w:sz w:val="20"/>
          <w:szCs w:val="20"/>
        </w:rPr>
        <w:t>C</w:t>
      </w:r>
      <w:r w:rsidRPr="00262830">
        <w:rPr>
          <w:rFonts w:asciiTheme="minorHAnsi" w:hAnsiTheme="minorHAnsi"/>
          <w:sz w:val="20"/>
          <w:szCs w:val="20"/>
        </w:rPr>
        <w:t>omité d’application en 2026 au moyen d’une «</w:t>
      </w:r>
      <w:r w:rsidR="00B362A3" w:rsidRPr="00262830">
        <w:rPr>
          <w:rFonts w:asciiTheme="minorHAnsi" w:hAnsiTheme="minorHAnsi"/>
          <w:sz w:val="20"/>
          <w:szCs w:val="20"/>
        </w:rPr>
        <w:t xml:space="preserve"> </w:t>
      </w:r>
      <w:r w:rsidRPr="00262830">
        <w:rPr>
          <w:rFonts w:asciiTheme="minorHAnsi" w:hAnsiTheme="minorHAnsi"/>
          <w:sz w:val="20"/>
          <w:szCs w:val="20"/>
        </w:rPr>
        <w:t>ligne de conduite proposée</w:t>
      </w:r>
      <w:r w:rsidR="00B362A3" w:rsidRPr="00262830">
        <w:rPr>
          <w:rFonts w:asciiTheme="minorHAnsi" w:hAnsiTheme="minorHAnsi"/>
          <w:sz w:val="20"/>
          <w:szCs w:val="20"/>
        </w:rPr>
        <w:t xml:space="preserve"> </w:t>
      </w:r>
      <w:r w:rsidRPr="00262830">
        <w:rPr>
          <w:rFonts w:asciiTheme="minorHAnsi" w:hAnsiTheme="minorHAnsi"/>
          <w:sz w:val="20"/>
          <w:szCs w:val="20"/>
        </w:rPr>
        <w:t xml:space="preserve">» pour mettre en œuvre les modifications et d’orientations claires à l’intention du </w:t>
      </w:r>
      <w:r w:rsidR="008D787F" w:rsidRPr="00262830">
        <w:rPr>
          <w:rFonts w:asciiTheme="minorHAnsi" w:hAnsiTheme="minorHAnsi"/>
          <w:sz w:val="20"/>
          <w:szCs w:val="20"/>
        </w:rPr>
        <w:t>S</w:t>
      </w:r>
      <w:r w:rsidRPr="00262830">
        <w:rPr>
          <w:rFonts w:asciiTheme="minorHAnsi" w:hAnsiTheme="minorHAnsi"/>
          <w:sz w:val="20"/>
          <w:szCs w:val="20"/>
        </w:rPr>
        <w:t xml:space="preserve">ecrétariat. </w:t>
      </w:r>
    </w:p>
    <w:p w14:paraId="1E1F2AA7" w14:textId="77777777" w:rsidR="00EC767D" w:rsidRPr="00262830" w:rsidRDefault="00EC767D" w:rsidP="00EC767D">
      <w:pPr>
        <w:pStyle w:val="NormalWeb"/>
        <w:spacing w:before="0" w:beforeAutospacing="0" w:after="0" w:afterAutospacing="0"/>
        <w:jc w:val="both"/>
        <w:rPr>
          <w:rFonts w:asciiTheme="minorHAnsi" w:hAnsiTheme="minorHAnsi"/>
          <w:sz w:val="20"/>
          <w:szCs w:val="20"/>
        </w:rPr>
      </w:pPr>
    </w:p>
    <w:p w14:paraId="2FCBA92B" w14:textId="40900AD4" w:rsidR="002B6C43" w:rsidRPr="00262830" w:rsidRDefault="00E078D0" w:rsidP="00262830">
      <w:pPr>
        <w:pStyle w:val="NormalWeb"/>
        <w:numPr>
          <w:ilvl w:val="0"/>
          <w:numId w:val="18"/>
        </w:numPr>
        <w:spacing w:before="0" w:beforeAutospacing="0" w:after="0" w:afterAutospacing="0"/>
        <w:ind w:left="851" w:hanging="425"/>
        <w:jc w:val="both"/>
        <w:rPr>
          <w:rFonts w:asciiTheme="minorHAnsi" w:hAnsiTheme="minorHAnsi"/>
          <w:sz w:val="20"/>
          <w:szCs w:val="20"/>
        </w:rPr>
      </w:pPr>
      <w:r w:rsidRPr="00262830">
        <w:rPr>
          <w:rFonts w:asciiTheme="minorHAnsi" w:hAnsiTheme="minorHAnsi"/>
          <w:sz w:val="20"/>
          <w:szCs w:val="20"/>
        </w:rPr>
        <w:t>Au plus tard le 1</w:t>
      </w:r>
      <w:r w:rsidR="008D787F" w:rsidRPr="00262830">
        <w:rPr>
          <w:rFonts w:asciiTheme="minorHAnsi" w:hAnsiTheme="minorHAnsi"/>
          <w:sz w:val="20"/>
          <w:szCs w:val="20"/>
        </w:rPr>
        <w:t>er</w:t>
      </w:r>
      <w:r w:rsidRPr="00262830">
        <w:rPr>
          <w:rFonts w:asciiTheme="minorHAnsi" w:hAnsiTheme="minorHAnsi"/>
          <w:sz w:val="20"/>
          <w:szCs w:val="20"/>
        </w:rPr>
        <w:t xml:space="preserve"> décembre 2025</w:t>
      </w:r>
      <w:r w:rsidR="001929DE" w:rsidRPr="00262830">
        <w:rPr>
          <w:rFonts w:asciiTheme="minorHAnsi" w:hAnsiTheme="minorHAnsi"/>
          <w:sz w:val="20"/>
          <w:szCs w:val="20"/>
        </w:rPr>
        <w:t xml:space="preserve"> </w:t>
      </w:r>
      <w:r w:rsidRPr="00262830">
        <w:rPr>
          <w:rFonts w:asciiTheme="minorHAnsi" w:hAnsiTheme="minorHAnsi"/>
          <w:sz w:val="20"/>
          <w:szCs w:val="20"/>
        </w:rPr>
        <w:t xml:space="preserve">: ligne de conduite proposée (partie 3 </w:t>
      </w:r>
      <w:r w:rsidR="003A3B70" w:rsidRPr="00262830">
        <w:rPr>
          <w:rFonts w:asciiTheme="minorHAnsi" w:hAnsiTheme="minorHAnsi"/>
          <w:sz w:val="20"/>
          <w:szCs w:val="20"/>
        </w:rPr>
        <w:t>de ce</w:t>
      </w:r>
      <w:r w:rsidRPr="00262830">
        <w:rPr>
          <w:rFonts w:asciiTheme="minorHAnsi" w:hAnsiTheme="minorHAnsi"/>
          <w:sz w:val="20"/>
          <w:szCs w:val="20"/>
        </w:rPr>
        <w:t xml:space="preserve"> document) </w:t>
      </w:r>
      <w:r w:rsidR="009E2FBD" w:rsidRPr="00262830">
        <w:rPr>
          <w:rFonts w:asciiTheme="minorHAnsi" w:hAnsiTheme="minorHAnsi"/>
          <w:sz w:val="20"/>
          <w:szCs w:val="20"/>
        </w:rPr>
        <w:t>publiée</w:t>
      </w:r>
      <w:r w:rsidRPr="00262830">
        <w:rPr>
          <w:rFonts w:asciiTheme="minorHAnsi" w:hAnsiTheme="minorHAnsi"/>
          <w:sz w:val="20"/>
          <w:szCs w:val="20"/>
        </w:rPr>
        <w:t xml:space="preserve"> sur </w:t>
      </w:r>
      <w:r w:rsidR="009E2FBD" w:rsidRPr="00262830">
        <w:rPr>
          <w:rFonts w:asciiTheme="minorHAnsi" w:hAnsiTheme="minorHAnsi"/>
          <w:sz w:val="20"/>
          <w:szCs w:val="20"/>
        </w:rPr>
        <w:t xml:space="preserve">le site web de </w:t>
      </w:r>
      <w:r w:rsidR="00585DD3" w:rsidRPr="00262830">
        <w:rPr>
          <w:rFonts w:asciiTheme="minorHAnsi" w:hAnsiTheme="minorHAnsi"/>
          <w:sz w:val="20"/>
          <w:szCs w:val="20"/>
        </w:rPr>
        <w:t>l’ICCAT</w:t>
      </w:r>
      <w:r w:rsidR="009E2FBD" w:rsidRPr="00262830">
        <w:rPr>
          <w:rFonts w:asciiTheme="minorHAnsi" w:hAnsiTheme="minorHAnsi"/>
          <w:sz w:val="20"/>
          <w:szCs w:val="20"/>
        </w:rPr>
        <w:t xml:space="preserve"> en </w:t>
      </w:r>
      <w:r w:rsidRPr="00262830">
        <w:rPr>
          <w:rFonts w:asciiTheme="minorHAnsi" w:hAnsiTheme="minorHAnsi"/>
          <w:sz w:val="20"/>
          <w:szCs w:val="20"/>
        </w:rPr>
        <w:t>format Word</w:t>
      </w:r>
      <w:r w:rsidR="008D787F" w:rsidRPr="00262830">
        <w:rPr>
          <w:rFonts w:asciiTheme="minorHAnsi" w:hAnsiTheme="minorHAnsi"/>
          <w:sz w:val="20"/>
          <w:szCs w:val="20"/>
        </w:rPr>
        <w:t>.</w:t>
      </w:r>
    </w:p>
    <w:p w14:paraId="3325AAEB" w14:textId="18930042" w:rsidR="002B6C43" w:rsidRPr="00262830" w:rsidRDefault="00E078D0" w:rsidP="00262830">
      <w:pPr>
        <w:pStyle w:val="NormalWeb"/>
        <w:numPr>
          <w:ilvl w:val="0"/>
          <w:numId w:val="18"/>
        </w:numPr>
        <w:spacing w:before="0" w:beforeAutospacing="0" w:after="0" w:afterAutospacing="0"/>
        <w:ind w:left="851" w:hanging="425"/>
        <w:jc w:val="both"/>
        <w:rPr>
          <w:rFonts w:asciiTheme="minorHAnsi" w:hAnsiTheme="minorHAnsi"/>
          <w:sz w:val="20"/>
          <w:szCs w:val="20"/>
        </w:rPr>
      </w:pPr>
      <w:r w:rsidRPr="00262830">
        <w:rPr>
          <w:rFonts w:asciiTheme="minorHAnsi" w:hAnsiTheme="minorHAnsi"/>
          <w:sz w:val="20"/>
          <w:szCs w:val="20"/>
        </w:rPr>
        <w:t>Au plus tard le 1</w:t>
      </w:r>
      <w:r w:rsidR="008D787F" w:rsidRPr="00262830">
        <w:rPr>
          <w:rFonts w:asciiTheme="minorHAnsi" w:hAnsiTheme="minorHAnsi"/>
          <w:sz w:val="20"/>
          <w:szCs w:val="20"/>
        </w:rPr>
        <w:t>er</w:t>
      </w:r>
      <w:r w:rsidRPr="00262830">
        <w:rPr>
          <w:rFonts w:asciiTheme="minorHAnsi" w:hAnsiTheme="minorHAnsi"/>
          <w:sz w:val="20"/>
          <w:szCs w:val="20"/>
        </w:rPr>
        <w:t xml:space="preserve"> mars 2026</w:t>
      </w:r>
      <w:r w:rsidR="009E2FBD" w:rsidRPr="00262830">
        <w:rPr>
          <w:rFonts w:asciiTheme="minorHAnsi" w:hAnsiTheme="minorHAnsi"/>
          <w:sz w:val="20"/>
          <w:szCs w:val="20"/>
        </w:rPr>
        <w:t xml:space="preserve"> </w:t>
      </w:r>
      <w:r w:rsidRPr="00262830">
        <w:rPr>
          <w:rFonts w:asciiTheme="minorHAnsi" w:hAnsiTheme="minorHAnsi"/>
          <w:sz w:val="20"/>
          <w:szCs w:val="20"/>
        </w:rPr>
        <w:t xml:space="preserve">: </w:t>
      </w:r>
      <w:r w:rsidR="008818D2" w:rsidRPr="00262830">
        <w:rPr>
          <w:rFonts w:asciiTheme="minorHAnsi" w:hAnsiTheme="minorHAnsi"/>
          <w:sz w:val="20"/>
          <w:szCs w:val="20"/>
        </w:rPr>
        <w:t>l</w:t>
      </w:r>
      <w:r w:rsidRPr="00262830">
        <w:rPr>
          <w:rFonts w:asciiTheme="minorHAnsi" w:hAnsiTheme="minorHAnsi"/>
          <w:sz w:val="20"/>
          <w:szCs w:val="20"/>
        </w:rPr>
        <w:t xml:space="preserve">es </w:t>
      </w:r>
      <w:r w:rsidR="000D3815" w:rsidRPr="00262830">
        <w:rPr>
          <w:rFonts w:asciiTheme="minorHAnsi" w:hAnsiTheme="minorHAnsi"/>
          <w:sz w:val="20"/>
          <w:szCs w:val="20"/>
        </w:rPr>
        <w:t>CPC</w:t>
      </w:r>
      <w:r w:rsidRPr="00262830">
        <w:rPr>
          <w:rFonts w:asciiTheme="minorHAnsi" w:hAnsiTheme="minorHAnsi"/>
          <w:sz w:val="20"/>
          <w:szCs w:val="20"/>
        </w:rPr>
        <w:t xml:space="preserve"> formulent des observations</w:t>
      </w:r>
      <w:r w:rsidR="008818D2" w:rsidRPr="00262830">
        <w:rPr>
          <w:rFonts w:asciiTheme="minorHAnsi" w:hAnsiTheme="minorHAnsi"/>
          <w:sz w:val="20"/>
          <w:szCs w:val="20"/>
        </w:rPr>
        <w:t xml:space="preserve"> et commentaires</w:t>
      </w:r>
      <w:r w:rsidRPr="00262830">
        <w:rPr>
          <w:rFonts w:asciiTheme="minorHAnsi" w:hAnsiTheme="minorHAnsi"/>
          <w:sz w:val="20"/>
          <w:szCs w:val="20"/>
        </w:rPr>
        <w:t xml:space="preserve"> sur la ligne de conduite proposée (partie 3 </w:t>
      </w:r>
      <w:r w:rsidR="003A3B70" w:rsidRPr="00262830">
        <w:rPr>
          <w:rFonts w:asciiTheme="minorHAnsi" w:hAnsiTheme="minorHAnsi"/>
          <w:sz w:val="20"/>
          <w:szCs w:val="20"/>
        </w:rPr>
        <w:t>de ce</w:t>
      </w:r>
      <w:r w:rsidRPr="00262830">
        <w:rPr>
          <w:rFonts w:asciiTheme="minorHAnsi" w:hAnsiTheme="minorHAnsi"/>
          <w:sz w:val="20"/>
          <w:szCs w:val="20"/>
        </w:rPr>
        <w:t xml:space="preserve"> document). </w:t>
      </w:r>
    </w:p>
    <w:p w14:paraId="471ABA1C" w14:textId="6ADB26CD" w:rsidR="002B6C43" w:rsidRPr="00262830" w:rsidRDefault="00E078D0" w:rsidP="00262830">
      <w:pPr>
        <w:pStyle w:val="NormalWeb"/>
        <w:numPr>
          <w:ilvl w:val="0"/>
          <w:numId w:val="18"/>
        </w:numPr>
        <w:spacing w:before="0" w:beforeAutospacing="0" w:after="0" w:afterAutospacing="0"/>
        <w:ind w:left="851" w:hanging="425"/>
        <w:jc w:val="both"/>
        <w:rPr>
          <w:rFonts w:asciiTheme="minorHAnsi" w:hAnsiTheme="minorHAnsi"/>
          <w:sz w:val="20"/>
          <w:szCs w:val="20"/>
        </w:rPr>
      </w:pPr>
      <w:r w:rsidRPr="00262830">
        <w:rPr>
          <w:rFonts w:asciiTheme="minorHAnsi" w:hAnsiTheme="minorHAnsi"/>
          <w:sz w:val="20"/>
          <w:szCs w:val="20"/>
        </w:rPr>
        <w:t>Au plus tard le 1</w:t>
      </w:r>
      <w:r w:rsidR="008D787F" w:rsidRPr="00262830">
        <w:rPr>
          <w:rFonts w:asciiTheme="minorHAnsi" w:hAnsiTheme="minorHAnsi"/>
          <w:sz w:val="20"/>
          <w:szCs w:val="20"/>
        </w:rPr>
        <w:t>er</w:t>
      </w:r>
      <w:r w:rsidRPr="00262830">
        <w:rPr>
          <w:rFonts w:asciiTheme="minorHAnsi" w:hAnsiTheme="minorHAnsi"/>
          <w:sz w:val="20"/>
          <w:szCs w:val="20"/>
        </w:rPr>
        <w:t xml:space="preserve"> avril 2026</w:t>
      </w:r>
      <w:r w:rsidR="009E2FBD" w:rsidRPr="00262830">
        <w:rPr>
          <w:rFonts w:asciiTheme="minorHAnsi" w:hAnsiTheme="minorHAnsi"/>
          <w:sz w:val="20"/>
          <w:szCs w:val="20"/>
        </w:rPr>
        <w:t xml:space="preserve"> </w:t>
      </w:r>
      <w:r w:rsidRPr="00262830">
        <w:rPr>
          <w:rFonts w:asciiTheme="minorHAnsi" w:hAnsiTheme="minorHAnsi"/>
          <w:sz w:val="20"/>
          <w:szCs w:val="20"/>
        </w:rPr>
        <w:t xml:space="preserve">: </w:t>
      </w:r>
      <w:r w:rsidR="008818D2" w:rsidRPr="00262830">
        <w:rPr>
          <w:rFonts w:asciiTheme="minorHAnsi" w:hAnsiTheme="minorHAnsi"/>
          <w:sz w:val="20"/>
          <w:szCs w:val="20"/>
        </w:rPr>
        <w:t xml:space="preserve">le </w:t>
      </w:r>
      <w:r w:rsidRPr="00262830">
        <w:rPr>
          <w:rFonts w:asciiTheme="minorHAnsi" w:hAnsiTheme="minorHAnsi"/>
          <w:sz w:val="20"/>
          <w:szCs w:val="20"/>
        </w:rPr>
        <w:t>Secrétariat</w:t>
      </w:r>
      <w:r w:rsidR="008818D2" w:rsidRPr="00262830">
        <w:rPr>
          <w:rFonts w:asciiTheme="minorHAnsi" w:hAnsiTheme="minorHAnsi"/>
          <w:sz w:val="20"/>
          <w:szCs w:val="20"/>
        </w:rPr>
        <w:t xml:space="preserve"> et</w:t>
      </w:r>
      <w:r w:rsidRPr="00262830">
        <w:rPr>
          <w:rFonts w:asciiTheme="minorHAnsi" w:hAnsiTheme="minorHAnsi"/>
          <w:sz w:val="20"/>
          <w:szCs w:val="20"/>
        </w:rPr>
        <w:t xml:space="preserve"> le président du COC recueille</w:t>
      </w:r>
      <w:r w:rsidR="008D787F" w:rsidRPr="00262830">
        <w:rPr>
          <w:rFonts w:asciiTheme="minorHAnsi" w:hAnsiTheme="minorHAnsi"/>
          <w:sz w:val="20"/>
          <w:szCs w:val="20"/>
        </w:rPr>
        <w:t>nt</w:t>
      </w:r>
      <w:r w:rsidRPr="00262830">
        <w:rPr>
          <w:rFonts w:asciiTheme="minorHAnsi" w:hAnsiTheme="minorHAnsi"/>
          <w:sz w:val="20"/>
          <w:szCs w:val="20"/>
        </w:rPr>
        <w:t xml:space="preserve"> </w:t>
      </w:r>
      <w:r w:rsidR="008818D2" w:rsidRPr="00262830">
        <w:rPr>
          <w:rFonts w:asciiTheme="minorHAnsi" w:hAnsiTheme="minorHAnsi"/>
          <w:sz w:val="20"/>
          <w:szCs w:val="20"/>
        </w:rPr>
        <w:t>les commentaires</w:t>
      </w:r>
      <w:r w:rsidRPr="00262830">
        <w:rPr>
          <w:rFonts w:asciiTheme="minorHAnsi" w:hAnsiTheme="minorHAnsi"/>
          <w:sz w:val="20"/>
          <w:szCs w:val="20"/>
        </w:rPr>
        <w:t xml:space="preserve"> et élabore</w:t>
      </w:r>
      <w:r w:rsidR="008818D2" w:rsidRPr="00262830">
        <w:rPr>
          <w:rFonts w:asciiTheme="minorHAnsi" w:hAnsiTheme="minorHAnsi"/>
          <w:sz w:val="20"/>
          <w:szCs w:val="20"/>
        </w:rPr>
        <w:t>nt</w:t>
      </w:r>
      <w:r w:rsidRPr="00262830">
        <w:rPr>
          <w:rFonts w:asciiTheme="minorHAnsi" w:hAnsiTheme="minorHAnsi"/>
          <w:sz w:val="20"/>
          <w:szCs w:val="20"/>
        </w:rPr>
        <w:t xml:space="preserve"> une ligne de conduite modifiée, en proposant des options de décision en cas de conflit d’approche.</w:t>
      </w:r>
    </w:p>
    <w:p w14:paraId="67629B9C" w14:textId="31F1A2DA" w:rsidR="002B6C43" w:rsidRPr="00262830" w:rsidRDefault="00E078D0" w:rsidP="00262830">
      <w:pPr>
        <w:pStyle w:val="NormalWeb"/>
        <w:numPr>
          <w:ilvl w:val="0"/>
          <w:numId w:val="18"/>
        </w:numPr>
        <w:spacing w:before="0" w:beforeAutospacing="0" w:after="0" w:afterAutospacing="0"/>
        <w:ind w:left="851" w:hanging="425"/>
        <w:jc w:val="both"/>
        <w:rPr>
          <w:rFonts w:asciiTheme="minorHAnsi" w:hAnsiTheme="minorHAnsi"/>
          <w:sz w:val="20"/>
          <w:szCs w:val="20"/>
        </w:rPr>
      </w:pPr>
      <w:r w:rsidRPr="00262830">
        <w:rPr>
          <w:rFonts w:asciiTheme="minorHAnsi" w:hAnsiTheme="minorHAnsi"/>
          <w:sz w:val="20"/>
          <w:szCs w:val="20"/>
        </w:rPr>
        <w:t>Réunion intersession</w:t>
      </w:r>
      <w:r w:rsidR="008D787F" w:rsidRPr="00262830">
        <w:rPr>
          <w:rFonts w:asciiTheme="minorHAnsi" w:hAnsiTheme="minorHAnsi"/>
          <w:sz w:val="20"/>
          <w:szCs w:val="20"/>
        </w:rPr>
        <w:t>s du</w:t>
      </w:r>
      <w:r w:rsidRPr="00262830">
        <w:rPr>
          <w:rFonts w:asciiTheme="minorHAnsi" w:hAnsiTheme="minorHAnsi"/>
          <w:sz w:val="20"/>
          <w:szCs w:val="20"/>
        </w:rPr>
        <w:t xml:space="preserve"> COC (</w:t>
      </w:r>
      <w:r w:rsidR="000409B5" w:rsidRPr="00262830">
        <w:rPr>
          <w:rFonts w:asciiTheme="minorHAnsi" w:hAnsiTheme="minorHAnsi"/>
          <w:sz w:val="20"/>
          <w:szCs w:val="20"/>
        </w:rPr>
        <w:t>consécuti</w:t>
      </w:r>
      <w:r w:rsidR="008D787F" w:rsidRPr="00262830">
        <w:rPr>
          <w:rFonts w:asciiTheme="minorHAnsi" w:hAnsiTheme="minorHAnsi"/>
          <w:sz w:val="20"/>
          <w:szCs w:val="20"/>
        </w:rPr>
        <w:t>ve</w:t>
      </w:r>
      <w:r w:rsidR="000409B5" w:rsidRPr="00262830">
        <w:rPr>
          <w:rFonts w:asciiTheme="minorHAnsi" w:hAnsiTheme="minorHAnsi"/>
          <w:sz w:val="20"/>
          <w:szCs w:val="20"/>
        </w:rPr>
        <w:t xml:space="preserve"> </w:t>
      </w:r>
      <w:r w:rsidR="00EC767D" w:rsidRPr="00262830">
        <w:rPr>
          <w:rFonts w:asciiTheme="minorHAnsi" w:hAnsiTheme="minorHAnsi"/>
          <w:sz w:val="20"/>
          <w:szCs w:val="20"/>
        </w:rPr>
        <w:t>au Groupe de travail chargé d’élaborer des mesures de contrôle intégré (IMM)</w:t>
      </w:r>
      <w:r w:rsidR="000208E4" w:rsidRPr="00262830">
        <w:rPr>
          <w:rFonts w:asciiTheme="minorHAnsi" w:hAnsiTheme="minorHAnsi"/>
          <w:sz w:val="20"/>
          <w:szCs w:val="20"/>
        </w:rPr>
        <w:t xml:space="preserve"> </w:t>
      </w:r>
      <w:r w:rsidRPr="00262830">
        <w:rPr>
          <w:rFonts w:asciiTheme="minorHAnsi" w:hAnsiTheme="minorHAnsi"/>
          <w:sz w:val="20"/>
          <w:szCs w:val="20"/>
        </w:rPr>
        <w:t xml:space="preserve">: </w:t>
      </w:r>
      <w:r w:rsidR="00AA5EDE" w:rsidRPr="00262830">
        <w:rPr>
          <w:rFonts w:asciiTheme="minorHAnsi" w:hAnsiTheme="minorHAnsi"/>
          <w:sz w:val="20"/>
          <w:szCs w:val="20"/>
        </w:rPr>
        <w:t>continuation des discussions entre CPC</w:t>
      </w:r>
      <w:r w:rsidRPr="00262830">
        <w:rPr>
          <w:rFonts w:asciiTheme="minorHAnsi" w:hAnsiTheme="minorHAnsi"/>
          <w:sz w:val="20"/>
          <w:szCs w:val="20"/>
        </w:rPr>
        <w:t xml:space="preserve"> </w:t>
      </w:r>
      <w:r w:rsidR="00AA5EDE" w:rsidRPr="00262830">
        <w:rPr>
          <w:rFonts w:asciiTheme="minorHAnsi" w:hAnsiTheme="minorHAnsi"/>
          <w:sz w:val="20"/>
          <w:szCs w:val="20"/>
        </w:rPr>
        <w:t>et</w:t>
      </w:r>
      <w:r w:rsidRPr="00262830">
        <w:rPr>
          <w:rFonts w:asciiTheme="minorHAnsi" w:hAnsiTheme="minorHAnsi"/>
          <w:sz w:val="20"/>
          <w:szCs w:val="20"/>
        </w:rPr>
        <w:t xml:space="preserve"> modifi</w:t>
      </w:r>
      <w:r w:rsidR="00AA5EDE" w:rsidRPr="00262830">
        <w:rPr>
          <w:rFonts w:asciiTheme="minorHAnsi" w:hAnsiTheme="minorHAnsi"/>
          <w:sz w:val="20"/>
          <w:szCs w:val="20"/>
        </w:rPr>
        <w:t>cation de</w:t>
      </w:r>
      <w:r w:rsidRPr="00262830">
        <w:rPr>
          <w:rFonts w:asciiTheme="minorHAnsi" w:hAnsiTheme="minorHAnsi"/>
          <w:sz w:val="20"/>
          <w:szCs w:val="20"/>
        </w:rPr>
        <w:t xml:space="preserve"> la ligne de conduite</w:t>
      </w:r>
      <w:r w:rsidR="00E52B6A" w:rsidRPr="00262830">
        <w:rPr>
          <w:rFonts w:asciiTheme="minorHAnsi" w:hAnsiTheme="minorHAnsi"/>
          <w:sz w:val="20"/>
          <w:szCs w:val="20"/>
        </w:rPr>
        <w:t>.</w:t>
      </w:r>
    </w:p>
    <w:p w14:paraId="4CF8AEE6" w14:textId="7CCD761C" w:rsidR="002B6C43" w:rsidRPr="00262830" w:rsidRDefault="00E078D0" w:rsidP="00262830">
      <w:pPr>
        <w:pStyle w:val="NormalWeb"/>
        <w:numPr>
          <w:ilvl w:val="0"/>
          <w:numId w:val="18"/>
        </w:numPr>
        <w:spacing w:before="0" w:beforeAutospacing="0" w:after="0" w:afterAutospacing="0"/>
        <w:ind w:left="851" w:hanging="425"/>
        <w:jc w:val="both"/>
        <w:rPr>
          <w:rFonts w:asciiTheme="minorHAnsi" w:hAnsiTheme="minorHAnsi"/>
          <w:sz w:val="20"/>
          <w:szCs w:val="20"/>
        </w:rPr>
      </w:pPr>
      <w:r w:rsidRPr="00262830">
        <w:rPr>
          <w:rFonts w:asciiTheme="minorHAnsi" w:hAnsiTheme="minorHAnsi"/>
          <w:sz w:val="20"/>
          <w:szCs w:val="20"/>
        </w:rPr>
        <w:t>Au plus tard le 1</w:t>
      </w:r>
      <w:r w:rsidR="00E52B6A" w:rsidRPr="00262830">
        <w:rPr>
          <w:rFonts w:asciiTheme="minorHAnsi" w:hAnsiTheme="minorHAnsi"/>
          <w:sz w:val="20"/>
          <w:szCs w:val="20"/>
        </w:rPr>
        <w:t>er</w:t>
      </w:r>
      <w:r w:rsidRPr="00262830">
        <w:rPr>
          <w:rFonts w:asciiTheme="minorHAnsi" w:hAnsiTheme="minorHAnsi"/>
          <w:sz w:val="20"/>
          <w:szCs w:val="20"/>
        </w:rPr>
        <w:t xml:space="preserve"> septembre 2026</w:t>
      </w:r>
      <w:r w:rsidR="00AA5EDE" w:rsidRPr="00262830">
        <w:rPr>
          <w:rFonts w:asciiTheme="minorHAnsi" w:hAnsiTheme="minorHAnsi"/>
          <w:sz w:val="20"/>
          <w:szCs w:val="20"/>
        </w:rPr>
        <w:t xml:space="preserve"> </w:t>
      </w:r>
      <w:r w:rsidRPr="00262830">
        <w:rPr>
          <w:rFonts w:asciiTheme="minorHAnsi" w:hAnsiTheme="minorHAnsi"/>
          <w:sz w:val="20"/>
          <w:szCs w:val="20"/>
        </w:rPr>
        <w:t xml:space="preserve">: Le </w:t>
      </w:r>
      <w:r w:rsidR="00E52B6A" w:rsidRPr="00262830">
        <w:rPr>
          <w:rFonts w:asciiTheme="minorHAnsi" w:hAnsiTheme="minorHAnsi"/>
          <w:sz w:val="20"/>
          <w:szCs w:val="20"/>
        </w:rPr>
        <w:t>S</w:t>
      </w:r>
      <w:r w:rsidRPr="00262830">
        <w:rPr>
          <w:rFonts w:asciiTheme="minorHAnsi" w:hAnsiTheme="minorHAnsi"/>
          <w:sz w:val="20"/>
          <w:szCs w:val="20"/>
        </w:rPr>
        <w:t>ecrétariat</w:t>
      </w:r>
      <w:r w:rsidR="00AA5EDE" w:rsidRPr="00262830">
        <w:rPr>
          <w:rFonts w:asciiTheme="minorHAnsi" w:hAnsiTheme="minorHAnsi"/>
          <w:sz w:val="20"/>
          <w:szCs w:val="20"/>
        </w:rPr>
        <w:t xml:space="preserve"> et </w:t>
      </w:r>
      <w:r w:rsidRPr="00262830">
        <w:rPr>
          <w:rFonts w:asciiTheme="minorHAnsi" w:hAnsiTheme="minorHAnsi"/>
          <w:sz w:val="20"/>
          <w:szCs w:val="20"/>
        </w:rPr>
        <w:t xml:space="preserve">le </w:t>
      </w:r>
      <w:r w:rsidR="00E52B6A" w:rsidRPr="00262830">
        <w:rPr>
          <w:rFonts w:asciiTheme="minorHAnsi" w:hAnsiTheme="minorHAnsi"/>
          <w:sz w:val="20"/>
          <w:szCs w:val="20"/>
        </w:rPr>
        <w:t>P</w:t>
      </w:r>
      <w:r w:rsidRPr="00262830">
        <w:rPr>
          <w:rFonts w:asciiTheme="minorHAnsi" w:hAnsiTheme="minorHAnsi"/>
          <w:sz w:val="20"/>
          <w:szCs w:val="20"/>
        </w:rPr>
        <w:t>résident du COC finalisent la marche à suivre</w:t>
      </w:r>
      <w:r w:rsidR="00E52B6A" w:rsidRPr="00262830">
        <w:rPr>
          <w:rFonts w:asciiTheme="minorHAnsi" w:hAnsiTheme="minorHAnsi"/>
          <w:sz w:val="20"/>
          <w:szCs w:val="20"/>
        </w:rPr>
        <w:t>.</w:t>
      </w:r>
    </w:p>
    <w:p w14:paraId="7B5A97BA" w14:textId="7139050F" w:rsidR="002B6C43" w:rsidRPr="00262830" w:rsidRDefault="00E078D0" w:rsidP="00262830">
      <w:pPr>
        <w:pStyle w:val="NormalWeb"/>
        <w:numPr>
          <w:ilvl w:val="0"/>
          <w:numId w:val="18"/>
        </w:numPr>
        <w:spacing w:before="0" w:beforeAutospacing="0" w:after="0" w:afterAutospacing="0"/>
        <w:ind w:left="851" w:hanging="425"/>
        <w:jc w:val="both"/>
        <w:rPr>
          <w:rFonts w:asciiTheme="minorHAnsi" w:hAnsiTheme="minorHAnsi"/>
          <w:sz w:val="20"/>
          <w:szCs w:val="20"/>
        </w:rPr>
      </w:pPr>
      <w:r w:rsidRPr="00262830">
        <w:rPr>
          <w:rFonts w:asciiTheme="minorHAnsi" w:hAnsiTheme="minorHAnsi"/>
          <w:sz w:val="20"/>
          <w:szCs w:val="20"/>
        </w:rPr>
        <w:t>Octobre 2026</w:t>
      </w:r>
      <w:r w:rsidR="00AA5EDE" w:rsidRPr="00262830">
        <w:rPr>
          <w:rFonts w:asciiTheme="minorHAnsi" w:hAnsiTheme="minorHAnsi"/>
          <w:sz w:val="20"/>
          <w:szCs w:val="20"/>
        </w:rPr>
        <w:t xml:space="preserve"> </w:t>
      </w:r>
      <w:r w:rsidRPr="00262830">
        <w:rPr>
          <w:rFonts w:asciiTheme="minorHAnsi" w:hAnsiTheme="minorHAnsi"/>
          <w:sz w:val="20"/>
          <w:szCs w:val="20"/>
        </w:rPr>
        <w:t>: si nécessaire, réunion virtuelle du COC pour discuter et revoir la marche à suivre</w:t>
      </w:r>
      <w:r w:rsidR="00E52B6A" w:rsidRPr="00262830">
        <w:rPr>
          <w:rFonts w:asciiTheme="minorHAnsi" w:hAnsiTheme="minorHAnsi"/>
          <w:sz w:val="20"/>
          <w:szCs w:val="20"/>
        </w:rPr>
        <w:t>.</w:t>
      </w:r>
    </w:p>
    <w:p w14:paraId="7B74BC2E" w14:textId="2E351EBB" w:rsidR="002B6C43" w:rsidRPr="00262830" w:rsidRDefault="00E078D0" w:rsidP="00262830">
      <w:pPr>
        <w:pStyle w:val="NormalWeb"/>
        <w:numPr>
          <w:ilvl w:val="0"/>
          <w:numId w:val="18"/>
        </w:numPr>
        <w:spacing w:before="0" w:beforeAutospacing="0" w:after="0" w:afterAutospacing="0"/>
        <w:ind w:left="851" w:hanging="425"/>
        <w:jc w:val="both"/>
        <w:rPr>
          <w:rFonts w:asciiTheme="minorHAnsi" w:hAnsiTheme="minorHAnsi"/>
          <w:sz w:val="20"/>
          <w:szCs w:val="20"/>
        </w:rPr>
      </w:pPr>
      <w:r w:rsidRPr="00262830">
        <w:rPr>
          <w:rFonts w:asciiTheme="minorHAnsi" w:hAnsiTheme="minorHAnsi"/>
          <w:sz w:val="20"/>
          <w:szCs w:val="20"/>
        </w:rPr>
        <w:t>C</w:t>
      </w:r>
      <w:r w:rsidR="00E8736E" w:rsidRPr="00262830">
        <w:rPr>
          <w:rFonts w:asciiTheme="minorHAnsi" w:hAnsiTheme="minorHAnsi"/>
          <w:sz w:val="20"/>
          <w:szCs w:val="20"/>
        </w:rPr>
        <w:t>O</w:t>
      </w:r>
      <w:r w:rsidRPr="00262830">
        <w:rPr>
          <w:rFonts w:asciiTheme="minorHAnsi" w:hAnsiTheme="minorHAnsi"/>
          <w:sz w:val="20"/>
          <w:szCs w:val="20"/>
        </w:rPr>
        <w:t>C 2026</w:t>
      </w:r>
      <w:r w:rsidR="00AA5EDE" w:rsidRPr="00262830">
        <w:rPr>
          <w:rFonts w:asciiTheme="minorHAnsi" w:hAnsiTheme="minorHAnsi"/>
          <w:sz w:val="20"/>
          <w:szCs w:val="20"/>
        </w:rPr>
        <w:t xml:space="preserve"> </w:t>
      </w:r>
      <w:r w:rsidRPr="00262830">
        <w:rPr>
          <w:rFonts w:asciiTheme="minorHAnsi" w:hAnsiTheme="minorHAnsi"/>
          <w:sz w:val="20"/>
          <w:szCs w:val="20"/>
        </w:rPr>
        <w:t xml:space="preserve">: ligne de conduite approuvée, assortie d’orientations claires à l’intention du </w:t>
      </w:r>
      <w:r w:rsidR="00E52B6A" w:rsidRPr="00262830">
        <w:rPr>
          <w:rFonts w:asciiTheme="minorHAnsi" w:hAnsiTheme="minorHAnsi"/>
          <w:sz w:val="20"/>
          <w:szCs w:val="20"/>
        </w:rPr>
        <w:t>S</w:t>
      </w:r>
      <w:r w:rsidRPr="00262830">
        <w:rPr>
          <w:rFonts w:asciiTheme="minorHAnsi" w:hAnsiTheme="minorHAnsi"/>
          <w:sz w:val="20"/>
          <w:szCs w:val="20"/>
        </w:rPr>
        <w:t>ecrétariat sur sa mise en œuvre</w:t>
      </w:r>
      <w:r w:rsidR="00E52B6A" w:rsidRPr="00262830">
        <w:rPr>
          <w:rFonts w:asciiTheme="minorHAnsi" w:hAnsiTheme="minorHAnsi"/>
          <w:sz w:val="20"/>
          <w:szCs w:val="20"/>
        </w:rPr>
        <w:t>.</w:t>
      </w:r>
    </w:p>
    <w:p w14:paraId="4753426E" w14:textId="46E8AE3F" w:rsidR="002B6C43" w:rsidRPr="00262830" w:rsidRDefault="00E078D0" w:rsidP="00262830">
      <w:pPr>
        <w:pStyle w:val="NormalWeb"/>
        <w:numPr>
          <w:ilvl w:val="0"/>
          <w:numId w:val="18"/>
        </w:numPr>
        <w:spacing w:before="0" w:beforeAutospacing="0" w:after="0" w:afterAutospacing="0"/>
        <w:ind w:left="851" w:hanging="425"/>
        <w:jc w:val="both"/>
        <w:rPr>
          <w:rFonts w:asciiTheme="minorHAnsi" w:hAnsiTheme="minorHAnsi"/>
          <w:sz w:val="20"/>
          <w:szCs w:val="20"/>
        </w:rPr>
      </w:pPr>
      <w:r w:rsidRPr="00262830">
        <w:rPr>
          <w:rFonts w:asciiTheme="minorHAnsi" w:hAnsiTheme="minorHAnsi"/>
          <w:sz w:val="20"/>
          <w:szCs w:val="20"/>
        </w:rPr>
        <w:t>Après COC 2026</w:t>
      </w:r>
      <w:r w:rsidR="00AA5EDE" w:rsidRPr="00262830">
        <w:rPr>
          <w:rFonts w:asciiTheme="minorHAnsi" w:hAnsiTheme="minorHAnsi"/>
          <w:sz w:val="20"/>
          <w:szCs w:val="20"/>
        </w:rPr>
        <w:t xml:space="preserve"> </w:t>
      </w:r>
      <w:r w:rsidRPr="00262830">
        <w:rPr>
          <w:rFonts w:asciiTheme="minorHAnsi" w:hAnsiTheme="minorHAnsi"/>
          <w:sz w:val="20"/>
          <w:szCs w:val="20"/>
        </w:rPr>
        <w:t>: mise en œuvre de la ligne de conduite sur plusieurs mois/années</w:t>
      </w:r>
      <w:r w:rsidR="00E52B6A" w:rsidRPr="00262830">
        <w:rPr>
          <w:rFonts w:asciiTheme="minorHAnsi" w:hAnsiTheme="minorHAnsi"/>
          <w:sz w:val="20"/>
          <w:szCs w:val="20"/>
        </w:rPr>
        <w:t>.</w:t>
      </w:r>
    </w:p>
    <w:p w14:paraId="2E5108B5" w14:textId="77777777" w:rsidR="002B6C43" w:rsidRPr="00262830" w:rsidRDefault="002B6C43" w:rsidP="00EC767D">
      <w:pPr>
        <w:pStyle w:val="NormalWeb"/>
        <w:spacing w:before="0" w:beforeAutospacing="0" w:after="0" w:afterAutospacing="0"/>
        <w:ind w:left="720"/>
        <w:jc w:val="both"/>
        <w:rPr>
          <w:rFonts w:asciiTheme="minorHAnsi" w:hAnsiTheme="minorHAnsi"/>
          <w:sz w:val="20"/>
          <w:szCs w:val="20"/>
        </w:rPr>
      </w:pPr>
    </w:p>
    <w:p w14:paraId="1C57472A" w14:textId="10455989" w:rsidR="002B6C43" w:rsidRPr="00262830" w:rsidRDefault="00EC767D" w:rsidP="00262830">
      <w:pPr>
        <w:pStyle w:val="Heading2"/>
        <w:spacing w:before="0" w:after="0" w:line="240" w:lineRule="auto"/>
        <w:ind w:left="426" w:hanging="426"/>
        <w:jc w:val="both"/>
        <w:rPr>
          <w:rFonts w:asciiTheme="minorHAnsi" w:hAnsiTheme="minorHAnsi"/>
          <w:color w:val="auto"/>
          <w:sz w:val="20"/>
          <w:szCs w:val="20"/>
        </w:rPr>
      </w:pPr>
      <w:r w:rsidRPr="00262830">
        <w:rPr>
          <w:rFonts w:asciiTheme="minorHAnsi" w:hAnsiTheme="minorHAnsi"/>
          <w:color w:val="auto"/>
          <w:sz w:val="20"/>
          <w:szCs w:val="20"/>
        </w:rPr>
        <w:lastRenderedPageBreak/>
        <w:t>3.</w:t>
      </w:r>
      <w:r w:rsidRPr="00262830">
        <w:rPr>
          <w:rFonts w:asciiTheme="minorHAnsi" w:hAnsiTheme="minorHAnsi"/>
          <w:color w:val="auto"/>
          <w:sz w:val="20"/>
          <w:szCs w:val="20"/>
        </w:rPr>
        <w:tab/>
      </w:r>
      <w:r w:rsidR="00E078D0" w:rsidRPr="00262830">
        <w:rPr>
          <w:rFonts w:asciiTheme="minorHAnsi" w:hAnsiTheme="minorHAnsi"/>
          <w:color w:val="auto"/>
          <w:sz w:val="20"/>
          <w:szCs w:val="20"/>
        </w:rPr>
        <w:t xml:space="preserve">Ligne de conduite proposée (à modifier </w:t>
      </w:r>
      <w:r w:rsidR="00AA5EDE" w:rsidRPr="00262830">
        <w:rPr>
          <w:rFonts w:asciiTheme="minorHAnsi" w:hAnsiTheme="minorHAnsi"/>
          <w:color w:val="auto"/>
          <w:sz w:val="20"/>
          <w:szCs w:val="20"/>
        </w:rPr>
        <w:t>en intersession</w:t>
      </w:r>
      <w:r w:rsidR="00E078D0" w:rsidRPr="00262830">
        <w:rPr>
          <w:rFonts w:asciiTheme="minorHAnsi" w:hAnsiTheme="minorHAnsi"/>
          <w:color w:val="auto"/>
          <w:sz w:val="20"/>
          <w:szCs w:val="20"/>
        </w:rPr>
        <w:t xml:space="preserve"> par le COC) </w:t>
      </w:r>
    </w:p>
    <w:p w14:paraId="436925B3" w14:textId="77777777" w:rsidR="00EC767D" w:rsidRPr="00262830" w:rsidRDefault="00EC767D" w:rsidP="00D64731">
      <w:pPr>
        <w:spacing w:after="0" w:line="240" w:lineRule="auto"/>
      </w:pPr>
    </w:p>
    <w:p w14:paraId="4DE87181" w14:textId="557435D9" w:rsidR="002B6C43" w:rsidRPr="00262830" w:rsidRDefault="00EC767D" w:rsidP="00D64731">
      <w:pPr>
        <w:pStyle w:val="P68B1DB1-Heading22"/>
        <w:spacing w:before="0" w:after="0" w:line="240" w:lineRule="auto"/>
        <w:rPr>
          <w:rFonts w:asciiTheme="minorHAnsi" w:hAnsiTheme="minorHAnsi"/>
          <w:b/>
          <w:bCs/>
          <w:i/>
          <w:iCs/>
          <w:color w:val="auto"/>
          <w:sz w:val="20"/>
          <w:szCs w:val="20"/>
        </w:rPr>
      </w:pPr>
      <w:r w:rsidRPr="00262830">
        <w:rPr>
          <w:rFonts w:asciiTheme="minorHAnsi" w:hAnsiTheme="minorHAnsi"/>
          <w:b/>
          <w:bCs/>
          <w:i/>
          <w:iCs/>
          <w:color w:val="auto"/>
          <w:sz w:val="20"/>
          <w:szCs w:val="20"/>
        </w:rPr>
        <w:t xml:space="preserve">3.1 </w:t>
      </w:r>
      <w:r w:rsidR="00E078D0" w:rsidRPr="00262830">
        <w:rPr>
          <w:rFonts w:asciiTheme="minorHAnsi" w:hAnsiTheme="minorHAnsi"/>
          <w:b/>
          <w:bCs/>
          <w:i/>
          <w:iCs/>
          <w:color w:val="auto"/>
          <w:sz w:val="20"/>
          <w:szCs w:val="20"/>
        </w:rPr>
        <w:t>Identifier les mesures et obligations pour lesquelles l</w:t>
      </w:r>
      <w:r w:rsidR="00D64731" w:rsidRPr="00262830">
        <w:rPr>
          <w:rFonts w:asciiTheme="minorHAnsi" w:hAnsiTheme="minorHAnsi"/>
          <w:b/>
          <w:bCs/>
          <w:i/>
          <w:iCs/>
          <w:color w:val="auto"/>
          <w:sz w:val="20"/>
          <w:szCs w:val="20"/>
        </w:rPr>
        <w:t xml:space="preserve">’application </w:t>
      </w:r>
      <w:r w:rsidR="00E078D0" w:rsidRPr="00262830">
        <w:rPr>
          <w:rFonts w:asciiTheme="minorHAnsi" w:hAnsiTheme="minorHAnsi"/>
          <w:b/>
          <w:bCs/>
          <w:i/>
          <w:iCs/>
          <w:color w:val="auto"/>
          <w:sz w:val="20"/>
          <w:szCs w:val="20"/>
        </w:rPr>
        <w:t>doit être évaluée</w:t>
      </w:r>
    </w:p>
    <w:p w14:paraId="56177B07" w14:textId="77777777" w:rsidR="00EC767D" w:rsidRPr="00262830" w:rsidRDefault="00EC767D" w:rsidP="00D64731">
      <w:pPr>
        <w:pStyle w:val="P68B1DB1-Heading22"/>
        <w:spacing w:before="0" w:after="0" w:line="240" w:lineRule="auto"/>
        <w:rPr>
          <w:rFonts w:asciiTheme="minorHAnsi" w:hAnsiTheme="minorHAnsi"/>
          <w:b/>
          <w:bCs/>
          <w:i/>
          <w:iCs/>
          <w:color w:val="auto"/>
          <w:sz w:val="20"/>
          <w:szCs w:val="20"/>
        </w:rPr>
      </w:pPr>
    </w:p>
    <w:p w14:paraId="598FDD39" w14:textId="1C6C6AFE" w:rsidR="002B6C43" w:rsidRPr="00262830" w:rsidRDefault="00E078D0" w:rsidP="00262830">
      <w:pPr>
        <w:pStyle w:val="NormalWeb"/>
        <w:numPr>
          <w:ilvl w:val="0"/>
          <w:numId w:val="18"/>
        </w:numPr>
        <w:spacing w:before="0" w:beforeAutospacing="0" w:after="0" w:afterAutospacing="0"/>
        <w:ind w:left="851" w:hanging="425"/>
        <w:jc w:val="both"/>
        <w:rPr>
          <w:rFonts w:asciiTheme="minorHAnsi" w:hAnsiTheme="minorHAnsi"/>
          <w:sz w:val="20"/>
          <w:szCs w:val="20"/>
        </w:rPr>
      </w:pPr>
      <w:r w:rsidRPr="00262830">
        <w:rPr>
          <w:rFonts w:asciiTheme="minorHAnsi" w:hAnsiTheme="minorHAnsi"/>
          <w:sz w:val="20"/>
          <w:szCs w:val="20"/>
        </w:rPr>
        <w:t xml:space="preserve">Le </w:t>
      </w:r>
      <w:r w:rsidRPr="00262830">
        <w:rPr>
          <w:rFonts w:asciiTheme="minorHAnsi" w:hAnsiTheme="minorHAnsi"/>
          <w:b/>
          <w:bCs/>
          <w:sz w:val="20"/>
          <w:szCs w:val="20"/>
        </w:rPr>
        <w:t>tableau 1</w:t>
      </w:r>
      <w:r w:rsidRPr="00262830">
        <w:rPr>
          <w:rFonts w:asciiTheme="minorHAnsi" w:hAnsiTheme="minorHAnsi"/>
          <w:sz w:val="20"/>
          <w:szCs w:val="20"/>
        </w:rPr>
        <w:t xml:space="preserve"> énumère les mesures pour lesquelles il est recommandé d’évaluer l</w:t>
      </w:r>
      <w:r w:rsidR="00D64731" w:rsidRPr="00262830">
        <w:rPr>
          <w:rFonts w:asciiTheme="minorHAnsi" w:hAnsiTheme="minorHAnsi"/>
          <w:sz w:val="20"/>
          <w:szCs w:val="20"/>
        </w:rPr>
        <w:t>’application</w:t>
      </w:r>
      <w:r w:rsidRPr="00262830">
        <w:rPr>
          <w:rFonts w:asciiTheme="minorHAnsi" w:hAnsiTheme="minorHAnsi"/>
          <w:sz w:val="20"/>
          <w:szCs w:val="20"/>
        </w:rPr>
        <w:t>, la référence juridique, les informations/données disponibles et le contenu du document visé au point 3.3. Ce tableau est incomplet et devrait être complété au cours du processus proposé.</w:t>
      </w:r>
    </w:p>
    <w:p w14:paraId="27C48D42" w14:textId="77777777" w:rsidR="00EC767D" w:rsidRPr="00262830" w:rsidRDefault="00EC767D" w:rsidP="00D64731">
      <w:pPr>
        <w:pStyle w:val="P68B1DB1-ListParagraph3"/>
        <w:spacing w:after="0" w:line="240" w:lineRule="auto"/>
        <w:jc w:val="both"/>
        <w:rPr>
          <w:rFonts w:asciiTheme="minorHAnsi" w:hAnsiTheme="minorHAnsi"/>
          <w:sz w:val="20"/>
          <w:szCs w:val="20"/>
        </w:rPr>
      </w:pPr>
    </w:p>
    <w:p w14:paraId="390A6E0D" w14:textId="4732C2EF" w:rsidR="00620F73" w:rsidRPr="00262830" w:rsidRDefault="00EC767D" w:rsidP="00D64731">
      <w:pPr>
        <w:pStyle w:val="P68B1DB1-Heading22"/>
        <w:spacing w:before="0" w:after="0" w:line="240" w:lineRule="auto"/>
        <w:jc w:val="both"/>
        <w:rPr>
          <w:rFonts w:asciiTheme="minorHAnsi" w:hAnsiTheme="minorHAnsi"/>
          <w:b/>
          <w:bCs/>
          <w:i/>
          <w:iCs/>
          <w:color w:val="auto"/>
          <w:sz w:val="20"/>
          <w:szCs w:val="20"/>
        </w:rPr>
      </w:pPr>
      <w:r w:rsidRPr="00262830">
        <w:rPr>
          <w:rFonts w:asciiTheme="minorHAnsi" w:hAnsiTheme="minorHAnsi"/>
          <w:b/>
          <w:bCs/>
          <w:i/>
          <w:iCs/>
          <w:color w:val="auto"/>
          <w:sz w:val="20"/>
          <w:szCs w:val="20"/>
        </w:rPr>
        <w:t xml:space="preserve">3.2 </w:t>
      </w:r>
      <w:r w:rsidR="00620F73" w:rsidRPr="00262830">
        <w:rPr>
          <w:rFonts w:asciiTheme="minorHAnsi" w:hAnsiTheme="minorHAnsi"/>
          <w:b/>
          <w:bCs/>
          <w:i/>
          <w:iCs/>
          <w:color w:val="auto"/>
          <w:sz w:val="20"/>
          <w:szCs w:val="20"/>
        </w:rPr>
        <w:t>Identifier les informations disponibles et les informations nécessaires à la réalisation de cette évaluation</w:t>
      </w:r>
    </w:p>
    <w:p w14:paraId="5515A90E" w14:textId="77777777" w:rsidR="00EC767D" w:rsidRPr="00262830" w:rsidRDefault="00EC767D" w:rsidP="00D64731">
      <w:pPr>
        <w:pStyle w:val="P68B1DB1-Heading22"/>
        <w:spacing w:before="0" w:after="0" w:line="240" w:lineRule="auto"/>
        <w:jc w:val="both"/>
        <w:rPr>
          <w:rFonts w:asciiTheme="minorHAnsi" w:hAnsiTheme="minorHAnsi"/>
          <w:b/>
          <w:bCs/>
          <w:i/>
          <w:iCs/>
          <w:color w:val="auto"/>
          <w:sz w:val="20"/>
          <w:szCs w:val="20"/>
        </w:rPr>
      </w:pPr>
    </w:p>
    <w:p w14:paraId="3842D3CA" w14:textId="4226767E" w:rsidR="002B6C43" w:rsidRPr="00262830" w:rsidRDefault="00E078D0" w:rsidP="00EC767D">
      <w:pPr>
        <w:pStyle w:val="P68B1DB1-ListParagraph3"/>
        <w:numPr>
          <w:ilvl w:val="0"/>
          <w:numId w:val="2"/>
        </w:numPr>
        <w:spacing w:after="0" w:line="240" w:lineRule="auto"/>
        <w:jc w:val="both"/>
        <w:rPr>
          <w:rFonts w:asciiTheme="minorHAnsi" w:hAnsiTheme="minorHAnsi"/>
          <w:sz w:val="20"/>
          <w:szCs w:val="20"/>
        </w:rPr>
      </w:pPr>
      <w:r w:rsidRPr="00262830">
        <w:rPr>
          <w:rFonts w:asciiTheme="minorHAnsi" w:hAnsiTheme="minorHAnsi"/>
          <w:sz w:val="20"/>
          <w:szCs w:val="20"/>
        </w:rPr>
        <w:t xml:space="preserve">Voir </w:t>
      </w:r>
      <w:r w:rsidRPr="00262830">
        <w:rPr>
          <w:rFonts w:asciiTheme="minorHAnsi" w:hAnsiTheme="minorHAnsi"/>
          <w:b/>
          <w:bCs/>
          <w:sz w:val="20"/>
          <w:szCs w:val="20"/>
        </w:rPr>
        <w:t>tableau 1</w:t>
      </w:r>
      <w:r w:rsidRPr="00262830">
        <w:rPr>
          <w:rFonts w:asciiTheme="minorHAnsi" w:hAnsiTheme="minorHAnsi"/>
          <w:sz w:val="20"/>
          <w:szCs w:val="20"/>
        </w:rPr>
        <w:t xml:space="preserve"> ci-dessous</w:t>
      </w:r>
      <w:r w:rsidR="00EC767D" w:rsidRPr="00262830">
        <w:rPr>
          <w:rFonts w:asciiTheme="minorHAnsi" w:hAnsiTheme="minorHAnsi"/>
          <w:sz w:val="20"/>
          <w:szCs w:val="20"/>
        </w:rPr>
        <w:t>.</w:t>
      </w:r>
    </w:p>
    <w:p w14:paraId="0A988F64" w14:textId="77777777" w:rsidR="00EC767D" w:rsidRPr="00262830" w:rsidRDefault="00EC767D" w:rsidP="00EC767D">
      <w:pPr>
        <w:pStyle w:val="P68B1DB1-ListParagraph3"/>
        <w:spacing w:after="0" w:line="240" w:lineRule="auto"/>
        <w:jc w:val="both"/>
        <w:rPr>
          <w:rFonts w:asciiTheme="minorHAnsi" w:hAnsiTheme="minorHAnsi"/>
          <w:sz w:val="20"/>
          <w:szCs w:val="20"/>
        </w:rPr>
      </w:pPr>
    </w:p>
    <w:p w14:paraId="27D1FE68" w14:textId="59B8ECFF" w:rsidR="00040E66" w:rsidRPr="00262830" w:rsidRDefault="00EC767D" w:rsidP="0047505B">
      <w:pPr>
        <w:spacing w:after="0" w:line="240" w:lineRule="auto"/>
        <w:ind w:left="284" w:hanging="284"/>
        <w:jc w:val="both"/>
        <w:rPr>
          <w:rFonts w:eastAsiaTheme="majorEastAsia" w:cs="Times New Roman"/>
          <w:b/>
          <w:bCs/>
          <w:i/>
          <w:iCs/>
          <w:sz w:val="20"/>
          <w:szCs w:val="20"/>
        </w:rPr>
      </w:pPr>
      <w:r w:rsidRPr="00262830">
        <w:rPr>
          <w:rFonts w:eastAsiaTheme="majorEastAsia" w:cs="Times New Roman"/>
          <w:b/>
          <w:bCs/>
          <w:i/>
          <w:iCs/>
          <w:sz w:val="20"/>
          <w:szCs w:val="20"/>
        </w:rPr>
        <w:t xml:space="preserve">3.3 </w:t>
      </w:r>
      <w:r w:rsidR="00040E66" w:rsidRPr="00262830">
        <w:rPr>
          <w:rFonts w:eastAsiaTheme="majorEastAsia" w:cs="Times New Roman"/>
          <w:b/>
          <w:bCs/>
          <w:i/>
          <w:iCs/>
          <w:sz w:val="20"/>
          <w:szCs w:val="20"/>
        </w:rPr>
        <w:t xml:space="preserve">Concevoir des documents de réunion contenant des informations </w:t>
      </w:r>
      <w:r w:rsidR="006E03E4" w:rsidRPr="00262830">
        <w:rPr>
          <w:rFonts w:eastAsiaTheme="majorEastAsia" w:cs="Times New Roman"/>
          <w:b/>
          <w:bCs/>
          <w:i/>
          <w:iCs/>
          <w:sz w:val="20"/>
          <w:szCs w:val="20"/>
        </w:rPr>
        <w:t>abrégé</w:t>
      </w:r>
      <w:r w:rsidR="00040E66" w:rsidRPr="00262830">
        <w:rPr>
          <w:rFonts w:eastAsiaTheme="majorEastAsia" w:cs="Times New Roman"/>
          <w:b/>
          <w:bCs/>
          <w:i/>
          <w:iCs/>
          <w:sz w:val="20"/>
          <w:szCs w:val="20"/>
        </w:rPr>
        <w:t>es qui faciliteraient la réalisation de cette évaluation</w:t>
      </w:r>
    </w:p>
    <w:p w14:paraId="216468DC" w14:textId="77777777" w:rsidR="00EC767D" w:rsidRPr="00262830" w:rsidRDefault="00EC767D" w:rsidP="00EC767D">
      <w:pPr>
        <w:spacing w:after="0" w:line="240" w:lineRule="auto"/>
        <w:jc w:val="both"/>
        <w:rPr>
          <w:rFonts w:eastAsiaTheme="majorEastAsia" w:cs="Times New Roman"/>
          <w:b/>
          <w:bCs/>
          <w:i/>
          <w:iCs/>
          <w:sz w:val="20"/>
          <w:szCs w:val="20"/>
        </w:rPr>
      </w:pPr>
    </w:p>
    <w:p w14:paraId="0CADB28F" w14:textId="24FBD45F" w:rsidR="002B6C43" w:rsidRPr="00262830" w:rsidRDefault="00E078D0" w:rsidP="00EC767D">
      <w:pPr>
        <w:pStyle w:val="NormalWeb"/>
        <w:numPr>
          <w:ilvl w:val="0"/>
          <w:numId w:val="11"/>
        </w:numPr>
        <w:spacing w:before="0" w:beforeAutospacing="0" w:after="0" w:afterAutospacing="0"/>
        <w:jc w:val="both"/>
        <w:rPr>
          <w:rFonts w:asciiTheme="minorHAnsi" w:hAnsiTheme="minorHAnsi"/>
          <w:sz w:val="20"/>
          <w:szCs w:val="20"/>
        </w:rPr>
      </w:pPr>
      <w:r w:rsidRPr="00262830">
        <w:rPr>
          <w:rFonts w:asciiTheme="minorHAnsi" w:hAnsiTheme="minorHAnsi"/>
          <w:sz w:val="20"/>
          <w:szCs w:val="20"/>
        </w:rPr>
        <w:t>Identifier le type de document</w:t>
      </w:r>
    </w:p>
    <w:p w14:paraId="7D2551DA" w14:textId="77777777" w:rsidR="00EC767D" w:rsidRPr="00262830" w:rsidRDefault="00EC767D" w:rsidP="00EC767D">
      <w:pPr>
        <w:pStyle w:val="NormalWeb"/>
        <w:spacing w:before="0" w:beforeAutospacing="0" w:after="0" w:afterAutospacing="0"/>
        <w:ind w:left="720"/>
        <w:jc w:val="both"/>
        <w:rPr>
          <w:rFonts w:asciiTheme="minorHAnsi" w:hAnsiTheme="minorHAnsi"/>
          <w:sz w:val="20"/>
          <w:szCs w:val="20"/>
        </w:rPr>
      </w:pPr>
    </w:p>
    <w:p w14:paraId="1657AD33" w14:textId="7E3798B3" w:rsidR="002B6C43" w:rsidRPr="00262830" w:rsidRDefault="00F21B6A" w:rsidP="00EC767D">
      <w:pPr>
        <w:pStyle w:val="NormalWeb"/>
        <w:numPr>
          <w:ilvl w:val="1"/>
          <w:numId w:val="20"/>
        </w:numPr>
        <w:spacing w:before="0" w:beforeAutospacing="0" w:after="0" w:afterAutospacing="0"/>
        <w:jc w:val="both"/>
        <w:rPr>
          <w:rFonts w:asciiTheme="minorHAnsi" w:hAnsiTheme="minorHAnsi"/>
          <w:sz w:val="20"/>
          <w:szCs w:val="20"/>
        </w:rPr>
      </w:pPr>
      <w:r w:rsidRPr="00262830">
        <w:rPr>
          <w:rFonts w:asciiTheme="minorHAnsi" w:hAnsiTheme="minorHAnsi"/>
          <w:sz w:val="20"/>
          <w:szCs w:val="20"/>
        </w:rPr>
        <w:t>D</w:t>
      </w:r>
      <w:r w:rsidR="00E078D0" w:rsidRPr="00262830">
        <w:rPr>
          <w:rFonts w:asciiTheme="minorHAnsi" w:hAnsiTheme="minorHAnsi"/>
          <w:sz w:val="20"/>
          <w:szCs w:val="20"/>
        </w:rPr>
        <w:t>ocument pour décision</w:t>
      </w:r>
      <w:r w:rsidR="00040E66" w:rsidRPr="00262830">
        <w:rPr>
          <w:rFonts w:asciiTheme="minorHAnsi" w:hAnsiTheme="minorHAnsi"/>
          <w:sz w:val="20"/>
          <w:szCs w:val="20"/>
        </w:rPr>
        <w:t xml:space="preserve"> vs. </w:t>
      </w:r>
      <w:r w:rsidR="00E078D0" w:rsidRPr="00262830">
        <w:rPr>
          <w:rFonts w:asciiTheme="minorHAnsi" w:hAnsiTheme="minorHAnsi"/>
          <w:sz w:val="20"/>
          <w:szCs w:val="20"/>
        </w:rPr>
        <w:t>document pour information</w:t>
      </w:r>
    </w:p>
    <w:p w14:paraId="61175899" w14:textId="6C0BC737" w:rsidR="002B6C43" w:rsidRPr="00262830" w:rsidRDefault="00F21B6A" w:rsidP="00EC767D">
      <w:pPr>
        <w:pStyle w:val="NormalWeb"/>
        <w:numPr>
          <w:ilvl w:val="1"/>
          <w:numId w:val="20"/>
        </w:numPr>
        <w:spacing w:before="0" w:beforeAutospacing="0" w:after="0" w:afterAutospacing="0"/>
        <w:jc w:val="both"/>
        <w:rPr>
          <w:rFonts w:asciiTheme="minorHAnsi" w:hAnsiTheme="minorHAnsi"/>
          <w:sz w:val="20"/>
          <w:szCs w:val="20"/>
        </w:rPr>
      </w:pPr>
      <w:r w:rsidRPr="00262830">
        <w:rPr>
          <w:rFonts w:asciiTheme="minorHAnsi" w:hAnsiTheme="minorHAnsi"/>
          <w:sz w:val="20"/>
          <w:szCs w:val="20"/>
        </w:rPr>
        <w:t>D</w:t>
      </w:r>
      <w:r w:rsidR="00E078D0" w:rsidRPr="00262830">
        <w:rPr>
          <w:rFonts w:asciiTheme="minorHAnsi" w:hAnsiTheme="minorHAnsi"/>
          <w:sz w:val="20"/>
          <w:szCs w:val="20"/>
        </w:rPr>
        <w:t xml:space="preserve">ocument produit par le secrétariat </w:t>
      </w:r>
      <w:r w:rsidR="00040E66" w:rsidRPr="00262830">
        <w:rPr>
          <w:rFonts w:asciiTheme="minorHAnsi" w:hAnsiTheme="minorHAnsi"/>
          <w:sz w:val="20"/>
          <w:szCs w:val="20"/>
        </w:rPr>
        <w:t xml:space="preserve">vs. </w:t>
      </w:r>
      <w:r w:rsidR="00E078D0" w:rsidRPr="00262830">
        <w:rPr>
          <w:rFonts w:asciiTheme="minorHAnsi" w:hAnsiTheme="minorHAnsi"/>
          <w:sz w:val="20"/>
          <w:szCs w:val="20"/>
        </w:rPr>
        <w:t xml:space="preserve">document produit par les </w:t>
      </w:r>
      <w:r w:rsidR="000D3815" w:rsidRPr="00262830">
        <w:rPr>
          <w:rFonts w:asciiTheme="minorHAnsi" w:hAnsiTheme="minorHAnsi"/>
          <w:sz w:val="20"/>
          <w:szCs w:val="20"/>
        </w:rPr>
        <w:t>CPC</w:t>
      </w:r>
      <w:r w:rsidR="00E078D0" w:rsidRPr="00262830">
        <w:rPr>
          <w:rFonts w:asciiTheme="minorHAnsi" w:hAnsiTheme="minorHAnsi"/>
          <w:sz w:val="20"/>
          <w:szCs w:val="20"/>
        </w:rPr>
        <w:t xml:space="preserve"> ou les observateurs</w:t>
      </w:r>
    </w:p>
    <w:p w14:paraId="4E157445" w14:textId="77777777" w:rsidR="0047505B" w:rsidRPr="00262830" w:rsidRDefault="0047505B" w:rsidP="0047505B">
      <w:pPr>
        <w:pStyle w:val="NormalWeb"/>
        <w:spacing w:before="0" w:beforeAutospacing="0" w:after="0" w:afterAutospacing="0"/>
        <w:ind w:left="1440"/>
        <w:jc w:val="both"/>
        <w:rPr>
          <w:rFonts w:asciiTheme="minorHAnsi" w:hAnsiTheme="minorHAnsi"/>
          <w:sz w:val="20"/>
          <w:szCs w:val="20"/>
        </w:rPr>
      </w:pPr>
    </w:p>
    <w:p w14:paraId="2E2D9823" w14:textId="1E4433E6" w:rsidR="002B6C43" w:rsidRPr="00262830" w:rsidRDefault="00E078D0" w:rsidP="00EC767D">
      <w:pPr>
        <w:pStyle w:val="NormalWeb"/>
        <w:numPr>
          <w:ilvl w:val="0"/>
          <w:numId w:val="11"/>
        </w:numPr>
        <w:spacing w:before="0" w:beforeAutospacing="0" w:after="0" w:afterAutospacing="0"/>
        <w:jc w:val="both"/>
        <w:rPr>
          <w:rFonts w:asciiTheme="minorHAnsi" w:hAnsiTheme="minorHAnsi"/>
          <w:sz w:val="20"/>
          <w:szCs w:val="20"/>
        </w:rPr>
      </w:pPr>
      <w:r w:rsidRPr="00262830">
        <w:rPr>
          <w:rFonts w:asciiTheme="minorHAnsi" w:hAnsiTheme="minorHAnsi"/>
          <w:sz w:val="20"/>
          <w:szCs w:val="20"/>
        </w:rPr>
        <w:t>Regrouper les informations sur l</w:t>
      </w:r>
      <w:r w:rsidR="001E16A5" w:rsidRPr="00262830">
        <w:rPr>
          <w:rFonts w:asciiTheme="minorHAnsi" w:hAnsiTheme="minorHAnsi"/>
          <w:sz w:val="20"/>
          <w:szCs w:val="20"/>
        </w:rPr>
        <w:t>’</w:t>
      </w:r>
      <w:r w:rsidRPr="00262830">
        <w:rPr>
          <w:rFonts w:asciiTheme="minorHAnsi" w:hAnsiTheme="minorHAnsi"/>
          <w:sz w:val="20"/>
          <w:szCs w:val="20"/>
        </w:rPr>
        <w:t>a</w:t>
      </w:r>
      <w:r w:rsidR="001E16A5" w:rsidRPr="00262830">
        <w:rPr>
          <w:rFonts w:asciiTheme="minorHAnsi" w:hAnsiTheme="minorHAnsi"/>
          <w:sz w:val="20"/>
          <w:szCs w:val="20"/>
        </w:rPr>
        <w:t>pplication</w:t>
      </w:r>
      <w:r w:rsidRPr="00262830">
        <w:rPr>
          <w:rFonts w:asciiTheme="minorHAnsi" w:hAnsiTheme="minorHAnsi"/>
          <w:sz w:val="20"/>
          <w:szCs w:val="20"/>
        </w:rPr>
        <w:t xml:space="preserve"> dans quelques documents clés</w:t>
      </w:r>
    </w:p>
    <w:p w14:paraId="0187C349" w14:textId="77777777" w:rsidR="00EC767D" w:rsidRPr="00262830" w:rsidRDefault="00EC767D" w:rsidP="00EC767D">
      <w:pPr>
        <w:pStyle w:val="NormalWeb"/>
        <w:spacing w:before="0" w:beforeAutospacing="0" w:after="0" w:afterAutospacing="0"/>
        <w:ind w:left="720"/>
        <w:jc w:val="both"/>
        <w:rPr>
          <w:rFonts w:asciiTheme="minorHAnsi" w:hAnsiTheme="minorHAnsi"/>
          <w:sz w:val="20"/>
          <w:szCs w:val="20"/>
        </w:rPr>
      </w:pPr>
    </w:p>
    <w:p w14:paraId="08162B67" w14:textId="72DCAB0C" w:rsidR="002B6C43" w:rsidRPr="00262830" w:rsidRDefault="00E078D0" w:rsidP="00EC767D">
      <w:pPr>
        <w:pStyle w:val="NormalWeb"/>
        <w:numPr>
          <w:ilvl w:val="1"/>
          <w:numId w:val="20"/>
        </w:numPr>
        <w:spacing w:before="0" w:beforeAutospacing="0" w:after="0" w:afterAutospacing="0"/>
        <w:jc w:val="both"/>
        <w:rPr>
          <w:rFonts w:asciiTheme="minorHAnsi" w:hAnsiTheme="minorHAnsi"/>
          <w:sz w:val="20"/>
          <w:szCs w:val="20"/>
        </w:rPr>
      </w:pPr>
      <w:r w:rsidRPr="00262830">
        <w:rPr>
          <w:rFonts w:asciiTheme="minorHAnsi" w:hAnsiTheme="minorHAnsi"/>
          <w:sz w:val="20"/>
          <w:szCs w:val="20"/>
        </w:rPr>
        <w:t>Un document unique et visuel d</w:t>
      </w:r>
      <w:r w:rsidR="00D64731" w:rsidRPr="00262830">
        <w:rPr>
          <w:rFonts w:asciiTheme="minorHAnsi" w:hAnsiTheme="minorHAnsi"/>
          <w:sz w:val="20"/>
          <w:szCs w:val="20"/>
        </w:rPr>
        <w:t xml:space="preserve">’application </w:t>
      </w:r>
      <w:r w:rsidRPr="00262830">
        <w:rPr>
          <w:rFonts w:asciiTheme="minorHAnsi" w:hAnsiTheme="minorHAnsi"/>
          <w:sz w:val="20"/>
          <w:szCs w:val="20"/>
        </w:rPr>
        <w:t>générale</w:t>
      </w:r>
      <w:r w:rsidRPr="00262830">
        <w:rPr>
          <w:rStyle w:val="FootnoteReference"/>
          <w:rFonts w:asciiTheme="minorHAnsi" w:hAnsiTheme="minorHAnsi"/>
          <w:sz w:val="20"/>
          <w:szCs w:val="20"/>
        </w:rPr>
        <w:footnoteReference w:id="2"/>
      </w:r>
      <w:r w:rsidRPr="00262830">
        <w:rPr>
          <w:rFonts w:asciiTheme="minorHAnsi" w:hAnsiTheme="minorHAnsi"/>
          <w:sz w:val="20"/>
          <w:szCs w:val="20"/>
        </w:rPr>
        <w:t xml:space="preserve">, </w:t>
      </w:r>
      <w:proofErr w:type="gramStart"/>
      <w:r w:rsidRPr="00262830">
        <w:rPr>
          <w:rFonts w:asciiTheme="minorHAnsi" w:hAnsiTheme="minorHAnsi"/>
          <w:sz w:val="20"/>
          <w:szCs w:val="20"/>
        </w:rPr>
        <w:t>ou</w:t>
      </w:r>
      <w:proofErr w:type="gramEnd"/>
    </w:p>
    <w:p w14:paraId="4DB89E0A" w14:textId="0B015A36" w:rsidR="002B6C43" w:rsidRPr="00262830" w:rsidRDefault="00E078D0" w:rsidP="00EC767D">
      <w:pPr>
        <w:pStyle w:val="NormalWeb"/>
        <w:numPr>
          <w:ilvl w:val="1"/>
          <w:numId w:val="20"/>
        </w:numPr>
        <w:spacing w:before="0" w:beforeAutospacing="0" w:after="0" w:afterAutospacing="0"/>
        <w:jc w:val="both"/>
        <w:rPr>
          <w:rFonts w:asciiTheme="minorHAnsi" w:hAnsiTheme="minorHAnsi"/>
          <w:sz w:val="20"/>
          <w:szCs w:val="20"/>
        </w:rPr>
      </w:pPr>
      <w:r w:rsidRPr="00262830">
        <w:rPr>
          <w:rFonts w:asciiTheme="minorHAnsi" w:hAnsiTheme="minorHAnsi"/>
          <w:sz w:val="20"/>
          <w:szCs w:val="20"/>
        </w:rPr>
        <w:t>Un document par domaine de mise en œuvre</w:t>
      </w:r>
      <w:r w:rsidRPr="00262830">
        <w:rPr>
          <w:rStyle w:val="FootnoteReference"/>
          <w:rFonts w:asciiTheme="minorHAnsi" w:hAnsiTheme="minorHAnsi"/>
          <w:sz w:val="20"/>
          <w:szCs w:val="20"/>
        </w:rPr>
        <w:footnoteReference w:id="3"/>
      </w:r>
    </w:p>
    <w:p w14:paraId="7FAF26E1" w14:textId="77777777" w:rsidR="00EC767D" w:rsidRPr="00262830" w:rsidRDefault="00EC767D" w:rsidP="00EC767D">
      <w:pPr>
        <w:pStyle w:val="NormalWeb"/>
        <w:spacing w:before="0" w:beforeAutospacing="0" w:after="0" w:afterAutospacing="0"/>
        <w:ind w:left="1440"/>
        <w:jc w:val="both"/>
        <w:rPr>
          <w:rFonts w:asciiTheme="minorHAnsi" w:hAnsiTheme="minorHAnsi"/>
          <w:sz w:val="20"/>
          <w:szCs w:val="20"/>
        </w:rPr>
      </w:pPr>
    </w:p>
    <w:p w14:paraId="3C271759" w14:textId="1737C2F0" w:rsidR="002B6C43" w:rsidRPr="00262830" w:rsidRDefault="00E078D0" w:rsidP="00EC767D">
      <w:pPr>
        <w:pStyle w:val="NormalWeb"/>
        <w:numPr>
          <w:ilvl w:val="0"/>
          <w:numId w:val="11"/>
        </w:numPr>
        <w:spacing w:before="0" w:beforeAutospacing="0" w:after="0" w:afterAutospacing="0"/>
        <w:jc w:val="both"/>
        <w:rPr>
          <w:rFonts w:asciiTheme="minorHAnsi" w:hAnsiTheme="minorHAnsi"/>
          <w:sz w:val="20"/>
          <w:szCs w:val="20"/>
        </w:rPr>
      </w:pPr>
      <w:r w:rsidRPr="00262830">
        <w:rPr>
          <w:rFonts w:asciiTheme="minorHAnsi" w:hAnsiTheme="minorHAnsi"/>
          <w:sz w:val="20"/>
          <w:szCs w:val="20"/>
        </w:rPr>
        <w:t xml:space="preserve">Pour chaque document produit, </w:t>
      </w:r>
      <w:r w:rsidR="00040E66" w:rsidRPr="00262830">
        <w:rPr>
          <w:rFonts w:asciiTheme="minorHAnsi" w:hAnsiTheme="minorHAnsi"/>
          <w:sz w:val="20"/>
          <w:szCs w:val="20"/>
        </w:rPr>
        <w:t>idéalement le</w:t>
      </w:r>
      <w:r w:rsidRPr="00262830">
        <w:rPr>
          <w:rFonts w:asciiTheme="minorHAnsi" w:hAnsiTheme="minorHAnsi"/>
          <w:sz w:val="20"/>
          <w:szCs w:val="20"/>
        </w:rPr>
        <w:t xml:space="preserve"> format du document </w:t>
      </w:r>
      <w:r w:rsidR="00040E66" w:rsidRPr="00262830">
        <w:rPr>
          <w:rFonts w:asciiTheme="minorHAnsi" w:hAnsiTheme="minorHAnsi"/>
          <w:sz w:val="20"/>
          <w:szCs w:val="20"/>
        </w:rPr>
        <w:t xml:space="preserve">devrait </w:t>
      </w:r>
      <w:r w:rsidRPr="00262830">
        <w:rPr>
          <w:rFonts w:asciiTheme="minorHAnsi" w:hAnsiTheme="minorHAnsi"/>
          <w:sz w:val="20"/>
          <w:szCs w:val="20"/>
        </w:rPr>
        <w:t>proposer des pré</w:t>
      </w:r>
      <w:r w:rsidR="00040E66" w:rsidRPr="00262830">
        <w:rPr>
          <w:rFonts w:asciiTheme="minorHAnsi" w:hAnsiTheme="minorHAnsi"/>
          <w:sz w:val="20"/>
          <w:szCs w:val="20"/>
        </w:rPr>
        <w:t>-</w:t>
      </w:r>
      <w:r w:rsidRPr="00262830">
        <w:rPr>
          <w:rFonts w:asciiTheme="minorHAnsi" w:hAnsiTheme="minorHAnsi"/>
          <w:sz w:val="20"/>
          <w:szCs w:val="20"/>
        </w:rPr>
        <w:t>conclusions et une orientation claire au COC</w:t>
      </w:r>
      <w:r w:rsidRPr="00262830">
        <w:rPr>
          <w:rStyle w:val="FootnoteReference"/>
          <w:rFonts w:asciiTheme="minorHAnsi" w:hAnsiTheme="minorHAnsi"/>
          <w:sz w:val="20"/>
          <w:szCs w:val="20"/>
        </w:rPr>
        <w:footnoteReference w:id="4"/>
      </w:r>
      <w:r w:rsidR="0047505B" w:rsidRPr="00262830">
        <w:rPr>
          <w:rFonts w:asciiTheme="minorHAnsi" w:hAnsiTheme="minorHAnsi"/>
          <w:sz w:val="20"/>
          <w:szCs w:val="20"/>
        </w:rPr>
        <w:t>.</w:t>
      </w:r>
    </w:p>
    <w:p w14:paraId="574DE839" w14:textId="77777777" w:rsidR="0047505B" w:rsidRPr="00262830" w:rsidRDefault="0047505B" w:rsidP="0047505B">
      <w:pPr>
        <w:pStyle w:val="NormalWeb"/>
        <w:spacing w:before="0" w:beforeAutospacing="0" w:after="0" w:afterAutospacing="0"/>
        <w:ind w:left="720"/>
        <w:jc w:val="both"/>
        <w:rPr>
          <w:rFonts w:asciiTheme="minorHAnsi" w:hAnsiTheme="minorHAnsi"/>
          <w:sz w:val="20"/>
          <w:szCs w:val="20"/>
        </w:rPr>
      </w:pPr>
    </w:p>
    <w:p w14:paraId="6FF14467" w14:textId="5F14C4F8" w:rsidR="002B6C43" w:rsidRPr="00262830" w:rsidRDefault="0047505B" w:rsidP="0047505B">
      <w:pPr>
        <w:spacing w:after="0" w:line="240" w:lineRule="auto"/>
        <w:ind w:left="284" w:hanging="284"/>
        <w:jc w:val="both"/>
        <w:rPr>
          <w:rFonts w:eastAsiaTheme="majorEastAsia" w:cs="Times New Roman"/>
          <w:b/>
          <w:bCs/>
          <w:i/>
          <w:iCs/>
          <w:sz w:val="20"/>
          <w:szCs w:val="20"/>
        </w:rPr>
      </w:pPr>
      <w:r w:rsidRPr="00262830">
        <w:rPr>
          <w:rFonts w:eastAsiaTheme="majorEastAsia" w:cs="Times New Roman"/>
          <w:b/>
          <w:bCs/>
          <w:i/>
          <w:iCs/>
          <w:sz w:val="20"/>
          <w:szCs w:val="20"/>
        </w:rPr>
        <w:t xml:space="preserve">3.4 </w:t>
      </w:r>
      <w:r w:rsidR="00CC5104" w:rsidRPr="00262830">
        <w:rPr>
          <w:rFonts w:eastAsiaTheme="majorEastAsia" w:cs="Times New Roman"/>
          <w:b/>
          <w:bCs/>
          <w:i/>
          <w:iCs/>
          <w:sz w:val="20"/>
          <w:szCs w:val="20"/>
        </w:rPr>
        <w:t>Mettre en place un mécanisme permettant de suivre les tendances en matière d</w:t>
      </w:r>
      <w:r w:rsidR="00A9288A" w:rsidRPr="00262830">
        <w:rPr>
          <w:rFonts w:eastAsiaTheme="majorEastAsia" w:cs="Times New Roman"/>
          <w:b/>
          <w:bCs/>
          <w:i/>
          <w:iCs/>
          <w:sz w:val="20"/>
          <w:szCs w:val="20"/>
        </w:rPr>
        <w:t>’application</w:t>
      </w:r>
      <w:r w:rsidR="00E078D0" w:rsidRPr="00262830">
        <w:rPr>
          <w:rFonts w:eastAsiaTheme="majorEastAsia" w:cs="Times New Roman"/>
          <w:b/>
          <w:bCs/>
          <w:i/>
          <w:iCs/>
          <w:sz w:val="20"/>
          <w:szCs w:val="20"/>
        </w:rPr>
        <w:t>, en utilisant les outils actuellement disponibles</w:t>
      </w:r>
    </w:p>
    <w:p w14:paraId="03187637" w14:textId="77777777" w:rsidR="0047505B" w:rsidRPr="00262830" w:rsidRDefault="0047505B" w:rsidP="0047505B">
      <w:pPr>
        <w:spacing w:after="0" w:line="240" w:lineRule="auto"/>
        <w:jc w:val="both"/>
        <w:rPr>
          <w:rFonts w:eastAsiaTheme="majorEastAsia" w:cs="Times New Roman"/>
          <w:b/>
          <w:bCs/>
          <w:i/>
          <w:iCs/>
          <w:sz w:val="20"/>
          <w:szCs w:val="20"/>
        </w:rPr>
      </w:pPr>
    </w:p>
    <w:p w14:paraId="1FC65A1D" w14:textId="3AD53623" w:rsidR="002B6C43" w:rsidRPr="00262830" w:rsidRDefault="00596013" w:rsidP="0047505B">
      <w:pPr>
        <w:pStyle w:val="P68B1DB1-ListParagraph3"/>
        <w:numPr>
          <w:ilvl w:val="0"/>
          <w:numId w:val="21"/>
        </w:numPr>
        <w:spacing w:after="0" w:line="240" w:lineRule="auto"/>
        <w:contextualSpacing w:val="0"/>
        <w:jc w:val="both"/>
        <w:rPr>
          <w:rFonts w:asciiTheme="minorHAnsi" w:hAnsiTheme="minorHAnsi"/>
          <w:sz w:val="20"/>
          <w:szCs w:val="20"/>
        </w:rPr>
      </w:pPr>
      <w:r w:rsidRPr="00262830">
        <w:rPr>
          <w:rFonts w:asciiTheme="minorHAnsi" w:hAnsiTheme="minorHAnsi"/>
          <w:sz w:val="20"/>
          <w:szCs w:val="20"/>
        </w:rPr>
        <w:t>S</w:t>
      </w:r>
      <w:r w:rsidR="00E078D0" w:rsidRPr="00262830">
        <w:rPr>
          <w:rFonts w:asciiTheme="minorHAnsi" w:hAnsiTheme="minorHAnsi"/>
          <w:sz w:val="20"/>
          <w:szCs w:val="20"/>
        </w:rPr>
        <w:t>uivre les tendances en matière d</w:t>
      </w:r>
      <w:r w:rsidR="001E16A5" w:rsidRPr="00262830">
        <w:rPr>
          <w:rFonts w:asciiTheme="minorHAnsi" w:hAnsiTheme="minorHAnsi"/>
          <w:sz w:val="20"/>
          <w:szCs w:val="20"/>
        </w:rPr>
        <w:t>’application</w:t>
      </w:r>
      <w:r w:rsidR="00E078D0" w:rsidRPr="00262830">
        <w:rPr>
          <w:rFonts w:asciiTheme="minorHAnsi" w:hAnsiTheme="minorHAnsi"/>
          <w:sz w:val="20"/>
          <w:szCs w:val="20"/>
        </w:rPr>
        <w:t xml:space="preserve"> au fil du temps, recenser les préoccupations importantes en matière d</w:t>
      </w:r>
      <w:r w:rsidR="001E16A5" w:rsidRPr="00262830">
        <w:rPr>
          <w:rFonts w:asciiTheme="minorHAnsi" w:hAnsiTheme="minorHAnsi"/>
          <w:sz w:val="20"/>
          <w:szCs w:val="20"/>
        </w:rPr>
        <w:t>’application</w:t>
      </w:r>
      <w:r w:rsidR="00E078D0" w:rsidRPr="00262830">
        <w:rPr>
          <w:rFonts w:asciiTheme="minorHAnsi" w:hAnsiTheme="minorHAnsi"/>
          <w:sz w:val="20"/>
          <w:szCs w:val="20"/>
        </w:rPr>
        <w:t xml:space="preserve"> et/ou les problèmes systémiques</w:t>
      </w:r>
      <w:r w:rsidR="00A9288A" w:rsidRPr="00262830">
        <w:rPr>
          <w:rFonts w:asciiTheme="minorHAnsi" w:hAnsiTheme="minorHAnsi"/>
          <w:sz w:val="20"/>
          <w:szCs w:val="20"/>
        </w:rPr>
        <w:t>.</w:t>
      </w:r>
    </w:p>
    <w:p w14:paraId="4F80AFF5" w14:textId="26C92B2A" w:rsidR="002B6C43" w:rsidRPr="00262830" w:rsidRDefault="0090105D" w:rsidP="0047505B">
      <w:pPr>
        <w:pStyle w:val="P68B1DB1-ListParagraph3"/>
        <w:numPr>
          <w:ilvl w:val="0"/>
          <w:numId w:val="21"/>
        </w:numPr>
        <w:spacing w:after="0" w:line="240" w:lineRule="auto"/>
        <w:contextualSpacing w:val="0"/>
        <w:jc w:val="both"/>
        <w:rPr>
          <w:rFonts w:asciiTheme="minorHAnsi" w:hAnsiTheme="minorHAnsi"/>
          <w:sz w:val="20"/>
          <w:szCs w:val="20"/>
        </w:rPr>
      </w:pPr>
      <w:r w:rsidRPr="00262830">
        <w:rPr>
          <w:rFonts w:asciiTheme="minorHAnsi" w:hAnsiTheme="minorHAnsi"/>
          <w:sz w:val="20"/>
          <w:szCs w:val="20"/>
        </w:rPr>
        <w:t>A</w:t>
      </w:r>
      <w:r w:rsidR="00E078D0" w:rsidRPr="00262830">
        <w:rPr>
          <w:rFonts w:asciiTheme="minorHAnsi" w:hAnsiTheme="minorHAnsi"/>
          <w:sz w:val="20"/>
          <w:szCs w:val="20"/>
        </w:rPr>
        <w:t xml:space="preserve">ssurer un suivi approprié et en temps </w:t>
      </w:r>
      <w:r w:rsidR="00A9288A" w:rsidRPr="00262830">
        <w:rPr>
          <w:rFonts w:asciiTheme="minorHAnsi" w:hAnsiTheme="minorHAnsi"/>
          <w:sz w:val="20"/>
          <w:szCs w:val="20"/>
        </w:rPr>
        <w:t xml:space="preserve">voulu </w:t>
      </w:r>
      <w:r w:rsidR="00E078D0" w:rsidRPr="00262830">
        <w:rPr>
          <w:rFonts w:asciiTheme="minorHAnsi" w:hAnsiTheme="minorHAnsi"/>
          <w:sz w:val="20"/>
          <w:szCs w:val="20"/>
        </w:rPr>
        <w:t>de</w:t>
      </w:r>
      <w:r w:rsidR="00776013" w:rsidRPr="00262830">
        <w:rPr>
          <w:rFonts w:asciiTheme="minorHAnsi" w:hAnsiTheme="minorHAnsi"/>
          <w:sz w:val="20"/>
          <w:szCs w:val="20"/>
        </w:rPr>
        <w:t>s</w:t>
      </w:r>
      <w:r w:rsidR="00E078D0" w:rsidRPr="00262830">
        <w:rPr>
          <w:rFonts w:asciiTheme="minorHAnsi" w:hAnsiTheme="minorHAnsi"/>
          <w:sz w:val="20"/>
          <w:szCs w:val="20"/>
        </w:rPr>
        <w:t xml:space="preserve"> problèmes d</w:t>
      </w:r>
      <w:r w:rsidR="001E16A5" w:rsidRPr="00262830">
        <w:rPr>
          <w:rFonts w:asciiTheme="minorHAnsi" w:hAnsiTheme="minorHAnsi"/>
          <w:sz w:val="20"/>
          <w:szCs w:val="20"/>
        </w:rPr>
        <w:t>’application</w:t>
      </w:r>
      <w:r w:rsidR="00E078D0" w:rsidRPr="00262830">
        <w:rPr>
          <w:rFonts w:asciiTheme="minorHAnsi" w:hAnsiTheme="minorHAnsi"/>
          <w:sz w:val="20"/>
          <w:szCs w:val="20"/>
        </w:rPr>
        <w:t xml:space="preserve"> détectés</w:t>
      </w:r>
      <w:r w:rsidR="00A9288A" w:rsidRPr="00262830">
        <w:rPr>
          <w:rFonts w:asciiTheme="minorHAnsi" w:hAnsiTheme="minorHAnsi"/>
          <w:sz w:val="20"/>
          <w:szCs w:val="20"/>
        </w:rPr>
        <w:t>.</w:t>
      </w:r>
    </w:p>
    <w:p w14:paraId="546EBA62" w14:textId="6856E49D" w:rsidR="002B6C43" w:rsidRPr="00262830" w:rsidRDefault="00E078D0" w:rsidP="0047505B">
      <w:pPr>
        <w:pStyle w:val="ListParagraph"/>
        <w:numPr>
          <w:ilvl w:val="0"/>
          <w:numId w:val="21"/>
        </w:numPr>
        <w:spacing w:after="0" w:line="240" w:lineRule="auto"/>
        <w:contextualSpacing w:val="0"/>
        <w:jc w:val="both"/>
        <w:rPr>
          <w:rFonts w:eastAsia="Times New Roman" w:cs="Times New Roman"/>
          <w:sz w:val="20"/>
          <w:szCs w:val="20"/>
        </w:rPr>
      </w:pPr>
      <w:r w:rsidRPr="00262830">
        <w:rPr>
          <w:rFonts w:eastAsia="Times New Roman" w:cs="Times New Roman"/>
          <w:sz w:val="20"/>
          <w:szCs w:val="20"/>
        </w:rPr>
        <w:t>Mettre en place un mécanisme qui déclenche des actions en cas de suivi inadéquat</w:t>
      </w:r>
      <w:r w:rsidRPr="00262830">
        <w:rPr>
          <w:sz w:val="20"/>
          <w:szCs w:val="20"/>
        </w:rPr>
        <w:t xml:space="preserve">. </w:t>
      </w:r>
      <w:r w:rsidRPr="00262830">
        <w:rPr>
          <w:rFonts w:eastAsia="Times New Roman" w:cs="Times New Roman"/>
          <w:sz w:val="20"/>
          <w:szCs w:val="20"/>
        </w:rPr>
        <w:t>Mise en œuvre systématique du calendrier des problèmes d</w:t>
      </w:r>
      <w:r w:rsidR="00A9288A" w:rsidRPr="00262830">
        <w:rPr>
          <w:rFonts w:eastAsia="Times New Roman" w:cs="Times New Roman"/>
          <w:sz w:val="20"/>
          <w:szCs w:val="20"/>
        </w:rPr>
        <w:t xml:space="preserve">’application </w:t>
      </w:r>
      <w:r w:rsidRPr="00262830">
        <w:rPr>
          <w:rFonts w:eastAsia="Times New Roman" w:cs="Times New Roman"/>
          <w:sz w:val="20"/>
          <w:szCs w:val="20"/>
        </w:rPr>
        <w:t>et des actions correspondantes (</w:t>
      </w:r>
      <w:r w:rsidR="00EB67B7" w:rsidRPr="00262830">
        <w:rPr>
          <w:rFonts w:eastAsia="Times New Roman" w:cs="Times New Roman"/>
          <w:sz w:val="20"/>
          <w:szCs w:val="20"/>
        </w:rPr>
        <w:t>Programme de questions d’application et actions correspondantes,</w:t>
      </w:r>
      <w:hyperlink r:id="rId11" w:history="1">
        <w:r w:rsidR="00EB67B7" w:rsidRPr="00262830">
          <w:rPr>
            <w:rStyle w:val="Hyperlink"/>
            <w:rFonts w:eastAsia="Times New Roman" w:cs="Times New Roman"/>
            <w:sz w:val="20"/>
            <w:szCs w:val="20"/>
            <w:u w:val="none"/>
          </w:rPr>
          <w:t xml:space="preserve"> </w:t>
        </w:r>
        <w:r w:rsidR="005219B0" w:rsidRPr="00262830">
          <w:rPr>
            <w:rStyle w:val="Hyperlink"/>
            <w:rFonts w:eastAsia="Times New Roman" w:cs="Times New Roman"/>
            <w:sz w:val="20"/>
            <w:szCs w:val="20"/>
            <w:u w:val="none"/>
          </w:rPr>
          <w:t>Réf</w:t>
        </w:r>
        <w:r w:rsidR="0047505B" w:rsidRPr="00262830">
          <w:rPr>
            <w:rStyle w:val="Hyperlink"/>
            <w:rFonts w:eastAsia="Times New Roman" w:cs="Times New Roman"/>
            <w:sz w:val="20"/>
            <w:szCs w:val="20"/>
            <w:u w:val="none"/>
          </w:rPr>
          <w:t>.</w:t>
        </w:r>
        <w:r w:rsidR="005219B0" w:rsidRPr="00262830">
          <w:rPr>
            <w:rStyle w:val="Hyperlink"/>
            <w:rFonts w:eastAsia="Times New Roman" w:cs="Times New Roman"/>
            <w:sz w:val="20"/>
            <w:szCs w:val="20"/>
            <w:u w:val="none"/>
          </w:rPr>
          <w:t xml:space="preserve"> 22-18</w:t>
        </w:r>
      </w:hyperlink>
      <w:r w:rsidRPr="00262830">
        <w:rPr>
          <w:rFonts w:eastAsia="Times New Roman" w:cs="Times New Roman"/>
          <w:sz w:val="20"/>
          <w:szCs w:val="20"/>
        </w:rPr>
        <w:t>).</w:t>
      </w:r>
    </w:p>
    <w:p w14:paraId="36F12DA6" w14:textId="317DB609" w:rsidR="002B6C43" w:rsidRPr="00262830" w:rsidRDefault="00E078D0" w:rsidP="0047505B">
      <w:pPr>
        <w:pStyle w:val="P68B1DB1-ListParagraph3"/>
        <w:numPr>
          <w:ilvl w:val="0"/>
          <w:numId w:val="21"/>
        </w:numPr>
        <w:spacing w:after="0" w:line="240" w:lineRule="auto"/>
        <w:contextualSpacing w:val="0"/>
        <w:jc w:val="both"/>
        <w:rPr>
          <w:rFonts w:asciiTheme="minorHAnsi" w:hAnsiTheme="minorHAnsi"/>
          <w:sz w:val="20"/>
          <w:szCs w:val="20"/>
        </w:rPr>
      </w:pPr>
      <w:r w:rsidRPr="00262830">
        <w:rPr>
          <w:rFonts w:asciiTheme="minorHAnsi" w:hAnsiTheme="minorHAnsi"/>
          <w:sz w:val="20"/>
          <w:szCs w:val="20"/>
        </w:rPr>
        <w:t>Un tableau reprenant les cas de non-</w:t>
      </w:r>
      <w:r w:rsidR="009C1089" w:rsidRPr="00262830">
        <w:rPr>
          <w:rFonts w:asciiTheme="minorHAnsi" w:hAnsiTheme="minorHAnsi"/>
          <w:sz w:val="20"/>
          <w:szCs w:val="20"/>
        </w:rPr>
        <w:t>application</w:t>
      </w:r>
      <w:r w:rsidRPr="00262830">
        <w:rPr>
          <w:rFonts w:asciiTheme="minorHAnsi" w:hAnsiTheme="minorHAnsi"/>
          <w:sz w:val="20"/>
          <w:szCs w:val="20"/>
        </w:rPr>
        <w:t xml:space="preserve"> détectés pour les différentes </w:t>
      </w:r>
      <w:r w:rsidR="000D3815" w:rsidRPr="00262830">
        <w:rPr>
          <w:rFonts w:asciiTheme="minorHAnsi" w:hAnsiTheme="minorHAnsi"/>
          <w:sz w:val="20"/>
          <w:szCs w:val="20"/>
        </w:rPr>
        <w:t>CPC</w:t>
      </w:r>
      <w:r w:rsidRPr="00262830">
        <w:rPr>
          <w:rFonts w:asciiTheme="minorHAnsi" w:hAnsiTheme="minorHAnsi"/>
          <w:sz w:val="20"/>
          <w:szCs w:val="20"/>
        </w:rPr>
        <w:t xml:space="preserve"> au fil des ans fournirait une vue d’ensemble de la persistance des problèmes (</w:t>
      </w:r>
      <w:r w:rsidR="00FD010E" w:rsidRPr="00262830">
        <w:rPr>
          <w:rFonts w:asciiTheme="minorHAnsi" w:hAnsiTheme="minorHAnsi"/>
          <w:sz w:val="20"/>
          <w:szCs w:val="20"/>
        </w:rPr>
        <w:t xml:space="preserve">le Secrétariat de l’ICCAT fait un </w:t>
      </w:r>
      <w:r w:rsidRPr="00262830">
        <w:rPr>
          <w:rFonts w:asciiTheme="minorHAnsi" w:hAnsiTheme="minorHAnsi"/>
          <w:sz w:val="20"/>
          <w:szCs w:val="20"/>
        </w:rPr>
        <w:t xml:space="preserve">suivi des manquements répétés). Le suivi de chaque </w:t>
      </w:r>
      <w:r w:rsidR="00077068" w:rsidRPr="00262830">
        <w:rPr>
          <w:rFonts w:asciiTheme="minorHAnsi" w:hAnsiTheme="minorHAnsi"/>
          <w:sz w:val="20"/>
          <w:szCs w:val="20"/>
        </w:rPr>
        <w:t xml:space="preserve">cas de </w:t>
      </w:r>
      <w:r w:rsidRPr="00262830">
        <w:rPr>
          <w:rFonts w:asciiTheme="minorHAnsi" w:hAnsiTheme="minorHAnsi"/>
          <w:sz w:val="20"/>
          <w:szCs w:val="20"/>
        </w:rPr>
        <w:t>non-</w:t>
      </w:r>
      <w:r w:rsidR="00FD010E" w:rsidRPr="00262830">
        <w:rPr>
          <w:rFonts w:asciiTheme="minorHAnsi" w:hAnsiTheme="minorHAnsi"/>
          <w:sz w:val="20"/>
          <w:szCs w:val="20"/>
        </w:rPr>
        <w:t xml:space="preserve">application </w:t>
      </w:r>
      <w:r w:rsidRPr="00262830">
        <w:rPr>
          <w:rFonts w:asciiTheme="minorHAnsi" w:hAnsiTheme="minorHAnsi"/>
          <w:sz w:val="20"/>
          <w:szCs w:val="20"/>
        </w:rPr>
        <w:t>détecté doit être reflété dans les tableaux récapitulatifs d</w:t>
      </w:r>
      <w:r w:rsidR="00392422" w:rsidRPr="00262830">
        <w:rPr>
          <w:rFonts w:asciiTheme="minorHAnsi" w:hAnsiTheme="minorHAnsi"/>
          <w:sz w:val="20"/>
          <w:szCs w:val="20"/>
        </w:rPr>
        <w:t>’application</w:t>
      </w:r>
      <w:r w:rsidRPr="00262830">
        <w:rPr>
          <w:rFonts w:asciiTheme="minorHAnsi" w:hAnsiTheme="minorHAnsi"/>
          <w:sz w:val="20"/>
          <w:szCs w:val="20"/>
        </w:rPr>
        <w:t xml:space="preserve"> du COC (COC 308).</w:t>
      </w:r>
    </w:p>
    <w:p w14:paraId="5D71104C" w14:textId="6E7E6D44" w:rsidR="002B6C43" w:rsidRPr="00262830" w:rsidRDefault="00E078D0" w:rsidP="00EB67B7">
      <w:pPr>
        <w:pStyle w:val="P68B1DB1-ListParagraph3"/>
        <w:numPr>
          <w:ilvl w:val="0"/>
          <w:numId w:val="21"/>
        </w:numPr>
        <w:spacing w:after="0" w:line="240" w:lineRule="auto"/>
        <w:contextualSpacing w:val="0"/>
        <w:jc w:val="both"/>
        <w:rPr>
          <w:rFonts w:asciiTheme="minorHAnsi" w:hAnsiTheme="minorHAnsi"/>
          <w:sz w:val="20"/>
          <w:szCs w:val="20"/>
        </w:rPr>
      </w:pPr>
      <w:r w:rsidRPr="00262830">
        <w:rPr>
          <w:rFonts w:asciiTheme="minorHAnsi" w:hAnsiTheme="minorHAnsi"/>
          <w:sz w:val="20"/>
          <w:szCs w:val="20"/>
        </w:rPr>
        <w:t>Un code couleur pour ces cas de non-</w:t>
      </w:r>
      <w:r w:rsidR="00E406BF" w:rsidRPr="00262830">
        <w:rPr>
          <w:rFonts w:asciiTheme="minorHAnsi" w:hAnsiTheme="minorHAnsi"/>
          <w:sz w:val="20"/>
          <w:szCs w:val="20"/>
        </w:rPr>
        <w:t>application</w:t>
      </w:r>
      <w:r w:rsidRPr="00262830">
        <w:rPr>
          <w:rFonts w:asciiTheme="minorHAnsi" w:hAnsiTheme="minorHAnsi"/>
          <w:sz w:val="20"/>
          <w:szCs w:val="20"/>
        </w:rPr>
        <w:t xml:space="preserve"> (</w:t>
      </w:r>
      <w:r w:rsidR="00AA131D" w:rsidRPr="00262830">
        <w:rPr>
          <w:rFonts w:asciiTheme="minorHAnsi" w:hAnsiTheme="minorHAnsi"/>
          <w:sz w:val="20"/>
          <w:szCs w:val="20"/>
        </w:rPr>
        <w:t>par exemple</w:t>
      </w:r>
      <w:r w:rsidR="00E406BF" w:rsidRPr="00262830">
        <w:rPr>
          <w:rFonts w:asciiTheme="minorHAnsi" w:hAnsiTheme="minorHAnsi"/>
          <w:sz w:val="20"/>
          <w:szCs w:val="20"/>
        </w:rPr>
        <w:t>,</w:t>
      </w:r>
      <w:r w:rsidRPr="00262830">
        <w:rPr>
          <w:rFonts w:asciiTheme="minorHAnsi" w:hAnsiTheme="minorHAnsi"/>
          <w:sz w:val="20"/>
          <w:szCs w:val="20"/>
        </w:rPr>
        <w:t xml:space="preserve"> jaune pour les obligations de déclaration, rouge pour défaut de mise en œuvre des mesures de suivi, de contrôle et de surveillance</w:t>
      </w:r>
      <w:r w:rsidR="00392422" w:rsidRPr="00262830">
        <w:rPr>
          <w:rFonts w:asciiTheme="minorHAnsi" w:hAnsiTheme="minorHAnsi"/>
          <w:sz w:val="20"/>
          <w:szCs w:val="20"/>
        </w:rPr>
        <w:t xml:space="preserve"> (MCS)</w:t>
      </w:r>
      <w:r w:rsidRPr="00262830">
        <w:rPr>
          <w:rFonts w:asciiTheme="minorHAnsi" w:hAnsiTheme="minorHAnsi"/>
          <w:sz w:val="20"/>
          <w:szCs w:val="20"/>
        </w:rPr>
        <w:t xml:space="preserve">, etc.) peut donner un aperçu de la gravité des manquements. </w:t>
      </w:r>
    </w:p>
    <w:p w14:paraId="558B0907" w14:textId="4D04E505" w:rsidR="002B6C43" w:rsidRPr="00262830" w:rsidRDefault="00E078D0" w:rsidP="00392422">
      <w:pPr>
        <w:pStyle w:val="P68B1DB1-ListParagraph3"/>
        <w:numPr>
          <w:ilvl w:val="0"/>
          <w:numId w:val="17"/>
        </w:numPr>
        <w:spacing w:after="0" w:line="240" w:lineRule="auto"/>
        <w:ind w:left="714" w:hanging="357"/>
        <w:contextualSpacing w:val="0"/>
        <w:jc w:val="both"/>
        <w:rPr>
          <w:rFonts w:asciiTheme="minorHAnsi" w:hAnsiTheme="minorHAnsi"/>
          <w:sz w:val="20"/>
          <w:szCs w:val="20"/>
        </w:rPr>
      </w:pPr>
      <w:r w:rsidRPr="00262830">
        <w:rPr>
          <w:rFonts w:asciiTheme="minorHAnsi" w:hAnsiTheme="minorHAnsi"/>
          <w:sz w:val="20"/>
          <w:szCs w:val="20"/>
        </w:rPr>
        <w:t xml:space="preserve">Chaque année, les </w:t>
      </w:r>
      <w:r w:rsidR="000D3815" w:rsidRPr="00262830">
        <w:rPr>
          <w:rFonts w:asciiTheme="minorHAnsi" w:hAnsiTheme="minorHAnsi"/>
          <w:sz w:val="20"/>
          <w:szCs w:val="20"/>
        </w:rPr>
        <w:t>CPC</w:t>
      </w:r>
      <w:r w:rsidRPr="00262830">
        <w:rPr>
          <w:rFonts w:asciiTheme="minorHAnsi" w:hAnsiTheme="minorHAnsi"/>
          <w:sz w:val="20"/>
          <w:szCs w:val="20"/>
        </w:rPr>
        <w:t xml:space="preserve"> pour lesquelles des problèmes d</w:t>
      </w:r>
      <w:r w:rsidR="001E16A5" w:rsidRPr="00262830">
        <w:rPr>
          <w:rFonts w:asciiTheme="minorHAnsi" w:hAnsiTheme="minorHAnsi"/>
          <w:sz w:val="20"/>
          <w:szCs w:val="20"/>
        </w:rPr>
        <w:t>’application</w:t>
      </w:r>
      <w:r w:rsidRPr="00262830">
        <w:rPr>
          <w:rFonts w:asciiTheme="minorHAnsi" w:hAnsiTheme="minorHAnsi"/>
          <w:sz w:val="20"/>
          <w:szCs w:val="20"/>
        </w:rPr>
        <w:t xml:space="preserve"> ont été constatés reçoivent une lettre d’identification détaillant le problème et incluant des informations sur l’étape suivante du mécanisme d</w:t>
      </w:r>
      <w:r w:rsidR="00E406BF" w:rsidRPr="00262830">
        <w:rPr>
          <w:rFonts w:asciiTheme="minorHAnsi" w:hAnsiTheme="minorHAnsi"/>
          <w:sz w:val="20"/>
          <w:szCs w:val="20"/>
        </w:rPr>
        <w:t xml:space="preserve">’application </w:t>
      </w:r>
      <w:r w:rsidRPr="00262830">
        <w:rPr>
          <w:rFonts w:asciiTheme="minorHAnsi" w:hAnsiTheme="minorHAnsi"/>
          <w:sz w:val="20"/>
          <w:szCs w:val="20"/>
        </w:rPr>
        <w:t xml:space="preserve">conformément </w:t>
      </w:r>
      <w:r w:rsidR="00E406BF" w:rsidRPr="00262830">
        <w:rPr>
          <w:rFonts w:asciiTheme="minorHAnsi" w:hAnsiTheme="minorHAnsi"/>
          <w:sz w:val="20"/>
          <w:szCs w:val="20"/>
        </w:rPr>
        <w:t>à la</w:t>
      </w:r>
      <w:r w:rsidRPr="00262830">
        <w:rPr>
          <w:rFonts w:asciiTheme="minorHAnsi" w:hAnsiTheme="minorHAnsi"/>
          <w:sz w:val="20"/>
          <w:szCs w:val="20"/>
        </w:rPr>
        <w:t xml:space="preserve"> </w:t>
      </w:r>
      <w:hyperlink r:id="rId12" w:history="1">
        <w:r w:rsidR="001E16A5" w:rsidRPr="00262830">
          <w:rPr>
            <w:rStyle w:val="Hyperlink"/>
            <w:rFonts w:asciiTheme="minorHAnsi" w:hAnsiTheme="minorHAnsi"/>
            <w:sz w:val="20"/>
            <w:szCs w:val="20"/>
            <w:u w:val="none"/>
          </w:rPr>
          <w:t>Réf.</w:t>
        </w:r>
        <w:r w:rsidRPr="00262830">
          <w:rPr>
            <w:rStyle w:val="Hyperlink"/>
            <w:rFonts w:asciiTheme="minorHAnsi" w:hAnsiTheme="minorHAnsi"/>
            <w:sz w:val="20"/>
            <w:szCs w:val="20"/>
            <w:u w:val="none"/>
          </w:rPr>
          <w:t xml:space="preserve"> 22-18</w:t>
        </w:r>
      </w:hyperlink>
      <w:r w:rsidRPr="00262830">
        <w:rPr>
          <w:rFonts w:asciiTheme="minorHAnsi" w:hAnsiTheme="minorHAnsi"/>
          <w:sz w:val="20"/>
          <w:szCs w:val="20"/>
        </w:rPr>
        <w:t xml:space="preserve"> si le problème n’est pas résolu (</w:t>
      </w:r>
      <w:r w:rsidR="00D13F5F" w:rsidRPr="00262830">
        <w:rPr>
          <w:rFonts w:asciiTheme="minorHAnsi" w:hAnsiTheme="minorHAnsi"/>
          <w:sz w:val="20"/>
          <w:szCs w:val="20"/>
        </w:rPr>
        <w:t>par exemple</w:t>
      </w:r>
      <w:r w:rsidRPr="00262830">
        <w:rPr>
          <w:rFonts w:asciiTheme="minorHAnsi" w:hAnsiTheme="minorHAnsi"/>
          <w:sz w:val="20"/>
          <w:szCs w:val="20"/>
        </w:rPr>
        <w:t xml:space="preserve">, </w:t>
      </w:r>
      <w:r w:rsidRPr="00262830">
        <w:rPr>
          <w:rFonts w:asciiTheme="minorHAnsi" w:hAnsiTheme="minorHAnsi"/>
          <w:sz w:val="20"/>
          <w:szCs w:val="20"/>
        </w:rPr>
        <w:lastRenderedPageBreak/>
        <w:t xml:space="preserve">année 3, </w:t>
      </w:r>
      <w:proofErr w:type="spellStart"/>
      <w:r w:rsidRPr="00262830">
        <w:rPr>
          <w:rFonts w:asciiTheme="minorHAnsi" w:hAnsiTheme="minorHAnsi"/>
          <w:sz w:val="20"/>
          <w:szCs w:val="20"/>
        </w:rPr>
        <w:t>Serious</w:t>
      </w:r>
      <w:proofErr w:type="spellEnd"/>
      <w:r w:rsidRPr="00262830">
        <w:rPr>
          <w:rFonts w:asciiTheme="minorHAnsi" w:hAnsiTheme="minorHAnsi"/>
          <w:sz w:val="20"/>
          <w:szCs w:val="20"/>
        </w:rPr>
        <w:t xml:space="preserve"> = En coordination avec le groupe d’experts compétent, envisager de recommander l’adoption par </w:t>
      </w:r>
      <w:r w:rsidR="00585DD3" w:rsidRPr="00262830">
        <w:rPr>
          <w:rFonts w:asciiTheme="minorHAnsi" w:hAnsiTheme="minorHAnsi"/>
          <w:sz w:val="20"/>
          <w:szCs w:val="20"/>
        </w:rPr>
        <w:t>l’ICCAT</w:t>
      </w:r>
      <w:r w:rsidRPr="00262830">
        <w:rPr>
          <w:rFonts w:asciiTheme="minorHAnsi" w:hAnsiTheme="minorHAnsi"/>
          <w:sz w:val="20"/>
          <w:szCs w:val="20"/>
        </w:rPr>
        <w:t xml:space="preserve"> de restrictions de pêche supplémentaires). </w:t>
      </w:r>
    </w:p>
    <w:p w14:paraId="206FA1C3" w14:textId="77777777" w:rsidR="00392422" w:rsidRPr="00262830" w:rsidRDefault="00392422" w:rsidP="00392422">
      <w:pPr>
        <w:pStyle w:val="P68B1DB1-Heading22"/>
        <w:spacing w:before="0" w:after="0" w:line="240" w:lineRule="auto"/>
        <w:jc w:val="both"/>
        <w:rPr>
          <w:rFonts w:asciiTheme="minorHAnsi" w:hAnsiTheme="minorHAnsi"/>
          <w:b/>
          <w:bCs/>
          <w:i/>
          <w:iCs/>
          <w:color w:val="auto"/>
          <w:sz w:val="20"/>
          <w:szCs w:val="20"/>
        </w:rPr>
      </w:pPr>
    </w:p>
    <w:p w14:paraId="134E0260" w14:textId="70985E89" w:rsidR="002B6C43" w:rsidRPr="00262830" w:rsidRDefault="00392422" w:rsidP="00392422">
      <w:pPr>
        <w:pStyle w:val="P68B1DB1-Heading22"/>
        <w:spacing w:before="0" w:after="0" w:line="240" w:lineRule="auto"/>
        <w:jc w:val="both"/>
        <w:rPr>
          <w:rFonts w:asciiTheme="minorHAnsi" w:hAnsiTheme="minorHAnsi"/>
          <w:b/>
          <w:bCs/>
          <w:i/>
          <w:iCs/>
          <w:color w:val="auto"/>
          <w:sz w:val="20"/>
          <w:szCs w:val="20"/>
        </w:rPr>
      </w:pPr>
      <w:r w:rsidRPr="00262830">
        <w:rPr>
          <w:rFonts w:asciiTheme="minorHAnsi" w:hAnsiTheme="minorHAnsi"/>
          <w:b/>
          <w:bCs/>
          <w:i/>
          <w:iCs/>
          <w:color w:val="auto"/>
          <w:sz w:val="20"/>
          <w:szCs w:val="20"/>
        </w:rPr>
        <w:t xml:space="preserve">3.5 </w:t>
      </w:r>
      <w:r w:rsidR="00E078D0" w:rsidRPr="00262830">
        <w:rPr>
          <w:rFonts w:asciiTheme="minorHAnsi" w:hAnsiTheme="minorHAnsi"/>
          <w:b/>
          <w:bCs/>
          <w:i/>
          <w:iCs/>
          <w:color w:val="auto"/>
          <w:sz w:val="20"/>
          <w:szCs w:val="20"/>
        </w:rPr>
        <w:t>Autres mesures supplémentaires possibles</w:t>
      </w:r>
    </w:p>
    <w:p w14:paraId="33E68E33" w14:textId="77777777" w:rsidR="00392422" w:rsidRPr="00262830" w:rsidRDefault="00392422" w:rsidP="00392422">
      <w:pPr>
        <w:pStyle w:val="P68B1DB1-Heading22"/>
        <w:spacing w:before="0" w:after="0" w:line="240" w:lineRule="auto"/>
        <w:jc w:val="both"/>
        <w:rPr>
          <w:rFonts w:asciiTheme="minorHAnsi" w:hAnsiTheme="minorHAnsi"/>
          <w:b/>
          <w:bCs/>
          <w:i/>
          <w:iCs/>
          <w:color w:val="auto"/>
          <w:sz w:val="20"/>
          <w:szCs w:val="20"/>
        </w:rPr>
      </w:pPr>
    </w:p>
    <w:p w14:paraId="11CB9214" w14:textId="4079A0CE" w:rsidR="002B6C43" w:rsidRPr="00262830" w:rsidRDefault="00E078D0" w:rsidP="00392422">
      <w:pPr>
        <w:pStyle w:val="NormalWeb"/>
        <w:numPr>
          <w:ilvl w:val="0"/>
          <w:numId w:val="12"/>
        </w:numPr>
        <w:spacing w:before="0" w:beforeAutospacing="0" w:after="0" w:afterAutospacing="0"/>
        <w:ind w:left="714" w:hanging="357"/>
        <w:jc w:val="both"/>
        <w:rPr>
          <w:rFonts w:asciiTheme="minorHAnsi" w:hAnsiTheme="minorHAnsi"/>
          <w:sz w:val="20"/>
          <w:szCs w:val="20"/>
        </w:rPr>
      </w:pPr>
      <w:r w:rsidRPr="00262830">
        <w:rPr>
          <w:rFonts w:asciiTheme="minorHAnsi" w:hAnsiTheme="minorHAnsi"/>
          <w:sz w:val="20"/>
          <w:szCs w:val="20"/>
        </w:rPr>
        <w:t xml:space="preserve">Identifier les documents de réunion dont la production peut être interrompue. Tirer parti de l’exercice, et en particulier des tâches visées au point 3.2, pour réduire les obligations en matière de </w:t>
      </w:r>
      <w:r w:rsidR="00BF5272" w:rsidRPr="00262830">
        <w:rPr>
          <w:rFonts w:asciiTheme="minorHAnsi" w:hAnsiTheme="minorHAnsi"/>
          <w:sz w:val="20"/>
          <w:szCs w:val="20"/>
        </w:rPr>
        <w:t>déclaration</w:t>
      </w:r>
      <w:r w:rsidR="007463DA" w:rsidRPr="00262830">
        <w:rPr>
          <w:rFonts w:asciiTheme="minorHAnsi" w:hAnsiTheme="minorHAnsi"/>
          <w:sz w:val="20"/>
          <w:szCs w:val="20"/>
        </w:rPr>
        <w:t>.</w:t>
      </w:r>
    </w:p>
    <w:p w14:paraId="5CFA45DB" w14:textId="31DA10BB" w:rsidR="002B6C43" w:rsidRPr="00262830" w:rsidRDefault="00E078D0" w:rsidP="00392422">
      <w:pPr>
        <w:pStyle w:val="P68B1DB1-ListParagraph3"/>
        <w:numPr>
          <w:ilvl w:val="0"/>
          <w:numId w:val="2"/>
        </w:numPr>
        <w:spacing w:after="0" w:line="240" w:lineRule="auto"/>
        <w:ind w:left="714" w:hanging="357"/>
        <w:contextualSpacing w:val="0"/>
        <w:jc w:val="both"/>
        <w:rPr>
          <w:rFonts w:asciiTheme="minorHAnsi" w:hAnsiTheme="minorHAnsi"/>
          <w:sz w:val="20"/>
          <w:szCs w:val="20"/>
        </w:rPr>
      </w:pPr>
      <w:r w:rsidRPr="00262830">
        <w:rPr>
          <w:rFonts w:asciiTheme="minorHAnsi" w:hAnsiTheme="minorHAnsi"/>
          <w:sz w:val="20"/>
          <w:szCs w:val="20"/>
        </w:rPr>
        <w:t xml:space="preserve">En collaboration avec le </w:t>
      </w:r>
      <w:r w:rsidR="00BF5272" w:rsidRPr="00262830">
        <w:rPr>
          <w:rFonts w:asciiTheme="minorHAnsi" w:hAnsiTheme="minorHAnsi"/>
          <w:sz w:val="20"/>
          <w:szCs w:val="20"/>
        </w:rPr>
        <w:t>G</w:t>
      </w:r>
      <w:r w:rsidRPr="00262830">
        <w:rPr>
          <w:rFonts w:asciiTheme="minorHAnsi" w:hAnsiTheme="minorHAnsi"/>
          <w:sz w:val="20"/>
          <w:szCs w:val="20"/>
        </w:rPr>
        <w:t xml:space="preserve">roupe de travail </w:t>
      </w:r>
      <w:r w:rsidR="00BF5272" w:rsidRPr="00262830">
        <w:rPr>
          <w:rFonts w:asciiTheme="minorHAnsi" w:hAnsiTheme="minorHAnsi"/>
          <w:sz w:val="20"/>
          <w:szCs w:val="20"/>
        </w:rPr>
        <w:t xml:space="preserve">sur le </w:t>
      </w:r>
      <w:r w:rsidR="00392422" w:rsidRPr="00262830">
        <w:rPr>
          <w:rFonts w:asciiTheme="minorHAnsi" w:hAnsiTheme="minorHAnsi"/>
          <w:sz w:val="20"/>
          <w:szCs w:val="20"/>
        </w:rPr>
        <w:t>Système intégré de gestion en ligne (</w:t>
      </w:r>
      <w:r w:rsidRPr="00262830">
        <w:rPr>
          <w:rFonts w:asciiTheme="minorHAnsi" w:hAnsiTheme="minorHAnsi"/>
          <w:sz w:val="20"/>
          <w:szCs w:val="20"/>
        </w:rPr>
        <w:t>IOMS</w:t>
      </w:r>
      <w:r w:rsidR="00392422" w:rsidRPr="00262830">
        <w:rPr>
          <w:rFonts w:asciiTheme="minorHAnsi" w:hAnsiTheme="minorHAnsi"/>
          <w:sz w:val="20"/>
          <w:szCs w:val="20"/>
        </w:rPr>
        <w:t>)</w:t>
      </w:r>
      <w:r w:rsidRPr="00262830">
        <w:rPr>
          <w:rFonts w:asciiTheme="minorHAnsi" w:hAnsiTheme="minorHAnsi"/>
          <w:sz w:val="20"/>
          <w:szCs w:val="20"/>
        </w:rPr>
        <w:t>, considérer l’IOMS comme la plateforme de base pour l’extraction des données et l’adapter aux besoins du COC.</w:t>
      </w:r>
    </w:p>
    <w:p w14:paraId="28E1F315" w14:textId="438ADF5B" w:rsidR="002B6C43" w:rsidRPr="00262830" w:rsidRDefault="00E078D0" w:rsidP="00392422">
      <w:pPr>
        <w:pStyle w:val="P68B1DB1-ListParagraph3"/>
        <w:numPr>
          <w:ilvl w:val="0"/>
          <w:numId w:val="2"/>
        </w:numPr>
        <w:spacing w:after="0" w:line="240" w:lineRule="auto"/>
        <w:ind w:left="714" w:hanging="357"/>
        <w:contextualSpacing w:val="0"/>
        <w:jc w:val="both"/>
        <w:rPr>
          <w:rFonts w:asciiTheme="minorHAnsi" w:hAnsiTheme="minorHAnsi"/>
          <w:sz w:val="20"/>
          <w:szCs w:val="20"/>
        </w:rPr>
      </w:pPr>
      <w:r w:rsidRPr="00262830">
        <w:rPr>
          <w:rFonts w:asciiTheme="minorHAnsi" w:hAnsiTheme="minorHAnsi"/>
          <w:sz w:val="20"/>
          <w:szCs w:val="20"/>
        </w:rPr>
        <w:t>Envisager la nécessité éventuelle d’augmenter le temps consacré au COC (d’autres ORGP de taille nettement plus réduite consacrent plus de temps à ces discussions)</w:t>
      </w:r>
      <w:r w:rsidR="007463DA" w:rsidRPr="00262830">
        <w:rPr>
          <w:rFonts w:asciiTheme="minorHAnsi" w:hAnsiTheme="minorHAnsi"/>
          <w:sz w:val="20"/>
          <w:szCs w:val="20"/>
        </w:rPr>
        <w:t>.</w:t>
      </w:r>
    </w:p>
    <w:p w14:paraId="2E45D475" w14:textId="01DED9CB" w:rsidR="002B6C43" w:rsidRPr="00262830" w:rsidRDefault="00E078D0" w:rsidP="00392422">
      <w:pPr>
        <w:pStyle w:val="P68B1DB1-ListParagraph3"/>
        <w:numPr>
          <w:ilvl w:val="0"/>
          <w:numId w:val="2"/>
        </w:numPr>
        <w:spacing w:after="0" w:line="240" w:lineRule="auto"/>
        <w:ind w:left="714" w:hanging="357"/>
        <w:contextualSpacing w:val="0"/>
        <w:jc w:val="both"/>
        <w:rPr>
          <w:rFonts w:asciiTheme="minorHAnsi" w:hAnsiTheme="minorHAnsi"/>
          <w:sz w:val="20"/>
          <w:szCs w:val="20"/>
        </w:rPr>
      </w:pPr>
      <w:r w:rsidRPr="00262830">
        <w:rPr>
          <w:rFonts w:asciiTheme="minorHAnsi" w:hAnsiTheme="minorHAnsi"/>
          <w:sz w:val="20"/>
          <w:szCs w:val="20"/>
        </w:rPr>
        <w:t>Au lieu de réexaminer toutes les obligations découlant de toutes les recommandations chaque année, le COC pourrait organiser l’examen sur un cycle plus long de 2 ou 3 ans, en mettant l’accent sur les mesures considérées comme prioritaires, ce qui permettrait des discussions plus approfondies et plus ciblées.</w:t>
      </w:r>
    </w:p>
    <w:p w14:paraId="22F7A786" w14:textId="232A39D4" w:rsidR="002B6C43" w:rsidRPr="00262830" w:rsidRDefault="00E078D0" w:rsidP="00392422">
      <w:pPr>
        <w:pStyle w:val="P68B1DB1-ListParagraph3"/>
        <w:numPr>
          <w:ilvl w:val="0"/>
          <w:numId w:val="2"/>
        </w:numPr>
        <w:spacing w:after="0" w:line="240" w:lineRule="auto"/>
        <w:ind w:left="714" w:hanging="357"/>
        <w:contextualSpacing w:val="0"/>
        <w:jc w:val="both"/>
        <w:rPr>
          <w:rFonts w:asciiTheme="minorHAnsi" w:hAnsiTheme="minorHAnsi"/>
          <w:sz w:val="20"/>
          <w:szCs w:val="20"/>
        </w:rPr>
      </w:pPr>
      <w:r w:rsidRPr="00262830">
        <w:rPr>
          <w:rFonts w:asciiTheme="minorHAnsi" w:hAnsiTheme="minorHAnsi"/>
          <w:sz w:val="20"/>
          <w:szCs w:val="20"/>
        </w:rPr>
        <w:t>Évalue</w:t>
      </w:r>
      <w:r w:rsidR="007463DA" w:rsidRPr="00262830">
        <w:rPr>
          <w:rFonts w:asciiTheme="minorHAnsi" w:hAnsiTheme="minorHAnsi"/>
          <w:sz w:val="20"/>
          <w:szCs w:val="20"/>
        </w:rPr>
        <w:t>r</w:t>
      </w:r>
      <w:r w:rsidRPr="00262830">
        <w:rPr>
          <w:rFonts w:asciiTheme="minorHAnsi" w:hAnsiTheme="minorHAnsi"/>
          <w:sz w:val="20"/>
          <w:szCs w:val="20"/>
        </w:rPr>
        <w:t xml:space="preserve"> les avantages d’une révision de la législation actuelle relative au fonctionnement du COC et de son éventuelle consolidation en une recommandation unique, qui pourrait inclure les règles ou procédures qui ressortent de ce processus de discussion, afin d’orienter et de faciliter le travail des</w:t>
      </w:r>
      <w:r w:rsidR="00392422" w:rsidRPr="00262830">
        <w:rPr>
          <w:rFonts w:asciiTheme="minorHAnsi" w:hAnsiTheme="minorHAnsi"/>
          <w:sz w:val="20"/>
          <w:szCs w:val="20"/>
        </w:rPr>
        <w:t xml:space="preserve"> </w:t>
      </w:r>
      <w:r w:rsidR="000D3815" w:rsidRPr="00262830">
        <w:rPr>
          <w:rFonts w:asciiTheme="minorHAnsi" w:hAnsiTheme="minorHAnsi"/>
          <w:sz w:val="20"/>
          <w:szCs w:val="20"/>
        </w:rPr>
        <w:t>CPC</w:t>
      </w:r>
      <w:r w:rsidRPr="00262830">
        <w:rPr>
          <w:rFonts w:asciiTheme="minorHAnsi" w:hAnsiTheme="minorHAnsi"/>
          <w:sz w:val="20"/>
          <w:szCs w:val="20"/>
        </w:rPr>
        <w:t xml:space="preserve"> au sein du </w:t>
      </w:r>
      <w:r w:rsidR="00FD06AA" w:rsidRPr="00262830">
        <w:rPr>
          <w:rFonts w:asciiTheme="minorHAnsi" w:hAnsiTheme="minorHAnsi"/>
          <w:sz w:val="20"/>
          <w:szCs w:val="20"/>
        </w:rPr>
        <w:t>C</w:t>
      </w:r>
      <w:r w:rsidRPr="00262830">
        <w:rPr>
          <w:rFonts w:asciiTheme="minorHAnsi" w:hAnsiTheme="minorHAnsi"/>
          <w:sz w:val="20"/>
          <w:szCs w:val="20"/>
        </w:rPr>
        <w:t>omité d</w:t>
      </w:r>
      <w:r w:rsidR="007463DA" w:rsidRPr="00262830">
        <w:rPr>
          <w:rFonts w:asciiTheme="minorHAnsi" w:hAnsiTheme="minorHAnsi"/>
          <w:sz w:val="20"/>
          <w:szCs w:val="20"/>
        </w:rPr>
        <w:t>’application</w:t>
      </w:r>
      <w:r w:rsidRPr="00262830">
        <w:rPr>
          <w:rFonts w:asciiTheme="minorHAnsi" w:hAnsiTheme="minorHAnsi"/>
          <w:sz w:val="20"/>
          <w:szCs w:val="20"/>
        </w:rPr>
        <w:t>.</w:t>
      </w:r>
    </w:p>
    <w:p w14:paraId="5B0CC225" w14:textId="77777777" w:rsidR="00392422" w:rsidRPr="00262830" w:rsidRDefault="00392422" w:rsidP="00392422">
      <w:pPr>
        <w:pStyle w:val="P68B1DB1-ListParagraph3"/>
        <w:spacing w:after="0" w:line="240" w:lineRule="auto"/>
        <w:ind w:left="0"/>
        <w:jc w:val="both"/>
        <w:rPr>
          <w:rFonts w:asciiTheme="minorHAnsi" w:hAnsiTheme="minorHAnsi"/>
          <w:sz w:val="20"/>
          <w:szCs w:val="20"/>
        </w:rPr>
      </w:pPr>
    </w:p>
    <w:p w14:paraId="687E6A6B" w14:textId="04E1F3DE" w:rsidR="002B6C43" w:rsidRPr="00262830" w:rsidRDefault="00E078D0" w:rsidP="00392422">
      <w:pPr>
        <w:pStyle w:val="P68B1DB1-ListParagraph3"/>
        <w:spacing w:after="0" w:line="240" w:lineRule="auto"/>
        <w:ind w:left="0"/>
        <w:jc w:val="both"/>
        <w:rPr>
          <w:rFonts w:asciiTheme="minorHAnsi" w:hAnsiTheme="minorHAnsi"/>
          <w:sz w:val="20"/>
          <w:szCs w:val="20"/>
        </w:rPr>
      </w:pPr>
      <w:r w:rsidRPr="00262830">
        <w:rPr>
          <w:rFonts w:asciiTheme="minorHAnsi" w:hAnsiTheme="minorHAnsi"/>
          <w:sz w:val="20"/>
          <w:szCs w:val="20"/>
        </w:rPr>
        <w:t xml:space="preserve">Il existe au moins neuf </w:t>
      </w:r>
      <w:r w:rsidR="00392422" w:rsidRPr="00262830">
        <w:rPr>
          <w:rFonts w:asciiTheme="minorHAnsi" w:hAnsiTheme="minorHAnsi"/>
          <w:sz w:val="20"/>
          <w:szCs w:val="20"/>
        </w:rPr>
        <w:t>Recommandations</w:t>
      </w:r>
      <w:r w:rsidRPr="00262830">
        <w:rPr>
          <w:rFonts w:asciiTheme="minorHAnsi" w:hAnsiTheme="minorHAnsi"/>
          <w:sz w:val="20"/>
          <w:szCs w:val="20"/>
        </w:rPr>
        <w:t>/</w:t>
      </w:r>
      <w:r w:rsidR="00392422" w:rsidRPr="00262830">
        <w:rPr>
          <w:rFonts w:asciiTheme="minorHAnsi" w:hAnsiTheme="minorHAnsi"/>
          <w:sz w:val="20"/>
          <w:szCs w:val="20"/>
        </w:rPr>
        <w:t>Résolutions</w:t>
      </w:r>
      <w:r w:rsidRPr="00262830">
        <w:rPr>
          <w:rFonts w:asciiTheme="minorHAnsi" w:hAnsiTheme="minorHAnsi"/>
          <w:sz w:val="20"/>
          <w:szCs w:val="20"/>
        </w:rPr>
        <w:t xml:space="preserve"> liés au fonctionnement du COC, dont certain</w:t>
      </w:r>
      <w:r w:rsidR="00FD06AA" w:rsidRPr="00262830">
        <w:rPr>
          <w:rFonts w:asciiTheme="minorHAnsi" w:hAnsiTheme="minorHAnsi"/>
          <w:sz w:val="20"/>
          <w:szCs w:val="20"/>
        </w:rPr>
        <w:t>e</w:t>
      </w:r>
      <w:r w:rsidRPr="00262830">
        <w:rPr>
          <w:rFonts w:asciiTheme="minorHAnsi" w:hAnsiTheme="minorHAnsi"/>
          <w:sz w:val="20"/>
          <w:szCs w:val="20"/>
        </w:rPr>
        <w:t>s sont ancien</w:t>
      </w:r>
      <w:r w:rsidR="00FD06AA" w:rsidRPr="00262830">
        <w:rPr>
          <w:rFonts w:asciiTheme="minorHAnsi" w:hAnsiTheme="minorHAnsi"/>
          <w:sz w:val="20"/>
          <w:szCs w:val="20"/>
        </w:rPr>
        <w:t>ne</w:t>
      </w:r>
      <w:r w:rsidRPr="00262830">
        <w:rPr>
          <w:rFonts w:asciiTheme="minorHAnsi" w:hAnsiTheme="minorHAnsi"/>
          <w:sz w:val="20"/>
          <w:szCs w:val="20"/>
        </w:rPr>
        <w:t xml:space="preserve">s et </w:t>
      </w:r>
      <w:r w:rsidR="00FD06AA" w:rsidRPr="00262830">
        <w:rPr>
          <w:rFonts w:asciiTheme="minorHAnsi" w:hAnsiTheme="minorHAnsi"/>
          <w:sz w:val="20"/>
          <w:szCs w:val="20"/>
        </w:rPr>
        <w:t xml:space="preserve">peuvent </w:t>
      </w:r>
      <w:r w:rsidRPr="00262830">
        <w:rPr>
          <w:rFonts w:asciiTheme="minorHAnsi" w:hAnsiTheme="minorHAnsi"/>
          <w:sz w:val="20"/>
          <w:szCs w:val="20"/>
        </w:rPr>
        <w:t>être obsolètes, qui bénéficieraient d’une révision et d’une consolidation. </w:t>
      </w:r>
    </w:p>
    <w:p w14:paraId="0F9BE9F6" w14:textId="77777777" w:rsidR="00392422" w:rsidRPr="00262830" w:rsidRDefault="00392422" w:rsidP="00392422">
      <w:pPr>
        <w:pStyle w:val="P68B1DB1-ListParagraph3"/>
        <w:spacing w:after="0" w:line="240" w:lineRule="auto"/>
        <w:jc w:val="both"/>
        <w:rPr>
          <w:rFonts w:asciiTheme="minorHAnsi" w:hAnsiTheme="minorHAnsi"/>
          <w:sz w:val="20"/>
          <w:szCs w:val="20"/>
        </w:rPr>
      </w:pPr>
    </w:p>
    <w:p w14:paraId="45F3A3A1" w14:textId="71826BB7" w:rsidR="002B6C43" w:rsidRPr="00262830" w:rsidRDefault="002B6C43" w:rsidP="00392422">
      <w:pPr>
        <w:pStyle w:val="ListParagraph"/>
        <w:numPr>
          <w:ilvl w:val="1"/>
          <w:numId w:val="22"/>
        </w:numPr>
        <w:spacing w:after="0" w:line="240" w:lineRule="auto"/>
        <w:jc w:val="both"/>
        <w:rPr>
          <w:rStyle w:val="eop"/>
          <w:rFonts w:eastAsia="Times New Roman" w:cs="Times New Roman"/>
          <w:sz w:val="20"/>
          <w:szCs w:val="20"/>
        </w:rPr>
      </w:pPr>
      <w:hyperlink r:id="rId13" w:history="1">
        <w:r w:rsidRPr="00262830">
          <w:rPr>
            <w:rStyle w:val="normaltextrun"/>
            <w:rFonts w:cs="Times New Roman"/>
            <w:color w:val="467886"/>
            <w:sz w:val="20"/>
            <w:szCs w:val="20"/>
          </w:rPr>
          <w:t>R</w:t>
        </w:r>
        <w:r w:rsidR="00392422" w:rsidRPr="00262830">
          <w:rPr>
            <w:rStyle w:val="normaltextrun"/>
            <w:rFonts w:cs="Times New Roman"/>
            <w:color w:val="467886"/>
            <w:sz w:val="20"/>
            <w:szCs w:val="20"/>
          </w:rPr>
          <w:t>ec.</w:t>
        </w:r>
        <w:r w:rsidRPr="00262830">
          <w:rPr>
            <w:rStyle w:val="normaltextrun"/>
            <w:rFonts w:cs="Times New Roman"/>
            <w:color w:val="467886"/>
            <w:sz w:val="20"/>
            <w:szCs w:val="20"/>
          </w:rPr>
          <w:t xml:space="preserve"> 00-14</w:t>
        </w:r>
      </w:hyperlink>
      <w:r w:rsidR="00E078D0" w:rsidRPr="00262830">
        <w:rPr>
          <w:rStyle w:val="normaltextrun"/>
          <w:rFonts w:eastAsia="Times New Roman" w:cs="Times New Roman"/>
          <w:color w:val="000000" w:themeColor="text1"/>
          <w:sz w:val="20"/>
          <w:szCs w:val="20"/>
        </w:rPr>
        <w:t xml:space="preserve"> sur le respect des quotas et des limites de capture,  </w:t>
      </w:r>
    </w:p>
    <w:p w14:paraId="2683FDDD" w14:textId="0AFCC774" w:rsidR="002B6C43" w:rsidRPr="00262830" w:rsidRDefault="002B6C43" w:rsidP="00392422">
      <w:pPr>
        <w:pStyle w:val="ListParagraph"/>
        <w:numPr>
          <w:ilvl w:val="1"/>
          <w:numId w:val="22"/>
        </w:numPr>
        <w:spacing w:after="0" w:line="240" w:lineRule="auto"/>
        <w:jc w:val="both"/>
        <w:rPr>
          <w:rStyle w:val="eop"/>
          <w:rFonts w:eastAsia="Times New Roman" w:cs="Times New Roman"/>
          <w:sz w:val="20"/>
          <w:szCs w:val="20"/>
        </w:rPr>
      </w:pPr>
      <w:hyperlink r:id="rId14" w:history="1">
        <w:r w:rsidRPr="00262830">
          <w:rPr>
            <w:rStyle w:val="normaltextrun"/>
            <w:rFonts w:cs="Times New Roman"/>
            <w:color w:val="467886"/>
            <w:sz w:val="20"/>
            <w:szCs w:val="20"/>
          </w:rPr>
          <w:t>R</w:t>
        </w:r>
        <w:r w:rsidR="00392422" w:rsidRPr="00262830">
          <w:rPr>
            <w:rStyle w:val="normaltextrun"/>
            <w:rFonts w:cs="Times New Roman"/>
            <w:color w:val="467886"/>
            <w:sz w:val="20"/>
            <w:szCs w:val="20"/>
          </w:rPr>
          <w:t xml:space="preserve">ec. </w:t>
        </w:r>
        <w:r w:rsidRPr="00262830">
          <w:rPr>
            <w:rStyle w:val="normaltextrun"/>
            <w:rFonts w:cs="Times New Roman"/>
            <w:color w:val="467886"/>
            <w:sz w:val="20"/>
            <w:szCs w:val="20"/>
          </w:rPr>
          <w:t xml:space="preserve">01-12 </w:t>
        </w:r>
      </w:hyperlink>
      <w:r w:rsidR="00E078D0" w:rsidRPr="00262830">
        <w:rPr>
          <w:rStyle w:val="normaltextrun"/>
          <w:rFonts w:eastAsia="Times New Roman" w:cs="Times New Roman"/>
          <w:color w:val="000000" w:themeColor="text1"/>
          <w:sz w:val="20"/>
          <w:szCs w:val="20"/>
        </w:rPr>
        <w:t xml:space="preserve"> </w:t>
      </w:r>
      <w:r w:rsidR="00AD0FDE" w:rsidRPr="00262830">
        <w:rPr>
          <w:rStyle w:val="normaltextrun"/>
          <w:rFonts w:eastAsia="Times New Roman" w:cs="Times New Roman"/>
          <w:color w:val="000000" w:themeColor="text1"/>
          <w:sz w:val="20"/>
          <w:szCs w:val="20"/>
        </w:rPr>
        <w:t xml:space="preserve">relative </w:t>
      </w:r>
      <w:r w:rsidR="00E078D0" w:rsidRPr="00262830">
        <w:rPr>
          <w:rStyle w:val="normaltextrun"/>
          <w:rFonts w:eastAsia="Times New Roman" w:cs="Times New Roman"/>
          <w:color w:val="000000" w:themeColor="text1"/>
          <w:sz w:val="20"/>
          <w:szCs w:val="20"/>
        </w:rPr>
        <w:t>à l’adaptation temporaire des quotas,  </w:t>
      </w:r>
    </w:p>
    <w:p w14:paraId="5EFE4857" w14:textId="5EBC3E2E" w:rsidR="002B6C43" w:rsidRPr="00262830" w:rsidRDefault="002B6C43" w:rsidP="00392422">
      <w:pPr>
        <w:pStyle w:val="ListParagraph"/>
        <w:numPr>
          <w:ilvl w:val="1"/>
          <w:numId w:val="22"/>
        </w:numPr>
        <w:spacing w:after="0" w:line="240" w:lineRule="auto"/>
        <w:jc w:val="both"/>
        <w:rPr>
          <w:rStyle w:val="eop"/>
          <w:rFonts w:eastAsia="Times New Roman" w:cs="Times New Roman"/>
          <w:sz w:val="20"/>
          <w:szCs w:val="20"/>
        </w:rPr>
      </w:pPr>
      <w:hyperlink r:id="rId15" w:history="1">
        <w:r w:rsidRPr="00262830">
          <w:rPr>
            <w:rStyle w:val="normaltextrun"/>
            <w:rFonts w:cs="Times New Roman"/>
            <w:color w:val="467886"/>
            <w:sz w:val="20"/>
            <w:szCs w:val="20"/>
          </w:rPr>
          <w:t>R</w:t>
        </w:r>
        <w:r w:rsidR="00392422" w:rsidRPr="00262830">
          <w:rPr>
            <w:rStyle w:val="normaltextrun"/>
            <w:rFonts w:cs="Times New Roman"/>
            <w:color w:val="467886"/>
            <w:sz w:val="20"/>
            <w:szCs w:val="20"/>
          </w:rPr>
          <w:t xml:space="preserve">ec. </w:t>
        </w:r>
        <w:r w:rsidRPr="00262830">
          <w:rPr>
            <w:rStyle w:val="normaltextrun"/>
            <w:rFonts w:cs="Times New Roman"/>
            <w:color w:val="467886"/>
            <w:sz w:val="20"/>
            <w:szCs w:val="20"/>
          </w:rPr>
          <w:t>01-13</w:t>
        </w:r>
      </w:hyperlink>
      <w:r w:rsidR="00E078D0" w:rsidRPr="00262830">
        <w:rPr>
          <w:rStyle w:val="normaltextrun"/>
          <w:rFonts w:eastAsia="Times New Roman" w:cs="Times New Roman"/>
          <w:color w:val="000000" w:themeColor="text1"/>
          <w:sz w:val="20"/>
          <w:szCs w:val="20"/>
        </w:rPr>
        <w:t xml:space="preserve"> sur l</w:t>
      </w:r>
      <w:r w:rsidR="007463DA" w:rsidRPr="00262830">
        <w:rPr>
          <w:rStyle w:val="normaltextrun"/>
          <w:rFonts w:eastAsia="Times New Roman" w:cs="Times New Roman"/>
          <w:color w:val="000000" w:themeColor="text1"/>
          <w:sz w:val="20"/>
          <w:szCs w:val="20"/>
        </w:rPr>
        <w:t>’application</w:t>
      </w:r>
      <w:r w:rsidR="00E078D0" w:rsidRPr="00262830">
        <w:rPr>
          <w:rStyle w:val="normaltextrun"/>
          <w:rFonts w:eastAsia="Times New Roman" w:cs="Times New Roman"/>
          <w:color w:val="000000" w:themeColor="text1"/>
          <w:sz w:val="20"/>
          <w:szCs w:val="20"/>
        </w:rPr>
        <w:t xml:space="preserve"> dans les pêcheries </w:t>
      </w:r>
      <w:r w:rsidR="00392422" w:rsidRPr="00262830">
        <w:rPr>
          <w:rFonts w:eastAsia="Times New Roman" w:cs="Times New Roman"/>
          <w:color w:val="000000" w:themeColor="text1"/>
          <w:sz w:val="20"/>
          <w:szCs w:val="20"/>
        </w:rPr>
        <w:t>d’espadon</w:t>
      </w:r>
      <w:r w:rsidR="00E078D0" w:rsidRPr="00262830">
        <w:rPr>
          <w:rStyle w:val="normaltextrun"/>
          <w:rFonts w:eastAsia="Times New Roman" w:cs="Times New Roman"/>
          <w:color w:val="000000" w:themeColor="text1"/>
          <w:sz w:val="20"/>
          <w:szCs w:val="20"/>
        </w:rPr>
        <w:t xml:space="preserve"> et de thon rouge de l’Atlantique (quotas de déduction),  </w:t>
      </w:r>
    </w:p>
    <w:p w14:paraId="606F0985" w14:textId="058B061E" w:rsidR="002B6C43" w:rsidRPr="00262830" w:rsidRDefault="002B6C43" w:rsidP="00392422">
      <w:pPr>
        <w:pStyle w:val="ListParagraph"/>
        <w:numPr>
          <w:ilvl w:val="1"/>
          <w:numId w:val="22"/>
        </w:numPr>
        <w:spacing w:after="0" w:line="240" w:lineRule="auto"/>
        <w:jc w:val="both"/>
        <w:rPr>
          <w:rStyle w:val="eop"/>
          <w:rFonts w:eastAsia="Times New Roman" w:cs="Times New Roman"/>
          <w:sz w:val="20"/>
          <w:szCs w:val="20"/>
        </w:rPr>
      </w:pPr>
      <w:hyperlink r:id="rId16" w:history="1">
        <w:r w:rsidRPr="00262830">
          <w:rPr>
            <w:rStyle w:val="normaltextrun"/>
            <w:rFonts w:cs="Times New Roman"/>
            <w:color w:val="467886"/>
            <w:sz w:val="20"/>
            <w:szCs w:val="20"/>
          </w:rPr>
          <w:t>R</w:t>
        </w:r>
        <w:r w:rsidR="00392422" w:rsidRPr="00262830">
          <w:rPr>
            <w:rStyle w:val="normaltextrun"/>
            <w:rFonts w:cs="Times New Roman"/>
            <w:color w:val="467886"/>
            <w:sz w:val="20"/>
            <w:szCs w:val="20"/>
          </w:rPr>
          <w:t xml:space="preserve">ec. </w:t>
        </w:r>
        <w:r w:rsidRPr="00262830">
          <w:rPr>
            <w:rStyle w:val="normaltextrun"/>
            <w:rFonts w:cs="Times New Roman"/>
            <w:color w:val="467886"/>
            <w:sz w:val="20"/>
            <w:szCs w:val="20"/>
          </w:rPr>
          <w:t>08-09</w:t>
        </w:r>
      </w:hyperlink>
      <w:r w:rsidR="00E078D0" w:rsidRPr="00262830">
        <w:rPr>
          <w:rStyle w:val="normaltextrun"/>
          <w:rFonts w:eastAsia="Times New Roman" w:cs="Times New Roman"/>
          <w:color w:val="000000" w:themeColor="text1"/>
          <w:sz w:val="20"/>
          <w:szCs w:val="20"/>
        </w:rPr>
        <w:t xml:space="preserve"> établissant un processus d’examen et de communication des informations relatives à l</w:t>
      </w:r>
      <w:r w:rsidR="00AD0FDE" w:rsidRPr="00262830">
        <w:rPr>
          <w:rStyle w:val="normaltextrun"/>
          <w:rFonts w:eastAsia="Times New Roman" w:cs="Times New Roman"/>
          <w:color w:val="000000" w:themeColor="text1"/>
          <w:sz w:val="20"/>
          <w:szCs w:val="20"/>
        </w:rPr>
        <w:t>’application</w:t>
      </w:r>
      <w:r w:rsidR="00E078D0" w:rsidRPr="00262830">
        <w:rPr>
          <w:rStyle w:val="normaltextrun"/>
          <w:rFonts w:eastAsia="Times New Roman" w:cs="Times New Roman"/>
          <w:color w:val="000000" w:themeColor="text1"/>
          <w:sz w:val="20"/>
          <w:szCs w:val="20"/>
        </w:rPr>
        <w:t>,  </w:t>
      </w:r>
    </w:p>
    <w:p w14:paraId="62BBED53" w14:textId="6186DD3E" w:rsidR="002B6C43" w:rsidRPr="00262830" w:rsidRDefault="002B6C43" w:rsidP="00392422">
      <w:pPr>
        <w:pStyle w:val="ListParagraph"/>
        <w:numPr>
          <w:ilvl w:val="1"/>
          <w:numId w:val="22"/>
        </w:numPr>
        <w:spacing w:after="0" w:line="240" w:lineRule="auto"/>
        <w:jc w:val="both"/>
        <w:rPr>
          <w:rStyle w:val="eop"/>
          <w:rFonts w:eastAsia="Times New Roman" w:cs="Times New Roman"/>
          <w:sz w:val="20"/>
          <w:szCs w:val="20"/>
        </w:rPr>
      </w:pPr>
      <w:hyperlink r:id="rId17" w:history="1">
        <w:r w:rsidRPr="00262830">
          <w:rPr>
            <w:rStyle w:val="normaltextrun"/>
            <w:rFonts w:eastAsia="Times New Roman" w:cs="Times New Roman"/>
            <w:color w:val="467886"/>
            <w:sz w:val="20"/>
            <w:szCs w:val="20"/>
          </w:rPr>
          <w:t>R</w:t>
        </w:r>
        <w:r w:rsidR="00392422" w:rsidRPr="00262830">
          <w:rPr>
            <w:rStyle w:val="normaltextrun"/>
            <w:rFonts w:eastAsia="Times New Roman" w:cs="Times New Roman"/>
            <w:color w:val="467886"/>
            <w:sz w:val="20"/>
            <w:szCs w:val="20"/>
          </w:rPr>
          <w:t>ec.</w:t>
        </w:r>
        <w:r w:rsidRPr="00262830">
          <w:rPr>
            <w:rStyle w:val="normaltextrun"/>
            <w:rFonts w:eastAsia="Times New Roman" w:cs="Times New Roman"/>
            <w:color w:val="467886"/>
            <w:sz w:val="20"/>
            <w:szCs w:val="20"/>
          </w:rPr>
          <w:t xml:space="preserve"> 11-11</w:t>
        </w:r>
      </w:hyperlink>
      <w:r w:rsidR="00E078D0" w:rsidRPr="00262830">
        <w:rPr>
          <w:rStyle w:val="normaltextrun"/>
          <w:rFonts w:eastAsia="Times New Roman" w:cs="Times New Roman"/>
          <w:color w:val="000000" w:themeColor="text1"/>
          <w:sz w:val="20"/>
          <w:szCs w:val="20"/>
        </w:rPr>
        <w:t xml:space="preserve"> sur l’application des recommandations </w:t>
      </w:r>
      <w:r w:rsidR="00AD0FDE" w:rsidRPr="00262830">
        <w:rPr>
          <w:rStyle w:val="normaltextrun"/>
          <w:rFonts w:eastAsia="Times New Roman" w:cs="Times New Roman"/>
          <w:color w:val="000000" w:themeColor="text1"/>
          <w:sz w:val="20"/>
          <w:szCs w:val="20"/>
        </w:rPr>
        <w:t>relative à l’application</w:t>
      </w:r>
      <w:r w:rsidR="00E078D0" w:rsidRPr="00262830">
        <w:rPr>
          <w:rStyle w:val="normaltextrun"/>
          <w:rFonts w:eastAsia="Times New Roman" w:cs="Times New Roman"/>
          <w:color w:val="000000" w:themeColor="text1"/>
          <w:sz w:val="20"/>
          <w:szCs w:val="20"/>
        </w:rPr>
        <w:t>,  </w:t>
      </w:r>
    </w:p>
    <w:p w14:paraId="12824DDB" w14:textId="42DA83C0" w:rsidR="002B6C43" w:rsidRPr="00262830" w:rsidRDefault="002B6C43" w:rsidP="00392422">
      <w:pPr>
        <w:pStyle w:val="ListParagraph"/>
        <w:numPr>
          <w:ilvl w:val="1"/>
          <w:numId w:val="22"/>
        </w:numPr>
        <w:spacing w:after="0" w:line="240" w:lineRule="auto"/>
        <w:jc w:val="both"/>
        <w:rPr>
          <w:rStyle w:val="eop"/>
          <w:rFonts w:eastAsia="Times New Roman" w:cs="Times New Roman"/>
          <w:sz w:val="20"/>
          <w:szCs w:val="20"/>
        </w:rPr>
      </w:pPr>
      <w:hyperlink r:id="rId18" w:history="1">
        <w:r w:rsidRPr="00262830">
          <w:rPr>
            <w:rStyle w:val="normaltextrun"/>
            <w:rFonts w:cs="Times New Roman"/>
            <w:color w:val="467886"/>
            <w:sz w:val="20"/>
            <w:szCs w:val="20"/>
          </w:rPr>
          <w:t>R</w:t>
        </w:r>
        <w:r w:rsidR="00392422" w:rsidRPr="00262830">
          <w:rPr>
            <w:rStyle w:val="normaltextrun"/>
            <w:rFonts w:cs="Times New Roman"/>
            <w:color w:val="467886"/>
            <w:sz w:val="20"/>
            <w:szCs w:val="20"/>
          </w:rPr>
          <w:t>ec.</w:t>
        </w:r>
        <w:r w:rsidRPr="00262830">
          <w:rPr>
            <w:rStyle w:val="normaltextrun"/>
            <w:rFonts w:cs="Times New Roman"/>
            <w:color w:val="467886"/>
            <w:sz w:val="20"/>
            <w:szCs w:val="20"/>
          </w:rPr>
          <w:t xml:space="preserve"> 11-15</w:t>
        </w:r>
      </w:hyperlink>
      <w:r w:rsidR="00E078D0" w:rsidRPr="00262830">
        <w:rPr>
          <w:rStyle w:val="normaltextrun"/>
          <w:rFonts w:eastAsia="Times New Roman" w:cs="Times New Roman"/>
          <w:color w:val="000000" w:themeColor="text1"/>
          <w:sz w:val="20"/>
          <w:szCs w:val="20"/>
        </w:rPr>
        <w:t xml:space="preserve"> sur les sanctions en cas d’absence de </w:t>
      </w:r>
      <w:r w:rsidR="00392422" w:rsidRPr="00262830">
        <w:rPr>
          <w:rStyle w:val="normaltextrun"/>
          <w:rFonts w:eastAsia="Times New Roman" w:cs="Times New Roman"/>
          <w:color w:val="000000" w:themeColor="text1"/>
          <w:sz w:val="20"/>
          <w:szCs w:val="20"/>
        </w:rPr>
        <w:t>déclaration ;</w:t>
      </w:r>
      <w:r w:rsidR="00E078D0" w:rsidRPr="00262830">
        <w:rPr>
          <w:rStyle w:val="normaltextrun"/>
          <w:rFonts w:eastAsia="Times New Roman" w:cs="Times New Roman"/>
          <w:color w:val="000000" w:themeColor="text1"/>
          <w:sz w:val="20"/>
          <w:szCs w:val="20"/>
        </w:rPr>
        <w:t xml:space="preserve"> modifié</w:t>
      </w:r>
      <w:r w:rsidR="00AD0FDE" w:rsidRPr="00262830">
        <w:rPr>
          <w:rStyle w:val="normaltextrun"/>
          <w:rFonts w:eastAsia="Times New Roman" w:cs="Times New Roman"/>
          <w:color w:val="000000" w:themeColor="text1"/>
          <w:sz w:val="20"/>
          <w:szCs w:val="20"/>
        </w:rPr>
        <w:t>e</w:t>
      </w:r>
      <w:r w:rsidR="00E078D0" w:rsidRPr="00262830">
        <w:rPr>
          <w:rStyle w:val="normaltextrun"/>
          <w:rFonts w:eastAsia="Times New Roman" w:cs="Times New Roman"/>
          <w:color w:val="000000" w:themeColor="text1"/>
          <w:sz w:val="20"/>
          <w:szCs w:val="20"/>
        </w:rPr>
        <w:t xml:space="preserve"> par l</w:t>
      </w:r>
      <w:r w:rsidR="00AD0FDE" w:rsidRPr="00262830">
        <w:rPr>
          <w:rStyle w:val="normaltextrun"/>
          <w:rFonts w:eastAsia="Times New Roman" w:cs="Times New Roman"/>
          <w:color w:val="000000" w:themeColor="text1"/>
          <w:sz w:val="20"/>
          <w:szCs w:val="20"/>
        </w:rPr>
        <w:t>a</w:t>
      </w:r>
      <w:r w:rsidR="00E078D0" w:rsidRPr="00262830">
        <w:rPr>
          <w:rStyle w:val="normaltextrun"/>
          <w:rFonts w:eastAsia="Times New Roman" w:cs="Times New Roman"/>
          <w:color w:val="000000" w:themeColor="text1"/>
          <w:sz w:val="20"/>
          <w:szCs w:val="20"/>
        </w:rPr>
        <w:t xml:space="preserve"> </w:t>
      </w:r>
      <w:hyperlink r:id="rId19" w:history="1">
        <w:r w:rsidRPr="00262830">
          <w:rPr>
            <w:rStyle w:val="normaltextrun"/>
            <w:rFonts w:cs="Times New Roman"/>
            <w:color w:val="467886"/>
            <w:sz w:val="20"/>
            <w:szCs w:val="20"/>
          </w:rPr>
          <w:t>Rec. 15-09</w:t>
        </w:r>
      </w:hyperlink>
      <w:r w:rsidR="00E078D0" w:rsidRPr="00262830">
        <w:rPr>
          <w:rStyle w:val="normaltextrun"/>
          <w:rFonts w:eastAsia="Times New Roman" w:cs="Times New Roman"/>
          <w:color w:val="000000" w:themeColor="text1"/>
          <w:sz w:val="20"/>
          <w:szCs w:val="20"/>
        </w:rPr>
        <w:t>,  </w:t>
      </w:r>
    </w:p>
    <w:p w14:paraId="78C0C5A9" w14:textId="7B7D6DE4" w:rsidR="002B6C43" w:rsidRPr="00262830" w:rsidRDefault="00AD0FDE" w:rsidP="00392422">
      <w:pPr>
        <w:pStyle w:val="ListParagraph"/>
        <w:numPr>
          <w:ilvl w:val="1"/>
          <w:numId w:val="22"/>
        </w:numPr>
        <w:spacing w:after="0" w:line="240" w:lineRule="auto"/>
        <w:jc w:val="both"/>
        <w:rPr>
          <w:rStyle w:val="eop"/>
          <w:rFonts w:eastAsia="Times New Roman" w:cs="Times New Roman"/>
          <w:sz w:val="20"/>
          <w:szCs w:val="20"/>
        </w:rPr>
      </w:pPr>
      <w:hyperlink r:id="rId20" w:history="1">
        <w:r w:rsidRPr="00262830">
          <w:rPr>
            <w:rStyle w:val="normaltextrun"/>
            <w:rFonts w:cs="Times New Roman"/>
            <w:color w:val="467886"/>
            <w:sz w:val="20"/>
            <w:szCs w:val="20"/>
          </w:rPr>
          <w:t>Rés</w:t>
        </w:r>
        <w:r w:rsidR="00392422" w:rsidRPr="00262830">
          <w:rPr>
            <w:rStyle w:val="normaltextrun"/>
            <w:rFonts w:cs="Times New Roman"/>
            <w:color w:val="467886"/>
            <w:sz w:val="20"/>
            <w:szCs w:val="20"/>
          </w:rPr>
          <w:t>.</w:t>
        </w:r>
        <w:r w:rsidR="002B6C43" w:rsidRPr="00262830">
          <w:rPr>
            <w:rStyle w:val="normaltextrun"/>
            <w:rFonts w:cs="Times New Roman"/>
            <w:color w:val="467886"/>
            <w:sz w:val="20"/>
            <w:szCs w:val="20"/>
          </w:rPr>
          <w:t xml:space="preserve"> 16-17</w:t>
        </w:r>
      </w:hyperlink>
      <w:r w:rsidR="00E078D0" w:rsidRPr="00262830">
        <w:rPr>
          <w:rStyle w:val="normaltextrun"/>
          <w:rFonts w:eastAsia="Times New Roman" w:cs="Times New Roman"/>
          <w:color w:val="000000" w:themeColor="text1"/>
          <w:sz w:val="20"/>
          <w:szCs w:val="20"/>
        </w:rPr>
        <w:t xml:space="preserve"> établissant un calendrier d’actions pour améliorer le respect des règles,  </w:t>
      </w:r>
    </w:p>
    <w:p w14:paraId="79D4111D" w14:textId="23262DDB" w:rsidR="002B6C43" w:rsidRPr="00262830" w:rsidRDefault="00593E45" w:rsidP="00392422">
      <w:pPr>
        <w:pStyle w:val="ListParagraph"/>
        <w:numPr>
          <w:ilvl w:val="1"/>
          <w:numId w:val="22"/>
        </w:numPr>
        <w:spacing w:after="0" w:line="240" w:lineRule="auto"/>
        <w:jc w:val="both"/>
        <w:rPr>
          <w:rFonts w:eastAsia="Times New Roman" w:cs="Times New Roman"/>
          <w:sz w:val="20"/>
          <w:szCs w:val="20"/>
        </w:rPr>
      </w:pPr>
      <w:r w:rsidRPr="00262830">
        <w:rPr>
          <w:rStyle w:val="normaltextrun"/>
          <w:rFonts w:eastAsia="Times New Roman" w:cs="Times New Roman"/>
          <w:color w:val="467886"/>
          <w:sz w:val="20"/>
          <w:szCs w:val="20"/>
        </w:rPr>
        <w:t>Réf. 2</w:t>
      </w:r>
      <w:r w:rsidR="00E078D0" w:rsidRPr="00262830">
        <w:rPr>
          <w:rStyle w:val="normaltextrun"/>
          <w:rFonts w:eastAsia="Times New Roman" w:cs="Times New Roman"/>
          <w:color w:val="467886"/>
          <w:sz w:val="20"/>
          <w:szCs w:val="20"/>
        </w:rPr>
        <w:t>2-18</w:t>
      </w:r>
      <w:r w:rsidRPr="00262830">
        <w:rPr>
          <w:rStyle w:val="normaltextrun"/>
          <w:rFonts w:eastAsia="Times New Roman" w:cs="Times New Roman"/>
          <w:color w:val="000000" w:themeColor="text1"/>
          <w:sz w:val="20"/>
          <w:szCs w:val="20"/>
        </w:rPr>
        <w:t xml:space="preserve"> : calendrier </w:t>
      </w:r>
      <w:r w:rsidR="00E078D0" w:rsidRPr="00262830">
        <w:rPr>
          <w:rStyle w:val="normaltextrun"/>
          <w:rFonts w:eastAsia="Times New Roman" w:cs="Times New Roman"/>
          <w:color w:val="000000" w:themeColor="text1"/>
          <w:sz w:val="20"/>
          <w:szCs w:val="20"/>
        </w:rPr>
        <w:t xml:space="preserve">des </w:t>
      </w:r>
      <w:r w:rsidRPr="00262830">
        <w:rPr>
          <w:rStyle w:val="normaltextrun"/>
          <w:rFonts w:eastAsia="Times New Roman" w:cs="Times New Roman"/>
          <w:color w:val="000000" w:themeColor="text1"/>
          <w:sz w:val="20"/>
          <w:szCs w:val="20"/>
        </w:rPr>
        <w:t>questions</w:t>
      </w:r>
      <w:r w:rsidR="00E078D0" w:rsidRPr="00262830">
        <w:rPr>
          <w:rStyle w:val="normaltextrun"/>
          <w:rFonts w:eastAsia="Times New Roman" w:cs="Times New Roman"/>
          <w:color w:val="000000" w:themeColor="text1"/>
          <w:sz w:val="20"/>
          <w:szCs w:val="20"/>
        </w:rPr>
        <w:t xml:space="preserve"> d</w:t>
      </w:r>
      <w:r w:rsidR="007463DA" w:rsidRPr="00262830">
        <w:rPr>
          <w:rStyle w:val="normaltextrun"/>
          <w:rFonts w:eastAsia="Times New Roman" w:cs="Times New Roman"/>
          <w:color w:val="000000" w:themeColor="text1"/>
          <w:sz w:val="20"/>
          <w:szCs w:val="20"/>
        </w:rPr>
        <w:t>’application</w:t>
      </w:r>
      <w:r w:rsidR="00E078D0" w:rsidRPr="00262830">
        <w:rPr>
          <w:rStyle w:val="normaltextrun"/>
          <w:rFonts w:eastAsia="Times New Roman" w:cs="Times New Roman"/>
          <w:color w:val="000000" w:themeColor="text1"/>
          <w:sz w:val="20"/>
          <w:szCs w:val="20"/>
        </w:rPr>
        <w:t xml:space="preserve"> et des actions correspondantes</w:t>
      </w:r>
      <w:r w:rsidR="007463DA" w:rsidRPr="00262830">
        <w:rPr>
          <w:rStyle w:val="normaltextrun"/>
          <w:rFonts w:eastAsia="Times New Roman" w:cs="Times New Roman"/>
          <w:color w:val="000000" w:themeColor="text1"/>
          <w:sz w:val="20"/>
          <w:szCs w:val="20"/>
        </w:rPr>
        <w:t>.</w:t>
      </w:r>
    </w:p>
    <w:p w14:paraId="07693026" w14:textId="2BBC74C0" w:rsidR="002B6C43" w:rsidRPr="00262830" w:rsidRDefault="002B6C43">
      <w:pPr>
        <w:jc w:val="both"/>
        <w:rPr>
          <w:rFonts w:eastAsia="Times New Roman" w:cs="Times New Roman"/>
          <w:sz w:val="20"/>
          <w:szCs w:val="20"/>
        </w:rPr>
        <w:sectPr w:rsidR="002B6C43" w:rsidRPr="00262830" w:rsidSect="00B74EB4">
          <w:headerReference w:type="default" r:id="rId21"/>
          <w:footerReference w:type="default" r:id="rId22"/>
          <w:pgSz w:w="12240" w:h="15840" w:code="1"/>
          <w:pgMar w:top="1418" w:right="1418" w:bottom="1418" w:left="1418" w:header="851" w:footer="1134" w:gutter="0"/>
          <w:cols w:space="720"/>
          <w:docGrid w:linePitch="360"/>
        </w:sectPr>
      </w:pPr>
    </w:p>
    <w:p w14:paraId="1798BB13" w14:textId="6C399C6F" w:rsidR="002B6C43" w:rsidRPr="00262830" w:rsidRDefault="00E078D0">
      <w:pPr>
        <w:pStyle w:val="P68B1DB1-Normal4"/>
        <w:rPr>
          <w:rFonts w:asciiTheme="minorHAnsi" w:hAnsiTheme="minorHAnsi"/>
          <w:b w:val="0"/>
          <w:bCs/>
          <w:sz w:val="20"/>
          <w:szCs w:val="20"/>
        </w:rPr>
      </w:pPr>
      <w:r w:rsidRPr="00262830">
        <w:rPr>
          <w:rFonts w:asciiTheme="minorHAnsi" w:hAnsiTheme="minorHAnsi"/>
          <w:sz w:val="20"/>
          <w:szCs w:val="20"/>
        </w:rPr>
        <w:lastRenderedPageBreak/>
        <w:t>Tableau 1</w:t>
      </w:r>
      <w:r w:rsidR="005219B0" w:rsidRPr="00262830">
        <w:rPr>
          <w:rFonts w:asciiTheme="minorHAnsi" w:hAnsiTheme="minorHAnsi"/>
          <w:sz w:val="20"/>
          <w:szCs w:val="20"/>
        </w:rPr>
        <w:t>.</w:t>
      </w:r>
      <w:r w:rsidR="005219B0" w:rsidRPr="00262830">
        <w:rPr>
          <w:rFonts w:asciiTheme="minorHAnsi" w:hAnsiTheme="minorHAnsi"/>
          <w:b w:val="0"/>
          <w:bCs/>
          <w:sz w:val="20"/>
          <w:szCs w:val="20"/>
        </w:rPr>
        <w:t xml:space="preserve"> </w:t>
      </w:r>
      <w:r w:rsidR="00977854" w:rsidRPr="00262830">
        <w:rPr>
          <w:rFonts w:asciiTheme="minorHAnsi" w:hAnsiTheme="minorHAnsi"/>
          <w:b w:val="0"/>
          <w:bCs/>
          <w:sz w:val="20"/>
          <w:szCs w:val="20"/>
        </w:rPr>
        <w:t xml:space="preserve">Informations nécessaires pour procéder à l'évaluation de l’application </w:t>
      </w:r>
      <w:r w:rsidRPr="00262830">
        <w:rPr>
          <w:rFonts w:asciiTheme="minorHAnsi" w:hAnsiTheme="minorHAnsi"/>
          <w:b w:val="0"/>
          <w:bCs/>
          <w:sz w:val="20"/>
          <w:szCs w:val="20"/>
        </w:rPr>
        <w:t>(</w:t>
      </w:r>
      <w:r w:rsidRPr="00262830">
        <w:rPr>
          <w:rFonts w:asciiTheme="minorHAnsi" w:hAnsiTheme="minorHAnsi"/>
          <w:b w:val="0"/>
          <w:bCs/>
          <w:i/>
          <w:sz w:val="20"/>
          <w:szCs w:val="20"/>
        </w:rPr>
        <w:t>tableau incomplet destiné à être complété au cours du processus de réexamen</w:t>
      </w:r>
      <w:r w:rsidRPr="00262830">
        <w:rPr>
          <w:rFonts w:asciiTheme="minorHAnsi" w:hAnsiTheme="minorHAnsi"/>
          <w:b w:val="0"/>
          <w:bCs/>
          <w:sz w:val="20"/>
          <w:szCs w:val="20"/>
        </w:rPr>
        <w:t>)</w:t>
      </w:r>
    </w:p>
    <w:tbl>
      <w:tblPr>
        <w:tblStyle w:val="TableGrid"/>
        <w:tblW w:w="13433" w:type="dxa"/>
        <w:tblLayout w:type="fixed"/>
        <w:tblLook w:val="04A0" w:firstRow="1" w:lastRow="0" w:firstColumn="1" w:lastColumn="0" w:noHBand="0" w:noVBand="1"/>
      </w:tblPr>
      <w:tblGrid>
        <w:gridCol w:w="456"/>
        <w:gridCol w:w="2771"/>
        <w:gridCol w:w="3402"/>
        <w:gridCol w:w="3827"/>
        <w:gridCol w:w="2977"/>
      </w:tblGrid>
      <w:tr w:rsidR="002B6C43" w:rsidRPr="00262830" w14:paraId="0593ED32" w14:textId="77777777" w:rsidTr="00714ADB">
        <w:tc>
          <w:tcPr>
            <w:tcW w:w="456" w:type="dxa"/>
            <w:vAlign w:val="center"/>
            <w:hideMark/>
          </w:tcPr>
          <w:p w14:paraId="7FE6395B" w14:textId="77777777" w:rsidR="002B6C43" w:rsidRPr="00262830" w:rsidRDefault="00E078D0">
            <w:pPr>
              <w:pStyle w:val="P68B1DB1-Normal5"/>
              <w:jc w:val="right"/>
              <w:rPr>
                <w:rFonts w:asciiTheme="minorHAnsi" w:hAnsiTheme="minorHAnsi"/>
                <w:bCs/>
                <w:i/>
                <w:iCs/>
                <w:sz w:val="20"/>
                <w:szCs w:val="20"/>
              </w:rPr>
            </w:pPr>
            <w:r w:rsidRPr="00262830">
              <w:rPr>
                <w:rFonts w:asciiTheme="minorHAnsi" w:hAnsiTheme="minorHAnsi"/>
                <w:i/>
                <w:iCs/>
                <w:sz w:val="20"/>
                <w:szCs w:val="20"/>
              </w:rPr>
              <w:t>#</w:t>
            </w:r>
          </w:p>
        </w:tc>
        <w:tc>
          <w:tcPr>
            <w:tcW w:w="2771" w:type="dxa"/>
            <w:vAlign w:val="center"/>
            <w:hideMark/>
          </w:tcPr>
          <w:p w14:paraId="4D4771DC" w14:textId="77777777" w:rsidR="002B6C43" w:rsidRPr="00262830" w:rsidRDefault="00E078D0">
            <w:pPr>
              <w:pStyle w:val="P68B1DB1-Normal5"/>
              <w:jc w:val="center"/>
              <w:rPr>
                <w:rFonts w:asciiTheme="minorHAnsi" w:hAnsiTheme="minorHAnsi"/>
                <w:bCs/>
                <w:i/>
                <w:iCs/>
                <w:sz w:val="20"/>
                <w:szCs w:val="20"/>
              </w:rPr>
            </w:pPr>
            <w:r w:rsidRPr="00262830">
              <w:rPr>
                <w:rFonts w:asciiTheme="minorHAnsi" w:hAnsiTheme="minorHAnsi"/>
                <w:i/>
                <w:iCs/>
                <w:sz w:val="20"/>
                <w:szCs w:val="20"/>
              </w:rPr>
              <w:t>Mesure/règle</w:t>
            </w:r>
          </w:p>
          <w:p w14:paraId="3E335F88" w14:textId="6C3F551F" w:rsidR="002B6C43" w:rsidRPr="00262830" w:rsidRDefault="00E078D0">
            <w:pPr>
              <w:pStyle w:val="P68B1DB1-Normal5"/>
              <w:jc w:val="center"/>
              <w:rPr>
                <w:rFonts w:asciiTheme="minorHAnsi" w:hAnsiTheme="minorHAnsi"/>
                <w:bCs/>
                <w:i/>
                <w:iCs/>
                <w:sz w:val="20"/>
                <w:szCs w:val="20"/>
              </w:rPr>
            </w:pPr>
            <w:r w:rsidRPr="00262830">
              <w:rPr>
                <w:rFonts w:asciiTheme="minorHAnsi" w:hAnsiTheme="minorHAnsi"/>
                <w:i/>
                <w:iCs/>
                <w:sz w:val="20"/>
                <w:szCs w:val="20"/>
              </w:rPr>
              <w:t>(</w:t>
            </w:r>
            <w:r w:rsidR="00714ADB" w:rsidRPr="00262830">
              <w:rPr>
                <w:rFonts w:asciiTheme="minorHAnsi" w:hAnsiTheme="minorHAnsi"/>
                <w:i/>
                <w:iCs/>
                <w:sz w:val="20"/>
                <w:szCs w:val="20"/>
              </w:rPr>
              <w:t>p</w:t>
            </w:r>
            <w:r w:rsidRPr="00262830">
              <w:rPr>
                <w:rFonts w:asciiTheme="minorHAnsi" w:hAnsiTheme="minorHAnsi"/>
                <w:i/>
                <w:iCs/>
                <w:sz w:val="20"/>
                <w:szCs w:val="20"/>
              </w:rPr>
              <w:t>oint 3.1)</w:t>
            </w:r>
          </w:p>
        </w:tc>
        <w:tc>
          <w:tcPr>
            <w:tcW w:w="3402" w:type="dxa"/>
            <w:vAlign w:val="center"/>
            <w:hideMark/>
          </w:tcPr>
          <w:p w14:paraId="53E4A777" w14:textId="33686750" w:rsidR="002B6C43" w:rsidRPr="00262830" w:rsidRDefault="009B658A" w:rsidP="00714ADB">
            <w:pPr>
              <w:pStyle w:val="P68B1DB1-Normal5"/>
              <w:tabs>
                <w:tab w:val="left" w:pos="425"/>
                <w:tab w:val="center" w:pos="1593"/>
              </w:tabs>
              <w:jc w:val="center"/>
              <w:rPr>
                <w:rFonts w:asciiTheme="minorHAnsi" w:hAnsiTheme="minorHAnsi"/>
                <w:bCs/>
                <w:i/>
                <w:iCs/>
                <w:sz w:val="20"/>
                <w:szCs w:val="20"/>
              </w:rPr>
            </w:pPr>
            <w:r w:rsidRPr="00262830">
              <w:rPr>
                <w:rFonts w:asciiTheme="minorHAnsi" w:hAnsiTheme="minorHAnsi"/>
                <w:i/>
                <w:iCs/>
                <w:sz w:val="20"/>
                <w:szCs w:val="20"/>
              </w:rPr>
              <w:t>R</w:t>
            </w:r>
            <w:r w:rsidR="00E078D0" w:rsidRPr="00262830">
              <w:rPr>
                <w:rFonts w:asciiTheme="minorHAnsi" w:hAnsiTheme="minorHAnsi"/>
                <w:i/>
                <w:iCs/>
                <w:sz w:val="20"/>
                <w:szCs w:val="20"/>
              </w:rPr>
              <w:t>éférence juridique</w:t>
            </w:r>
          </w:p>
        </w:tc>
        <w:tc>
          <w:tcPr>
            <w:tcW w:w="3827" w:type="dxa"/>
            <w:vAlign w:val="center"/>
            <w:hideMark/>
          </w:tcPr>
          <w:p w14:paraId="3E00E820" w14:textId="3695FD85" w:rsidR="002B6C43" w:rsidRPr="00262830" w:rsidRDefault="00E078D0">
            <w:pPr>
              <w:pStyle w:val="P68B1DB1-Normal5"/>
              <w:jc w:val="center"/>
              <w:rPr>
                <w:rFonts w:asciiTheme="minorHAnsi" w:hAnsiTheme="minorHAnsi"/>
                <w:bCs/>
                <w:i/>
                <w:iCs/>
                <w:sz w:val="20"/>
                <w:szCs w:val="20"/>
              </w:rPr>
            </w:pPr>
            <w:r w:rsidRPr="00262830">
              <w:rPr>
                <w:rFonts w:asciiTheme="minorHAnsi" w:hAnsiTheme="minorHAnsi"/>
                <w:i/>
                <w:iCs/>
                <w:sz w:val="20"/>
                <w:szCs w:val="20"/>
              </w:rPr>
              <w:t xml:space="preserve">Documents actuellement disponibles/obligation de </w:t>
            </w:r>
            <w:r w:rsidR="00240FD1" w:rsidRPr="00262830">
              <w:rPr>
                <w:rFonts w:asciiTheme="minorHAnsi" w:hAnsiTheme="minorHAnsi"/>
                <w:i/>
                <w:iCs/>
                <w:sz w:val="20"/>
                <w:szCs w:val="20"/>
              </w:rPr>
              <w:t>déclaration</w:t>
            </w:r>
            <w:r w:rsidRPr="00262830">
              <w:rPr>
                <w:rFonts w:asciiTheme="minorHAnsi" w:hAnsiTheme="minorHAnsi"/>
                <w:i/>
                <w:iCs/>
                <w:sz w:val="20"/>
                <w:szCs w:val="20"/>
              </w:rPr>
              <w:t xml:space="preserve">/informations présentant un intérêt </w:t>
            </w:r>
          </w:p>
          <w:p w14:paraId="05F96FE1" w14:textId="5935A86B" w:rsidR="002B6C43" w:rsidRPr="00262830" w:rsidRDefault="00E078D0">
            <w:pPr>
              <w:pStyle w:val="P68B1DB1-Normal5"/>
              <w:jc w:val="center"/>
              <w:rPr>
                <w:rFonts w:asciiTheme="minorHAnsi" w:hAnsiTheme="minorHAnsi"/>
                <w:bCs/>
                <w:i/>
                <w:iCs/>
                <w:sz w:val="20"/>
                <w:szCs w:val="20"/>
              </w:rPr>
            </w:pPr>
            <w:r w:rsidRPr="00262830">
              <w:rPr>
                <w:rFonts w:asciiTheme="minorHAnsi" w:hAnsiTheme="minorHAnsi"/>
                <w:i/>
                <w:iCs/>
                <w:sz w:val="20"/>
                <w:szCs w:val="20"/>
              </w:rPr>
              <w:t>(</w:t>
            </w:r>
            <w:r w:rsidR="00714ADB" w:rsidRPr="00262830">
              <w:rPr>
                <w:rFonts w:asciiTheme="minorHAnsi" w:hAnsiTheme="minorHAnsi"/>
                <w:i/>
                <w:iCs/>
                <w:sz w:val="20"/>
                <w:szCs w:val="20"/>
              </w:rPr>
              <w:t>p</w:t>
            </w:r>
            <w:r w:rsidRPr="00262830">
              <w:rPr>
                <w:rFonts w:asciiTheme="minorHAnsi" w:hAnsiTheme="minorHAnsi"/>
                <w:i/>
                <w:iCs/>
                <w:sz w:val="20"/>
                <w:szCs w:val="20"/>
              </w:rPr>
              <w:t>oint 3.2)</w:t>
            </w:r>
          </w:p>
        </w:tc>
        <w:tc>
          <w:tcPr>
            <w:tcW w:w="2977" w:type="dxa"/>
            <w:vAlign w:val="center"/>
          </w:tcPr>
          <w:p w14:paraId="423DAD0B" w14:textId="77777777" w:rsidR="00714ADB" w:rsidRPr="00262830" w:rsidRDefault="00E078D0">
            <w:pPr>
              <w:pStyle w:val="P68B1DB1-Normal5"/>
              <w:jc w:val="center"/>
              <w:rPr>
                <w:rFonts w:asciiTheme="minorHAnsi" w:hAnsiTheme="minorHAnsi"/>
                <w:i/>
                <w:iCs/>
                <w:sz w:val="20"/>
                <w:szCs w:val="20"/>
              </w:rPr>
            </w:pPr>
            <w:r w:rsidRPr="00262830">
              <w:rPr>
                <w:rFonts w:asciiTheme="minorHAnsi" w:hAnsiTheme="minorHAnsi"/>
                <w:i/>
                <w:iCs/>
                <w:sz w:val="20"/>
                <w:szCs w:val="20"/>
              </w:rPr>
              <w:t>Informations requises pour évaluer l</w:t>
            </w:r>
            <w:r w:rsidR="00714ADB" w:rsidRPr="00262830">
              <w:rPr>
                <w:rFonts w:asciiTheme="minorHAnsi" w:hAnsiTheme="minorHAnsi"/>
                <w:i/>
                <w:iCs/>
                <w:sz w:val="20"/>
                <w:szCs w:val="20"/>
              </w:rPr>
              <w:t>’application</w:t>
            </w:r>
            <w:r w:rsidRPr="00262830">
              <w:rPr>
                <w:rFonts w:asciiTheme="minorHAnsi" w:hAnsiTheme="minorHAnsi"/>
                <w:i/>
                <w:iCs/>
                <w:sz w:val="20"/>
                <w:szCs w:val="20"/>
              </w:rPr>
              <w:t xml:space="preserve">. Contenu des rapports/modèles </w:t>
            </w:r>
          </w:p>
          <w:p w14:paraId="4D45B094" w14:textId="7A8B04A2" w:rsidR="002B6C43" w:rsidRPr="00262830" w:rsidRDefault="00E078D0">
            <w:pPr>
              <w:pStyle w:val="P68B1DB1-Normal5"/>
              <w:jc w:val="center"/>
              <w:rPr>
                <w:rFonts w:asciiTheme="minorHAnsi" w:hAnsiTheme="minorHAnsi"/>
                <w:bCs/>
                <w:i/>
                <w:iCs/>
                <w:sz w:val="20"/>
                <w:szCs w:val="20"/>
              </w:rPr>
            </w:pPr>
            <w:r w:rsidRPr="00262830">
              <w:rPr>
                <w:rFonts w:asciiTheme="minorHAnsi" w:hAnsiTheme="minorHAnsi"/>
                <w:i/>
                <w:iCs/>
                <w:sz w:val="20"/>
                <w:szCs w:val="20"/>
              </w:rPr>
              <w:t>(point 3.3)</w:t>
            </w:r>
          </w:p>
        </w:tc>
      </w:tr>
      <w:tr w:rsidR="002B6C43" w:rsidRPr="00262830" w14:paraId="5838E5C5" w14:textId="77777777">
        <w:tc>
          <w:tcPr>
            <w:tcW w:w="13433" w:type="dxa"/>
            <w:gridSpan w:val="5"/>
          </w:tcPr>
          <w:p w14:paraId="16FF38F6" w14:textId="09F70625" w:rsidR="002B6C43" w:rsidRPr="00262830" w:rsidRDefault="00E078D0">
            <w:pPr>
              <w:pStyle w:val="P68B1DB1-ListParagraph6"/>
              <w:numPr>
                <w:ilvl w:val="1"/>
                <w:numId w:val="9"/>
              </w:numPr>
              <w:jc w:val="center"/>
              <w:rPr>
                <w:rFonts w:asciiTheme="minorHAnsi" w:hAnsiTheme="minorHAnsi"/>
                <w:bCs/>
                <w:sz w:val="20"/>
                <w:szCs w:val="20"/>
              </w:rPr>
            </w:pPr>
            <w:r w:rsidRPr="00262830">
              <w:rPr>
                <w:rFonts w:asciiTheme="minorHAnsi" w:hAnsiTheme="minorHAnsi"/>
                <w:sz w:val="20"/>
                <w:szCs w:val="20"/>
              </w:rPr>
              <w:t xml:space="preserve">Mesures </w:t>
            </w:r>
            <w:r w:rsidR="006C30EE" w:rsidRPr="00262830">
              <w:rPr>
                <w:rFonts w:asciiTheme="minorHAnsi" w:hAnsiTheme="minorHAnsi"/>
                <w:sz w:val="20"/>
                <w:szCs w:val="20"/>
              </w:rPr>
              <w:t>horizontales</w:t>
            </w:r>
          </w:p>
        </w:tc>
      </w:tr>
      <w:tr w:rsidR="002B6C43" w:rsidRPr="00262830" w14:paraId="68767F01" w14:textId="77777777">
        <w:tc>
          <w:tcPr>
            <w:tcW w:w="456" w:type="dxa"/>
          </w:tcPr>
          <w:p w14:paraId="19D39D72" w14:textId="77777777" w:rsidR="002B6C43" w:rsidRPr="00262830" w:rsidRDefault="00E078D0">
            <w:pPr>
              <w:pStyle w:val="P68B1DB1-Normal7"/>
              <w:jc w:val="right"/>
              <w:rPr>
                <w:rFonts w:asciiTheme="minorHAnsi" w:hAnsiTheme="minorHAnsi"/>
                <w:sz w:val="20"/>
                <w:szCs w:val="20"/>
              </w:rPr>
            </w:pPr>
            <w:r w:rsidRPr="00262830">
              <w:rPr>
                <w:rFonts w:asciiTheme="minorHAnsi" w:hAnsiTheme="minorHAnsi"/>
                <w:sz w:val="20"/>
                <w:szCs w:val="20"/>
              </w:rPr>
              <w:t>0</w:t>
            </w:r>
          </w:p>
        </w:tc>
        <w:tc>
          <w:tcPr>
            <w:tcW w:w="2771" w:type="dxa"/>
          </w:tcPr>
          <w:p w14:paraId="664BE0F3" w14:textId="77777777" w:rsidR="002B6C43" w:rsidRPr="00262830" w:rsidRDefault="00E078D0">
            <w:pPr>
              <w:pStyle w:val="P68B1DB1-Normal5"/>
              <w:rPr>
                <w:rFonts w:asciiTheme="minorHAnsi" w:hAnsiTheme="minorHAnsi"/>
                <w:bCs/>
                <w:sz w:val="20"/>
                <w:szCs w:val="20"/>
              </w:rPr>
            </w:pPr>
            <w:r w:rsidRPr="00262830">
              <w:rPr>
                <w:rFonts w:asciiTheme="minorHAnsi" w:hAnsiTheme="minorHAnsi"/>
                <w:sz w:val="20"/>
                <w:szCs w:val="20"/>
              </w:rPr>
              <w:t>Obligations de déclaration</w:t>
            </w:r>
          </w:p>
        </w:tc>
        <w:tc>
          <w:tcPr>
            <w:tcW w:w="3402" w:type="dxa"/>
          </w:tcPr>
          <w:p w14:paraId="0801AF82" w14:textId="77777777" w:rsidR="002B6C43" w:rsidRPr="00262830" w:rsidRDefault="002B6C43">
            <w:pPr>
              <w:rPr>
                <w:rFonts w:eastAsia="Times New Roman" w:cs="Times New Roman"/>
                <w:sz w:val="20"/>
                <w:szCs w:val="20"/>
              </w:rPr>
            </w:pPr>
          </w:p>
        </w:tc>
        <w:tc>
          <w:tcPr>
            <w:tcW w:w="3827" w:type="dxa"/>
          </w:tcPr>
          <w:p w14:paraId="43B6D0EA" w14:textId="08F9C5EE"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 xml:space="preserve">COC_301/2024 (rapports annuels </w:t>
            </w:r>
            <w:r w:rsidR="00714ADB" w:rsidRPr="00262830">
              <w:rPr>
                <w:rFonts w:asciiTheme="minorHAnsi" w:hAnsiTheme="minorHAnsi"/>
                <w:sz w:val="20"/>
                <w:szCs w:val="20"/>
              </w:rPr>
              <w:t xml:space="preserve">des </w:t>
            </w:r>
            <w:r w:rsidRPr="00262830">
              <w:rPr>
                <w:rFonts w:asciiTheme="minorHAnsi" w:hAnsiTheme="minorHAnsi"/>
                <w:sz w:val="20"/>
                <w:szCs w:val="20"/>
              </w:rPr>
              <w:t>CPC)</w:t>
            </w:r>
          </w:p>
        </w:tc>
        <w:tc>
          <w:tcPr>
            <w:tcW w:w="2977" w:type="dxa"/>
          </w:tcPr>
          <w:p w14:paraId="57796DCF" w14:textId="2777E269"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 xml:space="preserve">Rapport </w:t>
            </w:r>
            <w:r w:rsidR="00BF7D73" w:rsidRPr="00262830">
              <w:rPr>
                <w:rFonts w:asciiTheme="minorHAnsi" w:hAnsiTheme="minorHAnsi"/>
                <w:sz w:val="20"/>
                <w:szCs w:val="20"/>
              </w:rPr>
              <w:t>récapitulatif</w:t>
            </w:r>
            <w:r w:rsidRPr="00262830">
              <w:rPr>
                <w:rFonts w:asciiTheme="minorHAnsi" w:hAnsiTheme="minorHAnsi"/>
                <w:sz w:val="20"/>
                <w:szCs w:val="20"/>
              </w:rPr>
              <w:t xml:space="preserve"> indiquant des informations tardives et incomplètes</w:t>
            </w:r>
          </w:p>
        </w:tc>
      </w:tr>
      <w:tr w:rsidR="002B6C43" w:rsidRPr="00262830" w14:paraId="5E67CDF2" w14:textId="77777777">
        <w:tc>
          <w:tcPr>
            <w:tcW w:w="456" w:type="dxa"/>
            <w:hideMark/>
          </w:tcPr>
          <w:p w14:paraId="24F33D48" w14:textId="77777777" w:rsidR="002B6C43" w:rsidRPr="00262830" w:rsidRDefault="00E078D0">
            <w:pPr>
              <w:pStyle w:val="P68B1DB1-Normal7"/>
              <w:jc w:val="right"/>
              <w:rPr>
                <w:rFonts w:asciiTheme="minorHAnsi" w:hAnsiTheme="minorHAnsi"/>
                <w:sz w:val="20"/>
                <w:szCs w:val="20"/>
              </w:rPr>
            </w:pPr>
            <w:r w:rsidRPr="00262830">
              <w:rPr>
                <w:rFonts w:asciiTheme="minorHAnsi" w:hAnsiTheme="minorHAnsi"/>
                <w:sz w:val="20"/>
                <w:szCs w:val="20"/>
              </w:rPr>
              <w:t>1</w:t>
            </w:r>
          </w:p>
        </w:tc>
        <w:tc>
          <w:tcPr>
            <w:tcW w:w="2771" w:type="dxa"/>
            <w:hideMark/>
          </w:tcPr>
          <w:p w14:paraId="2282A68F" w14:textId="1FE8EAF3" w:rsidR="002B6C43" w:rsidRPr="00262830" w:rsidRDefault="00E078D0">
            <w:pPr>
              <w:pStyle w:val="P68B1DB1-Normal5"/>
              <w:rPr>
                <w:rFonts w:asciiTheme="minorHAnsi" w:hAnsiTheme="minorHAnsi"/>
                <w:sz w:val="20"/>
                <w:szCs w:val="20"/>
              </w:rPr>
            </w:pPr>
            <w:r w:rsidRPr="00262830">
              <w:rPr>
                <w:rFonts w:asciiTheme="minorHAnsi" w:hAnsiTheme="minorHAnsi"/>
                <w:sz w:val="20"/>
                <w:szCs w:val="20"/>
              </w:rPr>
              <w:t>Limites de capture/TAC et application de quotas (</w:t>
            </w:r>
            <w:r w:rsidR="008E0CE3" w:rsidRPr="00262830">
              <w:rPr>
                <w:rFonts w:asciiTheme="minorHAnsi" w:hAnsiTheme="minorHAnsi"/>
                <w:sz w:val="20"/>
                <w:szCs w:val="20"/>
              </w:rPr>
              <w:t>sur/sous-consommation</w:t>
            </w:r>
            <w:r w:rsidRPr="00262830">
              <w:rPr>
                <w:rFonts w:asciiTheme="minorHAnsi" w:hAnsiTheme="minorHAnsi"/>
                <w:sz w:val="20"/>
                <w:szCs w:val="20"/>
              </w:rPr>
              <w:t>, transferts, règles de remboursement)</w:t>
            </w:r>
          </w:p>
        </w:tc>
        <w:tc>
          <w:tcPr>
            <w:tcW w:w="3402" w:type="dxa"/>
            <w:hideMark/>
          </w:tcPr>
          <w:p w14:paraId="4BFAAF35" w14:textId="7D37164A"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R</w:t>
            </w:r>
            <w:r w:rsidR="005219B0" w:rsidRPr="00262830">
              <w:rPr>
                <w:rFonts w:asciiTheme="minorHAnsi" w:hAnsiTheme="minorHAnsi"/>
                <w:sz w:val="20"/>
                <w:szCs w:val="20"/>
              </w:rPr>
              <w:t>ec</w:t>
            </w:r>
            <w:r w:rsidRPr="00262830">
              <w:rPr>
                <w:rFonts w:asciiTheme="minorHAnsi" w:hAnsiTheme="minorHAnsi"/>
                <w:sz w:val="20"/>
                <w:szCs w:val="20"/>
              </w:rPr>
              <w:t>. 00-14 (GEN</w:t>
            </w:r>
            <w:r w:rsidR="005219B0" w:rsidRPr="00262830">
              <w:rPr>
                <w:rFonts w:asciiTheme="minorHAnsi" w:hAnsiTheme="minorHAnsi"/>
                <w:sz w:val="20"/>
                <w:szCs w:val="20"/>
              </w:rPr>
              <w:t>) ;</w:t>
            </w:r>
            <w:r w:rsidRPr="00262830">
              <w:rPr>
                <w:rFonts w:asciiTheme="minorHAnsi" w:hAnsiTheme="minorHAnsi"/>
                <w:sz w:val="20"/>
                <w:szCs w:val="20"/>
              </w:rPr>
              <w:t xml:space="preserve"> R</w:t>
            </w:r>
            <w:r w:rsidR="005219B0" w:rsidRPr="00262830">
              <w:rPr>
                <w:rFonts w:asciiTheme="minorHAnsi" w:hAnsiTheme="minorHAnsi"/>
                <w:sz w:val="20"/>
                <w:szCs w:val="20"/>
              </w:rPr>
              <w:t>ec</w:t>
            </w:r>
            <w:r w:rsidRPr="00262830">
              <w:rPr>
                <w:rFonts w:asciiTheme="minorHAnsi" w:hAnsiTheme="minorHAnsi"/>
                <w:sz w:val="20"/>
                <w:szCs w:val="20"/>
              </w:rPr>
              <w:t xml:space="preserve">. 22-18 (GEN); </w:t>
            </w:r>
            <w:r w:rsidR="003D23B7" w:rsidRPr="00262830">
              <w:rPr>
                <w:rFonts w:asciiTheme="minorHAnsi" w:hAnsiTheme="minorHAnsi"/>
                <w:sz w:val="20"/>
                <w:szCs w:val="20"/>
              </w:rPr>
              <w:t xml:space="preserve">Recs. </w:t>
            </w:r>
            <w:r w:rsidR="00FC1B76" w:rsidRPr="00262830">
              <w:rPr>
                <w:rFonts w:asciiTheme="minorHAnsi" w:hAnsiTheme="minorHAnsi"/>
                <w:sz w:val="20"/>
                <w:szCs w:val="20"/>
              </w:rPr>
              <w:t>s</w:t>
            </w:r>
            <w:r w:rsidRPr="00262830">
              <w:rPr>
                <w:rFonts w:asciiTheme="minorHAnsi" w:hAnsiTheme="minorHAnsi"/>
                <w:sz w:val="20"/>
                <w:szCs w:val="20"/>
              </w:rPr>
              <w:t>pécifiques</w:t>
            </w:r>
            <w:r w:rsidR="003D23B7" w:rsidRPr="00262830">
              <w:rPr>
                <w:rFonts w:asciiTheme="minorHAnsi" w:hAnsiTheme="minorHAnsi"/>
                <w:sz w:val="20"/>
                <w:szCs w:val="20"/>
              </w:rPr>
              <w:t xml:space="preserve"> </w:t>
            </w:r>
            <w:r w:rsidR="00FC1B76" w:rsidRPr="00262830">
              <w:rPr>
                <w:rFonts w:asciiTheme="minorHAnsi" w:hAnsiTheme="minorHAnsi"/>
                <w:sz w:val="20"/>
                <w:szCs w:val="20"/>
              </w:rPr>
              <w:t>aux</w:t>
            </w:r>
            <w:r w:rsidR="003D23B7" w:rsidRPr="00262830">
              <w:rPr>
                <w:rFonts w:asciiTheme="minorHAnsi" w:hAnsiTheme="minorHAnsi"/>
                <w:sz w:val="20"/>
                <w:szCs w:val="20"/>
              </w:rPr>
              <w:t xml:space="preserve"> </w:t>
            </w:r>
            <w:r w:rsidRPr="00262830">
              <w:rPr>
                <w:rFonts w:asciiTheme="minorHAnsi" w:hAnsiTheme="minorHAnsi"/>
                <w:sz w:val="20"/>
                <w:szCs w:val="20"/>
              </w:rPr>
              <w:t>espèce</w:t>
            </w:r>
            <w:r w:rsidR="003D23B7" w:rsidRPr="00262830">
              <w:rPr>
                <w:rFonts w:asciiTheme="minorHAnsi" w:hAnsiTheme="minorHAnsi"/>
                <w:sz w:val="20"/>
                <w:szCs w:val="20"/>
              </w:rPr>
              <w:t>s</w:t>
            </w:r>
            <w:r w:rsidRPr="00262830">
              <w:rPr>
                <w:rFonts w:asciiTheme="minorHAnsi" w:hAnsiTheme="minorHAnsi"/>
                <w:sz w:val="20"/>
                <w:szCs w:val="20"/>
              </w:rPr>
              <w:t xml:space="preserve"> (par exemple, </w:t>
            </w:r>
            <w:r w:rsidR="005219B0" w:rsidRPr="00262830">
              <w:rPr>
                <w:rFonts w:asciiTheme="minorHAnsi" w:hAnsiTheme="minorHAnsi"/>
                <w:sz w:val="20"/>
                <w:szCs w:val="20"/>
              </w:rPr>
              <w:t xml:space="preserve">Rec. </w:t>
            </w:r>
            <w:r w:rsidRPr="00262830">
              <w:rPr>
                <w:rFonts w:asciiTheme="minorHAnsi" w:hAnsiTheme="minorHAnsi"/>
                <w:sz w:val="20"/>
                <w:szCs w:val="20"/>
              </w:rPr>
              <w:t xml:space="preserve">23-02, </w:t>
            </w:r>
            <w:r w:rsidR="005219B0" w:rsidRPr="00262830">
              <w:rPr>
                <w:rFonts w:asciiTheme="minorHAnsi" w:hAnsiTheme="minorHAnsi"/>
                <w:sz w:val="20"/>
                <w:szCs w:val="20"/>
              </w:rPr>
              <w:t xml:space="preserve">Rec. </w:t>
            </w:r>
            <w:r w:rsidRPr="00262830">
              <w:rPr>
                <w:rFonts w:asciiTheme="minorHAnsi" w:hAnsiTheme="minorHAnsi"/>
                <w:sz w:val="20"/>
                <w:szCs w:val="20"/>
              </w:rPr>
              <w:t>24-01)</w:t>
            </w:r>
          </w:p>
          <w:p w14:paraId="093C86A8" w14:textId="79118EDA" w:rsidR="002B6C43" w:rsidRPr="00262830" w:rsidRDefault="003D23B7">
            <w:pPr>
              <w:pStyle w:val="P68B1DB1-Normal7"/>
              <w:rPr>
                <w:rFonts w:asciiTheme="minorHAnsi" w:hAnsiTheme="minorHAnsi"/>
                <w:sz w:val="20"/>
                <w:szCs w:val="20"/>
              </w:rPr>
            </w:pPr>
            <w:r w:rsidRPr="00262830">
              <w:rPr>
                <w:rFonts w:asciiTheme="minorHAnsi" w:hAnsiTheme="minorHAnsi"/>
                <w:sz w:val="20"/>
                <w:szCs w:val="20"/>
              </w:rPr>
              <w:t xml:space="preserve">Rec. </w:t>
            </w:r>
            <w:r w:rsidR="00E078D0" w:rsidRPr="00262830">
              <w:rPr>
                <w:rFonts w:asciiTheme="minorHAnsi" w:hAnsiTheme="minorHAnsi"/>
                <w:sz w:val="20"/>
                <w:szCs w:val="20"/>
              </w:rPr>
              <w:t xml:space="preserve">sur les programmes pluriannuels — règles en matière de quotas (par exemple, </w:t>
            </w:r>
            <w:r w:rsidR="00A54D88" w:rsidRPr="00262830">
              <w:rPr>
                <w:rFonts w:asciiTheme="minorHAnsi" w:hAnsiTheme="minorHAnsi"/>
                <w:sz w:val="20"/>
                <w:szCs w:val="20"/>
              </w:rPr>
              <w:t>s</w:t>
            </w:r>
            <w:r w:rsidRPr="00262830">
              <w:rPr>
                <w:rFonts w:asciiTheme="minorHAnsi" w:hAnsiTheme="minorHAnsi"/>
                <w:sz w:val="20"/>
                <w:szCs w:val="20"/>
              </w:rPr>
              <w:t>érie de Recs. sur les thonidés tropicaux</w:t>
            </w:r>
            <w:r w:rsidR="00E078D0" w:rsidRPr="00262830">
              <w:rPr>
                <w:rFonts w:asciiTheme="minorHAnsi" w:hAnsiTheme="minorHAnsi"/>
                <w:sz w:val="20"/>
                <w:szCs w:val="20"/>
              </w:rPr>
              <w:t>, Rec. 24-</w:t>
            </w:r>
            <w:r w:rsidR="005219B0" w:rsidRPr="00262830">
              <w:rPr>
                <w:rFonts w:asciiTheme="minorHAnsi" w:hAnsiTheme="minorHAnsi"/>
                <w:sz w:val="20"/>
                <w:szCs w:val="20"/>
              </w:rPr>
              <w:t>01 ;</w:t>
            </w:r>
            <w:r w:rsidR="00E078D0" w:rsidRPr="00262830">
              <w:rPr>
                <w:rFonts w:asciiTheme="minorHAnsi" w:hAnsiTheme="minorHAnsi"/>
                <w:sz w:val="20"/>
                <w:szCs w:val="20"/>
              </w:rPr>
              <w:t xml:space="preserve"> règles relatives aux tableaux des </w:t>
            </w:r>
            <w:proofErr w:type="spellStart"/>
            <w:r w:rsidR="008E0CE3" w:rsidRPr="00262830">
              <w:rPr>
                <w:rFonts w:asciiTheme="minorHAnsi" w:hAnsiTheme="minorHAnsi"/>
                <w:sz w:val="20"/>
                <w:szCs w:val="20"/>
              </w:rPr>
              <w:t>sur</w:t>
            </w:r>
            <w:proofErr w:type="spellEnd"/>
            <w:r w:rsidR="008E0CE3" w:rsidRPr="00262830">
              <w:rPr>
                <w:rFonts w:asciiTheme="minorHAnsi" w:hAnsiTheme="minorHAnsi"/>
                <w:sz w:val="20"/>
                <w:szCs w:val="20"/>
              </w:rPr>
              <w:t>/sous-consommation et</w:t>
            </w:r>
            <w:r w:rsidR="00E078D0" w:rsidRPr="00262830">
              <w:rPr>
                <w:rFonts w:asciiTheme="minorHAnsi" w:hAnsiTheme="minorHAnsi"/>
                <w:sz w:val="20"/>
                <w:szCs w:val="20"/>
              </w:rPr>
              <w:t xml:space="preserve"> de quotas). Voir également l</w:t>
            </w:r>
            <w:r w:rsidR="000245DE" w:rsidRPr="00262830">
              <w:rPr>
                <w:rFonts w:asciiTheme="minorHAnsi" w:hAnsiTheme="minorHAnsi"/>
                <w:sz w:val="20"/>
                <w:szCs w:val="20"/>
              </w:rPr>
              <w:t>a</w:t>
            </w:r>
            <w:r w:rsidR="00E078D0" w:rsidRPr="00262830">
              <w:rPr>
                <w:rFonts w:asciiTheme="minorHAnsi" w:hAnsiTheme="minorHAnsi"/>
                <w:sz w:val="20"/>
                <w:szCs w:val="20"/>
              </w:rPr>
              <w:t xml:space="preserve"> </w:t>
            </w:r>
            <w:r w:rsidR="000245DE" w:rsidRPr="00262830">
              <w:rPr>
                <w:rFonts w:asciiTheme="minorHAnsi" w:hAnsiTheme="minorHAnsi"/>
                <w:sz w:val="20"/>
                <w:szCs w:val="20"/>
              </w:rPr>
              <w:t>Rec.</w:t>
            </w:r>
            <w:r w:rsidR="00E078D0" w:rsidRPr="00262830">
              <w:rPr>
                <w:rFonts w:asciiTheme="minorHAnsi" w:hAnsiTheme="minorHAnsi"/>
                <w:sz w:val="20"/>
                <w:szCs w:val="20"/>
              </w:rPr>
              <w:t xml:space="preserve"> 11-11 sur le format de déclaration de </w:t>
            </w:r>
            <w:r w:rsidR="00445D63" w:rsidRPr="00262830">
              <w:rPr>
                <w:rFonts w:asciiTheme="minorHAnsi" w:hAnsiTheme="minorHAnsi"/>
                <w:sz w:val="20"/>
                <w:szCs w:val="20"/>
              </w:rPr>
              <w:t>l’application</w:t>
            </w:r>
            <w:r w:rsidR="00E078D0" w:rsidRPr="00262830">
              <w:rPr>
                <w:rFonts w:asciiTheme="minorHAnsi" w:hAnsiTheme="minorHAnsi"/>
                <w:sz w:val="20"/>
                <w:szCs w:val="20"/>
              </w:rPr>
              <w:t>.</w:t>
            </w:r>
          </w:p>
        </w:tc>
        <w:tc>
          <w:tcPr>
            <w:tcW w:w="3827" w:type="dxa"/>
            <w:hideMark/>
          </w:tcPr>
          <w:p w14:paraId="7206922D" w14:textId="7AE2FD69"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COC_308/2024 (annexe 3, tableaux de sur</w:t>
            </w:r>
            <w:r w:rsidR="008E0CE3" w:rsidRPr="00262830">
              <w:rPr>
                <w:rFonts w:asciiTheme="minorHAnsi" w:hAnsiTheme="minorHAnsi"/>
                <w:sz w:val="20"/>
                <w:szCs w:val="20"/>
              </w:rPr>
              <w:t>consommation</w:t>
            </w:r>
            <w:r w:rsidR="00C40C95" w:rsidRPr="00262830">
              <w:rPr>
                <w:rFonts w:asciiTheme="minorHAnsi" w:hAnsiTheme="minorHAnsi"/>
                <w:sz w:val="20"/>
                <w:szCs w:val="20"/>
              </w:rPr>
              <w:t>) ;</w:t>
            </w:r>
            <w:r w:rsidRPr="00262830">
              <w:rPr>
                <w:rFonts w:asciiTheme="minorHAnsi" w:hAnsiTheme="minorHAnsi"/>
                <w:sz w:val="20"/>
                <w:szCs w:val="20"/>
              </w:rPr>
              <w:t xml:space="preserve"> Projets de tableaux d</w:t>
            </w:r>
            <w:r w:rsidR="008E0CE3" w:rsidRPr="00262830">
              <w:rPr>
                <w:rFonts w:asciiTheme="minorHAnsi" w:hAnsiTheme="minorHAnsi"/>
                <w:sz w:val="20"/>
                <w:szCs w:val="20"/>
              </w:rPr>
              <w:t>’application</w:t>
            </w:r>
            <w:r w:rsidRPr="00262830">
              <w:rPr>
                <w:rFonts w:asciiTheme="minorHAnsi" w:hAnsiTheme="minorHAnsi"/>
                <w:sz w:val="20"/>
                <w:szCs w:val="20"/>
              </w:rPr>
              <w:t xml:space="preserve"> COC_304 (annexe 1 «</w:t>
            </w:r>
            <w:r w:rsidR="00772009" w:rsidRPr="00262830">
              <w:rPr>
                <w:rFonts w:asciiTheme="minorHAnsi" w:hAnsiTheme="minorHAnsi"/>
                <w:sz w:val="20"/>
                <w:szCs w:val="20"/>
              </w:rPr>
              <w:t xml:space="preserve"> </w:t>
            </w:r>
            <w:r w:rsidRPr="00262830">
              <w:rPr>
                <w:rFonts w:asciiTheme="minorHAnsi" w:hAnsiTheme="minorHAnsi"/>
                <w:sz w:val="20"/>
                <w:szCs w:val="20"/>
              </w:rPr>
              <w:t xml:space="preserve">Application de la </w:t>
            </w:r>
            <w:proofErr w:type="spellStart"/>
            <w:r w:rsidR="008E0CE3" w:rsidRPr="00262830">
              <w:rPr>
                <w:rFonts w:asciiTheme="minorHAnsi" w:hAnsiTheme="minorHAnsi"/>
                <w:sz w:val="20"/>
                <w:szCs w:val="20"/>
              </w:rPr>
              <w:t>sur</w:t>
            </w:r>
            <w:proofErr w:type="spellEnd"/>
            <w:r w:rsidR="008E0CE3" w:rsidRPr="00262830">
              <w:rPr>
                <w:rFonts w:asciiTheme="minorHAnsi" w:hAnsiTheme="minorHAnsi"/>
                <w:sz w:val="20"/>
                <w:szCs w:val="20"/>
              </w:rPr>
              <w:t>/sous-</w:t>
            </w:r>
            <w:r w:rsidR="00772009" w:rsidRPr="00262830">
              <w:rPr>
                <w:rFonts w:asciiTheme="minorHAnsi" w:hAnsiTheme="minorHAnsi"/>
                <w:sz w:val="20"/>
                <w:szCs w:val="20"/>
              </w:rPr>
              <w:t>consommation »</w:t>
            </w:r>
            <w:r w:rsidRPr="00262830">
              <w:rPr>
                <w:rFonts w:asciiTheme="minorHAnsi" w:hAnsiTheme="minorHAnsi"/>
                <w:sz w:val="20"/>
                <w:szCs w:val="20"/>
              </w:rPr>
              <w:t xml:space="preserve">); Données de captures de la tâche </w:t>
            </w:r>
            <w:r w:rsidR="005219B0" w:rsidRPr="00262830">
              <w:rPr>
                <w:rFonts w:asciiTheme="minorHAnsi" w:hAnsiTheme="minorHAnsi"/>
                <w:sz w:val="20"/>
                <w:szCs w:val="20"/>
              </w:rPr>
              <w:t>1</w:t>
            </w:r>
            <w:r w:rsidRPr="00262830">
              <w:rPr>
                <w:rFonts w:asciiTheme="minorHAnsi" w:hAnsiTheme="minorHAnsi"/>
                <w:sz w:val="20"/>
                <w:szCs w:val="20"/>
              </w:rPr>
              <w:t xml:space="preserve"> (annuelles), compilations des captures du SCRS</w:t>
            </w:r>
            <w:r w:rsidR="009E367F" w:rsidRPr="00262830">
              <w:rPr>
                <w:rFonts w:asciiTheme="minorHAnsi" w:hAnsiTheme="minorHAnsi"/>
                <w:sz w:val="20"/>
                <w:szCs w:val="20"/>
              </w:rPr>
              <w:t xml:space="preserve"> </w:t>
            </w:r>
            <w:r w:rsidRPr="00262830">
              <w:rPr>
                <w:rFonts w:asciiTheme="minorHAnsi" w:hAnsiTheme="minorHAnsi"/>
                <w:sz w:val="20"/>
                <w:szCs w:val="20"/>
              </w:rPr>
              <w:t>;  Annexe d</w:t>
            </w:r>
            <w:r w:rsidR="008E0CE3" w:rsidRPr="00262830">
              <w:rPr>
                <w:rFonts w:asciiTheme="minorHAnsi" w:hAnsiTheme="minorHAnsi"/>
                <w:sz w:val="20"/>
                <w:szCs w:val="20"/>
              </w:rPr>
              <w:t>’application</w:t>
            </w:r>
            <w:r w:rsidRPr="00262830">
              <w:rPr>
                <w:rFonts w:asciiTheme="minorHAnsi" w:hAnsiTheme="minorHAnsi"/>
                <w:sz w:val="20"/>
                <w:szCs w:val="20"/>
              </w:rPr>
              <w:t xml:space="preserve"> du </w:t>
            </w:r>
            <w:r w:rsidR="00772009" w:rsidRPr="00262830">
              <w:rPr>
                <w:rFonts w:asciiTheme="minorHAnsi" w:hAnsiTheme="minorHAnsi"/>
                <w:sz w:val="20"/>
                <w:szCs w:val="20"/>
              </w:rPr>
              <w:t>S</w:t>
            </w:r>
            <w:r w:rsidRPr="00262830">
              <w:rPr>
                <w:rFonts w:asciiTheme="minorHAnsi" w:hAnsiTheme="minorHAnsi"/>
                <w:sz w:val="20"/>
                <w:szCs w:val="20"/>
              </w:rPr>
              <w:t>ecrétariat/projet de tableaux récapitulatifs d</w:t>
            </w:r>
            <w:r w:rsidR="008E0CE3" w:rsidRPr="00262830">
              <w:rPr>
                <w:rFonts w:asciiTheme="minorHAnsi" w:hAnsiTheme="minorHAnsi"/>
                <w:sz w:val="20"/>
                <w:szCs w:val="20"/>
              </w:rPr>
              <w:t>’application</w:t>
            </w:r>
            <w:r w:rsidRPr="00262830">
              <w:rPr>
                <w:rFonts w:asciiTheme="minorHAnsi" w:hAnsiTheme="minorHAnsi"/>
                <w:sz w:val="20"/>
                <w:szCs w:val="20"/>
              </w:rPr>
              <w:t>.</w:t>
            </w:r>
          </w:p>
          <w:p w14:paraId="0122BC91" w14:textId="67D6D962"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 xml:space="preserve">Annexe 1 — Informations commerciales (Rec. 06-13) </w:t>
            </w:r>
            <w:r w:rsidR="00AC4FE5" w:rsidRPr="00262830">
              <w:rPr>
                <w:rFonts w:asciiTheme="minorHAnsi" w:hAnsiTheme="minorHAnsi"/>
                <w:sz w:val="20"/>
                <w:szCs w:val="20"/>
              </w:rPr>
              <w:t xml:space="preserve">dans </w:t>
            </w:r>
            <w:r w:rsidRPr="00262830">
              <w:rPr>
                <w:rFonts w:asciiTheme="minorHAnsi" w:hAnsiTheme="minorHAnsi"/>
                <w:sz w:val="20"/>
                <w:szCs w:val="20"/>
              </w:rPr>
              <w:t>COC_303/2024</w:t>
            </w:r>
          </w:p>
        </w:tc>
        <w:tc>
          <w:tcPr>
            <w:tcW w:w="2977" w:type="dxa"/>
          </w:tcPr>
          <w:p w14:paraId="2CA8AFAA" w14:textId="77777777" w:rsidR="002B6C43" w:rsidRPr="00262830" w:rsidRDefault="002B6C43">
            <w:pPr>
              <w:rPr>
                <w:rFonts w:eastAsia="Times New Roman" w:cs="Times New Roman"/>
                <w:sz w:val="20"/>
                <w:szCs w:val="20"/>
              </w:rPr>
            </w:pPr>
          </w:p>
        </w:tc>
      </w:tr>
      <w:tr w:rsidR="002B6C43" w:rsidRPr="00262830" w14:paraId="61B12682" w14:textId="77777777">
        <w:tc>
          <w:tcPr>
            <w:tcW w:w="456" w:type="dxa"/>
            <w:hideMark/>
          </w:tcPr>
          <w:p w14:paraId="4F54A34E" w14:textId="77777777" w:rsidR="002B6C43" w:rsidRPr="00262830" w:rsidRDefault="00E078D0">
            <w:pPr>
              <w:pStyle w:val="P68B1DB1-Normal7"/>
              <w:jc w:val="right"/>
              <w:rPr>
                <w:rFonts w:asciiTheme="minorHAnsi" w:hAnsiTheme="minorHAnsi"/>
                <w:sz w:val="20"/>
                <w:szCs w:val="20"/>
              </w:rPr>
            </w:pPr>
            <w:r w:rsidRPr="00262830">
              <w:rPr>
                <w:rFonts w:asciiTheme="minorHAnsi" w:hAnsiTheme="minorHAnsi"/>
                <w:sz w:val="20"/>
                <w:szCs w:val="20"/>
              </w:rPr>
              <w:t>2</w:t>
            </w:r>
          </w:p>
        </w:tc>
        <w:tc>
          <w:tcPr>
            <w:tcW w:w="2771" w:type="dxa"/>
            <w:hideMark/>
          </w:tcPr>
          <w:p w14:paraId="7D09B628" w14:textId="77777777" w:rsidR="002B6C43" w:rsidRPr="00262830" w:rsidRDefault="00E078D0">
            <w:pPr>
              <w:pStyle w:val="P68B1DB1-Normal5"/>
              <w:rPr>
                <w:rFonts w:asciiTheme="minorHAnsi" w:hAnsiTheme="minorHAnsi"/>
                <w:sz w:val="20"/>
                <w:szCs w:val="20"/>
              </w:rPr>
            </w:pPr>
            <w:r w:rsidRPr="00262830">
              <w:rPr>
                <w:rFonts w:asciiTheme="minorHAnsi" w:hAnsiTheme="minorHAnsi"/>
                <w:sz w:val="20"/>
                <w:szCs w:val="20"/>
              </w:rPr>
              <w:t xml:space="preserve">Présence d’observateurs </w:t>
            </w:r>
          </w:p>
        </w:tc>
        <w:tc>
          <w:tcPr>
            <w:tcW w:w="3402" w:type="dxa"/>
            <w:hideMark/>
          </w:tcPr>
          <w:p w14:paraId="789E2007" w14:textId="0B237F17" w:rsidR="002B6C43" w:rsidRPr="00262830" w:rsidRDefault="005219B0">
            <w:pPr>
              <w:pStyle w:val="P68B1DB1-Normal7"/>
              <w:rPr>
                <w:rFonts w:asciiTheme="minorHAnsi" w:hAnsiTheme="minorHAnsi"/>
                <w:sz w:val="20"/>
                <w:szCs w:val="20"/>
              </w:rPr>
            </w:pPr>
            <w:r w:rsidRPr="00262830">
              <w:rPr>
                <w:rFonts w:asciiTheme="minorHAnsi" w:hAnsiTheme="minorHAnsi"/>
                <w:sz w:val="20"/>
                <w:szCs w:val="20"/>
              </w:rPr>
              <w:t xml:space="preserve">Rec. </w:t>
            </w:r>
            <w:r w:rsidR="00E078D0" w:rsidRPr="00262830">
              <w:rPr>
                <w:rFonts w:asciiTheme="minorHAnsi" w:hAnsiTheme="minorHAnsi"/>
                <w:sz w:val="20"/>
                <w:szCs w:val="20"/>
              </w:rPr>
              <w:t>sur les normes minimales d’observation et la couverture minimale (</w:t>
            </w:r>
            <w:r w:rsidR="00D74C22" w:rsidRPr="00262830">
              <w:rPr>
                <w:rFonts w:asciiTheme="minorHAnsi" w:hAnsiTheme="minorHAnsi"/>
                <w:sz w:val="20"/>
                <w:szCs w:val="20"/>
              </w:rPr>
              <w:t xml:space="preserve">Rec. </w:t>
            </w:r>
            <w:r w:rsidR="00E078D0" w:rsidRPr="00262830">
              <w:rPr>
                <w:rFonts w:asciiTheme="minorHAnsi" w:hAnsiTheme="minorHAnsi"/>
                <w:sz w:val="20"/>
                <w:szCs w:val="20"/>
              </w:rPr>
              <w:t>16</w:t>
            </w:r>
            <w:r w:rsidR="00D74C22" w:rsidRPr="00262830">
              <w:rPr>
                <w:rFonts w:asciiTheme="minorHAnsi" w:hAnsiTheme="minorHAnsi"/>
                <w:sz w:val="20"/>
                <w:szCs w:val="20"/>
              </w:rPr>
              <w:t>-</w:t>
            </w:r>
            <w:r w:rsidRPr="00262830">
              <w:rPr>
                <w:rFonts w:asciiTheme="minorHAnsi" w:hAnsiTheme="minorHAnsi"/>
                <w:sz w:val="20"/>
                <w:szCs w:val="20"/>
              </w:rPr>
              <w:t>14 ;</w:t>
            </w:r>
            <w:r w:rsidR="00E078D0" w:rsidRPr="00262830">
              <w:rPr>
                <w:rFonts w:asciiTheme="minorHAnsi" w:hAnsiTheme="minorHAnsi"/>
                <w:sz w:val="20"/>
                <w:szCs w:val="20"/>
              </w:rPr>
              <w:t xml:space="preserve"> </w:t>
            </w:r>
            <w:r w:rsidR="000245DE" w:rsidRPr="00262830">
              <w:rPr>
                <w:rFonts w:asciiTheme="minorHAnsi" w:hAnsiTheme="minorHAnsi"/>
                <w:sz w:val="20"/>
                <w:szCs w:val="20"/>
              </w:rPr>
              <w:t xml:space="preserve">Rec. </w:t>
            </w:r>
            <w:r w:rsidR="008E0CE3" w:rsidRPr="00262830">
              <w:rPr>
                <w:rFonts w:asciiTheme="minorHAnsi" w:hAnsiTheme="minorHAnsi"/>
                <w:sz w:val="20"/>
                <w:szCs w:val="20"/>
              </w:rPr>
              <w:t xml:space="preserve">Rec. </w:t>
            </w:r>
            <w:r w:rsidR="00E078D0" w:rsidRPr="00262830">
              <w:rPr>
                <w:rFonts w:asciiTheme="minorHAnsi" w:hAnsiTheme="minorHAnsi"/>
                <w:sz w:val="20"/>
                <w:szCs w:val="20"/>
              </w:rPr>
              <w:t>19</w:t>
            </w:r>
            <w:r w:rsidR="000245DE" w:rsidRPr="00262830">
              <w:rPr>
                <w:rFonts w:asciiTheme="minorHAnsi" w:hAnsiTheme="minorHAnsi"/>
                <w:sz w:val="20"/>
                <w:szCs w:val="20"/>
              </w:rPr>
              <w:t>-</w:t>
            </w:r>
            <w:r w:rsidR="00E078D0" w:rsidRPr="00262830">
              <w:rPr>
                <w:rFonts w:asciiTheme="minorHAnsi" w:hAnsiTheme="minorHAnsi"/>
                <w:sz w:val="20"/>
                <w:szCs w:val="20"/>
              </w:rPr>
              <w:t xml:space="preserve">10 et </w:t>
            </w:r>
            <w:r w:rsidR="000245DE" w:rsidRPr="00262830">
              <w:rPr>
                <w:rFonts w:asciiTheme="minorHAnsi" w:hAnsiTheme="minorHAnsi"/>
                <w:sz w:val="20"/>
                <w:szCs w:val="20"/>
              </w:rPr>
              <w:t xml:space="preserve">Rec. </w:t>
            </w:r>
            <w:r w:rsidR="00E078D0" w:rsidRPr="00262830">
              <w:rPr>
                <w:rFonts w:asciiTheme="minorHAnsi" w:hAnsiTheme="minorHAnsi"/>
                <w:sz w:val="20"/>
                <w:szCs w:val="20"/>
              </w:rPr>
              <w:t>24</w:t>
            </w:r>
            <w:r w:rsidR="000245DE" w:rsidRPr="00262830">
              <w:rPr>
                <w:rFonts w:asciiTheme="minorHAnsi" w:hAnsiTheme="minorHAnsi"/>
                <w:sz w:val="20"/>
                <w:szCs w:val="20"/>
              </w:rPr>
              <w:t>-</w:t>
            </w:r>
            <w:r w:rsidR="00E078D0" w:rsidRPr="00262830">
              <w:rPr>
                <w:rFonts w:asciiTheme="minorHAnsi" w:hAnsiTheme="minorHAnsi"/>
                <w:sz w:val="20"/>
                <w:szCs w:val="20"/>
              </w:rPr>
              <w:t xml:space="preserve">14 concernant la sécurité des </w:t>
            </w:r>
            <w:r w:rsidRPr="00262830">
              <w:rPr>
                <w:rFonts w:asciiTheme="minorHAnsi" w:hAnsiTheme="minorHAnsi"/>
                <w:sz w:val="20"/>
                <w:szCs w:val="20"/>
              </w:rPr>
              <w:t>observateurs</w:t>
            </w:r>
            <w:r w:rsidR="00E078D0" w:rsidRPr="00262830">
              <w:rPr>
                <w:rFonts w:asciiTheme="minorHAnsi" w:hAnsiTheme="minorHAnsi"/>
                <w:sz w:val="20"/>
                <w:szCs w:val="20"/>
              </w:rPr>
              <w:t>).</w:t>
            </w:r>
          </w:p>
        </w:tc>
        <w:tc>
          <w:tcPr>
            <w:tcW w:w="3827" w:type="dxa"/>
            <w:hideMark/>
          </w:tcPr>
          <w:p w14:paraId="653FA45A" w14:textId="59EC7CF4"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COC_318/2024 (</w:t>
            </w:r>
            <w:r w:rsidR="008E0CE3" w:rsidRPr="00262830">
              <w:rPr>
                <w:rFonts w:asciiTheme="minorHAnsi" w:hAnsiTheme="minorHAnsi"/>
                <w:sz w:val="20"/>
                <w:szCs w:val="20"/>
              </w:rPr>
              <w:t>informations résumées</w:t>
            </w:r>
            <w:r w:rsidRPr="00262830">
              <w:rPr>
                <w:rFonts w:asciiTheme="minorHAnsi" w:hAnsiTheme="minorHAnsi"/>
                <w:sz w:val="20"/>
                <w:szCs w:val="20"/>
              </w:rPr>
              <w:t xml:space="preserve"> sur les programmes d’observateurs scientifiques)</w:t>
            </w:r>
          </w:p>
          <w:p w14:paraId="5590FB9E" w14:textId="7A702D7F"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 xml:space="preserve">Les résumés annuels de la couverture </w:t>
            </w:r>
            <w:r w:rsidR="008E0CE3" w:rsidRPr="00262830">
              <w:rPr>
                <w:rFonts w:asciiTheme="minorHAnsi" w:hAnsiTheme="minorHAnsi"/>
                <w:sz w:val="20"/>
                <w:szCs w:val="20"/>
              </w:rPr>
              <w:t>d</w:t>
            </w:r>
            <w:r w:rsidRPr="00262830">
              <w:rPr>
                <w:rFonts w:asciiTheme="minorHAnsi" w:hAnsiTheme="minorHAnsi"/>
                <w:sz w:val="20"/>
                <w:szCs w:val="20"/>
              </w:rPr>
              <w:t>es observateurs (% de couverture par flott</w:t>
            </w:r>
            <w:r w:rsidR="00325CCA" w:rsidRPr="00262830">
              <w:rPr>
                <w:rFonts w:asciiTheme="minorHAnsi" w:hAnsiTheme="minorHAnsi"/>
                <w:sz w:val="20"/>
                <w:szCs w:val="20"/>
              </w:rPr>
              <w:t>ill</w:t>
            </w:r>
            <w:r w:rsidRPr="00262830">
              <w:rPr>
                <w:rFonts w:asciiTheme="minorHAnsi" w:hAnsiTheme="minorHAnsi"/>
                <w:sz w:val="20"/>
                <w:szCs w:val="20"/>
              </w:rPr>
              <w:t>e, par engin et par pêcherie); données d</w:t>
            </w:r>
            <w:r w:rsidR="009E367F" w:rsidRPr="00262830">
              <w:rPr>
                <w:rFonts w:asciiTheme="minorHAnsi" w:hAnsiTheme="minorHAnsi"/>
                <w:sz w:val="20"/>
                <w:szCs w:val="20"/>
              </w:rPr>
              <w:t>’</w:t>
            </w:r>
            <w:r w:rsidR="008E0CE3" w:rsidRPr="00262830">
              <w:rPr>
                <w:rFonts w:asciiTheme="minorHAnsi" w:hAnsiTheme="minorHAnsi"/>
                <w:sz w:val="20"/>
                <w:szCs w:val="20"/>
              </w:rPr>
              <w:t>observateurs</w:t>
            </w:r>
            <w:r w:rsidRPr="00262830">
              <w:rPr>
                <w:rFonts w:asciiTheme="minorHAnsi" w:hAnsiTheme="minorHAnsi"/>
                <w:sz w:val="20"/>
                <w:szCs w:val="20"/>
              </w:rPr>
              <w:t xml:space="preserve"> soumises au </w:t>
            </w:r>
            <w:r w:rsidR="00325CCA" w:rsidRPr="00262830">
              <w:rPr>
                <w:rFonts w:asciiTheme="minorHAnsi" w:hAnsiTheme="minorHAnsi"/>
                <w:sz w:val="20"/>
                <w:szCs w:val="20"/>
              </w:rPr>
              <w:t>S</w:t>
            </w:r>
            <w:r w:rsidRPr="00262830">
              <w:rPr>
                <w:rFonts w:asciiTheme="minorHAnsi" w:hAnsiTheme="minorHAnsi"/>
                <w:sz w:val="20"/>
                <w:szCs w:val="20"/>
              </w:rPr>
              <w:t xml:space="preserve">ecrétariat/au SCRS. </w:t>
            </w:r>
          </w:p>
        </w:tc>
        <w:tc>
          <w:tcPr>
            <w:tcW w:w="2977" w:type="dxa"/>
          </w:tcPr>
          <w:p w14:paraId="3611BDF5" w14:textId="77777777"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Document indiquant le nombre de navires actifs dans chaque pêcherie réglementée et le nombre de navires couverts par des observateurs (voir exemple à l’annexe 1)</w:t>
            </w:r>
          </w:p>
        </w:tc>
      </w:tr>
      <w:tr w:rsidR="002B6C43" w:rsidRPr="00262830" w14:paraId="576F867D" w14:textId="77777777">
        <w:tc>
          <w:tcPr>
            <w:tcW w:w="456" w:type="dxa"/>
            <w:hideMark/>
          </w:tcPr>
          <w:p w14:paraId="641F4681" w14:textId="77777777" w:rsidR="002B6C43" w:rsidRPr="00262830" w:rsidRDefault="00E078D0">
            <w:pPr>
              <w:pStyle w:val="P68B1DB1-Normal7"/>
              <w:jc w:val="right"/>
              <w:rPr>
                <w:rFonts w:asciiTheme="minorHAnsi" w:hAnsiTheme="minorHAnsi"/>
                <w:sz w:val="20"/>
                <w:szCs w:val="20"/>
              </w:rPr>
            </w:pPr>
            <w:r w:rsidRPr="00262830">
              <w:rPr>
                <w:rFonts w:asciiTheme="minorHAnsi" w:hAnsiTheme="minorHAnsi"/>
                <w:sz w:val="20"/>
                <w:szCs w:val="20"/>
              </w:rPr>
              <w:t>3</w:t>
            </w:r>
          </w:p>
        </w:tc>
        <w:tc>
          <w:tcPr>
            <w:tcW w:w="2771" w:type="dxa"/>
            <w:hideMark/>
          </w:tcPr>
          <w:p w14:paraId="1EE0B7AE" w14:textId="77777777" w:rsidR="002B6C43" w:rsidRPr="00262830" w:rsidRDefault="00E078D0">
            <w:pPr>
              <w:pStyle w:val="P68B1DB1-Normal5"/>
              <w:rPr>
                <w:rFonts w:asciiTheme="minorHAnsi" w:hAnsiTheme="minorHAnsi"/>
                <w:sz w:val="20"/>
                <w:szCs w:val="20"/>
              </w:rPr>
            </w:pPr>
            <w:r w:rsidRPr="00262830">
              <w:rPr>
                <w:rFonts w:asciiTheme="minorHAnsi" w:hAnsiTheme="minorHAnsi"/>
                <w:sz w:val="20"/>
                <w:szCs w:val="20"/>
              </w:rPr>
              <w:t>Conformité du système de surveillance des navires (VMS) (couverture, anomalies)</w:t>
            </w:r>
          </w:p>
        </w:tc>
        <w:tc>
          <w:tcPr>
            <w:tcW w:w="3402" w:type="dxa"/>
            <w:hideMark/>
          </w:tcPr>
          <w:p w14:paraId="2DF34882" w14:textId="1A74C08A"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R</w:t>
            </w:r>
            <w:r w:rsidR="005219B0" w:rsidRPr="00262830">
              <w:rPr>
                <w:rFonts w:asciiTheme="minorHAnsi" w:hAnsiTheme="minorHAnsi"/>
                <w:sz w:val="20"/>
                <w:szCs w:val="20"/>
              </w:rPr>
              <w:t>ec</w:t>
            </w:r>
            <w:r w:rsidRPr="00262830">
              <w:rPr>
                <w:rFonts w:asciiTheme="minorHAnsi" w:hAnsiTheme="minorHAnsi"/>
                <w:sz w:val="20"/>
                <w:szCs w:val="20"/>
              </w:rPr>
              <w:t>. 18-10</w:t>
            </w:r>
            <w:r w:rsidR="00325CCA" w:rsidRPr="00262830">
              <w:rPr>
                <w:rFonts w:asciiTheme="minorHAnsi" w:hAnsiTheme="minorHAnsi"/>
                <w:sz w:val="20"/>
                <w:szCs w:val="20"/>
              </w:rPr>
              <w:t>.</w:t>
            </w:r>
            <w:r w:rsidRPr="00262830">
              <w:rPr>
                <w:rFonts w:asciiTheme="minorHAnsi" w:hAnsiTheme="minorHAnsi"/>
                <w:sz w:val="20"/>
                <w:szCs w:val="20"/>
              </w:rPr>
              <w:t xml:space="preserve"> Normes minimales pour le VMS (et Rec. 21-16 pour le</w:t>
            </w:r>
            <w:r w:rsidR="008E0CE3" w:rsidRPr="00262830">
              <w:rPr>
                <w:rFonts w:asciiTheme="minorHAnsi" w:hAnsiTheme="minorHAnsi"/>
                <w:sz w:val="20"/>
                <w:szCs w:val="20"/>
              </w:rPr>
              <w:t xml:space="preserve"> D/F</w:t>
            </w:r>
            <w:r w:rsidRPr="00262830">
              <w:rPr>
                <w:rFonts w:asciiTheme="minorHAnsi" w:hAnsiTheme="minorHAnsi"/>
                <w:sz w:val="20"/>
                <w:szCs w:val="20"/>
              </w:rPr>
              <w:t xml:space="preserve"> VMS </w:t>
            </w:r>
            <w:r w:rsidR="008E0CE3" w:rsidRPr="00262830">
              <w:rPr>
                <w:rFonts w:asciiTheme="minorHAnsi" w:hAnsiTheme="minorHAnsi"/>
                <w:sz w:val="20"/>
                <w:szCs w:val="20"/>
              </w:rPr>
              <w:t xml:space="preserve">pour le thon </w:t>
            </w:r>
            <w:r w:rsidRPr="00262830">
              <w:rPr>
                <w:rFonts w:asciiTheme="minorHAnsi" w:hAnsiTheme="minorHAnsi"/>
                <w:sz w:val="20"/>
                <w:szCs w:val="20"/>
              </w:rPr>
              <w:t xml:space="preserve">rouge). </w:t>
            </w:r>
          </w:p>
        </w:tc>
        <w:tc>
          <w:tcPr>
            <w:tcW w:w="3827" w:type="dxa"/>
            <w:hideMark/>
          </w:tcPr>
          <w:p w14:paraId="693162D7" w14:textId="2A4FD988" w:rsidR="002B6C43" w:rsidRPr="00262830" w:rsidRDefault="00FF6FEB" w:rsidP="00FF6FEB">
            <w:pPr>
              <w:pStyle w:val="P68B1DB1-Normal7"/>
              <w:rPr>
                <w:rFonts w:asciiTheme="minorHAnsi" w:hAnsiTheme="minorHAnsi"/>
                <w:sz w:val="20"/>
                <w:szCs w:val="20"/>
              </w:rPr>
            </w:pPr>
            <w:r w:rsidRPr="00262830">
              <w:rPr>
                <w:rFonts w:asciiTheme="minorHAnsi" w:hAnsiTheme="minorHAnsi"/>
                <w:sz w:val="20"/>
                <w:szCs w:val="20"/>
              </w:rPr>
              <w:t>R</w:t>
            </w:r>
            <w:r w:rsidR="00E078D0" w:rsidRPr="00262830">
              <w:rPr>
                <w:rFonts w:asciiTheme="minorHAnsi" w:hAnsiTheme="minorHAnsi"/>
                <w:sz w:val="20"/>
                <w:szCs w:val="20"/>
              </w:rPr>
              <w:t xml:space="preserve">ésumés des anomalies </w:t>
            </w:r>
            <w:r w:rsidRPr="00262830">
              <w:rPr>
                <w:rFonts w:asciiTheme="minorHAnsi" w:hAnsiTheme="minorHAnsi"/>
                <w:sz w:val="20"/>
                <w:szCs w:val="20"/>
              </w:rPr>
              <w:t>par le S</w:t>
            </w:r>
            <w:r w:rsidR="00E078D0" w:rsidRPr="00262830">
              <w:rPr>
                <w:rFonts w:asciiTheme="minorHAnsi" w:hAnsiTheme="minorHAnsi"/>
                <w:sz w:val="20"/>
                <w:szCs w:val="20"/>
              </w:rPr>
              <w:t>ecrétariat</w:t>
            </w:r>
            <w:r w:rsidRPr="00262830">
              <w:rPr>
                <w:rFonts w:asciiTheme="minorHAnsi" w:hAnsiTheme="minorHAnsi"/>
                <w:sz w:val="20"/>
                <w:szCs w:val="20"/>
              </w:rPr>
              <w:t> </w:t>
            </w:r>
            <w:r w:rsidR="00E078D0" w:rsidRPr="00262830">
              <w:rPr>
                <w:rFonts w:asciiTheme="minorHAnsi" w:hAnsiTheme="minorHAnsi"/>
                <w:sz w:val="20"/>
                <w:szCs w:val="20"/>
              </w:rPr>
              <w:t xml:space="preserve">; Correspondance sur les irrégularités </w:t>
            </w:r>
            <w:r w:rsidR="008E0CE3" w:rsidRPr="00262830">
              <w:rPr>
                <w:rFonts w:asciiTheme="minorHAnsi" w:hAnsiTheme="minorHAnsi"/>
                <w:sz w:val="20"/>
                <w:szCs w:val="20"/>
              </w:rPr>
              <w:t xml:space="preserve">du </w:t>
            </w:r>
            <w:r w:rsidR="00E078D0" w:rsidRPr="00262830">
              <w:rPr>
                <w:rFonts w:asciiTheme="minorHAnsi" w:hAnsiTheme="minorHAnsi"/>
                <w:sz w:val="20"/>
                <w:szCs w:val="20"/>
              </w:rPr>
              <w:t>VMS et les enquêtes par</w:t>
            </w:r>
            <w:r w:rsidR="008E0CE3" w:rsidRPr="00262830">
              <w:rPr>
                <w:rFonts w:asciiTheme="minorHAnsi" w:hAnsiTheme="minorHAnsi"/>
                <w:sz w:val="20"/>
                <w:szCs w:val="20"/>
              </w:rPr>
              <w:t xml:space="preserve"> </w:t>
            </w:r>
            <w:r w:rsidR="00AF611D" w:rsidRPr="00AF611D">
              <w:rPr>
                <w:rFonts w:asciiTheme="minorHAnsi" w:hAnsiTheme="minorHAnsi"/>
                <w:sz w:val="20"/>
                <w:szCs w:val="20"/>
                <w:u w:val="single"/>
              </w:rPr>
              <w:t>la CPC</w:t>
            </w:r>
            <w:r w:rsidR="00E078D0" w:rsidRPr="00262830">
              <w:rPr>
                <w:rFonts w:asciiTheme="minorHAnsi" w:hAnsiTheme="minorHAnsi"/>
                <w:sz w:val="20"/>
                <w:szCs w:val="20"/>
              </w:rPr>
              <w:t xml:space="preserve"> du pavillon.</w:t>
            </w:r>
          </w:p>
        </w:tc>
        <w:tc>
          <w:tcPr>
            <w:tcW w:w="2977" w:type="dxa"/>
          </w:tcPr>
          <w:p w14:paraId="26A9B41D" w14:textId="77777777" w:rsidR="002B6C43" w:rsidRPr="00262830" w:rsidRDefault="002B6C43">
            <w:pPr>
              <w:rPr>
                <w:rFonts w:eastAsia="Times New Roman" w:cs="Times New Roman"/>
                <w:sz w:val="20"/>
                <w:szCs w:val="20"/>
              </w:rPr>
            </w:pPr>
          </w:p>
        </w:tc>
      </w:tr>
      <w:tr w:rsidR="002B6C43" w:rsidRPr="00262830" w14:paraId="15E3E715" w14:textId="77777777">
        <w:tc>
          <w:tcPr>
            <w:tcW w:w="456" w:type="dxa"/>
            <w:hideMark/>
          </w:tcPr>
          <w:p w14:paraId="6C874DF6" w14:textId="77777777" w:rsidR="002B6C43" w:rsidRPr="00262830" w:rsidRDefault="00E078D0">
            <w:pPr>
              <w:pStyle w:val="P68B1DB1-Normal7"/>
              <w:jc w:val="right"/>
              <w:rPr>
                <w:rFonts w:asciiTheme="minorHAnsi" w:hAnsiTheme="minorHAnsi"/>
                <w:sz w:val="20"/>
                <w:szCs w:val="20"/>
              </w:rPr>
            </w:pPr>
            <w:r w:rsidRPr="00262830">
              <w:rPr>
                <w:rFonts w:asciiTheme="minorHAnsi" w:hAnsiTheme="minorHAnsi"/>
                <w:sz w:val="20"/>
                <w:szCs w:val="20"/>
              </w:rPr>
              <w:lastRenderedPageBreak/>
              <w:t>4</w:t>
            </w:r>
          </w:p>
        </w:tc>
        <w:tc>
          <w:tcPr>
            <w:tcW w:w="2771" w:type="dxa"/>
            <w:hideMark/>
          </w:tcPr>
          <w:p w14:paraId="1DC6CD6E" w14:textId="4CAE10AB" w:rsidR="002B6C43" w:rsidRPr="00262830" w:rsidRDefault="00E078D0">
            <w:pPr>
              <w:pStyle w:val="P68B1DB1-Normal5"/>
              <w:rPr>
                <w:rFonts w:asciiTheme="minorHAnsi" w:hAnsiTheme="minorHAnsi"/>
                <w:sz w:val="20"/>
                <w:szCs w:val="20"/>
              </w:rPr>
            </w:pPr>
            <w:r w:rsidRPr="00262830">
              <w:rPr>
                <w:rFonts w:asciiTheme="minorHAnsi" w:hAnsiTheme="minorHAnsi"/>
                <w:sz w:val="20"/>
                <w:szCs w:val="20"/>
              </w:rPr>
              <w:t xml:space="preserve">Registre des navires autorisés/listes des navires actifs de </w:t>
            </w:r>
            <w:r w:rsidR="00585DD3" w:rsidRPr="00262830">
              <w:rPr>
                <w:rFonts w:asciiTheme="minorHAnsi" w:hAnsiTheme="minorHAnsi"/>
                <w:sz w:val="20"/>
                <w:szCs w:val="20"/>
              </w:rPr>
              <w:t>l’ICCAT</w:t>
            </w:r>
          </w:p>
        </w:tc>
        <w:tc>
          <w:tcPr>
            <w:tcW w:w="3402" w:type="dxa"/>
            <w:hideMark/>
          </w:tcPr>
          <w:p w14:paraId="6EC3C090" w14:textId="0B654256" w:rsidR="002B6C43" w:rsidRPr="00262830" w:rsidRDefault="009B4411">
            <w:pPr>
              <w:pStyle w:val="P68B1DB1-Normal7"/>
              <w:rPr>
                <w:rFonts w:asciiTheme="minorHAnsi" w:hAnsiTheme="minorHAnsi"/>
                <w:sz w:val="20"/>
                <w:szCs w:val="20"/>
              </w:rPr>
            </w:pPr>
            <w:r w:rsidRPr="00262830">
              <w:rPr>
                <w:rFonts w:asciiTheme="minorHAnsi" w:hAnsiTheme="minorHAnsi"/>
                <w:sz w:val="20"/>
                <w:szCs w:val="20"/>
              </w:rPr>
              <w:t xml:space="preserve">Recs. </w:t>
            </w:r>
            <w:r w:rsidR="00E078D0" w:rsidRPr="00262830">
              <w:rPr>
                <w:rFonts w:asciiTheme="minorHAnsi" w:hAnsiTheme="minorHAnsi"/>
                <w:sz w:val="20"/>
                <w:szCs w:val="20"/>
              </w:rPr>
              <w:t xml:space="preserve">établissant le registre </w:t>
            </w:r>
            <w:r w:rsidR="00FF6FEB" w:rsidRPr="00262830">
              <w:rPr>
                <w:rFonts w:asciiTheme="minorHAnsi" w:hAnsiTheme="minorHAnsi"/>
                <w:sz w:val="20"/>
                <w:szCs w:val="20"/>
              </w:rPr>
              <w:t>ICCAT</w:t>
            </w:r>
            <w:r w:rsidR="00E078D0" w:rsidRPr="00262830">
              <w:rPr>
                <w:rFonts w:asciiTheme="minorHAnsi" w:hAnsiTheme="minorHAnsi"/>
                <w:sz w:val="20"/>
                <w:szCs w:val="20"/>
              </w:rPr>
              <w:t xml:space="preserve"> des navires et </w:t>
            </w:r>
            <w:r w:rsidRPr="00262830">
              <w:rPr>
                <w:rFonts w:asciiTheme="minorHAnsi" w:hAnsiTheme="minorHAnsi"/>
                <w:sz w:val="20"/>
                <w:szCs w:val="20"/>
              </w:rPr>
              <w:t>Recs.</w:t>
            </w:r>
            <w:r w:rsidR="00E078D0" w:rsidRPr="00262830">
              <w:rPr>
                <w:rFonts w:asciiTheme="minorHAnsi" w:hAnsiTheme="minorHAnsi"/>
                <w:sz w:val="20"/>
                <w:szCs w:val="20"/>
              </w:rPr>
              <w:t xml:space="preserve"> dans le cadre de mesures spécifiques </w:t>
            </w:r>
            <w:r w:rsidR="003E510E" w:rsidRPr="00262830">
              <w:rPr>
                <w:rFonts w:asciiTheme="minorHAnsi" w:hAnsiTheme="minorHAnsi"/>
                <w:sz w:val="20"/>
                <w:szCs w:val="20"/>
              </w:rPr>
              <w:t>aux</w:t>
            </w:r>
            <w:r w:rsidR="00E078D0" w:rsidRPr="00262830">
              <w:rPr>
                <w:rFonts w:asciiTheme="minorHAnsi" w:hAnsiTheme="minorHAnsi"/>
                <w:sz w:val="20"/>
                <w:szCs w:val="20"/>
              </w:rPr>
              <w:t xml:space="preserve"> espèce</w:t>
            </w:r>
            <w:r w:rsidR="003E510E" w:rsidRPr="00262830">
              <w:rPr>
                <w:rFonts w:asciiTheme="minorHAnsi" w:hAnsiTheme="minorHAnsi"/>
                <w:sz w:val="20"/>
                <w:szCs w:val="20"/>
              </w:rPr>
              <w:t>s</w:t>
            </w:r>
            <w:r w:rsidR="00E078D0" w:rsidRPr="00262830">
              <w:rPr>
                <w:rFonts w:asciiTheme="minorHAnsi" w:hAnsiTheme="minorHAnsi"/>
                <w:sz w:val="20"/>
                <w:szCs w:val="20"/>
              </w:rPr>
              <w:t xml:space="preserve"> </w:t>
            </w:r>
            <w:r w:rsidR="00D35C0A" w:rsidRPr="00262830">
              <w:rPr>
                <w:rFonts w:asciiTheme="minorHAnsi" w:hAnsiTheme="minorHAnsi"/>
                <w:sz w:val="20"/>
                <w:szCs w:val="20"/>
              </w:rPr>
              <w:t>exigeant</w:t>
            </w:r>
            <w:r w:rsidR="00E078D0" w:rsidRPr="00262830">
              <w:rPr>
                <w:rFonts w:asciiTheme="minorHAnsi" w:hAnsiTheme="minorHAnsi"/>
                <w:sz w:val="20"/>
                <w:szCs w:val="20"/>
              </w:rPr>
              <w:t xml:space="preserve"> la notification des navires autorisés (par exemple, les dispositions relatives au th</w:t>
            </w:r>
            <w:r w:rsidRPr="00262830">
              <w:rPr>
                <w:rFonts w:asciiTheme="minorHAnsi" w:hAnsiTheme="minorHAnsi"/>
                <w:sz w:val="20"/>
                <w:szCs w:val="20"/>
              </w:rPr>
              <w:t>onidés</w:t>
            </w:r>
            <w:r w:rsidR="00E078D0" w:rsidRPr="00262830">
              <w:rPr>
                <w:rFonts w:asciiTheme="minorHAnsi" w:hAnsiTheme="minorHAnsi"/>
                <w:sz w:val="20"/>
                <w:szCs w:val="20"/>
              </w:rPr>
              <w:t xml:space="preserve"> tropica</w:t>
            </w:r>
            <w:r w:rsidRPr="00262830">
              <w:rPr>
                <w:rFonts w:asciiTheme="minorHAnsi" w:hAnsiTheme="minorHAnsi"/>
                <w:sz w:val="20"/>
                <w:szCs w:val="20"/>
              </w:rPr>
              <w:t>ux</w:t>
            </w:r>
            <w:r w:rsidR="00E078D0" w:rsidRPr="00262830">
              <w:rPr>
                <w:rFonts w:asciiTheme="minorHAnsi" w:hAnsiTheme="minorHAnsi"/>
                <w:sz w:val="20"/>
                <w:szCs w:val="20"/>
              </w:rPr>
              <w:t xml:space="preserve">). </w:t>
            </w:r>
          </w:p>
        </w:tc>
        <w:tc>
          <w:tcPr>
            <w:tcW w:w="3827" w:type="dxa"/>
            <w:hideMark/>
          </w:tcPr>
          <w:p w14:paraId="66BF38B7" w14:textId="711E693B" w:rsidR="002B6C43" w:rsidRPr="00262830" w:rsidRDefault="007D2D15">
            <w:pPr>
              <w:pStyle w:val="P68B1DB1-Normal7"/>
              <w:rPr>
                <w:rFonts w:asciiTheme="minorHAnsi" w:hAnsiTheme="minorHAnsi"/>
                <w:sz w:val="20"/>
                <w:szCs w:val="20"/>
              </w:rPr>
            </w:pPr>
            <w:r w:rsidRPr="00262830">
              <w:rPr>
                <w:rFonts w:asciiTheme="minorHAnsi" w:hAnsiTheme="minorHAnsi"/>
                <w:sz w:val="20"/>
                <w:szCs w:val="20"/>
              </w:rPr>
              <w:t>R</w:t>
            </w:r>
            <w:r w:rsidR="00E078D0" w:rsidRPr="00262830">
              <w:rPr>
                <w:rFonts w:asciiTheme="minorHAnsi" w:hAnsiTheme="minorHAnsi"/>
                <w:sz w:val="20"/>
                <w:szCs w:val="20"/>
              </w:rPr>
              <w:t xml:space="preserve">egistre </w:t>
            </w:r>
            <w:r w:rsidRPr="00262830">
              <w:rPr>
                <w:rFonts w:asciiTheme="minorHAnsi" w:hAnsiTheme="minorHAnsi"/>
                <w:sz w:val="20"/>
                <w:szCs w:val="20"/>
              </w:rPr>
              <w:t xml:space="preserve">ICCAT </w:t>
            </w:r>
            <w:r w:rsidR="00E078D0" w:rsidRPr="00262830">
              <w:rPr>
                <w:rFonts w:asciiTheme="minorHAnsi" w:hAnsiTheme="minorHAnsi"/>
                <w:sz w:val="20"/>
                <w:szCs w:val="20"/>
              </w:rPr>
              <w:t xml:space="preserve">publié par le </w:t>
            </w:r>
            <w:r w:rsidRPr="00262830">
              <w:rPr>
                <w:rFonts w:asciiTheme="minorHAnsi" w:hAnsiTheme="minorHAnsi"/>
                <w:sz w:val="20"/>
                <w:szCs w:val="20"/>
              </w:rPr>
              <w:t>S</w:t>
            </w:r>
            <w:r w:rsidR="00E078D0" w:rsidRPr="00262830">
              <w:rPr>
                <w:rFonts w:asciiTheme="minorHAnsi" w:hAnsiTheme="minorHAnsi"/>
                <w:sz w:val="20"/>
                <w:szCs w:val="20"/>
              </w:rPr>
              <w:t>ecrétariat et la liste des «</w:t>
            </w:r>
            <w:r w:rsidR="00075DE4" w:rsidRPr="00262830">
              <w:rPr>
                <w:rFonts w:asciiTheme="minorHAnsi" w:hAnsiTheme="minorHAnsi"/>
                <w:sz w:val="20"/>
                <w:szCs w:val="20"/>
              </w:rPr>
              <w:t xml:space="preserve"> </w:t>
            </w:r>
            <w:r w:rsidR="00E078D0" w:rsidRPr="00262830">
              <w:rPr>
                <w:rFonts w:asciiTheme="minorHAnsi" w:hAnsiTheme="minorHAnsi"/>
                <w:sz w:val="20"/>
                <w:szCs w:val="20"/>
              </w:rPr>
              <w:t>navires qui ont pêché</w:t>
            </w:r>
            <w:r w:rsidR="00075DE4" w:rsidRPr="00262830">
              <w:rPr>
                <w:rFonts w:asciiTheme="minorHAnsi" w:hAnsiTheme="minorHAnsi"/>
                <w:sz w:val="20"/>
                <w:szCs w:val="20"/>
              </w:rPr>
              <w:t xml:space="preserve"> </w:t>
            </w:r>
            <w:r w:rsidR="00E078D0" w:rsidRPr="00262830">
              <w:rPr>
                <w:rFonts w:asciiTheme="minorHAnsi" w:hAnsiTheme="minorHAnsi"/>
                <w:sz w:val="20"/>
                <w:szCs w:val="20"/>
              </w:rPr>
              <w:t>»</w:t>
            </w:r>
            <w:r w:rsidR="009E367F" w:rsidRPr="00262830">
              <w:rPr>
                <w:rFonts w:asciiTheme="minorHAnsi" w:hAnsiTheme="minorHAnsi"/>
                <w:sz w:val="20"/>
                <w:szCs w:val="20"/>
              </w:rPr>
              <w:t xml:space="preserve"> </w:t>
            </w:r>
            <w:r w:rsidR="00E078D0" w:rsidRPr="00262830">
              <w:rPr>
                <w:rFonts w:asciiTheme="minorHAnsi" w:hAnsiTheme="minorHAnsi"/>
                <w:sz w:val="20"/>
                <w:szCs w:val="20"/>
              </w:rPr>
              <w:t xml:space="preserve">; Preuve d’une notification en temps </w:t>
            </w:r>
            <w:r w:rsidR="00075610" w:rsidRPr="00262830">
              <w:rPr>
                <w:rFonts w:asciiTheme="minorHAnsi" w:hAnsiTheme="minorHAnsi"/>
                <w:sz w:val="20"/>
                <w:szCs w:val="20"/>
              </w:rPr>
              <w:t>voulu</w:t>
            </w:r>
            <w:r w:rsidR="00E078D0" w:rsidRPr="00262830">
              <w:rPr>
                <w:rFonts w:asciiTheme="minorHAnsi" w:hAnsiTheme="minorHAnsi"/>
                <w:sz w:val="20"/>
                <w:szCs w:val="20"/>
              </w:rPr>
              <w:t xml:space="preserve"> pour les ajouts/suppressions. </w:t>
            </w:r>
          </w:p>
        </w:tc>
        <w:tc>
          <w:tcPr>
            <w:tcW w:w="2977" w:type="dxa"/>
          </w:tcPr>
          <w:p w14:paraId="571E33A9" w14:textId="1C727BAA"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 xml:space="preserve">Document récapitulatif indiquant le nombre de navires autorisés par chaque </w:t>
            </w:r>
            <w:r w:rsidR="000D3815" w:rsidRPr="00262830">
              <w:rPr>
                <w:rFonts w:asciiTheme="minorHAnsi" w:hAnsiTheme="minorHAnsi"/>
                <w:sz w:val="20"/>
                <w:szCs w:val="20"/>
              </w:rPr>
              <w:t>CPC</w:t>
            </w:r>
            <w:r w:rsidRPr="00262830">
              <w:rPr>
                <w:rFonts w:asciiTheme="minorHAnsi" w:hAnsiTheme="minorHAnsi"/>
                <w:sz w:val="20"/>
                <w:szCs w:val="20"/>
              </w:rPr>
              <w:t xml:space="preserve"> et pêcherie</w:t>
            </w:r>
            <w:r w:rsidR="008E0CE3" w:rsidRPr="00262830">
              <w:rPr>
                <w:rFonts w:asciiTheme="minorHAnsi" w:hAnsiTheme="minorHAnsi"/>
                <w:sz w:val="20"/>
                <w:szCs w:val="20"/>
              </w:rPr>
              <w:t>.</w:t>
            </w:r>
          </w:p>
          <w:p w14:paraId="50EFAD9B" w14:textId="1B774216"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 xml:space="preserve">Les </w:t>
            </w:r>
            <w:r w:rsidR="000D3815" w:rsidRPr="00262830">
              <w:rPr>
                <w:rFonts w:asciiTheme="minorHAnsi" w:hAnsiTheme="minorHAnsi"/>
                <w:sz w:val="20"/>
                <w:szCs w:val="20"/>
              </w:rPr>
              <w:t>CPC</w:t>
            </w:r>
            <w:r w:rsidRPr="00262830">
              <w:rPr>
                <w:rFonts w:asciiTheme="minorHAnsi" w:hAnsiTheme="minorHAnsi"/>
                <w:sz w:val="20"/>
                <w:szCs w:val="20"/>
              </w:rPr>
              <w:t xml:space="preserve"> mettent </w:t>
            </w:r>
            <w:r w:rsidR="00075610" w:rsidRPr="00262830">
              <w:rPr>
                <w:rFonts w:asciiTheme="minorHAnsi" w:hAnsiTheme="minorHAnsi"/>
                <w:sz w:val="20"/>
                <w:szCs w:val="20"/>
              </w:rPr>
              <w:t xml:space="preserve">correctement </w:t>
            </w:r>
            <w:r w:rsidRPr="00262830">
              <w:rPr>
                <w:rFonts w:asciiTheme="minorHAnsi" w:hAnsiTheme="minorHAnsi"/>
                <w:sz w:val="20"/>
                <w:szCs w:val="20"/>
              </w:rPr>
              <w:t xml:space="preserve">à jour le registre (notification en temps utile à </w:t>
            </w:r>
            <w:r w:rsidR="00585DD3" w:rsidRPr="00262830">
              <w:rPr>
                <w:rFonts w:asciiTheme="minorHAnsi" w:hAnsiTheme="minorHAnsi"/>
                <w:sz w:val="20"/>
                <w:szCs w:val="20"/>
              </w:rPr>
              <w:t>l’ICCAT</w:t>
            </w:r>
            <w:r w:rsidRPr="00262830">
              <w:rPr>
                <w:rFonts w:asciiTheme="minorHAnsi" w:hAnsiTheme="minorHAnsi"/>
                <w:sz w:val="20"/>
                <w:szCs w:val="20"/>
              </w:rPr>
              <w:t>)</w:t>
            </w:r>
          </w:p>
        </w:tc>
      </w:tr>
      <w:tr w:rsidR="002B6C43" w:rsidRPr="00262830" w14:paraId="44812D85" w14:textId="77777777">
        <w:tc>
          <w:tcPr>
            <w:tcW w:w="456" w:type="dxa"/>
          </w:tcPr>
          <w:p w14:paraId="78538AA9" w14:textId="518872CA" w:rsidR="002B6C43" w:rsidRPr="00262830" w:rsidRDefault="00E078D0">
            <w:pPr>
              <w:pStyle w:val="P68B1DB1-Normal7"/>
              <w:jc w:val="right"/>
              <w:rPr>
                <w:rFonts w:asciiTheme="minorHAnsi" w:hAnsiTheme="minorHAnsi"/>
                <w:sz w:val="20"/>
                <w:szCs w:val="20"/>
              </w:rPr>
            </w:pPr>
            <w:r w:rsidRPr="00262830">
              <w:rPr>
                <w:rFonts w:asciiTheme="minorHAnsi" w:hAnsiTheme="minorHAnsi"/>
                <w:sz w:val="20"/>
                <w:szCs w:val="20"/>
              </w:rPr>
              <w:t>5</w:t>
            </w:r>
          </w:p>
        </w:tc>
        <w:tc>
          <w:tcPr>
            <w:tcW w:w="2771" w:type="dxa"/>
          </w:tcPr>
          <w:p w14:paraId="37FB5E25" w14:textId="7AA8A192" w:rsidR="002B6C43" w:rsidRPr="00262830" w:rsidRDefault="00E078D0">
            <w:pPr>
              <w:pStyle w:val="P68B1DB1-Normal5"/>
              <w:rPr>
                <w:rFonts w:asciiTheme="minorHAnsi" w:hAnsiTheme="minorHAnsi"/>
                <w:bCs/>
                <w:sz w:val="20"/>
                <w:szCs w:val="20"/>
              </w:rPr>
            </w:pPr>
            <w:r w:rsidRPr="00262830">
              <w:rPr>
                <w:rFonts w:asciiTheme="minorHAnsi" w:hAnsiTheme="minorHAnsi"/>
                <w:sz w:val="20"/>
                <w:szCs w:val="20"/>
              </w:rPr>
              <w:t>Gestion de la capacité de pêche</w:t>
            </w:r>
          </w:p>
        </w:tc>
        <w:tc>
          <w:tcPr>
            <w:tcW w:w="3402" w:type="dxa"/>
          </w:tcPr>
          <w:p w14:paraId="415788E2" w14:textId="28B56309"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R</w:t>
            </w:r>
            <w:r w:rsidR="009B4411" w:rsidRPr="00262830">
              <w:rPr>
                <w:rFonts w:asciiTheme="minorHAnsi" w:hAnsiTheme="minorHAnsi"/>
                <w:sz w:val="20"/>
                <w:szCs w:val="20"/>
              </w:rPr>
              <w:t>ec</w:t>
            </w:r>
            <w:r w:rsidRPr="00262830">
              <w:rPr>
                <w:rFonts w:asciiTheme="minorHAnsi" w:hAnsiTheme="minorHAnsi"/>
                <w:sz w:val="20"/>
                <w:szCs w:val="20"/>
              </w:rPr>
              <w:t>. 24-01 (t</w:t>
            </w:r>
            <w:r w:rsidR="009B4411" w:rsidRPr="00262830">
              <w:rPr>
                <w:rFonts w:asciiTheme="minorHAnsi" w:hAnsiTheme="minorHAnsi"/>
                <w:sz w:val="20"/>
                <w:szCs w:val="20"/>
              </w:rPr>
              <w:t>honidés</w:t>
            </w:r>
            <w:r w:rsidRPr="00262830">
              <w:rPr>
                <w:rFonts w:asciiTheme="minorHAnsi" w:hAnsiTheme="minorHAnsi"/>
                <w:sz w:val="20"/>
                <w:szCs w:val="20"/>
              </w:rPr>
              <w:t xml:space="preserve"> tropicaux)</w:t>
            </w:r>
            <w:r w:rsidR="00785A84" w:rsidRPr="00262830">
              <w:rPr>
                <w:rFonts w:asciiTheme="minorHAnsi" w:hAnsiTheme="minorHAnsi"/>
                <w:sz w:val="20"/>
                <w:szCs w:val="20"/>
              </w:rPr>
              <w:t> </w:t>
            </w:r>
            <w:r w:rsidRPr="00262830">
              <w:rPr>
                <w:rFonts w:asciiTheme="minorHAnsi" w:hAnsiTheme="minorHAnsi"/>
                <w:sz w:val="20"/>
                <w:szCs w:val="20"/>
              </w:rPr>
              <w:t>; R</w:t>
            </w:r>
            <w:r w:rsidR="009B4411" w:rsidRPr="00262830">
              <w:rPr>
                <w:rFonts w:asciiTheme="minorHAnsi" w:hAnsiTheme="minorHAnsi"/>
                <w:sz w:val="20"/>
                <w:szCs w:val="20"/>
              </w:rPr>
              <w:t>ec</w:t>
            </w:r>
            <w:r w:rsidRPr="00262830">
              <w:rPr>
                <w:rFonts w:asciiTheme="minorHAnsi" w:hAnsiTheme="minorHAnsi"/>
                <w:sz w:val="20"/>
                <w:szCs w:val="20"/>
              </w:rPr>
              <w:t>. 22-04 (espadon)</w:t>
            </w:r>
            <w:r w:rsidR="00785A84" w:rsidRPr="00262830">
              <w:t> </w:t>
            </w:r>
            <w:r w:rsidRPr="00262830">
              <w:rPr>
                <w:rFonts w:asciiTheme="minorHAnsi" w:hAnsiTheme="minorHAnsi"/>
                <w:sz w:val="20"/>
                <w:szCs w:val="20"/>
              </w:rPr>
              <w:t>; R</w:t>
            </w:r>
            <w:r w:rsidR="009B4411" w:rsidRPr="00262830">
              <w:rPr>
                <w:rFonts w:asciiTheme="minorHAnsi" w:hAnsiTheme="minorHAnsi"/>
                <w:sz w:val="20"/>
                <w:szCs w:val="20"/>
              </w:rPr>
              <w:t>ec.</w:t>
            </w:r>
            <w:r w:rsidRPr="00262830">
              <w:rPr>
                <w:rFonts w:asciiTheme="minorHAnsi" w:hAnsiTheme="minorHAnsi"/>
                <w:sz w:val="20"/>
                <w:szCs w:val="20"/>
              </w:rPr>
              <w:t xml:space="preserve"> 24-05 (thon rouge)</w:t>
            </w:r>
          </w:p>
        </w:tc>
        <w:tc>
          <w:tcPr>
            <w:tcW w:w="3827" w:type="dxa"/>
          </w:tcPr>
          <w:p w14:paraId="562B1EF7" w14:textId="77777777" w:rsidR="002B6C43" w:rsidRPr="00262830" w:rsidRDefault="002B6C43">
            <w:pPr>
              <w:rPr>
                <w:rFonts w:eastAsia="Times New Roman" w:cs="Times New Roman"/>
                <w:sz w:val="20"/>
                <w:szCs w:val="20"/>
              </w:rPr>
            </w:pPr>
          </w:p>
        </w:tc>
        <w:tc>
          <w:tcPr>
            <w:tcW w:w="2977" w:type="dxa"/>
          </w:tcPr>
          <w:p w14:paraId="0F62CE2C" w14:textId="77777777"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Nombre de navires autorisés conformément aux quotas/limites de capture.</w:t>
            </w:r>
          </w:p>
          <w:p w14:paraId="4F4FD3E7" w14:textId="6FAE0E36"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 xml:space="preserve">Registre des </w:t>
            </w:r>
            <w:r w:rsidR="008E0CE3" w:rsidRPr="00262830">
              <w:rPr>
                <w:rFonts w:asciiTheme="minorHAnsi" w:hAnsiTheme="minorHAnsi"/>
                <w:sz w:val="20"/>
                <w:szCs w:val="20"/>
              </w:rPr>
              <w:t>flottilles</w:t>
            </w:r>
            <w:r w:rsidRPr="00262830">
              <w:rPr>
                <w:rFonts w:asciiTheme="minorHAnsi" w:hAnsiTheme="minorHAnsi"/>
                <w:sz w:val="20"/>
                <w:szCs w:val="20"/>
              </w:rPr>
              <w:t xml:space="preserve">, liste des navires </w:t>
            </w:r>
            <w:r w:rsidR="008E0CE3" w:rsidRPr="00262830">
              <w:rPr>
                <w:rFonts w:asciiTheme="minorHAnsi" w:hAnsiTheme="minorHAnsi"/>
                <w:sz w:val="20"/>
                <w:szCs w:val="20"/>
              </w:rPr>
              <w:t>actifs</w:t>
            </w:r>
          </w:p>
        </w:tc>
      </w:tr>
      <w:tr w:rsidR="002B6C43" w:rsidRPr="00262830" w14:paraId="0AF14473" w14:textId="77777777">
        <w:tc>
          <w:tcPr>
            <w:tcW w:w="456" w:type="dxa"/>
            <w:hideMark/>
          </w:tcPr>
          <w:p w14:paraId="6324C6F3" w14:textId="77777777" w:rsidR="002B6C43" w:rsidRPr="00262830" w:rsidRDefault="00E078D0">
            <w:pPr>
              <w:pStyle w:val="P68B1DB1-Normal7"/>
              <w:jc w:val="right"/>
              <w:rPr>
                <w:rFonts w:asciiTheme="minorHAnsi" w:hAnsiTheme="minorHAnsi"/>
                <w:sz w:val="20"/>
                <w:szCs w:val="20"/>
              </w:rPr>
            </w:pPr>
            <w:r w:rsidRPr="00262830">
              <w:rPr>
                <w:rFonts w:asciiTheme="minorHAnsi" w:hAnsiTheme="minorHAnsi"/>
                <w:sz w:val="20"/>
                <w:szCs w:val="20"/>
              </w:rPr>
              <w:t>6</w:t>
            </w:r>
          </w:p>
        </w:tc>
        <w:tc>
          <w:tcPr>
            <w:tcW w:w="2771" w:type="dxa"/>
            <w:hideMark/>
          </w:tcPr>
          <w:p w14:paraId="14F14C92" w14:textId="77777777" w:rsidR="002B6C43" w:rsidRPr="00262830" w:rsidRDefault="00E078D0">
            <w:pPr>
              <w:pStyle w:val="P68B1DB1-Normal5"/>
              <w:rPr>
                <w:rFonts w:asciiTheme="minorHAnsi" w:hAnsiTheme="minorHAnsi"/>
                <w:sz w:val="20"/>
                <w:szCs w:val="20"/>
              </w:rPr>
            </w:pPr>
            <w:r w:rsidRPr="00262830">
              <w:rPr>
                <w:rFonts w:asciiTheme="minorHAnsi" w:hAnsiTheme="minorHAnsi"/>
                <w:sz w:val="20"/>
                <w:szCs w:val="20"/>
              </w:rPr>
              <w:t>Programmes électroniques de documentation des captures/de documents statistiques (eBCD, CDS, SDP)</w:t>
            </w:r>
          </w:p>
        </w:tc>
        <w:tc>
          <w:tcPr>
            <w:tcW w:w="3402" w:type="dxa"/>
            <w:hideMark/>
          </w:tcPr>
          <w:p w14:paraId="08132CEC" w14:textId="48F21BF5" w:rsidR="002B6C43" w:rsidRPr="00262830" w:rsidRDefault="00971897">
            <w:pPr>
              <w:pStyle w:val="P68B1DB1-Normal7"/>
              <w:rPr>
                <w:rFonts w:asciiTheme="minorHAnsi" w:hAnsiTheme="minorHAnsi"/>
                <w:sz w:val="20"/>
                <w:szCs w:val="20"/>
              </w:rPr>
            </w:pPr>
            <w:r w:rsidRPr="00262830">
              <w:rPr>
                <w:rFonts w:asciiTheme="minorHAnsi" w:hAnsiTheme="minorHAnsi"/>
                <w:sz w:val="20"/>
                <w:szCs w:val="20"/>
              </w:rPr>
              <w:t xml:space="preserve">Recs sur </w:t>
            </w:r>
            <w:r w:rsidR="00E078D0" w:rsidRPr="00262830">
              <w:rPr>
                <w:rFonts w:asciiTheme="minorHAnsi" w:hAnsiTheme="minorHAnsi"/>
                <w:sz w:val="20"/>
                <w:szCs w:val="20"/>
              </w:rPr>
              <w:t xml:space="preserve">eBCD/CDS </w:t>
            </w:r>
            <w:r w:rsidR="009B4411" w:rsidRPr="00262830">
              <w:rPr>
                <w:rFonts w:asciiTheme="minorHAnsi" w:hAnsiTheme="minorHAnsi"/>
                <w:sz w:val="20"/>
                <w:szCs w:val="20"/>
              </w:rPr>
              <w:t xml:space="preserve">thon </w:t>
            </w:r>
            <w:r w:rsidR="00E078D0" w:rsidRPr="00262830">
              <w:rPr>
                <w:rFonts w:asciiTheme="minorHAnsi" w:hAnsiTheme="minorHAnsi"/>
                <w:sz w:val="20"/>
                <w:szCs w:val="20"/>
              </w:rPr>
              <w:t xml:space="preserve">rouge </w:t>
            </w:r>
            <w:r w:rsidR="00A723F4" w:rsidRPr="00262830">
              <w:rPr>
                <w:rFonts w:asciiTheme="minorHAnsi" w:hAnsiTheme="minorHAnsi"/>
                <w:sz w:val="20"/>
                <w:szCs w:val="20"/>
              </w:rPr>
              <w:t>et SDP</w:t>
            </w:r>
            <w:r w:rsidR="00E078D0" w:rsidRPr="00262830">
              <w:rPr>
                <w:rFonts w:asciiTheme="minorHAnsi" w:hAnsiTheme="minorHAnsi"/>
                <w:sz w:val="20"/>
                <w:szCs w:val="20"/>
              </w:rPr>
              <w:t xml:space="preserve"> plus larges (</w:t>
            </w:r>
            <w:r w:rsidR="00A723F4" w:rsidRPr="00262830">
              <w:rPr>
                <w:rFonts w:asciiTheme="minorHAnsi" w:hAnsiTheme="minorHAnsi"/>
                <w:sz w:val="20"/>
                <w:szCs w:val="20"/>
              </w:rPr>
              <w:t xml:space="preserve">Recs. </w:t>
            </w:r>
            <w:r w:rsidR="00E078D0" w:rsidRPr="00262830">
              <w:rPr>
                <w:rFonts w:asciiTheme="minorHAnsi" w:hAnsiTheme="minorHAnsi"/>
                <w:sz w:val="20"/>
                <w:szCs w:val="20"/>
              </w:rPr>
              <w:t xml:space="preserve">eBCD et </w:t>
            </w:r>
            <w:r w:rsidR="009B4411" w:rsidRPr="00262830">
              <w:rPr>
                <w:rFonts w:asciiTheme="minorHAnsi" w:hAnsiTheme="minorHAnsi"/>
                <w:sz w:val="20"/>
                <w:szCs w:val="20"/>
              </w:rPr>
              <w:t>Rec.</w:t>
            </w:r>
            <w:r w:rsidR="00F602A8" w:rsidRPr="00262830">
              <w:rPr>
                <w:rFonts w:asciiTheme="minorHAnsi" w:hAnsiTheme="minorHAnsi"/>
                <w:sz w:val="20"/>
                <w:szCs w:val="20"/>
              </w:rPr>
              <w:t> </w:t>
            </w:r>
            <w:r w:rsidR="00E078D0" w:rsidRPr="00262830">
              <w:rPr>
                <w:rFonts w:asciiTheme="minorHAnsi" w:hAnsiTheme="minorHAnsi"/>
                <w:sz w:val="20"/>
                <w:szCs w:val="20"/>
              </w:rPr>
              <w:t xml:space="preserve">23-21, </w:t>
            </w:r>
            <w:r w:rsidR="009B4411" w:rsidRPr="00262830">
              <w:rPr>
                <w:rFonts w:asciiTheme="minorHAnsi" w:hAnsiTheme="minorHAnsi"/>
                <w:sz w:val="20"/>
                <w:szCs w:val="20"/>
              </w:rPr>
              <w:t xml:space="preserve">Rec. </w:t>
            </w:r>
            <w:r w:rsidR="00E078D0" w:rsidRPr="00262830">
              <w:rPr>
                <w:rFonts w:asciiTheme="minorHAnsi" w:hAnsiTheme="minorHAnsi"/>
                <w:sz w:val="20"/>
                <w:szCs w:val="20"/>
              </w:rPr>
              <w:t xml:space="preserve">24-16, etc.). </w:t>
            </w:r>
          </w:p>
        </w:tc>
        <w:tc>
          <w:tcPr>
            <w:tcW w:w="3827" w:type="dxa"/>
            <w:hideMark/>
          </w:tcPr>
          <w:p w14:paraId="62AF0FD5" w14:textId="77777777" w:rsidR="002B6C43" w:rsidRPr="00262830" w:rsidRDefault="002B6C43">
            <w:pPr>
              <w:rPr>
                <w:rFonts w:eastAsia="Times New Roman" w:cs="Times New Roman"/>
                <w:sz w:val="20"/>
                <w:szCs w:val="20"/>
              </w:rPr>
            </w:pPr>
          </w:p>
        </w:tc>
        <w:tc>
          <w:tcPr>
            <w:tcW w:w="2977" w:type="dxa"/>
          </w:tcPr>
          <w:p w14:paraId="70FF3DC3" w14:textId="77777777" w:rsidR="002B6C43" w:rsidRPr="00262830" w:rsidRDefault="002B6C43">
            <w:pPr>
              <w:rPr>
                <w:rFonts w:eastAsia="Times New Roman" w:cs="Times New Roman"/>
                <w:sz w:val="20"/>
                <w:szCs w:val="20"/>
              </w:rPr>
            </w:pPr>
          </w:p>
        </w:tc>
      </w:tr>
      <w:tr w:rsidR="002B6C43" w:rsidRPr="00262830" w14:paraId="27C10E50" w14:textId="77777777">
        <w:tc>
          <w:tcPr>
            <w:tcW w:w="456" w:type="dxa"/>
            <w:hideMark/>
          </w:tcPr>
          <w:p w14:paraId="64DBA4C0" w14:textId="77777777" w:rsidR="002B6C43" w:rsidRPr="00262830" w:rsidRDefault="00E078D0">
            <w:pPr>
              <w:pStyle w:val="P68B1DB1-Normal7"/>
              <w:jc w:val="right"/>
              <w:rPr>
                <w:rFonts w:asciiTheme="minorHAnsi" w:hAnsiTheme="minorHAnsi"/>
                <w:sz w:val="20"/>
                <w:szCs w:val="20"/>
              </w:rPr>
            </w:pPr>
            <w:r w:rsidRPr="00262830">
              <w:rPr>
                <w:rFonts w:asciiTheme="minorHAnsi" w:hAnsiTheme="minorHAnsi"/>
                <w:sz w:val="20"/>
                <w:szCs w:val="20"/>
              </w:rPr>
              <w:t>7</w:t>
            </w:r>
          </w:p>
        </w:tc>
        <w:tc>
          <w:tcPr>
            <w:tcW w:w="2771" w:type="dxa"/>
            <w:hideMark/>
          </w:tcPr>
          <w:p w14:paraId="594C43B3" w14:textId="0E18C53A" w:rsidR="002B6C43" w:rsidRPr="00262830" w:rsidRDefault="00E078D0">
            <w:pPr>
              <w:pStyle w:val="P68B1DB1-Normal5"/>
              <w:rPr>
                <w:rFonts w:asciiTheme="minorHAnsi" w:hAnsiTheme="minorHAnsi"/>
                <w:sz w:val="20"/>
                <w:szCs w:val="20"/>
              </w:rPr>
            </w:pPr>
            <w:r w:rsidRPr="00262830">
              <w:rPr>
                <w:rFonts w:asciiTheme="minorHAnsi" w:hAnsiTheme="minorHAnsi"/>
                <w:sz w:val="20"/>
                <w:szCs w:val="20"/>
              </w:rPr>
              <w:t xml:space="preserve">Obligations en matière de </w:t>
            </w:r>
            <w:r w:rsidR="00A723F4" w:rsidRPr="00262830">
              <w:rPr>
                <w:rFonts w:asciiTheme="minorHAnsi" w:hAnsiTheme="minorHAnsi"/>
                <w:sz w:val="20"/>
                <w:szCs w:val="20"/>
              </w:rPr>
              <w:t xml:space="preserve">communication des </w:t>
            </w:r>
            <w:r w:rsidRPr="00262830">
              <w:rPr>
                <w:rFonts w:asciiTheme="minorHAnsi" w:hAnsiTheme="minorHAnsi"/>
                <w:sz w:val="20"/>
                <w:szCs w:val="20"/>
              </w:rPr>
              <w:t xml:space="preserve">statistiques (tâche </w:t>
            </w:r>
            <w:r w:rsidR="00F602A8" w:rsidRPr="00262830">
              <w:rPr>
                <w:rFonts w:asciiTheme="minorHAnsi" w:hAnsiTheme="minorHAnsi"/>
                <w:sz w:val="20"/>
                <w:szCs w:val="20"/>
              </w:rPr>
              <w:t>1</w:t>
            </w:r>
            <w:r w:rsidRPr="00262830">
              <w:rPr>
                <w:rFonts w:asciiTheme="minorHAnsi" w:hAnsiTheme="minorHAnsi"/>
                <w:sz w:val="20"/>
                <w:szCs w:val="20"/>
              </w:rPr>
              <w:t>/</w:t>
            </w:r>
            <w:r w:rsidR="00F602A8" w:rsidRPr="00262830">
              <w:rPr>
                <w:rFonts w:asciiTheme="minorHAnsi" w:hAnsiTheme="minorHAnsi"/>
                <w:sz w:val="20"/>
                <w:szCs w:val="20"/>
              </w:rPr>
              <w:t>2</w:t>
            </w:r>
            <w:r w:rsidRPr="00262830">
              <w:rPr>
                <w:rFonts w:asciiTheme="minorHAnsi" w:hAnsiTheme="minorHAnsi"/>
                <w:sz w:val="20"/>
                <w:szCs w:val="20"/>
              </w:rPr>
              <w:t>/</w:t>
            </w:r>
            <w:r w:rsidR="00F602A8" w:rsidRPr="00262830">
              <w:rPr>
                <w:rFonts w:asciiTheme="minorHAnsi" w:hAnsiTheme="minorHAnsi"/>
                <w:sz w:val="20"/>
                <w:szCs w:val="20"/>
              </w:rPr>
              <w:t>3</w:t>
            </w:r>
            <w:r w:rsidRPr="00262830">
              <w:rPr>
                <w:rFonts w:asciiTheme="minorHAnsi" w:hAnsiTheme="minorHAnsi"/>
                <w:sz w:val="20"/>
                <w:szCs w:val="20"/>
              </w:rPr>
              <w:t xml:space="preserve">, échantillonnage portuaire, </w:t>
            </w:r>
            <w:r w:rsidR="00674EB0" w:rsidRPr="00262830">
              <w:rPr>
                <w:rFonts w:asciiTheme="minorHAnsi" w:hAnsiTheme="minorHAnsi"/>
                <w:sz w:val="20"/>
                <w:szCs w:val="20"/>
              </w:rPr>
              <w:t>carnets de pêche</w:t>
            </w:r>
            <w:r w:rsidRPr="00262830">
              <w:rPr>
                <w:rFonts w:asciiTheme="minorHAnsi" w:hAnsiTheme="minorHAnsi"/>
                <w:sz w:val="20"/>
                <w:szCs w:val="20"/>
              </w:rPr>
              <w:t>)</w:t>
            </w:r>
          </w:p>
        </w:tc>
        <w:tc>
          <w:tcPr>
            <w:tcW w:w="3402" w:type="dxa"/>
            <w:hideMark/>
          </w:tcPr>
          <w:p w14:paraId="5DCDFDB9" w14:textId="1D4C49A4" w:rsidR="002B6C43" w:rsidRPr="00262830" w:rsidRDefault="009B4411">
            <w:pPr>
              <w:pStyle w:val="P68B1DB1-Normal7"/>
              <w:rPr>
                <w:rFonts w:asciiTheme="minorHAnsi" w:hAnsiTheme="minorHAnsi"/>
                <w:sz w:val="20"/>
                <w:szCs w:val="20"/>
              </w:rPr>
            </w:pPr>
            <w:r w:rsidRPr="00262830">
              <w:rPr>
                <w:rFonts w:asciiTheme="minorHAnsi" w:hAnsiTheme="minorHAnsi"/>
                <w:sz w:val="20"/>
                <w:szCs w:val="20"/>
              </w:rPr>
              <w:t xml:space="preserve">Recommandations </w:t>
            </w:r>
            <w:r w:rsidR="00E078D0" w:rsidRPr="00262830">
              <w:rPr>
                <w:rFonts w:asciiTheme="minorHAnsi" w:hAnsiTheme="minorHAnsi"/>
                <w:sz w:val="20"/>
                <w:szCs w:val="20"/>
              </w:rPr>
              <w:t>et résolutions sur la soumission des données de la tâche 1/2/3, des programmes d’échantillonnage portuaire et des lignes directrices pour les rapports annuels et les délais de notification (Rec. 05-09, Rec. 18-</w:t>
            </w:r>
            <w:r w:rsidRPr="00262830">
              <w:rPr>
                <w:rFonts w:asciiTheme="minorHAnsi" w:hAnsiTheme="minorHAnsi"/>
                <w:sz w:val="20"/>
                <w:szCs w:val="20"/>
              </w:rPr>
              <w:t>07 ;</w:t>
            </w:r>
            <w:r w:rsidR="00E078D0" w:rsidRPr="00262830">
              <w:rPr>
                <w:rFonts w:asciiTheme="minorHAnsi" w:hAnsiTheme="minorHAnsi"/>
                <w:sz w:val="20"/>
                <w:szCs w:val="20"/>
              </w:rPr>
              <w:t xml:space="preserve"> Orientations de l’IOMS).</w:t>
            </w:r>
          </w:p>
        </w:tc>
        <w:tc>
          <w:tcPr>
            <w:tcW w:w="3827" w:type="dxa"/>
            <w:hideMark/>
          </w:tcPr>
          <w:p w14:paraId="428B77ED" w14:textId="49A07F57"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 xml:space="preserve">Ensembles de données de la tâche </w:t>
            </w:r>
            <w:r w:rsidR="009B4411" w:rsidRPr="00262830">
              <w:rPr>
                <w:rFonts w:asciiTheme="minorHAnsi" w:hAnsiTheme="minorHAnsi"/>
                <w:sz w:val="20"/>
                <w:szCs w:val="20"/>
              </w:rPr>
              <w:t>1</w:t>
            </w:r>
            <w:r w:rsidRPr="00262830">
              <w:rPr>
                <w:rFonts w:asciiTheme="minorHAnsi" w:hAnsiTheme="minorHAnsi"/>
                <w:sz w:val="20"/>
                <w:szCs w:val="20"/>
              </w:rPr>
              <w:t>/</w:t>
            </w:r>
            <w:r w:rsidR="009B4411" w:rsidRPr="00262830">
              <w:rPr>
                <w:rFonts w:asciiTheme="minorHAnsi" w:hAnsiTheme="minorHAnsi"/>
                <w:sz w:val="20"/>
                <w:szCs w:val="20"/>
              </w:rPr>
              <w:t>2</w:t>
            </w:r>
            <w:r w:rsidRPr="00262830">
              <w:rPr>
                <w:rFonts w:asciiTheme="minorHAnsi" w:hAnsiTheme="minorHAnsi"/>
                <w:sz w:val="20"/>
                <w:szCs w:val="20"/>
              </w:rPr>
              <w:t>/</w:t>
            </w:r>
            <w:r w:rsidR="009B4411" w:rsidRPr="00262830">
              <w:rPr>
                <w:rFonts w:asciiTheme="minorHAnsi" w:hAnsiTheme="minorHAnsi"/>
                <w:sz w:val="20"/>
                <w:szCs w:val="20"/>
              </w:rPr>
              <w:t>3</w:t>
            </w:r>
            <w:r w:rsidRPr="00262830">
              <w:rPr>
                <w:rFonts w:asciiTheme="minorHAnsi" w:hAnsiTheme="minorHAnsi"/>
                <w:sz w:val="20"/>
                <w:szCs w:val="20"/>
              </w:rPr>
              <w:t xml:space="preserve"> soumis (fichiers téléchargés au secrétariat/IOMS)</w:t>
            </w:r>
            <w:r w:rsidR="00674EB0" w:rsidRPr="00262830">
              <w:rPr>
                <w:rFonts w:asciiTheme="minorHAnsi" w:hAnsiTheme="minorHAnsi"/>
                <w:sz w:val="20"/>
                <w:szCs w:val="20"/>
              </w:rPr>
              <w:t xml:space="preserve"> </w:t>
            </w:r>
            <w:r w:rsidR="004F12EC" w:rsidRPr="00262830">
              <w:rPr>
                <w:rFonts w:asciiTheme="minorHAnsi" w:hAnsiTheme="minorHAnsi"/>
                <w:sz w:val="20"/>
                <w:szCs w:val="20"/>
              </w:rPr>
              <w:t>; Rapports</w:t>
            </w:r>
            <w:r w:rsidRPr="00262830">
              <w:rPr>
                <w:rFonts w:asciiTheme="minorHAnsi" w:hAnsiTheme="minorHAnsi"/>
                <w:sz w:val="20"/>
                <w:szCs w:val="20"/>
              </w:rPr>
              <w:t xml:space="preserve"> annuels nationaux (partie I/II et </w:t>
            </w:r>
            <w:r w:rsidR="00A723F4" w:rsidRPr="00262830">
              <w:rPr>
                <w:rFonts w:asciiTheme="minorHAnsi" w:hAnsiTheme="minorHAnsi"/>
                <w:sz w:val="20"/>
                <w:szCs w:val="20"/>
              </w:rPr>
              <w:t>appendices</w:t>
            </w:r>
            <w:r w:rsidRPr="00262830">
              <w:rPr>
                <w:rFonts w:asciiTheme="minorHAnsi" w:hAnsiTheme="minorHAnsi"/>
                <w:sz w:val="20"/>
                <w:szCs w:val="20"/>
              </w:rPr>
              <w:t>)</w:t>
            </w:r>
            <w:r w:rsidR="009E367F" w:rsidRPr="00262830">
              <w:rPr>
                <w:rFonts w:asciiTheme="minorHAnsi" w:hAnsiTheme="minorHAnsi"/>
                <w:sz w:val="20"/>
                <w:szCs w:val="20"/>
              </w:rPr>
              <w:t xml:space="preserve"> </w:t>
            </w:r>
            <w:r w:rsidRPr="00262830">
              <w:rPr>
                <w:rFonts w:asciiTheme="minorHAnsi" w:hAnsiTheme="minorHAnsi"/>
                <w:sz w:val="20"/>
                <w:szCs w:val="20"/>
              </w:rPr>
              <w:t>; Rapports d’échantillonnage portuaire</w:t>
            </w:r>
            <w:r w:rsidR="009E367F" w:rsidRPr="00262830">
              <w:rPr>
                <w:rFonts w:asciiTheme="minorHAnsi" w:hAnsiTheme="minorHAnsi"/>
                <w:sz w:val="20"/>
                <w:szCs w:val="20"/>
              </w:rPr>
              <w:t xml:space="preserve"> </w:t>
            </w:r>
            <w:r w:rsidRPr="00262830">
              <w:rPr>
                <w:rFonts w:asciiTheme="minorHAnsi" w:hAnsiTheme="minorHAnsi"/>
                <w:sz w:val="20"/>
                <w:szCs w:val="20"/>
              </w:rPr>
              <w:t xml:space="preserve">; Preuve de l’utilisation des données par le SCRS et de toute lacune constatée. </w:t>
            </w:r>
          </w:p>
        </w:tc>
        <w:tc>
          <w:tcPr>
            <w:tcW w:w="2977" w:type="dxa"/>
          </w:tcPr>
          <w:p w14:paraId="7B849124" w14:textId="77777777" w:rsidR="002B6C43" w:rsidRPr="00262830" w:rsidRDefault="002B6C43">
            <w:pPr>
              <w:rPr>
                <w:rFonts w:eastAsia="Times New Roman" w:cs="Times New Roman"/>
                <w:sz w:val="20"/>
                <w:szCs w:val="20"/>
              </w:rPr>
            </w:pPr>
          </w:p>
        </w:tc>
      </w:tr>
      <w:tr w:rsidR="002B6C43" w:rsidRPr="00262830" w14:paraId="228D7EEA" w14:textId="77777777">
        <w:tc>
          <w:tcPr>
            <w:tcW w:w="456" w:type="dxa"/>
          </w:tcPr>
          <w:p w14:paraId="7A3C6B2C" w14:textId="35B7E42F" w:rsidR="002B6C43" w:rsidRPr="00262830" w:rsidRDefault="00E078D0">
            <w:pPr>
              <w:pStyle w:val="P68B1DB1-Normal7"/>
              <w:jc w:val="right"/>
              <w:rPr>
                <w:rFonts w:asciiTheme="minorHAnsi" w:hAnsiTheme="minorHAnsi"/>
                <w:sz w:val="20"/>
                <w:szCs w:val="20"/>
              </w:rPr>
            </w:pPr>
            <w:r w:rsidRPr="00262830">
              <w:rPr>
                <w:rFonts w:asciiTheme="minorHAnsi" w:hAnsiTheme="minorHAnsi"/>
                <w:sz w:val="20"/>
                <w:szCs w:val="20"/>
              </w:rPr>
              <w:t>8</w:t>
            </w:r>
          </w:p>
        </w:tc>
        <w:tc>
          <w:tcPr>
            <w:tcW w:w="2771" w:type="dxa"/>
          </w:tcPr>
          <w:p w14:paraId="7AE86DAB" w14:textId="71D80640" w:rsidR="002B6C43" w:rsidRPr="00262830" w:rsidRDefault="00E078D0">
            <w:pPr>
              <w:pStyle w:val="P68B1DB1-Normal5"/>
              <w:rPr>
                <w:rFonts w:asciiTheme="minorHAnsi" w:hAnsiTheme="minorHAnsi"/>
                <w:bCs/>
                <w:sz w:val="20"/>
                <w:szCs w:val="20"/>
              </w:rPr>
            </w:pPr>
            <w:r w:rsidRPr="00262830">
              <w:rPr>
                <w:rFonts w:asciiTheme="minorHAnsi" w:hAnsiTheme="minorHAnsi"/>
                <w:sz w:val="20"/>
                <w:szCs w:val="20"/>
              </w:rPr>
              <w:t>Captures accessoires &amp;</w:t>
            </w:r>
            <w:r w:rsidR="00A723F4" w:rsidRPr="00262830">
              <w:rPr>
                <w:rFonts w:asciiTheme="minorHAnsi" w:hAnsiTheme="minorHAnsi"/>
                <w:sz w:val="20"/>
                <w:szCs w:val="20"/>
              </w:rPr>
              <w:t xml:space="preserve"> rejets</w:t>
            </w:r>
          </w:p>
        </w:tc>
        <w:tc>
          <w:tcPr>
            <w:tcW w:w="3402" w:type="dxa"/>
          </w:tcPr>
          <w:p w14:paraId="41C42E89" w14:textId="62CB5816"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R</w:t>
            </w:r>
            <w:r w:rsidR="009B4411" w:rsidRPr="00262830">
              <w:rPr>
                <w:rFonts w:asciiTheme="minorHAnsi" w:hAnsiTheme="minorHAnsi"/>
                <w:sz w:val="20"/>
                <w:szCs w:val="20"/>
              </w:rPr>
              <w:t>ec</w:t>
            </w:r>
            <w:r w:rsidRPr="00262830">
              <w:rPr>
                <w:rFonts w:asciiTheme="minorHAnsi" w:hAnsiTheme="minorHAnsi"/>
                <w:sz w:val="20"/>
                <w:szCs w:val="20"/>
              </w:rPr>
              <w:t>. 22-12 (tortues marines</w:t>
            </w:r>
            <w:r w:rsidR="009B4411" w:rsidRPr="00262830">
              <w:rPr>
                <w:rFonts w:asciiTheme="minorHAnsi" w:hAnsiTheme="minorHAnsi"/>
                <w:sz w:val="20"/>
                <w:szCs w:val="20"/>
              </w:rPr>
              <w:t>) ;</w:t>
            </w:r>
            <w:r w:rsidRPr="00262830">
              <w:rPr>
                <w:rFonts w:asciiTheme="minorHAnsi" w:hAnsiTheme="minorHAnsi"/>
                <w:sz w:val="20"/>
                <w:szCs w:val="20"/>
              </w:rPr>
              <w:t xml:space="preserve"> R</w:t>
            </w:r>
            <w:r w:rsidR="009B4411" w:rsidRPr="00262830">
              <w:rPr>
                <w:rFonts w:asciiTheme="minorHAnsi" w:hAnsiTheme="minorHAnsi"/>
                <w:sz w:val="20"/>
                <w:szCs w:val="20"/>
              </w:rPr>
              <w:t>ec</w:t>
            </w:r>
            <w:r w:rsidRPr="00262830">
              <w:rPr>
                <w:rFonts w:asciiTheme="minorHAnsi" w:hAnsiTheme="minorHAnsi"/>
                <w:sz w:val="20"/>
                <w:szCs w:val="20"/>
              </w:rPr>
              <w:t>.</w:t>
            </w:r>
            <w:r w:rsidR="004F12EC" w:rsidRPr="00262830">
              <w:rPr>
                <w:rFonts w:asciiTheme="minorHAnsi" w:hAnsiTheme="minorHAnsi"/>
                <w:sz w:val="20"/>
                <w:szCs w:val="20"/>
              </w:rPr>
              <w:t> </w:t>
            </w:r>
            <w:r w:rsidRPr="00262830">
              <w:rPr>
                <w:rFonts w:asciiTheme="minorHAnsi" w:hAnsiTheme="minorHAnsi"/>
                <w:sz w:val="20"/>
                <w:szCs w:val="20"/>
              </w:rPr>
              <w:t>07-07 (</w:t>
            </w:r>
            <w:r w:rsidR="009B4411" w:rsidRPr="00262830">
              <w:rPr>
                <w:rFonts w:asciiTheme="minorHAnsi" w:hAnsiTheme="minorHAnsi"/>
                <w:sz w:val="20"/>
                <w:szCs w:val="20"/>
              </w:rPr>
              <w:t>oiseaux de mer</w:t>
            </w:r>
            <w:r w:rsidRPr="00262830">
              <w:rPr>
                <w:rFonts w:asciiTheme="minorHAnsi" w:hAnsiTheme="minorHAnsi"/>
                <w:sz w:val="20"/>
                <w:szCs w:val="20"/>
              </w:rPr>
              <w:t>)</w:t>
            </w:r>
            <w:r w:rsidR="009B4411" w:rsidRPr="00262830">
              <w:rPr>
                <w:rFonts w:asciiTheme="minorHAnsi" w:hAnsiTheme="minorHAnsi"/>
                <w:sz w:val="20"/>
                <w:szCs w:val="20"/>
              </w:rPr>
              <w:t xml:space="preserve"> </w:t>
            </w:r>
            <w:r w:rsidRPr="00262830">
              <w:rPr>
                <w:rFonts w:asciiTheme="minorHAnsi" w:hAnsiTheme="minorHAnsi"/>
                <w:sz w:val="20"/>
                <w:szCs w:val="20"/>
              </w:rPr>
              <w:t>; R</w:t>
            </w:r>
            <w:r w:rsidR="009B4411" w:rsidRPr="00262830">
              <w:rPr>
                <w:rFonts w:asciiTheme="minorHAnsi" w:hAnsiTheme="minorHAnsi"/>
                <w:sz w:val="20"/>
                <w:szCs w:val="20"/>
              </w:rPr>
              <w:t>ec</w:t>
            </w:r>
            <w:r w:rsidRPr="00262830">
              <w:rPr>
                <w:rFonts w:asciiTheme="minorHAnsi" w:hAnsiTheme="minorHAnsi"/>
                <w:sz w:val="20"/>
                <w:szCs w:val="20"/>
              </w:rPr>
              <w:t>. 18-06 (requins)</w:t>
            </w:r>
          </w:p>
        </w:tc>
        <w:tc>
          <w:tcPr>
            <w:tcW w:w="3827" w:type="dxa"/>
          </w:tcPr>
          <w:p w14:paraId="1E3A0986" w14:textId="77777777" w:rsidR="002B6C43" w:rsidRPr="00262830" w:rsidRDefault="002B6C43">
            <w:pPr>
              <w:rPr>
                <w:rFonts w:eastAsia="Times New Roman" w:cs="Times New Roman"/>
                <w:sz w:val="20"/>
                <w:szCs w:val="20"/>
              </w:rPr>
            </w:pPr>
          </w:p>
        </w:tc>
        <w:tc>
          <w:tcPr>
            <w:tcW w:w="2977" w:type="dxa"/>
          </w:tcPr>
          <w:p w14:paraId="3E093254" w14:textId="77777777"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La CPC collecte et soumet des données sur les prises accessoires.</w:t>
            </w:r>
          </w:p>
          <w:p w14:paraId="01DC9111" w14:textId="13487497"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 xml:space="preserve">Dispositifs d’atténuation (crochets circulaires, lignes </w:t>
            </w:r>
            <w:proofErr w:type="spellStart"/>
            <w:r w:rsidRPr="00262830">
              <w:rPr>
                <w:rFonts w:asciiTheme="minorHAnsi" w:hAnsiTheme="minorHAnsi"/>
                <w:sz w:val="20"/>
                <w:szCs w:val="20"/>
              </w:rPr>
              <w:t>tori</w:t>
            </w:r>
            <w:proofErr w:type="spellEnd"/>
            <w:r w:rsidRPr="00262830">
              <w:rPr>
                <w:rFonts w:asciiTheme="minorHAnsi" w:hAnsiTheme="minorHAnsi"/>
                <w:sz w:val="20"/>
                <w:szCs w:val="20"/>
              </w:rPr>
              <w:t>, etc.) utilisés.</w:t>
            </w:r>
          </w:p>
          <w:p w14:paraId="338C25A8" w14:textId="0B5A4BCD"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Taux de rejet du total des captures.</w:t>
            </w:r>
          </w:p>
        </w:tc>
      </w:tr>
      <w:tr w:rsidR="002B6C43" w:rsidRPr="00262830" w14:paraId="61710EE7" w14:textId="77777777">
        <w:tc>
          <w:tcPr>
            <w:tcW w:w="456" w:type="dxa"/>
          </w:tcPr>
          <w:p w14:paraId="344ECCD5" w14:textId="6AB9BE88" w:rsidR="002B6C43" w:rsidRPr="00262830" w:rsidRDefault="00E078D0">
            <w:pPr>
              <w:pStyle w:val="P68B1DB1-Normal7"/>
              <w:jc w:val="right"/>
              <w:rPr>
                <w:rFonts w:asciiTheme="minorHAnsi" w:hAnsiTheme="minorHAnsi"/>
                <w:sz w:val="20"/>
                <w:szCs w:val="20"/>
              </w:rPr>
            </w:pPr>
            <w:r w:rsidRPr="00262830">
              <w:rPr>
                <w:rFonts w:asciiTheme="minorHAnsi" w:hAnsiTheme="minorHAnsi"/>
                <w:sz w:val="20"/>
                <w:szCs w:val="20"/>
              </w:rPr>
              <w:t>9</w:t>
            </w:r>
          </w:p>
        </w:tc>
        <w:tc>
          <w:tcPr>
            <w:tcW w:w="2771" w:type="dxa"/>
          </w:tcPr>
          <w:p w14:paraId="4E14E2F1" w14:textId="3F332CA5" w:rsidR="002B6C43" w:rsidRPr="00262830" w:rsidRDefault="003623CF">
            <w:pPr>
              <w:pStyle w:val="P68B1DB1-Normal5"/>
              <w:rPr>
                <w:rFonts w:asciiTheme="minorHAnsi" w:hAnsiTheme="minorHAnsi"/>
                <w:bCs/>
                <w:sz w:val="20"/>
                <w:szCs w:val="20"/>
              </w:rPr>
            </w:pPr>
            <w:r w:rsidRPr="00262830">
              <w:rPr>
                <w:rFonts w:asciiTheme="minorHAnsi" w:hAnsiTheme="minorHAnsi"/>
                <w:sz w:val="20"/>
                <w:szCs w:val="20"/>
              </w:rPr>
              <w:t>Programme d’inspection</w:t>
            </w:r>
            <w:r w:rsidR="00E078D0" w:rsidRPr="00262830">
              <w:rPr>
                <w:rFonts w:asciiTheme="minorHAnsi" w:hAnsiTheme="minorHAnsi"/>
                <w:sz w:val="20"/>
                <w:szCs w:val="20"/>
              </w:rPr>
              <w:t xml:space="preserve"> </w:t>
            </w:r>
            <w:r w:rsidR="00A723F4" w:rsidRPr="00262830">
              <w:rPr>
                <w:rFonts w:asciiTheme="minorHAnsi" w:hAnsiTheme="minorHAnsi"/>
                <w:sz w:val="20"/>
                <w:szCs w:val="20"/>
              </w:rPr>
              <w:t>international</w:t>
            </w:r>
            <w:r w:rsidRPr="00262830">
              <w:rPr>
                <w:rFonts w:asciiTheme="minorHAnsi" w:hAnsiTheme="minorHAnsi"/>
                <w:sz w:val="20"/>
                <w:szCs w:val="20"/>
              </w:rPr>
              <w:t>e</w:t>
            </w:r>
            <w:r w:rsidR="00A723F4" w:rsidRPr="00262830">
              <w:rPr>
                <w:rFonts w:asciiTheme="minorHAnsi" w:hAnsiTheme="minorHAnsi"/>
                <w:sz w:val="20"/>
                <w:szCs w:val="20"/>
              </w:rPr>
              <w:t xml:space="preserve"> conjoint</w:t>
            </w:r>
            <w:r w:rsidRPr="00262830">
              <w:rPr>
                <w:rFonts w:asciiTheme="minorHAnsi" w:hAnsiTheme="minorHAnsi"/>
                <w:sz w:val="20"/>
                <w:szCs w:val="20"/>
              </w:rPr>
              <w:t>e</w:t>
            </w:r>
          </w:p>
        </w:tc>
        <w:tc>
          <w:tcPr>
            <w:tcW w:w="3402" w:type="dxa"/>
          </w:tcPr>
          <w:p w14:paraId="1253100B" w14:textId="77777777" w:rsidR="002B6C43" w:rsidRPr="00262830" w:rsidRDefault="002B6C43">
            <w:pPr>
              <w:rPr>
                <w:rFonts w:eastAsia="Times New Roman" w:cs="Times New Roman"/>
                <w:sz w:val="20"/>
                <w:szCs w:val="20"/>
              </w:rPr>
            </w:pPr>
          </w:p>
        </w:tc>
        <w:tc>
          <w:tcPr>
            <w:tcW w:w="3827" w:type="dxa"/>
          </w:tcPr>
          <w:p w14:paraId="179B3D55" w14:textId="7DF584D9"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 xml:space="preserve">Appendice 4 (Rapports d’inspection dans le cadre du </w:t>
            </w:r>
            <w:r w:rsidR="003623CF" w:rsidRPr="00262830">
              <w:rPr>
                <w:rFonts w:asciiTheme="minorHAnsi" w:hAnsiTheme="minorHAnsi"/>
                <w:sz w:val="20"/>
                <w:szCs w:val="20"/>
              </w:rPr>
              <w:t xml:space="preserve">programme </w:t>
            </w:r>
            <w:r w:rsidR="00A723F4" w:rsidRPr="00262830">
              <w:rPr>
                <w:rFonts w:asciiTheme="minorHAnsi" w:hAnsiTheme="minorHAnsi"/>
                <w:sz w:val="20"/>
                <w:szCs w:val="20"/>
              </w:rPr>
              <w:t>conjoint</w:t>
            </w:r>
            <w:r w:rsidRPr="00262830">
              <w:rPr>
                <w:rFonts w:asciiTheme="minorHAnsi" w:hAnsiTheme="minorHAnsi"/>
                <w:sz w:val="20"/>
                <w:szCs w:val="20"/>
              </w:rPr>
              <w:t>) &amp;</w:t>
            </w:r>
            <w:r w:rsidR="00075DE4" w:rsidRPr="00262830">
              <w:rPr>
                <w:rFonts w:asciiTheme="minorHAnsi" w:hAnsiTheme="minorHAnsi"/>
                <w:sz w:val="20"/>
                <w:szCs w:val="20"/>
              </w:rPr>
              <w:t xml:space="preserve"> </w:t>
            </w:r>
            <w:r w:rsidRPr="00262830">
              <w:rPr>
                <w:rFonts w:asciiTheme="minorHAnsi" w:hAnsiTheme="minorHAnsi"/>
                <w:sz w:val="20"/>
                <w:szCs w:val="20"/>
              </w:rPr>
              <w:lastRenderedPageBreak/>
              <w:t xml:space="preserve">Addenda (réponses) </w:t>
            </w:r>
            <w:r w:rsidR="00075DE4" w:rsidRPr="00262830">
              <w:rPr>
                <w:rFonts w:asciiTheme="minorHAnsi" w:hAnsiTheme="minorHAnsi"/>
                <w:sz w:val="20"/>
                <w:szCs w:val="20"/>
              </w:rPr>
              <w:t>dans</w:t>
            </w:r>
            <w:r w:rsidRPr="00262830">
              <w:rPr>
                <w:rFonts w:asciiTheme="minorHAnsi" w:hAnsiTheme="minorHAnsi"/>
                <w:sz w:val="20"/>
                <w:szCs w:val="20"/>
              </w:rPr>
              <w:t xml:space="preserve"> COC_303 Appendice 4</w:t>
            </w:r>
          </w:p>
        </w:tc>
        <w:tc>
          <w:tcPr>
            <w:tcW w:w="2977" w:type="dxa"/>
          </w:tcPr>
          <w:p w14:paraId="314FAC07" w14:textId="77777777"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lastRenderedPageBreak/>
              <w:t>Tableau récapitulatif des inspections effectuées et de leurs résultats</w:t>
            </w:r>
          </w:p>
          <w:p w14:paraId="398C965C" w14:textId="5CAA1B26"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lastRenderedPageBreak/>
              <w:t>Suivi donné aux éventuelles infractions signalées</w:t>
            </w:r>
          </w:p>
        </w:tc>
      </w:tr>
      <w:tr w:rsidR="002B6C43" w:rsidRPr="00262830" w14:paraId="6A1F3BFC" w14:textId="77777777">
        <w:tc>
          <w:tcPr>
            <w:tcW w:w="456" w:type="dxa"/>
          </w:tcPr>
          <w:p w14:paraId="495598B2" w14:textId="16628467" w:rsidR="002B6C43" w:rsidRPr="00262830" w:rsidRDefault="00E078D0">
            <w:pPr>
              <w:pStyle w:val="P68B1DB1-Normal7"/>
              <w:jc w:val="right"/>
              <w:rPr>
                <w:rFonts w:asciiTheme="minorHAnsi" w:hAnsiTheme="minorHAnsi"/>
                <w:sz w:val="20"/>
                <w:szCs w:val="20"/>
              </w:rPr>
            </w:pPr>
            <w:r w:rsidRPr="00262830">
              <w:rPr>
                <w:rFonts w:asciiTheme="minorHAnsi" w:hAnsiTheme="minorHAnsi"/>
                <w:sz w:val="20"/>
                <w:szCs w:val="20"/>
              </w:rPr>
              <w:lastRenderedPageBreak/>
              <w:t>10</w:t>
            </w:r>
          </w:p>
        </w:tc>
        <w:tc>
          <w:tcPr>
            <w:tcW w:w="2771" w:type="dxa"/>
          </w:tcPr>
          <w:p w14:paraId="73CFCA44" w14:textId="6CB546D0" w:rsidR="002B6C43" w:rsidRPr="00262830" w:rsidRDefault="00E078D0">
            <w:pPr>
              <w:pStyle w:val="P68B1DB1-Normal5"/>
              <w:rPr>
                <w:rFonts w:asciiTheme="minorHAnsi" w:hAnsiTheme="minorHAnsi"/>
                <w:bCs/>
                <w:sz w:val="20"/>
                <w:szCs w:val="20"/>
              </w:rPr>
            </w:pPr>
            <w:r w:rsidRPr="00262830">
              <w:rPr>
                <w:rFonts w:asciiTheme="minorHAnsi" w:hAnsiTheme="minorHAnsi"/>
                <w:sz w:val="20"/>
                <w:szCs w:val="20"/>
              </w:rPr>
              <w:t>Observateurs (</w:t>
            </w:r>
            <w:r w:rsidR="00246139" w:rsidRPr="00262830">
              <w:rPr>
                <w:rFonts w:asciiTheme="minorHAnsi" w:hAnsiTheme="minorHAnsi"/>
                <w:sz w:val="20"/>
                <w:szCs w:val="20"/>
              </w:rPr>
              <w:t>application</w:t>
            </w:r>
            <w:r w:rsidRPr="00262830">
              <w:rPr>
                <w:rFonts w:asciiTheme="minorHAnsi" w:hAnsiTheme="minorHAnsi"/>
                <w:sz w:val="20"/>
                <w:szCs w:val="20"/>
              </w:rPr>
              <w:t xml:space="preserve">) </w:t>
            </w:r>
            <w:r w:rsidR="00A23873" w:rsidRPr="00262830">
              <w:rPr>
                <w:rFonts w:asciiTheme="minorHAnsi" w:hAnsiTheme="minorHAnsi"/>
                <w:sz w:val="20"/>
                <w:szCs w:val="20"/>
              </w:rPr>
              <w:t>Cas de n</w:t>
            </w:r>
            <w:r w:rsidRPr="00262830">
              <w:rPr>
                <w:rFonts w:asciiTheme="minorHAnsi" w:hAnsiTheme="minorHAnsi"/>
                <w:sz w:val="20"/>
                <w:szCs w:val="20"/>
              </w:rPr>
              <w:t>on-</w:t>
            </w:r>
            <w:r w:rsidR="00A23873" w:rsidRPr="00262830">
              <w:rPr>
                <w:rFonts w:asciiTheme="minorHAnsi" w:hAnsiTheme="minorHAnsi"/>
                <w:sz w:val="20"/>
                <w:szCs w:val="20"/>
              </w:rPr>
              <w:t xml:space="preserve">application </w:t>
            </w:r>
            <w:r w:rsidRPr="00262830">
              <w:rPr>
                <w:rFonts w:asciiTheme="minorHAnsi" w:hAnsiTheme="minorHAnsi"/>
                <w:sz w:val="20"/>
                <w:szCs w:val="20"/>
              </w:rPr>
              <w:t xml:space="preserve">éventuelle signalés par les observateurs régionaux de </w:t>
            </w:r>
            <w:r w:rsidR="00585DD3" w:rsidRPr="00262830">
              <w:rPr>
                <w:rFonts w:asciiTheme="minorHAnsi" w:hAnsiTheme="minorHAnsi"/>
                <w:sz w:val="20"/>
                <w:szCs w:val="20"/>
              </w:rPr>
              <w:t>l’ICCAT</w:t>
            </w:r>
          </w:p>
        </w:tc>
        <w:tc>
          <w:tcPr>
            <w:tcW w:w="3402" w:type="dxa"/>
          </w:tcPr>
          <w:p w14:paraId="058F783C" w14:textId="77777777" w:rsidR="002B6C43" w:rsidRPr="00262830" w:rsidRDefault="002B6C43">
            <w:pPr>
              <w:rPr>
                <w:rFonts w:eastAsia="Times New Roman" w:cs="Times New Roman"/>
                <w:sz w:val="20"/>
                <w:szCs w:val="20"/>
              </w:rPr>
            </w:pPr>
          </w:p>
        </w:tc>
        <w:tc>
          <w:tcPr>
            <w:tcW w:w="3827" w:type="dxa"/>
          </w:tcPr>
          <w:p w14:paraId="37057958" w14:textId="1140D37C"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COC-305</w:t>
            </w:r>
          </w:p>
          <w:p w14:paraId="6C044E11" w14:textId="77777777" w:rsidR="002B6C43" w:rsidRPr="00262830" w:rsidRDefault="002B6C43">
            <w:pPr>
              <w:jc w:val="center"/>
              <w:rPr>
                <w:rFonts w:eastAsia="Times New Roman" w:cs="Times New Roman"/>
                <w:sz w:val="20"/>
                <w:szCs w:val="20"/>
              </w:rPr>
            </w:pPr>
          </w:p>
        </w:tc>
        <w:tc>
          <w:tcPr>
            <w:tcW w:w="2977" w:type="dxa"/>
          </w:tcPr>
          <w:p w14:paraId="7C33CBD2" w14:textId="77777777" w:rsidR="002B6C43" w:rsidRPr="00262830" w:rsidRDefault="002B6C43">
            <w:pPr>
              <w:rPr>
                <w:rFonts w:eastAsia="Times New Roman" w:cs="Times New Roman"/>
                <w:sz w:val="20"/>
                <w:szCs w:val="20"/>
              </w:rPr>
            </w:pPr>
          </w:p>
        </w:tc>
      </w:tr>
      <w:tr w:rsidR="002B6C43" w:rsidRPr="00262830" w14:paraId="43AF1FB9" w14:textId="77777777">
        <w:tc>
          <w:tcPr>
            <w:tcW w:w="456" w:type="dxa"/>
            <w:hideMark/>
          </w:tcPr>
          <w:p w14:paraId="4B4D26C3" w14:textId="5E19979E" w:rsidR="002B6C43" w:rsidRPr="00262830" w:rsidRDefault="00E078D0">
            <w:pPr>
              <w:pStyle w:val="P68B1DB1-Normal7"/>
              <w:jc w:val="right"/>
              <w:rPr>
                <w:rFonts w:asciiTheme="minorHAnsi" w:hAnsiTheme="minorHAnsi"/>
                <w:sz w:val="20"/>
                <w:szCs w:val="20"/>
              </w:rPr>
            </w:pPr>
            <w:r w:rsidRPr="00262830">
              <w:rPr>
                <w:rFonts w:asciiTheme="minorHAnsi" w:hAnsiTheme="minorHAnsi"/>
                <w:sz w:val="20"/>
                <w:szCs w:val="20"/>
              </w:rPr>
              <w:t>11</w:t>
            </w:r>
          </w:p>
        </w:tc>
        <w:tc>
          <w:tcPr>
            <w:tcW w:w="2771" w:type="dxa"/>
            <w:hideMark/>
          </w:tcPr>
          <w:p w14:paraId="69D4D61D" w14:textId="77777777" w:rsidR="002B6C43" w:rsidRPr="00262830" w:rsidRDefault="00E078D0">
            <w:pPr>
              <w:pStyle w:val="P68B1DB1-Normal5"/>
              <w:rPr>
                <w:rFonts w:asciiTheme="minorHAnsi" w:hAnsiTheme="minorHAnsi"/>
                <w:sz w:val="20"/>
                <w:szCs w:val="20"/>
              </w:rPr>
            </w:pPr>
            <w:r w:rsidRPr="00262830">
              <w:rPr>
                <w:rFonts w:asciiTheme="minorHAnsi" w:hAnsiTheme="minorHAnsi"/>
                <w:sz w:val="20"/>
                <w:szCs w:val="20"/>
              </w:rPr>
              <w:t xml:space="preserve">Transbordement </w:t>
            </w:r>
          </w:p>
        </w:tc>
        <w:tc>
          <w:tcPr>
            <w:tcW w:w="3402" w:type="dxa"/>
            <w:hideMark/>
          </w:tcPr>
          <w:p w14:paraId="2526F71F" w14:textId="7A83BC7A" w:rsidR="002B6C43" w:rsidRPr="00262830" w:rsidRDefault="00BE61A8">
            <w:pPr>
              <w:pStyle w:val="P68B1DB1-Normal7"/>
              <w:rPr>
                <w:rFonts w:asciiTheme="minorHAnsi" w:hAnsiTheme="minorHAnsi"/>
                <w:sz w:val="20"/>
                <w:szCs w:val="20"/>
              </w:rPr>
            </w:pPr>
            <w:r w:rsidRPr="00262830">
              <w:rPr>
                <w:rFonts w:asciiTheme="minorHAnsi" w:hAnsiTheme="minorHAnsi"/>
                <w:sz w:val="20"/>
                <w:szCs w:val="20"/>
              </w:rPr>
              <w:t xml:space="preserve">Recs. </w:t>
            </w:r>
            <w:r w:rsidR="00E078D0" w:rsidRPr="00262830">
              <w:rPr>
                <w:rFonts w:asciiTheme="minorHAnsi" w:hAnsiTheme="minorHAnsi"/>
                <w:sz w:val="20"/>
                <w:szCs w:val="20"/>
              </w:rPr>
              <w:t xml:space="preserve">sur le transbordement (y compris les amendements récents, par exemple les amendements </w:t>
            </w:r>
            <w:r w:rsidRPr="00262830">
              <w:rPr>
                <w:rFonts w:asciiTheme="minorHAnsi" w:hAnsiTheme="minorHAnsi"/>
                <w:sz w:val="20"/>
                <w:szCs w:val="20"/>
              </w:rPr>
              <w:t xml:space="preserve">de la Rec. </w:t>
            </w:r>
            <w:r w:rsidR="00E078D0" w:rsidRPr="00262830">
              <w:rPr>
                <w:rFonts w:asciiTheme="minorHAnsi" w:hAnsiTheme="minorHAnsi"/>
                <w:sz w:val="20"/>
                <w:szCs w:val="20"/>
              </w:rPr>
              <w:t>21</w:t>
            </w:r>
            <w:r w:rsidRPr="00262830">
              <w:rPr>
                <w:rFonts w:asciiTheme="minorHAnsi" w:hAnsiTheme="minorHAnsi"/>
                <w:sz w:val="20"/>
                <w:szCs w:val="20"/>
              </w:rPr>
              <w:t>-</w:t>
            </w:r>
            <w:r w:rsidR="00E078D0" w:rsidRPr="00262830">
              <w:rPr>
                <w:rFonts w:asciiTheme="minorHAnsi" w:hAnsiTheme="minorHAnsi"/>
                <w:sz w:val="20"/>
                <w:szCs w:val="20"/>
              </w:rPr>
              <w:t>15 et 24</w:t>
            </w:r>
            <w:r w:rsidRPr="00262830">
              <w:rPr>
                <w:rFonts w:asciiTheme="minorHAnsi" w:hAnsiTheme="minorHAnsi"/>
                <w:sz w:val="20"/>
                <w:szCs w:val="20"/>
              </w:rPr>
              <w:t>-</w:t>
            </w:r>
            <w:r w:rsidR="00E078D0" w:rsidRPr="00262830">
              <w:rPr>
                <w:rFonts w:asciiTheme="minorHAnsi" w:hAnsiTheme="minorHAnsi"/>
                <w:sz w:val="20"/>
                <w:szCs w:val="20"/>
              </w:rPr>
              <w:t xml:space="preserve">15) et les règles d’inspection y afférentes. </w:t>
            </w:r>
          </w:p>
        </w:tc>
        <w:tc>
          <w:tcPr>
            <w:tcW w:w="3827" w:type="dxa"/>
            <w:hideMark/>
          </w:tcPr>
          <w:p w14:paraId="62E318E8" w14:textId="745154EE" w:rsidR="002B6C43" w:rsidRPr="00262830" w:rsidRDefault="00BC4D78">
            <w:pPr>
              <w:pStyle w:val="P68B1DB1-Normal7"/>
              <w:rPr>
                <w:rFonts w:asciiTheme="minorHAnsi" w:hAnsiTheme="minorHAnsi"/>
                <w:sz w:val="20"/>
                <w:szCs w:val="20"/>
              </w:rPr>
            </w:pPr>
            <w:r w:rsidRPr="00262830">
              <w:rPr>
                <w:rFonts w:asciiTheme="minorHAnsi" w:hAnsiTheme="minorHAnsi"/>
                <w:sz w:val="20"/>
                <w:szCs w:val="20"/>
              </w:rPr>
              <w:t>A</w:t>
            </w:r>
            <w:r w:rsidR="00E078D0" w:rsidRPr="00262830">
              <w:rPr>
                <w:rFonts w:asciiTheme="minorHAnsi" w:hAnsiTheme="minorHAnsi"/>
                <w:sz w:val="20"/>
                <w:szCs w:val="20"/>
              </w:rPr>
              <w:t>utorisations de transbordement et déclarations de transbordement</w:t>
            </w:r>
            <w:r w:rsidR="001A4832" w:rsidRPr="00262830">
              <w:rPr>
                <w:rFonts w:asciiTheme="minorHAnsi" w:hAnsiTheme="minorHAnsi"/>
                <w:sz w:val="20"/>
                <w:szCs w:val="20"/>
              </w:rPr>
              <w:t xml:space="preserve"> </w:t>
            </w:r>
            <w:r w:rsidRPr="00262830">
              <w:rPr>
                <w:rFonts w:asciiTheme="minorHAnsi" w:hAnsiTheme="minorHAnsi"/>
                <w:sz w:val="20"/>
                <w:szCs w:val="20"/>
              </w:rPr>
              <w:t>; Rapports</w:t>
            </w:r>
            <w:r w:rsidR="00E078D0" w:rsidRPr="00262830">
              <w:rPr>
                <w:rFonts w:asciiTheme="minorHAnsi" w:hAnsiTheme="minorHAnsi"/>
                <w:sz w:val="20"/>
                <w:szCs w:val="20"/>
              </w:rPr>
              <w:t xml:space="preserve"> d’observat</w:t>
            </w:r>
            <w:r w:rsidRPr="00262830">
              <w:rPr>
                <w:rFonts w:asciiTheme="minorHAnsi" w:hAnsiTheme="minorHAnsi"/>
                <w:sz w:val="20"/>
                <w:szCs w:val="20"/>
              </w:rPr>
              <w:t>eurs</w:t>
            </w:r>
            <w:r w:rsidR="00E078D0" w:rsidRPr="00262830">
              <w:rPr>
                <w:rFonts w:asciiTheme="minorHAnsi" w:hAnsiTheme="minorHAnsi"/>
                <w:sz w:val="20"/>
                <w:szCs w:val="20"/>
              </w:rPr>
              <w:t>/d’inspection pour les transbordements en mer</w:t>
            </w:r>
            <w:r w:rsidR="00FA744E" w:rsidRPr="00262830">
              <w:rPr>
                <w:rFonts w:asciiTheme="minorHAnsi" w:hAnsiTheme="minorHAnsi"/>
                <w:sz w:val="20"/>
                <w:szCs w:val="20"/>
              </w:rPr>
              <w:t xml:space="preserve"> </w:t>
            </w:r>
            <w:r w:rsidR="00E078D0" w:rsidRPr="00262830">
              <w:rPr>
                <w:rFonts w:asciiTheme="minorHAnsi" w:hAnsiTheme="minorHAnsi"/>
                <w:sz w:val="20"/>
                <w:szCs w:val="20"/>
              </w:rPr>
              <w:t xml:space="preserve">; Contrôles des transbordements par l’État du port. </w:t>
            </w:r>
          </w:p>
        </w:tc>
        <w:tc>
          <w:tcPr>
            <w:tcW w:w="2977" w:type="dxa"/>
          </w:tcPr>
          <w:p w14:paraId="3D3F6269" w14:textId="3E2068F0" w:rsidR="002B6C43" w:rsidRPr="00262830" w:rsidRDefault="002B6C43">
            <w:pPr>
              <w:rPr>
                <w:rFonts w:eastAsia="Times New Roman" w:cs="Times New Roman"/>
                <w:sz w:val="20"/>
                <w:szCs w:val="20"/>
              </w:rPr>
            </w:pPr>
          </w:p>
        </w:tc>
      </w:tr>
      <w:tr w:rsidR="002B6C43" w:rsidRPr="00262830" w14:paraId="08409657" w14:textId="77777777">
        <w:tc>
          <w:tcPr>
            <w:tcW w:w="456" w:type="dxa"/>
            <w:hideMark/>
          </w:tcPr>
          <w:p w14:paraId="3060E449" w14:textId="71B53C50" w:rsidR="002B6C43" w:rsidRPr="00262830" w:rsidRDefault="00E078D0">
            <w:pPr>
              <w:pStyle w:val="P68B1DB1-Normal7"/>
              <w:jc w:val="right"/>
              <w:rPr>
                <w:rFonts w:asciiTheme="minorHAnsi" w:hAnsiTheme="minorHAnsi"/>
                <w:sz w:val="20"/>
                <w:szCs w:val="20"/>
              </w:rPr>
            </w:pPr>
            <w:r w:rsidRPr="00262830">
              <w:rPr>
                <w:rFonts w:asciiTheme="minorHAnsi" w:hAnsiTheme="minorHAnsi"/>
                <w:sz w:val="20"/>
                <w:szCs w:val="20"/>
              </w:rPr>
              <w:t>12</w:t>
            </w:r>
          </w:p>
        </w:tc>
        <w:tc>
          <w:tcPr>
            <w:tcW w:w="2771" w:type="dxa"/>
            <w:hideMark/>
          </w:tcPr>
          <w:p w14:paraId="10228376" w14:textId="60F07182" w:rsidR="002B6C43" w:rsidRPr="00262830" w:rsidRDefault="00E078D0">
            <w:pPr>
              <w:pStyle w:val="P68B1DB1-Normal5"/>
              <w:rPr>
                <w:rFonts w:asciiTheme="minorHAnsi" w:hAnsiTheme="minorHAnsi"/>
                <w:sz w:val="20"/>
                <w:szCs w:val="20"/>
              </w:rPr>
            </w:pPr>
            <w:r w:rsidRPr="00262830">
              <w:rPr>
                <w:rFonts w:asciiTheme="minorHAnsi" w:hAnsiTheme="minorHAnsi"/>
                <w:sz w:val="20"/>
                <w:szCs w:val="20"/>
              </w:rPr>
              <w:t>Mesures du ressort de l’État du port</w:t>
            </w:r>
            <w:r w:rsidR="00A723F4" w:rsidRPr="00262830">
              <w:rPr>
                <w:rFonts w:asciiTheme="minorHAnsi" w:hAnsiTheme="minorHAnsi"/>
                <w:sz w:val="20"/>
                <w:szCs w:val="20"/>
              </w:rPr>
              <w:t xml:space="preserve"> (PSM)</w:t>
            </w:r>
            <w:r w:rsidRPr="00262830">
              <w:rPr>
                <w:rFonts w:asciiTheme="minorHAnsi" w:hAnsiTheme="minorHAnsi"/>
                <w:sz w:val="20"/>
                <w:szCs w:val="20"/>
              </w:rPr>
              <w:t xml:space="preserve"> et actions I</w:t>
            </w:r>
            <w:r w:rsidR="00A723F4" w:rsidRPr="00262830">
              <w:rPr>
                <w:rFonts w:asciiTheme="minorHAnsi" w:hAnsiTheme="minorHAnsi"/>
                <w:sz w:val="20"/>
                <w:szCs w:val="20"/>
              </w:rPr>
              <w:t>UU</w:t>
            </w:r>
            <w:r w:rsidRPr="00262830">
              <w:rPr>
                <w:rFonts w:asciiTheme="minorHAnsi" w:hAnsiTheme="minorHAnsi"/>
                <w:sz w:val="20"/>
                <w:szCs w:val="20"/>
              </w:rPr>
              <w:t xml:space="preserve"> (mise en œuvre de la PSM, liste des navires I</w:t>
            </w:r>
            <w:r w:rsidR="00A723F4" w:rsidRPr="00262830">
              <w:rPr>
                <w:rFonts w:asciiTheme="minorHAnsi" w:hAnsiTheme="minorHAnsi"/>
                <w:sz w:val="20"/>
                <w:szCs w:val="20"/>
              </w:rPr>
              <w:t>UU</w:t>
            </w:r>
            <w:r w:rsidRPr="00262830">
              <w:rPr>
                <w:rFonts w:asciiTheme="minorHAnsi" w:hAnsiTheme="minorHAnsi"/>
                <w:sz w:val="20"/>
                <w:szCs w:val="20"/>
              </w:rPr>
              <w:t>)</w:t>
            </w:r>
          </w:p>
        </w:tc>
        <w:tc>
          <w:tcPr>
            <w:tcW w:w="3402" w:type="dxa"/>
            <w:hideMark/>
          </w:tcPr>
          <w:p w14:paraId="171A0F86" w14:textId="78E9C2C0" w:rsidR="002B6C43" w:rsidRPr="00262830" w:rsidRDefault="00BE61A8">
            <w:pPr>
              <w:pStyle w:val="P68B1DB1-Normal7"/>
              <w:rPr>
                <w:rFonts w:asciiTheme="minorHAnsi" w:hAnsiTheme="minorHAnsi"/>
                <w:sz w:val="20"/>
                <w:szCs w:val="20"/>
              </w:rPr>
            </w:pPr>
            <w:r w:rsidRPr="00262830">
              <w:rPr>
                <w:rFonts w:asciiTheme="minorHAnsi" w:hAnsiTheme="minorHAnsi"/>
                <w:sz w:val="20"/>
                <w:szCs w:val="20"/>
              </w:rPr>
              <w:t xml:space="preserve">Rec. </w:t>
            </w:r>
            <w:r w:rsidR="00E078D0" w:rsidRPr="00262830">
              <w:rPr>
                <w:rFonts w:asciiTheme="minorHAnsi" w:hAnsiTheme="minorHAnsi"/>
                <w:sz w:val="20"/>
                <w:szCs w:val="20"/>
              </w:rPr>
              <w:t>sur les</w:t>
            </w:r>
            <w:r w:rsidR="00A723F4" w:rsidRPr="00262830">
              <w:rPr>
                <w:rFonts w:asciiTheme="minorHAnsi" w:hAnsiTheme="minorHAnsi"/>
                <w:sz w:val="20"/>
                <w:szCs w:val="20"/>
              </w:rPr>
              <w:t xml:space="preserve"> PSM</w:t>
            </w:r>
            <w:r w:rsidR="00E078D0" w:rsidRPr="00262830">
              <w:rPr>
                <w:rFonts w:asciiTheme="minorHAnsi" w:hAnsiTheme="minorHAnsi"/>
                <w:sz w:val="20"/>
                <w:szCs w:val="20"/>
              </w:rPr>
              <w:t xml:space="preserve"> et Rec. 23-17 (</w:t>
            </w:r>
            <w:r w:rsidR="00A723F4" w:rsidRPr="00262830">
              <w:rPr>
                <w:rFonts w:asciiTheme="minorHAnsi" w:hAnsiTheme="minorHAnsi"/>
                <w:sz w:val="20"/>
                <w:szCs w:val="20"/>
              </w:rPr>
              <w:t>PSM</w:t>
            </w:r>
            <w:r w:rsidR="00E078D0" w:rsidRPr="00262830">
              <w:rPr>
                <w:rFonts w:asciiTheme="minorHAnsi" w:hAnsiTheme="minorHAnsi"/>
                <w:sz w:val="20"/>
                <w:szCs w:val="20"/>
              </w:rPr>
              <w:t xml:space="preserve">), Rec. sur les procédures d’inscription sur la liste </w:t>
            </w:r>
            <w:r w:rsidRPr="00262830">
              <w:rPr>
                <w:rFonts w:asciiTheme="minorHAnsi" w:hAnsiTheme="minorHAnsi"/>
                <w:sz w:val="20"/>
                <w:szCs w:val="20"/>
              </w:rPr>
              <w:t>IUU</w:t>
            </w:r>
            <w:r w:rsidR="00E078D0" w:rsidRPr="00262830">
              <w:rPr>
                <w:rFonts w:asciiTheme="minorHAnsi" w:hAnsiTheme="minorHAnsi"/>
                <w:sz w:val="20"/>
                <w:szCs w:val="20"/>
              </w:rPr>
              <w:t xml:space="preserve"> et </w:t>
            </w:r>
            <w:r w:rsidRPr="00262830">
              <w:rPr>
                <w:rFonts w:asciiTheme="minorHAnsi" w:hAnsiTheme="minorHAnsi"/>
                <w:sz w:val="20"/>
                <w:szCs w:val="20"/>
              </w:rPr>
              <w:t xml:space="preserve">Rec. </w:t>
            </w:r>
            <w:r w:rsidR="00E078D0" w:rsidRPr="00262830">
              <w:rPr>
                <w:rFonts w:asciiTheme="minorHAnsi" w:hAnsiTheme="minorHAnsi"/>
                <w:sz w:val="20"/>
                <w:szCs w:val="20"/>
              </w:rPr>
              <w:t xml:space="preserve">23-16, etc. </w:t>
            </w:r>
          </w:p>
        </w:tc>
        <w:tc>
          <w:tcPr>
            <w:tcW w:w="3827" w:type="dxa"/>
            <w:hideMark/>
          </w:tcPr>
          <w:p w14:paraId="5DD2505C" w14:textId="64CBB7F8" w:rsidR="002B6C43" w:rsidRPr="00262830" w:rsidRDefault="00BC4D78">
            <w:pPr>
              <w:pStyle w:val="P68B1DB1-Normal7"/>
              <w:rPr>
                <w:rFonts w:asciiTheme="minorHAnsi" w:hAnsiTheme="minorHAnsi"/>
                <w:sz w:val="20"/>
                <w:szCs w:val="20"/>
              </w:rPr>
            </w:pPr>
            <w:r w:rsidRPr="00262830">
              <w:rPr>
                <w:rFonts w:asciiTheme="minorHAnsi" w:hAnsiTheme="minorHAnsi"/>
                <w:sz w:val="20"/>
                <w:szCs w:val="20"/>
              </w:rPr>
              <w:t>R</w:t>
            </w:r>
            <w:r w:rsidR="00E078D0" w:rsidRPr="00262830">
              <w:rPr>
                <w:rFonts w:asciiTheme="minorHAnsi" w:hAnsiTheme="minorHAnsi"/>
                <w:sz w:val="20"/>
                <w:szCs w:val="20"/>
              </w:rPr>
              <w:t xml:space="preserve">apports d’inspection au </w:t>
            </w:r>
            <w:r w:rsidRPr="00262830">
              <w:rPr>
                <w:rFonts w:asciiTheme="minorHAnsi" w:hAnsiTheme="minorHAnsi"/>
                <w:sz w:val="20"/>
                <w:szCs w:val="20"/>
              </w:rPr>
              <w:t>port ;</w:t>
            </w:r>
            <w:r w:rsidR="00E078D0" w:rsidRPr="00262830">
              <w:rPr>
                <w:rFonts w:asciiTheme="minorHAnsi" w:hAnsiTheme="minorHAnsi"/>
                <w:sz w:val="20"/>
                <w:szCs w:val="20"/>
              </w:rPr>
              <w:t xml:space="preserve"> </w:t>
            </w:r>
            <w:r w:rsidRPr="00262830">
              <w:rPr>
                <w:rFonts w:asciiTheme="minorHAnsi" w:hAnsiTheme="minorHAnsi"/>
                <w:sz w:val="20"/>
                <w:szCs w:val="20"/>
              </w:rPr>
              <w:t>R</w:t>
            </w:r>
            <w:r w:rsidR="00E078D0" w:rsidRPr="00262830">
              <w:rPr>
                <w:rFonts w:asciiTheme="minorHAnsi" w:hAnsiTheme="minorHAnsi"/>
                <w:sz w:val="20"/>
                <w:szCs w:val="20"/>
              </w:rPr>
              <w:t>églementations nationales en matière de PSM</w:t>
            </w:r>
            <w:r w:rsidRPr="00262830">
              <w:rPr>
                <w:rFonts w:asciiTheme="minorHAnsi" w:hAnsiTheme="minorHAnsi"/>
                <w:sz w:val="20"/>
                <w:szCs w:val="20"/>
              </w:rPr>
              <w:t xml:space="preserve"> </w:t>
            </w:r>
            <w:r w:rsidR="00E078D0" w:rsidRPr="00262830">
              <w:rPr>
                <w:rFonts w:asciiTheme="minorHAnsi" w:hAnsiTheme="minorHAnsi"/>
                <w:sz w:val="20"/>
                <w:szCs w:val="20"/>
              </w:rPr>
              <w:t xml:space="preserve">; Preuve d’actions à l’encontre de navires figurant sur les listes </w:t>
            </w:r>
            <w:r w:rsidR="00FE360B" w:rsidRPr="00262830">
              <w:rPr>
                <w:rFonts w:asciiTheme="minorHAnsi" w:hAnsiTheme="minorHAnsi"/>
                <w:sz w:val="20"/>
                <w:szCs w:val="20"/>
              </w:rPr>
              <w:t xml:space="preserve">IUU </w:t>
            </w:r>
            <w:r w:rsidR="00E078D0" w:rsidRPr="00262830">
              <w:rPr>
                <w:rFonts w:asciiTheme="minorHAnsi" w:hAnsiTheme="minorHAnsi"/>
                <w:sz w:val="20"/>
                <w:szCs w:val="20"/>
              </w:rPr>
              <w:t>provisoires/</w:t>
            </w:r>
            <w:r w:rsidR="009425F2" w:rsidRPr="00262830">
              <w:rPr>
                <w:rFonts w:asciiTheme="minorHAnsi" w:hAnsiTheme="minorHAnsi"/>
                <w:sz w:val="20"/>
                <w:szCs w:val="20"/>
              </w:rPr>
              <w:t>confirmées ;</w:t>
            </w:r>
            <w:r w:rsidR="00E078D0" w:rsidRPr="00262830">
              <w:rPr>
                <w:rFonts w:asciiTheme="minorHAnsi" w:hAnsiTheme="minorHAnsi"/>
                <w:sz w:val="20"/>
                <w:szCs w:val="20"/>
              </w:rPr>
              <w:t xml:space="preserve"> Notifications de restrictions commerciales. </w:t>
            </w:r>
          </w:p>
        </w:tc>
        <w:tc>
          <w:tcPr>
            <w:tcW w:w="2977" w:type="dxa"/>
          </w:tcPr>
          <w:p w14:paraId="7C66876A" w14:textId="77777777"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Taux d’inspection ≥ 5 %.</w:t>
            </w:r>
          </w:p>
          <w:p w14:paraId="0465F19C" w14:textId="7DEDDB25" w:rsidR="002B6C43" w:rsidRPr="00262830" w:rsidRDefault="009425F2">
            <w:pPr>
              <w:pStyle w:val="P68B1DB1-Normal7"/>
              <w:rPr>
                <w:rFonts w:asciiTheme="minorHAnsi" w:hAnsiTheme="minorHAnsi"/>
                <w:sz w:val="20"/>
                <w:szCs w:val="20"/>
              </w:rPr>
            </w:pPr>
            <w:r w:rsidRPr="00262830">
              <w:rPr>
                <w:rFonts w:asciiTheme="minorHAnsi" w:hAnsiTheme="minorHAnsi"/>
                <w:sz w:val="20"/>
                <w:szCs w:val="20"/>
              </w:rPr>
              <w:t>Infractions</w:t>
            </w:r>
            <w:r w:rsidR="00E078D0" w:rsidRPr="00262830">
              <w:rPr>
                <w:rFonts w:asciiTheme="minorHAnsi" w:hAnsiTheme="minorHAnsi"/>
                <w:sz w:val="20"/>
                <w:szCs w:val="20"/>
              </w:rPr>
              <w:t xml:space="preserve"> signalées et suivies.</w:t>
            </w:r>
          </w:p>
          <w:p w14:paraId="6861BA9A" w14:textId="0270FF4E"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 xml:space="preserve">Interdiction d’entrée au port </w:t>
            </w:r>
            <w:r w:rsidR="009425F2" w:rsidRPr="00262830">
              <w:rPr>
                <w:rFonts w:asciiTheme="minorHAnsi" w:hAnsiTheme="minorHAnsi"/>
                <w:sz w:val="20"/>
                <w:szCs w:val="20"/>
              </w:rPr>
              <w:t>aux</w:t>
            </w:r>
            <w:r w:rsidRPr="00262830">
              <w:rPr>
                <w:rFonts w:asciiTheme="minorHAnsi" w:hAnsiTheme="minorHAnsi"/>
                <w:sz w:val="20"/>
                <w:szCs w:val="20"/>
              </w:rPr>
              <w:t xml:space="preserve"> navires figurant sur la liste</w:t>
            </w:r>
            <w:r w:rsidR="009425F2" w:rsidRPr="00262830">
              <w:rPr>
                <w:rFonts w:asciiTheme="minorHAnsi" w:hAnsiTheme="minorHAnsi"/>
                <w:sz w:val="20"/>
                <w:szCs w:val="20"/>
              </w:rPr>
              <w:t xml:space="preserve"> IUU</w:t>
            </w:r>
            <w:r w:rsidRPr="00262830">
              <w:rPr>
                <w:rFonts w:asciiTheme="minorHAnsi" w:hAnsiTheme="minorHAnsi"/>
                <w:sz w:val="20"/>
                <w:szCs w:val="20"/>
              </w:rPr>
              <w:t>.</w:t>
            </w:r>
          </w:p>
        </w:tc>
      </w:tr>
      <w:tr w:rsidR="002B6C43" w:rsidRPr="00262830" w14:paraId="339702AE" w14:textId="77777777">
        <w:trPr>
          <w:trHeight w:val="300"/>
        </w:trPr>
        <w:tc>
          <w:tcPr>
            <w:tcW w:w="456" w:type="dxa"/>
            <w:hideMark/>
          </w:tcPr>
          <w:p w14:paraId="490A7A0C" w14:textId="2B88348F" w:rsidR="002B6C43" w:rsidRPr="00262830" w:rsidRDefault="00E078D0">
            <w:pPr>
              <w:pStyle w:val="P68B1DB1-Normal7"/>
              <w:jc w:val="right"/>
              <w:rPr>
                <w:rFonts w:asciiTheme="minorHAnsi" w:hAnsiTheme="minorHAnsi"/>
                <w:sz w:val="20"/>
                <w:szCs w:val="20"/>
              </w:rPr>
            </w:pPr>
            <w:r w:rsidRPr="00262830">
              <w:rPr>
                <w:rFonts w:asciiTheme="minorHAnsi" w:hAnsiTheme="minorHAnsi"/>
                <w:sz w:val="20"/>
                <w:szCs w:val="20"/>
              </w:rPr>
              <w:t>13</w:t>
            </w:r>
          </w:p>
        </w:tc>
        <w:tc>
          <w:tcPr>
            <w:tcW w:w="2771" w:type="dxa"/>
            <w:hideMark/>
          </w:tcPr>
          <w:p w14:paraId="31F8E76A" w14:textId="77777777" w:rsidR="002B6C43" w:rsidRPr="00262830" w:rsidRDefault="00E078D0">
            <w:pPr>
              <w:pStyle w:val="P68B1DB1-Normal5"/>
              <w:rPr>
                <w:rFonts w:asciiTheme="minorHAnsi" w:hAnsiTheme="minorHAnsi"/>
                <w:bCs/>
                <w:sz w:val="20"/>
                <w:szCs w:val="20"/>
              </w:rPr>
            </w:pPr>
            <w:r w:rsidRPr="00262830">
              <w:rPr>
                <w:rFonts w:asciiTheme="minorHAnsi" w:hAnsiTheme="minorHAnsi"/>
                <w:sz w:val="20"/>
                <w:szCs w:val="20"/>
              </w:rPr>
              <w:t>Renforcement des capacités</w:t>
            </w:r>
          </w:p>
        </w:tc>
        <w:tc>
          <w:tcPr>
            <w:tcW w:w="3402" w:type="dxa"/>
            <w:hideMark/>
          </w:tcPr>
          <w:p w14:paraId="34D2AB2B" w14:textId="77777777" w:rsidR="002B6C43" w:rsidRPr="00262830" w:rsidRDefault="002B6C43">
            <w:pPr>
              <w:rPr>
                <w:rFonts w:eastAsia="Times New Roman" w:cs="Times New Roman"/>
                <w:sz w:val="20"/>
                <w:szCs w:val="20"/>
              </w:rPr>
            </w:pPr>
          </w:p>
        </w:tc>
        <w:tc>
          <w:tcPr>
            <w:tcW w:w="3827" w:type="dxa"/>
            <w:hideMark/>
          </w:tcPr>
          <w:p w14:paraId="10FD6C69" w14:textId="77777777" w:rsidR="002B6C43" w:rsidRPr="00262830" w:rsidRDefault="002B6C43">
            <w:pPr>
              <w:rPr>
                <w:rFonts w:eastAsia="Times New Roman" w:cs="Times New Roman"/>
                <w:sz w:val="20"/>
                <w:szCs w:val="20"/>
              </w:rPr>
            </w:pPr>
          </w:p>
        </w:tc>
        <w:tc>
          <w:tcPr>
            <w:tcW w:w="2977" w:type="dxa"/>
          </w:tcPr>
          <w:p w14:paraId="6534BF2D" w14:textId="398A68E5" w:rsidR="002B6C43" w:rsidRPr="00262830" w:rsidRDefault="000D3815">
            <w:pPr>
              <w:pStyle w:val="P68B1DB1-Normal7"/>
              <w:rPr>
                <w:rFonts w:asciiTheme="minorHAnsi" w:hAnsiTheme="minorHAnsi"/>
                <w:sz w:val="20"/>
                <w:szCs w:val="20"/>
              </w:rPr>
            </w:pPr>
            <w:r w:rsidRPr="00262830">
              <w:rPr>
                <w:rFonts w:asciiTheme="minorHAnsi" w:hAnsiTheme="minorHAnsi"/>
                <w:sz w:val="20"/>
                <w:szCs w:val="20"/>
              </w:rPr>
              <w:t>CPC</w:t>
            </w:r>
            <w:r w:rsidR="00E078D0" w:rsidRPr="00262830">
              <w:rPr>
                <w:rFonts w:asciiTheme="minorHAnsi" w:hAnsiTheme="minorHAnsi"/>
                <w:sz w:val="20"/>
                <w:szCs w:val="20"/>
              </w:rPr>
              <w:t xml:space="preserve"> ayant bénéficié d’un renforcement des capacités (date, contenu, etc.)</w:t>
            </w:r>
          </w:p>
        </w:tc>
      </w:tr>
      <w:tr w:rsidR="002B6C43" w:rsidRPr="00262830" w14:paraId="3B2392A1" w14:textId="77777777">
        <w:tc>
          <w:tcPr>
            <w:tcW w:w="13433" w:type="dxa"/>
            <w:gridSpan w:val="5"/>
          </w:tcPr>
          <w:p w14:paraId="434EA52D" w14:textId="77777777" w:rsidR="002B6C43" w:rsidRPr="00262830" w:rsidRDefault="00E078D0">
            <w:pPr>
              <w:pStyle w:val="P68B1DB1-ListParagraph6"/>
              <w:numPr>
                <w:ilvl w:val="1"/>
                <w:numId w:val="9"/>
              </w:numPr>
              <w:jc w:val="center"/>
              <w:rPr>
                <w:rFonts w:asciiTheme="minorHAnsi" w:hAnsiTheme="minorHAnsi"/>
                <w:bCs/>
                <w:sz w:val="20"/>
                <w:szCs w:val="20"/>
              </w:rPr>
            </w:pPr>
            <w:r w:rsidRPr="00262830">
              <w:rPr>
                <w:rFonts w:asciiTheme="minorHAnsi" w:hAnsiTheme="minorHAnsi"/>
                <w:sz w:val="20"/>
                <w:szCs w:val="20"/>
              </w:rPr>
              <w:t>Mesures liées à la pêche</w:t>
            </w:r>
          </w:p>
        </w:tc>
      </w:tr>
      <w:tr w:rsidR="002B6C43" w:rsidRPr="00262830" w14:paraId="332BE316" w14:textId="77777777">
        <w:tc>
          <w:tcPr>
            <w:tcW w:w="13433" w:type="dxa"/>
            <w:gridSpan w:val="5"/>
          </w:tcPr>
          <w:p w14:paraId="5EBCF7D0" w14:textId="77777777" w:rsidR="002B6C43" w:rsidRPr="00262830" w:rsidRDefault="002B6C43">
            <w:pPr>
              <w:jc w:val="right"/>
              <w:rPr>
                <w:rFonts w:eastAsia="Times New Roman" w:cs="Times New Roman"/>
                <w:sz w:val="20"/>
                <w:szCs w:val="20"/>
              </w:rPr>
            </w:pPr>
          </w:p>
          <w:p w14:paraId="127BD1CA" w14:textId="77777777" w:rsidR="002B6C43" w:rsidRPr="00262830" w:rsidRDefault="00E078D0">
            <w:pPr>
              <w:pStyle w:val="P68B1DB1-Normal5"/>
              <w:rPr>
                <w:rFonts w:asciiTheme="minorHAnsi" w:hAnsiTheme="minorHAnsi"/>
                <w:bCs/>
                <w:sz w:val="20"/>
                <w:szCs w:val="20"/>
              </w:rPr>
            </w:pPr>
            <w:r w:rsidRPr="00262830">
              <w:rPr>
                <w:rFonts w:asciiTheme="minorHAnsi" w:hAnsiTheme="minorHAnsi"/>
                <w:sz w:val="20"/>
                <w:szCs w:val="20"/>
              </w:rPr>
              <w:t>THON ROUGE</w:t>
            </w:r>
          </w:p>
        </w:tc>
      </w:tr>
      <w:tr w:rsidR="002B6C43" w:rsidRPr="00262830" w14:paraId="45C1C214" w14:textId="77777777">
        <w:tc>
          <w:tcPr>
            <w:tcW w:w="456" w:type="dxa"/>
          </w:tcPr>
          <w:p w14:paraId="35B39F61" w14:textId="15E8DB36" w:rsidR="002B6C43" w:rsidRPr="00262830" w:rsidRDefault="00E078D0">
            <w:pPr>
              <w:pStyle w:val="P68B1DB1-Normal7"/>
              <w:jc w:val="right"/>
              <w:rPr>
                <w:rFonts w:asciiTheme="minorHAnsi" w:hAnsiTheme="minorHAnsi"/>
                <w:sz w:val="20"/>
                <w:szCs w:val="20"/>
              </w:rPr>
            </w:pPr>
            <w:r w:rsidRPr="00262830">
              <w:rPr>
                <w:rFonts w:asciiTheme="minorHAnsi" w:hAnsiTheme="minorHAnsi"/>
                <w:sz w:val="20"/>
                <w:szCs w:val="20"/>
              </w:rPr>
              <w:t>14</w:t>
            </w:r>
          </w:p>
        </w:tc>
        <w:tc>
          <w:tcPr>
            <w:tcW w:w="2771" w:type="dxa"/>
          </w:tcPr>
          <w:p w14:paraId="46F624A7" w14:textId="77777777" w:rsidR="002B6C43" w:rsidRPr="00262830" w:rsidRDefault="00E078D0">
            <w:pPr>
              <w:pStyle w:val="P68B1DB1-Normal5"/>
              <w:rPr>
                <w:rFonts w:asciiTheme="minorHAnsi" w:hAnsiTheme="minorHAnsi"/>
                <w:bCs/>
                <w:sz w:val="20"/>
                <w:szCs w:val="20"/>
              </w:rPr>
            </w:pPr>
            <w:r w:rsidRPr="00262830">
              <w:rPr>
                <w:rFonts w:asciiTheme="minorHAnsi" w:hAnsiTheme="minorHAnsi"/>
                <w:sz w:val="20"/>
                <w:szCs w:val="20"/>
              </w:rPr>
              <w:t>Capacité d’élevage des intrants</w:t>
            </w:r>
          </w:p>
        </w:tc>
        <w:tc>
          <w:tcPr>
            <w:tcW w:w="3402" w:type="dxa"/>
          </w:tcPr>
          <w:p w14:paraId="6BE90164" w14:textId="77777777" w:rsidR="002B6C43" w:rsidRPr="00262830" w:rsidRDefault="002B6C43">
            <w:pPr>
              <w:rPr>
                <w:rFonts w:eastAsia="Times New Roman" w:cs="Times New Roman"/>
                <w:sz w:val="20"/>
                <w:szCs w:val="20"/>
              </w:rPr>
            </w:pPr>
          </w:p>
        </w:tc>
        <w:tc>
          <w:tcPr>
            <w:tcW w:w="3827" w:type="dxa"/>
          </w:tcPr>
          <w:p w14:paraId="64E75AA7" w14:textId="77777777"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Rapport sur le volume annuel de mise en cage (pas de document COC)</w:t>
            </w:r>
          </w:p>
        </w:tc>
        <w:tc>
          <w:tcPr>
            <w:tcW w:w="2977" w:type="dxa"/>
          </w:tcPr>
          <w:p w14:paraId="1A8DA64A" w14:textId="79517EEF"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 xml:space="preserve">Paragraphe 24, </w:t>
            </w:r>
            <w:r w:rsidR="00A723F4" w:rsidRPr="00262830">
              <w:rPr>
                <w:rFonts w:asciiTheme="minorHAnsi" w:hAnsiTheme="minorHAnsi"/>
                <w:sz w:val="20"/>
                <w:szCs w:val="20"/>
              </w:rPr>
              <w:t>Rec.</w:t>
            </w:r>
            <w:r w:rsidRPr="00262830">
              <w:rPr>
                <w:rFonts w:asciiTheme="minorHAnsi" w:hAnsiTheme="minorHAnsi"/>
                <w:sz w:val="20"/>
                <w:szCs w:val="20"/>
              </w:rPr>
              <w:t xml:space="preserve"> 24</w:t>
            </w:r>
            <w:r w:rsidR="00A723F4" w:rsidRPr="00262830">
              <w:rPr>
                <w:rFonts w:asciiTheme="minorHAnsi" w:hAnsiTheme="minorHAnsi"/>
                <w:sz w:val="20"/>
                <w:szCs w:val="20"/>
              </w:rPr>
              <w:t>-</w:t>
            </w:r>
            <w:r w:rsidRPr="00262830">
              <w:rPr>
                <w:rFonts w:asciiTheme="minorHAnsi" w:hAnsiTheme="minorHAnsi"/>
                <w:sz w:val="20"/>
                <w:szCs w:val="20"/>
              </w:rPr>
              <w:t>05.</w:t>
            </w:r>
          </w:p>
          <w:p w14:paraId="473134C2" w14:textId="0C36F3AD"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t xml:space="preserve">Quantités mises en cage, </w:t>
            </w:r>
            <w:r w:rsidR="00A723F4" w:rsidRPr="00262830">
              <w:rPr>
                <w:rFonts w:asciiTheme="minorHAnsi" w:hAnsiTheme="minorHAnsi"/>
                <w:sz w:val="20"/>
                <w:szCs w:val="20"/>
              </w:rPr>
              <w:t>mises à mort</w:t>
            </w:r>
            <w:r w:rsidRPr="00262830">
              <w:rPr>
                <w:rFonts w:asciiTheme="minorHAnsi" w:hAnsiTheme="minorHAnsi"/>
                <w:sz w:val="20"/>
                <w:szCs w:val="20"/>
              </w:rPr>
              <w:t>, échangées par CPC (extraites d’eBCD)</w:t>
            </w:r>
          </w:p>
        </w:tc>
      </w:tr>
      <w:tr w:rsidR="002B6C43" w:rsidRPr="00262830" w14:paraId="61B092CF" w14:textId="77777777">
        <w:tc>
          <w:tcPr>
            <w:tcW w:w="456" w:type="dxa"/>
          </w:tcPr>
          <w:p w14:paraId="353F5DAC" w14:textId="0A379CE9" w:rsidR="002B6C43" w:rsidRPr="00262830" w:rsidRDefault="00E078D0">
            <w:pPr>
              <w:pStyle w:val="P68B1DB1-Normal7"/>
              <w:jc w:val="right"/>
              <w:rPr>
                <w:rFonts w:asciiTheme="minorHAnsi" w:hAnsiTheme="minorHAnsi"/>
                <w:sz w:val="20"/>
                <w:szCs w:val="20"/>
              </w:rPr>
            </w:pPr>
            <w:r w:rsidRPr="00262830">
              <w:rPr>
                <w:rFonts w:asciiTheme="minorHAnsi" w:hAnsiTheme="minorHAnsi"/>
                <w:sz w:val="20"/>
                <w:szCs w:val="20"/>
              </w:rPr>
              <w:t>15</w:t>
            </w:r>
          </w:p>
        </w:tc>
        <w:tc>
          <w:tcPr>
            <w:tcW w:w="2771" w:type="dxa"/>
          </w:tcPr>
          <w:p w14:paraId="5AF9523F" w14:textId="77777777" w:rsidR="002B6C43" w:rsidRPr="00262830" w:rsidRDefault="00E078D0">
            <w:pPr>
              <w:pStyle w:val="P68B1DB1-Normal5"/>
              <w:rPr>
                <w:rFonts w:asciiTheme="minorHAnsi" w:hAnsiTheme="minorHAnsi"/>
                <w:bCs/>
                <w:sz w:val="20"/>
                <w:szCs w:val="20"/>
              </w:rPr>
            </w:pPr>
            <w:r w:rsidRPr="00262830">
              <w:rPr>
                <w:rFonts w:asciiTheme="minorHAnsi" w:hAnsiTheme="minorHAnsi"/>
                <w:sz w:val="20"/>
                <w:szCs w:val="20"/>
              </w:rPr>
              <w:t>Contrôles aléatoires</w:t>
            </w:r>
          </w:p>
        </w:tc>
        <w:tc>
          <w:tcPr>
            <w:tcW w:w="3402" w:type="dxa"/>
          </w:tcPr>
          <w:p w14:paraId="29D50EA9" w14:textId="77777777" w:rsidR="002B6C43" w:rsidRPr="00262830" w:rsidRDefault="002B6C43">
            <w:pPr>
              <w:rPr>
                <w:rFonts w:eastAsia="Times New Roman" w:cs="Times New Roman"/>
                <w:sz w:val="20"/>
                <w:szCs w:val="20"/>
              </w:rPr>
            </w:pPr>
          </w:p>
        </w:tc>
        <w:tc>
          <w:tcPr>
            <w:tcW w:w="3827" w:type="dxa"/>
          </w:tcPr>
          <w:p w14:paraId="6DA01FB7" w14:textId="77777777" w:rsidR="002B6C43" w:rsidRPr="00262830" w:rsidRDefault="002B6C43">
            <w:pPr>
              <w:rPr>
                <w:rFonts w:eastAsia="Times New Roman" w:cs="Times New Roman"/>
                <w:sz w:val="20"/>
                <w:szCs w:val="20"/>
              </w:rPr>
            </w:pPr>
          </w:p>
        </w:tc>
        <w:tc>
          <w:tcPr>
            <w:tcW w:w="2977" w:type="dxa"/>
          </w:tcPr>
          <w:p w14:paraId="32EDA3C5" w14:textId="77777777" w:rsidR="002B6C43" w:rsidRPr="00262830" w:rsidRDefault="002B6C43">
            <w:pPr>
              <w:ind w:firstLine="720"/>
              <w:rPr>
                <w:rFonts w:eastAsia="Times New Roman" w:cs="Times New Roman"/>
                <w:sz w:val="20"/>
                <w:szCs w:val="20"/>
              </w:rPr>
            </w:pPr>
          </w:p>
        </w:tc>
      </w:tr>
      <w:tr w:rsidR="002B6C43" w:rsidRPr="00262830" w14:paraId="6D8A61E5" w14:textId="77777777">
        <w:tc>
          <w:tcPr>
            <w:tcW w:w="13433" w:type="dxa"/>
            <w:gridSpan w:val="5"/>
          </w:tcPr>
          <w:p w14:paraId="4DFCEBA9" w14:textId="77777777" w:rsidR="002B6C43" w:rsidRPr="00262830" w:rsidRDefault="002B6C43">
            <w:pPr>
              <w:jc w:val="right"/>
              <w:rPr>
                <w:rFonts w:eastAsia="Times New Roman" w:cs="Times New Roman"/>
                <w:sz w:val="20"/>
                <w:szCs w:val="20"/>
              </w:rPr>
            </w:pPr>
          </w:p>
          <w:p w14:paraId="7AE991C6" w14:textId="77777777" w:rsidR="002B6C43" w:rsidRPr="00262830" w:rsidRDefault="00E078D0">
            <w:pPr>
              <w:pStyle w:val="P68B1DB1-Normal5"/>
              <w:rPr>
                <w:rFonts w:asciiTheme="minorHAnsi" w:hAnsiTheme="minorHAnsi"/>
                <w:bCs/>
                <w:sz w:val="20"/>
                <w:szCs w:val="20"/>
              </w:rPr>
            </w:pPr>
            <w:r w:rsidRPr="00262830">
              <w:rPr>
                <w:rFonts w:asciiTheme="minorHAnsi" w:hAnsiTheme="minorHAnsi"/>
                <w:sz w:val="20"/>
                <w:szCs w:val="20"/>
              </w:rPr>
              <w:t>TRO</w:t>
            </w:r>
          </w:p>
        </w:tc>
      </w:tr>
      <w:tr w:rsidR="002B6C43" w:rsidRPr="00262830" w14:paraId="77D45635" w14:textId="77777777">
        <w:tc>
          <w:tcPr>
            <w:tcW w:w="456" w:type="dxa"/>
          </w:tcPr>
          <w:p w14:paraId="70DA8FE4" w14:textId="51E826D1" w:rsidR="002B6C43" w:rsidRPr="00262830" w:rsidRDefault="00E078D0">
            <w:pPr>
              <w:pStyle w:val="P68B1DB1-Normal7"/>
              <w:jc w:val="right"/>
              <w:rPr>
                <w:rFonts w:asciiTheme="minorHAnsi" w:hAnsiTheme="minorHAnsi"/>
                <w:sz w:val="20"/>
                <w:szCs w:val="20"/>
              </w:rPr>
            </w:pPr>
            <w:r w:rsidRPr="00262830">
              <w:rPr>
                <w:rFonts w:asciiTheme="minorHAnsi" w:hAnsiTheme="minorHAnsi"/>
                <w:sz w:val="20"/>
                <w:szCs w:val="20"/>
              </w:rPr>
              <w:t>16</w:t>
            </w:r>
          </w:p>
        </w:tc>
        <w:tc>
          <w:tcPr>
            <w:tcW w:w="2771" w:type="dxa"/>
          </w:tcPr>
          <w:p w14:paraId="0BCF07DB" w14:textId="1A994F11" w:rsidR="002B6C43" w:rsidRPr="00262830" w:rsidRDefault="00E078D0">
            <w:pPr>
              <w:pStyle w:val="P68B1DB1-Normal5"/>
              <w:rPr>
                <w:rFonts w:asciiTheme="minorHAnsi" w:hAnsiTheme="minorHAnsi"/>
                <w:bCs/>
                <w:sz w:val="20"/>
                <w:szCs w:val="20"/>
              </w:rPr>
            </w:pPr>
            <w:r w:rsidRPr="00262830">
              <w:rPr>
                <w:rFonts w:asciiTheme="minorHAnsi" w:hAnsiTheme="minorHAnsi"/>
                <w:sz w:val="20"/>
                <w:szCs w:val="20"/>
              </w:rPr>
              <w:t xml:space="preserve">Gestion des DCP (plans de gestion des DCP, journaux de bord des DCP, limites de déploiement, règles </w:t>
            </w:r>
            <w:r w:rsidR="00A723F4" w:rsidRPr="00262830">
              <w:rPr>
                <w:rFonts w:asciiTheme="minorHAnsi" w:hAnsiTheme="minorHAnsi"/>
                <w:sz w:val="20"/>
                <w:szCs w:val="20"/>
              </w:rPr>
              <w:t xml:space="preserve">sur </w:t>
            </w:r>
            <w:r w:rsidR="00A723F4" w:rsidRPr="00262830">
              <w:rPr>
                <w:rFonts w:asciiTheme="minorHAnsi" w:hAnsiTheme="minorHAnsi"/>
                <w:sz w:val="20"/>
                <w:szCs w:val="20"/>
              </w:rPr>
              <w:lastRenderedPageBreak/>
              <w:t xml:space="preserve">DCP </w:t>
            </w:r>
            <w:r w:rsidRPr="00262830">
              <w:rPr>
                <w:rFonts w:asciiTheme="minorHAnsi" w:hAnsiTheme="minorHAnsi"/>
                <w:sz w:val="20"/>
                <w:szCs w:val="20"/>
              </w:rPr>
              <w:t>non emmêlants</w:t>
            </w:r>
            <w:r w:rsidR="000500E3" w:rsidRPr="00262830">
              <w:rPr>
                <w:rFonts w:asciiTheme="minorHAnsi" w:hAnsiTheme="minorHAnsi"/>
                <w:sz w:val="20"/>
                <w:szCs w:val="20"/>
              </w:rPr>
              <w:t xml:space="preserve"> </w:t>
            </w:r>
            <w:r w:rsidRPr="00262830">
              <w:rPr>
                <w:rFonts w:asciiTheme="minorHAnsi" w:hAnsiTheme="minorHAnsi"/>
                <w:sz w:val="20"/>
                <w:szCs w:val="20"/>
              </w:rPr>
              <w:t>/biodégradables)</w:t>
            </w:r>
          </w:p>
        </w:tc>
        <w:tc>
          <w:tcPr>
            <w:tcW w:w="3402" w:type="dxa"/>
          </w:tcPr>
          <w:p w14:paraId="206D10F0" w14:textId="2D069287" w:rsidR="002B6C43" w:rsidRPr="00262830" w:rsidRDefault="00A723F4">
            <w:pPr>
              <w:pStyle w:val="P68B1DB1-Normal7"/>
              <w:rPr>
                <w:rFonts w:asciiTheme="minorHAnsi" w:hAnsiTheme="minorHAnsi"/>
                <w:sz w:val="20"/>
                <w:szCs w:val="20"/>
              </w:rPr>
            </w:pPr>
            <w:r w:rsidRPr="00262830">
              <w:rPr>
                <w:rFonts w:asciiTheme="minorHAnsi" w:hAnsiTheme="minorHAnsi"/>
                <w:sz w:val="20"/>
                <w:szCs w:val="20"/>
              </w:rPr>
              <w:lastRenderedPageBreak/>
              <w:t>Recs. pluriannuel</w:t>
            </w:r>
            <w:r w:rsidR="00622909" w:rsidRPr="00262830">
              <w:rPr>
                <w:rFonts w:asciiTheme="minorHAnsi" w:hAnsiTheme="minorHAnsi"/>
                <w:sz w:val="20"/>
                <w:szCs w:val="20"/>
              </w:rPr>
              <w:t>les</w:t>
            </w:r>
            <w:r w:rsidRPr="00262830">
              <w:rPr>
                <w:rFonts w:asciiTheme="minorHAnsi" w:hAnsiTheme="minorHAnsi"/>
                <w:sz w:val="20"/>
                <w:szCs w:val="20"/>
              </w:rPr>
              <w:t xml:space="preserve"> sur les thonidés </w:t>
            </w:r>
            <w:r w:rsidR="00E078D0" w:rsidRPr="00262830">
              <w:rPr>
                <w:rFonts w:asciiTheme="minorHAnsi" w:hAnsiTheme="minorHAnsi"/>
                <w:sz w:val="20"/>
                <w:szCs w:val="20"/>
              </w:rPr>
              <w:t xml:space="preserve">tropicaux, y compris les annexes relatives aux plans de gestion des DCP, aux modèles de journal de bord </w:t>
            </w:r>
            <w:r w:rsidR="00E078D0" w:rsidRPr="00262830">
              <w:rPr>
                <w:rFonts w:asciiTheme="minorHAnsi" w:hAnsiTheme="minorHAnsi"/>
                <w:sz w:val="20"/>
                <w:szCs w:val="20"/>
              </w:rPr>
              <w:lastRenderedPageBreak/>
              <w:t xml:space="preserve">des DCP et aux exigences en matière de </w:t>
            </w:r>
            <w:r w:rsidR="00622909" w:rsidRPr="00262830">
              <w:rPr>
                <w:rFonts w:asciiTheme="minorHAnsi" w:hAnsiTheme="minorHAnsi"/>
                <w:sz w:val="20"/>
                <w:szCs w:val="20"/>
              </w:rPr>
              <w:t>déclaration</w:t>
            </w:r>
            <w:r w:rsidR="00E078D0" w:rsidRPr="00262830">
              <w:rPr>
                <w:rFonts w:asciiTheme="minorHAnsi" w:hAnsiTheme="minorHAnsi"/>
                <w:sz w:val="20"/>
                <w:szCs w:val="20"/>
              </w:rPr>
              <w:t xml:space="preserve"> (</w:t>
            </w:r>
            <w:r w:rsidR="00D74C22" w:rsidRPr="00262830">
              <w:rPr>
                <w:rFonts w:asciiTheme="minorHAnsi" w:hAnsiTheme="minorHAnsi"/>
                <w:sz w:val="20"/>
                <w:szCs w:val="20"/>
              </w:rPr>
              <w:t xml:space="preserve">Rec. </w:t>
            </w:r>
            <w:r w:rsidR="00E078D0" w:rsidRPr="00262830">
              <w:rPr>
                <w:rFonts w:asciiTheme="minorHAnsi" w:hAnsiTheme="minorHAnsi"/>
                <w:sz w:val="20"/>
                <w:szCs w:val="20"/>
              </w:rPr>
              <w:t>16</w:t>
            </w:r>
            <w:r w:rsidR="00D74C22" w:rsidRPr="00262830">
              <w:rPr>
                <w:rFonts w:asciiTheme="minorHAnsi" w:hAnsiTheme="minorHAnsi"/>
                <w:sz w:val="20"/>
                <w:szCs w:val="20"/>
              </w:rPr>
              <w:t>-</w:t>
            </w:r>
            <w:r w:rsidR="00E078D0" w:rsidRPr="00262830">
              <w:rPr>
                <w:rFonts w:asciiTheme="minorHAnsi" w:hAnsiTheme="minorHAnsi"/>
                <w:sz w:val="20"/>
                <w:szCs w:val="20"/>
              </w:rPr>
              <w:t>01</w:t>
            </w:r>
            <w:r w:rsidR="0088219A" w:rsidRPr="00262830">
              <w:rPr>
                <w:rFonts w:asciiTheme="minorHAnsi" w:hAnsiTheme="minorHAnsi"/>
                <w:sz w:val="20"/>
                <w:szCs w:val="20"/>
              </w:rPr>
              <w:t>-</w:t>
            </w:r>
            <w:r w:rsidR="00E078D0" w:rsidRPr="00262830">
              <w:rPr>
                <w:rFonts w:asciiTheme="minorHAnsi" w:hAnsiTheme="minorHAnsi"/>
                <w:sz w:val="20"/>
                <w:szCs w:val="20"/>
              </w:rPr>
              <w:t xml:space="preserve"> </w:t>
            </w:r>
            <w:r w:rsidR="00D74C22" w:rsidRPr="00262830">
              <w:rPr>
                <w:rFonts w:asciiTheme="minorHAnsi" w:hAnsiTheme="minorHAnsi"/>
                <w:sz w:val="20"/>
                <w:szCs w:val="20"/>
              </w:rPr>
              <w:t>Rec.</w:t>
            </w:r>
            <w:r w:rsidR="00E078D0" w:rsidRPr="00262830">
              <w:rPr>
                <w:rFonts w:asciiTheme="minorHAnsi" w:hAnsiTheme="minorHAnsi"/>
                <w:sz w:val="20"/>
                <w:szCs w:val="20"/>
              </w:rPr>
              <w:t xml:space="preserve"> 24</w:t>
            </w:r>
            <w:r w:rsidR="00D74C22" w:rsidRPr="00262830">
              <w:rPr>
                <w:rFonts w:asciiTheme="minorHAnsi" w:hAnsiTheme="minorHAnsi"/>
                <w:sz w:val="20"/>
                <w:szCs w:val="20"/>
              </w:rPr>
              <w:t>-</w:t>
            </w:r>
            <w:r w:rsidR="00E078D0" w:rsidRPr="00262830">
              <w:rPr>
                <w:rFonts w:asciiTheme="minorHAnsi" w:hAnsiTheme="minorHAnsi"/>
                <w:sz w:val="20"/>
                <w:szCs w:val="20"/>
              </w:rPr>
              <w:t>01, etc.).</w:t>
            </w:r>
          </w:p>
        </w:tc>
        <w:tc>
          <w:tcPr>
            <w:tcW w:w="3827" w:type="dxa"/>
          </w:tcPr>
          <w:p w14:paraId="132F7964" w14:textId="0991B32D" w:rsidR="002B6C43" w:rsidRPr="00262830" w:rsidRDefault="00E078D0">
            <w:pPr>
              <w:pStyle w:val="P68B1DB1-Normal7"/>
              <w:rPr>
                <w:rFonts w:asciiTheme="minorHAnsi" w:hAnsiTheme="minorHAnsi"/>
                <w:sz w:val="20"/>
                <w:szCs w:val="20"/>
              </w:rPr>
            </w:pPr>
            <w:r w:rsidRPr="00262830">
              <w:rPr>
                <w:rFonts w:asciiTheme="minorHAnsi" w:hAnsiTheme="minorHAnsi"/>
                <w:sz w:val="20"/>
                <w:szCs w:val="20"/>
              </w:rPr>
              <w:lastRenderedPageBreak/>
              <w:t>Plans de gestion des DCP</w:t>
            </w:r>
            <w:r w:rsidR="00D74C22" w:rsidRPr="00262830">
              <w:rPr>
                <w:rFonts w:asciiTheme="minorHAnsi" w:hAnsiTheme="minorHAnsi"/>
                <w:sz w:val="20"/>
                <w:szCs w:val="20"/>
              </w:rPr>
              <w:t xml:space="preserve"> des</w:t>
            </w:r>
            <w:r w:rsidRPr="00262830">
              <w:rPr>
                <w:rFonts w:asciiTheme="minorHAnsi" w:hAnsiTheme="minorHAnsi"/>
                <w:sz w:val="20"/>
                <w:szCs w:val="20"/>
              </w:rPr>
              <w:t xml:space="preserve"> CPC (soumis au </w:t>
            </w:r>
            <w:r w:rsidR="00F83644" w:rsidRPr="00262830">
              <w:rPr>
                <w:rFonts w:asciiTheme="minorHAnsi" w:hAnsiTheme="minorHAnsi"/>
                <w:sz w:val="20"/>
                <w:szCs w:val="20"/>
              </w:rPr>
              <w:t>S</w:t>
            </w:r>
            <w:r w:rsidRPr="00262830">
              <w:rPr>
                <w:rFonts w:asciiTheme="minorHAnsi" w:hAnsiTheme="minorHAnsi"/>
                <w:sz w:val="20"/>
                <w:szCs w:val="20"/>
              </w:rPr>
              <w:t xml:space="preserve">ecrétariat) et mises à jour annuelles; Journaux de bord des DCP des navires, listes mensuelles des DCP déployés </w:t>
            </w:r>
            <w:r w:rsidRPr="00262830">
              <w:rPr>
                <w:rFonts w:asciiTheme="minorHAnsi" w:hAnsiTheme="minorHAnsi"/>
                <w:sz w:val="20"/>
                <w:szCs w:val="20"/>
              </w:rPr>
              <w:lastRenderedPageBreak/>
              <w:t xml:space="preserve">(grilles </w:t>
            </w:r>
            <w:r w:rsidR="00BF769F" w:rsidRPr="00262830">
              <w:rPr>
                <w:rFonts w:asciiTheme="minorHAnsi" w:hAnsiTheme="minorHAnsi"/>
                <w:sz w:val="20"/>
                <w:szCs w:val="20"/>
              </w:rPr>
              <w:t>de</w:t>
            </w:r>
            <w:r w:rsidRPr="00262830">
              <w:rPr>
                <w:rFonts w:asciiTheme="minorHAnsi" w:hAnsiTheme="minorHAnsi"/>
                <w:sz w:val="20"/>
                <w:szCs w:val="20"/>
              </w:rPr>
              <w:t xml:space="preserve"> 1° x1°);  Listes d’identifiants des bouées/écho-sondes et stati</w:t>
            </w:r>
            <w:r w:rsidR="00D479DF" w:rsidRPr="00262830">
              <w:rPr>
                <w:rFonts w:asciiTheme="minorHAnsi" w:hAnsiTheme="minorHAnsi"/>
                <w:sz w:val="20"/>
                <w:szCs w:val="20"/>
              </w:rPr>
              <w:t>sti</w:t>
            </w:r>
            <w:r w:rsidRPr="00262830">
              <w:rPr>
                <w:rFonts w:asciiTheme="minorHAnsi" w:hAnsiTheme="minorHAnsi"/>
                <w:sz w:val="20"/>
                <w:szCs w:val="20"/>
              </w:rPr>
              <w:t xml:space="preserve">ques d’activation des </w:t>
            </w:r>
            <w:r w:rsidR="00AC75AC" w:rsidRPr="00262830">
              <w:rPr>
                <w:rFonts w:asciiTheme="minorHAnsi" w:hAnsiTheme="minorHAnsi"/>
                <w:sz w:val="20"/>
                <w:szCs w:val="20"/>
              </w:rPr>
              <w:t xml:space="preserve">bouées / </w:t>
            </w:r>
            <w:r w:rsidRPr="00262830">
              <w:rPr>
                <w:rFonts w:asciiTheme="minorHAnsi" w:hAnsiTheme="minorHAnsi"/>
                <w:sz w:val="20"/>
                <w:szCs w:val="20"/>
              </w:rPr>
              <w:t>télécommunications</w:t>
            </w:r>
            <w:r w:rsidR="00AC75AC" w:rsidRPr="00262830">
              <w:rPr>
                <w:rFonts w:asciiTheme="minorHAnsi" w:hAnsiTheme="minorHAnsi"/>
                <w:sz w:val="20"/>
                <w:szCs w:val="20"/>
              </w:rPr>
              <w:t xml:space="preserve"> </w:t>
            </w:r>
            <w:r w:rsidRPr="00262830">
              <w:rPr>
                <w:rFonts w:asciiTheme="minorHAnsi" w:hAnsiTheme="minorHAnsi"/>
                <w:sz w:val="20"/>
                <w:szCs w:val="20"/>
              </w:rPr>
              <w:t xml:space="preserve">; </w:t>
            </w:r>
            <w:r w:rsidR="00AC75AC" w:rsidRPr="00262830">
              <w:rPr>
                <w:rFonts w:asciiTheme="minorHAnsi" w:hAnsiTheme="minorHAnsi"/>
                <w:sz w:val="20"/>
                <w:szCs w:val="20"/>
              </w:rPr>
              <w:t xml:space="preserve">Jeux </w:t>
            </w:r>
            <w:r w:rsidRPr="00262830">
              <w:rPr>
                <w:rFonts w:asciiTheme="minorHAnsi" w:hAnsiTheme="minorHAnsi"/>
                <w:sz w:val="20"/>
                <w:szCs w:val="20"/>
              </w:rPr>
              <w:t xml:space="preserve">de données </w:t>
            </w:r>
            <w:r w:rsidR="00D23665" w:rsidRPr="00262830">
              <w:rPr>
                <w:rFonts w:asciiTheme="minorHAnsi" w:hAnsiTheme="minorHAnsi"/>
                <w:sz w:val="20"/>
                <w:szCs w:val="20"/>
              </w:rPr>
              <w:t xml:space="preserve">du SCRS </w:t>
            </w:r>
            <w:r w:rsidR="0088219A" w:rsidRPr="00262830">
              <w:rPr>
                <w:rFonts w:asciiTheme="minorHAnsi" w:hAnsiTheme="minorHAnsi"/>
                <w:sz w:val="20"/>
                <w:szCs w:val="20"/>
              </w:rPr>
              <w:t xml:space="preserve">sur les DCP </w:t>
            </w:r>
            <w:r w:rsidRPr="00262830">
              <w:rPr>
                <w:rFonts w:asciiTheme="minorHAnsi" w:hAnsiTheme="minorHAnsi"/>
                <w:sz w:val="20"/>
                <w:szCs w:val="20"/>
              </w:rPr>
              <w:t xml:space="preserve">(du </w:t>
            </w:r>
            <w:r w:rsidR="00D23665" w:rsidRPr="00262830">
              <w:rPr>
                <w:rFonts w:asciiTheme="minorHAnsi" w:hAnsiTheme="minorHAnsi"/>
                <w:sz w:val="20"/>
                <w:szCs w:val="20"/>
              </w:rPr>
              <w:t>S</w:t>
            </w:r>
            <w:r w:rsidRPr="00262830">
              <w:rPr>
                <w:rFonts w:asciiTheme="minorHAnsi" w:hAnsiTheme="minorHAnsi"/>
                <w:sz w:val="20"/>
                <w:szCs w:val="20"/>
              </w:rPr>
              <w:t>ecrétariat).</w:t>
            </w:r>
          </w:p>
        </w:tc>
        <w:tc>
          <w:tcPr>
            <w:tcW w:w="2977" w:type="dxa"/>
          </w:tcPr>
          <w:p w14:paraId="1F50BFA1" w14:textId="77777777" w:rsidR="002B6C43" w:rsidRPr="00262830" w:rsidRDefault="002B6C43">
            <w:pPr>
              <w:rPr>
                <w:rFonts w:eastAsia="Times New Roman" w:cs="Times New Roman"/>
                <w:sz w:val="20"/>
                <w:szCs w:val="20"/>
              </w:rPr>
            </w:pPr>
          </w:p>
        </w:tc>
      </w:tr>
    </w:tbl>
    <w:p w14:paraId="214AC1D7" w14:textId="77777777" w:rsidR="00D74C22" w:rsidRPr="00262830" w:rsidRDefault="00D74C22">
      <w:pPr>
        <w:pStyle w:val="P68B1DB1-Normal4"/>
        <w:rPr>
          <w:rFonts w:asciiTheme="minorHAnsi" w:hAnsiTheme="minorHAnsi"/>
          <w:sz w:val="20"/>
          <w:szCs w:val="20"/>
        </w:rPr>
      </w:pPr>
    </w:p>
    <w:p w14:paraId="47733AD4" w14:textId="7A88EA03" w:rsidR="002B6C43" w:rsidRPr="00262830" w:rsidRDefault="00E078D0">
      <w:pPr>
        <w:pStyle w:val="P68B1DB1-Normal4"/>
        <w:rPr>
          <w:rFonts w:asciiTheme="minorHAnsi" w:hAnsiTheme="minorHAnsi"/>
          <w:b w:val="0"/>
          <w:bCs/>
          <w:sz w:val="20"/>
          <w:szCs w:val="20"/>
        </w:rPr>
      </w:pPr>
      <w:r w:rsidRPr="00262830">
        <w:rPr>
          <w:rFonts w:asciiTheme="minorHAnsi" w:hAnsiTheme="minorHAnsi"/>
          <w:sz w:val="20"/>
          <w:szCs w:val="20"/>
        </w:rPr>
        <w:t>Tableau 2</w:t>
      </w:r>
      <w:r w:rsidR="00D74C22" w:rsidRPr="00262830">
        <w:rPr>
          <w:rFonts w:asciiTheme="minorHAnsi" w:hAnsiTheme="minorHAnsi"/>
          <w:sz w:val="20"/>
          <w:szCs w:val="20"/>
        </w:rPr>
        <w:t>.</w:t>
      </w:r>
      <w:r w:rsidRPr="00262830">
        <w:rPr>
          <w:rFonts w:asciiTheme="minorHAnsi" w:hAnsiTheme="minorHAnsi"/>
          <w:sz w:val="20"/>
          <w:szCs w:val="20"/>
        </w:rPr>
        <w:t xml:space="preserve"> </w:t>
      </w:r>
      <w:r w:rsidR="00D74C22" w:rsidRPr="00262830">
        <w:rPr>
          <w:rFonts w:asciiTheme="minorHAnsi" w:hAnsiTheme="minorHAnsi"/>
          <w:b w:val="0"/>
          <w:bCs/>
          <w:sz w:val="20"/>
          <w:szCs w:val="20"/>
        </w:rPr>
        <w:t>Example de c</w:t>
      </w:r>
      <w:r w:rsidR="0088219A" w:rsidRPr="00262830">
        <w:rPr>
          <w:rFonts w:asciiTheme="minorHAnsi" w:hAnsiTheme="minorHAnsi"/>
          <w:b w:val="0"/>
          <w:bCs/>
          <w:sz w:val="20"/>
          <w:szCs w:val="20"/>
        </w:rPr>
        <w:t>o</w:t>
      </w:r>
      <w:r w:rsidR="00D74C22" w:rsidRPr="00262830">
        <w:rPr>
          <w:rFonts w:asciiTheme="minorHAnsi" w:hAnsiTheme="minorHAnsi"/>
          <w:b w:val="0"/>
          <w:bCs/>
          <w:sz w:val="20"/>
          <w:szCs w:val="20"/>
        </w:rPr>
        <w:t>nten</w:t>
      </w:r>
      <w:r w:rsidR="0088219A" w:rsidRPr="00262830">
        <w:rPr>
          <w:rFonts w:asciiTheme="minorHAnsi" w:hAnsiTheme="minorHAnsi"/>
          <w:b w:val="0"/>
          <w:bCs/>
          <w:sz w:val="20"/>
          <w:szCs w:val="20"/>
        </w:rPr>
        <w:t>u</w:t>
      </w:r>
      <w:r w:rsidR="00D74C22" w:rsidRPr="00262830">
        <w:rPr>
          <w:rFonts w:asciiTheme="minorHAnsi" w:hAnsiTheme="minorHAnsi"/>
          <w:b w:val="0"/>
          <w:bCs/>
          <w:sz w:val="20"/>
          <w:szCs w:val="20"/>
        </w:rPr>
        <w:t xml:space="preserve"> d’un </w:t>
      </w:r>
      <w:r w:rsidR="0088219A" w:rsidRPr="00262830">
        <w:rPr>
          <w:rFonts w:asciiTheme="minorHAnsi" w:hAnsiTheme="minorHAnsi"/>
          <w:b w:val="0"/>
          <w:bCs/>
          <w:sz w:val="20"/>
          <w:szCs w:val="20"/>
        </w:rPr>
        <w:t>modèle</w:t>
      </w:r>
      <w:r w:rsidR="00D74C22" w:rsidRPr="00262830">
        <w:rPr>
          <w:rFonts w:asciiTheme="minorHAnsi" w:hAnsiTheme="minorHAnsi"/>
          <w:b w:val="0"/>
          <w:bCs/>
          <w:sz w:val="20"/>
          <w:szCs w:val="20"/>
        </w:rPr>
        <w:t xml:space="preserve"> </w:t>
      </w:r>
      <w:r w:rsidR="0088219A" w:rsidRPr="00262830">
        <w:rPr>
          <w:rFonts w:asciiTheme="minorHAnsi" w:hAnsiTheme="minorHAnsi"/>
          <w:b w:val="0"/>
          <w:bCs/>
          <w:sz w:val="20"/>
          <w:szCs w:val="20"/>
        </w:rPr>
        <w:t xml:space="preserve">pour analyser </w:t>
      </w:r>
      <w:r w:rsidR="00D74C22" w:rsidRPr="00262830">
        <w:rPr>
          <w:rFonts w:asciiTheme="minorHAnsi" w:hAnsiTheme="minorHAnsi"/>
          <w:b w:val="0"/>
          <w:bCs/>
          <w:sz w:val="20"/>
          <w:szCs w:val="20"/>
        </w:rPr>
        <w:t>l</w:t>
      </w:r>
      <w:r w:rsidR="00D23665" w:rsidRPr="00262830">
        <w:rPr>
          <w:rFonts w:asciiTheme="minorHAnsi" w:hAnsiTheme="minorHAnsi"/>
          <w:b w:val="0"/>
          <w:bCs/>
          <w:sz w:val="20"/>
          <w:szCs w:val="20"/>
        </w:rPr>
        <w:t xml:space="preserve">e respect de </w:t>
      </w:r>
      <w:r w:rsidR="00D74C22" w:rsidRPr="00262830">
        <w:rPr>
          <w:rFonts w:asciiTheme="minorHAnsi" w:hAnsiTheme="minorHAnsi"/>
          <w:b w:val="0"/>
          <w:bCs/>
          <w:sz w:val="20"/>
          <w:szCs w:val="20"/>
        </w:rPr>
        <w:t>l</w:t>
      </w:r>
      <w:r w:rsidR="0088219A" w:rsidRPr="00262830">
        <w:rPr>
          <w:rFonts w:asciiTheme="minorHAnsi" w:hAnsiTheme="minorHAnsi"/>
          <w:b w:val="0"/>
          <w:bCs/>
          <w:sz w:val="20"/>
          <w:szCs w:val="20"/>
        </w:rPr>
        <w:t>a couverture des observateurs</w:t>
      </w:r>
      <w:r w:rsidR="00D74C22" w:rsidRPr="00262830">
        <w:rPr>
          <w:rFonts w:asciiTheme="minorHAnsi" w:hAnsiTheme="minorHAnsi"/>
          <w:b w:val="0"/>
          <w:bCs/>
          <w:sz w:val="20"/>
          <w:szCs w:val="20"/>
        </w:rPr>
        <w:t>.</w:t>
      </w:r>
    </w:p>
    <w:tbl>
      <w:tblPr>
        <w:tblStyle w:val="TableGrid"/>
        <w:tblW w:w="0" w:type="auto"/>
        <w:tblLook w:val="04A0" w:firstRow="1" w:lastRow="0" w:firstColumn="1" w:lastColumn="0" w:noHBand="0" w:noVBand="1"/>
      </w:tblPr>
      <w:tblGrid>
        <w:gridCol w:w="671"/>
        <w:gridCol w:w="836"/>
        <w:gridCol w:w="1118"/>
        <w:gridCol w:w="836"/>
        <w:gridCol w:w="2589"/>
        <w:gridCol w:w="2041"/>
        <w:gridCol w:w="2052"/>
        <w:gridCol w:w="2807"/>
      </w:tblGrid>
      <w:tr w:rsidR="002B6C43" w:rsidRPr="00262830" w14:paraId="5133B28E" w14:textId="77777777">
        <w:tc>
          <w:tcPr>
            <w:tcW w:w="675" w:type="dxa"/>
          </w:tcPr>
          <w:p w14:paraId="588BF899" w14:textId="1A61561A" w:rsidR="002B6C43" w:rsidRPr="00262830" w:rsidRDefault="00E078D0">
            <w:pPr>
              <w:pStyle w:val="P68B1DB1-Normal8"/>
              <w:rPr>
                <w:rFonts w:asciiTheme="minorHAnsi" w:hAnsiTheme="minorHAnsi"/>
                <w:sz w:val="20"/>
                <w:szCs w:val="20"/>
              </w:rPr>
            </w:pPr>
            <w:r w:rsidRPr="00262830">
              <w:rPr>
                <w:rFonts w:asciiTheme="minorHAnsi" w:hAnsiTheme="minorHAnsi"/>
                <w:sz w:val="20"/>
                <w:szCs w:val="20"/>
              </w:rPr>
              <w:t>CPC</w:t>
            </w:r>
          </w:p>
        </w:tc>
        <w:tc>
          <w:tcPr>
            <w:tcW w:w="2835" w:type="dxa"/>
            <w:gridSpan w:val="3"/>
          </w:tcPr>
          <w:p w14:paraId="7B4E468A" w14:textId="20AC0A62" w:rsidR="002B6C43" w:rsidRPr="00262830" w:rsidRDefault="00D74C22">
            <w:pPr>
              <w:pStyle w:val="P68B1DB1-Normal8"/>
              <w:rPr>
                <w:rFonts w:asciiTheme="minorHAnsi" w:hAnsiTheme="minorHAnsi"/>
                <w:sz w:val="20"/>
                <w:szCs w:val="20"/>
              </w:rPr>
            </w:pPr>
            <w:r w:rsidRPr="00262830">
              <w:rPr>
                <w:rFonts w:asciiTheme="minorHAnsi" w:hAnsiTheme="minorHAnsi"/>
                <w:sz w:val="20"/>
                <w:szCs w:val="20"/>
              </w:rPr>
              <w:t xml:space="preserve">Rec. </w:t>
            </w:r>
            <w:r w:rsidR="00E078D0" w:rsidRPr="00262830">
              <w:rPr>
                <w:rFonts w:asciiTheme="minorHAnsi" w:hAnsiTheme="minorHAnsi"/>
                <w:sz w:val="20"/>
                <w:szCs w:val="20"/>
              </w:rPr>
              <w:t>16</w:t>
            </w:r>
            <w:r w:rsidRPr="00262830">
              <w:rPr>
                <w:rFonts w:asciiTheme="minorHAnsi" w:hAnsiTheme="minorHAnsi"/>
                <w:sz w:val="20"/>
                <w:szCs w:val="20"/>
              </w:rPr>
              <w:t>-</w:t>
            </w:r>
            <w:r w:rsidR="00E078D0" w:rsidRPr="00262830">
              <w:rPr>
                <w:rFonts w:asciiTheme="minorHAnsi" w:hAnsiTheme="minorHAnsi"/>
                <w:sz w:val="20"/>
                <w:szCs w:val="20"/>
              </w:rPr>
              <w:t>14, p</w:t>
            </w:r>
            <w:r w:rsidR="0088219A" w:rsidRPr="00262830">
              <w:rPr>
                <w:rFonts w:asciiTheme="minorHAnsi" w:hAnsiTheme="minorHAnsi"/>
                <w:sz w:val="20"/>
                <w:szCs w:val="20"/>
              </w:rPr>
              <w:t>ara</w:t>
            </w:r>
            <w:r w:rsidR="00E078D0" w:rsidRPr="00262830">
              <w:rPr>
                <w:rFonts w:asciiTheme="minorHAnsi" w:hAnsiTheme="minorHAnsi"/>
                <w:sz w:val="20"/>
                <w:szCs w:val="20"/>
              </w:rPr>
              <w:t xml:space="preserve"> 4.</w:t>
            </w:r>
          </w:p>
          <w:p w14:paraId="0CCCEFAF" w14:textId="12DE1030" w:rsidR="002B6C43" w:rsidRPr="00262830" w:rsidRDefault="00E078D0">
            <w:pPr>
              <w:pStyle w:val="P68B1DB1-Normal8"/>
              <w:rPr>
                <w:rFonts w:asciiTheme="minorHAnsi" w:hAnsiTheme="minorHAnsi"/>
                <w:sz w:val="20"/>
                <w:szCs w:val="20"/>
              </w:rPr>
            </w:pPr>
            <w:r w:rsidRPr="00262830">
              <w:rPr>
                <w:rFonts w:asciiTheme="minorHAnsi" w:hAnsiTheme="minorHAnsi"/>
                <w:sz w:val="20"/>
                <w:szCs w:val="20"/>
              </w:rPr>
              <w:t xml:space="preserve">5 % de </w:t>
            </w:r>
            <w:r w:rsidR="0088219A" w:rsidRPr="00262830">
              <w:rPr>
                <w:rFonts w:asciiTheme="minorHAnsi" w:hAnsiTheme="minorHAnsi"/>
                <w:sz w:val="20"/>
                <w:szCs w:val="20"/>
              </w:rPr>
              <w:t>couverture</w:t>
            </w:r>
            <w:r w:rsidRPr="00262830">
              <w:rPr>
                <w:rFonts w:asciiTheme="minorHAnsi" w:hAnsiTheme="minorHAnsi"/>
                <w:sz w:val="20"/>
                <w:szCs w:val="20"/>
              </w:rPr>
              <w:t xml:space="preserve"> d’observateurs scientifiques</w:t>
            </w:r>
          </w:p>
        </w:tc>
        <w:tc>
          <w:tcPr>
            <w:tcW w:w="2631" w:type="dxa"/>
          </w:tcPr>
          <w:p w14:paraId="3EC770BB" w14:textId="7FBC1C3C" w:rsidR="002B6C43" w:rsidRPr="00262830" w:rsidRDefault="00E078D0">
            <w:pPr>
              <w:pStyle w:val="P68B1DB1-Normal8"/>
              <w:rPr>
                <w:rFonts w:asciiTheme="minorHAnsi" w:hAnsiTheme="minorHAnsi"/>
                <w:sz w:val="20"/>
                <w:szCs w:val="20"/>
              </w:rPr>
            </w:pPr>
            <w:r w:rsidRPr="00262830">
              <w:rPr>
                <w:rFonts w:asciiTheme="minorHAnsi" w:hAnsiTheme="minorHAnsi"/>
                <w:sz w:val="20"/>
                <w:szCs w:val="20"/>
              </w:rPr>
              <w:t xml:space="preserve">TRO-Rec. 23-18 </w:t>
            </w:r>
            <w:r w:rsidR="0088219A" w:rsidRPr="00262830">
              <w:rPr>
                <w:rFonts w:asciiTheme="minorHAnsi" w:hAnsiTheme="minorHAnsi"/>
                <w:sz w:val="20"/>
                <w:szCs w:val="20"/>
              </w:rPr>
              <w:t xml:space="preserve">et Rec. </w:t>
            </w:r>
            <w:r w:rsidRPr="00262830">
              <w:rPr>
                <w:rFonts w:asciiTheme="minorHAnsi" w:hAnsiTheme="minorHAnsi"/>
                <w:sz w:val="20"/>
                <w:szCs w:val="20"/>
              </w:rPr>
              <w:t>16-14 (</w:t>
            </w:r>
            <w:r w:rsidR="0088219A" w:rsidRPr="00262830">
              <w:rPr>
                <w:rFonts w:asciiTheme="minorHAnsi" w:hAnsiTheme="minorHAnsi"/>
                <w:sz w:val="20"/>
                <w:szCs w:val="20"/>
              </w:rPr>
              <w:t>paras</w:t>
            </w:r>
            <w:r w:rsidRPr="00262830">
              <w:rPr>
                <w:rFonts w:asciiTheme="minorHAnsi" w:hAnsiTheme="minorHAnsi"/>
                <w:sz w:val="20"/>
                <w:szCs w:val="20"/>
              </w:rPr>
              <w:t xml:space="preserve"> 66-67)</w:t>
            </w:r>
          </w:p>
          <w:p w14:paraId="2D13C7D8" w14:textId="0E7DF53B" w:rsidR="002B6C43" w:rsidRPr="00262830" w:rsidRDefault="00E078D0">
            <w:pPr>
              <w:pStyle w:val="P68B1DB1-Normal8"/>
              <w:rPr>
                <w:rFonts w:asciiTheme="minorHAnsi" w:hAnsiTheme="minorHAnsi"/>
                <w:sz w:val="20"/>
                <w:szCs w:val="20"/>
              </w:rPr>
            </w:pPr>
            <w:r w:rsidRPr="00262830">
              <w:rPr>
                <w:rFonts w:asciiTheme="minorHAnsi" w:hAnsiTheme="minorHAnsi"/>
                <w:sz w:val="20"/>
                <w:szCs w:val="20"/>
              </w:rPr>
              <w:t xml:space="preserve">Couverture ≥ 10 % (observateurs humains ou </w:t>
            </w:r>
            <w:r w:rsidR="00F155B4" w:rsidRPr="00262830">
              <w:rPr>
                <w:rFonts w:asciiTheme="minorHAnsi" w:hAnsiTheme="minorHAnsi"/>
                <w:sz w:val="20"/>
                <w:szCs w:val="20"/>
              </w:rPr>
              <w:t>en association</w:t>
            </w:r>
            <w:r w:rsidRPr="00262830">
              <w:rPr>
                <w:rFonts w:asciiTheme="minorHAnsi" w:hAnsiTheme="minorHAnsi"/>
                <w:sz w:val="20"/>
                <w:szCs w:val="20"/>
              </w:rPr>
              <w:t xml:space="preserve"> avec EMS) pour les navires ciblant le thon obèse, l’albacore, le listao en 2025-</w:t>
            </w:r>
            <w:r w:rsidR="00D74C22" w:rsidRPr="00262830">
              <w:rPr>
                <w:rFonts w:asciiTheme="minorHAnsi" w:hAnsiTheme="minorHAnsi"/>
                <w:sz w:val="20"/>
                <w:szCs w:val="20"/>
              </w:rPr>
              <w:t>20</w:t>
            </w:r>
            <w:r w:rsidRPr="00262830">
              <w:rPr>
                <w:rFonts w:asciiTheme="minorHAnsi" w:hAnsiTheme="minorHAnsi"/>
                <w:sz w:val="20"/>
                <w:szCs w:val="20"/>
              </w:rPr>
              <w:t>27</w:t>
            </w:r>
          </w:p>
        </w:tc>
        <w:tc>
          <w:tcPr>
            <w:tcW w:w="2066" w:type="dxa"/>
          </w:tcPr>
          <w:p w14:paraId="6C6C2C87" w14:textId="3D08B68E" w:rsidR="002B6C43" w:rsidRPr="00262830" w:rsidRDefault="00E078D0">
            <w:pPr>
              <w:pStyle w:val="P68B1DB1-Normal8"/>
              <w:rPr>
                <w:rFonts w:asciiTheme="minorHAnsi" w:hAnsiTheme="minorHAnsi"/>
                <w:sz w:val="20"/>
                <w:szCs w:val="20"/>
              </w:rPr>
            </w:pPr>
            <w:r w:rsidRPr="00262830">
              <w:rPr>
                <w:rFonts w:asciiTheme="minorHAnsi" w:hAnsiTheme="minorHAnsi"/>
                <w:sz w:val="20"/>
                <w:szCs w:val="20"/>
              </w:rPr>
              <w:t xml:space="preserve">TRO-Rec. 23-18 </w:t>
            </w:r>
            <w:r w:rsidR="0088219A" w:rsidRPr="00262830">
              <w:rPr>
                <w:rFonts w:asciiTheme="minorHAnsi" w:hAnsiTheme="minorHAnsi"/>
                <w:sz w:val="20"/>
                <w:szCs w:val="20"/>
              </w:rPr>
              <w:t xml:space="preserve">et Rec. </w:t>
            </w:r>
            <w:r w:rsidRPr="00262830">
              <w:rPr>
                <w:rFonts w:asciiTheme="minorHAnsi" w:hAnsiTheme="minorHAnsi"/>
                <w:sz w:val="20"/>
                <w:szCs w:val="20"/>
              </w:rPr>
              <w:t>16-14 (p</w:t>
            </w:r>
            <w:r w:rsidR="0088219A" w:rsidRPr="00262830">
              <w:rPr>
                <w:rFonts w:asciiTheme="minorHAnsi" w:hAnsiTheme="minorHAnsi"/>
                <w:sz w:val="20"/>
                <w:szCs w:val="20"/>
              </w:rPr>
              <w:t>ara</w:t>
            </w:r>
            <w:r w:rsidRPr="00262830">
              <w:rPr>
                <w:rFonts w:asciiTheme="minorHAnsi" w:hAnsiTheme="minorHAnsi"/>
                <w:sz w:val="20"/>
                <w:szCs w:val="20"/>
              </w:rPr>
              <w:t xml:space="preserve"> 68)</w:t>
            </w:r>
          </w:p>
          <w:p w14:paraId="6AE676F1" w14:textId="6BF004FA" w:rsidR="002B6C43" w:rsidRPr="00262830" w:rsidRDefault="00E078D0">
            <w:pPr>
              <w:pStyle w:val="P68B1DB1-Normal8"/>
              <w:rPr>
                <w:rFonts w:asciiTheme="minorHAnsi" w:hAnsiTheme="minorHAnsi"/>
                <w:sz w:val="20"/>
                <w:szCs w:val="20"/>
              </w:rPr>
            </w:pPr>
            <w:r w:rsidRPr="00262830">
              <w:rPr>
                <w:rFonts w:asciiTheme="minorHAnsi" w:hAnsiTheme="minorHAnsi"/>
                <w:sz w:val="20"/>
                <w:szCs w:val="20"/>
              </w:rPr>
              <w:t xml:space="preserve">100 % de couverture par des observateurs de l’effort de pêche (humain ou </w:t>
            </w:r>
            <w:r w:rsidR="0088219A" w:rsidRPr="00262830">
              <w:rPr>
                <w:rFonts w:asciiTheme="minorHAnsi" w:hAnsiTheme="minorHAnsi"/>
                <w:sz w:val="20"/>
                <w:szCs w:val="20"/>
              </w:rPr>
              <w:t>EMS</w:t>
            </w:r>
            <w:r w:rsidRPr="00262830">
              <w:rPr>
                <w:rFonts w:asciiTheme="minorHAnsi" w:hAnsiTheme="minorHAnsi"/>
                <w:sz w:val="20"/>
                <w:szCs w:val="20"/>
              </w:rPr>
              <w:t>). La CPC peut conserver 20 % d</w:t>
            </w:r>
            <w:r w:rsidR="006D5851" w:rsidRPr="00262830">
              <w:rPr>
                <w:rFonts w:asciiTheme="minorHAnsi" w:hAnsiTheme="minorHAnsi"/>
                <w:sz w:val="20"/>
                <w:szCs w:val="20"/>
              </w:rPr>
              <w:t>es observateurs</w:t>
            </w:r>
            <w:r w:rsidRPr="00262830">
              <w:rPr>
                <w:rFonts w:asciiTheme="minorHAnsi" w:hAnsiTheme="minorHAnsi"/>
                <w:sz w:val="20"/>
                <w:szCs w:val="20"/>
              </w:rPr>
              <w:t xml:space="preserve"> humains si le 80 % restant</w:t>
            </w:r>
            <w:r w:rsidR="0088219A" w:rsidRPr="00262830">
              <w:rPr>
                <w:rFonts w:asciiTheme="minorHAnsi" w:hAnsiTheme="minorHAnsi"/>
                <w:sz w:val="20"/>
                <w:szCs w:val="20"/>
              </w:rPr>
              <w:t xml:space="preserve"> est</w:t>
            </w:r>
            <w:r w:rsidRPr="00262830">
              <w:rPr>
                <w:rFonts w:asciiTheme="minorHAnsi" w:hAnsiTheme="minorHAnsi"/>
                <w:sz w:val="20"/>
                <w:szCs w:val="20"/>
              </w:rPr>
              <w:t xml:space="preserve"> contrôlé</w:t>
            </w:r>
            <w:r w:rsidR="0088219A" w:rsidRPr="00262830">
              <w:rPr>
                <w:rFonts w:asciiTheme="minorHAnsi" w:hAnsiTheme="minorHAnsi"/>
                <w:sz w:val="20"/>
                <w:szCs w:val="20"/>
              </w:rPr>
              <w:t xml:space="preserve"> </w:t>
            </w:r>
            <w:r w:rsidRPr="00262830">
              <w:rPr>
                <w:rFonts w:asciiTheme="minorHAnsi" w:hAnsiTheme="minorHAnsi"/>
                <w:sz w:val="20"/>
                <w:szCs w:val="20"/>
              </w:rPr>
              <w:t>par EMS.</w:t>
            </w:r>
          </w:p>
        </w:tc>
        <w:tc>
          <w:tcPr>
            <w:tcW w:w="2070" w:type="dxa"/>
          </w:tcPr>
          <w:p w14:paraId="57D773C8" w14:textId="04368EBF" w:rsidR="002B6C43" w:rsidRPr="00262830" w:rsidRDefault="00D74C22">
            <w:pPr>
              <w:pStyle w:val="P68B1DB1-Normal8"/>
              <w:rPr>
                <w:rFonts w:asciiTheme="minorHAnsi" w:hAnsiTheme="minorHAnsi"/>
                <w:sz w:val="20"/>
                <w:szCs w:val="20"/>
              </w:rPr>
            </w:pPr>
            <w:r w:rsidRPr="00262830">
              <w:rPr>
                <w:rFonts w:asciiTheme="minorHAnsi" w:hAnsiTheme="minorHAnsi"/>
                <w:sz w:val="20"/>
                <w:szCs w:val="20"/>
              </w:rPr>
              <w:t xml:space="preserve">Rec. </w:t>
            </w:r>
            <w:r w:rsidR="00E078D0" w:rsidRPr="00262830">
              <w:rPr>
                <w:rFonts w:asciiTheme="minorHAnsi" w:hAnsiTheme="minorHAnsi"/>
                <w:sz w:val="20"/>
                <w:szCs w:val="20"/>
              </w:rPr>
              <w:t>22</w:t>
            </w:r>
            <w:r w:rsidRPr="00262830">
              <w:rPr>
                <w:rFonts w:asciiTheme="minorHAnsi" w:hAnsiTheme="minorHAnsi"/>
                <w:sz w:val="20"/>
                <w:szCs w:val="20"/>
              </w:rPr>
              <w:t>-</w:t>
            </w:r>
            <w:r w:rsidR="00E078D0" w:rsidRPr="00262830">
              <w:rPr>
                <w:rFonts w:asciiTheme="minorHAnsi" w:hAnsiTheme="minorHAnsi"/>
                <w:sz w:val="20"/>
                <w:szCs w:val="20"/>
              </w:rPr>
              <w:t xml:space="preserve"> 01 (p</w:t>
            </w:r>
            <w:r w:rsidR="0088219A" w:rsidRPr="00262830">
              <w:rPr>
                <w:rFonts w:asciiTheme="minorHAnsi" w:hAnsiTheme="minorHAnsi"/>
                <w:sz w:val="20"/>
                <w:szCs w:val="20"/>
              </w:rPr>
              <w:t>aras</w:t>
            </w:r>
            <w:r w:rsidR="00E078D0" w:rsidRPr="00262830">
              <w:rPr>
                <w:rFonts w:asciiTheme="minorHAnsi" w:hAnsiTheme="minorHAnsi"/>
                <w:sz w:val="20"/>
                <w:szCs w:val="20"/>
              </w:rPr>
              <w:t xml:space="preserve"> 38-41)</w:t>
            </w:r>
          </w:p>
          <w:p w14:paraId="6EEA9C56" w14:textId="60DF3A34" w:rsidR="002B6C43" w:rsidRPr="00262830" w:rsidRDefault="00E078D0">
            <w:pPr>
              <w:pStyle w:val="P68B1DB1-Normal8"/>
              <w:rPr>
                <w:rFonts w:asciiTheme="minorHAnsi" w:hAnsiTheme="minorHAnsi"/>
                <w:sz w:val="20"/>
                <w:szCs w:val="20"/>
              </w:rPr>
            </w:pPr>
            <w:r w:rsidRPr="00262830">
              <w:rPr>
                <w:rFonts w:asciiTheme="minorHAnsi" w:hAnsiTheme="minorHAnsi"/>
                <w:sz w:val="20"/>
                <w:szCs w:val="20"/>
              </w:rPr>
              <w:t xml:space="preserve">DCP/fermeture </w:t>
            </w:r>
            <w:r w:rsidR="0088219A" w:rsidRPr="00262830">
              <w:rPr>
                <w:rFonts w:asciiTheme="minorHAnsi" w:hAnsiTheme="minorHAnsi"/>
                <w:sz w:val="20"/>
                <w:szCs w:val="20"/>
              </w:rPr>
              <w:t>spatio-temporelle</w:t>
            </w:r>
            <w:r w:rsidRPr="00262830">
              <w:rPr>
                <w:rFonts w:asciiTheme="minorHAnsi" w:hAnsiTheme="minorHAnsi"/>
                <w:sz w:val="20"/>
                <w:szCs w:val="20"/>
              </w:rPr>
              <w:t xml:space="preserve"> pour les thon</w:t>
            </w:r>
            <w:r w:rsidR="0088219A" w:rsidRPr="00262830">
              <w:rPr>
                <w:rFonts w:asciiTheme="minorHAnsi" w:hAnsiTheme="minorHAnsi"/>
                <w:sz w:val="20"/>
                <w:szCs w:val="20"/>
              </w:rPr>
              <w:t>idé</w:t>
            </w:r>
            <w:r w:rsidRPr="00262830">
              <w:rPr>
                <w:rFonts w:asciiTheme="minorHAnsi" w:hAnsiTheme="minorHAnsi"/>
                <w:sz w:val="20"/>
                <w:szCs w:val="20"/>
              </w:rPr>
              <w:t>s tropicaux</w:t>
            </w:r>
          </w:p>
          <w:p w14:paraId="266DF4B6" w14:textId="2A610251" w:rsidR="002B6C43" w:rsidRPr="00262830" w:rsidRDefault="00E078D0">
            <w:pPr>
              <w:pStyle w:val="P68B1DB1-Normal8"/>
              <w:rPr>
                <w:rFonts w:asciiTheme="minorHAnsi" w:hAnsiTheme="minorHAnsi"/>
                <w:sz w:val="20"/>
                <w:szCs w:val="20"/>
              </w:rPr>
            </w:pPr>
            <w:r w:rsidRPr="00262830">
              <w:rPr>
                <w:rFonts w:asciiTheme="minorHAnsi" w:hAnsiTheme="minorHAnsi"/>
                <w:sz w:val="20"/>
                <w:szCs w:val="20"/>
              </w:rPr>
              <w:t xml:space="preserve">Observateur requis à bord de tous les navires pêchant pendant la </w:t>
            </w:r>
            <w:r w:rsidR="00D74C22" w:rsidRPr="00262830">
              <w:rPr>
                <w:rFonts w:asciiTheme="minorHAnsi" w:hAnsiTheme="minorHAnsi"/>
                <w:sz w:val="20"/>
                <w:szCs w:val="20"/>
              </w:rPr>
              <w:t xml:space="preserve">fermeture. </w:t>
            </w:r>
            <w:r w:rsidRPr="00262830">
              <w:rPr>
                <w:rFonts w:asciiTheme="minorHAnsi" w:hAnsiTheme="minorHAnsi"/>
                <w:sz w:val="20"/>
                <w:szCs w:val="20"/>
              </w:rPr>
              <w:t xml:space="preserve">Les </w:t>
            </w:r>
            <w:r w:rsidR="000D3815" w:rsidRPr="00262830">
              <w:rPr>
                <w:rFonts w:asciiTheme="minorHAnsi" w:hAnsiTheme="minorHAnsi"/>
                <w:sz w:val="20"/>
                <w:szCs w:val="20"/>
              </w:rPr>
              <w:t>CPC</w:t>
            </w:r>
            <w:r w:rsidRPr="00262830">
              <w:rPr>
                <w:rFonts w:asciiTheme="minorHAnsi" w:hAnsiTheme="minorHAnsi"/>
                <w:sz w:val="20"/>
                <w:szCs w:val="20"/>
              </w:rPr>
              <w:t xml:space="preserve"> doivent communiquer des données chaque année.</w:t>
            </w:r>
          </w:p>
        </w:tc>
        <w:tc>
          <w:tcPr>
            <w:tcW w:w="2899" w:type="dxa"/>
          </w:tcPr>
          <w:p w14:paraId="6351B904" w14:textId="627D8168" w:rsidR="002B6C43" w:rsidRPr="00262830" w:rsidRDefault="002B6C43">
            <w:pPr>
              <w:rPr>
                <w:rFonts w:cs="Times New Roman"/>
                <w:sz w:val="20"/>
                <w:szCs w:val="20"/>
              </w:rPr>
            </w:pPr>
          </w:p>
        </w:tc>
      </w:tr>
      <w:tr w:rsidR="002B6C43" w:rsidRPr="00262830" w14:paraId="48028AE5" w14:textId="77777777">
        <w:tc>
          <w:tcPr>
            <w:tcW w:w="675" w:type="dxa"/>
          </w:tcPr>
          <w:p w14:paraId="4755E533" w14:textId="77777777" w:rsidR="002B6C43" w:rsidRPr="00262830" w:rsidRDefault="002B6C43">
            <w:pPr>
              <w:rPr>
                <w:rFonts w:cs="Times New Roman"/>
                <w:sz w:val="20"/>
                <w:szCs w:val="20"/>
              </w:rPr>
            </w:pPr>
          </w:p>
        </w:tc>
        <w:tc>
          <w:tcPr>
            <w:tcW w:w="851" w:type="dxa"/>
          </w:tcPr>
          <w:p w14:paraId="6FC39603" w14:textId="527AAEF1" w:rsidR="002B6C43" w:rsidRPr="00262830" w:rsidRDefault="00E078D0">
            <w:pPr>
              <w:pStyle w:val="P68B1DB1-Normal8"/>
              <w:rPr>
                <w:rFonts w:asciiTheme="minorHAnsi" w:hAnsiTheme="minorHAnsi"/>
                <w:sz w:val="20"/>
                <w:szCs w:val="20"/>
              </w:rPr>
            </w:pPr>
            <w:r w:rsidRPr="00262830">
              <w:rPr>
                <w:rFonts w:asciiTheme="minorHAnsi" w:hAnsiTheme="minorHAnsi"/>
                <w:sz w:val="20"/>
                <w:szCs w:val="20"/>
              </w:rPr>
              <w:t>N:</w:t>
            </w:r>
          </w:p>
        </w:tc>
        <w:tc>
          <w:tcPr>
            <w:tcW w:w="1134" w:type="dxa"/>
          </w:tcPr>
          <w:p w14:paraId="3D5EEBBF" w14:textId="29A6F9DB" w:rsidR="002B6C43" w:rsidRPr="00262830" w:rsidRDefault="00E078D0">
            <w:pPr>
              <w:pStyle w:val="P68B1DB1-Normal8"/>
              <w:rPr>
                <w:rFonts w:asciiTheme="minorHAnsi" w:hAnsiTheme="minorHAnsi"/>
                <w:sz w:val="20"/>
                <w:szCs w:val="20"/>
              </w:rPr>
            </w:pPr>
            <w:r w:rsidRPr="00262830">
              <w:rPr>
                <w:rFonts w:asciiTheme="minorHAnsi" w:hAnsiTheme="minorHAnsi"/>
                <w:sz w:val="20"/>
                <w:szCs w:val="20"/>
              </w:rPr>
              <w:t>NOB:</w:t>
            </w:r>
          </w:p>
        </w:tc>
        <w:tc>
          <w:tcPr>
            <w:tcW w:w="850" w:type="dxa"/>
          </w:tcPr>
          <w:p w14:paraId="4546B9C8" w14:textId="7EAE2CA5" w:rsidR="002B6C43" w:rsidRPr="00262830" w:rsidRDefault="00E078D0">
            <w:pPr>
              <w:pStyle w:val="P68B1DB1-Normal8"/>
              <w:rPr>
                <w:rFonts w:asciiTheme="minorHAnsi" w:hAnsiTheme="minorHAnsi"/>
                <w:sz w:val="20"/>
                <w:szCs w:val="20"/>
              </w:rPr>
            </w:pPr>
            <w:r w:rsidRPr="00262830">
              <w:rPr>
                <w:rFonts w:asciiTheme="minorHAnsi" w:hAnsiTheme="minorHAnsi"/>
                <w:sz w:val="20"/>
                <w:szCs w:val="20"/>
              </w:rPr>
              <w:t xml:space="preserve">%: </w:t>
            </w:r>
          </w:p>
        </w:tc>
        <w:tc>
          <w:tcPr>
            <w:tcW w:w="2631" w:type="dxa"/>
          </w:tcPr>
          <w:p w14:paraId="455208D8" w14:textId="77777777" w:rsidR="002B6C43" w:rsidRPr="00262830" w:rsidRDefault="002B6C43">
            <w:pPr>
              <w:rPr>
                <w:rFonts w:cs="Times New Roman"/>
                <w:sz w:val="20"/>
                <w:szCs w:val="20"/>
              </w:rPr>
            </w:pPr>
          </w:p>
        </w:tc>
        <w:tc>
          <w:tcPr>
            <w:tcW w:w="2066" w:type="dxa"/>
          </w:tcPr>
          <w:p w14:paraId="772A227A" w14:textId="77777777" w:rsidR="002B6C43" w:rsidRPr="00262830" w:rsidRDefault="002B6C43">
            <w:pPr>
              <w:rPr>
                <w:rFonts w:cs="Times New Roman"/>
                <w:sz w:val="20"/>
                <w:szCs w:val="20"/>
              </w:rPr>
            </w:pPr>
          </w:p>
        </w:tc>
        <w:tc>
          <w:tcPr>
            <w:tcW w:w="2070" w:type="dxa"/>
          </w:tcPr>
          <w:p w14:paraId="2679A49F" w14:textId="77777777" w:rsidR="002B6C43" w:rsidRPr="00262830" w:rsidRDefault="002B6C43">
            <w:pPr>
              <w:rPr>
                <w:rFonts w:cs="Times New Roman"/>
                <w:sz w:val="20"/>
                <w:szCs w:val="20"/>
              </w:rPr>
            </w:pPr>
          </w:p>
        </w:tc>
        <w:tc>
          <w:tcPr>
            <w:tcW w:w="2899" w:type="dxa"/>
          </w:tcPr>
          <w:p w14:paraId="23AD3CCF" w14:textId="77777777" w:rsidR="002B6C43" w:rsidRPr="00262830" w:rsidRDefault="002B6C43">
            <w:pPr>
              <w:rPr>
                <w:rFonts w:cs="Times New Roman"/>
                <w:sz w:val="20"/>
                <w:szCs w:val="20"/>
              </w:rPr>
            </w:pPr>
          </w:p>
        </w:tc>
      </w:tr>
      <w:tr w:rsidR="002B6C43" w:rsidRPr="00262830" w14:paraId="6AAB8336" w14:textId="77777777">
        <w:tc>
          <w:tcPr>
            <w:tcW w:w="675" w:type="dxa"/>
          </w:tcPr>
          <w:p w14:paraId="249747CA" w14:textId="77777777" w:rsidR="002B6C43" w:rsidRPr="00262830" w:rsidRDefault="002B6C43">
            <w:pPr>
              <w:rPr>
                <w:rFonts w:cs="Times New Roman"/>
                <w:sz w:val="20"/>
                <w:szCs w:val="20"/>
              </w:rPr>
            </w:pPr>
          </w:p>
        </w:tc>
        <w:tc>
          <w:tcPr>
            <w:tcW w:w="2835" w:type="dxa"/>
            <w:gridSpan w:val="3"/>
          </w:tcPr>
          <w:p w14:paraId="5AA9C6A1" w14:textId="77777777" w:rsidR="002B6C43" w:rsidRPr="00262830" w:rsidRDefault="002B6C43">
            <w:pPr>
              <w:rPr>
                <w:rFonts w:cs="Times New Roman"/>
                <w:sz w:val="20"/>
                <w:szCs w:val="20"/>
              </w:rPr>
            </w:pPr>
          </w:p>
        </w:tc>
        <w:tc>
          <w:tcPr>
            <w:tcW w:w="2631" w:type="dxa"/>
          </w:tcPr>
          <w:p w14:paraId="3E35FBCF" w14:textId="77777777" w:rsidR="002B6C43" w:rsidRPr="00262830" w:rsidRDefault="002B6C43">
            <w:pPr>
              <w:rPr>
                <w:rFonts w:cs="Times New Roman"/>
                <w:sz w:val="20"/>
                <w:szCs w:val="20"/>
              </w:rPr>
            </w:pPr>
          </w:p>
        </w:tc>
        <w:tc>
          <w:tcPr>
            <w:tcW w:w="2066" w:type="dxa"/>
          </w:tcPr>
          <w:p w14:paraId="380A0E90" w14:textId="77777777" w:rsidR="002B6C43" w:rsidRPr="00262830" w:rsidRDefault="002B6C43">
            <w:pPr>
              <w:rPr>
                <w:rFonts w:cs="Times New Roman"/>
                <w:sz w:val="20"/>
                <w:szCs w:val="20"/>
              </w:rPr>
            </w:pPr>
          </w:p>
        </w:tc>
        <w:tc>
          <w:tcPr>
            <w:tcW w:w="2070" w:type="dxa"/>
          </w:tcPr>
          <w:p w14:paraId="74DD8665" w14:textId="77777777" w:rsidR="002B6C43" w:rsidRPr="00262830" w:rsidRDefault="002B6C43">
            <w:pPr>
              <w:rPr>
                <w:rFonts w:cs="Times New Roman"/>
                <w:sz w:val="20"/>
                <w:szCs w:val="20"/>
              </w:rPr>
            </w:pPr>
          </w:p>
        </w:tc>
        <w:tc>
          <w:tcPr>
            <w:tcW w:w="2899" w:type="dxa"/>
          </w:tcPr>
          <w:p w14:paraId="7179D9F5" w14:textId="77777777" w:rsidR="002B6C43" w:rsidRPr="00262830" w:rsidRDefault="002B6C43">
            <w:pPr>
              <w:rPr>
                <w:rFonts w:cs="Times New Roman"/>
                <w:sz w:val="20"/>
                <w:szCs w:val="20"/>
              </w:rPr>
            </w:pPr>
          </w:p>
        </w:tc>
      </w:tr>
      <w:tr w:rsidR="002B6C43" w:rsidRPr="00262830" w14:paraId="6D82BA48" w14:textId="77777777">
        <w:tc>
          <w:tcPr>
            <w:tcW w:w="675" w:type="dxa"/>
          </w:tcPr>
          <w:p w14:paraId="50D5AE85" w14:textId="77777777" w:rsidR="002B6C43" w:rsidRPr="00262830" w:rsidRDefault="002B6C43">
            <w:pPr>
              <w:rPr>
                <w:rFonts w:cs="Times New Roman"/>
                <w:sz w:val="20"/>
                <w:szCs w:val="20"/>
              </w:rPr>
            </w:pPr>
          </w:p>
        </w:tc>
        <w:tc>
          <w:tcPr>
            <w:tcW w:w="2835" w:type="dxa"/>
            <w:gridSpan w:val="3"/>
          </w:tcPr>
          <w:p w14:paraId="3095007B" w14:textId="77777777" w:rsidR="002B6C43" w:rsidRPr="00262830" w:rsidRDefault="002B6C43">
            <w:pPr>
              <w:rPr>
                <w:rFonts w:cs="Times New Roman"/>
                <w:sz w:val="20"/>
                <w:szCs w:val="20"/>
              </w:rPr>
            </w:pPr>
          </w:p>
        </w:tc>
        <w:tc>
          <w:tcPr>
            <w:tcW w:w="2631" w:type="dxa"/>
          </w:tcPr>
          <w:p w14:paraId="5F403231" w14:textId="77777777" w:rsidR="002B6C43" w:rsidRPr="00262830" w:rsidRDefault="002B6C43">
            <w:pPr>
              <w:rPr>
                <w:rFonts w:cs="Times New Roman"/>
                <w:sz w:val="20"/>
                <w:szCs w:val="20"/>
              </w:rPr>
            </w:pPr>
          </w:p>
        </w:tc>
        <w:tc>
          <w:tcPr>
            <w:tcW w:w="2066" w:type="dxa"/>
          </w:tcPr>
          <w:p w14:paraId="3CD274E4" w14:textId="77777777" w:rsidR="002B6C43" w:rsidRPr="00262830" w:rsidRDefault="002B6C43">
            <w:pPr>
              <w:rPr>
                <w:rFonts w:cs="Times New Roman"/>
                <w:sz w:val="20"/>
                <w:szCs w:val="20"/>
              </w:rPr>
            </w:pPr>
          </w:p>
        </w:tc>
        <w:tc>
          <w:tcPr>
            <w:tcW w:w="2070" w:type="dxa"/>
          </w:tcPr>
          <w:p w14:paraId="70DB28AA" w14:textId="77777777" w:rsidR="002B6C43" w:rsidRPr="00262830" w:rsidRDefault="002B6C43">
            <w:pPr>
              <w:rPr>
                <w:rFonts w:cs="Times New Roman"/>
                <w:sz w:val="20"/>
                <w:szCs w:val="20"/>
              </w:rPr>
            </w:pPr>
          </w:p>
        </w:tc>
        <w:tc>
          <w:tcPr>
            <w:tcW w:w="2899" w:type="dxa"/>
          </w:tcPr>
          <w:p w14:paraId="22B3F9CC" w14:textId="77777777" w:rsidR="002B6C43" w:rsidRPr="00262830" w:rsidRDefault="002B6C43">
            <w:pPr>
              <w:rPr>
                <w:rFonts w:cs="Times New Roman"/>
                <w:sz w:val="20"/>
                <w:szCs w:val="20"/>
              </w:rPr>
            </w:pPr>
          </w:p>
        </w:tc>
      </w:tr>
    </w:tbl>
    <w:p w14:paraId="1BA2F3F1" w14:textId="77777777" w:rsidR="002B6C43" w:rsidRPr="00262830" w:rsidRDefault="002B6C43">
      <w:pPr>
        <w:rPr>
          <w:rFonts w:cs="Times New Roman"/>
          <w:sz w:val="20"/>
          <w:szCs w:val="20"/>
        </w:rPr>
      </w:pPr>
    </w:p>
    <w:p w14:paraId="03C49DFC" w14:textId="5270EC46" w:rsidR="002B6C43" w:rsidRPr="00262830" w:rsidRDefault="00E078D0">
      <w:pPr>
        <w:pStyle w:val="P68B1DB1-Normal8"/>
        <w:rPr>
          <w:rFonts w:asciiTheme="minorHAnsi" w:hAnsiTheme="minorHAnsi"/>
          <w:sz w:val="16"/>
          <w:szCs w:val="16"/>
        </w:rPr>
      </w:pPr>
      <w:r w:rsidRPr="00262830">
        <w:rPr>
          <w:rFonts w:asciiTheme="minorHAnsi" w:hAnsiTheme="minorHAnsi"/>
          <w:sz w:val="16"/>
          <w:szCs w:val="16"/>
        </w:rPr>
        <w:t xml:space="preserve">Pour chaque disposition, </w:t>
      </w:r>
      <w:r w:rsidR="00C40C95" w:rsidRPr="00262830">
        <w:rPr>
          <w:rFonts w:asciiTheme="minorHAnsi" w:hAnsiTheme="minorHAnsi"/>
          <w:sz w:val="16"/>
          <w:szCs w:val="16"/>
        </w:rPr>
        <w:t>indiquer :</w:t>
      </w:r>
      <w:r w:rsidRPr="00262830">
        <w:rPr>
          <w:rFonts w:asciiTheme="minorHAnsi" w:hAnsiTheme="minorHAnsi"/>
          <w:sz w:val="16"/>
          <w:szCs w:val="16"/>
        </w:rPr>
        <w:t xml:space="preserve"> N</w:t>
      </w:r>
      <w:r w:rsidR="00C40C95" w:rsidRPr="00262830">
        <w:rPr>
          <w:rFonts w:asciiTheme="minorHAnsi" w:hAnsiTheme="minorHAnsi"/>
          <w:sz w:val="16"/>
          <w:szCs w:val="16"/>
        </w:rPr>
        <w:t xml:space="preserve"> </w:t>
      </w:r>
      <w:r w:rsidRPr="00262830">
        <w:rPr>
          <w:rFonts w:asciiTheme="minorHAnsi" w:hAnsiTheme="minorHAnsi"/>
          <w:sz w:val="16"/>
          <w:szCs w:val="16"/>
        </w:rPr>
        <w:t>: nombre de navires autorisés/</w:t>
      </w:r>
      <w:r w:rsidR="00C40C95" w:rsidRPr="00262830">
        <w:rPr>
          <w:rFonts w:asciiTheme="minorHAnsi" w:hAnsiTheme="minorHAnsi"/>
          <w:sz w:val="16"/>
          <w:szCs w:val="16"/>
        </w:rPr>
        <w:t>actifs ;</w:t>
      </w:r>
      <w:r w:rsidRPr="00262830">
        <w:rPr>
          <w:rFonts w:asciiTheme="minorHAnsi" w:hAnsiTheme="minorHAnsi"/>
          <w:sz w:val="16"/>
          <w:szCs w:val="16"/>
        </w:rPr>
        <w:t xml:space="preserve"> NOB</w:t>
      </w:r>
      <w:r w:rsidR="00C40C95" w:rsidRPr="00262830">
        <w:rPr>
          <w:rFonts w:asciiTheme="minorHAnsi" w:hAnsiTheme="minorHAnsi"/>
          <w:sz w:val="16"/>
          <w:szCs w:val="16"/>
        </w:rPr>
        <w:t xml:space="preserve"> </w:t>
      </w:r>
      <w:r w:rsidRPr="00262830">
        <w:rPr>
          <w:rFonts w:asciiTheme="minorHAnsi" w:hAnsiTheme="minorHAnsi"/>
          <w:sz w:val="16"/>
          <w:szCs w:val="16"/>
        </w:rPr>
        <w:t>: nombre de navires avec observateurs</w:t>
      </w:r>
      <w:r w:rsidR="00C40C95" w:rsidRPr="00262830">
        <w:rPr>
          <w:rFonts w:asciiTheme="minorHAnsi" w:hAnsiTheme="minorHAnsi"/>
          <w:sz w:val="16"/>
          <w:szCs w:val="16"/>
        </w:rPr>
        <w:t xml:space="preserve"> </w:t>
      </w:r>
      <w:r w:rsidRPr="00262830">
        <w:rPr>
          <w:rFonts w:asciiTheme="minorHAnsi" w:hAnsiTheme="minorHAnsi"/>
          <w:sz w:val="16"/>
          <w:szCs w:val="16"/>
        </w:rPr>
        <w:t>; %</w:t>
      </w:r>
      <w:r w:rsidR="00C40C95" w:rsidRPr="00262830">
        <w:rPr>
          <w:rFonts w:asciiTheme="minorHAnsi" w:hAnsiTheme="minorHAnsi"/>
          <w:sz w:val="16"/>
          <w:szCs w:val="16"/>
        </w:rPr>
        <w:t xml:space="preserve"> </w:t>
      </w:r>
      <w:r w:rsidRPr="00262830">
        <w:rPr>
          <w:rFonts w:asciiTheme="minorHAnsi" w:hAnsiTheme="minorHAnsi"/>
          <w:sz w:val="16"/>
          <w:szCs w:val="16"/>
        </w:rPr>
        <w:t>: pourcentage de navires autorisés/actifs couverts.</w:t>
      </w:r>
    </w:p>
    <w:sectPr w:rsidR="002B6C43" w:rsidRPr="00262830" w:rsidSect="00125365">
      <w:pgSz w:w="15840" w:h="12240" w:orient="landscape" w:code="1"/>
      <w:pgMar w:top="1797" w:right="1440" w:bottom="1797" w:left="1440"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824F4" w14:textId="77777777" w:rsidR="00CC5CD4" w:rsidRDefault="00CC5CD4">
      <w:pPr>
        <w:spacing w:after="0" w:line="240" w:lineRule="auto"/>
      </w:pPr>
      <w:r>
        <w:separator/>
      </w:r>
    </w:p>
  </w:endnote>
  <w:endnote w:type="continuationSeparator" w:id="0">
    <w:p w14:paraId="7817EA4E" w14:textId="77777777" w:rsidR="00CC5CD4" w:rsidRDefault="00CC5CD4">
      <w:pPr>
        <w:spacing w:after="0" w:line="240" w:lineRule="auto"/>
      </w:pPr>
      <w:r>
        <w:continuationSeparator/>
      </w:r>
    </w:p>
  </w:endnote>
  <w:endnote w:type="continuationNotice" w:id="1">
    <w:p w14:paraId="24E7CAA3" w14:textId="77777777" w:rsidR="00CC5CD4" w:rsidRDefault="00CC5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963918"/>
      <w:docPartObj>
        <w:docPartGallery w:val="Page Numbers (Bottom of Page)"/>
        <w:docPartUnique/>
      </w:docPartObj>
    </w:sdtPr>
    <w:sdtEndPr>
      <w:rPr>
        <w:noProof/>
      </w:rPr>
    </w:sdtEndPr>
    <w:sdtContent>
      <w:p w14:paraId="13B51771" w14:textId="6D0548DC" w:rsidR="002B6C43" w:rsidRDefault="00000000" w:rsidP="00262830">
        <w:pPr>
          <w:pStyle w:val="Footer"/>
          <w:jc w:val="center"/>
        </w:pPr>
        <w:sdt>
          <w:sdtPr>
            <w:rPr>
              <w:rFonts w:ascii="Calibri" w:eastAsia="Calibri" w:hAnsi="Calibri" w:cs="Calibri"/>
              <w:sz w:val="20"/>
              <w:szCs w:val="20"/>
            </w:rPr>
            <w:id w:val="810910487"/>
            <w:docPartObj>
              <w:docPartGallery w:val="Page Numbers (Top of Page)"/>
              <w:docPartUnique/>
            </w:docPartObj>
          </w:sdtPr>
          <w:sdtContent>
            <w:r w:rsidR="00EB67B7" w:rsidRPr="00713AD4">
              <w:rPr>
                <w:rFonts w:eastAsia="Calibri" w:cs="Calibri"/>
                <w:sz w:val="20"/>
                <w:szCs w:val="20"/>
              </w:rPr>
              <w:fldChar w:fldCharType="begin"/>
            </w:r>
            <w:r w:rsidR="00EB67B7" w:rsidRPr="00713AD4">
              <w:rPr>
                <w:rFonts w:eastAsia="Calibri" w:cs="Calibri"/>
                <w:sz w:val="20"/>
                <w:szCs w:val="20"/>
              </w:rPr>
              <w:instrText xml:space="preserve"> PAGE </w:instrText>
            </w:r>
            <w:r w:rsidR="00EB67B7" w:rsidRPr="00713AD4">
              <w:rPr>
                <w:rFonts w:eastAsia="Calibri" w:cs="Calibri"/>
                <w:sz w:val="20"/>
                <w:szCs w:val="20"/>
              </w:rPr>
              <w:fldChar w:fldCharType="separate"/>
            </w:r>
            <w:r w:rsidR="00EB67B7">
              <w:rPr>
                <w:rFonts w:eastAsia="Calibri" w:cs="Calibri"/>
                <w:sz w:val="20"/>
                <w:szCs w:val="20"/>
              </w:rPr>
              <w:t>2</w:t>
            </w:r>
            <w:r w:rsidR="00EB67B7" w:rsidRPr="00713AD4">
              <w:rPr>
                <w:rFonts w:eastAsia="Calibri" w:cs="Calibri"/>
                <w:sz w:val="20"/>
                <w:szCs w:val="20"/>
              </w:rPr>
              <w:fldChar w:fldCharType="end"/>
            </w:r>
            <w:r w:rsidR="00EB67B7" w:rsidRPr="00713AD4">
              <w:rPr>
                <w:rFonts w:eastAsia="Calibri" w:cs="Calibri"/>
                <w:sz w:val="20"/>
                <w:szCs w:val="20"/>
              </w:rPr>
              <w:t xml:space="preserve"> / </w:t>
            </w:r>
            <w:r w:rsidR="00EB67B7" w:rsidRPr="00713AD4">
              <w:rPr>
                <w:rFonts w:eastAsia="Calibri" w:cs="Calibri"/>
                <w:sz w:val="20"/>
                <w:szCs w:val="20"/>
              </w:rPr>
              <w:fldChar w:fldCharType="begin"/>
            </w:r>
            <w:r w:rsidR="00EB67B7" w:rsidRPr="00713AD4">
              <w:rPr>
                <w:rFonts w:eastAsia="Calibri" w:cs="Calibri"/>
                <w:sz w:val="20"/>
                <w:szCs w:val="20"/>
              </w:rPr>
              <w:instrText xml:space="preserve"> NUMPAGES  </w:instrText>
            </w:r>
            <w:r w:rsidR="00EB67B7" w:rsidRPr="00713AD4">
              <w:rPr>
                <w:rFonts w:eastAsia="Calibri" w:cs="Calibri"/>
                <w:sz w:val="20"/>
                <w:szCs w:val="20"/>
              </w:rPr>
              <w:fldChar w:fldCharType="separate"/>
            </w:r>
            <w:r w:rsidR="00EB67B7">
              <w:rPr>
                <w:rFonts w:eastAsia="Calibri" w:cs="Calibri"/>
                <w:sz w:val="20"/>
                <w:szCs w:val="20"/>
              </w:rPr>
              <w:t>8</w:t>
            </w:r>
            <w:r w:rsidR="00EB67B7" w:rsidRPr="00713AD4">
              <w:rPr>
                <w:rFonts w:eastAsia="Calibri" w:cs="Calibri"/>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9EFEC" w14:textId="77777777" w:rsidR="00CC5CD4" w:rsidRDefault="00CC5CD4">
      <w:pPr>
        <w:spacing w:after="0" w:line="240" w:lineRule="auto"/>
      </w:pPr>
      <w:r>
        <w:separator/>
      </w:r>
    </w:p>
  </w:footnote>
  <w:footnote w:type="continuationSeparator" w:id="0">
    <w:p w14:paraId="473A7931" w14:textId="77777777" w:rsidR="00CC5CD4" w:rsidRDefault="00CC5CD4">
      <w:pPr>
        <w:spacing w:after="0" w:line="240" w:lineRule="auto"/>
      </w:pPr>
      <w:r>
        <w:continuationSeparator/>
      </w:r>
    </w:p>
  </w:footnote>
  <w:footnote w:type="continuationNotice" w:id="1">
    <w:p w14:paraId="523859A5" w14:textId="77777777" w:rsidR="00CC5CD4" w:rsidRDefault="00CC5CD4">
      <w:pPr>
        <w:spacing w:after="0" w:line="240" w:lineRule="auto"/>
      </w:pPr>
    </w:p>
  </w:footnote>
  <w:footnote w:id="2">
    <w:p w14:paraId="48B1ADC3" w14:textId="77777777" w:rsidR="002B6C43" w:rsidRPr="00EB67B7" w:rsidRDefault="00E078D0">
      <w:pPr>
        <w:pStyle w:val="FootnoteText"/>
        <w:rPr>
          <w:sz w:val="16"/>
          <w:szCs w:val="16"/>
        </w:rPr>
      </w:pPr>
      <w:r w:rsidRPr="00EB67B7">
        <w:rPr>
          <w:rStyle w:val="FootnoteReference"/>
          <w:sz w:val="16"/>
          <w:szCs w:val="16"/>
        </w:rPr>
        <w:footnoteRef/>
      </w:r>
      <w:r w:rsidRPr="00EB67B7">
        <w:rPr>
          <w:sz w:val="16"/>
          <w:szCs w:val="16"/>
        </w:rPr>
        <w:t xml:space="preserve"> Exemple </w:t>
      </w:r>
      <w:hyperlink r:id="rId1" w:history="1">
        <w:r w:rsidR="002B6C43" w:rsidRPr="00EB67B7">
          <w:rPr>
            <w:rStyle w:val="Hyperlink"/>
            <w:sz w:val="16"/>
            <w:szCs w:val="16"/>
          </w:rPr>
          <w:t>https://iotc.org/sites/default/files/documents/2025/04/IOTC-2025-CoC22-03_Rev2_E_-_Summary_Report_on_the_level_of_Compliance.pdf</w:t>
        </w:r>
      </w:hyperlink>
      <w:r w:rsidRPr="00EB67B7">
        <w:rPr>
          <w:sz w:val="16"/>
          <w:szCs w:val="16"/>
        </w:rPr>
        <w:t xml:space="preserve">  </w:t>
      </w:r>
    </w:p>
  </w:footnote>
  <w:footnote w:id="3">
    <w:p w14:paraId="6363ED53" w14:textId="77777777" w:rsidR="002B6C43" w:rsidRPr="00EB67B7" w:rsidRDefault="00E078D0" w:rsidP="00E406BF">
      <w:pPr>
        <w:pStyle w:val="FootnoteText"/>
        <w:jc w:val="both"/>
        <w:rPr>
          <w:sz w:val="16"/>
          <w:szCs w:val="16"/>
        </w:rPr>
      </w:pPr>
      <w:r w:rsidRPr="00EB67B7">
        <w:rPr>
          <w:rStyle w:val="FootnoteReference"/>
          <w:sz w:val="16"/>
          <w:szCs w:val="16"/>
        </w:rPr>
        <w:footnoteRef/>
      </w:r>
      <w:r w:rsidRPr="00EB67B7">
        <w:rPr>
          <w:sz w:val="16"/>
          <w:szCs w:val="16"/>
        </w:rPr>
        <w:t xml:space="preserve"> Exemple </w:t>
      </w:r>
      <w:hyperlink r:id="rId2" w:history="1">
        <w:r w:rsidR="002B6C43" w:rsidRPr="00EB67B7">
          <w:rPr>
            <w:rStyle w:val="Hyperlink"/>
            <w:sz w:val="16"/>
            <w:szCs w:val="16"/>
          </w:rPr>
          <w:t>https://www.sprfmo.int/assets/Meetings/03-CTC/12th-CTC-2025/Meeting-Documents/CTC12-Doc08-Implementation-Report-Inspections-a.pdf</w:t>
        </w:r>
      </w:hyperlink>
    </w:p>
  </w:footnote>
  <w:footnote w:id="4">
    <w:p w14:paraId="0B94810B" w14:textId="77777777" w:rsidR="002B6C43" w:rsidRPr="00EB67B7" w:rsidRDefault="00E078D0" w:rsidP="00E406BF">
      <w:pPr>
        <w:pStyle w:val="FootnoteText"/>
        <w:jc w:val="both"/>
        <w:rPr>
          <w:sz w:val="16"/>
          <w:szCs w:val="16"/>
        </w:rPr>
      </w:pPr>
      <w:r w:rsidRPr="00EB67B7">
        <w:rPr>
          <w:rStyle w:val="FootnoteReference"/>
          <w:sz w:val="16"/>
          <w:szCs w:val="16"/>
        </w:rPr>
        <w:footnoteRef/>
      </w:r>
      <w:r w:rsidRPr="00EB67B7">
        <w:rPr>
          <w:sz w:val="16"/>
          <w:szCs w:val="16"/>
        </w:rPr>
        <w:t xml:space="preserve"> Exemple </w:t>
      </w:r>
      <w:hyperlink r:id="rId3" w:history="1">
        <w:r w:rsidR="002B6C43" w:rsidRPr="00EB67B7">
          <w:rPr>
            <w:rStyle w:val="Hyperlink"/>
            <w:sz w:val="16"/>
            <w:szCs w:val="16"/>
          </w:rPr>
          <w:t>https://iotc.org/sites/default/files/documents/2025/03/IOTC-2025-CoC22-10_E_-_Compliance_Support_Activities.pdf</w:t>
        </w:r>
      </w:hyperlink>
      <w:r w:rsidRPr="00EB67B7">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69E8" w14:textId="285A1CBF" w:rsidR="00B74EB4" w:rsidRPr="00EB3CAC" w:rsidRDefault="00B74EB4" w:rsidP="00B74EB4">
    <w:pPr>
      <w:tabs>
        <w:tab w:val="left" w:pos="7320"/>
      </w:tabs>
      <w:spacing w:after="0" w:line="240" w:lineRule="auto"/>
      <w:jc w:val="right"/>
      <w:rPr>
        <w:b/>
        <w:bCs/>
        <w:sz w:val="20"/>
        <w:szCs w:val="20"/>
        <w:lang w:val="es-ES"/>
      </w:rPr>
    </w:pPr>
    <w:r>
      <w:rPr>
        <w:b/>
        <w:bCs/>
        <w:sz w:val="20"/>
        <w:szCs w:val="20"/>
        <w:lang w:val="es-ES"/>
      </w:rPr>
      <w:t>COC_323</w:t>
    </w:r>
    <w:r w:rsidR="005273BF">
      <w:rPr>
        <w:b/>
        <w:bCs/>
        <w:sz w:val="20"/>
        <w:szCs w:val="20"/>
        <w:lang w:val="es-ES"/>
      </w:rPr>
      <w:t>A</w:t>
    </w:r>
    <w:r w:rsidRPr="00EB3CAC">
      <w:rPr>
        <w:b/>
        <w:bCs/>
        <w:sz w:val="20"/>
        <w:szCs w:val="20"/>
        <w:lang w:val="es-ES"/>
      </w:rPr>
      <w:t>/2025</w:t>
    </w:r>
  </w:p>
  <w:p w14:paraId="7E68DB2B" w14:textId="78A97377" w:rsidR="00B74EB4" w:rsidRDefault="00B74EB4" w:rsidP="00B74EB4">
    <w:pPr>
      <w:tabs>
        <w:tab w:val="left" w:pos="7320"/>
      </w:tabs>
      <w:spacing w:after="0" w:line="240" w:lineRule="auto"/>
      <w:jc w:val="right"/>
    </w:pPr>
    <w:r>
      <w:rPr>
        <w:b/>
        <w:bCs/>
        <w:sz w:val="16"/>
        <w:szCs w:val="16"/>
        <w:lang w:val="es-ES"/>
      </w:rPr>
      <w:fldChar w:fldCharType="begin"/>
    </w:r>
    <w:r>
      <w:rPr>
        <w:b/>
        <w:bCs/>
        <w:sz w:val="16"/>
        <w:szCs w:val="16"/>
        <w:lang w:val="es-ES"/>
      </w:rPr>
      <w:instrText xml:space="preserve"> TIME \@ "dd/MM/yyyy H:mm" </w:instrText>
    </w:r>
    <w:r>
      <w:rPr>
        <w:b/>
        <w:bCs/>
        <w:sz w:val="16"/>
        <w:szCs w:val="16"/>
        <w:lang w:val="es-ES"/>
      </w:rPr>
      <w:fldChar w:fldCharType="separate"/>
    </w:r>
    <w:r w:rsidR="005273BF">
      <w:rPr>
        <w:b/>
        <w:bCs/>
        <w:noProof/>
        <w:sz w:val="16"/>
        <w:szCs w:val="16"/>
        <w:lang w:val="es-ES"/>
      </w:rPr>
      <w:t>20/11/2025 8:49</w:t>
    </w:r>
    <w:r>
      <w:rPr>
        <w:b/>
        <w:bCs/>
        <w:sz w:val="16"/>
        <w:szCs w:val="16"/>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262A28"/>
    <w:multiLevelType w:val="hybridMultilevel"/>
    <w:tmpl w:val="3DA8DCF0"/>
    <w:lvl w:ilvl="0" w:tplc="2F94BCF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B7C35CE"/>
    <w:multiLevelType w:val="hybridMultilevel"/>
    <w:tmpl w:val="22E075CE"/>
    <w:lvl w:ilvl="0" w:tplc="2F94BCF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B257C5"/>
    <w:multiLevelType w:val="hybridMultilevel"/>
    <w:tmpl w:val="2DE2ACFA"/>
    <w:lvl w:ilvl="0" w:tplc="2F94BC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415415"/>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CF373B"/>
    <w:multiLevelType w:val="hybridMultilevel"/>
    <w:tmpl w:val="F5F665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3B30AE"/>
    <w:multiLevelType w:val="hybridMultilevel"/>
    <w:tmpl w:val="2334EDCC"/>
    <w:lvl w:ilvl="0" w:tplc="FFFFFFFF">
      <w:start w:val="1"/>
      <w:numFmt w:val="bullet"/>
      <w:lvlText w:val=""/>
      <w:lvlJc w:val="left"/>
      <w:pPr>
        <w:ind w:left="720" w:hanging="360"/>
      </w:pPr>
      <w:rPr>
        <w:rFonts w:ascii="Symbol" w:hAnsi="Symbol" w:hint="default"/>
      </w:rPr>
    </w:lvl>
    <w:lvl w:ilvl="1" w:tplc="2F94BCF8">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9F749EA"/>
    <w:multiLevelType w:val="hybridMultilevel"/>
    <w:tmpl w:val="350ED0F8"/>
    <w:lvl w:ilvl="0" w:tplc="2F94BCF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B3FFC"/>
    <w:multiLevelType w:val="hybridMultilevel"/>
    <w:tmpl w:val="B246A09A"/>
    <w:lvl w:ilvl="0" w:tplc="BF7A5620">
      <w:numFmt w:val="none"/>
      <w:lvlText w:val=""/>
      <w:lvlJc w:val="left"/>
      <w:pPr>
        <w:tabs>
          <w:tab w:val="num" w:pos="360"/>
        </w:tabs>
      </w:pPr>
    </w:lvl>
    <w:lvl w:ilvl="1" w:tplc="5ADC4664">
      <w:start w:val="1"/>
      <w:numFmt w:val="lowerLetter"/>
      <w:lvlText w:val="%2."/>
      <w:lvlJc w:val="left"/>
      <w:pPr>
        <w:ind w:left="1440" w:hanging="360"/>
      </w:pPr>
    </w:lvl>
    <w:lvl w:ilvl="2" w:tplc="DE0C1C4E">
      <w:start w:val="1"/>
      <w:numFmt w:val="lowerRoman"/>
      <w:lvlText w:val="%3."/>
      <w:lvlJc w:val="right"/>
      <w:pPr>
        <w:ind w:left="2160" w:hanging="180"/>
      </w:pPr>
    </w:lvl>
    <w:lvl w:ilvl="3" w:tplc="48A8DE5A">
      <w:start w:val="1"/>
      <w:numFmt w:val="decimal"/>
      <w:lvlText w:val="%4."/>
      <w:lvlJc w:val="left"/>
      <w:pPr>
        <w:ind w:left="2880" w:hanging="360"/>
      </w:pPr>
    </w:lvl>
    <w:lvl w:ilvl="4" w:tplc="D24086DC">
      <w:start w:val="1"/>
      <w:numFmt w:val="lowerLetter"/>
      <w:lvlText w:val="%5."/>
      <w:lvlJc w:val="left"/>
      <w:pPr>
        <w:ind w:left="3600" w:hanging="360"/>
      </w:pPr>
    </w:lvl>
    <w:lvl w:ilvl="5" w:tplc="17FA387C">
      <w:start w:val="1"/>
      <w:numFmt w:val="lowerRoman"/>
      <w:lvlText w:val="%6."/>
      <w:lvlJc w:val="right"/>
      <w:pPr>
        <w:ind w:left="4320" w:hanging="180"/>
      </w:pPr>
    </w:lvl>
    <w:lvl w:ilvl="6" w:tplc="3E9073A4">
      <w:start w:val="1"/>
      <w:numFmt w:val="decimal"/>
      <w:lvlText w:val="%7."/>
      <w:lvlJc w:val="left"/>
      <w:pPr>
        <w:ind w:left="5040" w:hanging="360"/>
      </w:pPr>
    </w:lvl>
    <w:lvl w:ilvl="7" w:tplc="EB0819E6">
      <w:start w:val="1"/>
      <w:numFmt w:val="lowerLetter"/>
      <w:lvlText w:val="%8."/>
      <w:lvlJc w:val="left"/>
      <w:pPr>
        <w:ind w:left="5760" w:hanging="360"/>
      </w:pPr>
    </w:lvl>
    <w:lvl w:ilvl="8" w:tplc="D696BDC0">
      <w:start w:val="1"/>
      <w:numFmt w:val="lowerRoman"/>
      <w:lvlText w:val="%9."/>
      <w:lvlJc w:val="right"/>
      <w:pPr>
        <w:ind w:left="6480" w:hanging="180"/>
      </w:pPr>
    </w:lvl>
  </w:abstractNum>
  <w:abstractNum w:abstractNumId="14" w15:restartNumberingAfterBreak="0">
    <w:nsid w:val="45895A71"/>
    <w:multiLevelType w:val="hybridMultilevel"/>
    <w:tmpl w:val="302EB84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15:restartNumberingAfterBreak="0">
    <w:nsid w:val="4CBE63DB"/>
    <w:multiLevelType w:val="hybridMultilevel"/>
    <w:tmpl w:val="0524B532"/>
    <w:lvl w:ilvl="0" w:tplc="2F94BC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CFE795"/>
    <w:multiLevelType w:val="hybridMultilevel"/>
    <w:tmpl w:val="92B01680"/>
    <w:lvl w:ilvl="0" w:tplc="2F94BCF8">
      <w:start w:val="1"/>
      <w:numFmt w:val="bullet"/>
      <w:lvlText w:val=""/>
      <w:lvlJc w:val="left"/>
      <w:pPr>
        <w:ind w:left="720" w:hanging="360"/>
      </w:pPr>
      <w:rPr>
        <w:rFonts w:ascii="Symbol" w:hAnsi="Symbol" w:hint="default"/>
      </w:rPr>
    </w:lvl>
    <w:lvl w:ilvl="1" w:tplc="A9F467B0">
      <w:start w:val="1"/>
      <w:numFmt w:val="bullet"/>
      <w:lvlText w:val="o"/>
      <w:lvlJc w:val="left"/>
      <w:pPr>
        <w:ind w:left="1440" w:hanging="360"/>
      </w:pPr>
      <w:rPr>
        <w:rFonts w:ascii="Courier New" w:hAnsi="Courier New" w:hint="default"/>
      </w:rPr>
    </w:lvl>
    <w:lvl w:ilvl="2" w:tplc="27263E84">
      <w:start w:val="1"/>
      <w:numFmt w:val="bullet"/>
      <w:lvlText w:val=""/>
      <w:lvlJc w:val="left"/>
      <w:pPr>
        <w:ind w:left="2160" w:hanging="360"/>
      </w:pPr>
      <w:rPr>
        <w:rFonts w:ascii="Wingdings" w:hAnsi="Wingdings" w:hint="default"/>
      </w:rPr>
    </w:lvl>
    <w:lvl w:ilvl="3" w:tplc="BBCC023E">
      <w:start w:val="1"/>
      <w:numFmt w:val="bullet"/>
      <w:lvlText w:val=""/>
      <w:lvlJc w:val="left"/>
      <w:pPr>
        <w:ind w:left="2880" w:hanging="360"/>
      </w:pPr>
      <w:rPr>
        <w:rFonts w:ascii="Symbol" w:hAnsi="Symbol" w:hint="default"/>
      </w:rPr>
    </w:lvl>
    <w:lvl w:ilvl="4" w:tplc="49D84E3A">
      <w:start w:val="1"/>
      <w:numFmt w:val="bullet"/>
      <w:lvlText w:val="o"/>
      <w:lvlJc w:val="left"/>
      <w:pPr>
        <w:ind w:left="3600" w:hanging="360"/>
      </w:pPr>
      <w:rPr>
        <w:rFonts w:ascii="Courier New" w:hAnsi="Courier New" w:hint="default"/>
      </w:rPr>
    </w:lvl>
    <w:lvl w:ilvl="5" w:tplc="986A9EFE">
      <w:start w:val="1"/>
      <w:numFmt w:val="bullet"/>
      <w:lvlText w:val=""/>
      <w:lvlJc w:val="left"/>
      <w:pPr>
        <w:ind w:left="4320" w:hanging="360"/>
      </w:pPr>
      <w:rPr>
        <w:rFonts w:ascii="Wingdings" w:hAnsi="Wingdings" w:hint="default"/>
      </w:rPr>
    </w:lvl>
    <w:lvl w:ilvl="6" w:tplc="FA10D8A8">
      <w:start w:val="1"/>
      <w:numFmt w:val="bullet"/>
      <w:lvlText w:val=""/>
      <w:lvlJc w:val="left"/>
      <w:pPr>
        <w:ind w:left="5040" w:hanging="360"/>
      </w:pPr>
      <w:rPr>
        <w:rFonts w:ascii="Symbol" w:hAnsi="Symbol" w:hint="default"/>
      </w:rPr>
    </w:lvl>
    <w:lvl w:ilvl="7" w:tplc="646299B8">
      <w:start w:val="1"/>
      <w:numFmt w:val="bullet"/>
      <w:lvlText w:val="o"/>
      <w:lvlJc w:val="left"/>
      <w:pPr>
        <w:ind w:left="5760" w:hanging="360"/>
      </w:pPr>
      <w:rPr>
        <w:rFonts w:ascii="Courier New" w:hAnsi="Courier New" w:hint="default"/>
      </w:rPr>
    </w:lvl>
    <w:lvl w:ilvl="8" w:tplc="9126DFF8">
      <w:start w:val="1"/>
      <w:numFmt w:val="bullet"/>
      <w:lvlText w:val=""/>
      <w:lvlJc w:val="left"/>
      <w:pPr>
        <w:ind w:left="6480" w:hanging="360"/>
      </w:pPr>
      <w:rPr>
        <w:rFonts w:ascii="Wingdings" w:hAnsi="Wingdings" w:hint="default"/>
      </w:rPr>
    </w:lvl>
  </w:abstractNum>
  <w:abstractNum w:abstractNumId="17" w15:restartNumberingAfterBreak="0">
    <w:nsid w:val="61E1483E"/>
    <w:multiLevelType w:val="hybridMultilevel"/>
    <w:tmpl w:val="58AC2484"/>
    <w:lvl w:ilvl="0" w:tplc="2F94BCF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2B057F9"/>
    <w:multiLevelType w:val="hybridMultilevel"/>
    <w:tmpl w:val="4D3C5B80"/>
    <w:lvl w:ilvl="0" w:tplc="2F94BCF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DE542D"/>
    <w:multiLevelType w:val="hybridMultilevel"/>
    <w:tmpl w:val="D5F0D916"/>
    <w:lvl w:ilvl="0" w:tplc="1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B5423E"/>
    <w:multiLevelType w:val="multilevel"/>
    <w:tmpl w:val="AE6E672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9E5D00"/>
    <w:multiLevelType w:val="hybridMultilevel"/>
    <w:tmpl w:val="04E061C0"/>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356971">
    <w:abstractNumId w:val="13"/>
  </w:num>
  <w:num w:numId="2" w16cid:durableId="471557658">
    <w:abstractNumId w:val="16"/>
  </w:num>
  <w:num w:numId="3" w16cid:durableId="1294484204">
    <w:abstractNumId w:val="5"/>
  </w:num>
  <w:num w:numId="4" w16cid:durableId="1159006479">
    <w:abstractNumId w:val="3"/>
  </w:num>
  <w:num w:numId="5" w16cid:durableId="1328363048">
    <w:abstractNumId w:val="2"/>
  </w:num>
  <w:num w:numId="6" w16cid:durableId="492792355">
    <w:abstractNumId w:val="4"/>
  </w:num>
  <w:num w:numId="7" w16cid:durableId="1874951199">
    <w:abstractNumId w:val="1"/>
  </w:num>
  <w:num w:numId="8" w16cid:durableId="1557011029">
    <w:abstractNumId w:val="0"/>
  </w:num>
  <w:num w:numId="9" w16cid:durableId="60561404">
    <w:abstractNumId w:val="20"/>
  </w:num>
  <w:num w:numId="10" w16cid:durableId="2120684636">
    <w:abstractNumId w:val="14"/>
  </w:num>
  <w:num w:numId="11" w16cid:durableId="306395705">
    <w:abstractNumId w:val="18"/>
  </w:num>
  <w:num w:numId="12" w16cid:durableId="383217107">
    <w:abstractNumId w:val="12"/>
  </w:num>
  <w:num w:numId="13" w16cid:durableId="813644096">
    <w:abstractNumId w:val="21"/>
  </w:num>
  <w:num w:numId="14" w16cid:durableId="1080980924">
    <w:abstractNumId w:val="9"/>
  </w:num>
  <w:num w:numId="15" w16cid:durableId="628049777">
    <w:abstractNumId w:val="8"/>
  </w:num>
  <w:num w:numId="16" w16cid:durableId="654988890">
    <w:abstractNumId w:val="19"/>
  </w:num>
  <w:num w:numId="17" w16cid:durableId="380373130">
    <w:abstractNumId w:val="15"/>
  </w:num>
  <w:num w:numId="18" w16cid:durableId="779182994">
    <w:abstractNumId w:val="17"/>
  </w:num>
  <w:num w:numId="19" w16cid:durableId="1877425516">
    <w:abstractNumId w:val="6"/>
  </w:num>
  <w:num w:numId="20" w16cid:durableId="137040779">
    <w:abstractNumId w:val="10"/>
  </w:num>
  <w:num w:numId="21" w16cid:durableId="1623459173">
    <w:abstractNumId w:val="7"/>
  </w:num>
  <w:num w:numId="22" w16cid:durableId="82347114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948"/>
    <w:rsid w:val="00004732"/>
    <w:rsid w:val="00007372"/>
    <w:rsid w:val="00007A31"/>
    <w:rsid w:val="00012944"/>
    <w:rsid w:val="00016028"/>
    <w:rsid w:val="000176CC"/>
    <w:rsid w:val="00020736"/>
    <w:rsid w:val="000208E4"/>
    <w:rsid w:val="000213D3"/>
    <w:rsid w:val="00022365"/>
    <w:rsid w:val="00023053"/>
    <w:rsid w:val="000245DE"/>
    <w:rsid w:val="00024AEB"/>
    <w:rsid w:val="00024EFC"/>
    <w:rsid w:val="000265DD"/>
    <w:rsid w:val="0002759C"/>
    <w:rsid w:val="00030985"/>
    <w:rsid w:val="00031909"/>
    <w:rsid w:val="00034616"/>
    <w:rsid w:val="000409B5"/>
    <w:rsid w:val="00040E66"/>
    <w:rsid w:val="000440DA"/>
    <w:rsid w:val="000445BA"/>
    <w:rsid w:val="00045941"/>
    <w:rsid w:val="00047D27"/>
    <w:rsid w:val="000500E3"/>
    <w:rsid w:val="00052A6D"/>
    <w:rsid w:val="000560B7"/>
    <w:rsid w:val="0006063C"/>
    <w:rsid w:val="000611CD"/>
    <w:rsid w:val="00063A6F"/>
    <w:rsid w:val="00065A22"/>
    <w:rsid w:val="00075054"/>
    <w:rsid w:val="00075610"/>
    <w:rsid w:val="00075DE4"/>
    <w:rsid w:val="00077068"/>
    <w:rsid w:val="000778F4"/>
    <w:rsid w:val="00080672"/>
    <w:rsid w:val="00092A0F"/>
    <w:rsid w:val="000A4E00"/>
    <w:rsid w:val="000A6FEC"/>
    <w:rsid w:val="000A7AF6"/>
    <w:rsid w:val="000B1575"/>
    <w:rsid w:val="000B3381"/>
    <w:rsid w:val="000B6185"/>
    <w:rsid w:val="000D3815"/>
    <w:rsid w:val="000D46CB"/>
    <w:rsid w:val="000D4F53"/>
    <w:rsid w:val="000D50E4"/>
    <w:rsid w:val="000F2928"/>
    <w:rsid w:val="000F6B94"/>
    <w:rsid w:val="00100696"/>
    <w:rsid w:val="0010411E"/>
    <w:rsid w:val="0010502A"/>
    <w:rsid w:val="00110D6A"/>
    <w:rsid w:val="00113940"/>
    <w:rsid w:val="00115517"/>
    <w:rsid w:val="001205BC"/>
    <w:rsid w:val="00120A6E"/>
    <w:rsid w:val="00120B40"/>
    <w:rsid w:val="00121759"/>
    <w:rsid w:val="0012313D"/>
    <w:rsid w:val="001232D7"/>
    <w:rsid w:val="00125365"/>
    <w:rsid w:val="00126156"/>
    <w:rsid w:val="001262F5"/>
    <w:rsid w:val="00126C44"/>
    <w:rsid w:val="00131A9B"/>
    <w:rsid w:val="001357C0"/>
    <w:rsid w:val="00135AA4"/>
    <w:rsid w:val="00136E7B"/>
    <w:rsid w:val="00147ADF"/>
    <w:rsid w:val="00147BDE"/>
    <w:rsid w:val="0015074B"/>
    <w:rsid w:val="00152D33"/>
    <w:rsid w:val="001547E5"/>
    <w:rsid w:val="0015531F"/>
    <w:rsid w:val="001647CB"/>
    <w:rsid w:val="0016674C"/>
    <w:rsid w:val="0017354B"/>
    <w:rsid w:val="00184693"/>
    <w:rsid w:val="0018698C"/>
    <w:rsid w:val="0018771E"/>
    <w:rsid w:val="00190D19"/>
    <w:rsid w:val="00191411"/>
    <w:rsid w:val="001929DE"/>
    <w:rsid w:val="00196079"/>
    <w:rsid w:val="001A0DF3"/>
    <w:rsid w:val="001A0F41"/>
    <w:rsid w:val="001A1CE3"/>
    <w:rsid w:val="001A4832"/>
    <w:rsid w:val="001A59D0"/>
    <w:rsid w:val="001A782C"/>
    <w:rsid w:val="001B0EFA"/>
    <w:rsid w:val="001B176A"/>
    <w:rsid w:val="001B19E8"/>
    <w:rsid w:val="001B1E1B"/>
    <w:rsid w:val="001B4EA4"/>
    <w:rsid w:val="001B5DDB"/>
    <w:rsid w:val="001C514A"/>
    <w:rsid w:val="001D0761"/>
    <w:rsid w:val="001D2F84"/>
    <w:rsid w:val="001D3F96"/>
    <w:rsid w:val="001E1478"/>
    <w:rsid w:val="001E16A5"/>
    <w:rsid w:val="001E5F5E"/>
    <w:rsid w:val="001E6D90"/>
    <w:rsid w:val="00203150"/>
    <w:rsid w:val="00204E3D"/>
    <w:rsid w:val="00205AA1"/>
    <w:rsid w:val="00205B0F"/>
    <w:rsid w:val="00212192"/>
    <w:rsid w:val="002213EC"/>
    <w:rsid w:val="00223635"/>
    <w:rsid w:val="00223A49"/>
    <w:rsid w:val="002302E3"/>
    <w:rsid w:val="00232ADF"/>
    <w:rsid w:val="00240FD1"/>
    <w:rsid w:val="0024175E"/>
    <w:rsid w:val="00241895"/>
    <w:rsid w:val="00245BE1"/>
    <w:rsid w:val="00246139"/>
    <w:rsid w:val="00251BCD"/>
    <w:rsid w:val="00262187"/>
    <w:rsid w:val="00262830"/>
    <w:rsid w:val="00266649"/>
    <w:rsid w:val="00274313"/>
    <w:rsid w:val="0027445C"/>
    <w:rsid w:val="00275FAD"/>
    <w:rsid w:val="00276E4F"/>
    <w:rsid w:val="0028092B"/>
    <w:rsid w:val="00283909"/>
    <w:rsid w:val="00285200"/>
    <w:rsid w:val="00286A1B"/>
    <w:rsid w:val="00287D67"/>
    <w:rsid w:val="00292C0F"/>
    <w:rsid w:val="0029510F"/>
    <w:rsid w:val="0029639D"/>
    <w:rsid w:val="002979DF"/>
    <w:rsid w:val="002A15CA"/>
    <w:rsid w:val="002A466C"/>
    <w:rsid w:val="002A793F"/>
    <w:rsid w:val="002A7A5F"/>
    <w:rsid w:val="002B32AC"/>
    <w:rsid w:val="002B360E"/>
    <w:rsid w:val="002B3F7C"/>
    <w:rsid w:val="002B6C43"/>
    <w:rsid w:val="002C119E"/>
    <w:rsid w:val="002C7821"/>
    <w:rsid w:val="002D28C9"/>
    <w:rsid w:val="002D4CCD"/>
    <w:rsid w:val="002E006A"/>
    <w:rsid w:val="002E05B4"/>
    <w:rsid w:val="002E07BD"/>
    <w:rsid w:val="002E5A05"/>
    <w:rsid w:val="002E7F68"/>
    <w:rsid w:val="002F071F"/>
    <w:rsid w:val="002F22FE"/>
    <w:rsid w:val="002F2BFA"/>
    <w:rsid w:val="002F5A20"/>
    <w:rsid w:val="002F751D"/>
    <w:rsid w:val="0030050A"/>
    <w:rsid w:val="00302F1B"/>
    <w:rsid w:val="0030627B"/>
    <w:rsid w:val="00307762"/>
    <w:rsid w:val="00314DFF"/>
    <w:rsid w:val="00321218"/>
    <w:rsid w:val="00323695"/>
    <w:rsid w:val="00325CCA"/>
    <w:rsid w:val="003262D2"/>
    <w:rsid w:val="00326F90"/>
    <w:rsid w:val="0033093E"/>
    <w:rsid w:val="00335312"/>
    <w:rsid w:val="0033667C"/>
    <w:rsid w:val="003434BF"/>
    <w:rsid w:val="00347285"/>
    <w:rsid w:val="003542B6"/>
    <w:rsid w:val="00360438"/>
    <w:rsid w:val="00362341"/>
    <w:rsid w:val="003623CF"/>
    <w:rsid w:val="0036329E"/>
    <w:rsid w:val="00367E92"/>
    <w:rsid w:val="00380512"/>
    <w:rsid w:val="003810F9"/>
    <w:rsid w:val="00383959"/>
    <w:rsid w:val="00383CBA"/>
    <w:rsid w:val="00386AFE"/>
    <w:rsid w:val="00386D1F"/>
    <w:rsid w:val="003917B4"/>
    <w:rsid w:val="00392422"/>
    <w:rsid w:val="00394C31"/>
    <w:rsid w:val="003A375D"/>
    <w:rsid w:val="003A3B70"/>
    <w:rsid w:val="003A6943"/>
    <w:rsid w:val="003A6E0D"/>
    <w:rsid w:val="003B024C"/>
    <w:rsid w:val="003B0BD8"/>
    <w:rsid w:val="003B50FA"/>
    <w:rsid w:val="003C7EFF"/>
    <w:rsid w:val="003D1FED"/>
    <w:rsid w:val="003D23B7"/>
    <w:rsid w:val="003D30DE"/>
    <w:rsid w:val="003D7A0F"/>
    <w:rsid w:val="003E510E"/>
    <w:rsid w:val="003E58DB"/>
    <w:rsid w:val="003E5E3D"/>
    <w:rsid w:val="003E6B84"/>
    <w:rsid w:val="003E7B07"/>
    <w:rsid w:val="003F2F6B"/>
    <w:rsid w:val="003F5CE5"/>
    <w:rsid w:val="00404A6A"/>
    <w:rsid w:val="004057E5"/>
    <w:rsid w:val="00410715"/>
    <w:rsid w:val="00411DEA"/>
    <w:rsid w:val="00416C48"/>
    <w:rsid w:val="00420D92"/>
    <w:rsid w:val="004305A0"/>
    <w:rsid w:val="00430EED"/>
    <w:rsid w:val="00432203"/>
    <w:rsid w:val="00432650"/>
    <w:rsid w:val="00435CF2"/>
    <w:rsid w:val="00440DED"/>
    <w:rsid w:val="00445D63"/>
    <w:rsid w:val="004525F4"/>
    <w:rsid w:val="004545FF"/>
    <w:rsid w:val="00456B5F"/>
    <w:rsid w:val="004576D8"/>
    <w:rsid w:val="0045780E"/>
    <w:rsid w:val="0046093F"/>
    <w:rsid w:val="00460AA1"/>
    <w:rsid w:val="00463E88"/>
    <w:rsid w:val="00464ABC"/>
    <w:rsid w:val="004731EF"/>
    <w:rsid w:val="00473822"/>
    <w:rsid w:val="0047505B"/>
    <w:rsid w:val="00482CED"/>
    <w:rsid w:val="00485B35"/>
    <w:rsid w:val="00487FCA"/>
    <w:rsid w:val="00493FB4"/>
    <w:rsid w:val="004945B0"/>
    <w:rsid w:val="00494C12"/>
    <w:rsid w:val="004A0A62"/>
    <w:rsid w:val="004A18E4"/>
    <w:rsid w:val="004A2B54"/>
    <w:rsid w:val="004A63EC"/>
    <w:rsid w:val="004B4149"/>
    <w:rsid w:val="004B5BE7"/>
    <w:rsid w:val="004C1ABB"/>
    <w:rsid w:val="004D011E"/>
    <w:rsid w:val="004D1ED8"/>
    <w:rsid w:val="004D2847"/>
    <w:rsid w:val="004D3236"/>
    <w:rsid w:val="004D4D60"/>
    <w:rsid w:val="004E10CE"/>
    <w:rsid w:val="004E618D"/>
    <w:rsid w:val="004E69C8"/>
    <w:rsid w:val="004F014F"/>
    <w:rsid w:val="004F12EC"/>
    <w:rsid w:val="004F2310"/>
    <w:rsid w:val="004F6645"/>
    <w:rsid w:val="004F71B3"/>
    <w:rsid w:val="004F7B1B"/>
    <w:rsid w:val="005037AB"/>
    <w:rsid w:val="005038B2"/>
    <w:rsid w:val="00505140"/>
    <w:rsid w:val="00510FDB"/>
    <w:rsid w:val="00512D7D"/>
    <w:rsid w:val="00513CBE"/>
    <w:rsid w:val="00514AAC"/>
    <w:rsid w:val="00517150"/>
    <w:rsid w:val="005219B0"/>
    <w:rsid w:val="00522466"/>
    <w:rsid w:val="00525498"/>
    <w:rsid w:val="00525C99"/>
    <w:rsid w:val="005273BF"/>
    <w:rsid w:val="005331AB"/>
    <w:rsid w:val="005373A2"/>
    <w:rsid w:val="00543F60"/>
    <w:rsid w:val="005460A5"/>
    <w:rsid w:val="0055525B"/>
    <w:rsid w:val="00560B18"/>
    <w:rsid w:val="00561927"/>
    <w:rsid w:val="00564657"/>
    <w:rsid w:val="00571BB1"/>
    <w:rsid w:val="00573B60"/>
    <w:rsid w:val="0057502E"/>
    <w:rsid w:val="005779F0"/>
    <w:rsid w:val="00581EF9"/>
    <w:rsid w:val="00583587"/>
    <w:rsid w:val="00585DD3"/>
    <w:rsid w:val="0058604C"/>
    <w:rsid w:val="00590D53"/>
    <w:rsid w:val="00590DA3"/>
    <w:rsid w:val="00593CB6"/>
    <w:rsid w:val="00593E45"/>
    <w:rsid w:val="00595CC7"/>
    <w:rsid w:val="00596013"/>
    <w:rsid w:val="005A1174"/>
    <w:rsid w:val="005A3CCB"/>
    <w:rsid w:val="005A7A05"/>
    <w:rsid w:val="005B7798"/>
    <w:rsid w:val="005B79AB"/>
    <w:rsid w:val="005C1A2F"/>
    <w:rsid w:val="005C2AC6"/>
    <w:rsid w:val="005C3273"/>
    <w:rsid w:val="005C3CCD"/>
    <w:rsid w:val="005C7509"/>
    <w:rsid w:val="005D1FC5"/>
    <w:rsid w:val="005D20B7"/>
    <w:rsid w:val="005D2227"/>
    <w:rsid w:val="005E0536"/>
    <w:rsid w:val="005E1B01"/>
    <w:rsid w:val="005E5CBC"/>
    <w:rsid w:val="005E5DA1"/>
    <w:rsid w:val="005E7A83"/>
    <w:rsid w:val="005F3009"/>
    <w:rsid w:val="005F3F70"/>
    <w:rsid w:val="005F409C"/>
    <w:rsid w:val="005F5302"/>
    <w:rsid w:val="005F6AB8"/>
    <w:rsid w:val="005F7192"/>
    <w:rsid w:val="005F7314"/>
    <w:rsid w:val="005F7DA5"/>
    <w:rsid w:val="0060228A"/>
    <w:rsid w:val="00611D1F"/>
    <w:rsid w:val="0061540A"/>
    <w:rsid w:val="00615BAE"/>
    <w:rsid w:val="00620F73"/>
    <w:rsid w:val="0062186E"/>
    <w:rsid w:val="00622090"/>
    <w:rsid w:val="00622909"/>
    <w:rsid w:val="00623E71"/>
    <w:rsid w:val="00626204"/>
    <w:rsid w:val="006265EA"/>
    <w:rsid w:val="00630050"/>
    <w:rsid w:val="0063029E"/>
    <w:rsid w:val="00630BD6"/>
    <w:rsid w:val="006341F1"/>
    <w:rsid w:val="0063799C"/>
    <w:rsid w:val="00637D88"/>
    <w:rsid w:val="00641A4D"/>
    <w:rsid w:val="006458E8"/>
    <w:rsid w:val="0065295C"/>
    <w:rsid w:val="00655FDA"/>
    <w:rsid w:val="00661E86"/>
    <w:rsid w:val="00662823"/>
    <w:rsid w:val="006660F1"/>
    <w:rsid w:val="0066716D"/>
    <w:rsid w:val="00667522"/>
    <w:rsid w:val="00667638"/>
    <w:rsid w:val="0067321F"/>
    <w:rsid w:val="00674EB0"/>
    <w:rsid w:val="006758B4"/>
    <w:rsid w:val="00676E41"/>
    <w:rsid w:val="00677B39"/>
    <w:rsid w:val="00681257"/>
    <w:rsid w:val="00681F1E"/>
    <w:rsid w:val="006843F3"/>
    <w:rsid w:val="00685BA3"/>
    <w:rsid w:val="0068609C"/>
    <w:rsid w:val="00687FB2"/>
    <w:rsid w:val="00690C13"/>
    <w:rsid w:val="00691C37"/>
    <w:rsid w:val="00692812"/>
    <w:rsid w:val="00692851"/>
    <w:rsid w:val="006A0EDA"/>
    <w:rsid w:val="006A27AA"/>
    <w:rsid w:val="006A4FEE"/>
    <w:rsid w:val="006A5395"/>
    <w:rsid w:val="006A7BFF"/>
    <w:rsid w:val="006B114B"/>
    <w:rsid w:val="006B599E"/>
    <w:rsid w:val="006B654A"/>
    <w:rsid w:val="006C120D"/>
    <w:rsid w:val="006C1588"/>
    <w:rsid w:val="006C18B0"/>
    <w:rsid w:val="006C29FC"/>
    <w:rsid w:val="006C30EE"/>
    <w:rsid w:val="006C4559"/>
    <w:rsid w:val="006C6159"/>
    <w:rsid w:val="006C6398"/>
    <w:rsid w:val="006D2355"/>
    <w:rsid w:val="006D358F"/>
    <w:rsid w:val="006D5851"/>
    <w:rsid w:val="006D7CC1"/>
    <w:rsid w:val="006E03E4"/>
    <w:rsid w:val="006F2F14"/>
    <w:rsid w:val="006F3273"/>
    <w:rsid w:val="00705313"/>
    <w:rsid w:val="00705DD3"/>
    <w:rsid w:val="00710BBA"/>
    <w:rsid w:val="00712788"/>
    <w:rsid w:val="00712BF8"/>
    <w:rsid w:val="00714184"/>
    <w:rsid w:val="00714ADB"/>
    <w:rsid w:val="00721246"/>
    <w:rsid w:val="007239E3"/>
    <w:rsid w:val="007264DA"/>
    <w:rsid w:val="007408DB"/>
    <w:rsid w:val="00745BD5"/>
    <w:rsid w:val="007463DA"/>
    <w:rsid w:val="00752626"/>
    <w:rsid w:val="00762B0B"/>
    <w:rsid w:val="00766829"/>
    <w:rsid w:val="007708D1"/>
    <w:rsid w:val="00770DB5"/>
    <w:rsid w:val="00772009"/>
    <w:rsid w:val="00772846"/>
    <w:rsid w:val="00776013"/>
    <w:rsid w:val="007853FD"/>
    <w:rsid w:val="00785A84"/>
    <w:rsid w:val="007864B8"/>
    <w:rsid w:val="00791FF0"/>
    <w:rsid w:val="00796726"/>
    <w:rsid w:val="007A6AC7"/>
    <w:rsid w:val="007B5227"/>
    <w:rsid w:val="007B547B"/>
    <w:rsid w:val="007C0DF7"/>
    <w:rsid w:val="007C5C51"/>
    <w:rsid w:val="007D27B6"/>
    <w:rsid w:val="007D2D15"/>
    <w:rsid w:val="007F196A"/>
    <w:rsid w:val="007F472C"/>
    <w:rsid w:val="007F497B"/>
    <w:rsid w:val="007F4A57"/>
    <w:rsid w:val="007F63EC"/>
    <w:rsid w:val="007F6D6D"/>
    <w:rsid w:val="00800F63"/>
    <w:rsid w:val="0080174F"/>
    <w:rsid w:val="00801A42"/>
    <w:rsid w:val="00805258"/>
    <w:rsid w:val="00807424"/>
    <w:rsid w:val="00817A59"/>
    <w:rsid w:val="00823BD3"/>
    <w:rsid w:val="00826781"/>
    <w:rsid w:val="00826D8C"/>
    <w:rsid w:val="0084482F"/>
    <w:rsid w:val="00847F80"/>
    <w:rsid w:val="00850465"/>
    <w:rsid w:val="00852186"/>
    <w:rsid w:val="00853A29"/>
    <w:rsid w:val="00861511"/>
    <w:rsid w:val="00866F86"/>
    <w:rsid w:val="00867A22"/>
    <w:rsid w:val="00867D3D"/>
    <w:rsid w:val="00870332"/>
    <w:rsid w:val="008742C8"/>
    <w:rsid w:val="00874B18"/>
    <w:rsid w:val="008817EF"/>
    <w:rsid w:val="008818D2"/>
    <w:rsid w:val="0088219A"/>
    <w:rsid w:val="00886DC4"/>
    <w:rsid w:val="008A4127"/>
    <w:rsid w:val="008B514B"/>
    <w:rsid w:val="008B51D0"/>
    <w:rsid w:val="008B6EB2"/>
    <w:rsid w:val="008C0BE1"/>
    <w:rsid w:val="008C2A43"/>
    <w:rsid w:val="008D022D"/>
    <w:rsid w:val="008D20AD"/>
    <w:rsid w:val="008D3D35"/>
    <w:rsid w:val="008D787F"/>
    <w:rsid w:val="008D7CA9"/>
    <w:rsid w:val="008E0CE3"/>
    <w:rsid w:val="008F4487"/>
    <w:rsid w:val="0090105D"/>
    <w:rsid w:val="0091348F"/>
    <w:rsid w:val="00921A0B"/>
    <w:rsid w:val="00922CA4"/>
    <w:rsid w:val="00925AC0"/>
    <w:rsid w:val="00926F89"/>
    <w:rsid w:val="00927C70"/>
    <w:rsid w:val="009303D8"/>
    <w:rsid w:val="00934B71"/>
    <w:rsid w:val="00935381"/>
    <w:rsid w:val="0093634C"/>
    <w:rsid w:val="00936BEA"/>
    <w:rsid w:val="00937642"/>
    <w:rsid w:val="009402C0"/>
    <w:rsid w:val="00940625"/>
    <w:rsid w:val="00941AAD"/>
    <w:rsid w:val="009425F2"/>
    <w:rsid w:val="00942E92"/>
    <w:rsid w:val="00943CD0"/>
    <w:rsid w:val="009454C7"/>
    <w:rsid w:val="0095551A"/>
    <w:rsid w:val="00956DA5"/>
    <w:rsid w:val="0096594D"/>
    <w:rsid w:val="00965A31"/>
    <w:rsid w:val="00971897"/>
    <w:rsid w:val="00972B3C"/>
    <w:rsid w:val="0097520C"/>
    <w:rsid w:val="00977854"/>
    <w:rsid w:val="00977BCB"/>
    <w:rsid w:val="00986D8F"/>
    <w:rsid w:val="00987322"/>
    <w:rsid w:val="00992974"/>
    <w:rsid w:val="00993286"/>
    <w:rsid w:val="00993349"/>
    <w:rsid w:val="0099415E"/>
    <w:rsid w:val="009964C3"/>
    <w:rsid w:val="009B0FA7"/>
    <w:rsid w:val="009B3940"/>
    <w:rsid w:val="009B4411"/>
    <w:rsid w:val="009B5942"/>
    <w:rsid w:val="009B658A"/>
    <w:rsid w:val="009B75C0"/>
    <w:rsid w:val="009C0538"/>
    <w:rsid w:val="009C1089"/>
    <w:rsid w:val="009C14E2"/>
    <w:rsid w:val="009C447E"/>
    <w:rsid w:val="009C4DF1"/>
    <w:rsid w:val="009C7BFC"/>
    <w:rsid w:val="009D29E8"/>
    <w:rsid w:val="009D5566"/>
    <w:rsid w:val="009D559D"/>
    <w:rsid w:val="009E2991"/>
    <w:rsid w:val="009E2E95"/>
    <w:rsid w:val="009E2FBD"/>
    <w:rsid w:val="009E367F"/>
    <w:rsid w:val="009E6296"/>
    <w:rsid w:val="009E7610"/>
    <w:rsid w:val="009F21D3"/>
    <w:rsid w:val="009F2E06"/>
    <w:rsid w:val="009F41F5"/>
    <w:rsid w:val="009F5749"/>
    <w:rsid w:val="009F66E6"/>
    <w:rsid w:val="00A01A3B"/>
    <w:rsid w:val="00A01E85"/>
    <w:rsid w:val="00A04222"/>
    <w:rsid w:val="00A061DF"/>
    <w:rsid w:val="00A12391"/>
    <w:rsid w:val="00A12515"/>
    <w:rsid w:val="00A21066"/>
    <w:rsid w:val="00A22066"/>
    <w:rsid w:val="00A22F9A"/>
    <w:rsid w:val="00A23873"/>
    <w:rsid w:val="00A23BE8"/>
    <w:rsid w:val="00A24072"/>
    <w:rsid w:val="00A30999"/>
    <w:rsid w:val="00A32DF4"/>
    <w:rsid w:val="00A37C23"/>
    <w:rsid w:val="00A42450"/>
    <w:rsid w:val="00A42CBF"/>
    <w:rsid w:val="00A47A85"/>
    <w:rsid w:val="00A47DDE"/>
    <w:rsid w:val="00A5116A"/>
    <w:rsid w:val="00A52E04"/>
    <w:rsid w:val="00A54512"/>
    <w:rsid w:val="00A54D88"/>
    <w:rsid w:val="00A56130"/>
    <w:rsid w:val="00A56645"/>
    <w:rsid w:val="00A61073"/>
    <w:rsid w:val="00A612CD"/>
    <w:rsid w:val="00A66673"/>
    <w:rsid w:val="00A723F4"/>
    <w:rsid w:val="00A73196"/>
    <w:rsid w:val="00A835AF"/>
    <w:rsid w:val="00A84B39"/>
    <w:rsid w:val="00A855D5"/>
    <w:rsid w:val="00A87D62"/>
    <w:rsid w:val="00A9288A"/>
    <w:rsid w:val="00A955C9"/>
    <w:rsid w:val="00A9683E"/>
    <w:rsid w:val="00A96F9D"/>
    <w:rsid w:val="00AA131D"/>
    <w:rsid w:val="00AA1D8D"/>
    <w:rsid w:val="00AA5572"/>
    <w:rsid w:val="00AA5EDE"/>
    <w:rsid w:val="00AA71A3"/>
    <w:rsid w:val="00AB1D54"/>
    <w:rsid w:val="00AB2412"/>
    <w:rsid w:val="00AB3462"/>
    <w:rsid w:val="00AB725F"/>
    <w:rsid w:val="00AC02FF"/>
    <w:rsid w:val="00AC4FE5"/>
    <w:rsid w:val="00AC5BB8"/>
    <w:rsid w:val="00AC6D1B"/>
    <w:rsid w:val="00AC6FC2"/>
    <w:rsid w:val="00AC75AC"/>
    <w:rsid w:val="00AC7618"/>
    <w:rsid w:val="00AD0FDE"/>
    <w:rsid w:val="00AD42A3"/>
    <w:rsid w:val="00AD6ABD"/>
    <w:rsid w:val="00AE10EF"/>
    <w:rsid w:val="00AE1D49"/>
    <w:rsid w:val="00AE258E"/>
    <w:rsid w:val="00AE2BA7"/>
    <w:rsid w:val="00AE2F2C"/>
    <w:rsid w:val="00AE68B6"/>
    <w:rsid w:val="00AF0A56"/>
    <w:rsid w:val="00AF244B"/>
    <w:rsid w:val="00AF3428"/>
    <w:rsid w:val="00AF611D"/>
    <w:rsid w:val="00B018BB"/>
    <w:rsid w:val="00B0413C"/>
    <w:rsid w:val="00B07A21"/>
    <w:rsid w:val="00B12B38"/>
    <w:rsid w:val="00B14436"/>
    <w:rsid w:val="00B20F99"/>
    <w:rsid w:val="00B218ED"/>
    <w:rsid w:val="00B25177"/>
    <w:rsid w:val="00B27AE4"/>
    <w:rsid w:val="00B3034C"/>
    <w:rsid w:val="00B32298"/>
    <w:rsid w:val="00B32CD2"/>
    <w:rsid w:val="00B35300"/>
    <w:rsid w:val="00B362A3"/>
    <w:rsid w:val="00B41DB3"/>
    <w:rsid w:val="00B42A04"/>
    <w:rsid w:val="00B43325"/>
    <w:rsid w:val="00B47730"/>
    <w:rsid w:val="00B5332E"/>
    <w:rsid w:val="00B5567B"/>
    <w:rsid w:val="00B560A2"/>
    <w:rsid w:val="00B61E41"/>
    <w:rsid w:val="00B64B45"/>
    <w:rsid w:val="00B6596E"/>
    <w:rsid w:val="00B66415"/>
    <w:rsid w:val="00B67047"/>
    <w:rsid w:val="00B74EB4"/>
    <w:rsid w:val="00B75D5A"/>
    <w:rsid w:val="00B875BC"/>
    <w:rsid w:val="00B90AFD"/>
    <w:rsid w:val="00B914C0"/>
    <w:rsid w:val="00B93F2C"/>
    <w:rsid w:val="00BA2FF9"/>
    <w:rsid w:val="00BA5F2F"/>
    <w:rsid w:val="00BB0866"/>
    <w:rsid w:val="00BB20CB"/>
    <w:rsid w:val="00BC2771"/>
    <w:rsid w:val="00BC3353"/>
    <w:rsid w:val="00BC4D78"/>
    <w:rsid w:val="00BC5438"/>
    <w:rsid w:val="00BD22D3"/>
    <w:rsid w:val="00BE1168"/>
    <w:rsid w:val="00BE13F0"/>
    <w:rsid w:val="00BE29FC"/>
    <w:rsid w:val="00BE39F9"/>
    <w:rsid w:val="00BE3AE9"/>
    <w:rsid w:val="00BE569B"/>
    <w:rsid w:val="00BE5869"/>
    <w:rsid w:val="00BE61A8"/>
    <w:rsid w:val="00BE71FC"/>
    <w:rsid w:val="00BF119A"/>
    <w:rsid w:val="00BF164B"/>
    <w:rsid w:val="00BF1696"/>
    <w:rsid w:val="00BF1983"/>
    <w:rsid w:val="00BF5272"/>
    <w:rsid w:val="00BF769F"/>
    <w:rsid w:val="00BF7D73"/>
    <w:rsid w:val="00C0226D"/>
    <w:rsid w:val="00C0480B"/>
    <w:rsid w:val="00C06075"/>
    <w:rsid w:val="00C11505"/>
    <w:rsid w:val="00C12704"/>
    <w:rsid w:val="00C208C1"/>
    <w:rsid w:val="00C21AC8"/>
    <w:rsid w:val="00C22808"/>
    <w:rsid w:val="00C3368B"/>
    <w:rsid w:val="00C35106"/>
    <w:rsid w:val="00C37978"/>
    <w:rsid w:val="00C40592"/>
    <w:rsid w:val="00C40C95"/>
    <w:rsid w:val="00C43E75"/>
    <w:rsid w:val="00C62C11"/>
    <w:rsid w:val="00C6566F"/>
    <w:rsid w:val="00C71F0B"/>
    <w:rsid w:val="00C7379A"/>
    <w:rsid w:val="00C74863"/>
    <w:rsid w:val="00C74D30"/>
    <w:rsid w:val="00C81721"/>
    <w:rsid w:val="00C81ADD"/>
    <w:rsid w:val="00C823CF"/>
    <w:rsid w:val="00C912C1"/>
    <w:rsid w:val="00C96C39"/>
    <w:rsid w:val="00CB0664"/>
    <w:rsid w:val="00CB5C67"/>
    <w:rsid w:val="00CB634A"/>
    <w:rsid w:val="00CB7951"/>
    <w:rsid w:val="00CC2AA4"/>
    <w:rsid w:val="00CC5104"/>
    <w:rsid w:val="00CC5CD4"/>
    <w:rsid w:val="00CC5F88"/>
    <w:rsid w:val="00CD0C93"/>
    <w:rsid w:val="00CD3DA5"/>
    <w:rsid w:val="00CD70A3"/>
    <w:rsid w:val="00CD7764"/>
    <w:rsid w:val="00CE147C"/>
    <w:rsid w:val="00CE3535"/>
    <w:rsid w:val="00CE4FA1"/>
    <w:rsid w:val="00CE5CBA"/>
    <w:rsid w:val="00CF0512"/>
    <w:rsid w:val="00CF29AB"/>
    <w:rsid w:val="00D0124C"/>
    <w:rsid w:val="00D04136"/>
    <w:rsid w:val="00D04953"/>
    <w:rsid w:val="00D0538D"/>
    <w:rsid w:val="00D1255C"/>
    <w:rsid w:val="00D13F5F"/>
    <w:rsid w:val="00D16DD2"/>
    <w:rsid w:val="00D22107"/>
    <w:rsid w:val="00D23665"/>
    <w:rsid w:val="00D25EF4"/>
    <w:rsid w:val="00D31F60"/>
    <w:rsid w:val="00D33C52"/>
    <w:rsid w:val="00D35909"/>
    <w:rsid w:val="00D35AED"/>
    <w:rsid w:val="00D35C0A"/>
    <w:rsid w:val="00D43FFC"/>
    <w:rsid w:val="00D45F7A"/>
    <w:rsid w:val="00D479DF"/>
    <w:rsid w:val="00D5227C"/>
    <w:rsid w:val="00D56771"/>
    <w:rsid w:val="00D603C3"/>
    <w:rsid w:val="00D64731"/>
    <w:rsid w:val="00D64C31"/>
    <w:rsid w:val="00D64E4D"/>
    <w:rsid w:val="00D713E2"/>
    <w:rsid w:val="00D74A6E"/>
    <w:rsid w:val="00D74C22"/>
    <w:rsid w:val="00D77600"/>
    <w:rsid w:val="00D77D2D"/>
    <w:rsid w:val="00D83163"/>
    <w:rsid w:val="00D860FC"/>
    <w:rsid w:val="00D86D4B"/>
    <w:rsid w:val="00D87895"/>
    <w:rsid w:val="00D939A1"/>
    <w:rsid w:val="00D946F2"/>
    <w:rsid w:val="00D95EED"/>
    <w:rsid w:val="00DA07A4"/>
    <w:rsid w:val="00DA44C3"/>
    <w:rsid w:val="00DB075F"/>
    <w:rsid w:val="00DC3E80"/>
    <w:rsid w:val="00DC707A"/>
    <w:rsid w:val="00DD351A"/>
    <w:rsid w:val="00DD53E9"/>
    <w:rsid w:val="00DE1130"/>
    <w:rsid w:val="00DE23FE"/>
    <w:rsid w:val="00DE3E15"/>
    <w:rsid w:val="00DE4BF1"/>
    <w:rsid w:val="00DE5485"/>
    <w:rsid w:val="00DE5E9E"/>
    <w:rsid w:val="00DE5F0F"/>
    <w:rsid w:val="00DF561C"/>
    <w:rsid w:val="00DF7264"/>
    <w:rsid w:val="00E04741"/>
    <w:rsid w:val="00E078D0"/>
    <w:rsid w:val="00E242D9"/>
    <w:rsid w:val="00E26A93"/>
    <w:rsid w:val="00E33147"/>
    <w:rsid w:val="00E34EFE"/>
    <w:rsid w:val="00E406BF"/>
    <w:rsid w:val="00E438CE"/>
    <w:rsid w:val="00E438FD"/>
    <w:rsid w:val="00E44987"/>
    <w:rsid w:val="00E464D4"/>
    <w:rsid w:val="00E47DA5"/>
    <w:rsid w:val="00E52B6A"/>
    <w:rsid w:val="00E56D23"/>
    <w:rsid w:val="00E62F06"/>
    <w:rsid w:val="00E63E13"/>
    <w:rsid w:val="00E66717"/>
    <w:rsid w:val="00E751D8"/>
    <w:rsid w:val="00E75737"/>
    <w:rsid w:val="00E763A4"/>
    <w:rsid w:val="00E8099A"/>
    <w:rsid w:val="00E8736E"/>
    <w:rsid w:val="00E95A30"/>
    <w:rsid w:val="00EA1544"/>
    <w:rsid w:val="00EA3C67"/>
    <w:rsid w:val="00EA68D7"/>
    <w:rsid w:val="00EB0C06"/>
    <w:rsid w:val="00EB1B8D"/>
    <w:rsid w:val="00EB2E40"/>
    <w:rsid w:val="00EB32F6"/>
    <w:rsid w:val="00EB67B7"/>
    <w:rsid w:val="00EC21EA"/>
    <w:rsid w:val="00EC4D0E"/>
    <w:rsid w:val="00EC61C0"/>
    <w:rsid w:val="00EC6412"/>
    <w:rsid w:val="00EC767D"/>
    <w:rsid w:val="00ED04A9"/>
    <w:rsid w:val="00ED1A97"/>
    <w:rsid w:val="00ED2963"/>
    <w:rsid w:val="00ED5D6C"/>
    <w:rsid w:val="00EF702C"/>
    <w:rsid w:val="00EF753A"/>
    <w:rsid w:val="00EF7B49"/>
    <w:rsid w:val="00F0185C"/>
    <w:rsid w:val="00F11DA5"/>
    <w:rsid w:val="00F1268B"/>
    <w:rsid w:val="00F14558"/>
    <w:rsid w:val="00F155B4"/>
    <w:rsid w:val="00F16B05"/>
    <w:rsid w:val="00F21B6A"/>
    <w:rsid w:val="00F2440D"/>
    <w:rsid w:val="00F25840"/>
    <w:rsid w:val="00F32FA3"/>
    <w:rsid w:val="00F434D9"/>
    <w:rsid w:val="00F47CDB"/>
    <w:rsid w:val="00F50BCE"/>
    <w:rsid w:val="00F575A4"/>
    <w:rsid w:val="00F602A8"/>
    <w:rsid w:val="00F63009"/>
    <w:rsid w:val="00F67B47"/>
    <w:rsid w:val="00F7298D"/>
    <w:rsid w:val="00F72AC7"/>
    <w:rsid w:val="00F763D0"/>
    <w:rsid w:val="00F83644"/>
    <w:rsid w:val="00F83C16"/>
    <w:rsid w:val="00F868C9"/>
    <w:rsid w:val="00F86AE0"/>
    <w:rsid w:val="00F94040"/>
    <w:rsid w:val="00F96D82"/>
    <w:rsid w:val="00F97E43"/>
    <w:rsid w:val="00FA1776"/>
    <w:rsid w:val="00FA1B6B"/>
    <w:rsid w:val="00FA30F8"/>
    <w:rsid w:val="00FA34B3"/>
    <w:rsid w:val="00FA3C7F"/>
    <w:rsid w:val="00FA5FE4"/>
    <w:rsid w:val="00FA744E"/>
    <w:rsid w:val="00FB0BDE"/>
    <w:rsid w:val="00FC1B76"/>
    <w:rsid w:val="00FC1C68"/>
    <w:rsid w:val="00FC5FC7"/>
    <w:rsid w:val="00FC693F"/>
    <w:rsid w:val="00FD010E"/>
    <w:rsid w:val="00FD06AA"/>
    <w:rsid w:val="00FD3931"/>
    <w:rsid w:val="00FE10AF"/>
    <w:rsid w:val="00FE360B"/>
    <w:rsid w:val="00FF0083"/>
    <w:rsid w:val="00FF0354"/>
    <w:rsid w:val="00FF622B"/>
    <w:rsid w:val="00FF6FEB"/>
    <w:rsid w:val="01237F6C"/>
    <w:rsid w:val="015FF3A0"/>
    <w:rsid w:val="0267F82E"/>
    <w:rsid w:val="03CF4EF3"/>
    <w:rsid w:val="03CFC304"/>
    <w:rsid w:val="04226E4E"/>
    <w:rsid w:val="067DF264"/>
    <w:rsid w:val="08821651"/>
    <w:rsid w:val="088D10BB"/>
    <w:rsid w:val="09721B69"/>
    <w:rsid w:val="0B62F413"/>
    <w:rsid w:val="0BBC3BE4"/>
    <w:rsid w:val="0C32D93C"/>
    <w:rsid w:val="0CAB2234"/>
    <w:rsid w:val="0CDB6508"/>
    <w:rsid w:val="0D9EF497"/>
    <w:rsid w:val="0DC685CE"/>
    <w:rsid w:val="0DECBB30"/>
    <w:rsid w:val="0F801171"/>
    <w:rsid w:val="105DEC9C"/>
    <w:rsid w:val="1176922B"/>
    <w:rsid w:val="11E2A296"/>
    <w:rsid w:val="1219A29A"/>
    <w:rsid w:val="142D8983"/>
    <w:rsid w:val="1580EAA8"/>
    <w:rsid w:val="15843F24"/>
    <w:rsid w:val="16375C98"/>
    <w:rsid w:val="17CB4F55"/>
    <w:rsid w:val="1AAE8F57"/>
    <w:rsid w:val="1AC07E33"/>
    <w:rsid w:val="1B7AB49C"/>
    <w:rsid w:val="1CF0015C"/>
    <w:rsid w:val="1E7F84A8"/>
    <w:rsid w:val="1E86D8ED"/>
    <w:rsid w:val="20191EA9"/>
    <w:rsid w:val="2155ECE9"/>
    <w:rsid w:val="2306007D"/>
    <w:rsid w:val="2331053C"/>
    <w:rsid w:val="23E2169F"/>
    <w:rsid w:val="2473FCA9"/>
    <w:rsid w:val="2624F67C"/>
    <w:rsid w:val="26E3FEED"/>
    <w:rsid w:val="27AF4EBB"/>
    <w:rsid w:val="2A09F753"/>
    <w:rsid w:val="2A8B2250"/>
    <w:rsid w:val="2AF84DB5"/>
    <w:rsid w:val="2CF95AE7"/>
    <w:rsid w:val="2E4F8A1A"/>
    <w:rsid w:val="2ED161EA"/>
    <w:rsid w:val="2F0E1AA1"/>
    <w:rsid w:val="2FB556F0"/>
    <w:rsid w:val="2FCB013A"/>
    <w:rsid w:val="309896C4"/>
    <w:rsid w:val="313694FE"/>
    <w:rsid w:val="31BCD481"/>
    <w:rsid w:val="327EA4C1"/>
    <w:rsid w:val="33E838B3"/>
    <w:rsid w:val="34CD1D8B"/>
    <w:rsid w:val="35F76803"/>
    <w:rsid w:val="36A125D9"/>
    <w:rsid w:val="3959D6DC"/>
    <w:rsid w:val="3A0E7634"/>
    <w:rsid w:val="3A5E11AB"/>
    <w:rsid w:val="3C4374ED"/>
    <w:rsid w:val="3C5DCA79"/>
    <w:rsid w:val="3CD11480"/>
    <w:rsid w:val="3CD43E7F"/>
    <w:rsid w:val="3F0E0EF7"/>
    <w:rsid w:val="3F1A7FA0"/>
    <w:rsid w:val="3F499845"/>
    <w:rsid w:val="3F6AAC11"/>
    <w:rsid w:val="3FAC652F"/>
    <w:rsid w:val="3FECF960"/>
    <w:rsid w:val="406F55FE"/>
    <w:rsid w:val="4208E62F"/>
    <w:rsid w:val="42E9F46F"/>
    <w:rsid w:val="4308B630"/>
    <w:rsid w:val="43ABF8AB"/>
    <w:rsid w:val="45572F99"/>
    <w:rsid w:val="45A72261"/>
    <w:rsid w:val="46A4929F"/>
    <w:rsid w:val="46A95C51"/>
    <w:rsid w:val="46E1CE7B"/>
    <w:rsid w:val="47845DCA"/>
    <w:rsid w:val="478AF251"/>
    <w:rsid w:val="49EC17D6"/>
    <w:rsid w:val="4AD6AFC0"/>
    <w:rsid w:val="4AF17DC0"/>
    <w:rsid w:val="4B020258"/>
    <w:rsid w:val="4B66FCDF"/>
    <w:rsid w:val="4B880066"/>
    <w:rsid w:val="4B8F1845"/>
    <w:rsid w:val="4B953E30"/>
    <w:rsid w:val="4BA06C9A"/>
    <w:rsid w:val="4D33E31B"/>
    <w:rsid w:val="4D6F273B"/>
    <w:rsid w:val="4E9CACDF"/>
    <w:rsid w:val="4F39F46B"/>
    <w:rsid w:val="4FAED919"/>
    <w:rsid w:val="50BE8572"/>
    <w:rsid w:val="50D2E00D"/>
    <w:rsid w:val="51363B13"/>
    <w:rsid w:val="514A56F3"/>
    <w:rsid w:val="51C062B4"/>
    <w:rsid w:val="5238805A"/>
    <w:rsid w:val="531C17B1"/>
    <w:rsid w:val="535E3BB1"/>
    <w:rsid w:val="53A29AF7"/>
    <w:rsid w:val="54E4A403"/>
    <w:rsid w:val="561FF3AA"/>
    <w:rsid w:val="5638E197"/>
    <w:rsid w:val="56688263"/>
    <w:rsid w:val="5700FF78"/>
    <w:rsid w:val="57F09826"/>
    <w:rsid w:val="582DF32E"/>
    <w:rsid w:val="58BBAD24"/>
    <w:rsid w:val="59F2CAC3"/>
    <w:rsid w:val="5A142CEE"/>
    <w:rsid w:val="5AC80874"/>
    <w:rsid w:val="5AC88EA7"/>
    <w:rsid w:val="5B4C04BC"/>
    <w:rsid w:val="5BE7DE6B"/>
    <w:rsid w:val="5C644AFD"/>
    <w:rsid w:val="5D408101"/>
    <w:rsid w:val="5DA0BF60"/>
    <w:rsid w:val="5E903307"/>
    <w:rsid w:val="5EA83ED4"/>
    <w:rsid w:val="5F83A214"/>
    <w:rsid w:val="6037B405"/>
    <w:rsid w:val="60D3705B"/>
    <w:rsid w:val="6100E2D0"/>
    <w:rsid w:val="620C9426"/>
    <w:rsid w:val="622E126C"/>
    <w:rsid w:val="627C43F8"/>
    <w:rsid w:val="632E71AA"/>
    <w:rsid w:val="63A63F8E"/>
    <w:rsid w:val="6493EC2F"/>
    <w:rsid w:val="666B698B"/>
    <w:rsid w:val="682631A0"/>
    <w:rsid w:val="699C9226"/>
    <w:rsid w:val="6A421298"/>
    <w:rsid w:val="6A9FA6B5"/>
    <w:rsid w:val="6AB267AB"/>
    <w:rsid w:val="6C021F2C"/>
    <w:rsid w:val="6C616A96"/>
    <w:rsid w:val="6D9FB9F5"/>
    <w:rsid w:val="701F232D"/>
    <w:rsid w:val="70E753A5"/>
    <w:rsid w:val="7132483C"/>
    <w:rsid w:val="718DFA87"/>
    <w:rsid w:val="71F19A5A"/>
    <w:rsid w:val="723AEFA8"/>
    <w:rsid w:val="7273BD1D"/>
    <w:rsid w:val="72C136B0"/>
    <w:rsid w:val="73758413"/>
    <w:rsid w:val="74B2607D"/>
    <w:rsid w:val="74CC68E0"/>
    <w:rsid w:val="751158C8"/>
    <w:rsid w:val="7538C578"/>
    <w:rsid w:val="75D0F8B1"/>
    <w:rsid w:val="75E696CC"/>
    <w:rsid w:val="76EC7729"/>
    <w:rsid w:val="7798330A"/>
    <w:rsid w:val="77E55988"/>
    <w:rsid w:val="79038124"/>
    <w:rsid w:val="79DDEE55"/>
    <w:rsid w:val="7AE20564"/>
    <w:rsid w:val="7BE8932E"/>
    <w:rsid w:val="7C2940CE"/>
    <w:rsid w:val="7C591747"/>
    <w:rsid w:val="7C59A111"/>
    <w:rsid w:val="7CD80886"/>
    <w:rsid w:val="7D20DB1D"/>
    <w:rsid w:val="7E4BD25E"/>
    <w:rsid w:val="7F463F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77C7C"/>
  <w14:defaultImageDpi w14:val="300"/>
  <w15:docId w15:val="{70CE464E-0002-45DA-B1BC-A68D3F2D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1D0"/>
    <w:pPr>
      <w:keepNext/>
      <w:keepLines/>
      <w:spacing w:before="240" w:after="240"/>
      <w:outlineLvl w:val="1"/>
    </w:pPr>
    <w:rPr>
      <w:rFonts w:ascii="Times New Roman" w:eastAsiaTheme="majorEastAsia" w:hAnsi="Times New Roman" w:cs="Times New Roman"/>
      <w:b/>
      <w:bCs/>
      <w:color w:val="4F81BD" w:themeColor="accent1"/>
      <w:sz w:val="28"/>
      <w:szCs w:val="28"/>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B51D0"/>
    <w:rPr>
      <w:rFonts w:ascii="Times New Roman" w:eastAsiaTheme="majorEastAsia" w:hAnsi="Times New Roman" w:cs="Times New Roman"/>
      <w:b/>
      <w:bCs/>
      <w:color w:val="4F81BD" w:themeColor="accent1"/>
      <w:sz w:val="28"/>
      <w:szCs w:val="28"/>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4"/>
      </w:numPr>
      <w:contextualSpacing/>
    </w:pPr>
  </w:style>
  <w:style w:type="paragraph" w:styleId="ListBullet3">
    <w:name w:val="List Bullet 3"/>
    <w:basedOn w:val="Normal"/>
    <w:uiPriority w:val="99"/>
    <w:unhideWhenUsed/>
    <w:rsid w:val="00326F90"/>
    <w:pPr>
      <w:numPr>
        <w:numId w:val="5"/>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u w:val="single"/>
    </w:rPr>
  </w:style>
  <w:style w:type="character" w:styleId="BookTitle">
    <w:name w:val="Book Title"/>
    <w:basedOn w:val="DefaultParagraphFont"/>
    <w:uiPriority w:val="33"/>
    <w:qFormat/>
    <w:rsid w:val="00FC693F"/>
    <w:rPr>
      <w:b/>
      <w:bCs/>
      <w:smallCaps/>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3A69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3A6943"/>
  </w:style>
  <w:style w:type="paragraph" w:customStyle="1" w:styleId="not-prose">
    <w:name w:val="not-prose"/>
    <w:basedOn w:val="Normal"/>
    <w:rsid w:val="003A6943"/>
    <w:pPr>
      <w:spacing w:before="100" w:beforeAutospacing="1" w:after="100" w:afterAutospacing="1" w:line="240" w:lineRule="auto"/>
    </w:pPr>
    <w:rPr>
      <w:rFonts w:ascii="Times New Roman" w:eastAsia="Times New Roman" w:hAnsi="Times New Roman" w:cs="Times New Roman"/>
      <w:sz w:val="24"/>
      <w:szCs w:val="24"/>
    </w:rPr>
  </w:style>
  <w:style w:type="table" w:styleId="TableGridLight">
    <w:name w:val="Grid Table Light"/>
    <w:basedOn w:val="TableNormal"/>
    <w:uiPriority w:val="99"/>
    <w:rsid w:val="006A7B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100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0696"/>
  </w:style>
  <w:style w:type="character" w:customStyle="1" w:styleId="eop">
    <w:name w:val="eop"/>
    <w:basedOn w:val="DefaultParagraphFont"/>
    <w:rsid w:val="00100696"/>
  </w:style>
  <w:style w:type="table" w:styleId="ListTable3-Accent5">
    <w:name w:val="List Table 3 Accent 5"/>
    <w:basedOn w:val="TableNormal"/>
    <w:uiPriority w:val="48"/>
    <w:rsid w:val="007F63EC"/>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GridTable4-Accent2">
    <w:name w:val="Grid Table 4 Accent 2"/>
    <w:basedOn w:val="TableNormal"/>
    <w:uiPriority w:val="49"/>
    <w:rsid w:val="00EF702C"/>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Hyperlink">
    <w:name w:val="Hyperlink"/>
    <w:basedOn w:val="DefaultParagraphFont"/>
    <w:uiPriority w:val="99"/>
    <w:unhideWhenUsed/>
    <w:rsid w:val="0067321F"/>
    <w:rPr>
      <w:color w:val="0000FF"/>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C208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08C1"/>
    <w:rPr>
      <w:sz w:val="20"/>
      <w:szCs w:val="20"/>
    </w:rPr>
  </w:style>
  <w:style w:type="character" w:styleId="FootnoteReference">
    <w:name w:val="footnote reference"/>
    <w:basedOn w:val="DefaultParagraphFont"/>
    <w:uiPriority w:val="99"/>
    <w:semiHidden/>
    <w:unhideWhenUsed/>
    <w:rsid w:val="00C208C1"/>
    <w:rPr>
      <w:vertAlign w:val="superscript"/>
    </w:rPr>
  </w:style>
  <w:style w:type="character" w:styleId="UnresolvedMention">
    <w:name w:val="Unresolved Mention"/>
    <w:basedOn w:val="DefaultParagraphFont"/>
    <w:uiPriority w:val="99"/>
    <w:semiHidden/>
    <w:unhideWhenUsed/>
    <w:rsid w:val="00C208C1"/>
    <w:rPr>
      <w:color w:val="605E5C"/>
      <w:shd w:val="clear" w:color="auto" w:fill="E1DFDD"/>
    </w:rPr>
  </w:style>
  <w:style w:type="paragraph" w:styleId="Revision">
    <w:name w:val="Revision"/>
    <w:hidden/>
    <w:uiPriority w:val="99"/>
    <w:semiHidden/>
    <w:rsid w:val="00A47A85"/>
    <w:pPr>
      <w:spacing w:after="0" w:line="240" w:lineRule="auto"/>
    </w:pPr>
  </w:style>
  <w:style w:type="character" w:styleId="FollowedHyperlink">
    <w:name w:val="FollowedHyperlink"/>
    <w:basedOn w:val="DefaultParagraphFont"/>
    <w:uiPriority w:val="99"/>
    <w:semiHidden/>
    <w:unhideWhenUsed/>
    <w:rsid w:val="009C447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611CD"/>
    <w:rPr>
      <w:b/>
      <w:bCs/>
    </w:rPr>
  </w:style>
  <w:style w:type="character" w:customStyle="1" w:styleId="CommentSubjectChar">
    <w:name w:val="Comment Subject Char"/>
    <w:basedOn w:val="CommentTextChar"/>
    <w:link w:val="CommentSubject"/>
    <w:uiPriority w:val="99"/>
    <w:semiHidden/>
    <w:rsid w:val="000611CD"/>
    <w:rPr>
      <w:b/>
      <w:bCs/>
      <w:sz w:val="20"/>
      <w:szCs w:val="20"/>
    </w:rPr>
  </w:style>
  <w:style w:type="paragraph" w:customStyle="1" w:styleId="P68B1DB1-Heading11">
    <w:name w:val="P68B1DB1-Heading11"/>
    <w:basedOn w:val="Heading1"/>
    <w:rPr>
      <w:rFonts w:ascii="Times New Roman" w:hAnsi="Times New Roman" w:cs="Times New Roman"/>
      <w:sz w:val="32"/>
      <w:szCs w:val="32"/>
    </w:rPr>
  </w:style>
  <w:style w:type="paragraph" w:customStyle="1" w:styleId="P68B1DB1-Heading22">
    <w:name w:val="P68B1DB1-Heading22"/>
    <w:basedOn w:val="Heading2"/>
    <w:rPr>
      <w:b w:val="0"/>
      <w:bCs w:val="0"/>
      <w:sz w:val="24"/>
      <w:szCs w:val="24"/>
    </w:rPr>
  </w:style>
  <w:style w:type="paragraph" w:customStyle="1" w:styleId="P68B1DB1-ListParagraph3">
    <w:name w:val="P68B1DB1-ListParagraph3"/>
    <w:basedOn w:val="ListParagraph"/>
    <w:rPr>
      <w:rFonts w:ascii="Times New Roman" w:eastAsia="Times New Roman" w:hAnsi="Times New Roman" w:cs="Times New Roman"/>
      <w:sz w:val="24"/>
      <w:szCs w:val="24"/>
    </w:rPr>
  </w:style>
  <w:style w:type="paragraph" w:customStyle="1" w:styleId="P68B1DB1-Normal4">
    <w:name w:val="P68B1DB1-Normal4"/>
    <w:basedOn w:val="Normal"/>
    <w:rPr>
      <w:rFonts w:ascii="Times New Roman" w:hAnsi="Times New Roman" w:cs="Times New Roman"/>
      <w:b/>
      <w:sz w:val="24"/>
      <w:szCs w:val="24"/>
    </w:rPr>
  </w:style>
  <w:style w:type="paragraph" w:customStyle="1" w:styleId="P68B1DB1-Normal5">
    <w:name w:val="P68B1DB1-Normal5"/>
    <w:basedOn w:val="Normal"/>
    <w:rPr>
      <w:rFonts w:ascii="Times New Roman" w:eastAsia="Times New Roman" w:hAnsi="Times New Roman" w:cs="Times New Roman"/>
      <w:b/>
      <w:sz w:val="24"/>
      <w:szCs w:val="24"/>
    </w:rPr>
  </w:style>
  <w:style w:type="paragraph" w:customStyle="1" w:styleId="P68B1DB1-ListParagraph6">
    <w:name w:val="P68B1DB1-ListParagraph6"/>
    <w:basedOn w:val="ListParagraph"/>
    <w:rPr>
      <w:rFonts w:ascii="Times New Roman" w:eastAsia="Times New Roman" w:hAnsi="Times New Roman" w:cs="Times New Roman"/>
      <w:b/>
      <w:sz w:val="24"/>
      <w:szCs w:val="24"/>
    </w:rPr>
  </w:style>
  <w:style w:type="paragraph" w:customStyle="1" w:styleId="P68B1DB1-Normal7">
    <w:name w:val="P68B1DB1-Normal7"/>
    <w:basedOn w:val="Normal"/>
    <w:rPr>
      <w:rFonts w:ascii="Times New Roman" w:eastAsia="Times New Roman" w:hAnsi="Times New Roman" w:cs="Times New Roman"/>
      <w:sz w:val="24"/>
      <w:szCs w:val="24"/>
    </w:rPr>
  </w:style>
  <w:style w:type="paragraph" w:customStyle="1" w:styleId="P68B1DB1-Normal8">
    <w:name w:val="P68B1DB1-Normal8"/>
    <w:basedOn w:val="Normal"/>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72847">
      <w:bodyDiv w:val="1"/>
      <w:marLeft w:val="0"/>
      <w:marRight w:val="0"/>
      <w:marTop w:val="0"/>
      <w:marBottom w:val="0"/>
      <w:divBdr>
        <w:top w:val="none" w:sz="0" w:space="0" w:color="auto"/>
        <w:left w:val="none" w:sz="0" w:space="0" w:color="auto"/>
        <w:bottom w:val="none" w:sz="0" w:space="0" w:color="auto"/>
        <w:right w:val="none" w:sz="0" w:space="0" w:color="auto"/>
      </w:divBdr>
    </w:div>
    <w:div w:id="381291078">
      <w:bodyDiv w:val="1"/>
      <w:marLeft w:val="0"/>
      <w:marRight w:val="0"/>
      <w:marTop w:val="0"/>
      <w:marBottom w:val="0"/>
      <w:divBdr>
        <w:top w:val="none" w:sz="0" w:space="0" w:color="auto"/>
        <w:left w:val="none" w:sz="0" w:space="0" w:color="auto"/>
        <w:bottom w:val="none" w:sz="0" w:space="0" w:color="auto"/>
        <w:right w:val="none" w:sz="0" w:space="0" w:color="auto"/>
      </w:divBdr>
    </w:div>
    <w:div w:id="408429365">
      <w:bodyDiv w:val="1"/>
      <w:marLeft w:val="0"/>
      <w:marRight w:val="0"/>
      <w:marTop w:val="0"/>
      <w:marBottom w:val="0"/>
      <w:divBdr>
        <w:top w:val="none" w:sz="0" w:space="0" w:color="auto"/>
        <w:left w:val="none" w:sz="0" w:space="0" w:color="auto"/>
        <w:bottom w:val="none" w:sz="0" w:space="0" w:color="auto"/>
        <w:right w:val="none" w:sz="0" w:space="0" w:color="auto"/>
      </w:divBdr>
    </w:div>
    <w:div w:id="952590667">
      <w:bodyDiv w:val="1"/>
      <w:marLeft w:val="0"/>
      <w:marRight w:val="0"/>
      <w:marTop w:val="0"/>
      <w:marBottom w:val="0"/>
      <w:divBdr>
        <w:top w:val="none" w:sz="0" w:space="0" w:color="auto"/>
        <w:left w:val="none" w:sz="0" w:space="0" w:color="auto"/>
        <w:bottom w:val="none" w:sz="0" w:space="0" w:color="auto"/>
        <w:right w:val="none" w:sz="0" w:space="0" w:color="auto"/>
      </w:divBdr>
      <w:divsChild>
        <w:div w:id="1345018124">
          <w:marLeft w:val="0"/>
          <w:marRight w:val="0"/>
          <w:marTop w:val="0"/>
          <w:marBottom w:val="0"/>
          <w:divBdr>
            <w:top w:val="none" w:sz="0" w:space="0" w:color="auto"/>
            <w:left w:val="none" w:sz="0" w:space="0" w:color="auto"/>
            <w:bottom w:val="none" w:sz="0" w:space="0" w:color="auto"/>
            <w:right w:val="none" w:sz="0" w:space="0" w:color="auto"/>
          </w:divBdr>
          <w:divsChild>
            <w:div w:id="19713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89772">
      <w:bodyDiv w:val="1"/>
      <w:marLeft w:val="0"/>
      <w:marRight w:val="0"/>
      <w:marTop w:val="0"/>
      <w:marBottom w:val="0"/>
      <w:divBdr>
        <w:top w:val="none" w:sz="0" w:space="0" w:color="auto"/>
        <w:left w:val="none" w:sz="0" w:space="0" w:color="auto"/>
        <w:bottom w:val="none" w:sz="0" w:space="0" w:color="auto"/>
        <w:right w:val="none" w:sz="0" w:space="0" w:color="auto"/>
      </w:divBdr>
      <w:divsChild>
        <w:div w:id="327366452">
          <w:marLeft w:val="0"/>
          <w:marRight w:val="0"/>
          <w:marTop w:val="0"/>
          <w:marBottom w:val="0"/>
          <w:divBdr>
            <w:top w:val="none" w:sz="0" w:space="0" w:color="auto"/>
            <w:left w:val="none" w:sz="0" w:space="0" w:color="auto"/>
            <w:bottom w:val="none" w:sz="0" w:space="0" w:color="auto"/>
            <w:right w:val="none" w:sz="0" w:space="0" w:color="auto"/>
          </w:divBdr>
        </w:div>
        <w:div w:id="798962014">
          <w:marLeft w:val="0"/>
          <w:marRight w:val="0"/>
          <w:marTop w:val="0"/>
          <w:marBottom w:val="0"/>
          <w:divBdr>
            <w:top w:val="none" w:sz="0" w:space="0" w:color="auto"/>
            <w:left w:val="none" w:sz="0" w:space="0" w:color="auto"/>
            <w:bottom w:val="none" w:sz="0" w:space="0" w:color="auto"/>
            <w:right w:val="none" w:sz="0" w:space="0" w:color="auto"/>
          </w:divBdr>
        </w:div>
        <w:div w:id="896284421">
          <w:marLeft w:val="0"/>
          <w:marRight w:val="0"/>
          <w:marTop w:val="0"/>
          <w:marBottom w:val="0"/>
          <w:divBdr>
            <w:top w:val="none" w:sz="0" w:space="0" w:color="auto"/>
            <w:left w:val="none" w:sz="0" w:space="0" w:color="auto"/>
            <w:bottom w:val="none" w:sz="0" w:space="0" w:color="auto"/>
            <w:right w:val="none" w:sz="0" w:space="0" w:color="auto"/>
          </w:divBdr>
        </w:div>
        <w:div w:id="1093360373">
          <w:marLeft w:val="0"/>
          <w:marRight w:val="0"/>
          <w:marTop w:val="0"/>
          <w:marBottom w:val="0"/>
          <w:divBdr>
            <w:top w:val="none" w:sz="0" w:space="0" w:color="auto"/>
            <w:left w:val="none" w:sz="0" w:space="0" w:color="auto"/>
            <w:bottom w:val="none" w:sz="0" w:space="0" w:color="auto"/>
            <w:right w:val="none" w:sz="0" w:space="0" w:color="auto"/>
          </w:divBdr>
        </w:div>
        <w:div w:id="1095635600">
          <w:marLeft w:val="0"/>
          <w:marRight w:val="0"/>
          <w:marTop w:val="0"/>
          <w:marBottom w:val="0"/>
          <w:divBdr>
            <w:top w:val="none" w:sz="0" w:space="0" w:color="auto"/>
            <w:left w:val="none" w:sz="0" w:space="0" w:color="auto"/>
            <w:bottom w:val="none" w:sz="0" w:space="0" w:color="auto"/>
            <w:right w:val="none" w:sz="0" w:space="0" w:color="auto"/>
          </w:divBdr>
        </w:div>
        <w:div w:id="1115909480">
          <w:marLeft w:val="0"/>
          <w:marRight w:val="0"/>
          <w:marTop w:val="0"/>
          <w:marBottom w:val="0"/>
          <w:divBdr>
            <w:top w:val="none" w:sz="0" w:space="0" w:color="auto"/>
            <w:left w:val="none" w:sz="0" w:space="0" w:color="auto"/>
            <w:bottom w:val="none" w:sz="0" w:space="0" w:color="auto"/>
            <w:right w:val="none" w:sz="0" w:space="0" w:color="auto"/>
          </w:divBdr>
        </w:div>
        <w:div w:id="1251158764">
          <w:marLeft w:val="0"/>
          <w:marRight w:val="0"/>
          <w:marTop w:val="0"/>
          <w:marBottom w:val="0"/>
          <w:divBdr>
            <w:top w:val="none" w:sz="0" w:space="0" w:color="auto"/>
            <w:left w:val="none" w:sz="0" w:space="0" w:color="auto"/>
            <w:bottom w:val="none" w:sz="0" w:space="0" w:color="auto"/>
            <w:right w:val="none" w:sz="0" w:space="0" w:color="auto"/>
          </w:divBdr>
        </w:div>
        <w:div w:id="1301611108">
          <w:marLeft w:val="0"/>
          <w:marRight w:val="0"/>
          <w:marTop w:val="0"/>
          <w:marBottom w:val="0"/>
          <w:divBdr>
            <w:top w:val="none" w:sz="0" w:space="0" w:color="auto"/>
            <w:left w:val="none" w:sz="0" w:space="0" w:color="auto"/>
            <w:bottom w:val="none" w:sz="0" w:space="0" w:color="auto"/>
            <w:right w:val="none" w:sz="0" w:space="0" w:color="auto"/>
          </w:divBdr>
        </w:div>
        <w:div w:id="1303728135">
          <w:marLeft w:val="0"/>
          <w:marRight w:val="0"/>
          <w:marTop w:val="0"/>
          <w:marBottom w:val="0"/>
          <w:divBdr>
            <w:top w:val="none" w:sz="0" w:space="0" w:color="auto"/>
            <w:left w:val="none" w:sz="0" w:space="0" w:color="auto"/>
            <w:bottom w:val="none" w:sz="0" w:space="0" w:color="auto"/>
            <w:right w:val="none" w:sz="0" w:space="0" w:color="auto"/>
          </w:divBdr>
        </w:div>
        <w:div w:id="1797407237">
          <w:marLeft w:val="0"/>
          <w:marRight w:val="0"/>
          <w:marTop w:val="0"/>
          <w:marBottom w:val="0"/>
          <w:divBdr>
            <w:top w:val="none" w:sz="0" w:space="0" w:color="auto"/>
            <w:left w:val="none" w:sz="0" w:space="0" w:color="auto"/>
            <w:bottom w:val="none" w:sz="0" w:space="0" w:color="auto"/>
            <w:right w:val="none" w:sz="0" w:space="0" w:color="auto"/>
          </w:divBdr>
        </w:div>
      </w:divsChild>
    </w:div>
    <w:div w:id="1333294389">
      <w:bodyDiv w:val="1"/>
      <w:marLeft w:val="0"/>
      <w:marRight w:val="0"/>
      <w:marTop w:val="0"/>
      <w:marBottom w:val="0"/>
      <w:divBdr>
        <w:top w:val="none" w:sz="0" w:space="0" w:color="auto"/>
        <w:left w:val="none" w:sz="0" w:space="0" w:color="auto"/>
        <w:bottom w:val="none" w:sz="0" w:space="0" w:color="auto"/>
        <w:right w:val="none" w:sz="0" w:space="0" w:color="auto"/>
      </w:divBdr>
    </w:div>
    <w:div w:id="1342660502">
      <w:bodyDiv w:val="1"/>
      <w:marLeft w:val="0"/>
      <w:marRight w:val="0"/>
      <w:marTop w:val="0"/>
      <w:marBottom w:val="0"/>
      <w:divBdr>
        <w:top w:val="none" w:sz="0" w:space="0" w:color="auto"/>
        <w:left w:val="none" w:sz="0" w:space="0" w:color="auto"/>
        <w:bottom w:val="none" w:sz="0" w:space="0" w:color="auto"/>
        <w:right w:val="none" w:sz="0" w:space="0" w:color="auto"/>
      </w:divBdr>
    </w:div>
    <w:div w:id="1358240128">
      <w:bodyDiv w:val="1"/>
      <w:marLeft w:val="0"/>
      <w:marRight w:val="0"/>
      <w:marTop w:val="0"/>
      <w:marBottom w:val="0"/>
      <w:divBdr>
        <w:top w:val="none" w:sz="0" w:space="0" w:color="auto"/>
        <w:left w:val="none" w:sz="0" w:space="0" w:color="auto"/>
        <w:bottom w:val="none" w:sz="0" w:space="0" w:color="auto"/>
        <w:right w:val="none" w:sz="0" w:space="0" w:color="auto"/>
      </w:divBdr>
    </w:div>
    <w:div w:id="1673407631">
      <w:bodyDiv w:val="1"/>
      <w:marLeft w:val="0"/>
      <w:marRight w:val="0"/>
      <w:marTop w:val="0"/>
      <w:marBottom w:val="0"/>
      <w:divBdr>
        <w:top w:val="none" w:sz="0" w:space="0" w:color="auto"/>
        <w:left w:val="none" w:sz="0" w:space="0" w:color="auto"/>
        <w:bottom w:val="none" w:sz="0" w:space="0" w:color="auto"/>
        <w:right w:val="none" w:sz="0" w:space="0" w:color="auto"/>
      </w:divBdr>
    </w:div>
    <w:div w:id="1804692948">
      <w:bodyDiv w:val="1"/>
      <w:marLeft w:val="0"/>
      <w:marRight w:val="0"/>
      <w:marTop w:val="0"/>
      <w:marBottom w:val="0"/>
      <w:divBdr>
        <w:top w:val="none" w:sz="0" w:space="0" w:color="auto"/>
        <w:left w:val="none" w:sz="0" w:space="0" w:color="auto"/>
        <w:bottom w:val="none" w:sz="0" w:space="0" w:color="auto"/>
        <w:right w:val="none" w:sz="0" w:space="0" w:color="auto"/>
      </w:divBdr>
    </w:div>
    <w:div w:id="1814129831">
      <w:bodyDiv w:val="1"/>
      <w:marLeft w:val="0"/>
      <w:marRight w:val="0"/>
      <w:marTop w:val="0"/>
      <w:marBottom w:val="0"/>
      <w:divBdr>
        <w:top w:val="none" w:sz="0" w:space="0" w:color="auto"/>
        <w:left w:val="none" w:sz="0" w:space="0" w:color="auto"/>
        <w:bottom w:val="none" w:sz="0" w:space="0" w:color="auto"/>
        <w:right w:val="none" w:sz="0" w:space="0" w:color="auto"/>
      </w:divBdr>
    </w:div>
    <w:div w:id="1867403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cat.int/Documents/Recs/compendiopdf-f/2000-14-f.pdf" TargetMode="External"/><Relationship Id="rId18" Type="http://schemas.openxmlformats.org/officeDocument/2006/relationships/hyperlink" Target="https://www.iccat.int/Documents/Recs/compendiopdf-f/2011-15-f.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ccat.int/Documents/Recs/compendiopdf-f/2022-18-f.pdf" TargetMode="External"/><Relationship Id="rId17" Type="http://schemas.openxmlformats.org/officeDocument/2006/relationships/hyperlink" Target="https://www.iccat.int/Documents/Recs/compendiopdf-f/2011-11-f.pdf" TargetMode="External"/><Relationship Id="rId2" Type="http://schemas.openxmlformats.org/officeDocument/2006/relationships/customXml" Target="../customXml/item2.xml"/><Relationship Id="rId16" Type="http://schemas.openxmlformats.org/officeDocument/2006/relationships/hyperlink" Target="https://www.iccat.int/Documents/Recs/compendiopdf-f/2008-09-f.pdf" TargetMode="External"/><Relationship Id="rId20" Type="http://schemas.openxmlformats.org/officeDocument/2006/relationships/hyperlink" Target="https://www.iccat.int/Documents/Recs/compendiopdf-f/2016-17-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f/2022-18-f.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ccat.int/Documents/Recs/compendiopdf-f/2001-13-f.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ccat.int/Documents/Recs/compendiopdf-f/2015-09-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cat.int/Documents/Recs/compendiopdf-f/2001-12-f.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otc.org/sites/default/files/documents/2025/03/IOTC-2025-CoC22-10_E_-_Compliance_Support_Activities.pdf" TargetMode="External"/><Relationship Id="rId2" Type="http://schemas.openxmlformats.org/officeDocument/2006/relationships/hyperlink" Target="https://www.sprfmo.int/assets/Meetings/03-CTC/12th-CTC-2025/Meeting-Documents/CTC12-Doc08-Implementation-Report-Inspections-a.pdf" TargetMode="External"/><Relationship Id="rId1" Type="http://schemas.openxmlformats.org/officeDocument/2006/relationships/hyperlink" Target="https://iotc.org/sites/default/files/documents/2025/04/IOTC-2025-CoC22-03_Rev2_E_-_Summary_Report_on_the_level_of_Compli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fcf7daab4c7946db9108a330e12ae09d">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4b820f553532dfdfd344da649f6db379"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A0328D3-7FA0-4C11-9CF0-B7E448AD3C4F}">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3.xml><?xml version="1.0" encoding="utf-8"?>
<ds:datastoreItem xmlns:ds="http://schemas.openxmlformats.org/officeDocument/2006/customXml" ds:itemID="{BE31283E-60E1-4259-9BDD-BCFB1ED46E3B}">
  <ds:schemaRefs>
    <ds:schemaRef ds:uri="http://schemas.microsoft.com/sharepoint/v3/contenttype/forms"/>
  </ds:schemaRefs>
</ds:datastoreItem>
</file>

<file path=customXml/itemProps4.xml><?xml version="1.0" encoding="utf-8"?>
<ds:datastoreItem xmlns:ds="http://schemas.openxmlformats.org/officeDocument/2006/customXml" ds:itemID="{8A9D17AA-7848-423C-817B-B864983DE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Dorothee Pinet</cp:lastModifiedBy>
  <cp:revision>8</cp:revision>
  <dcterms:created xsi:type="dcterms:W3CDTF">2025-11-17T16:18:00Z</dcterms:created>
  <dcterms:modified xsi:type="dcterms:W3CDTF">2025-11-20T07:57:00Z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2025-09-17T08:30:32Z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4eafa8a7-70b9-4680-9a8b-ce5d8e1c1ab2</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0x01010017FF78C904FD5D479F9D99C5899B7D55</vt:lpwstr>
  </property>
  <property fmtid="{D5CDD505-2E9C-101B-9397-08002B2CF9AE}" pid="11" name="MediaServiceImageTags">
    <vt:lpwstr/>
  </property>
</Properties>
</file>