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1FF8" w14:textId="1A39BFE4" w:rsidR="00C8740C" w:rsidRPr="00C4570C" w:rsidRDefault="00C8740C" w:rsidP="00C8740C">
      <w:pPr>
        <w:spacing w:after="160" w:line="240" w:lineRule="auto"/>
        <w:jc w:val="right"/>
        <w:rPr>
          <w:rFonts w:asciiTheme="majorHAnsi" w:eastAsia="Aptos" w:hAnsiTheme="majorHAnsi" w:cs="Times New Roman"/>
          <w:b/>
          <w:bCs/>
        </w:rPr>
      </w:pPr>
      <w:r w:rsidRPr="00C4570C">
        <w:rPr>
          <w:rFonts w:asciiTheme="majorHAnsi" w:hAnsiTheme="majorHAnsi"/>
          <w:b/>
        </w:rPr>
        <w:t>Original: inglés</w:t>
      </w:r>
    </w:p>
    <w:p w14:paraId="438A2B76" w14:textId="655E98D1" w:rsidR="00C8740C" w:rsidRPr="00C4570C" w:rsidRDefault="00C8740C" w:rsidP="00B91B1B">
      <w:pPr>
        <w:spacing w:after="0" w:line="240" w:lineRule="auto"/>
        <w:jc w:val="center"/>
        <w:rPr>
          <w:rFonts w:asciiTheme="majorHAnsi" w:hAnsiTheme="majorHAnsi"/>
          <w:b/>
          <w:bCs/>
        </w:rPr>
      </w:pPr>
      <w:r w:rsidRPr="00C4570C">
        <w:rPr>
          <w:rFonts w:asciiTheme="majorHAnsi" w:hAnsiTheme="majorHAnsi"/>
          <w:b/>
        </w:rPr>
        <w:t xml:space="preserve">Directrices destinadas a </w:t>
      </w:r>
      <w:r w:rsidR="00C4570C" w:rsidRPr="00C4570C">
        <w:rPr>
          <w:rFonts w:asciiTheme="majorHAnsi" w:hAnsiTheme="majorHAnsi"/>
          <w:b/>
        </w:rPr>
        <w:t>simplificar</w:t>
      </w:r>
      <w:r w:rsidRPr="00C4570C">
        <w:rPr>
          <w:rFonts w:asciiTheme="majorHAnsi" w:hAnsiTheme="majorHAnsi"/>
          <w:b/>
        </w:rPr>
        <w:t xml:space="preserve"> las hojas de comprobación de istiofóridos y tiburones, </w:t>
      </w:r>
    </w:p>
    <w:p w14:paraId="562339EF" w14:textId="390D051E" w:rsidR="00EB40D6" w:rsidRPr="00C4570C" w:rsidRDefault="00C8740C" w:rsidP="00B91B1B">
      <w:pPr>
        <w:spacing w:after="0" w:line="240" w:lineRule="auto"/>
        <w:jc w:val="center"/>
        <w:rPr>
          <w:rFonts w:asciiTheme="majorHAnsi" w:hAnsiTheme="majorHAnsi"/>
          <w:b/>
          <w:bCs/>
        </w:rPr>
      </w:pPr>
      <w:r w:rsidRPr="00C4570C">
        <w:rPr>
          <w:rFonts w:asciiTheme="majorHAnsi" w:hAnsiTheme="majorHAnsi"/>
          <w:b/>
        </w:rPr>
        <w:t>basadas en las presentadas en 2025</w:t>
      </w:r>
    </w:p>
    <w:p w14:paraId="2E764ECD" w14:textId="77777777" w:rsidR="00B41F12" w:rsidRPr="00C4570C" w:rsidRDefault="00B41F12" w:rsidP="00B91B1B">
      <w:pPr>
        <w:spacing w:after="0" w:line="240" w:lineRule="auto"/>
        <w:jc w:val="center"/>
        <w:rPr>
          <w:rFonts w:asciiTheme="majorHAnsi" w:hAnsiTheme="majorHAnsi"/>
          <w:b/>
          <w:bCs/>
        </w:rPr>
      </w:pPr>
    </w:p>
    <w:p w14:paraId="5FC4034E" w14:textId="7915627C" w:rsidR="00EB40D6" w:rsidRPr="00C4570C" w:rsidRDefault="00C8740C" w:rsidP="00B91B1B">
      <w:pPr>
        <w:spacing w:after="0" w:line="240" w:lineRule="auto"/>
        <w:jc w:val="center"/>
        <w:rPr>
          <w:rFonts w:asciiTheme="majorHAnsi" w:hAnsiTheme="majorHAnsi"/>
          <w:i/>
          <w:iCs/>
        </w:rPr>
      </w:pPr>
      <w:r w:rsidRPr="00C4570C">
        <w:rPr>
          <w:rFonts w:asciiTheme="majorHAnsi" w:hAnsiTheme="majorHAnsi"/>
          <w:i/>
        </w:rPr>
        <w:t>(Documento presentado por la Secretaría de ICCAT y el presidente del WG-ORT)</w:t>
      </w:r>
    </w:p>
    <w:p w14:paraId="2007EE08" w14:textId="77777777" w:rsidR="00C8740C" w:rsidRPr="00C4570C" w:rsidRDefault="00C8740C" w:rsidP="00B91B1B">
      <w:pPr>
        <w:spacing w:after="0" w:line="240" w:lineRule="auto"/>
        <w:jc w:val="center"/>
        <w:rPr>
          <w:rFonts w:asciiTheme="majorHAnsi" w:hAnsiTheme="majorHAnsi"/>
          <w:i/>
          <w:iCs/>
        </w:rPr>
      </w:pPr>
    </w:p>
    <w:p w14:paraId="71AF75DE" w14:textId="5E6279BB" w:rsidR="0093127D" w:rsidRPr="00C4570C" w:rsidRDefault="00CF28D2" w:rsidP="00B91B1B">
      <w:pPr>
        <w:pStyle w:val="Heading1"/>
        <w:spacing w:before="0" w:after="0" w:line="240" w:lineRule="auto"/>
        <w:rPr>
          <w:sz w:val="20"/>
          <w:szCs w:val="20"/>
        </w:rPr>
      </w:pPr>
      <w:r w:rsidRPr="00C4570C">
        <w:rPr>
          <w:sz w:val="20"/>
          <w:szCs w:val="20"/>
        </w:rPr>
        <w:t>Contexto</w:t>
      </w:r>
    </w:p>
    <w:p w14:paraId="158067A4" w14:textId="77777777" w:rsidR="00C8740C" w:rsidRPr="00C4570C" w:rsidRDefault="00C8740C" w:rsidP="00B91B1B">
      <w:pPr>
        <w:spacing w:after="0" w:line="240" w:lineRule="auto"/>
        <w:rPr>
          <w:rFonts w:asciiTheme="majorHAnsi" w:hAnsiTheme="majorHAnsi"/>
        </w:rPr>
      </w:pPr>
    </w:p>
    <w:p w14:paraId="119AC458" w14:textId="59580993" w:rsidR="00E15EB3" w:rsidRPr="00C4570C" w:rsidRDefault="00493F7D" w:rsidP="00B91B1B">
      <w:pPr>
        <w:spacing w:after="0" w:line="240" w:lineRule="auto"/>
        <w:rPr>
          <w:rFonts w:asciiTheme="majorHAnsi" w:hAnsiTheme="majorHAnsi"/>
        </w:rPr>
      </w:pPr>
      <w:r w:rsidRPr="00C4570C">
        <w:rPr>
          <w:rFonts w:asciiTheme="majorHAnsi" w:hAnsiTheme="majorHAnsi"/>
        </w:rPr>
        <w:t xml:space="preserve">En 2022, el Grupo de trabajo sobre tecnología de comunicación en línea (WG-ORT) añadió a la Fase 4 del plan de trabajo sobre el IOMS, el módulo de las hojas de comprobación de istiofóridos y tiburones (SBCS), con el pleno apoyo del presidente del Comité de cumplimiento (COC) (tal y como se refleja en el </w:t>
      </w:r>
      <w:hyperlink r:id="rId11" w:history="1">
        <w:r w:rsidRPr="00C4570C">
          <w:rPr>
            <w:rStyle w:val="Hyperlink"/>
            <w:rFonts w:asciiTheme="majorHAnsi" w:hAnsiTheme="majorHAnsi"/>
            <w:u w:val="none"/>
          </w:rPr>
          <w:t>Informe de la reunión del Grupo de trabajo sobre tecnología de comunicación en línea</w:t>
        </w:r>
      </w:hyperlink>
      <w:r w:rsidRPr="00C4570C">
        <w:rPr>
          <w:rFonts w:asciiTheme="majorHAnsi" w:hAnsiTheme="majorHAnsi"/>
        </w:rPr>
        <w:t xml:space="preserve">, celebrada en 2022). En 2023, el WG-ORT solicitó a la Secretaría de ICCAT que estudiara la viabilidad de reutilizar partes del código fuente del módulo del Informe anual del IOMS (ANRP) para agilizar el desarrollo del módulo de las hojas de comprobación del IOMS (tal y como se refleja en el </w:t>
      </w:r>
      <w:hyperlink r:id="rId12" w:history="1">
        <w:r w:rsidRPr="00C4570C">
          <w:rPr>
            <w:rStyle w:val="Hyperlink"/>
            <w:rFonts w:asciiTheme="majorHAnsi" w:hAnsiTheme="majorHAnsi"/>
            <w:u w:val="none"/>
          </w:rPr>
          <w:t>Informe de la reunión del Grupo de trabajo sobre tecnología de comunicación en línea</w:t>
        </w:r>
      </w:hyperlink>
      <w:r w:rsidRPr="00C4570C">
        <w:rPr>
          <w:rFonts w:asciiTheme="majorHAnsi" w:hAnsiTheme="majorHAnsi"/>
        </w:rPr>
        <w:t xml:space="preserve">, celebrada en 2023) debido a varias similitudes encontradas en lo relativo a los dos suministros de datos. El estudio presentado por la Secretaría de ICCAT en 2024 (información pormenorizada en la sección 8 del </w:t>
      </w:r>
      <w:hyperlink r:id="rId13" w:history="1">
        <w:r w:rsidRPr="00C4570C">
          <w:rPr>
            <w:rStyle w:val="Hyperlink"/>
            <w:rFonts w:asciiTheme="majorHAnsi" w:hAnsiTheme="majorHAnsi"/>
            <w:u w:val="none"/>
          </w:rPr>
          <w:t>Informe de la reunión del Grupo de trabajo sobre tecnología de comunicación en línea</w:t>
        </w:r>
      </w:hyperlink>
      <w:r w:rsidRPr="00C4570C">
        <w:rPr>
          <w:rFonts w:asciiTheme="majorHAnsi" w:hAnsiTheme="majorHAnsi"/>
        </w:rPr>
        <w:t>, celebrada en 2024) comparó los dos modelos (ANRP y SBCS) y observó que, a pesar de algunas similitudes en estructuras y características (modelos grandes y complejos con respuestas largas y heterogéneas), el modelo ANRP pasó por un proceso de normalización a lo largo de un periodo de tiempo que simplificó tanto la estructura como la complejidad de las respuestas. Debido a que ninguno de los dos modelos de SBCS tienen la estandarización y la simplificación suficientes (que puedan resolver problemas como la redundancia, el solapamiento de respuestas o la escasa objetividad), sólo se puede reutilizar una pequeña parte del código fuente del ANRP en el módulo SBCS del IOMS.</w:t>
      </w:r>
    </w:p>
    <w:p w14:paraId="0B32A465" w14:textId="77777777" w:rsidR="00C8740C" w:rsidRPr="00C4570C" w:rsidRDefault="00C8740C" w:rsidP="00B91B1B">
      <w:pPr>
        <w:spacing w:after="0" w:line="240" w:lineRule="auto"/>
        <w:rPr>
          <w:rFonts w:asciiTheme="majorHAnsi" w:hAnsiTheme="majorHAnsi"/>
        </w:rPr>
      </w:pPr>
    </w:p>
    <w:p w14:paraId="69EF8657" w14:textId="40600481" w:rsidR="00A362E4" w:rsidRPr="00C4570C" w:rsidRDefault="00D16E81" w:rsidP="00B91B1B">
      <w:pPr>
        <w:spacing w:after="0" w:line="240" w:lineRule="auto"/>
        <w:rPr>
          <w:rFonts w:asciiTheme="majorHAnsi" w:hAnsiTheme="majorHAnsi"/>
        </w:rPr>
      </w:pPr>
      <w:r w:rsidRPr="00C4570C">
        <w:rPr>
          <w:rFonts w:asciiTheme="majorHAnsi" w:hAnsiTheme="majorHAnsi"/>
        </w:rPr>
        <w:t xml:space="preserve">Reconociendo que sólo la Subcomisión 4 tiene el mandato de modificar las hojas de comprobación de istiofóridos y tiburones y las medidas asociadas, se acordó que tanto el presidente de la Subcomisión 4 como el presidente del COC participaran en el proceso de simplificación y estandarización de las hojas de comprobación de istiofóridos y tiburones, con el apoyo del WG-ORT. El resultado del primer trabajo conjunto para la armonización y simplificación de los modelos del SBCS se recogió en el documento </w:t>
      </w:r>
      <w:hyperlink r:id="rId14" w:history="1">
        <w:r w:rsidRPr="00C4570C">
          <w:rPr>
            <w:rStyle w:val="Hyperlink"/>
            <w:rFonts w:asciiTheme="majorHAnsi" w:hAnsiTheme="majorHAnsi"/>
            <w:u w:val="none"/>
          </w:rPr>
          <w:t>PA4_807/2024</w:t>
        </w:r>
      </w:hyperlink>
      <w:r w:rsidRPr="00C4570C">
        <w:rPr>
          <w:rFonts w:asciiTheme="majorHAnsi" w:hAnsiTheme="majorHAnsi"/>
        </w:rPr>
        <w:t xml:space="preserve">, presentado en 2024 por el presidente del WG-ORT. Este estudio revisó las medidas existentes sobre los tiburones, identificó posibles redundancias y proporcionó una primera orientación sobre cómo </w:t>
      </w:r>
      <w:r w:rsidR="00C4570C" w:rsidRPr="00C4570C">
        <w:rPr>
          <w:rFonts w:asciiTheme="majorHAnsi" w:hAnsiTheme="majorHAnsi"/>
        </w:rPr>
        <w:t>simplificar</w:t>
      </w:r>
      <w:r w:rsidRPr="00C4570C">
        <w:rPr>
          <w:rFonts w:asciiTheme="majorHAnsi" w:hAnsiTheme="majorHAnsi"/>
        </w:rPr>
        <w:t xml:space="preserve"> ciertos requisitos de información y, en consecuencia, simplificar las hojas de comprobación. En la Reunión de 2025 del WG-ORT (tal y como se refleja en </w:t>
      </w:r>
      <w:bookmarkStart w:id="0" w:name="_Hlk213758223"/>
      <w:r w:rsidR="00D37216" w:rsidRPr="00C4570C">
        <w:rPr>
          <w:rFonts w:asciiTheme="majorHAnsi" w:hAnsiTheme="majorHAnsi"/>
        </w:rPr>
        <w:fldChar w:fldCharType="begin"/>
      </w:r>
      <w:r w:rsidR="00775B11" w:rsidRPr="00C4570C">
        <w:rPr>
          <w:rFonts w:asciiTheme="majorHAnsi" w:hAnsiTheme="majorHAnsi"/>
        </w:rPr>
        <w:instrText>HYPERLINK "https://www.iccat.int/Documents/Meetings/Docs/2025/Reports/2025_WG-ORT_SPA.pdf"</w:instrText>
      </w:r>
      <w:r w:rsidR="00D37216" w:rsidRPr="00C4570C">
        <w:rPr>
          <w:rFonts w:asciiTheme="majorHAnsi" w:hAnsiTheme="majorHAnsi"/>
        </w:rPr>
      </w:r>
      <w:r w:rsidR="00D37216" w:rsidRPr="00C4570C">
        <w:rPr>
          <w:rFonts w:asciiTheme="majorHAnsi" w:hAnsiTheme="majorHAnsi"/>
        </w:rPr>
        <w:fldChar w:fldCharType="separate"/>
      </w:r>
      <w:r w:rsidRPr="00C4570C">
        <w:rPr>
          <w:rStyle w:val="Hyperlink"/>
          <w:rFonts w:asciiTheme="majorHAnsi" w:hAnsiTheme="majorHAnsi"/>
          <w:u w:val="none"/>
        </w:rPr>
        <w:t>Informe de la reunión del Grupo de trabajo sobre tecnología de comunicación en línea</w:t>
      </w:r>
      <w:r w:rsidR="00D37216" w:rsidRPr="00C4570C">
        <w:rPr>
          <w:rFonts w:asciiTheme="majorHAnsi" w:hAnsiTheme="majorHAnsi"/>
        </w:rPr>
        <w:fldChar w:fldCharType="end"/>
      </w:r>
      <w:r w:rsidRPr="00C4570C">
        <w:rPr>
          <w:rFonts w:asciiTheme="majorHAnsi" w:hAnsiTheme="majorHAnsi"/>
        </w:rPr>
        <w:t>, que se celebró en 2025</w:t>
      </w:r>
      <w:bookmarkEnd w:id="0"/>
      <w:r w:rsidRPr="00C4570C">
        <w:rPr>
          <w:rFonts w:asciiTheme="majorHAnsi" w:hAnsiTheme="majorHAnsi"/>
        </w:rPr>
        <w:t xml:space="preserve">), la Secretaría de ICCAT siguió avanzando en este estudio analizando todos los SBCS de 2024 comunicados por todas las CPC de ICCAT y proporcionando posibles vías para avanzar en el proceso de armonización y simplificación de los SBCS. </w:t>
      </w:r>
    </w:p>
    <w:p w14:paraId="1EB6D1B6" w14:textId="77777777" w:rsidR="00C8740C" w:rsidRPr="00C4570C" w:rsidRDefault="00C8740C" w:rsidP="00B91B1B">
      <w:pPr>
        <w:spacing w:after="0" w:line="240" w:lineRule="auto"/>
        <w:rPr>
          <w:rFonts w:asciiTheme="majorHAnsi" w:hAnsiTheme="majorHAnsi"/>
        </w:rPr>
      </w:pPr>
    </w:p>
    <w:p w14:paraId="4994444F" w14:textId="38078DC9" w:rsidR="00A362E4" w:rsidRPr="00C4570C" w:rsidRDefault="00A362E4" w:rsidP="00B91B1B">
      <w:pPr>
        <w:pStyle w:val="Heading1"/>
        <w:spacing w:before="0" w:after="0" w:line="240" w:lineRule="auto"/>
        <w:rPr>
          <w:sz w:val="20"/>
          <w:szCs w:val="20"/>
        </w:rPr>
      </w:pPr>
      <w:r w:rsidRPr="00C4570C">
        <w:rPr>
          <w:sz w:val="20"/>
          <w:szCs w:val="20"/>
        </w:rPr>
        <w:t>Objetivos</w:t>
      </w:r>
    </w:p>
    <w:p w14:paraId="6E30D2F9" w14:textId="77777777" w:rsidR="00C8740C" w:rsidRPr="00C4570C" w:rsidRDefault="00C8740C" w:rsidP="00B91B1B">
      <w:pPr>
        <w:spacing w:after="0" w:line="240" w:lineRule="auto"/>
        <w:rPr>
          <w:rFonts w:asciiTheme="majorHAnsi" w:hAnsiTheme="majorHAnsi"/>
        </w:rPr>
      </w:pPr>
    </w:p>
    <w:p w14:paraId="10EF76FD" w14:textId="3C1D56EC" w:rsidR="00CC4673" w:rsidRPr="00C4570C" w:rsidRDefault="000B016C" w:rsidP="00B91B1B">
      <w:pPr>
        <w:spacing w:after="0" w:line="240" w:lineRule="auto"/>
        <w:rPr>
          <w:rFonts w:asciiTheme="majorHAnsi" w:hAnsiTheme="majorHAnsi"/>
        </w:rPr>
      </w:pPr>
      <w:r w:rsidRPr="00C4570C">
        <w:rPr>
          <w:rFonts w:asciiTheme="majorHAnsi" w:hAnsiTheme="majorHAnsi"/>
        </w:rPr>
        <w:t xml:space="preserve">El objetivo de este documento es proporcionar las principales directrices necesarias para armonizar y simplificar los modelos del SBCS previendo su integración en el IOMS. El WG-ORT considera esta tarea un paso crucial hacia el desarrollo del módulo Gestor de SBCS del IOMS. </w:t>
      </w:r>
    </w:p>
    <w:p w14:paraId="75DBB6D1" w14:textId="77777777" w:rsidR="00C8740C" w:rsidRPr="00C4570C" w:rsidRDefault="00C8740C" w:rsidP="00B91B1B">
      <w:pPr>
        <w:spacing w:after="0" w:line="240" w:lineRule="auto"/>
        <w:rPr>
          <w:rFonts w:asciiTheme="majorHAnsi" w:hAnsiTheme="majorHAnsi"/>
        </w:rPr>
      </w:pPr>
    </w:p>
    <w:p w14:paraId="58E6E41F" w14:textId="77DBAE80" w:rsidR="006C2157" w:rsidRPr="00C4570C" w:rsidRDefault="006C2157" w:rsidP="00B91B1B">
      <w:pPr>
        <w:spacing w:after="0" w:line="240" w:lineRule="auto"/>
        <w:rPr>
          <w:rFonts w:asciiTheme="majorHAnsi" w:hAnsiTheme="majorHAnsi"/>
        </w:rPr>
      </w:pPr>
      <w:r w:rsidRPr="00C4570C">
        <w:rPr>
          <w:rFonts w:asciiTheme="majorHAnsi" w:hAnsiTheme="majorHAnsi"/>
        </w:rPr>
        <w:t>Los objetivos deben alcanzarse, siempre que sea posible, sin interferir en las medidas actuales de ICCAT. Al mismo tiempo, deben ajustarse para tener en cuenta las deliberaciones de la Comisión en la reunión anual de 2025.</w:t>
      </w:r>
    </w:p>
    <w:p w14:paraId="13FE78C8" w14:textId="77777777" w:rsidR="00C8740C" w:rsidRPr="00C4570C" w:rsidRDefault="00C8740C" w:rsidP="00B91B1B">
      <w:pPr>
        <w:spacing w:after="0" w:line="240" w:lineRule="auto"/>
        <w:rPr>
          <w:rFonts w:asciiTheme="majorHAnsi" w:hAnsiTheme="majorHAnsi"/>
        </w:rPr>
      </w:pPr>
    </w:p>
    <w:p w14:paraId="4FD86605" w14:textId="302E194D" w:rsidR="00905EDD" w:rsidRPr="00C4570C" w:rsidRDefault="000E352A" w:rsidP="00B91B1B">
      <w:pPr>
        <w:spacing w:after="0" w:line="240" w:lineRule="auto"/>
        <w:rPr>
          <w:rFonts w:asciiTheme="majorHAnsi" w:hAnsiTheme="majorHAnsi"/>
        </w:rPr>
      </w:pPr>
      <w:r w:rsidRPr="00C4570C">
        <w:rPr>
          <w:rFonts w:asciiTheme="majorHAnsi" w:hAnsiTheme="majorHAnsi"/>
        </w:rPr>
        <w:t>De forma complementaria, es fundamental realizar un trabajo analítico adicional de los informes SBCS existentes de 2024 y 2025 de todas las CPC de ICCAT para evaluar los tipos de respuestas actualmente proporcionadas. Los indicadores y otros resultados analíticos que pueden contribuir a desarrollar respuestas estándar, crear relaciones jerárquicas entre las preguntas, identificar preguntas que podrían requerir ser divididas para aumentar la objetividad, y otros aspectos, pueden explorarse si se continúa con este estudio.</w:t>
      </w:r>
    </w:p>
    <w:p w14:paraId="28C94898" w14:textId="77777777" w:rsidR="003B0819" w:rsidRPr="00C4570C" w:rsidRDefault="003B0819" w:rsidP="00B91B1B">
      <w:pPr>
        <w:spacing w:after="0" w:line="240" w:lineRule="auto"/>
        <w:rPr>
          <w:rFonts w:asciiTheme="majorHAnsi" w:eastAsiaTheme="majorEastAsia" w:hAnsiTheme="majorHAnsi" w:cstheme="majorBidi"/>
        </w:rPr>
      </w:pPr>
      <w:r w:rsidRPr="00C4570C">
        <w:rPr>
          <w:rFonts w:asciiTheme="majorHAnsi" w:hAnsiTheme="majorHAnsi"/>
        </w:rPr>
        <w:br w:type="page"/>
      </w:r>
    </w:p>
    <w:p w14:paraId="2071D03E" w14:textId="19DC0570" w:rsidR="000D62A4" w:rsidRPr="00C4570C" w:rsidRDefault="000D62A4" w:rsidP="007C6968">
      <w:pPr>
        <w:pStyle w:val="Heading1"/>
        <w:spacing w:before="0" w:after="0" w:line="240" w:lineRule="auto"/>
        <w:rPr>
          <w:sz w:val="20"/>
          <w:szCs w:val="20"/>
        </w:rPr>
      </w:pPr>
      <w:r w:rsidRPr="00C4570C">
        <w:rPr>
          <w:sz w:val="20"/>
          <w:szCs w:val="20"/>
        </w:rPr>
        <w:lastRenderedPageBreak/>
        <w:t>Directrices</w:t>
      </w:r>
    </w:p>
    <w:p w14:paraId="3213A537" w14:textId="77777777" w:rsidR="00572EA6" w:rsidRPr="00C4570C" w:rsidRDefault="00572EA6" w:rsidP="007C6968">
      <w:pPr>
        <w:spacing w:after="0" w:line="240" w:lineRule="auto"/>
        <w:rPr>
          <w:rFonts w:asciiTheme="majorHAnsi" w:hAnsiTheme="majorHAnsi"/>
        </w:rPr>
      </w:pPr>
    </w:p>
    <w:p w14:paraId="43A57D3F" w14:textId="77777777" w:rsidR="00C01237" w:rsidRPr="00C4570C" w:rsidRDefault="00CE56F8" w:rsidP="007C6968">
      <w:pPr>
        <w:spacing w:after="0" w:line="240" w:lineRule="auto"/>
        <w:rPr>
          <w:rFonts w:asciiTheme="majorHAnsi" w:hAnsiTheme="majorHAnsi"/>
        </w:rPr>
      </w:pPr>
      <w:r w:rsidRPr="00C4570C">
        <w:rPr>
          <w:rFonts w:asciiTheme="majorHAnsi" w:hAnsiTheme="majorHAnsi"/>
        </w:rPr>
        <w:t>Basándose en las medidas vigentes de ICCAT sobre:</w:t>
      </w:r>
    </w:p>
    <w:p w14:paraId="009CD08B" w14:textId="77777777" w:rsidR="00572EA6" w:rsidRPr="00C4570C" w:rsidRDefault="00572EA6" w:rsidP="007C6968">
      <w:pPr>
        <w:spacing w:after="0" w:line="240" w:lineRule="auto"/>
        <w:rPr>
          <w:rFonts w:asciiTheme="majorHAnsi" w:hAnsiTheme="majorHAnsi"/>
        </w:rPr>
      </w:pPr>
    </w:p>
    <w:p w14:paraId="0E7BB4B4" w14:textId="77D80479" w:rsidR="00C01237" w:rsidRPr="00C4570C" w:rsidRDefault="00C01237" w:rsidP="00A13A7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istiofóridos (</w:t>
      </w:r>
      <w:hyperlink r:id="rId15" w:tgtFrame="_parent" w:history="1">
        <w:r w:rsidRPr="00C4570C">
          <w:rPr>
            <w:rStyle w:val="Hyperlink"/>
            <w:rFonts w:asciiTheme="majorHAnsi" w:hAnsiTheme="majorHAnsi"/>
            <w:u w:val="none"/>
          </w:rPr>
          <w:t>Rec. 16-11</w:t>
        </w:r>
      </w:hyperlink>
      <w:r w:rsidRPr="00C4570C">
        <w:rPr>
          <w:rFonts w:asciiTheme="majorHAnsi" w:hAnsiTheme="majorHAnsi"/>
        </w:rPr>
        <w:t xml:space="preserve">, </w:t>
      </w:r>
      <w:hyperlink r:id="rId16" w:tgtFrame="_parent" w:history="1">
        <w:r w:rsidRPr="00C4570C">
          <w:rPr>
            <w:rStyle w:val="Hyperlink"/>
            <w:rFonts w:asciiTheme="majorHAnsi" w:hAnsiTheme="majorHAnsi"/>
            <w:u w:val="none"/>
          </w:rPr>
          <w:t>Rec. 18-05</w:t>
        </w:r>
      </w:hyperlink>
      <w:r w:rsidRPr="00C4570C">
        <w:rPr>
          <w:rFonts w:asciiTheme="majorHAnsi" w:hAnsiTheme="majorHAnsi"/>
        </w:rPr>
        <w:t xml:space="preserve">, </w:t>
      </w:r>
      <w:hyperlink r:id="rId17" w:tgtFrame="_parent" w:history="1">
        <w:r w:rsidRPr="00C4570C">
          <w:rPr>
            <w:rStyle w:val="Hyperlink"/>
            <w:rFonts w:asciiTheme="majorHAnsi" w:hAnsiTheme="majorHAnsi"/>
            <w:u w:val="none"/>
          </w:rPr>
          <w:t>Rec. 19-05</w:t>
        </w:r>
      </w:hyperlink>
      <w:r w:rsidRPr="00C4570C">
        <w:rPr>
          <w:rFonts w:asciiTheme="majorHAnsi" w:hAnsiTheme="majorHAnsi"/>
        </w:rPr>
        <w:t>), y,</w:t>
      </w:r>
    </w:p>
    <w:p w14:paraId="10E15189" w14:textId="089880E8" w:rsidR="00C01237" w:rsidRPr="00C4570C" w:rsidRDefault="00C01237" w:rsidP="00A13A7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tiburones (</w:t>
      </w:r>
      <w:hyperlink r:id="rId18" w:tgtFrame="_parent" w:history="1">
        <w:r w:rsidRPr="00C4570C">
          <w:rPr>
            <w:rStyle w:val="Hyperlink"/>
            <w:rFonts w:asciiTheme="majorHAnsi" w:hAnsiTheme="majorHAnsi"/>
            <w:u w:val="none"/>
          </w:rPr>
          <w:t>Rec. 04-10</w:t>
        </w:r>
      </w:hyperlink>
      <w:r w:rsidRPr="00C4570C">
        <w:rPr>
          <w:rFonts w:asciiTheme="majorHAnsi" w:hAnsiTheme="majorHAnsi"/>
        </w:rPr>
        <w:t xml:space="preserve">, </w:t>
      </w:r>
      <w:hyperlink r:id="rId19" w:tgtFrame="_parent" w:history="1">
        <w:r w:rsidRPr="00C4570C">
          <w:rPr>
            <w:rStyle w:val="Hyperlink"/>
            <w:rFonts w:asciiTheme="majorHAnsi" w:hAnsiTheme="majorHAnsi"/>
            <w:u w:val="none"/>
          </w:rPr>
          <w:t>Rec. 07-06</w:t>
        </w:r>
      </w:hyperlink>
      <w:r w:rsidRPr="00C4570C">
        <w:rPr>
          <w:rFonts w:asciiTheme="majorHAnsi" w:hAnsiTheme="majorHAnsi"/>
        </w:rPr>
        <w:t xml:space="preserve">, </w:t>
      </w:r>
      <w:hyperlink r:id="rId20" w:tgtFrame="_parent" w:history="1">
        <w:r w:rsidRPr="00C4570C">
          <w:rPr>
            <w:rStyle w:val="Hyperlink"/>
            <w:rFonts w:asciiTheme="majorHAnsi" w:hAnsiTheme="majorHAnsi"/>
            <w:u w:val="none"/>
          </w:rPr>
          <w:t>Rec. 09-07</w:t>
        </w:r>
      </w:hyperlink>
      <w:r w:rsidRPr="00C4570C">
        <w:rPr>
          <w:rFonts w:asciiTheme="majorHAnsi" w:hAnsiTheme="majorHAnsi"/>
        </w:rPr>
        <w:t xml:space="preserve">, </w:t>
      </w:r>
      <w:hyperlink r:id="rId21" w:tgtFrame="_parent" w:history="1">
        <w:r w:rsidRPr="00C4570C">
          <w:rPr>
            <w:rStyle w:val="Hyperlink"/>
            <w:rFonts w:asciiTheme="majorHAnsi" w:hAnsiTheme="majorHAnsi"/>
            <w:u w:val="none"/>
          </w:rPr>
          <w:t>Rec. 10-07</w:t>
        </w:r>
      </w:hyperlink>
      <w:r w:rsidRPr="00C4570C">
        <w:rPr>
          <w:rFonts w:asciiTheme="majorHAnsi" w:hAnsiTheme="majorHAnsi"/>
        </w:rPr>
        <w:t xml:space="preserve">, </w:t>
      </w:r>
      <w:hyperlink r:id="rId22" w:tgtFrame="_parent" w:history="1">
        <w:r w:rsidRPr="00C4570C">
          <w:rPr>
            <w:rStyle w:val="Hyperlink"/>
            <w:rFonts w:asciiTheme="majorHAnsi" w:hAnsiTheme="majorHAnsi"/>
            <w:u w:val="none"/>
          </w:rPr>
          <w:t>Rec. 10-08</w:t>
        </w:r>
      </w:hyperlink>
      <w:r w:rsidRPr="00C4570C">
        <w:rPr>
          <w:rFonts w:asciiTheme="majorHAnsi" w:hAnsiTheme="majorHAnsi"/>
        </w:rPr>
        <w:t xml:space="preserve">, </w:t>
      </w:r>
      <w:hyperlink r:id="rId23" w:tgtFrame="_parent" w:history="1">
        <w:r w:rsidRPr="00C4570C">
          <w:rPr>
            <w:rStyle w:val="Hyperlink"/>
            <w:rFonts w:asciiTheme="majorHAnsi" w:hAnsiTheme="majorHAnsi"/>
            <w:u w:val="none"/>
          </w:rPr>
          <w:t>Rec. 11-08</w:t>
        </w:r>
      </w:hyperlink>
      <w:r w:rsidRPr="00C4570C">
        <w:rPr>
          <w:rFonts w:asciiTheme="majorHAnsi" w:hAnsiTheme="majorHAnsi"/>
        </w:rPr>
        <w:t xml:space="preserve">, </w:t>
      </w:r>
      <w:hyperlink r:id="rId24" w:tgtFrame="_parent" w:history="1">
        <w:r w:rsidRPr="00C4570C">
          <w:rPr>
            <w:rStyle w:val="Hyperlink"/>
            <w:rFonts w:asciiTheme="majorHAnsi" w:hAnsiTheme="majorHAnsi"/>
            <w:u w:val="none"/>
          </w:rPr>
          <w:t>Rec. 11-15</w:t>
        </w:r>
      </w:hyperlink>
      <w:r w:rsidRPr="00C4570C">
        <w:rPr>
          <w:rFonts w:asciiTheme="majorHAnsi" w:hAnsiTheme="majorHAnsi"/>
        </w:rPr>
        <w:t xml:space="preserve">, </w:t>
      </w:r>
      <w:hyperlink r:id="rId25" w:tgtFrame="_parent" w:history="1">
        <w:r w:rsidRPr="00C4570C">
          <w:rPr>
            <w:rStyle w:val="Hyperlink"/>
            <w:rFonts w:asciiTheme="majorHAnsi" w:hAnsiTheme="majorHAnsi"/>
            <w:u w:val="none"/>
          </w:rPr>
          <w:t>Rec. 15</w:t>
        </w:r>
        <w:r w:rsidRPr="00C4570C">
          <w:rPr>
            <w:rStyle w:val="Hyperlink"/>
            <w:rFonts w:asciiTheme="majorHAnsi" w:hAnsiTheme="majorHAnsi"/>
            <w:u w:val="none"/>
          </w:rPr>
          <w:noBreakHyphen/>
          <w:t>06</w:t>
        </w:r>
      </w:hyperlink>
      <w:r w:rsidRPr="00C4570C">
        <w:rPr>
          <w:rStyle w:val="Hyperlink"/>
          <w:rFonts w:asciiTheme="majorHAnsi" w:hAnsiTheme="majorHAnsi"/>
          <w:u w:val="none"/>
        </w:rPr>
        <w:t xml:space="preserve">, </w:t>
      </w:r>
      <w:hyperlink r:id="rId26" w:tgtFrame="_parent" w:history="1">
        <w:r w:rsidRPr="00C4570C">
          <w:rPr>
            <w:rStyle w:val="Hyperlink"/>
            <w:rFonts w:asciiTheme="majorHAnsi" w:hAnsiTheme="majorHAnsi"/>
            <w:u w:val="none"/>
          </w:rPr>
          <w:t>Rec. 18-06</w:t>
        </w:r>
      </w:hyperlink>
      <w:r w:rsidRPr="00C4570C">
        <w:rPr>
          <w:rFonts w:asciiTheme="majorHAnsi" w:hAnsiTheme="majorHAnsi"/>
        </w:rPr>
        <w:t xml:space="preserve">, </w:t>
      </w:r>
      <w:hyperlink r:id="rId27" w:tgtFrame="_parent" w:history="1">
        <w:r w:rsidRPr="00C4570C">
          <w:rPr>
            <w:rStyle w:val="Hyperlink"/>
            <w:rFonts w:asciiTheme="majorHAnsi" w:hAnsiTheme="majorHAnsi"/>
            <w:u w:val="none"/>
          </w:rPr>
          <w:t>Rec. 21-09</w:t>
        </w:r>
      </w:hyperlink>
      <w:r w:rsidRPr="00C4570C">
        <w:rPr>
          <w:rFonts w:asciiTheme="majorHAnsi" w:hAnsiTheme="majorHAnsi"/>
        </w:rPr>
        <w:t xml:space="preserve">, </w:t>
      </w:r>
      <w:hyperlink r:id="rId28" w:tgtFrame="_parent" w:history="1">
        <w:r w:rsidRPr="00C4570C">
          <w:rPr>
            <w:rStyle w:val="Hyperlink"/>
            <w:rFonts w:asciiTheme="majorHAnsi" w:hAnsiTheme="majorHAnsi"/>
            <w:u w:val="none"/>
          </w:rPr>
          <w:t>Rec. 22-11</w:t>
        </w:r>
      </w:hyperlink>
      <w:r w:rsidRPr="00C4570C">
        <w:rPr>
          <w:rFonts w:asciiTheme="majorHAnsi" w:hAnsiTheme="majorHAnsi"/>
        </w:rPr>
        <w:t xml:space="preserve">, </w:t>
      </w:r>
      <w:hyperlink r:id="rId29" w:tgtFrame="_parent" w:history="1">
        <w:r w:rsidRPr="00C4570C">
          <w:rPr>
            <w:rStyle w:val="Hyperlink"/>
            <w:rFonts w:asciiTheme="majorHAnsi" w:hAnsiTheme="majorHAnsi"/>
            <w:u w:val="none"/>
          </w:rPr>
          <w:t>Rec. 23-10</w:t>
        </w:r>
      </w:hyperlink>
      <w:r w:rsidRPr="00C4570C">
        <w:rPr>
          <w:rFonts w:asciiTheme="majorHAnsi" w:hAnsiTheme="majorHAnsi"/>
        </w:rPr>
        <w:t xml:space="preserve">, </w:t>
      </w:r>
      <w:hyperlink r:id="rId30" w:tgtFrame="_parent" w:history="1">
        <w:r w:rsidRPr="00C4570C">
          <w:rPr>
            <w:rStyle w:val="Hyperlink"/>
            <w:rFonts w:asciiTheme="majorHAnsi" w:hAnsiTheme="majorHAnsi"/>
            <w:u w:val="none"/>
          </w:rPr>
          <w:t>Rec. 23-11</w:t>
        </w:r>
      </w:hyperlink>
      <w:r w:rsidRPr="00C4570C">
        <w:rPr>
          <w:rFonts w:asciiTheme="majorHAnsi" w:hAnsiTheme="majorHAnsi"/>
        </w:rPr>
        <w:t xml:space="preserve">, </w:t>
      </w:r>
      <w:hyperlink r:id="rId31" w:tgtFrame="_parent" w:history="1">
        <w:r w:rsidRPr="00C4570C">
          <w:rPr>
            <w:rStyle w:val="Hyperlink"/>
            <w:rFonts w:asciiTheme="majorHAnsi" w:hAnsiTheme="majorHAnsi"/>
            <w:u w:val="none"/>
          </w:rPr>
          <w:t>Rec. 23-12</w:t>
        </w:r>
      </w:hyperlink>
      <w:r w:rsidRPr="00C4570C">
        <w:rPr>
          <w:rFonts w:asciiTheme="majorHAnsi" w:hAnsiTheme="majorHAnsi"/>
        </w:rPr>
        <w:t xml:space="preserve">, </w:t>
      </w:r>
      <w:hyperlink r:id="rId32" w:history="1">
        <w:r w:rsidRPr="00C4570C">
          <w:rPr>
            <w:rStyle w:val="Hyperlink"/>
            <w:rFonts w:asciiTheme="majorHAnsi" w:hAnsiTheme="majorHAnsi"/>
            <w:u w:val="none"/>
          </w:rPr>
          <w:t>Rec. 24-12</w:t>
        </w:r>
      </w:hyperlink>
      <w:r w:rsidRPr="00C4570C">
        <w:rPr>
          <w:rFonts w:asciiTheme="majorHAnsi" w:hAnsiTheme="majorHAnsi"/>
        </w:rPr>
        <w:t xml:space="preserve">),  </w:t>
      </w:r>
    </w:p>
    <w:p w14:paraId="5FFCE9EF" w14:textId="77777777" w:rsidR="00572EA6" w:rsidRPr="00C4570C" w:rsidRDefault="00572EA6" w:rsidP="007C6968">
      <w:pPr>
        <w:pStyle w:val="ListParagraph"/>
        <w:spacing w:after="0" w:line="240" w:lineRule="auto"/>
        <w:rPr>
          <w:rFonts w:asciiTheme="majorHAnsi" w:hAnsiTheme="majorHAnsi"/>
        </w:rPr>
      </w:pPr>
    </w:p>
    <w:p w14:paraId="55E7C8BB" w14:textId="01D2343D" w:rsidR="00C01237" w:rsidRPr="00C4570C" w:rsidRDefault="000F7AFE" w:rsidP="007C6968">
      <w:pPr>
        <w:spacing w:after="0" w:line="240" w:lineRule="auto"/>
        <w:rPr>
          <w:rFonts w:asciiTheme="majorHAnsi" w:hAnsiTheme="majorHAnsi"/>
        </w:rPr>
      </w:pPr>
      <w:r w:rsidRPr="00C4570C">
        <w:rPr>
          <w:rFonts w:asciiTheme="majorHAnsi" w:hAnsiTheme="majorHAnsi"/>
        </w:rPr>
        <w:t>y en base al resultado y la orientación proporcionados por:</w:t>
      </w:r>
    </w:p>
    <w:p w14:paraId="21367381" w14:textId="77777777" w:rsidR="00572EA6" w:rsidRPr="00C4570C" w:rsidRDefault="00572EA6" w:rsidP="007C6968">
      <w:pPr>
        <w:spacing w:after="0" w:line="240" w:lineRule="auto"/>
        <w:rPr>
          <w:rFonts w:asciiTheme="majorHAnsi" w:hAnsiTheme="majorHAnsi"/>
        </w:rPr>
      </w:pPr>
    </w:p>
    <w:p w14:paraId="16661AA8" w14:textId="5B09F945" w:rsidR="00C01237" w:rsidRPr="00C4570C" w:rsidRDefault="00B859D2" w:rsidP="00A13A7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 xml:space="preserve">el documento </w:t>
      </w:r>
      <w:hyperlink r:id="rId33" w:history="1">
        <w:r w:rsidRPr="00C4570C">
          <w:rPr>
            <w:rStyle w:val="Hyperlink"/>
            <w:rFonts w:asciiTheme="majorHAnsi" w:hAnsiTheme="majorHAnsi"/>
            <w:u w:val="none"/>
          </w:rPr>
          <w:t>PA4_807/2024</w:t>
        </w:r>
      </w:hyperlink>
      <w:r w:rsidRPr="00C4570C">
        <w:rPr>
          <w:rFonts w:asciiTheme="majorHAnsi" w:hAnsiTheme="majorHAnsi"/>
        </w:rPr>
        <w:t>, y,</w:t>
      </w:r>
    </w:p>
    <w:p w14:paraId="1CED17D4" w14:textId="4688EA8C" w:rsidR="00C01237" w:rsidRPr="00C4570C" w:rsidRDefault="001C002A" w:rsidP="00A13A7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 xml:space="preserve">el consejo más reciente del WG-ORT (sección 8 del </w:t>
      </w:r>
      <w:hyperlink r:id="rId34" w:history="1">
        <w:r w:rsidRPr="00C4570C">
          <w:rPr>
            <w:rStyle w:val="Hyperlink"/>
            <w:rFonts w:asciiTheme="majorHAnsi" w:hAnsiTheme="majorHAnsi"/>
            <w:u w:val="none"/>
          </w:rPr>
          <w:t>Informe de la reunión del Grupo de trabajo sobre tecnología de comunicación en línea</w:t>
        </w:r>
      </w:hyperlink>
      <w:r w:rsidRPr="00C4570C">
        <w:rPr>
          <w:rFonts w:asciiTheme="majorHAnsi" w:hAnsiTheme="majorHAnsi"/>
        </w:rPr>
        <w:t xml:space="preserve">, celebrada en 2025), </w:t>
      </w:r>
    </w:p>
    <w:p w14:paraId="4B6304F7" w14:textId="77777777" w:rsidR="00572EA6" w:rsidRPr="00C4570C" w:rsidRDefault="00572EA6" w:rsidP="007C6968">
      <w:pPr>
        <w:pStyle w:val="ListParagraph"/>
        <w:spacing w:after="0" w:line="240" w:lineRule="auto"/>
        <w:rPr>
          <w:rFonts w:asciiTheme="majorHAnsi" w:hAnsiTheme="majorHAnsi"/>
        </w:rPr>
      </w:pPr>
    </w:p>
    <w:p w14:paraId="61A54FED" w14:textId="5B25ECBF" w:rsidR="00126F1E" w:rsidRPr="00C4570C" w:rsidRDefault="00775B11" w:rsidP="007C6968">
      <w:pPr>
        <w:spacing w:after="0" w:line="240" w:lineRule="auto"/>
        <w:rPr>
          <w:rFonts w:asciiTheme="majorHAnsi" w:hAnsiTheme="majorHAnsi"/>
        </w:rPr>
      </w:pPr>
      <w:r w:rsidRPr="00C4570C">
        <w:rPr>
          <w:rFonts w:asciiTheme="majorHAnsi" w:hAnsiTheme="majorHAnsi"/>
        </w:rPr>
        <w:t>L</w:t>
      </w:r>
      <w:r w:rsidR="009067BA" w:rsidRPr="00C4570C">
        <w:rPr>
          <w:rFonts w:asciiTheme="majorHAnsi" w:hAnsiTheme="majorHAnsi"/>
        </w:rPr>
        <w:t>a Secretaría de ICCAT debería trabajar en los periodos intersesiones de 2026 con los presidentes de la Subcomisión 4, el COC y el WG</w:t>
      </w:r>
      <w:r w:rsidR="009067BA" w:rsidRPr="00C4570C">
        <w:rPr>
          <w:rFonts w:asciiTheme="majorHAnsi" w:hAnsiTheme="majorHAnsi"/>
        </w:rPr>
        <w:noBreakHyphen/>
        <w:t>ORT, para mejorar y estandarizar los modelos del SBCS más recientes hasta un nivel que permita una integración eficaz en el IOMS y simplifique el desarrollo del módulo Gestor de SBCS respectivo.</w:t>
      </w:r>
    </w:p>
    <w:p w14:paraId="2B35CEE6" w14:textId="77777777" w:rsidR="00572EA6" w:rsidRPr="00C4570C" w:rsidRDefault="00572EA6" w:rsidP="007C6968">
      <w:pPr>
        <w:spacing w:after="0" w:line="240" w:lineRule="auto"/>
        <w:rPr>
          <w:rFonts w:asciiTheme="majorHAnsi" w:hAnsiTheme="majorHAnsi"/>
        </w:rPr>
      </w:pPr>
    </w:p>
    <w:p w14:paraId="75480563" w14:textId="76EA1338" w:rsidR="00405524" w:rsidRPr="00C4570C" w:rsidRDefault="000734C2" w:rsidP="00A13A76">
      <w:pPr>
        <w:pStyle w:val="Heading2"/>
        <w:spacing w:before="0" w:after="0" w:line="240" w:lineRule="auto"/>
        <w:ind w:left="0"/>
        <w:rPr>
          <w:sz w:val="20"/>
          <w:szCs w:val="20"/>
        </w:rPr>
      </w:pPr>
      <w:r w:rsidRPr="00C4570C">
        <w:rPr>
          <w:sz w:val="20"/>
          <w:szCs w:val="20"/>
        </w:rPr>
        <w:t>Se proponen una serie de directrices</w:t>
      </w:r>
    </w:p>
    <w:p w14:paraId="59C99DCF" w14:textId="77777777" w:rsidR="00572EA6" w:rsidRPr="00C4570C" w:rsidRDefault="00572EA6" w:rsidP="007C6968">
      <w:pPr>
        <w:spacing w:after="0" w:line="240" w:lineRule="auto"/>
        <w:rPr>
          <w:rFonts w:asciiTheme="majorHAnsi" w:hAnsiTheme="majorHAnsi"/>
        </w:rPr>
      </w:pPr>
    </w:p>
    <w:p w14:paraId="15931E19" w14:textId="16B318CD" w:rsidR="007B1487" w:rsidRPr="00C4570C" w:rsidRDefault="007B1487" w:rsidP="00A13A7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i/>
        </w:rPr>
        <w:t>A corto plazo</w:t>
      </w:r>
    </w:p>
    <w:p w14:paraId="6CD59FFC" w14:textId="77777777" w:rsidR="001444E8" w:rsidRPr="00C4570C" w:rsidRDefault="001444E8" w:rsidP="001444E8">
      <w:pPr>
        <w:pStyle w:val="ListParagraph"/>
        <w:spacing w:after="0" w:line="240" w:lineRule="auto"/>
        <w:ind w:left="851"/>
        <w:rPr>
          <w:rFonts w:asciiTheme="majorHAnsi" w:hAnsiTheme="majorHAnsi"/>
        </w:rPr>
      </w:pPr>
    </w:p>
    <w:p w14:paraId="5DA18677" w14:textId="41A39E2E" w:rsidR="00E621FF" w:rsidRPr="00C4570C" w:rsidRDefault="00486D6C" w:rsidP="00CF7ED6">
      <w:pPr>
        <w:pStyle w:val="ListParagraph"/>
        <w:numPr>
          <w:ilvl w:val="1"/>
          <w:numId w:val="1"/>
        </w:numPr>
        <w:spacing w:after="0" w:line="240" w:lineRule="auto"/>
        <w:ind w:left="1276" w:hanging="425"/>
        <w:rPr>
          <w:rFonts w:asciiTheme="majorHAnsi" w:hAnsiTheme="majorHAnsi"/>
        </w:rPr>
      </w:pPr>
      <w:r w:rsidRPr="00C4570C">
        <w:rPr>
          <w:rFonts w:asciiTheme="majorHAnsi" w:hAnsiTheme="majorHAnsi"/>
        </w:rPr>
        <w:t xml:space="preserve">Armonizar la estructura de ambos modelos del SBCS (mismos campos): </w:t>
      </w:r>
    </w:p>
    <w:p w14:paraId="1D664325" w14:textId="77777777" w:rsidR="00CF7ED6" w:rsidRPr="00C4570C" w:rsidRDefault="00CF7ED6" w:rsidP="00CF7ED6">
      <w:pPr>
        <w:pStyle w:val="ListParagraph"/>
        <w:spacing w:after="0" w:line="240" w:lineRule="auto"/>
        <w:ind w:left="1276"/>
        <w:rPr>
          <w:rFonts w:asciiTheme="majorHAnsi" w:hAnsiTheme="majorHAnsi"/>
        </w:rPr>
      </w:pPr>
    </w:p>
    <w:p w14:paraId="67D16C11" w14:textId="77777777" w:rsidR="005C6140" w:rsidRPr="00C4570C" w:rsidRDefault="004D1DEC"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Misma estructura de campo</w:t>
      </w:r>
    </w:p>
    <w:p w14:paraId="67378F58" w14:textId="58D0134A" w:rsidR="009F291E" w:rsidRPr="00C4570C" w:rsidRDefault="00224CDD"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Adaptar la estructura a un formato de hoja de cálculo (DOCX a EXCEL)</w:t>
      </w:r>
    </w:p>
    <w:p w14:paraId="4C427831" w14:textId="77777777" w:rsidR="001444E8" w:rsidRPr="00C4570C" w:rsidRDefault="001444E8" w:rsidP="001444E8">
      <w:pPr>
        <w:pStyle w:val="ListParagraph"/>
        <w:spacing w:after="0" w:line="240" w:lineRule="auto"/>
        <w:ind w:left="1418"/>
        <w:rPr>
          <w:rFonts w:asciiTheme="majorHAnsi" w:hAnsiTheme="majorHAnsi"/>
        </w:rPr>
      </w:pPr>
    </w:p>
    <w:p w14:paraId="4A1E4B5E" w14:textId="2D09D45B" w:rsidR="00916F4D" w:rsidRPr="00C4570C" w:rsidRDefault="007B1487" w:rsidP="00CF7ED6">
      <w:pPr>
        <w:pStyle w:val="ListParagraph"/>
        <w:numPr>
          <w:ilvl w:val="0"/>
          <w:numId w:val="2"/>
        </w:numPr>
        <w:spacing w:after="0" w:line="240" w:lineRule="auto"/>
        <w:ind w:left="851" w:hanging="425"/>
        <w:rPr>
          <w:rFonts w:asciiTheme="majorHAnsi" w:hAnsiTheme="majorHAnsi"/>
          <w:i/>
        </w:rPr>
      </w:pPr>
      <w:r w:rsidRPr="00C4570C">
        <w:rPr>
          <w:rFonts w:asciiTheme="majorHAnsi" w:hAnsiTheme="majorHAnsi"/>
          <w:i/>
        </w:rPr>
        <w:t>A medio/largo plazo</w:t>
      </w:r>
    </w:p>
    <w:p w14:paraId="2B131902" w14:textId="77777777" w:rsidR="001444E8" w:rsidRPr="00C4570C" w:rsidRDefault="001444E8" w:rsidP="001444E8">
      <w:pPr>
        <w:pStyle w:val="ListParagraph"/>
        <w:spacing w:after="0" w:line="240" w:lineRule="auto"/>
        <w:ind w:left="567"/>
        <w:rPr>
          <w:rFonts w:asciiTheme="majorHAnsi" w:hAnsiTheme="majorHAnsi"/>
          <w:i/>
        </w:rPr>
      </w:pPr>
    </w:p>
    <w:p w14:paraId="3D8DF0C7" w14:textId="6A9AA7A5" w:rsidR="00176B40" w:rsidRPr="00C4570C" w:rsidRDefault="00892420" w:rsidP="00CF7ED6">
      <w:pPr>
        <w:pStyle w:val="ListParagraph"/>
        <w:numPr>
          <w:ilvl w:val="1"/>
          <w:numId w:val="1"/>
        </w:numPr>
        <w:spacing w:after="0" w:line="240" w:lineRule="auto"/>
        <w:ind w:left="1276" w:hanging="425"/>
        <w:rPr>
          <w:rFonts w:asciiTheme="majorHAnsi" w:hAnsiTheme="majorHAnsi"/>
        </w:rPr>
      </w:pPr>
      <w:r w:rsidRPr="00C4570C">
        <w:rPr>
          <w:rFonts w:asciiTheme="majorHAnsi" w:hAnsiTheme="majorHAnsi"/>
        </w:rPr>
        <w:t>Evaluar cada pregunta e intentar:</w:t>
      </w:r>
    </w:p>
    <w:p w14:paraId="2787D693" w14:textId="77777777" w:rsidR="0055232F" w:rsidRPr="00C4570C" w:rsidRDefault="0055232F" w:rsidP="0055232F">
      <w:pPr>
        <w:pStyle w:val="ListParagraph"/>
        <w:spacing w:after="0" w:line="240" w:lineRule="auto"/>
        <w:ind w:left="1276"/>
        <w:rPr>
          <w:rFonts w:asciiTheme="majorHAnsi" w:hAnsiTheme="majorHAnsi"/>
        </w:rPr>
      </w:pPr>
    </w:p>
    <w:p w14:paraId="6338CE19" w14:textId="77777777" w:rsidR="00900460" w:rsidRPr="00C4570C" w:rsidRDefault="00176B40"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Identificar/eliminar redundancias</w:t>
      </w:r>
    </w:p>
    <w:p w14:paraId="5B1A848A" w14:textId="103AC41F" w:rsidR="00766905" w:rsidRPr="00C4570C" w:rsidRDefault="00C5007E"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Aumentar la independencia reduciendo el solapamiento (puede reducir la redundancia)</w:t>
      </w:r>
    </w:p>
    <w:p w14:paraId="607A78C7" w14:textId="77B2CDFE" w:rsidR="00AC2BC3" w:rsidRPr="00C4570C" w:rsidRDefault="00C5007E"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Aumentar la objetividad dividiendo/reestructurando las preguntas</w:t>
      </w:r>
    </w:p>
    <w:p w14:paraId="2E4CF09F" w14:textId="77777777" w:rsidR="00891CCE" w:rsidRPr="00C4570C" w:rsidRDefault="00455849" w:rsidP="0055232F">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Mejorar la jerarquía identificando las relaciones entre las preguntas</w:t>
      </w:r>
    </w:p>
    <w:p w14:paraId="0F70D4B2" w14:textId="77777777" w:rsidR="0012732E" w:rsidRPr="00C4570C" w:rsidRDefault="0012732E" w:rsidP="0012732E">
      <w:pPr>
        <w:pStyle w:val="ListParagraph"/>
        <w:spacing w:after="0" w:line="240" w:lineRule="auto"/>
        <w:ind w:left="1701"/>
        <w:rPr>
          <w:rFonts w:asciiTheme="majorHAnsi" w:hAnsiTheme="majorHAnsi"/>
        </w:rPr>
      </w:pPr>
    </w:p>
    <w:p w14:paraId="737D5221" w14:textId="03E61039" w:rsidR="00FA6406" w:rsidRPr="00C4570C" w:rsidRDefault="009866E5" w:rsidP="00CF7ED6">
      <w:pPr>
        <w:pStyle w:val="ListParagraph"/>
        <w:numPr>
          <w:ilvl w:val="1"/>
          <w:numId w:val="1"/>
        </w:numPr>
        <w:spacing w:after="0" w:line="240" w:lineRule="auto"/>
        <w:ind w:left="1276" w:hanging="425"/>
        <w:rPr>
          <w:rFonts w:asciiTheme="majorHAnsi" w:hAnsiTheme="majorHAnsi"/>
        </w:rPr>
      </w:pPr>
      <w:r w:rsidRPr="00C4570C">
        <w:rPr>
          <w:rFonts w:asciiTheme="majorHAnsi" w:hAnsiTheme="majorHAnsi"/>
        </w:rPr>
        <w:t>Caracterizar cada pregunta clasificándolas en temas (objeto de estudio):</w:t>
      </w:r>
    </w:p>
    <w:p w14:paraId="6A587820" w14:textId="77777777" w:rsidR="0012732E" w:rsidRPr="00C4570C" w:rsidRDefault="0012732E" w:rsidP="0012732E">
      <w:pPr>
        <w:pStyle w:val="ListParagraph"/>
        <w:spacing w:after="0" w:line="240" w:lineRule="auto"/>
        <w:ind w:left="1276"/>
        <w:rPr>
          <w:rFonts w:asciiTheme="majorHAnsi" w:hAnsiTheme="majorHAnsi"/>
        </w:rPr>
      </w:pPr>
    </w:p>
    <w:p w14:paraId="0011BEC4" w14:textId="46A60C2B" w:rsidR="00DB349B" w:rsidRPr="00C4570C" w:rsidRDefault="00660555" w:rsidP="0012732E">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Temas potenciales: capturas, límites de capturas, recopilación de datos, exenciones y límites de desembarques, liberación de ejemplares vivos, seguimiento/control/vigilancia por tipo de flota, seguridad de la tripulación, cobertura nacional de observadores, prohibiciones, tallas mínimas, prohibición de venta, pesca artesanal.</w:t>
      </w:r>
    </w:p>
    <w:p w14:paraId="0386374D" w14:textId="77777777" w:rsidR="0012732E" w:rsidRPr="00C4570C" w:rsidRDefault="0012732E" w:rsidP="0012732E">
      <w:pPr>
        <w:pStyle w:val="ListParagraph"/>
        <w:spacing w:after="0" w:line="240" w:lineRule="auto"/>
        <w:ind w:left="1701"/>
        <w:rPr>
          <w:rFonts w:asciiTheme="majorHAnsi" w:hAnsiTheme="majorHAnsi"/>
        </w:rPr>
      </w:pPr>
    </w:p>
    <w:p w14:paraId="2F7A02A0" w14:textId="77777777" w:rsidR="009B35F9" w:rsidRPr="00C4570C" w:rsidRDefault="009B35F9" w:rsidP="00CF7ED6">
      <w:pPr>
        <w:pStyle w:val="ListParagraph"/>
        <w:numPr>
          <w:ilvl w:val="1"/>
          <w:numId w:val="1"/>
        </w:numPr>
        <w:spacing w:after="0" w:line="240" w:lineRule="auto"/>
        <w:ind w:left="1276" w:hanging="425"/>
        <w:rPr>
          <w:rFonts w:asciiTheme="majorHAnsi" w:hAnsiTheme="majorHAnsi"/>
        </w:rPr>
      </w:pPr>
      <w:r w:rsidRPr="00C4570C">
        <w:rPr>
          <w:rFonts w:asciiTheme="majorHAnsi" w:hAnsiTheme="majorHAnsi"/>
          <w:b/>
          <w:bCs/>
        </w:rPr>
        <w:t>Otros</w:t>
      </w:r>
      <w:r w:rsidRPr="00C4570C">
        <w:rPr>
          <w:rFonts w:asciiTheme="majorHAnsi" w:hAnsiTheme="majorHAnsi"/>
        </w:rPr>
        <w:t>:</w:t>
      </w:r>
    </w:p>
    <w:p w14:paraId="6DE29D5F" w14:textId="77777777" w:rsidR="0012732E" w:rsidRPr="00C4570C" w:rsidRDefault="0012732E" w:rsidP="0012732E">
      <w:pPr>
        <w:pStyle w:val="ListParagraph"/>
        <w:spacing w:after="0" w:line="240" w:lineRule="auto"/>
        <w:ind w:left="1276"/>
        <w:rPr>
          <w:rFonts w:asciiTheme="majorHAnsi" w:hAnsiTheme="majorHAnsi"/>
        </w:rPr>
      </w:pPr>
    </w:p>
    <w:p w14:paraId="1A8FF71C" w14:textId="77777777" w:rsidR="00BC27DD" w:rsidRPr="00C4570C" w:rsidRDefault="00891CCE" w:rsidP="009265C7">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Simplificar (dividir) las preguntas con varios temas</w:t>
      </w:r>
    </w:p>
    <w:p w14:paraId="3F4992A8" w14:textId="77777777" w:rsidR="00BC27DD" w:rsidRPr="00C4570C" w:rsidRDefault="00891CCE" w:rsidP="009265C7">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Evaluar el solapamiento de las preguntas resultantes (posible redundancia)</w:t>
      </w:r>
    </w:p>
    <w:p w14:paraId="13009534" w14:textId="77777777" w:rsidR="00590A0A" w:rsidRPr="00C4570C" w:rsidRDefault="00FF235A" w:rsidP="009265C7">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Identificar las preguntas con un estado de respuesta observable (puede comprobarse utilizando una fuente de suministro de datos eficaz como las capturas nominales de Tarea 1).</w:t>
      </w:r>
    </w:p>
    <w:p w14:paraId="3D17584E" w14:textId="77777777" w:rsidR="005C6140" w:rsidRPr="00C4570C" w:rsidRDefault="00891CCE" w:rsidP="009265C7">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Comprobar si las notas explicativas complementarias a las respuestas del tipo "SÍ", "NO", "No aplicable " son necesarias O están contempladas en otros documentos (por ejemplo, en informes anuales)</w:t>
      </w:r>
    </w:p>
    <w:p w14:paraId="081C05EF" w14:textId="43A385B2" w:rsidR="00891CCE" w:rsidRPr="00C4570C" w:rsidRDefault="00891CCE" w:rsidP="009265C7">
      <w:pPr>
        <w:pStyle w:val="ListParagraph"/>
        <w:numPr>
          <w:ilvl w:val="2"/>
          <w:numId w:val="1"/>
        </w:numPr>
        <w:spacing w:after="0" w:line="240" w:lineRule="auto"/>
        <w:ind w:left="1701" w:hanging="425"/>
        <w:rPr>
          <w:rFonts w:asciiTheme="majorHAnsi" w:hAnsiTheme="majorHAnsi"/>
        </w:rPr>
      </w:pPr>
      <w:r w:rsidRPr="00C4570C">
        <w:rPr>
          <w:rFonts w:asciiTheme="majorHAnsi" w:hAnsiTheme="majorHAnsi"/>
        </w:rPr>
        <w:t>Comprobar hasta qué punto es factible adaptar cada respuesta a respuestas más cuantitativas (ratios, escalas, etc.)</w:t>
      </w:r>
    </w:p>
    <w:p w14:paraId="3FE071FC" w14:textId="77777777" w:rsidR="00CF7ED6" w:rsidRPr="00C4570C" w:rsidRDefault="00CF7ED6" w:rsidP="00CF7ED6">
      <w:pPr>
        <w:pStyle w:val="ListParagraph"/>
        <w:spacing w:after="0" w:line="240" w:lineRule="auto"/>
        <w:ind w:left="1418"/>
        <w:rPr>
          <w:rFonts w:asciiTheme="majorHAnsi" w:hAnsiTheme="majorHAnsi"/>
        </w:rPr>
      </w:pPr>
    </w:p>
    <w:p w14:paraId="1EB96F0C" w14:textId="77777777" w:rsidR="00C4570C" w:rsidRPr="00C4570C" w:rsidRDefault="00C4570C" w:rsidP="007C6968">
      <w:pPr>
        <w:spacing w:after="0" w:line="240" w:lineRule="auto"/>
        <w:rPr>
          <w:rFonts w:asciiTheme="majorHAnsi" w:hAnsiTheme="majorHAnsi"/>
        </w:rPr>
      </w:pPr>
    </w:p>
    <w:p w14:paraId="750B6936" w14:textId="26B8E86D" w:rsidR="002E66B2" w:rsidRPr="00C4570C" w:rsidRDefault="00EF1D00" w:rsidP="007C6968">
      <w:pPr>
        <w:spacing w:after="0" w:line="240" w:lineRule="auto"/>
        <w:rPr>
          <w:rFonts w:asciiTheme="majorHAnsi" w:hAnsiTheme="majorHAnsi"/>
        </w:rPr>
      </w:pPr>
      <w:r w:rsidRPr="00C4570C">
        <w:rPr>
          <w:rFonts w:asciiTheme="majorHAnsi" w:hAnsiTheme="majorHAnsi"/>
        </w:rPr>
        <w:t xml:space="preserve">Deben aplicarse las siguientes restricciones: </w:t>
      </w:r>
    </w:p>
    <w:p w14:paraId="2B01F7A9" w14:textId="77777777" w:rsidR="00CF7ED6" w:rsidRPr="00C4570C" w:rsidRDefault="00CF7ED6" w:rsidP="007C6968">
      <w:pPr>
        <w:spacing w:after="0" w:line="240" w:lineRule="auto"/>
        <w:rPr>
          <w:rFonts w:asciiTheme="majorHAnsi" w:hAnsiTheme="majorHAnsi"/>
        </w:rPr>
      </w:pPr>
    </w:p>
    <w:p w14:paraId="51D0213F" w14:textId="70A07161" w:rsidR="002E66B2" w:rsidRPr="00C4570C" w:rsidRDefault="002E66B2" w:rsidP="00CF7ED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 xml:space="preserve">No modificar ninguna de las recomendaciones existentes, </w:t>
      </w:r>
    </w:p>
    <w:p w14:paraId="389845A1" w14:textId="562A98D6" w:rsidR="002E66B2" w:rsidRPr="00C4570C" w:rsidRDefault="002E66B2" w:rsidP="00CF7ED6">
      <w:pPr>
        <w:pStyle w:val="ListParagraph"/>
        <w:numPr>
          <w:ilvl w:val="0"/>
          <w:numId w:val="2"/>
        </w:numPr>
        <w:spacing w:after="0" w:line="240" w:lineRule="auto"/>
        <w:ind w:left="851" w:hanging="425"/>
        <w:rPr>
          <w:rFonts w:asciiTheme="majorHAnsi" w:hAnsiTheme="majorHAnsi"/>
        </w:rPr>
      </w:pPr>
      <w:r w:rsidRPr="00C4570C">
        <w:rPr>
          <w:rFonts w:asciiTheme="majorHAnsi" w:hAnsiTheme="majorHAnsi"/>
        </w:rPr>
        <w:t>Adaptar las hojas de comprobación las nuevas recomendaciones, según proceda.</w:t>
      </w:r>
    </w:p>
    <w:p w14:paraId="7057BAA6" w14:textId="77777777" w:rsidR="00CF7ED6" w:rsidRPr="00C4570C" w:rsidRDefault="00CF7ED6" w:rsidP="00CF7ED6">
      <w:pPr>
        <w:pStyle w:val="Heading2"/>
        <w:spacing w:before="0" w:after="0" w:line="240" w:lineRule="auto"/>
        <w:ind w:left="0"/>
        <w:rPr>
          <w:sz w:val="20"/>
          <w:szCs w:val="20"/>
        </w:rPr>
      </w:pPr>
    </w:p>
    <w:p w14:paraId="6ABF2BFE" w14:textId="34F32ED0" w:rsidR="00935DEE" w:rsidRPr="00C4570C" w:rsidRDefault="00935DEE" w:rsidP="00CF7ED6">
      <w:pPr>
        <w:pStyle w:val="Heading2"/>
        <w:spacing w:before="0" w:after="0" w:line="240" w:lineRule="auto"/>
        <w:ind w:left="0"/>
        <w:rPr>
          <w:sz w:val="20"/>
          <w:szCs w:val="20"/>
        </w:rPr>
      </w:pPr>
      <w:r w:rsidRPr="00C4570C">
        <w:rPr>
          <w:sz w:val="20"/>
          <w:szCs w:val="20"/>
        </w:rPr>
        <w:t xml:space="preserve">Resultados </w:t>
      </w:r>
    </w:p>
    <w:p w14:paraId="1A02BC77" w14:textId="77777777" w:rsidR="00572EA6" w:rsidRPr="00C4570C" w:rsidRDefault="00572EA6" w:rsidP="007C6968">
      <w:pPr>
        <w:spacing w:after="0" w:line="240" w:lineRule="auto"/>
        <w:rPr>
          <w:rFonts w:asciiTheme="majorHAnsi" w:hAnsiTheme="majorHAnsi"/>
        </w:rPr>
      </w:pPr>
    </w:p>
    <w:p w14:paraId="192A2768" w14:textId="1C7AEC2D" w:rsidR="00DA18D0" w:rsidRPr="00C4570C" w:rsidRDefault="00B41F12" w:rsidP="007C6968">
      <w:pPr>
        <w:spacing w:after="0" w:line="240" w:lineRule="auto"/>
        <w:rPr>
          <w:rFonts w:asciiTheme="majorHAnsi" w:hAnsiTheme="majorHAnsi"/>
        </w:rPr>
      </w:pPr>
      <w:r w:rsidRPr="00C4570C">
        <w:rPr>
          <w:rFonts w:asciiTheme="majorHAnsi" w:hAnsiTheme="majorHAnsi"/>
        </w:rPr>
        <w:t>Los resultados preliminares de este trabajo deberán presentarse en la próxima reunión intersesiones del WG-ORT (en febrero de 2026) para realizarse una primera evaluación y deliberaciones posteriores. La propuesta final la presentarán los presidentes de la Subcomisión 4, el COC y el WG-ORT en la reunión anual de la Comisión de 2026.</w:t>
      </w:r>
    </w:p>
    <w:sectPr w:rsidR="00DA18D0" w:rsidRPr="00C4570C" w:rsidSect="00B91B1B">
      <w:headerReference w:type="default" r:id="rId35"/>
      <w:footerReference w:type="default" r:id="rId3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1BAD" w14:textId="77777777" w:rsidR="006C7832" w:rsidRDefault="006C7832" w:rsidP="00B41F12">
      <w:r>
        <w:separator/>
      </w:r>
    </w:p>
  </w:endnote>
  <w:endnote w:type="continuationSeparator" w:id="0">
    <w:p w14:paraId="6E6274A3" w14:textId="77777777" w:rsidR="006C7832" w:rsidRDefault="006C7832" w:rsidP="00B4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65E" w14:textId="77777777" w:rsidR="007B65F1" w:rsidRPr="007B65F1" w:rsidRDefault="00C4570C" w:rsidP="007B65F1">
    <w:pPr>
      <w:tabs>
        <w:tab w:val="center" w:pos="4680"/>
        <w:tab w:val="right" w:pos="9360"/>
      </w:tabs>
      <w:spacing w:after="0" w:line="240" w:lineRule="auto"/>
      <w:jc w:val="center"/>
      <w:rPr>
        <w:rFonts w:ascii="Aptos" w:eastAsia="Aptos" w:hAnsi="Aptos" w:cs="Times New Roman"/>
        <w:sz w:val="24"/>
        <w:szCs w:val="24"/>
      </w:rPr>
    </w:pPr>
    <w:sdt>
      <w:sdtPr>
        <w:rPr>
          <w:rFonts w:ascii="Calibri" w:eastAsia="Calibri" w:hAnsi="Calibri" w:cs="Calibri"/>
          <w:kern w:val="0"/>
          <w14:ligatures w14:val="none"/>
        </w:rPr>
        <w:id w:val="1164588205"/>
        <w:docPartObj>
          <w:docPartGallery w:val="Page Numbers (Top of Page)"/>
          <w:docPartUnique/>
        </w:docPartObj>
      </w:sdtPr>
      <w:sdtEndPr/>
      <w:sdtContent>
        <w:r w:rsidR="007B65F1" w:rsidRPr="007B65F1">
          <w:rPr>
            <w:rFonts w:eastAsia="Calibri" w:cs="Calibri"/>
          </w:rPr>
          <w:fldChar w:fldCharType="begin"/>
        </w:r>
        <w:r w:rsidR="007B65F1" w:rsidRPr="007B65F1">
          <w:rPr>
            <w:rFonts w:eastAsia="Calibri" w:cs="Calibri"/>
          </w:rPr>
          <w:instrText xml:space="preserve"> PAGE </w:instrText>
        </w:r>
        <w:r w:rsidR="007B65F1" w:rsidRPr="007B65F1">
          <w:rPr>
            <w:rFonts w:eastAsia="Calibri" w:cs="Calibri"/>
          </w:rPr>
          <w:fldChar w:fldCharType="separate"/>
        </w:r>
        <w:r w:rsidR="007B65F1" w:rsidRPr="007B65F1">
          <w:rPr>
            <w:rFonts w:eastAsia="Calibri" w:cs="Calibri"/>
          </w:rPr>
          <w:t>1</w:t>
        </w:r>
        <w:r w:rsidR="007B65F1" w:rsidRPr="007B65F1">
          <w:rPr>
            <w:rFonts w:eastAsia="Calibri" w:cs="Calibri"/>
          </w:rPr>
          <w:fldChar w:fldCharType="end"/>
        </w:r>
        <w:r w:rsidR="007B65F1">
          <w:t xml:space="preserve"> / </w:t>
        </w:r>
        <w:r w:rsidR="007B65F1" w:rsidRPr="007B65F1">
          <w:rPr>
            <w:rFonts w:eastAsia="Calibri" w:cs="Calibri"/>
          </w:rPr>
          <w:fldChar w:fldCharType="begin"/>
        </w:r>
        <w:r w:rsidR="007B65F1" w:rsidRPr="007B65F1">
          <w:rPr>
            <w:rFonts w:eastAsia="Calibri" w:cs="Calibri"/>
          </w:rPr>
          <w:instrText xml:space="preserve"> NUMPAGES  </w:instrText>
        </w:r>
        <w:r w:rsidR="007B65F1" w:rsidRPr="007B65F1">
          <w:rPr>
            <w:rFonts w:eastAsia="Calibri" w:cs="Calibri"/>
          </w:rPr>
          <w:fldChar w:fldCharType="separate"/>
        </w:r>
        <w:r w:rsidR="007B65F1" w:rsidRPr="007B65F1">
          <w:rPr>
            <w:rFonts w:eastAsia="Calibri" w:cs="Calibri"/>
          </w:rPr>
          <w:t>7</w:t>
        </w:r>
        <w:r w:rsidR="007B65F1" w:rsidRPr="007B65F1">
          <w:rPr>
            <w:rFonts w:eastAsia="Calibri"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1F7C" w14:textId="77777777" w:rsidR="006C7832" w:rsidRDefault="006C7832" w:rsidP="00B41F12">
      <w:r>
        <w:separator/>
      </w:r>
    </w:p>
  </w:footnote>
  <w:footnote w:type="continuationSeparator" w:id="0">
    <w:p w14:paraId="0FCF4565" w14:textId="77777777" w:rsidR="006C7832" w:rsidRDefault="006C7832" w:rsidP="00B4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B6FA" w14:textId="11343530" w:rsidR="00B60FC1" w:rsidRPr="00B60FC1" w:rsidRDefault="00B60FC1" w:rsidP="00B60FC1">
    <w:pPr>
      <w:tabs>
        <w:tab w:val="center" w:pos="4680"/>
        <w:tab w:val="right" w:pos="9360"/>
      </w:tabs>
      <w:spacing w:after="0" w:line="240" w:lineRule="auto"/>
      <w:jc w:val="right"/>
      <w:rPr>
        <w:rFonts w:eastAsia="Yu Mincho" w:cs="Times New Roman"/>
        <w:b/>
        <w:bCs/>
      </w:rPr>
    </w:pPr>
    <w:bookmarkStart w:id="1" w:name="_Hlk107908354"/>
    <w:bookmarkStart w:id="2" w:name="_Hlk107908355"/>
    <w:bookmarkStart w:id="3" w:name="_Hlk107908359"/>
    <w:bookmarkStart w:id="4" w:name="_Hlk107908360"/>
    <w:bookmarkStart w:id="5" w:name="_Hlk107908361"/>
    <w:bookmarkStart w:id="6" w:name="_Hlk107908362"/>
    <w:r>
      <w:rPr>
        <w:b/>
      </w:rPr>
      <w:t>COC_321/2025</w:t>
    </w:r>
  </w:p>
  <w:p w14:paraId="5290587B" w14:textId="7A28A11D" w:rsidR="00B60FC1" w:rsidRPr="00B60FC1" w:rsidRDefault="00B60FC1" w:rsidP="00B60FC1">
    <w:pPr>
      <w:tabs>
        <w:tab w:val="center" w:pos="4680"/>
        <w:tab w:val="right" w:pos="9360"/>
      </w:tabs>
      <w:spacing w:after="0" w:line="240" w:lineRule="auto"/>
      <w:jc w:val="right"/>
      <w:rPr>
        <w:rFonts w:ascii="Aptos" w:eastAsia="Aptos" w:hAnsi="Aptos" w:cs="Times New Roman"/>
        <w:sz w:val="24"/>
        <w:szCs w:val="24"/>
      </w:rPr>
    </w:pPr>
    <w:r w:rsidRPr="00B60FC1">
      <w:rPr>
        <w:rFonts w:eastAsia="Yu Mincho" w:cs="Times New Roman"/>
      </w:rPr>
      <w:fldChar w:fldCharType="begin"/>
    </w:r>
    <w:r w:rsidRPr="00B60FC1">
      <w:rPr>
        <w:rFonts w:eastAsia="Yu Mincho" w:cs="Times New Roman"/>
        <w:b/>
      </w:rPr>
      <w:instrText xml:space="preserve"> TIME \@ "dd/MM/yyyy H:mm" </w:instrText>
    </w:r>
    <w:r w:rsidRPr="00B60FC1">
      <w:rPr>
        <w:rFonts w:eastAsia="Yu Mincho" w:cs="Times New Roman"/>
      </w:rPr>
      <w:fldChar w:fldCharType="separate"/>
    </w:r>
    <w:r w:rsidR="00C4570C">
      <w:rPr>
        <w:rFonts w:eastAsia="Yu Mincho" w:cs="Times New Roman"/>
        <w:b/>
        <w:noProof/>
      </w:rPr>
      <w:t>13/11/2025 10:23</w:t>
    </w:r>
    <w:r w:rsidRPr="00B60FC1">
      <w:rPr>
        <w:rFonts w:eastAsia="Yu Mincho" w:cs="Times New Roman"/>
        <w:lang w:val="en-US" w:eastAsia="ja-JP"/>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04CC"/>
    <w:multiLevelType w:val="hybridMultilevel"/>
    <w:tmpl w:val="F66C1A64"/>
    <w:lvl w:ilvl="0" w:tplc="414ED43A">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7643B"/>
    <w:multiLevelType w:val="hybridMultilevel"/>
    <w:tmpl w:val="F13297F6"/>
    <w:lvl w:ilvl="0" w:tplc="55E8007C">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0945">
    <w:abstractNumId w:val="0"/>
  </w:num>
  <w:num w:numId="2" w16cid:durableId="147208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1E"/>
    <w:rsid w:val="0000472C"/>
    <w:rsid w:val="00006A54"/>
    <w:rsid w:val="00015431"/>
    <w:rsid w:val="00016FDA"/>
    <w:rsid w:val="00035422"/>
    <w:rsid w:val="0004129A"/>
    <w:rsid w:val="00041DC4"/>
    <w:rsid w:val="00047092"/>
    <w:rsid w:val="00047383"/>
    <w:rsid w:val="000538A9"/>
    <w:rsid w:val="00065217"/>
    <w:rsid w:val="000716EA"/>
    <w:rsid w:val="000734C2"/>
    <w:rsid w:val="000850E3"/>
    <w:rsid w:val="00096E30"/>
    <w:rsid w:val="000B016C"/>
    <w:rsid w:val="000B6872"/>
    <w:rsid w:val="000B6DC7"/>
    <w:rsid w:val="000D62A4"/>
    <w:rsid w:val="000E2E46"/>
    <w:rsid w:val="000E352A"/>
    <w:rsid w:val="000E459B"/>
    <w:rsid w:val="000F7AFE"/>
    <w:rsid w:val="001001C7"/>
    <w:rsid w:val="00120D13"/>
    <w:rsid w:val="00121C11"/>
    <w:rsid w:val="00123538"/>
    <w:rsid w:val="00125CA5"/>
    <w:rsid w:val="0012678F"/>
    <w:rsid w:val="00126F1E"/>
    <w:rsid w:val="0012732E"/>
    <w:rsid w:val="00135BD1"/>
    <w:rsid w:val="00136041"/>
    <w:rsid w:val="00144015"/>
    <w:rsid w:val="001444E8"/>
    <w:rsid w:val="0015319D"/>
    <w:rsid w:val="00155E91"/>
    <w:rsid w:val="00160B06"/>
    <w:rsid w:val="00162B47"/>
    <w:rsid w:val="00165DB6"/>
    <w:rsid w:val="00166B16"/>
    <w:rsid w:val="001711CA"/>
    <w:rsid w:val="00176B40"/>
    <w:rsid w:val="001772ED"/>
    <w:rsid w:val="00184135"/>
    <w:rsid w:val="0019739C"/>
    <w:rsid w:val="001A07FF"/>
    <w:rsid w:val="001A7548"/>
    <w:rsid w:val="001B54D1"/>
    <w:rsid w:val="001C002A"/>
    <w:rsid w:val="001C20C5"/>
    <w:rsid w:val="001C372D"/>
    <w:rsid w:val="001D0128"/>
    <w:rsid w:val="001D6C93"/>
    <w:rsid w:val="001D7A8E"/>
    <w:rsid w:val="001E31CC"/>
    <w:rsid w:val="001E5604"/>
    <w:rsid w:val="001F442A"/>
    <w:rsid w:val="00205BC7"/>
    <w:rsid w:val="0021525A"/>
    <w:rsid w:val="00220B69"/>
    <w:rsid w:val="00224CDD"/>
    <w:rsid w:val="00225526"/>
    <w:rsid w:val="0023754E"/>
    <w:rsid w:val="00247175"/>
    <w:rsid w:val="002550BD"/>
    <w:rsid w:val="0026553D"/>
    <w:rsid w:val="002822AC"/>
    <w:rsid w:val="0029535E"/>
    <w:rsid w:val="002A1907"/>
    <w:rsid w:val="002C2FA0"/>
    <w:rsid w:val="002C3C15"/>
    <w:rsid w:val="002C661E"/>
    <w:rsid w:val="002D0D2A"/>
    <w:rsid w:val="002D0D3F"/>
    <w:rsid w:val="002D5DCA"/>
    <w:rsid w:val="002D6799"/>
    <w:rsid w:val="002D690B"/>
    <w:rsid w:val="002E66B2"/>
    <w:rsid w:val="002F0E11"/>
    <w:rsid w:val="002F4776"/>
    <w:rsid w:val="00300A6F"/>
    <w:rsid w:val="0030625C"/>
    <w:rsid w:val="00314831"/>
    <w:rsid w:val="00314E01"/>
    <w:rsid w:val="0031550A"/>
    <w:rsid w:val="003158BE"/>
    <w:rsid w:val="00334698"/>
    <w:rsid w:val="00345DC6"/>
    <w:rsid w:val="00375502"/>
    <w:rsid w:val="00376028"/>
    <w:rsid w:val="00376436"/>
    <w:rsid w:val="00380303"/>
    <w:rsid w:val="00385A4C"/>
    <w:rsid w:val="00386541"/>
    <w:rsid w:val="00387EB9"/>
    <w:rsid w:val="00391ADE"/>
    <w:rsid w:val="003B0352"/>
    <w:rsid w:val="003B0819"/>
    <w:rsid w:val="003B3AC6"/>
    <w:rsid w:val="003C08FA"/>
    <w:rsid w:val="003C2F23"/>
    <w:rsid w:val="003C2FFC"/>
    <w:rsid w:val="003C3871"/>
    <w:rsid w:val="003C6C2D"/>
    <w:rsid w:val="003C6DC9"/>
    <w:rsid w:val="003D2831"/>
    <w:rsid w:val="003E5482"/>
    <w:rsid w:val="003F0DB3"/>
    <w:rsid w:val="003F4D91"/>
    <w:rsid w:val="003F6888"/>
    <w:rsid w:val="00405524"/>
    <w:rsid w:val="00410DFA"/>
    <w:rsid w:val="004113FC"/>
    <w:rsid w:val="004177AA"/>
    <w:rsid w:val="004206C6"/>
    <w:rsid w:val="00441312"/>
    <w:rsid w:val="004500AC"/>
    <w:rsid w:val="00450747"/>
    <w:rsid w:val="00455849"/>
    <w:rsid w:val="00456E1F"/>
    <w:rsid w:val="00463FB3"/>
    <w:rsid w:val="00471DA6"/>
    <w:rsid w:val="00484DFD"/>
    <w:rsid w:val="00486D6C"/>
    <w:rsid w:val="00490D1D"/>
    <w:rsid w:val="00493F7D"/>
    <w:rsid w:val="00494494"/>
    <w:rsid w:val="00496407"/>
    <w:rsid w:val="004A1894"/>
    <w:rsid w:val="004A2C11"/>
    <w:rsid w:val="004A3BDA"/>
    <w:rsid w:val="004A452D"/>
    <w:rsid w:val="004B101D"/>
    <w:rsid w:val="004B4F53"/>
    <w:rsid w:val="004C2349"/>
    <w:rsid w:val="004C522F"/>
    <w:rsid w:val="004D1DEC"/>
    <w:rsid w:val="004D4FEB"/>
    <w:rsid w:val="004E5831"/>
    <w:rsid w:val="004F289D"/>
    <w:rsid w:val="004F3EB8"/>
    <w:rsid w:val="004F3FBE"/>
    <w:rsid w:val="005031EB"/>
    <w:rsid w:val="005036A9"/>
    <w:rsid w:val="0052022F"/>
    <w:rsid w:val="005204B5"/>
    <w:rsid w:val="00530948"/>
    <w:rsid w:val="00535F9F"/>
    <w:rsid w:val="005420BF"/>
    <w:rsid w:val="00545210"/>
    <w:rsid w:val="0055232F"/>
    <w:rsid w:val="00556379"/>
    <w:rsid w:val="00566676"/>
    <w:rsid w:val="005726BF"/>
    <w:rsid w:val="00572EA6"/>
    <w:rsid w:val="00580F1E"/>
    <w:rsid w:val="00586F91"/>
    <w:rsid w:val="005907DC"/>
    <w:rsid w:val="00590A0A"/>
    <w:rsid w:val="005C1949"/>
    <w:rsid w:val="005C46D2"/>
    <w:rsid w:val="005C6140"/>
    <w:rsid w:val="005D31B8"/>
    <w:rsid w:val="005D5373"/>
    <w:rsid w:val="005E067B"/>
    <w:rsid w:val="005E243B"/>
    <w:rsid w:val="005E3F05"/>
    <w:rsid w:val="005F3171"/>
    <w:rsid w:val="005F37A1"/>
    <w:rsid w:val="005F4D3A"/>
    <w:rsid w:val="006010F7"/>
    <w:rsid w:val="00606BBF"/>
    <w:rsid w:val="006269B2"/>
    <w:rsid w:val="00640877"/>
    <w:rsid w:val="00640FE0"/>
    <w:rsid w:val="00660555"/>
    <w:rsid w:val="0067215E"/>
    <w:rsid w:val="00677B68"/>
    <w:rsid w:val="00691233"/>
    <w:rsid w:val="006C2157"/>
    <w:rsid w:val="006C7832"/>
    <w:rsid w:val="006F565C"/>
    <w:rsid w:val="006F68D4"/>
    <w:rsid w:val="00706E46"/>
    <w:rsid w:val="00711D23"/>
    <w:rsid w:val="00713F88"/>
    <w:rsid w:val="007264FD"/>
    <w:rsid w:val="00743EBD"/>
    <w:rsid w:val="00750B99"/>
    <w:rsid w:val="00763B84"/>
    <w:rsid w:val="00766905"/>
    <w:rsid w:val="00775B11"/>
    <w:rsid w:val="007765A8"/>
    <w:rsid w:val="00791535"/>
    <w:rsid w:val="00791AD9"/>
    <w:rsid w:val="007A1AEE"/>
    <w:rsid w:val="007B1487"/>
    <w:rsid w:val="007B2484"/>
    <w:rsid w:val="007B2695"/>
    <w:rsid w:val="007B470B"/>
    <w:rsid w:val="007B65F1"/>
    <w:rsid w:val="007B768F"/>
    <w:rsid w:val="007C4F7C"/>
    <w:rsid w:val="007C6968"/>
    <w:rsid w:val="007D673D"/>
    <w:rsid w:val="007E3C00"/>
    <w:rsid w:val="007F66D9"/>
    <w:rsid w:val="008002D4"/>
    <w:rsid w:val="008006BD"/>
    <w:rsid w:val="00804A94"/>
    <w:rsid w:val="00817C43"/>
    <w:rsid w:val="008320FB"/>
    <w:rsid w:val="00834B06"/>
    <w:rsid w:val="008534BA"/>
    <w:rsid w:val="00860B94"/>
    <w:rsid w:val="00862EB5"/>
    <w:rsid w:val="00867C0D"/>
    <w:rsid w:val="0087661A"/>
    <w:rsid w:val="00883C9A"/>
    <w:rsid w:val="00883D69"/>
    <w:rsid w:val="00885173"/>
    <w:rsid w:val="00886E78"/>
    <w:rsid w:val="00891148"/>
    <w:rsid w:val="00891CCE"/>
    <w:rsid w:val="00892420"/>
    <w:rsid w:val="008A345E"/>
    <w:rsid w:val="008A558B"/>
    <w:rsid w:val="008C141F"/>
    <w:rsid w:val="008C62C9"/>
    <w:rsid w:val="008D2FFE"/>
    <w:rsid w:val="008D35A8"/>
    <w:rsid w:val="008D6D5E"/>
    <w:rsid w:val="008E0A57"/>
    <w:rsid w:val="008E22E5"/>
    <w:rsid w:val="008E6744"/>
    <w:rsid w:val="008F12FC"/>
    <w:rsid w:val="008F27CC"/>
    <w:rsid w:val="00900460"/>
    <w:rsid w:val="00903B1F"/>
    <w:rsid w:val="00905EDD"/>
    <w:rsid w:val="009067BA"/>
    <w:rsid w:val="00910762"/>
    <w:rsid w:val="0091389F"/>
    <w:rsid w:val="00916F4D"/>
    <w:rsid w:val="00920427"/>
    <w:rsid w:val="0092331A"/>
    <w:rsid w:val="009252BD"/>
    <w:rsid w:val="009265C7"/>
    <w:rsid w:val="0093127D"/>
    <w:rsid w:val="00932573"/>
    <w:rsid w:val="00935DEE"/>
    <w:rsid w:val="00942FBB"/>
    <w:rsid w:val="0095083D"/>
    <w:rsid w:val="0095700C"/>
    <w:rsid w:val="00960A1E"/>
    <w:rsid w:val="00963FB8"/>
    <w:rsid w:val="00980780"/>
    <w:rsid w:val="0098553F"/>
    <w:rsid w:val="009866E5"/>
    <w:rsid w:val="009929ED"/>
    <w:rsid w:val="0099362B"/>
    <w:rsid w:val="00997E6D"/>
    <w:rsid w:val="009A33DE"/>
    <w:rsid w:val="009A3D9F"/>
    <w:rsid w:val="009B35F9"/>
    <w:rsid w:val="009B6E5A"/>
    <w:rsid w:val="009C1535"/>
    <w:rsid w:val="009D5F71"/>
    <w:rsid w:val="009D630E"/>
    <w:rsid w:val="009E4F96"/>
    <w:rsid w:val="009F291E"/>
    <w:rsid w:val="00A04536"/>
    <w:rsid w:val="00A13A76"/>
    <w:rsid w:val="00A16A13"/>
    <w:rsid w:val="00A220A3"/>
    <w:rsid w:val="00A339F4"/>
    <w:rsid w:val="00A362E4"/>
    <w:rsid w:val="00A444B0"/>
    <w:rsid w:val="00A67E84"/>
    <w:rsid w:val="00A71711"/>
    <w:rsid w:val="00A747BF"/>
    <w:rsid w:val="00A80237"/>
    <w:rsid w:val="00A8151E"/>
    <w:rsid w:val="00A864B1"/>
    <w:rsid w:val="00A97B79"/>
    <w:rsid w:val="00AA12F8"/>
    <w:rsid w:val="00AA262A"/>
    <w:rsid w:val="00AA58B0"/>
    <w:rsid w:val="00AB359B"/>
    <w:rsid w:val="00AB3A50"/>
    <w:rsid w:val="00AB3D4C"/>
    <w:rsid w:val="00AB53D7"/>
    <w:rsid w:val="00AB7153"/>
    <w:rsid w:val="00AC2BC3"/>
    <w:rsid w:val="00AC7A0F"/>
    <w:rsid w:val="00AD02AD"/>
    <w:rsid w:val="00AD47CD"/>
    <w:rsid w:val="00AE1F8C"/>
    <w:rsid w:val="00AF1F8D"/>
    <w:rsid w:val="00AF3308"/>
    <w:rsid w:val="00B05847"/>
    <w:rsid w:val="00B12CB8"/>
    <w:rsid w:val="00B13ADA"/>
    <w:rsid w:val="00B13CF3"/>
    <w:rsid w:val="00B23920"/>
    <w:rsid w:val="00B30BFF"/>
    <w:rsid w:val="00B41243"/>
    <w:rsid w:val="00B41F12"/>
    <w:rsid w:val="00B46169"/>
    <w:rsid w:val="00B47872"/>
    <w:rsid w:val="00B53FAB"/>
    <w:rsid w:val="00B57FCA"/>
    <w:rsid w:val="00B60FC1"/>
    <w:rsid w:val="00B715C3"/>
    <w:rsid w:val="00B7250A"/>
    <w:rsid w:val="00B76B78"/>
    <w:rsid w:val="00B8100F"/>
    <w:rsid w:val="00B82801"/>
    <w:rsid w:val="00B83CF2"/>
    <w:rsid w:val="00B859D2"/>
    <w:rsid w:val="00B91B1B"/>
    <w:rsid w:val="00BA7C4F"/>
    <w:rsid w:val="00BB4C83"/>
    <w:rsid w:val="00BB70FF"/>
    <w:rsid w:val="00BC27DD"/>
    <w:rsid w:val="00BC2DFC"/>
    <w:rsid w:val="00BD7D23"/>
    <w:rsid w:val="00BE2ABB"/>
    <w:rsid w:val="00BF39C1"/>
    <w:rsid w:val="00BF725D"/>
    <w:rsid w:val="00C01237"/>
    <w:rsid w:val="00C062EF"/>
    <w:rsid w:val="00C06884"/>
    <w:rsid w:val="00C200CF"/>
    <w:rsid w:val="00C2233A"/>
    <w:rsid w:val="00C23ECD"/>
    <w:rsid w:val="00C24B59"/>
    <w:rsid w:val="00C2502F"/>
    <w:rsid w:val="00C44222"/>
    <w:rsid w:val="00C4570C"/>
    <w:rsid w:val="00C5007E"/>
    <w:rsid w:val="00C565F1"/>
    <w:rsid w:val="00C56F43"/>
    <w:rsid w:val="00C60A55"/>
    <w:rsid w:val="00C64D18"/>
    <w:rsid w:val="00C83EB4"/>
    <w:rsid w:val="00C85812"/>
    <w:rsid w:val="00C85ACB"/>
    <w:rsid w:val="00C85D1D"/>
    <w:rsid w:val="00C8740C"/>
    <w:rsid w:val="00C93F26"/>
    <w:rsid w:val="00CB4284"/>
    <w:rsid w:val="00CC4673"/>
    <w:rsid w:val="00CC566D"/>
    <w:rsid w:val="00CD0A27"/>
    <w:rsid w:val="00CD1F80"/>
    <w:rsid w:val="00CD436E"/>
    <w:rsid w:val="00CD776C"/>
    <w:rsid w:val="00CE56F8"/>
    <w:rsid w:val="00CF0D69"/>
    <w:rsid w:val="00CF28D2"/>
    <w:rsid w:val="00CF7C36"/>
    <w:rsid w:val="00CF7ED6"/>
    <w:rsid w:val="00D049FD"/>
    <w:rsid w:val="00D064D2"/>
    <w:rsid w:val="00D12764"/>
    <w:rsid w:val="00D14FCD"/>
    <w:rsid w:val="00D16E81"/>
    <w:rsid w:val="00D21108"/>
    <w:rsid w:val="00D25B68"/>
    <w:rsid w:val="00D37216"/>
    <w:rsid w:val="00D44129"/>
    <w:rsid w:val="00D467BB"/>
    <w:rsid w:val="00D5002F"/>
    <w:rsid w:val="00D52916"/>
    <w:rsid w:val="00D53305"/>
    <w:rsid w:val="00D55DA3"/>
    <w:rsid w:val="00D86E0E"/>
    <w:rsid w:val="00D91BDF"/>
    <w:rsid w:val="00D97A8C"/>
    <w:rsid w:val="00DA18D0"/>
    <w:rsid w:val="00DA1C37"/>
    <w:rsid w:val="00DA6907"/>
    <w:rsid w:val="00DB349B"/>
    <w:rsid w:val="00DC0973"/>
    <w:rsid w:val="00DC5EAD"/>
    <w:rsid w:val="00DC5F4C"/>
    <w:rsid w:val="00DD3ABD"/>
    <w:rsid w:val="00DD7C6D"/>
    <w:rsid w:val="00DE1AED"/>
    <w:rsid w:val="00DF11CF"/>
    <w:rsid w:val="00DF6B51"/>
    <w:rsid w:val="00E1332A"/>
    <w:rsid w:val="00E15EB3"/>
    <w:rsid w:val="00E22A9F"/>
    <w:rsid w:val="00E36E27"/>
    <w:rsid w:val="00E40DCE"/>
    <w:rsid w:val="00E41298"/>
    <w:rsid w:val="00E4131A"/>
    <w:rsid w:val="00E621FF"/>
    <w:rsid w:val="00E65018"/>
    <w:rsid w:val="00E67905"/>
    <w:rsid w:val="00E7146C"/>
    <w:rsid w:val="00E72C6A"/>
    <w:rsid w:val="00E73419"/>
    <w:rsid w:val="00E7369D"/>
    <w:rsid w:val="00E75EDD"/>
    <w:rsid w:val="00E81864"/>
    <w:rsid w:val="00E86CD7"/>
    <w:rsid w:val="00E91D26"/>
    <w:rsid w:val="00E92D21"/>
    <w:rsid w:val="00E92DF5"/>
    <w:rsid w:val="00E9694E"/>
    <w:rsid w:val="00EA7A1E"/>
    <w:rsid w:val="00EB38E6"/>
    <w:rsid w:val="00EB3A9E"/>
    <w:rsid w:val="00EB40D6"/>
    <w:rsid w:val="00ED1B84"/>
    <w:rsid w:val="00ED1EBB"/>
    <w:rsid w:val="00EE5037"/>
    <w:rsid w:val="00EF1D00"/>
    <w:rsid w:val="00EF2720"/>
    <w:rsid w:val="00F04946"/>
    <w:rsid w:val="00F13BAC"/>
    <w:rsid w:val="00F17885"/>
    <w:rsid w:val="00F20561"/>
    <w:rsid w:val="00F26740"/>
    <w:rsid w:val="00F27E7A"/>
    <w:rsid w:val="00F3507F"/>
    <w:rsid w:val="00F43331"/>
    <w:rsid w:val="00F433EE"/>
    <w:rsid w:val="00F43A7B"/>
    <w:rsid w:val="00F555D7"/>
    <w:rsid w:val="00F618F0"/>
    <w:rsid w:val="00F72018"/>
    <w:rsid w:val="00F74BAE"/>
    <w:rsid w:val="00F805BE"/>
    <w:rsid w:val="00F933CD"/>
    <w:rsid w:val="00F95B6F"/>
    <w:rsid w:val="00F96BF5"/>
    <w:rsid w:val="00FA6406"/>
    <w:rsid w:val="00FA71A2"/>
    <w:rsid w:val="00FB6591"/>
    <w:rsid w:val="00FB6DCD"/>
    <w:rsid w:val="00FC538B"/>
    <w:rsid w:val="00FD37AA"/>
    <w:rsid w:val="00FE6457"/>
    <w:rsid w:val="00FF235A"/>
    <w:rsid w:val="00FF597D"/>
    <w:rsid w:val="05EA1748"/>
    <w:rsid w:val="16612CF5"/>
    <w:rsid w:val="215F273E"/>
    <w:rsid w:val="480AE5A9"/>
    <w:rsid w:val="538CEE3D"/>
    <w:rsid w:val="5A7DFBB1"/>
    <w:rsid w:val="6AE0C3D3"/>
    <w:rsid w:val="72AF125D"/>
    <w:rsid w:val="784B9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121E"/>
  <w15:chartTrackingRefBased/>
  <w15:docId w15:val="{3FE74850-CCF4-4A39-B692-73849980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12"/>
    <w:pPr>
      <w:spacing w:after="120"/>
      <w:jc w:val="both"/>
    </w:pPr>
    <w:rPr>
      <w:rFonts w:ascii="Cambria" w:hAnsi="Cambria"/>
      <w:sz w:val="20"/>
      <w:szCs w:val="20"/>
    </w:rPr>
  </w:style>
  <w:style w:type="paragraph" w:styleId="Heading1">
    <w:name w:val="heading 1"/>
    <w:basedOn w:val="Normal"/>
    <w:next w:val="Normal"/>
    <w:link w:val="Heading1Char"/>
    <w:uiPriority w:val="9"/>
    <w:qFormat/>
    <w:rsid w:val="00F20561"/>
    <w:pPr>
      <w:keepNext/>
      <w:keepLines/>
      <w:spacing w:before="360" w:after="80"/>
      <w:outlineLvl w:val="0"/>
    </w:pPr>
    <w:rPr>
      <w:rFonts w:asciiTheme="majorHAnsi" w:eastAsiaTheme="majorEastAsia" w:hAnsiTheme="majorHAnsi" w:cstheme="majorBidi"/>
      <w:b/>
      <w:bCs/>
      <w:sz w:val="22"/>
      <w:szCs w:val="22"/>
    </w:rPr>
  </w:style>
  <w:style w:type="paragraph" w:styleId="Heading2">
    <w:name w:val="heading 2"/>
    <w:basedOn w:val="Normal"/>
    <w:next w:val="Normal"/>
    <w:link w:val="Heading2Char"/>
    <w:uiPriority w:val="9"/>
    <w:unhideWhenUsed/>
    <w:qFormat/>
    <w:rsid w:val="00F20561"/>
    <w:pPr>
      <w:keepNext/>
      <w:keepLines/>
      <w:spacing w:before="160" w:after="80"/>
      <w:ind w:left="284"/>
      <w:outlineLvl w:val="1"/>
    </w:pPr>
    <w:rPr>
      <w:rFonts w:asciiTheme="majorHAnsi" w:eastAsiaTheme="majorEastAsia" w:hAnsiTheme="majorHAnsi" w:cstheme="majorBidi"/>
      <w:b/>
      <w:bCs/>
      <w:i/>
      <w:iCs/>
      <w:sz w:val="22"/>
      <w:szCs w:val="22"/>
    </w:rPr>
  </w:style>
  <w:style w:type="paragraph" w:styleId="Heading3">
    <w:name w:val="heading 3"/>
    <w:basedOn w:val="Normal"/>
    <w:next w:val="Normal"/>
    <w:link w:val="Heading3Char"/>
    <w:uiPriority w:val="9"/>
    <w:semiHidden/>
    <w:unhideWhenUsed/>
    <w:qFormat/>
    <w:rsid w:val="009F291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291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291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2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61"/>
    <w:rPr>
      <w:rFonts w:asciiTheme="majorHAnsi" w:eastAsiaTheme="majorEastAsia" w:hAnsiTheme="majorHAnsi" w:cstheme="majorBidi"/>
      <w:b/>
      <w:bCs/>
      <w:lang w:val="es-ES"/>
    </w:rPr>
  </w:style>
  <w:style w:type="character" w:customStyle="1" w:styleId="Heading2Char">
    <w:name w:val="Heading 2 Char"/>
    <w:basedOn w:val="DefaultParagraphFont"/>
    <w:link w:val="Heading2"/>
    <w:uiPriority w:val="9"/>
    <w:rsid w:val="00F20561"/>
    <w:rPr>
      <w:rFonts w:asciiTheme="majorHAnsi" w:eastAsiaTheme="majorEastAsia" w:hAnsiTheme="majorHAnsi" w:cstheme="majorBidi"/>
      <w:b/>
      <w:bCs/>
      <w:i/>
      <w:iCs/>
      <w:lang w:val="es-ES"/>
    </w:rPr>
  </w:style>
  <w:style w:type="character" w:customStyle="1" w:styleId="Heading3Char">
    <w:name w:val="Heading 3 Char"/>
    <w:basedOn w:val="DefaultParagraphFont"/>
    <w:link w:val="Heading3"/>
    <w:uiPriority w:val="9"/>
    <w:semiHidden/>
    <w:rsid w:val="009F291E"/>
    <w:rPr>
      <w:rFonts w:eastAsiaTheme="majorEastAsia" w:cstheme="majorBidi"/>
      <w:color w:val="365F91" w:themeColor="accent1" w:themeShade="BF"/>
      <w:sz w:val="28"/>
      <w:szCs w:val="28"/>
      <w:lang w:val="es-ES"/>
    </w:rPr>
  </w:style>
  <w:style w:type="character" w:customStyle="1" w:styleId="Heading4Char">
    <w:name w:val="Heading 4 Char"/>
    <w:basedOn w:val="DefaultParagraphFont"/>
    <w:link w:val="Heading4"/>
    <w:uiPriority w:val="9"/>
    <w:semiHidden/>
    <w:rsid w:val="009F291E"/>
    <w:rPr>
      <w:rFonts w:eastAsiaTheme="majorEastAsia" w:cstheme="majorBidi"/>
      <w:i/>
      <w:iCs/>
      <w:color w:val="365F91" w:themeColor="accent1" w:themeShade="BF"/>
      <w:lang w:val="es-ES"/>
    </w:rPr>
  </w:style>
  <w:style w:type="character" w:customStyle="1" w:styleId="Heading5Char">
    <w:name w:val="Heading 5 Char"/>
    <w:basedOn w:val="DefaultParagraphFont"/>
    <w:link w:val="Heading5"/>
    <w:uiPriority w:val="9"/>
    <w:semiHidden/>
    <w:rsid w:val="009F291E"/>
    <w:rPr>
      <w:rFonts w:eastAsiaTheme="majorEastAsia" w:cstheme="majorBidi"/>
      <w:color w:val="365F91" w:themeColor="accent1" w:themeShade="BF"/>
      <w:lang w:val="es-ES"/>
    </w:rPr>
  </w:style>
  <w:style w:type="character" w:customStyle="1" w:styleId="Heading6Char">
    <w:name w:val="Heading 6 Char"/>
    <w:basedOn w:val="DefaultParagraphFont"/>
    <w:link w:val="Heading6"/>
    <w:uiPriority w:val="9"/>
    <w:semiHidden/>
    <w:rsid w:val="009F291E"/>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9F291E"/>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9F291E"/>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9F291E"/>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EB40D6"/>
    <w:pPr>
      <w:spacing w:after="80" w:line="240" w:lineRule="auto"/>
      <w:contextualSpacing/>
      <w:jc w:val="center"/>
    </w:pPr>
    <w:rPr>
      <w:rFonts w:asciiTheme="majorHAnsi" w:eastAsiaTheme="majorEastAsia" w:hAnsiTheme="majorHAnsi" w:cstheme="majorBidi"/>
      <w:b/>
      <w:bCs/>
      <w:caps/>
      <w:spacing w:val="-10"/>
      <w:kern w:val="28"/>
      <w:sz w:val="28"/>
      <w:szCs w:val="52"/>
    </w:rPr>
  </w:style>
  <w:style w:type="character" w:customStyle="1" w:styleId="TitleChar">
    <w:name w:val="Title Char"/>
    <w:basedOn w:val="DefaultParagraphFont"/>
    <w:link w:val="Title"/>
    <w:uiPriority w:val="10"/>
    <w:rsid w:val="00EB40D6"/>
    <w:rPr>
      <w:rFonts w:asciiTheme="majorHAnsi" w:eastAsiaTheme="majorEastAsia" w:hAnsiTheme="majorHAnsi" w:cstheme="majorBidi"/>
      <w:b/>
      <w:bCs/>
      <w:caps/>
      <w:spacing w:val="-10"/>
      <w:kern w:val="28"/>
      <w:sz w:val="28"/>
      <w:szCs w:val="52"/>
      <w:lang w:val="es-ES"/>
    </w:rPr>
  </w:style>
  <w:style w:type="paragraph" w:styleId="Subtitle">
    <w:name w:val="Subtitle"/>
    <w:basedOn w:val="Normal"/>
    <w:next w:val="Normal"/>
    <w:link w:val="SubtitleChar"/>
    <w:uiPriority w:val="11"/>
    <w:qFormat/>
    <w:rsid w:val="009F29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1E"/>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9F29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91E"/>
    <w:rPr>
      <w:i/>
      <w:iCs/>
      <w:color w:val="404040" w:themeColor="text1" w:themeTint="BF"/>
      <w:lang w:val="es-ES"/>
    </w:rPr>
  </w:style>
  <w:style w:type="paragraph" w:styleId="ListParagraph">
    <w:name w:val="List Paragraph"/>
    <w:basedOn w:val="Normal"/>
    <w:uiPriority w:val="34"/>
    <w:qFormat/>
    <w:rsid w:val="009F291E"/>
    <w:pPr>
      <w:ind w:left="720"/>
      <w:contextualSpacing/>
    </w:pPr>
  </w:style>
  <w:style w:type="character" w:styleId="IntenseEmphasis">
    <w:name w:val="Intense Emphasis"/>
    <w:basedOn w:val="DefaultParagraphFont"/>
    <w:uiPriority w:val="21"/>
    <w:qFormat/>
    <w:rsid w:val="009F291E"/>
    <w:rPr>
      <w:i/>
      <w:iCs/>
      <w:color w:val="365F91" w:themeColor="accent1" w:themeShade="BF"/>
    </w:rPr>
  </w:style>
  <w:style w:type="paragraph" w:styleId="IntenseQuote">
    <w:name w:val="Intense Quote"/>
    <w:basedOn w:val="Normal"/>
    <w:next w:val="Normal"/>
    <w:link w:val="IntenseQuoteChar"/>
    <w:uiPriority w:val="30"/>
    <w:qFormat/>
    <w:rsid w:val="009F29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291E"/>
    <w:rPr>
      <w:i/>
      <w:iCs/>
      <w:color w:val="365F91" w:themeColor="accent1" w:themeShade="BF"/>
      <w:lang w:val="es-ES"/>
    </w:rPr>
  </w:style>
  <w:style w:type="character" w:styleId="IntenseReference">
    <w:name w:val="Intense Reference"/>
    <w:basedOn w:val="DefaultParagraphFont"/>
    <w:uiPriority w:val="32"/>
    <w:qFormat/>
    <w:rsid w:val="009F291E"/>
    <w:rPr>
      <w:b/>
      <w:bCs/>
      <w:smallCaps/>
      <w:color w:val="365F91" w:themeColor="accent1" w:themeShade="BF"/>
      <w:spacing w:val="5"/>
    </w:rPr>
  </w:style>
  <w:style w:type="paragraph" w:styleId="Header">
    <w:name w:val="header"/>
    <w:basedOn w:val="Normal"/>
    <w:link w:val="HeaderChar"/>
    <w:uiPriority w:val="99"/>
    <w:unhideWhenUsed/>
    <w:rsid w:val="009A33D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A33DE"/>
    <w:rPr>
      <w:lang w:val="es-ES"/>
    </w:rPr>
  </w:style>
  <w:style w:type="paragraph" w:styleId="Footer">
    <w:name w:val="footer"/>
    <w:basedOn w:val="Normal"/>
    <w:link w:val="FooterChar"/>
    <w:uiPriority w:val="99"/>
    <w:unhideWhenUsed/>
    <w:rsid w:val="009A33D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A33DE"/>
    <w:rPr>
      <w:lang w:val="es-ES"/>
    </w:rPr>
  </w:style>
  <w:style w:type="character" w:styleId="Hyperlink">
    <w:name w:val="Hyperlink"/>
    <w:basedOn w:val="DefaultParagraphFont"/>
    <w:uiPriority w:val="99"/>
    <w:unhideWhenUsed/>
    <w:rsid w:val="00493F7D"/>
    <w:rPr>
      <w:color w:val="0000FF" w:themeColor="hyperlink"/>
      <w:u w:val="single"/>
    </w:rPr>
  </w:style>
  <w:style w:type="character" w:styleId="UnresolvedMention">
    <w:name w:val="Unresolved Mention"/>
    <w:basedOn w:val="DefaultParagraphFont"/>
    <w:uiPriority w:val="99"/>
    <w:semiHidden/>
    <w:unhideWhenUsed/>
    <w:rsid w:val="00493F7D"/>
    <w:rPr>
      <w:color w:val="605E5C"/>
      <w:shd w:val="clear" w:color="auto" w:fill="E1DFDD"/>
    </w:rPr>
  </w:style>
  <w:style w:type="table" w:styleId="TableGridLight">
    <w:name w:val="Grid Table Light"/>
    <w:basedOn w:val="TableNormal"/>
    <w:uiPriority w:val="40"/>
    <w:rsid w:val="00F93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0472C"/>
    <w:rPr>
      <w:color w:val="800080" w:themeColor="followedHyperlink"/>
      <w:u w:val="single"/>
    </w:rPr>
  </w:style>
  <w:style w:type="paragraph" w:styleId="Revision">
    <w:name w:val="Revision"/>
    <w:hidden/>
    <w:uiPriority w:val="99"/>
    <w:semiHidden/>
    <w:rsid w:val="000538A9"/>
    <w:pPr>
      <w:spacing w:after="0" w:line="240" w:lineRule="auto"/>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Meetings/Docs/2024/Reports/2024_WG-ORT_SPA.pdf" TargetMode="External"/><Relationship Id="rId18" Type="http://schemas.openxmlformats.org/officeDocument/2006/relationships/hyperlink" Target="https://www.iccat.int/Documents/Recs/compendiopdf-s/2004-10-s.pdf" TargetMode="External"/><Relationship Id="rId26" Type="http://schemas.openxmlformats.org/officeDocument/2006/relationships/hyperlink" Target="https://www.iccat.int/Documents/Recs/compendiopdf-s/2018-06-s.pdf" TargetMode="External"/><Relationship Id="rId21" Type="http://schemas.openxmlformats.org/officeDocument/2006/relationships/hyperlink" Target="https://www.iccat.int/Documents/Recs/compendiopdf-s/2010-07-s.pdf" TargetMode="External"/><Relationship Id="rId34" Type="http://schemas.openxmlformats.org/officeDocument/2006/relationships/hyperlink" Target="https://www.iccat.int/Documents/Meetings/Docs/2025/Reports/2025_WG-ORT_SPA.pdf" TargetMode="External"/><Relationship Id="rId7" Type="http://schemas.openxmlformats.org/officeDocument/2006/relationships/settings" Target="settings.xml"/><Relationship Id="rId12" Type="http://schemas.openxmlformats.org/officeDocument/2006/relationships/hyperlink" Target="https://www.iccat.int/Documents/Meetings/Docs/2023/REPORTS/2023_WG-ORT_SPA.pdf" TargetMode="External"/><Relationship Id="rId17" Type="http://schemas.openxmlformats.org/officeDocument/2006/relationships/hyperlink" Target="https://www.iccat.int/Documents/Recs/compendiopdf-s/2019-05-s.pdf" TargetMode="External"/><Relationship Id="rId25" Type="http://schemas.openxmlformats.org/officeDocument/2006/relationships/hyperlink" Target="https://www.iccat.int/Documents/Recs/compendiopdf-s/2015-06-s.pdf" TargetMode="External"/><Relationship Id="rId33" Type="http://schemas.openxmlformats.org/officeDocument/2006/relationships/hyperlink" Target="https://www.iccat.int/com2024/SPA/PA4_807_SPA.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cat.int/Documents/Recs/compendiopdf-s/2018-05-s.pdf" TargetMode="External"/><Relationship Id="rId20" Type="http://schemas.openxmlformats.org/officeDocument/2006/relationships/hyperlink" Target="https://www.iccat.int/Documents/Recs/compendiopdf-s/2009-07-s.pdf" TargetMode="External"/><Relationship Id="rId29" Type="http://schemas.openxmlformats.org/officeDocument/2006/relationships/hyperlink" Target="https://www.iccat.int/Documents/Recs/compendiopdf-s/2023-10-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Meetings/Docs/2022/REPORTS/2022_WG_ORT_SPA.pdf" TargetMode="External"/><Relationship Id="rId24" Type="http://schemas.openxmlformats.org/officeDocument/2006/relationships/hyperlink" Target="https://www.iccat.int/Documents/Recs/compendiopdf-s/2011-15-s.pdf" TargetMode="External"/><Relationship Id="rId32" Type="http://schemas.openxmlformats.org/officeDocument/2006/relationships/hyperlink" Target="https://www.iccat.int/Documents/Recs/compendiopdf-s/2024-12-s.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cat.int/Documents/Recs/compendiopdf-s/2019-05-s.pdf" TargetMode="External"/><Relationship Id="rId23" Type="http://schemas.openxmlformats.org/officeDocument/2006/relationships/hyperlink" Target="https://www.iccat.int/Documents/Recs/compendiopdf-s/2011-08-s.pdf" TargetMode="External"/><Relationship Id="rId28" Type="http://schemas.openxmlformats.org/officeDocument/2006/relationships/hyperlink" Target="https://www.iccat.int/Documents/Recs/compendiopdf-s/2022-11-s.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cat.int/Documents/Recs/compendiopdf-s/2007-06-s.pdf" TargetMode="External"/><Relationship Id="rId31" Type="http://schemas.openxmlformats.org/officeDocument/2006/relationships/hyperlink" Target="https://www.iccat.int/Documents/Recs/compendiopdf-s/2023-12-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com2024/SPA/PA4_807_SPA.pdf" TargetMode="External"/><Relationship Id="rId22" Type="http://schemas.openxmlformats.org/officeDocument/2006/relationships/hyperlink" Target="https://www.iccat.int/Documents/Recs/compendiopdf-s/2010-08-s.pdf" TargetMode="External"/><Relationship Id="rId27" Type="http://schemas.openxmlformats.org/officeDocument/2006/relationships/hyperlink" Target="https://www.iccat.int/Documents/Recs/compendiopdf-s/2021-09-s.pdf" TargetMode="External"/><Relationship Id="rId30" Type="http://schemas.openxmlformats.org/officeDocument/2006/relationships/hyperlink" Target="https://www.iccat.int/Documents/Recs/compendiopdf-s/2023-11-s.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1E07A-9BB7-4F82-AE99-B5BC438780D8}">
  <ds:schemaRefs>
    <ds:schemaRef ds:uri="http://schemas.openxmlformats.org/officeDocument/2006/bibliography"/>
  </ds:schemaRefs>
</ds:datastoreItem>
</file>

<file path=customXml/itemProps2.xml><?xml version="1.0" encoding="utf-8"?>
<ds:datastoreItem xmlns:ds="http://schemas.openxmlformats.org/officeDocument/2006/customXml" ds:itemID="{850F842A-BF86-4388-969E-04E6F31C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DD845-A2E6-4974-9CEC-C027694BFB5C}">
  <ds:schemaRefs>
    <ds:schemaRef ds:uri="http://schemas.microsoft.com/sharepoint/v3/contenttype/forms"/>
  </ds:schemaRefs>
</ds:datastoreItem>
</file>

<file path=customXml/itemProps4.xml><?xml version="1.0" encoding="utf-8"?>
<ds:datastoreItem xmlns:ds="http://schemas.openxmlformats.org/officeDocument/2006/customXml" ds:itemID="{4D9ECE76-2CB0-4866-A269-5D471D740B7E}">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Pages>
  <Words>1461</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Palma</dc:creator>
  <cp:keywords/>
  <dc:description/>
  <cp:lastModifiedBy>Author</cp:lastModifiedBy>
  <cp:revision>331</cp:revision>
  <dcterms:created xsi:type="dcterms:W3CDTF">2025-11-04T18:06:00Z</dcterms:created>
  <dcterms:modified xsi:type="dcterms:W3CDTF">2025-11-13T09:30:00Z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