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1FF8" w14:textId="1A39BFE4" w:rsidR="00C8740C" w:rsidRPr="00256266" w:rsidRDefault="00C8740C" w:rsidP="00C8740C">
      <w:pPr>
        <w:spacing w:after="160" w:line="240" w:lineRule="auto"/>
        <w:jc w:val="right"/>
        <w:rPr>
          <w:rFonts w:eastAsia="Aptos" w:cs="Times New Roman"/>
          <w:b/>
          <w:bCs/>
          <w:lang w:val="en-US"/>
        </w:rPr>
      </w:pPr>
      <w:r w:rsidRPr="00256266">
        <w:rPr>
          <w:rFonts w:eastAsia="Aptos" w:cs="Times New Roman"/>
          <w:b/>
          <w:bCs/>
          <w:lang w:val="en-US"/>
        </w:rPr>
        <w:t>Original: English</w:t>
      </w:r>
    </w:p>
    <w:p w14:paraId="438A2B76" w14:textId="77777777" w:rsidR="00C8740C" w:rsidRPr="00256266" w:rsidRDefault="00C8740C" w:rsidP="00B91B1B">
      <w:pPr>
        <w:spacing w:after="0" w:line="240" w:lineRule="auto"/>
        <w:jc w:val="center"/>
        <w:rPr>
          <w:b/>
          <w:bCs/>
        </w:rPr>
      </w:pPr>
      <w:r w:rsidRPr="00256266">
        <w:rPr>
          <w:b/>
          <w:bCs/>
        </w:rPr>
        <w:t xml:space="preserve">Guidelines aimed at streamlining the shark and billfish check sheets, </w:t>
      </w:r>
    </w:p>
    <w:p w14:paraId="562339EF" w14:textId="390D051E" w:rsidR="00EB40D6" w:rsidRPr="00256266" w:rsidRDefault="00C8740C" w:rsidP="00B91B1B">
      <w:pPr>
        <w:spacing w:after="0" w:line="240" w:lineRule="auto"/>
        <w:jc w:val="center"/>
        <w:rPr>
          <w:b/>
          <w:bCs/>
        </w:rPr>
      </w:pPr>
      <w:r w:rsidRPr="00256266">
        <w:rPr>
          <w:b/>
          <w:bCs/>
        </w:rPr>
        <w:t>based on those reported in 2025</w:t>
      </w:r>
    </w:p>
    <w:p w14:paraId="2E764ECD" w14:textId="77777777" w:rsidR="00B41F12" w:rsidRPr="00256266" w:rsidRDefault="00B41F12" w:rsidP="00B91B1B">
      <w:pPr>
        <w:spacing w:after="0" w:line="240" w:lineRule="auto"/>
        <w:jc w:val="center"/>
        <w:rPr>
          <w:b/>
          <w:bCs/>
        </w:rPr>
      </w:pPr>
    </w:p>
    <w:p w14:paraId="5FC4034E" w14:textId="7915627C" w:rsidR="00EB40D6" w:rsidRPr="00256266" w:rsidRDefault="00C8740C" w:rsidP="00B91B1B">
      <w:pPr>
        <w:spacing w:after="0" w:line="240" w:lineRule="auto"/>
        <w:jc w:val="center"/>
        <w:rPr>
          <w:i/>
          <w:iCs/>
        </w:rPr>
      </w:pPr>
      <w:r w:rsidRPr="00256266">
        <w:rPr>
          <w:i/>
          <w:iCs/>
        </w:rPr>
        <w:t xml:space="preserve">(submitted by the </w:t>
      </w:r>
      <w:r w:rsidR="00CC566D" w:rsidRPr="00256266">
        <w:rPr>
          <w:i/>
          <w:iCs/>
        </w:rPr>
        <w:t>ICCAT Secretariat</w:t>
      </w:r>
      <w:r w:rsidR="00860B94" w:rsidRPr="00256266">
        <w:rPr>
          <w:i/>
          <w:iCs/>
        </w:rPr>
        <w:t xml:space="preserve"> </w:t>
      </w:r>
      <w:r w:rsidRPr="00256266">
        <w:rPr>
          <w:i/>
          <w:iCs/>
        </w:rPr>
        <w:t>and</w:t>
      </w:r>
      <w:r w:rsidR="00860B94" w:rsidRPr="00256266">
        <w:rPr>
          <w:i/>
          <w:iCs/>
        </w:rPr>
        <w:t xml:space="preserve"> WG-ORT Chair</w:t>
      </w:r>
      <w:r w:rsidRPr="00256266">
        <w:rPr>
          <w:i/>
          <w:iCs/>
        </w:rPr>
        <w:t>)</w:t>
      </w:r>
    </w:p>
    <w:p w14:paraId="2007EE08" w14:textId="77777777" w:rsidR="00C8740C" w:rsidRPr="00256266" w:rsidRDefault="00C8740C" w:rsidP="00B91B1B">
      <w:pPr>
        <w:spacing w:after="0" w:line="240" w:lineRule="auto"/>
        <w:jc w:val="center"/>
        <w:rPr>
          <w:i/>
          <w:iCs/>
        </w:rPr>
      </w:pPr>
    </w:p>
    <w:p w14:paraId="71AF75DE" w14:textId="5E6279BB" w:rsidR="0093127D" w:rsidRPr="00256266" w:rsidRDefault="00CF28D2" w:rsidP="00B91B1B">
      <w:pPr>
        <w:pStyle w:val="Heading1"/>
        <w:spacing w:before="0" w:after="0" w:line="240" w:lineRule="auto"/>
        <w:rPr>
          <w:sz w:val="20"/>
          <w:szCs w:val="20"/>
        </w:rPr>
      </w:pPr>
      <w:r w:rsidRPr="00256266">
        <w:rPr>
          <w:sz w:val="20"/>
          <w:szCs w:val="20"/>
        </w:rPr>
        <w:t>Background</w:t>
      </w:r>
    </w:p>
    <w:p w14:paraId="158067A4" w14:textId="77777777" w:rsidR="00C8740C" w:rsidRPr="00256266" w:rsidRDefault="00C8740C" w:rsidP="00B91B1B">
      <w:pPr>
        <w:spacing w:after="0" w:line="240" w:lineRule="auto"/>
      </w:pPr>
    </w:p>
    <w:p w14:paraId="119AC458" w14:textId="00BEE6B2" w:rsidR="00E15EB3" w:rsidRPr="00256266" w:rsidRDefault="00493F7D" w:rsidP="00B91B1B">
      <w:pPr>
        <w:spacing w:after="0" w:line="240" w:lineRule="auto"/>
      </w:pPr>
      <w:r w:rsidRPr="00256266">
        <w:t>In 2022, the Online Reporting Technology</w:t>
      </w:r>
      <w:r w:rsidR="00AD47CD" w:rsidRPr="00256266">
        <w:t xml:space="preserve"> Wo</w:t>
      </w:r>
      <w:r w:rsidR="003C2FFC" w:rsidRPr="00256266">
        <w:t>rking Group</w:t>
      </w:r>
      <w:r w:rsidRPr="00256266">
        <w:t xml:space="preserve"> (WG-ORT) added to Phase 4 of the IOMS workplan, the </w:t>
      </w:r>
      <w:r w:rsidR="00D55DA3" w:rsidRPr="00256266">
        <w:t>S</w:t>
      </w:r>
      <w:r w:rsidRPr="00256266">
        <w:t xml:space="preserve">harks and </w:t>
      </w:r>
      <w:r w:rsidR="00D55DA3" w:rsidRPr="00256266">
        <w:t>B</w:t>
      </w:r>
      <w:r w:rsidRPr="00256266">
        <w:t>illfish Check Sheets module</w:t>
      </w:r>
      <w:r w:rsidR="00D55DA3" w:rsidRPr="00256266">
        <w:t xml:space="preserve"> (</w:t>
      </w:r>
      <w:r w:rsidR="002C2FA0" w:rsidRPr="00256266">
        <w:t>SBCS</w:t>
      </w:r>
      <w:r w:rsidR="00D55DA3" w:rsidRPr="00256266">
        <w:t>)</w:t>
      </w:r>
      <w:r w:rsidRPr="00256266">
        <w:t>, with the full support of the Compliance Committee (COC) Chair</w:t>
      </w:r>
      <w:r w:rsidR="00D55DA3" w:rsidRPr="00256266">
        <w:t xml:space="preserve"> (</w:t>
      </w:r>
      <w:r w:rsidR="00C85812" w:rsidRPr="00256266">
        <w:t xml:space="preserve">as reflected in the </w:t>
      </w:r>
      <w:hyperlink r:id="rId11" w:history="1">
        <w:r w:rsidR="00C85812" w:rsidRPr="00256266">
          <w:rPr>
            <w:rStyle w:val="Hyperlink"/>
            <w:u w:val="none"/>
          </w:rPr>
          <w:t>Report of the Meeting of the Online Reporting Technology Work</w:t>
        </w:r>
        <w:r w:rsidR="00885173" w:rsidRPr="00256266">
          <w:rPr>
            <w:rStyle w:val="Hyperlink"/>
            <w:u w:val="none"/>
          </w:rPr>
          <w:t xml:space="preserve"> Group</w:t>
        </w:r>
      </w:hyperlink>
      <w:r w:rsidR="00885173" w:rsidRPr="00256266">
        <w:t>, held in 2022)</w:t>
      </w:r>
      <w:r w:rsidRPr="00256266">
        <w:t>. In 202</w:t>
      </w:r>
      <w:r w:rsidR="004F3EB8" w:rsidRPr="00256266">
        <w:t xml:space="preserve">3, the WG-ORT requested the ICCAT Secretariat to study the feasibility of reusing parts of the source code of the IOMS Annual Report </w:t>
      </w:r>
      <w:r w:rsidR="00D55DA3" w:rsidRPr="00256266">
        <w:t xml:space="preserve">(ANRP) </w:t>
      </w:r>
      <w:r w:rsidR="004F3EB8" w:rsidRPr="00256266">
        <w:t xml:space="preserve">module to streamline the development of the IOMS check sheets module </w:t>
      </w:r>
      <w:r w:rsidR="00B05847" w:rsidRPr="00256266">
        <w:t xml:space="preserve">(as reflected in the </w:t>
      </w:r>
      <w:hyperlink r:id="rId12" w:history="1">
        <w:r w:rsidR="00B05847" w:rsidRPr="00256266">
          <w:rPr>
            <w:rStyle w:val="Hyperlink"/>
            <w:u w:val="none"/>
          </w:rPr>
          <w:t>Report of the Meeting of the Online Reporting Technology Work Group</w:t>
        </w:r>
      </w:hyperlink>
      <w:r w:rsidR="00B05847" w:rsidRPr="00256266">
        <w:t xml:space="preserve">, held in 2023) </w:t>
      </w:r>
      <w:r w:rsidR="004F3EB8" w:rsidRPr="00256266">
        <w:t xml:space="preserve">due to several similarities of both </w:t>
      </w:r>
      <w:r w:rsidR="00D55DA3" w:rsidRPr="00256266">
        <w:t xml:space="preserve">data </w:t>
      </w:r>
      <w:r w:rsidR="004F3EB8" w:rsidRPr="00256266">
        <w:t>provisions.</w:t>
      </w:r>
      <w:r w:rsidR="00EF2720" w:rsidRPr="00256266">
        <w:t xml:space="preserve"> </w:t>
      </w:r>
      <w:r w:rsidR="004F3EB8" w:rsidRPr="00256266">
        <w:t>The study presented by the ICCAT Secretariat in 2024 (</w:t>
      </w:r>
      <w:r w:rsidR="00D55DA3" w:rsidRPr="00256266">
        <w:t xml:space="preserve">details in section 8 of </w:t>
      </w:r>
      <w:r w:rsidR="003C3871" w:rsidRPr="00256266">
        <w:t xml:space="preserve">the </w:t>
      </w:r>
      <w:hyperlink r:id="rId13" w:history="1">
        <w:r w:rsidR="003C3871" w:rsidRPr="00256266">
          <w:rPr>
            <w:rStyle w:val="Hyperlink"/>
            <w:u w:val="none"/>
          </w:rPr>
          <w:t>Report of the Meeting of the Online Reporting Technology Work Group</w:t>
        </w:r>
      </w:hyperlink>
      <w:r w:rsidR="003C3871" w:rsidRPr="00256266">
        <w:t>, held in 202</w:t>
      </w:r>
      <w:r w:rsidR="00535F9F" w:rsidRPr="00256266">
        <w:t>4</w:t>
      </w:r>
      <w:r w:rsidR="004F3EB8" w:rsidRPr="00256266">
        <w:t xml:space="preserve">) </w:t>
      </w:r>
      <w:r w:rsidR="00D55DA3" w:rsidRPr="00256266">
        <w:t>compared the two templates (</w:t>
      </w:r>
      <w:r w:rsidR="00E1332A" w:rsidRPr="00256266">
        <w:t xml:space="preserve">ANRP </w:t>
      </w:r>
      <w:r w:rsidR="00D55DA3" w:rsidRPr="00256266">
        <w:t xml:space="preserve">versus </w:t>
      </w:r>
      <w:r w:rsidR="002C2FA0" w:rsidRPr="00256266">
        <w:t>SBCS</w:t>
      </w:r>
      <w:r w:rsidR="00D55DA3" w:rsidRPr="00256266">
        <w:t>)</w:t>
      </w:r>
      <w:r w:rsidR="00E1332A" w:rsidRPr="00256266">
        <w:t xml:space="preserve"> and noted that despite some similarities in </w:t>
      </w:r>
      <w:r w:rsidR="00D55DA3" w:rsidRPr="00256266">
        <w:t>structures</w:t>
      </w:r>
      <w:r w:rsidR="00E1332A" w:rsidRPr="00256266">
        <w:t xml:space="preserve"> and </w:t>
      </w:r>
      <w:r w:rsidR="00D55DA3" w:rsidRPr="00256266">
        <w:t>characteristics (large, complex templates with long, heterogeneous responses)</w:t>
      </w:r>
      <w:r w:rsidR="00E1332A" w:rsidRPr="00256266">
        <w:t xml:space="preserve">, the ANRP </w:t>
      </w:r>
      <w:r w:rsidR="00D55DA3" w:rsidRPr="00256266">
        <w:t>template</w:t>
      </w:r>
      <w:r w:rsidR="00E1332A" w:rsidRPr="00256266">
        <w:t xml:space="preserve"> </w:t>
      </w:r>
      <w:r w:rsidR="00D55DA3" w:rsidRPr="00256266">
        <w:t xml:space="preserve">suffered a normalization process over </w:t>
      </w:r>
      <w:r w:rsidR="00E1332A" w:rsidRPr="00256266">
        <w:t xml:space="preserve">time </w:t>
      </w:r>
      <w:r w:rsidR="00D55DA3" w:rsidRPr="00256266">
        <w:t xml:space="preserve">that simplified both the structure and the complexity of the responses. </w:t>
      </w:r>
      <w:r w:rsidR="00EF2720" w:rsidRPr="00256266">
        <w:t xml:space="preserve">Due to the </w:t>
      </w:r>
      <w:r w:rsidR="00CF28D2" w:rsidRPr="00256266">
        <w:t xml:space="preserve">sufficient </w:t>
      </w:r>
      <w:r w:rsidR="00EF2720" w:rsidRPr="00256266">
        <w:t xml:space="preserve">lack of </w:t>
      </w:r>
      <w:r w:rsidR="00640FE0" w:rsidRPr="00256266">
        <w:t xml:space="preserve">standardisation </w:t>
      </w:r>
      <w:r w:rsidR="00EF2720" w:rsidRPr="00256266">
        <w:t xml:space="preserve">and simplification (which can solve </w:t>
      </w:r>
      <w:r w:rsidR="00A747BF" w:rsidRPr="00256266">
        <w:t xml:space="preserve">issues like </w:t>
      </w:r>
      <w:r w:rsidR="00EF2720" w:rsidRPr="00256266">
        <w:t xml:space="preserve">redundancy, </w:t>
      </w:r>
      <w:r w:rsidR="00A747BF" w:rsidRPr="00256266">
        <w:t xml:space="preserve">response overlapping, poor </w:t>
      </w:r>
      <w:r w:rsidR="00EF2720" w:rsidRPr="00256266">
        <w:t xml:space="preserve">objectivity) of both </w:t>
      </w:r>
      <w:r w:rsidR="002C2FA0" w:rsidRPr="00256266">
        <w:t>SBCS</w:t>
      </w:r>
      <w:r w:rsidR="00E1332A" w:rsidRPr="00256266">
        <w:t xml:space="preserve"> </w:t>
      </w:r>
      <w:r w:rsidR="00EF2720" w:rsidRPr="00256266">
        <w:t xml:space="preserve">templates, only a </w:t>
      </w:r>
      <w:r w:rsidR="00E1332A" w:rsidRPr="00256266">
        <w:t xml:space="preserve">small fraction of the </w:t>
      </w:r>
      <w:r w:rsidR="00EF2720" w:rsidRPr="00256266">
        <w:t xml:space="preserve">ANRP </w:t>
      </w:r>
      <w:r w:rsidR="00E1332A" w:rsidRPr="00256266">
        <w:t xml:space="preserve">source code can be reused </w:t>
      </w:r>
      <w:r w:rsidR="00EF2720" w:rsidRPr="00256266">
        <w:t xml:space="preserve">in the </w:t>
      </w:r>
      <w:r w:rsidR="002C2FA0" w:rsidRPr="00256266">
        <w:t>SBCS</w:t>
      </w:r>
      <w:r w:rsidR="00E1332A" w:rsidRPr="00256266">
        <w:t xml:space="preserve"> module</w:t>
      </w:r>
      <w:r w:rsidR="007B2484" w:rsidRPr="00256266">
        <w:t xml:space="preserve"> of the IOMS</w:t>
      </w:r>
      <w:r w:rsidR="00EF2720" w:rsidRPr="00256266">
        <w:t>.</w:t>
      </w:r>
    </w:p>
    <w:p w14:paraId="0B32A465" w14:textId="77777777" w:rsidR="00C8740C" w:rsidRPr="00256266" w:rsidRDefault="00C8740C" w:rsidP="00B91B1B">
      <w:pPr>
        <w:spacing w:after="0" w:line="240" w:lineRule="auto"/>
      </w:pPr>
    </w:p>
    <w:p w14:paraId="69EF8657" w14:textId="50452487" w:rsidR="00A362E4" w:rsidRPr="00256266" w:rsidRDefault="00D16E81" w:rsidP="00B91B1B">
      <w:pPr>
        <w:spacing w:after="0" w:line="240" w:lineRule="auto"/>
      </w:pPr>
      <w:r w:rsidRPr="00256266">
        <w:t>Acknowledging that</w:t>
      </w:r>
      <w:r w:rsidR="0023754E" w:rsidRPr="00256266">
        <w:t xml:space="preserve">, </w:t>
      </w:r>
      <w:r w:rsidRPr="00256266">
        <w:t>only</w:t>
      </w:r>
      <w:r w:rsidR="0087661A" w:rsidRPr="00256266">
        <w:t xml:space="preserve"> Panel 4</w:t>
      </w:r>
      <w:r w:rsidR="005907DC" w:rsidRPr="00256266">
        <w:t xml:space="preserve"> </w:t>
      </w:r>
      <w:r w:rsidRPr="00256266">
        <w:t xml:space="preserve">has the </w:t>
      </w:r>
      <w:r w:rsidR="00EB3A9E" w:rsidRPr="00256266">
        <w:t>mandate</w:t>
      </w:r>
      <w:r w:rsidRPr="00256266">
        <w:t xml:space="preserve"> </w:t>
      </w:r>
      <w:r w:rsidR="00EB3A9E" w:rsidRPr="00256266">
        <w:t xml:space="preserve">to </w:t>
      </w:r>
      <w:r w:rsidR="004F3FBE" w:rsidRPr="00256266">
        <w:t xml:space="preserve">change </w:t>
      </w:r>
      <w:r w:rsidR="00EB3A9E" w:rsidRPr="00256266">
        <w:t>the sharks</w:t>
      </w:r>
      <w:r w:rsidR="005726BF" w:rsidRPr="00256266">
        <w:t>/</w:t>
      </w:r>
      <w:r w:rsidR="00EB3A9E" w:rsidRPr="00256266">
        <w:t xml:space="preserve">billfish </w:t>
      </w:r>
      <w:r w:rsidR="004F3FBE" w:rsidRPr="00256266">
        <w:t>c</w:t>
      </w:r>
      <w:r w:rsidR="00EB3A9E" w:rsidRPr="00256266">
        <w:t xml:space="preserve">heck </w:t>
      </w:r>
      <w:r w:rsidR="004F3FBE" w:rsidRPr="00256266">
        <w:t>s</w:t>
      </w:r>
      <w:r w:rsidR="00EB3A9E" w:rsidRPr="00256266">
        <w:t xml:space="preserve">heets </w:t>
      </w:r>
      <w:r w:rsidR="004B4F53" w:rsidRPr="00256266">
        <w:t xml:space="preserve">and associated measures, </w:t>
      </w:r>
      <w:r w:rsidR="005907DC" w:rsidRPr="00256266">
        <w:t>it was agreed that</w:t>
      </w:r>
      <w:r w:rsidR="004B4F53" w:rsidRPr="00256266">
        <w:t xml:space="preserve">, </w:t>
      </w:r>
      <w:r w:rsidR="00B12CB8" w:rsidRPr="00256266">
        <w:t>both the</w:t>
      </w:r>
      <w:r w:rsidR="00E91D26" w:rsidRPr="00256266">
        <w:t xml:space="preserve"> Chair of Panel 4 </w:t>
      </w:r>
      <w:r w:rsidR="00EF2720" w:rsidRPr="00256266">
        <w:t>and the COC Chair be involved in the simplification and standardisation process of the sharks/billfish check sheets</w:t>
      </w:r>
      <w:r w:rsidR="00C44222" w:rsidRPr="00256266">
        <w:t>, with the support of the WG-ORT</w:t>
      </w:r>
      <w:r w:rsidR="00EF2720" w:rsidRPr="00256266">
        <w:t>.</w:t>
      </w:r>
      <w:r w:rsidR="00E15EB3" w:rsidRPr="00256266">
        <w:t xml:space="preserve"> </w:t>
      </w:r>
      <w:r w:rsidR="00C44222" w:rsidRPr="00256266">
        <w:t xml:space="preserve">The </w:t>
      </w:r>
      <w:r w:rsidR="00AF1F8D" w:rsidRPr="00256266">
        <w:t xml:space="preserve">outcome of the </w:t>
      </w:r>
      <w:r w:rsidR="00C44222" w:rsidRPr="00256266">
        <w:t xml:space="preserve">first </w:t>
      </w:r>
      <w:r w:rsidR="00F74BAE" w:rsidRPr="00256266">
        <w:t xml:space="preserve">joint work </w:t>
      </w:r>
      <w:r w:rsidR="00C85D1D" w:rsidRPr="00256266">
        <w:t xml:space="preserve">towards the </w:t>
      </w:r>
      <w:r w:rsidR="00AF1F8D" w:rsidRPr="00256266">
        <w:t xml:space="preserve">harmonization </w:t>
      </w:r>
      <w:r w:rsidR="00D12764" w:rsidRPr="00256266">
        <w:t xml:space="preserve">and simplification of </w:t>
      </w:r>
      <w:r w:rsidR="002C2FA0" w:rsidRPr="00256266">
        <w:t xml:space="preserve">SBCS </w:t>
      </w:r>
      <w:r w:rsidR="00C85D1D" w:rsidRPr="00256266">
        <w:t>template</w:t>
      </w:r>
      <w:r w:rsidR="00D12764" w:rsidRPr="00256266">
        <w:t>s</w:t>
      </w:r>
      <w:r w:rsidR="00C85D1D" w:rsidRPr="00256266">
        <w:t xml:space="preserve"> was </w:t>
      </w:r>
      <w:r w:rsidR="00D12764" w:rsidRPr="00256266">
        <w:t xml:space="preserve">provided in </w:t>
      </w:r>
      <w:r w:rsidR="00C85D1D" w:rsidRPr="00256266">
        <w:t xml:space="preserve">document </w:t>
      </w:r>
      <w:hyperlink r:id="rId14" w:history="1">
        <w:r w:rsidR="00E15EB3" w:rsidRPr="00256266">
          <w:rPr>
            <w:rStyle w:val="Hyperlink"/>
            <w:u w:val="none"/>
          </w:rPr>
          <w:t>PA4_807</w:t>
        </w:r>
        <w:r w:rsidR="00E15EB3" w:rsidRPr="00256266">
          <w:rPr>
            <w:rStyle w:val="Hyperlink"/>
            <w:u w:val="none"/>
            <w:lang w:val="en-US"/>
          </w:rPr>
          <w:t>/202</w:t>
        </w:r>
        <w:r w:rsidR="00A16A13" w:rsidRPr="00256266">
          <w:rPr>
            <w:rStyle w:val="Hyperlink"/>
            <w:u w:val="none"/>
            <w:lang w:val="en-US"/>
          </w:rPr>
          <w:t>4</w:t>
        </w:r>
      </w:hyperlink>
      <w:r w:rsidR="00C93F26" w:rsidRPr="00256266">
        <w:t xml:space="preserve">, </w:t>
      </w:r>
      <w:r w:rsidR="00E81864" w:rsidRPr="00256266">
        <w:t xml:space="preserve">presented in 2024 by the WG-ORT Chair. </w:t>
      </w:r>
      <w:r w:rsidR="00BD7D23" w:rsidRPr="00256266">
        <w:t xml:space="preserve">This study reviewed the </w:t>
      </w:r>
      <w:r w:rsidR="00E9694E" w:rsidRPr="00256266">
        <w:t>existing shark measures</w:t>
      </w:r>
      <w:r w:rsidR="00376436" w:rsidRPr="00256266">
        <w:t xml:space="preserve">, </w:t>
      </w:r>
      <w:r w:rsidR="00D5002F" w:rsidRPr="00256266">
        <w:t xml:space="preserve">identified </w:t>
      </w:r>
      <w:r w:rsidR="00376436" w:rsidRPr="00256266">
        <w:t xml:space="preserve">potential </w:t>
      </w:r>
      <w:r w:rsidR="00E9694E" w:rsidRPr="00256266">
        <w:t>redundan</w:t>
      </w:r>
      <w:r w:rsidR="00123538" w:rsidRPr="00256266">
        <w:t>cies</w:t>
      </w:r>
      <w:r w:rsidR="00376436" w:rsidRPr="00256266">
        <w:t xml:space="preserve">, and provided </w:t>
      </w:r>
      <w:r w:rsidR="00791535" w:rsidRPr="00256266">
        <w:t xml:space="preserve">first </w:t>
      </w:r>
      <w:r w:rsidR="000E459B" w:rsidRPr="00256266">
        <w:t xml:space="preserve">guidance on how to streamline certain reporting requirements and thereby simplify the </w:t>
      </w:r>
      <w:r w:rsidR="001D0128" w:rsidRPr="00256266">
        <w:t xml:space="preserve">check sheets </w:t>
      </w:r>
      <w:r w:rsidR="000E459B" w:rsidRPr="00256266">
        <w:t>as a result</w:t>
      </w:r>
      <w:r w:rsidR="00791535" w:rsidRPr="00256266">
        <w:t xml:space="preserve">. </w:t>
      </w:r>
      <w:r w:rsidR="00F43A7B" w:rsidRPr="00256266">
        <w:t xml:space="preserve">At the </w:t>
      </w:r>
      <w:r w:rsidR="00791535" w:rsidRPr="00256266">
        <w:t>2025</w:t>
      </w:r>
      <w:r w:rsidR="00C2233A" w:rsidRPr="00256266">
        <w:t xml:space="preserve"> </w:t>
      </w:r>
      <w:r w:rsidR="00B13ADA" w:rsidRPr="00256266">
        <w:t>Meeting of the</w:t>
      </w:r>
      <w:r w:rsidR="00F43A7B" w:rsidRPr="00256266">
        <w:t xml:space="preserve"> WG-ORT </w:t>
      </w:r>
      <w:r w:rsidR="00905EDD" w:rsidRPr="00256266">
        <w:t>(</w:t>
      </w:r>
      <w:r w:rsidR="0067215E" w:rsidRPr="00256266">
        <w:t xml:space="preserve">as reflected in the </w:t>
      </w:r>
      <w:bookmarkStart w:id="0" w:name="_Hlk213758223"/>
      <w:r w:rsidR="00D37216" w:rsidRPr="00256266">
        <w:fldChar w:fldCharType="begin"/>
      </w:r>
      <w:r w:rsidR="00910762" w:rsidRPr="00256266">
        <w:instrText>HYPERLINK "https://www.iccat.int/Documents/Meetings/Docs/2025/Reports/2025_WG-ORT_ENG.pdf"</w:instrText>
      </w:r>
      <w:r w:rsidR="00D37216" w:rsidRPr="00256266">
        <w:fldChar w:fldCharType="separate"/>
      </w:r>
      <w:r w:rsidR="00D37216" w:rsidRPr="00256266">
        <w:rPr>
          <w:rStyle w:val="Hyperlink"/>
          <w:u w:val="none"/>
        </w:rPr>
        <w:t>Report of the Meeting of the Online Reporting Technology Work Group</w:t>
      </w:r>
      <w:r w:rsidR="00D37216" w:rsidRPr="00256266">
        <w:fldChar w:fldCharType="end"/>
      </w:r>
      <w:r w:rsidR="00D37216" w:rsidRPr="00256266">
        <w:t>, held in 202</w:t>
      </w:r>
      <w:r w:rsidR="00C2233A" w:rsidRPr="00256266">
        <w:t>5</w:t>
      </w:r>
      <w:bookmarkEnd w:id="0"/>
      <w:r w:rsidR="00905EDD" w:rsidRPr="00256266">
        <w:t>)</w:t>
      </w:r>
      <w:r w:rsidR="00791535" w:rsidRPr="00256266">
        <w:t xml:space="preserve">, </w:t>
      </w:r>
      <w:r w:rsidR="00F43A7B" w:rsidRPr="00256266">
        <w:t xml:space="preserve">the ICCAT Secretariat further advanced </w:t>
      </w:r>
      <w:r w:rsidR="002A1907" w:rsidRPr="00256266">
        <w:t xml:space="preserve">this study by analysing </w:t>
      </w:r>
      <w:r w:rsidR="0091389F" w:rsidRPr="00256266">
        <w:t xml:space="preserve">all the 2024 </w:t>
      </w:r>
      <w:r w:rsidR="002C2FA0" w:rsidRPr="00256266">
        <w:t xml:space="preserve">SBCS </w:t>
      </w:r>
      <w:r w:rsidR="00A362E4" w:rsidRPr="00256266">
        <w:t xml:space="preserve">reported by </w:t>
      </w:r>
      <w:r w:rsidR="00494494" w:rsidRPr="00256266">
        <w:t xml:space="preserve">all ICCAT CPCs and </w:t>
      </w:r>
      <w:r w:rsidR="002A1907" w:rsidRPr="00256266">
        <w:t xml:space="preserve">providing </w:t>
      </w:r>
      <w:r w:rsidR="00997E6D" w:rsidRPr="00256266">
        <w:t xml:space="preserve">potential </w:t>
      </w:r>
      <w:r w:rsidR="00155E91" w:rsidRPr="00256266">
        <w:t>paths</w:t>
      </w:r>
      <w:r w:rsidR="00997E6D" w:rsidRPr="00256266">
        <w:t xml:space="preserve"> to move forward</w:t>
      </w:r>
      <w:r w:rsidR="0067215E" w:rsidRPr="00256266">
        <w:t>s</w:t>
      </w:r>
      <w:r w:rsidR="00997E6D" w:rsidRPr="00256266">
        <w:t xml:space="preserve"> on the </w:t>
      </w:r>
      <w:r w:rsidR="00B82801" w:rsidRPr="00256266">
        <w:t xml:space="preserve">SBCS </w:t>
      </w:r>
      <w:r w:rsidR="00BF725D" w:rsidRPr="00256266">
        <w:t>harmonization and simplification process</w:t>
      </w:r>
      <w:r w:rsidR="00C64D18" w:rsidRPr="00256266">
        <w:t>.</w:t>
      </w:r>
      <w:r w:rsidR="00CC4673" w:rsidRPr="00256266">
        <w:t xml:space="preserve"> </w:t>
      </w:r>
    </w:p>
    <w:p w14:paraId="1EB6D1B6" w14:textId="77777777" w:rsidR="00C8740C" w:rsidRPr="00256266" w:rsidRDefault="00C8740C" w:rsidP="00B91B1B">
      <w:pPr>
        <w:spacing w:after="0" w:line="240" w:lineRule="auto"/>
      </w:pPr>
    </w:p>
    <w:p w14:paraId="4994444F" w14:textId="38078DC9" w:rsidR="00A362E4" w:rsidRPr="00256266" w:rsidRDefault="00A362E4" w:rsidP="00B91B1B">
      <w:pPr>
        <w:pStyle w:val="Heading1"/>
        <w:spacing w:before="0" w:after="0" w:line="240" w:lineRule="auto"/>
        <w:rPr>
          <w:sz w:val="20"/>
          <w:szCs w:val="20"/>
        </w:rPr>
      </w:pPr>
      <w:r w:rsidRPr="00256266">
        <w:rPr>
          <w:sz w:val="20"/>
          <w:szCs w:val="20"/>
        </w:rPr>
        <w:t>Objectives</w:t>
      </w:r>
    </w:p>
    <w:p w14:paraId="6E30D2F9" w14:textId="77777777" w:rsidR="00C8740C" w:rsidRPr="00256266" w:rsidRDefault="00C8740C" w:rsidP="00B91B1B">
      <w:pPr>
        <w:spacing w:after="0" w:line="240" w:lineRule="auto"/>
      </w:pPr>
    </w:p>
    <w:p w14:paraId="10EF76FD" w14:textId="3C1D56EC" w:rsidR="00CC4673" w:rsidRPr="00256266" w:rsidRDefault="000B016C" w:rsidP="00B91B1B">
      <w:pPr>
        <w:spacing w:after="0" w:line="240" w:lineRule="auto"/>
      </w:pPr>
      <w:r w:rsidRPr="00256266">
        <w:t>T</w:t>
      </w:r>
      <w:r w:rsidR="00047383" w:rsidRPr="00256266">
        <w:t>his document</w:t>
      </w:r>
      <w:r w:rsidR="00A362E4" w:rsidRPr="00256266">
        <w:t xml:space="preserve"> aims to provide </w:t>
      </w:r>
      <w:r w:rsidR="003D2831" w:rsidRPr="00256266">
        <w:t xml:space="preserve">the </w:t>
      </w:r>
      <w:r w:rsidR="000716EA" w:rsidRPr="00256266">
        <w:t xml:space="preserve">main </w:t>
      </w:r>
      <w:r w:rsidR="00A362E4" w:rsidRPr="00256266">
        <w:t>guidelines</w:t>
      </w:r>
      <w:r w:rsidR="004A3BDA" w:rsidRPr="00256266">
        <w:t xml:space="preserve"> </w:t>
      </w:r>
      <w:r w:rsidR="003D2831" w:rsidRPr="00256266">
        <w:t xml:space="preserve">required to </w:t>
      </w:r>
      <w:r w:rsidR="00380303" w:rsidRPr="00256266">
        <w:t xml:space="preserve">harmonise </w:t>
      </w:r>
      <w:r w:rsidR="000716EA" w:rsidRPr="00256266">
        <w:t xml:space="preserve">and simplify </w:t>
      </w:r>
      <w:r w:rsidR="00380303" w:rsidRPr="00256266">
        <w:t xml:space="preserve">the </w:t>
      </w:r>
      <w:r w:rsidR="002C2FA0" w:rsidRPr="00256266">
        <w:t xml:space="preserve">SBCS </w:t>
      </w:r>
      <w:r w:rsidR="00380303" w:rsidRPr="00256266">
        <w:t>templ</w:t>
      </w:r>
      <w:r w:rsidR="000716EA" w:rsidRPr="00256266">
        <w:t xml:space="preserve">ates </w:t>
      </w:r>
      <w:r w:rsidR="00CC4673" w:rsidRPr="00256266">
        <w:t xml:space="preserve">foreseeing their </w:t>
      </w:r>
      <w:r w:rsidR="005031EB" w:rsidRPr="00256266">
        <w:t xml:space="preserve">integration into </w:t>
      </w:r>
      <w:r w:rsidR="00CC4673" w:rsidRPr="00256266">
        <w:t>the IOMS.</w:t>
      </w:r>
      <w:r w:rsidR="00D53305" w:rsidRPr="00256266">
        <w:t xml:space="preserve"> </w:t>
      </w:r>
      <w:r w:rsidR="00DC5EAD" w:rsidRPr="00256266">
        <w:t xml:space="preserve">The WG-ORT </w:t>
      </w:r>
      <w:r w:rsidR="00D53305" w:rsidRPr="00256266">
        <w:t>consider</w:t>
      </w:r>
      <w:r w:rsidR="00065217" w:rsidRPr="00256266">
        <w:t xml:space="preserve">s this </w:t>
      </w:r>
      <w:r w:rsidR="00A04536" w:rsidRPr="00256266">
        <w:t xml:space="preserve">task </w:t>
      </w:r>
      <w:r w:rsidR="00D53305" w:rsidRPr="00256266">
        <w:t xml:space="preserve">a crucial step towards the development of </w:t>
      </w:r>
      <w:r w:rsidR="002C2FA0" w:rsidRPr="00256266">
        <w:t xml:space="preserve">SBCS </w:t>
      </w:r>
      <w:r w:rsidR="00DC5EAD" w:rsidRPr="00256266">
        <w:t>Manager module of the IOMS.</w:t>
      </w:r>
      <w:r w:rsidR="00065217" w:rsidRPr="00256266">
        <w:t xml:space="preserve"> </w:t>
      </w:r>
    </w:p>
    <w:p w14:paraId="75DBB6D1" w14:textId="77777777" w:rsidR="00C8740C" w:rsidRPr="00256266" w:rsidRDefault="00C8740C" w:rsidP="00B91B1B">
      <w:pPr>
        <w:spacing w:after="0" w:line="240" w:lineRule="auto"/>
      </w:pPr>
    </w:p>
    <w:p w14:paraId="58E6E41F" w14:textId="77DBAE80" w:rsidR="006C2157" w:rsidRPr="00256266" w:rsidRDefault="006C2157" w:rsidP="00B91B1B">
      <w:pPr>
        <w:spacing w:after="0" w:line="240" w:lineRule="auto"/>
      </w:pPr>
      <w:r w:rsidRPr="00256266">
        <w:t>Th</w:t>
      </w:r>
      <w:r w:rsidR="002C661E" w:rsidRPr="00256266">
        <w:t xml:space="preserve">e </w:t>
      </w:r>
      <w:r w:rsidRPr="00256266">
        <w:t xml:space="preserve">objectives must be </w:t>
      </w:r>
      <w:r w:rsidR="00410DFA" w:rsidRPr="00256266">
        <w:t>attained</w:t>
      </w:r>
      <w:r w:rsidR="00DF6B51" w:rsidRPr="00256266">
        <w:t xml:space="preserve">, whenever possible, </w:t>
      </w:r>
      <w:r w:rsidR="002C661E" w:rsidRPr="00256266">
        <w:t xml:space="preserve">without </w:t>
      </w:r>
      <w:r w:rsidR="00DF6B51" w:rsidRPr="00256266">
        <w:t xml:space="preserve">interference </w:t>
      </w:r>
      <w:r w:rsidR="00B83CF2" w:rsidRPr="00256266">
        <w:t xml:space="preserve">in </w:t>
      </w:r>
      <w:r w:rsidR="002C661E" w:rsidRPr="00256266">
        <w:t>the current ICCAT measures</w:t>
      </w:r>
      <w:r w:rsidR="00DF6B51" w:rsidRPr="00256266">
        <w:t xml:space="preserve">. </w:t>
      </w:r>
      <w:r w:rsidR="00441312" w:rsidRPr="00256266">
        <w:t>At the same time</w:t>
      </w:r>
      <w:r w:rsidR="00B83CF2" w:rsidRPr="00256266">
        <w:t xml:space="preserve">, </w:t>
      </w:r>
      <w:r w:rsidR="00441312" w:rsidRPr="00256266">
        <w:t xml:space="preserve">they must be </w:t>
      </w:r>
      <w:r w:rsidR="00B83CF2" w:rsidRPr="00256266">
        <w:t xml:space="preserve">adjusted to accommodate the </w:t>
      </w:r>
      <w:r w:rsidR="0004129A" w:rsidRPr="00256266">
        <w:t xml:space="preserve">deliberations of the Commission at the 2025 </w:t>
      </w:r>
      <w:r w:rsidR="000E352A" w:rsidRPr="00256266">
        <w:t>annual meeting.</w:t>
      </w:r>
    </w:p>
    <w:p w14:paraId="13FE78C8" w14:textId="77777777" w:rsidR="00C8740C" w:rsidRPr="00256266" w:rsidRDefault="00C8740C" w:rsidP="00B91B1B">
      <w:pPr>
        <w:spacing w:after="0" w:line="240" w:lineRule="auto"/>
      </w:pPr>
    </w:p>
    <w:p w14:paraId="4FD86605" w14:textId="302E194D" w:rsidR="00905EDD" w:rsidRPr="00256266" w:rsidRDefault="000E352A" w:rsidP="00B91B1B">
      <w:pPr>
        <w:spacing w:after="0" w:line="240" w:lineRule="auto"/>
      </w:pPr>
      <w:r w:rsidRPr="00256266">
        <w:t>Complementarily</w:t>
      </w:r>
      <w:r w:rsidR="00F04946" w:rsidRPr="00256266">
        <w:t>, a</w:t>
      </w:r>
      <w:r w:rsidR="009252BD" w:rsidRPr="00256266">
        <w:t xml:space="preserve">dditional analytical work </w:t>
      </w:r>
      <w:r w:rsidR="00F04946" w:rsidRPr="00256266">
        <w:t xml:space="preserve">of the </w:t>
      </w:r>
      <w:r w:rsidR="009252BD" w:rsidRPr="00256266">
        <w:t xml:space="preserve">existing 2024 and </w:t>
      </w:r>
      <w:r w:rsidR="000716EA" w:rsidRPr="00256266">
        <w:t xml:space="preserve">2025 </w:t>
      </w:r>
      <w:r w:rsidR="002C2FA0" w:rsidRPr="00256266">
        <w:t xml:space="preserve">SBCS </w:t>
      </w:r>
      <w:r w:rsidR="000716EA" w:rsidRPr="00256266">
        <w:t xml:space="preserve">reports of all </w:t>
      </w:r>
      <w:r w:rsidR="00F04946" w:rsidRPr="00256266">
        <w:t xml:space="preserve">ICCAT </w:t>
      </w:r>
      <w:r w:rsidR="000716EA" w:rsidRPr="00256266">
        <w:t>CPCs</w:t>
      </w:r>
      <w:r w:rsidR="00490D1D" w:rsidRPr="00256266">
        <w:t xml:space="preserve">, </w:t>
      </w:r>
      <w:r w:rsidR="00F04946" w:rsidRPr="00256266">
        <w:t xml:space="preserve">is </w:t>
      </w:r>
      <w:r w:rsidR="008E6744" w:rsidRPr="00256266">
        <w:t xml:space="preserve">fundamental </w:t>
      </w:r>
      <w:r w:rsidR="00F04946" w:rsidRPr="00256266">
        <w:t xml:space="preserve">to evaluate the </w:t>
      </w:r>
      <w:r w:rsidR="215F273E" w:rsidRPr="00256266">
        <w:t xml:space="preserve">existing </w:t>
      </w:r>
      <w:r w:rsidR="00F04946" w:rsidRPr="00256266">
        <w:t xml:space="preserve">types of responses </w:t>
      </w:r>
      <w:r w:rsidR="000D62A4" w:rsidRPr="00256266">
        <w:t>provided</w:t>
      </w:r>
      <w:r w:rsidR="00E67905" w:rsidRPr="00256266">
        <w:t xml:space="preserve">. </w:t>
      </w:r>
      <w:r w:rsidR="00B46169" w:rsidRPr="00256266">
        <w:t>Indicators and other analytical outcomes</w:t>
      </w:r>
      <w:r w:rsidR="00162B47" w:rsidRPr="00256266">
        <w:t xml:space="preserve"> </w:t>
      </w:r>
      <w:r w:rsidR="00B41243" w:rsidRPr="00256266">
        <w:t xml:space="preserve">that </w:t>
      </w:r>
      <w:r w:rsidR="00456E1F" w:rsidRPr="00256266">
        <w:t xml:space="preserve">may </w:t>
      </w:r>
      <w:r w:rsidR="00E40DCE" w:rsidRPr="00256266">
        <w:t xml:space="preserve">contribute to </w:t>
      </w:r>
      <w:r w:rsidR="008E22E5" w:rsidRPr="00256266">
        <w:t xml:space="preserve">develop </w:t>
      </w:r>
      <w:r w:rsidR="00B30BFF" w:rsidRPr="00256266">
        <w:t xml:space="preserve">standard responses, </w:t>
      </w:r>
      <w:r w:rsidR="003C6DC9" w:rsidRPr="00256266">
        <w:t xml:space="preserve">create </w:t>
      </w:r>
      <w:r w:rsidR="00E67905" w:rsidRPr="00256266">
        <w:t>hierarchical relationships</w:t>
      </w:r>
      <w:r w:rsidR="00B30BFF" w:rsidRPr="00256266">
        <w:t xml:space="preserve"> among questions, </w:t>
      </w:r>
      <w:r w:rsidR="00F43331" w:rsidRPr="00256266">
        <w:t xml:space="preserve">identify </w:t>
      </w:r>
      <w:r w:rsidR="00376028" w:rsidRPr="00256266">
        <w:t xml:space="preserve">questions </w:t>
      </w:r>
      <w:r w:rsidR="003158BE" w:rsidRPr="00256266">
        <w:t xml:space="preserve">that </w:t>
      </w:r>
      <w:r w:rsidR="00B41243" w:rsidRPr="00256266">
        <w:t xml:space="preserve">could </w:t>
      </w:r>
      <w:r w:rsidR="00376028" w:rsidRPr="00256266">
        <w:t>requir</w:t>
      </w:r>
      <w:r w:rsidR="003158BE" w:rsidRPr="00256266">
        <w:t xml:space="preserve">e </w:t>
      </w:r>
      <w:r w:rsidR="0030625C" w:rsidRPr="00256266">
        <w:t xml:space="preserve">splitting </w:t>
      </w:r>
      <w:r w:rsidR="008A345E" w:rsidRPr="00256266">
        <w:t>to increase objectivity</w:t>
      </w:r>
      <w:r w:rsidR="00376028" w:rsidRPr="00256266">
        <w:t xml:space="preserve">, </w:t>
      </w:r>
      <w:r w:rsidR="003B0819" w:rsidRPr="00256266">
        <w:t xml:space="preserve">and others, can be </w:t>
      </w:r>
      <w:r w:rsidR="008A345E" w:rsidRPr="00256266">
        <w:t xml:space="preserve">explored </w:t>
      </w:r>
      <w:r w:rsidR="003B0819" w:rsidRPr="00256266">
        <w:t>with the continuation of this study.</w:t>
      </w:r>
    </w:p>
    <w:p w14:paraId="28C94898" w14:textId="77777777" w:rsidR="003B0819" w:rsidRPr="00256266" w:rsidRDefault="003B0819" w:rsidP="00B91B1B">
      <w:pPr>
        <w:spacing w:after="0" w:line="240" w:lineRule="auto"/>
        <w:rPr>
          <w:rFonts w:asciiTheme="majorHAnsi" w:eastAsiaTheme="majorEastAsia" w:hAnsiTheme="majorHAnsi" w:cstheme="majorBidi"/>
        </w:rPr>
      </w:pPr>
      <w:r w:rsidRPr="00256266">
        <w:br w:type="page"/>
      </w:r>
    </w:p>
    <w:p w14:paraId="2071D03E" w14:textId="19DC0570" w:rsidR="000D62A4" w:rsidRPr="00256266" w:rsidRDefault="000D62A4" w:rsidP="007C6968">
      <w:pPr>
        <w:pStyle w:val="Heading1"/>
        <w:spacing w:before="0" w:after="0" w:line="240" w:lineRule="auto"/>
        <w:rPr>
          <w:sz w:val="20"/>
          <w:szCs w:val="20"/>
        </w:rPr>
      </w:pPr>
      <w:r w:rsidRPr="00256266">
        <w:rPr>
          <w:sz w:val="20"/>
          <w:szCs w:val="20"/>
        </w:rPr>
        <w:lastRenderedPageBreak/>
        <w:t>Guidelines</w:t>
      </w:r>
    </w:p>
    <w:p w14:paraId="3213A537" w14:textId="77777777" w:rsidR="00572EA6" w:rsidRPr="00256266" w:rsidRDefault="00572EA6" w:rsidP="007C6968">
      <w:pPr>
        <w:spacing w:after="0" w:line="240" w:lineRule="auto"/>
      </w:pPr>
    </w:p>
    <w:p w14:paraId="43A57D3F" w14:textId="77777777" w:rsidR="00C01237" w:rsidRPr="00256266" w:rsidRDefault="00CE56F8" w:rsidP="007C6968">
      <w:pPr>
        <w:spacing w:after="0" w:line="240" w:lineRule="auto"/>
      </w:pPr>
      <w:r w:rsidRPr="00256266">
        <w:t xml:space="preserve">Based on the current ICCAT measures </w:t>
      </w:r>
      <w:r w:rsidR="00713F88" w:rsidRPr="00256266">
        <w:t xml:space="preserve">in force </w:t>
      </w:r>
      <w:r w:rsidR="00AB53D7" w:rsidRPr="00256266">
        <w:t>on</w:t>
      </w:r>
      <w:r w:rsidR="00C01237" w:rsidRPr="00256266">
        <w:t>:</w:t>
      </w:r>
    </w:p>
    <w:p w14:paraId="009CD08B" w14:textId="77777777" w:rsidR="00572EA6" w:rsidRPr="00256266" w:rsidRDefault="00572EA6" w:rsidP="007C6968">
      <w:pPr>
        <w:spacing w:after="0" w:line="240" w:lineRule="auto"/>
      </w:pPr>
    </w:p>
    <w:p w14:paraId="0E7BB4B4" w14:textId="71B69BE7" w:rsidR="00C01237" w:rsidRPr="00256266" w:rsidRDefault="00C01237" w:rsidP="00A13A76">
      <w:pPr>
        <w:pStyle w:val="ListParagraph"/>
        <w:numPr>
          <w:ilvl w:val="0"/>
          <w:numId w:val="2"/>
        </w:numPr>
        <w:spacing w:after="0" w:line="240" w:lineRule="auto"/>
        <w:ind w:left="851" w:hanging="425"/>
      </w:pPr>
      <w:r w:rsidRPr="00256266">
        <w:t>B</w:t>
      </w:r>
      <w:r w:rsidR="00AB53D7" w:rsidRPr="00256266">
        <w:t>illfishes</w:t>
      </w:r>
      <w:r w:rsidR="00247175" w:rsidRPr="00256266">
        <w:t xml:space="preserve"> (</w:t>
      </w:r>
      <w:hyperlink r:id="rId15" w:tgtFrame="_parent" w:history="1">
        <w:r w:rsidR="00496407" w:rsidRPr="00256266">
          <w:rPr>
            <w:rStyle w:val="Hyperlink"/>
            <w:u w:val="none"/>
          </w:rPr>
          <w:t>R</w:t>
        </w:r>
        <w:r w:rsidR="004C522F" w:rsidRPr="00256266">
          <w:rPr>
            <w:rStyle w:val="Hyperlink"/>
            <w:u w:val="none"/>
          </w:rPr>
          <w:t>ec.</w:t>
        </w:r>
        <w:r w:rsidR="00F433EE" w:rsidRPr="00256266">
          <w:rPr>
            <w:rStyle w:val="Hyperlink"/>
            <w:u w:val="none"/>
          </w:rPr>
          <w:t xml:space="preserve"> </w:t>
        </w:r>
        <w:r w:rsidR="00496407" w:rsidRPr="00256266">
          <w:rPr>
            <w:rStyle w:val="Hyperlink"/>
            <w:u w:val="none"/>
          </w:rPr>
          <w:t>16-11</w:t>
        </w:r>
      </w:hyperlink>
      <w:r w:rsidR="004C522F" w:rsidRPr="00256266">
        <w:t xml:space="preserve">, </w:t>
      </w:r>
      <w:hyperlink r:id="rId16" w:tgtFrame="_parent" w:history="1">
        <w:r w:rsidR="00496407" w:rsidRPr="00256266">
          <w:rPr>
            <w:rStyle w:val="Hyperlink"/>
            <w:u w:val="none"/>
          </w:rPr>
          <w:t>R</w:t>
        </w:r>
        <w:r w:rsidR="004C522F" w:rsidRPr="00256266">
          <w:rPr>
            <w:rStyle w:val="Hyperlink"/>
            <w:u w:val="none"/>
          </w:rPr>
          <w:t>ec.</w:t>
        </w:r>
        <w:r w:rsidR="00F433EE" w:rsidRPr="00256266">
          <w:rPr>
            <w:rStyle w:val="Hyperlink"/>
            <w:u w:val="none"/>
          </w:rPr>
          <w:t xml:space="preserve"> </w:t>
        </w:r>
        <w:r w:rsidR="00496407" w:rsidRPr="00256266">
          <w:rPr>
            <w:rStyle w:val="Hyperlink"/>
            <w:u w:val="none"/>
          </w:rPr>
          <w:t>18-05</w:t>
        </w:r>
      </w:hyperlink>
      <w:r w:rsidR="004C522F" w:rsidRPr="00256266">
        <w:t xml:space="preserve">, </w:t>
      </w:r>
      <w:hyperlink r:id="rId17" w:tgtFrame="_parent" w:history="1">
        <w:r w:rsidR="00496407" w:rsidRPr="00256266">
          <w:rPr>
            <w:rStyle w:val="Hyperlink"/>
            <w:u w:val="none"/>
          </w:rPr>
          <w:t>R</w:t>
        </w:r>
        <w:r w:rsidR="00BF39C1" w:rsidRPr="00256266">
          <w:rPr>
            <w:rStyle w:val="Hyperlink"/>
            <w:u w:val="none"/>
          </w:rPr>
          <w:t>ec.</w:t>
        </w:r>
        <w:r w:rsidR="00F433EE" w:rsidRPr="00256266">
          <w:rPr>
            <w:rStyle w:val="Hyperlink"/>
            <w:u w:val="none"/>
          </w:rPr>
          <w:t xml:space="preserve"> </w:t>
        </w:r>
        <w:r w:rsidR="00496407" w:rsidRPr="00256266">
          <w:rPr>
            <w:rStyle w:val="Hyperlink"/>
            <w:u w:val="none"/>
          </w:rPr>
          <w:t>19-05</w:t>
        </w:r>
      </w:hyperlink>
      <w:r w:rsidR="00247175" w:rsidRPr="00256266">
        <w:t xml:space="preserve">), </w:t>
      </w:r>
      <w:r w:rsidR="00BF39C1" w:rsidRPr="00256266">
        <w:t>and</w:t>
      </w:r>
      <w:r w:rsidRPr="00256266">
        <w:t>,</w:t>
      </w:r>
    </w:p>
    <w:p w14:paraId="10E15189" w14:textId="76619021" w:rsidR="00C01237" w:rsidRPr="00256266" w:rsidRDefault="00C01237" w:rsidP="00A13A76">
      <w:pPr>
        <w:pStyle w:val="ListParagraph"/>
        <w:numPr>
          <w:ilvl w:val="0"/>
          <w:numId w:val="2"/>
        </w:numPr>
        <w:spacing w:after="0" w:line="240" w:lineRule="auto"/>
        <w:ind w:left="851" w:hanging="425"/>
      </w:pPr>
      <w:r w:rsidRPr="00256266">
        <w:t>S</w:t>
      </w:r>
      <w:r w:rsidR="00BF39C1" w:rsidRPr="00256266">
        <w:t>harks</w:t>
      </w:r>
      <w:r w:rsidR="00247175" w:rsidRPr="00256266">
        <w:t xml:space="preserve"> (</w:t>
      </w:r>
      <w:hyperlink r:id="rId18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04-10</w:t>
        </w:r>
      </w:hyperlink>
      <w:r w:rsidR="001E31CC" w:rsidRPr="00256266">
        <w:t>,</w:t>
      </w:r>
      <w:r w:rsidR="00387EB9" w:rsidRPr="00256266">
        <w:t xml:space="preserve"> </w:t>
      </w:r>
      <w:hyperlink r:id="rId19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07-06</w:t>
        </w:r>
      </w:hyperlink>
      <w:r w:rsidR="001E31CC" w:rsidRPr="00256266">
        <w:t xml:space="preserve">, </w:t>
      </w:r>
      <w:hyperlink r:id="rId20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09-07</w:t>
        </w:r>
      </w:hyperlink>
      <w:r w:rsidR="001E31CC" w:rsidRPr="00256266">
        <w:t xml:space="preserve">, </w:t>
      </w:r>
      <w:hyperlink r:id="rId21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10-07</w:t>
        </w:r>
      </w:hyperlink>
      <w:r w:rsidR="001E31CC" w:rsidRPr="00256266">
        <w:t xml:space="preserve">, </w:t>
      </w:r>
      <w:hyperlink r:id="rId22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10-08</w:t>
        </w:r>
      </w:hyperlink>
      <w:r w:rsidR="001E31CC" w:rsidRPr="00256266">
        <w:t xml:space="preserve">, </w:t>
      </w:r>
      <w:hyperlink r:id="rId23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11-08</w:t>
        </w:r>
      </w:hyperlink>
      <w:r w:rsidR="001E31CC" w:rsidRPr="00256266">
        <w:t xml:space="preserve">, </w:t>
      </w:r>
      <w:hyperlink r:id="rId24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11-15</w:t>
        </w:r>
      </w:hyperlink>
      <w:r w:rsidR="001E31CC" w:rsidRPr="00256266">
        <w:t xml:space="preserve">, </w:t>
      </w:r>
      <w:hyperlink r:id="rId25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> </w:t>
        </w:r>
        <w:r w:rsidR="001E31CC" w:rsidRPr="00256266">
          <w:rPr>
            <w:rStyle w:val="Hyperlink"/>
            <w:u w:val="none"/>
          </w:rPr>
          <w:t>15</w:t>
        </w:r>
        <w:r w:rsidR="00F433EE" w:rsidRPr="00256266">
          <w:rPr>
            <w:rStyle w:val="Hyperlink"/>
            <w:u w:val="none"/>
          </w:rPr>
          <w:noBreakHyphen/>
        </w:r>
        <w:r w:rsidR="001E31CC" w:rsidRPr="00256266">
          <w:rPr>
            <w:rStyle w:val="Hyperlink"/>
            <w:u w:val="none"/>
          </w:rPr>
          <w:t>06</w:t>
        </w:r>
      </w:hyperlink>
      <w:r w:rsidR="001E31CC" w:rsidRPr="00256266">
        <w:rPr>
          <w:rStyle w:val="Hyperlink"/>
          <w:u w:val="none"/>
        </w:rPr>
        <w:t xml:space="preserve">, </w:t>
      </w:r>
      <w:hyperlink r:id="rId26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18-06</w:t>
        </w:r>
      </w:hyperlink>
      <w:r w:rsidR="001E31CC" w:rsidRPr="00256266">
        <w:t xml:space="preserve">, </w:t>
      </w:r>
      <w:hyperlink r:id="rId27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21-09</w:t>
        </w:r>
      </w:hyperlink>
      <w:r w:rsidR="001E31CC" w:rsidRPr="00256266">
        <w:t xml:space="preserve">, </w:t>
      </w:r>
      <w:hyperlink r:id="rId28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22-11</w:t>
        </w:r>
      </w:hyperlink>
      <w:r w:rsidR="001E31CC" w:rsidRPr="00256266">
        <w:t xml:space="preserve">, </w:t>
      </w:r>
      <w:hyperlink r:id="rId29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23-10</w:t>
        </w:r>
      </w:hyperlink>
      <w:r w:rsidR="001E31CC" w:rsidRPr="00256266">
        <w:t xml:space="preserve">, </w:t>
      </w:r>
      <w:hyperlink r:id="rId30" w:tgtFrame="_parent" w:history="1">
        <w:r w:rsidR="001E31C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1E31CC" w:rsidRPr="00256266">
          <w:rPr>
            <w:rStyle w:val="Hyperlink"/>
            <w:u w:val="none"/>
          </w:rPr>
          <w:t>23-11</w:t>
        </w:r>
      </w:hyperlink>
      <w:r w:rsidR="00883C9A" w:rsidRPr="00256266">
        <w:t xml:space="preserve">, </w:t>
      </w:r>
      <w:hyperlink r:id="rId31" w:tgtFrame="_parent" w:history="1">
        <w:r w:rsidR="00791AD9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791AD9" w:rsidRPr="00256266">
          <w:rPr>
            <w:rStyle w:val="Hyperlink"/>
            <w:u w:val="none"/>
          </w:rPr>
          <w:t>23-12</w:t>
        </w:r>
      </w:hyperlink>
      <w:r w:rsidR="00B859D2" w:rsidRPr="00256266">
        <w:t xml:space="preserve">, </w:t>
      </w:r>
      <w:hyperlink r:id="rId32" w:history="1">
        <w:r w:rsidR="006F565C" w:rsidRPr="00256266">
          <w:rPr>
            <w:rStyle w:val="Hyperlink"/>
            <w:u w:val="none"/>
          </w:rPr>
          <w:t>Rec.</w:t>
        </w:r>
        <w:r w:rsidR="00F433EE" w:rsidRPr="00256266">
          <w:rPr>
            <w:rStyle w:val="Hyperlink"/>
            <w:u w:val="none"/>
          </w:rPr>
          <w:t xml:space="preserve"> </w:t>
        </w:r>
        <w:r w:rsidR="006F565C" w:rsidRPr="00256266">
          <w:rPr>
            <w:rStyle w:val="Hyperlink"/>
            <w:u w:val="none"/>
          </w:rPr>
          <w:t>2</w:t>
        </w:r>
        <w:r w:rsidR="00A16A13" w:rsidRPr="00256266">
          <w:rPr>
            <w:rStyle w:val="Hyperlink"/>
            <w:u w:val="none"/>
          </w:rPr>
          <w:t>4</w:t>
        </w:r>
        <w:r w:rsidR="006F565C" w:rsidRPr="00256266">
          <w:rPr>
            <w:rStyle w:val="Hyperlink"/>
            <w:u w:val="none"/>
          </w:rPr>
          <w:t>-1</w:t>
        </w:r>
        <w:r w:rsidR="00A16A13" w:rsidRPr="00256266">
          <w:rPr>
            <w:rStyle w:val="Hyperlink"/>
            <w:u w:val="none"/>
          </w:rPr>
          <w:t>2</w:t>
        </w:r>
      </w:hyperlink>
      <w:r w:rsidR="00247175" w:rsidRPr="00256266">
        <w:t>)</w:t>
      </w:r>
      <w:r w:rsidR="00EA7A1E" w:rsidRPr="00256266">
        <w:t>,</w:t>
      </w:r>
      <w:r w:rsidR="00247175" w:rsidRPr="00256266">
        <w:t xml:space="preserve"> </w:t>
      </w:r>
      <w:r w:rsidR="00A97B79" w:rsidRPr="00256266">
        <w:t xml:space="preserve"> </w:t>
      </w:r>
    </w:p>
    <w:p w14:paraId="5FFCE9EF" w14:textId="77777777" w:rsidR="00572EA6" w:rsidRPr="00256266" w:rsidRDefault="00572EA6" w:rsidP="007C6968">
      <w:pPr>
        <w:pStyle w:val="ListParagraph"/>
        <w:spacing w:after="0" w:line="240" w:lineRule="auto"/>
      </w:pPr>
    </w:p>
    <w:p w14:paraId="55E7C8BB" w14:textId="01D2343D" w:rsidR="00C01237" w:rsidRPr="00256266" w:rsidRDefault="000F7AFE" w:rsidP="007C6968">
      <w:pPr>
        <w:spacing w:after="0" w:line="240" w:lineRule="auto"/>
      </w:pPr>
      <w:r w:rsidRPr="00256266">
        <w:t>a</w:t>
      </w:r>
      <w:r w:rsidR="00691233" w:rsidRPr="00256266">
        <w:t xml:space="preserve">nd </w:t>
      </w:r>
      <w:r w:rsidR="00A97B79" w:rsidRPr="00256266">
        <w:t xml:space="preserve">the </w:t>
      </w:r>
      <w:r w:rsidR="00B859D2" w:rsidRPr="00256266">
        <w:t xml:space="preserve">outcome and </w:t>
      </w:r>
      <w:r w:rsidR="00A97B79" w:rsidRPr="00256266">
        <w:t xml:space="preserve">guidance </w:t>
      </w:r>
      <w:r w:rsidR="00B859D2" w:rsidRPr="00256266">
        <w:t>provided by</w:t>
      </w:r>
      <w:r w:rsidR="00C01237" w:rsidRPr="00256266">
        <w:t>:</w:t>
      </w:r>
    </w:p>
    <w:p w14:paraId="21367381" w14:textId="77777777" w:rsidR="00572EA6" w:rsidRPr="00256266" w:rsidRDefault="00572EA6" w:rsidP="007C6968">
      <w:pPr>
        <w:spacing w:after="0" w:line="240" w:lineRule="auto"/>
      </w:pPr>
    </w:p>
    <w:p w14:paraId="16661AA8" w14:textId="55579586" w:rsidR="00C01237" w:rsidRPr="00256266" w:rsidRDefault="00B859D2" w:rsidP="00A13A76">
      <w:pPr>
        <w:pStyle w:val="ListParagraph"/>
        <w:numPr>
          <w:ilvl w:val="0"/>
          <w:numId w:val="2"/>
        </w:numPr>
        <w:spacing w:after="0" w:line="240" w:lineRule="auto"/>
        <w:ind w:left="851" w:hanging="425"/>
      </w:pPr>
      <w:r w:rsidRPr="00256266">
        <w:t xml:space="preserve">document </w:t>
      </w:r>
      <w:hyperlink r:id="rId33" w:history="1">
        <w:r w:rsidR="00A97B79" w:rsidRPr="00256266">
          <w:rPr>
            <w:rStyle w:val="Hyperlink"/>
            <w:u w:val="none"/>
          </w:rPr>
          <w:t>PA4_807</w:t>
        </w:r>
        <w:r w:rsidR="00A97B79" w:rsidRPr="00256266">
          <w:rPr>
            <w:rStyle w:val="Hyperlink"/>
            <w:u w:val="none"/>
            <w:lang w:val="pt-PT"/>
          </w:rPr>
          <w:t>/202</w:t>
        </w:r>
        <w:r w:rsidR="00A16A13" w:rsidRPr="00256266">
          <w:rPr>
            <w:rStyle w:val="Hyperlink"/>
            <w:u w:val="none"/>
            <w:lang w:val="pt-PT"/>
          </w:rPr>
          <w:t>4</w:t>
        </w:r>
      </w:hyperlink>
      <w:r w:rsidR="00A97B79" w:rsidRPr="00256266">
        <w:t>, and</w:t>
      </w:r>
      <w:r w:rsidR="00F17885" w:rsidRPr="00256266">
        <w:t>,</w:t>
      </w:r>
    </w:p>
    <w:p w14:paraId="1CED17D4" w14:textId="33E1C25C" w:rsidR="00C01237" w:rsidRPr="00256266" w:rsidRDefault="001C002A" w:rsidP="00A13A76">
      <w:pPr>
        <w:pStyle w:val="ListParagraph"/>
        <w:numPr>
          <w:ilvl w:val="0"/>
          <w:numId w:val="2"/>
        </w:numPr>
        <w:spacing w:after="0" w:line="240" w:lineRule="auto"/>
        <w:ind w:left="851" w:hanging="425"/>
      </w:pPr>
      <w:r w:rsidRPr="00256266">
        <w:t xml:space="preserve">the </w:t>
      </w:r>
      <w:r w:rsidR="005036A9" w:rsidRPr="00256266">
        <w:t xml:space="preserve">latest </w:t>
      </w:r>
      <w:r w:rsidR="004E5831" w:rsidRPr="00256266">
        <w:t xml:space="preserve">WG-ORT advice </w:t>
      </w:r>
      <w:r w:rsidR="005036A9" w:rsidRPr="00256266">
        <w:t xml:space="preserve">(section 8 of </w:t>
      </w:r>
      <w:hyperlink r:id="rId34" w:history="1">
        <w:r w:rsidR="00910762" w:rsidRPr="00256266">
          <w:rPr>
            <w:rStyle w:val="Hyperlink"/>
            <w:u w:val="none"/>
          </w:rPr>
          <w:t>Report of the Meeting of the Online Reporting Technology Work Group</w:t>
        </w:r>
      </w:hyperlink>
      <w:r w:rsidR="00910762" w:rsidRPr="00256266">
        <w:t>, held in 2025</w:t>
      </w:r>
      <w:r w:rsidR="005036A9" w:rsidRPr="00256266">
        <w:t>)</w:t>
      </w:r>
      <w:r w:rsidR="00C01237" w:rsidRPr="00256266">
        <w:t xml:space="preserve">, </w:t>
      </w:r>
    </w:p>
    <w:p w14:paraId="4B6304F7" w14:textId="77777777" w:rsidR="00572EA6" w:rsidRPr="00256266" w:rsidRDefault="00572EA6" w:rsidP="007C6968">
      <w:pPr>
        <w:pStyle w:val="ListParagraph"/>
        <w:spacing w:after="0" w:line="240" w:lineRule="auto"/>
      </w:pPr>
    </w:p>
    <w:p w14:paraId="61A54FED" w14:textId="0B1CBCD4" w:rsidR="00126F1E" w:rsidRPr="00256266" w:rsidRDefault="009067BA" w:rsidP="007C6968">
      <w:pPr>
        <w:spacing w:after="0" w:line="240" w:lineRule="auto"/>
      </w:pPr>
      <w:r w:rsidRPr="00256266">
        <w:t xml:space="preserve">the ICCAT </w:t>
      </w:r>
      <w:r w:rsidR="00545210" w:rsidRPr="00256266">
        <w:t>Secretariat should</w:t>
      </w:r>
      <w:r w:rsidR="00386541" w:rsidRPr="00256266">
        <w:t xml:space="preserve"> </w:t>
      </w:r>
      <w:r w:rsidR="00DD7C6D" w:rsidRPr="00256266">
        <w:t xml:space="preserve">work </w:t>
      </w:r>
      <w:r w:rsidR="00606BBF" w:rsidRPr="00256266">
        <w:t xml:space="preserve">intersessionally </w:t>
      </w:r>
      <w:r w:rsidR="00530948" w:rsidRPr="00256266">
        <w:t xml:space="preserve">(during </w:t>
      </w:r>
      <w:r w:rsidR="00DD7C6D" w:rsidRPr="00256266">
        <w:t>2026</w:t>
      </w:r>
      <w:r w:rsidR="00530948" w:rsidRPr="00256266">
        <w:t>)</w:t>
      </w:r>
      <w:r w:rsidR="00DD7C6D" w:rsidRPr="00256266">
        <w:t xml:space="preserve"> with the Chairs of P</w:t>
      </w:r>
      <w:r w:rsidR="00EA7A1E" w:rsidRPr="00256266">
        <w:t>anel 4</w:t>
      </w:r>
      <w:r w:rsidR="00DD7C6D" w:rsidRPr="00256266">
        <w:t>, COC and WG</w:t>
      </w:r>
      <w:r w:rsidR="00F17885" w:rsidRPr="00256266">
        <w:noBreakHyphen/>
      </w:r>
      <w:r w:rsidR="00DD7C6D" w:rsidRPr="00256266">
        <w:t>ORT</w:t>
      </w:r>
      <w:r w:rsidR="00530948" w:rsidRPr="00256266">
        <w:t xml:space="preserve">, </w:t>
      </w:r>
      <w:r w:rsidR="00960A1E" w:rsidRPr="00256266">
        <w:t xml:space="preserve">to improve </w:t>
      </w:r>
      <w:r w:rsidR="00A220A3" w:rsidRPr="00256266">
        <w:t xml:space="preserve">and standardize </w:t>
      </w:r>
      <w:r w:rsidR="001001C7" w:rsidRPr="00256266">
        <w:t xml:space="preserve">the most recent </w:t>
      </w:r>
      <w:r w:rsidR="00247175" w:rsidRPr="00256266">
        <w:t>SB</w:t>
      </w:r>
      <w:r w:rsidR="001001C7" w:rsidRPr="00256266">
        <w:t>CS templates</w:t>
      </w:r>
      <w:r w:rsidR="00AF3308" w:rsidRPr="00256266">
        <w:t xml:space="preserve"> </w:t>
      </w:r>
      <w:r w:rsidR="00D467BB" w:rsidRPr="00256266">
        <w:t xml:space="preserve">to a level that allows </w:t>
      </w:r>
      <w:r w:rsidR="00345DC6" w:rsidRPr="00256266">
        <w:t xml:space="preserve">an </w:t>
      </w:r>
      <w:r w:rsidR="003F0DB3" w:rsidRPr="00256266">
        <w:t xml:space="preserve">effective </w:t>
      </w:r>
      <w:r w:rsidR="00D467BB" w:rsidRPr="00256266">
        <w:t xml:space="preserve">integration </w:t>
      </w:r>
      <w:r w:rsidR="003F0DB3" w:rsidRPr="00256266">
        <w:t xml:space="preserve">into the </w:t>
      </w:r>
      <w:r w:rsidR="00817C43" w:rsidRPr="00256266">
        <w:t xml:space="preserve">IOMS </w:t>
      </w:r>
      <w:r w:rsidR="003F0DB3" w:rsidRPr="00256266">
        <w:t xml:space="preserve">and </w:t>
      </w:r>
      <w:r w:rsidR="00817C43" w:rsidRPr="00256266">
        <w:t xml:space="preserve">simplifies </w:t>
      </w:r>
      <w:r w:rsidR="003F0DB3" w:rsidRPr="00256266">
        <w:t>the devel</w:t>
      </w:r>
      <w:r w:rsidR="00247175" w:rsidRPr="00256266">
        <w:t xml:space="preserve">opment of the </w:t>
      </w:r>
      <w:r w:rsidR="00126F1E" w:rsidRPr="00256266">
        <w:t xml:space="preserve">respective </w:t>
      </w:r>
      <w:r w:rsidR="00314E01" w:rsidRPr="00256266">
        <w:t xml:space="preserve">SBCS </w:t>
      </w:r>
      <w:r w:rsidR="00126F1E" w:rsidRPr="00256266">
        <w:t>Manager module.</w:t>
      </w:r>
    </w:p>
    <w:p w14:paraId="2B35CEE6" w14:textId="77777777" w:rsidR="00572EA6" w:rsidRPr="00256266" w:rsidRDefault="00572EA6" w:rsidP="007C6968">
      <w:pPr>
        <w:spacing w:after="0" w:line="240" w:lineRule="auto"/>
      </w:pPr>
    </w:p>
    <w:p w14:paraId="75480563" w14:textId="76EA1338" w:rsidR="00405524" w:rsidRPr="00256266" w:rsidRDefault="000734C2" w:rsidP="00A13A76">
      <w:pPr>
        <w:pStyle w:val="Heading2"/>
        <w:spacing w:before="0" w:after="0" w:line="240" w:lineRule="auto"/>
        <w:ind w:left="0"/>
        <w:rPr>
          <w:sz w:val="20"/>
          <w:szCs w:val="20"/>
        </w:rPr>
      </w:pPr>
      <w:r w:rsidRPr="00256266">
        <w:rPr>
          <w:sz w:val="20"/>
          <w:szCs w:val="20"/>
        </w:rPr>
        <w:t>A</w:t>
      </w:r>
      <w:r w:rsidR="00405524" w:rsidRPr="00256266">
        <w:rPr>
          <w:sz w:val="20"/>
          <w:szCs w:val="20"/>
        </w:rPr>
        <w:t xml:space="preserve"> set of guidelines are </w:t>
      </w:r>
      <w:r w:rsidR="00486D6C" w:rsidRPr="00256266">
        <w:rPr>
          <w:sz w:val="20"/>
          <w:szCs w:val="20"/>
        </w:rPr>
        <w:t>proposed</w:t>
      </w:r>
    </w:p>
    <w:p w14:paraId="59C99DCF" w14:textId="77777777" w:rsidR="00572EA6" w:rsidRPr="00256266" w:rsidRDefault="00572EA6" w:rsidP="007C6968">
      <w:pPr>
        <w:spacing w:after="0" w:line="240" w:lineRule="auto"/>
      </w:pPr>
    </w:p>
    <w:p w14:paraId="15931E19" w14:textId="16B318CD" w:rsidR="007B1487" w:rsidRPr="00256266" w:rsidRDefault="007B1487" w:rsidP="00A13A76">
      <w:pPr>
        <w:pStyle w:val="ListParagraph"/>
        <w:numPr>
          <w:ilvl w:val="0"/>
          <w:numId w:val="2"/>
        </w:numPr>
        <w:spacing w:after="0" w:line="240" w:lineRule="auto"/>
        <w:ind w:left="851" w:hanging="425"/>
      </w:pPr>
      <w:r w:rsidRPr="00256266">
        <w:rPr>
          <w:i/>
        </w:rPr>
        <w:t>Short-term</w:t>
      </w:r>
    </w:p>
    <w:p w14:paraId="6CD59FFC" w14:textId="77777777" w:rsidR="001444E8" w:rsidRPr="00256266" w:rsidRDefault="001444E8" w:rsidP="001444E8">
      <w:pPr>
        <w:pStyle w:val="ListParagraph"/>
        <w:spacing w:after="0" w:line="240" w:lineRule="auto"/>
        <w:ind w:left="851"/>
      </w:pPr>
    </w:p>
    <w:p w14:paraId="5DA18677" w14:textId="41A39E2E" w:rsidR="00E621FF" w:rsidRPr="00256266" w:rsidRDefault="00486D6C" w:rsidP="00CF7ED6">
      <w:pPr>
        <w:pStyle w:val="ListParagraph"/>
        <w:numPr>
          <w:ilvl w:val="1"/>
          <w:numId w:val="1"/>
        </w:numPr>
        <w:spacing w:after="0" w:line="240" w:lineRule="auto"/>
        <w:ind w:left="1276" w:hanging="425"/>
      </w:pPr>
      <w:r w:rsidRPr="00256266">
        <w:t xml:space="preserve">Harmonize </w:t>
      </w:r>
      <w:r w:rsidR="00963FB8" w:rsidRPr="00256266">
        <w:t xml:space="preserve">the </w:t>
      </w:r>
      <w:r w:rsidR="00E621FF" w:rsidRPr="00256266">
        <w:t xml:space="preserve">structure </w:t>
      </w:r>
      <w:r w:rsidR="00963FB8" w:rsidRPr="00256266">
        <w:t xml:space="preserve">of both </w:t>
      </w:r>
      <w:r w:rsidR="00A444B0" w:rsidRPr="00256266">
        <w:t xml:space="preserve">SBCS </w:t>
      </w:r>
      <w:r w:rsidR="00963FB8" w:rsidRPr="00256266">
        <w:t>templates</w:t>
      </w:r>
      <w:r w:rsidR="00AA262A" w:rsidRPr="00256266">
        <w:t xml:space="preserve"> (same fields)</w:t>
      </w:r>
      <w:r w:rsidR="007B768F" w:rsidRPr="00256266">
        <w:t>:</w:t>
      </w:r>
      <w:r w:rsidR="00A444B0" w:rsidRPr="00256266">
        <w:t xml:space="preserve"> </w:t>
      </w:r>
    </w:p>
    <w:p w14:paraId="1D664325" w14:textId="77777777" w:rsidR="00CF7ED6" w:rsidRPr="00256266" w:rsidRDefault="00CF7ED6" w:rsidP="00CF7ED6">
      <w:pPr>
        <w:pStyle w:val="ListParagraph"/>
        <w:spacing w:after="0" w:line="240" w:lineRule="auto"/>
        <w:ind w:left="1276"/>
      </w:pPr>
    </w:p>
    <w:p w14:paraId="67D16C11" w14:textId="77777777" w:rsidR="005C6140" w:rsidRPr="00256266" w:rsidRDefault="004D1DEC" w:rsidP="0055232F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>Same field structure</w:t>
      </w:r>
    </w:p>
    <w:p w14:paraId="67378F58" w14:textId="58D0134A" w:rsidR="009F291E" w:rsidRPr="00256266" w:rsidRDefault="00224CDD" w:rsidP="0055232F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>A</w:t>
      </w:r>
      <w:r w:rsidR="00CD0A27" w:rsidRPr="00256266">
        <w:t xml:space="preserve">dapt the structure </w:t>
      </w:r>
      <w:r w:rsidRPr="00256266">
        <w:t>to a spreadsheet format (</w:t>
      </w:r>
      <w:r w:rsidR="00CD0A27" w:rsidRPr="00256266">
        <w:t>DOCX to EXCEL</w:t>
      </w:r>
      <w:r w:rsidRPr="00256266">
        <w:t>)</w:t>
      </w:r>
    </w:p>
    <w:p w14:paraId="4C427831" w14:textId="77777777" w:rsidR="001444E8" w:rsidRPr="00256266" w:rsidRDefault="001444E8" w:rsidP="001444E8">
      <w:pPr>
        <w:pStyle w:val="ListParagraph"/>
        <w:spacing w:after="0" w:line="240" w:lineRule="auto"/>
        <w:ind w:left="1418"/>
      </w:pPr>
    </w:p>
    <w:p w14:paraId="4A1E4B5E" w14:textId="2D09D45B" w:rsidR="00916F4D" w:rsidRPr="00256266" w:rsidRDefault="007B1487" w:rsidP="00CF7ED6">
      <w:pPr>
        <w:pStyle w:val="ListParagraph"/>
        <w:numPr>
          <w:ilvl w:val="0"/>
          <w:numId w:val="2"/>
        </w:numPr>
        <w:spacing w:after="0" w:line="240" w:lineRule="auto"/>
        <w:ind w:left="851" w:hanging="425"/>
        <w:rPr>
          <w:i/>
        </w:rPr>
      </w:pPr>
      <w:r w:rsidRPr="00256266">
        <w:rPr>
          <w:i/>
        </w:rPr>
        <w:t>Mid</w:t>
      </w:r>
      <w:r w:rsidR="00763B84" w:rsidRPr="00256266">
        <w:rPr>
          <w:i/>
        </w:rPr>
        <w:t>/</w:t>
      </w:r>
      <w:r w:rsidRPr="00256266">
        <w:rPr>
          <w:i/>
        </w:rPr>
        <w:t>long term</w:t>
      </w:r>
    </w:p>
    <w:p w14:paraId="2B131902" w14:textId="77777777" w:rsidR="001444E8" w:rsidRPr="00256266" w:rsidRDefault="001444E8" w:rsidP="001444E8">
      <w:pPr>
        <w:pStyle w:val="ListParagraph"/>
        <w:spacing w:after="0" w:line="240" w:lineRule="auto"/>
        <w:ind w:left="567"/>
        <w:rPr>
          <w:i/>
        </w:rPr>
      </w:pPr>
    </w:p>
    <w:p w14:paraId="3D8DF0C7" w14:textId="6A9AA7A5" w:rsidR="00176B40" w:rsidRPr="00256266" w:rsidRDefault="00892420" w:rsidP="00CF7ED6">
      <w:pPr>
        <w:pStyle w:val="ListParagraph"/>
        <w:numPr>
          <w:ilvl w:val="1"/>
          <w:numId w:val="1"/>
        </w:numPr>
        <w:spacing w:after="0" w:line="240" w:lineRule="auto"/>
        <w:ind w:left="1276" w:hanging="425"/>
      </w:pPr>
      <w:r w:rsidRPr="00256266">
        <w:t>Evaluate each question and</w:t>
      </w:r>
      <w:r w:rsidR="00176B40" w:rsidRPr="00256266">
        <w:t xml:space="preserve"> try to:</w:t>
      </w:r>
    </w:p>
    <w:p w14:paraId="2787D693" w14:textId="77777777" w:rsidR="0055232F" w:rsidRPr="00256266" w:rsidRDefault="0055232F" w:rsidP="0055232F">
      <w:pPr>
        <w:pStyle w:val="ListParagraph"/>
        <w:spacing w:after="0" w:line="240" w:lineRule="auto"/>
        <w:ind w:left="1276"/>
      </w:pPr>
    </w:p>
    <w:p w14:paraId="6338CE19" w14:textId="77777777" w:rsidR="00900460" w:rsidRPr="00256266" w:rsidRDefault="00176B40" w:rsidP="0055232F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>Identify/eliminate redundan</w:t>
      </w:r>
      <w:r w:rsidR="00900460" w:rsidRPr="00256266">
        <w:t>cy</w:t>
      </w:r>
    </w:p>
    <w:p w14:paraId="5B1A848A" w14:textId="103AC41F" w:rsidR="00766905" w:rsidRPr="00256266" w:rsidRDefault="00C5007E" w:rsidP="0055232F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 xml:space="preserve">Increase </w:t>
      </w:r>
      <w:r w:rsidR="00706E46" w:rsidRPr="00256266">
        <w:t xml:space="preserve">independency </w:t>
      </w:r>
      <w:r w:rsidRPr="00256266">
        <w:t>by r</w:t>
      </w:r>
      <w:r w:rsidR="00900460" w:rsidRPr="00256266">
        <w:t>educ</w:t>
      </w:r>
      <w:r w:rsidR="00706E46" w:rsidRPr="00256266">
        <w:t>ing</w:t>
      </w:r>
      <w:r w:rsidR="00900460" w:rsidRPr="00256266">
        <w:t xml:space="preserve"> overla</w:t>
      </w:r>
      <w:r w:rsidR="00766905" w:rsidRPr="00256266">
        <w:t xml:space="preserve">pping </w:t>
      </w:r>
      <w:r w:rsidR="00640877" w:rsidRPr="00256266">
        <w:t>(may reduce redundancy)</w:t>
      </w:r>
    </w:p>
    <w:p w14:paraId="607A78C7" w14:textId="77B2CDFE" w:rsidR="00AC2BC3" w:rsidRPr="00256266" w:rsidRDefault="00C5007E" w:rsidP="0055232F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 xml:space="preserve">Increase objectivity by </w:t>
      </w:r>
      <w:r w:rsidR="00706E46" w:rsidRPr="00256266">
        <w:t>splitting</w:t>
      </w:r>
      <w:r w:rsidR="00CD0A27" w:rsidRPr="00256266">
        <w:t>/restructur</w:t>
      </w:r>
      <w:r w:rsidR="00706E46" w:rsidRPr="00256266">
        <w:t xml:space="preserve">ing </w:t>
      </w:r>
      <w:r w:rsidR="00CD0A27" w:rsidRPr="00256266">
        <w:t>questions</w:t>
      </w:r>
    </w:p>
    <w:p w14:paraId="2E4CF09F" w14:textId="77777777" w:rsidR="00891CCE" w:rsidRPr="00256266" w:rsidRDefault="00455849" w:rsidP="0055232F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 xml:space="preserve">Improve hierarchy </w:t>
      </w:r>
      <w:r w:rsidR="00891CCE" w:rsidRPr="00256266">
        <w:t>by i</w:t>
      </w:r>
      <w:r w:rsidRPr="00256266">
        <w:t>dentify relationships among question</w:t>
      </w:r>
    </w:p>
    <w:p w14:paraId="0F70D4B2" w14:textId="77777777" w:rsidR="0012732E" w:rsidRPr="00256266" w:rsidRDefault="0012732E" w:rsidP="0012732E">
      <w:pPr>
        <w:pStyle w:val="ListParagraph"/>
        <w:spacing w:after="0" w:line="240" w:lineRule="auto"/>
        <w:ind w:left="1701"/>
      </w:pPr>
    </w:p>
    <w:p w14:paraId="737D5221" w14:textId="03E61039" w:rsidR="00FA6406" w:rsidRPr="00256266" w:rsidRDefault="009866E5" w:rsidP="00CF7ED6">
      <w:pPr>
        <w:pStyle w:val="ListParagraph"/>
        <w:numPr>
          <w:ilvl w:val="1"/>
          <w:numId w:val="1"/>
        </w:numPr>
        <w:spacing w:after="0" w:line="240" w:lineRule="auto"/>
        <w:ind w:left="1276" w:hanging="425"/>
      </w:pPr>
      <w:r w:rsidRPr="00256266">
        <w:t xml:space="preserve">Characterize </w:t>
      </w:r>
      <w:r w:rsidR="00FA6406" w:rsidRPr="00256266">
        <w:t xml:space="preserve">each </w:t>
      </w:r>
      <w:r w:rsidRPr="00256266">
        <w:t>question</w:t>
      </w:r>
      <w:r w:rsidR="00E72C6A" w:rsidRPr="00256266">
        <w:t xml:space="preserve"> by classifying </w:t>
      </w:r>
      <w:r w:rsidR="00B13CF3" w:rsidRPr="00256266">
        <w:t>them into</w:t>
      </w:r>
      <w:r w:rsidR="00D049FD" w:rsidRPr="00256266">
        <w:t xml:space="preserve"> topics</w:t>
      </w:r>
      <w:r w:rsidR="00660555" w:rsidRPr="00256266">
        <w:t xml:space="preserve"> (under study)</w:t>
      </w:r>
      <w:r w:rsidR="00FA6406" w:rsidRPr="00256266">
        <w:t>:</w:t>
      </w:r>
    </w:p>
    <w:p w14:paraId="6A587820" w14:textId="77777777" w:rsidR="0012732E" w:rsidRPr="00256266" w:rsidRDefault="0012732E" w:rsidP="0012732E">
      <w:pPr>
        <w:pStyle w:val="ListParagraph"/>
        <w:spacing w:after="0" w:line="240" w:lineRule="auto"/>
        <w:ind w:left="1276"/>
      </w:pPr>
    </w:p>
    <w:p w14:paraId="0011BEC4" w14:textId="46A60C2B" w:rsidR="00DB349B" w:rsidRPr="00256266" w:rsidRDefault="00660555" w:rsidP="0012732E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>Po</w:t>
      </w:r>
      <w:r w:rsidR="00C60A55" w:rsidRPr="00256266">
        <w:t xml:space="preserve">tential subjects: </w:t>
      </w:r>
      <w:r w:rsidR="00E75EDD" w:rsidRPr="00256266">
        <w:t>c</w:t>
      </w:r>
      <w:r w:rsidR="00D049FD" w:rsidRPr="00256266">
        <w:t xml:space="preserve">atches, </w:t>
      </w:r>
      <w:r w:rsidR="00891CCE" w:rsidRPr="00256266">
        <w:t>catch limits, data collection, landing exemptions</w:t>
      </w:r>
      <w:r w:rsidR="00916F4D" w:rsidRPr="00256266">
        <w:t xml:space="preserve"> and </w:t>
      </w:r>
      <w:r w:rsidR="00891CCE" w:rsidRPr="00256266">
        <w:t>limits, live releases,</w:t>
      </w:r>
      <w:r w:rsidR="008006BD" w:rsidRPr="00256266">
        <w:t xml:space="preserve"> </w:t>
      </w:r>
      <w:r w:rsidR="00C062EF" w:rsidRPr="00256266">
        <w:t>m</w:t>
      </w:r>
      <w:r w:rsidR="00891CCE" w:rsidRPr="00256266">
        <w:t>onitoring</w:t>
      </w:r>
      <w:r w:rsidR="00300A6F" w:rsidRPr="00256266">
        <w:t>/control/surveillance by fleet type</w:t>
      </w:r>
      <w:r w:rsidR="00891CCE" w:rsidRPr="00256266">
        <w:t xml:space="preserve">, </w:t>
      </w:r>
      <w:r w:rsidR="003B3AC6" w:rsidRPr="00256266">
        <w:t>crew security, domestic</w:t>
      </w:r>
      <w:r w:rsidR="0015319D" w:rsidRPr="00256266">
        <w:t xml:space="preserve"> </w:t>
      </w:r>
      <w:r w:rsidR="00891CCE" w:rsidRPr="00256266">
        <w:t>observer coverage, prohibitions, minimum sizes, sales prohibition, small-scale fisheries</w:t>
      </w:r>
      <w:r w:rsidR="0015319D" w:rsidRPr="00256266">
        <w:t>.</w:t>
      </w:r>
    </w:p>
    <w:p w14:paraId="0386374D" w14:textId="77777777" w:rsidR="0012732E" w:rsidRPr="00256266" w:rsidRDefault="0012732E" w:rsidP="0012732E">
      <w:pPr>
        <w:pStyle w:val="ListParagraph"/>
        <w:spacing w:after="0" w:line="240" w:lineRule="auto"/>
        <w:ind w:left="1701"/>
      </w:pPr>
    </w:p>
    <w:p w14:paraId="2F7A02A0" w14:textId="77777777" w:rsidR="009B35F9" w:rsidRPr="00256266" w:rsidRDefault="009B35F9" w:rsidP="00CF7ED6">
      <w:pPr>
        <w:pStyle w:val="ListParagraph"/>
        <w:numPr>
          <w:ilvl w:val="1"/>
          <w:numId w:val="1"/>
        </w:numPr>
        <w:spacing w:after="0" w:line="240" w:lineRule="auto"/>
        <w:ind w:left="1276" w:hanging="425"/>
      </w:pPr>
      <w:r w:rsidRPr="00256266">
        <w:t>Others:</w:t>
      </w:r>
    </w:p>
    <w:p w14:paraId="6DE29D5F" w14:textId="77777777" w:rsidR="0012732E" w:rsidRPr="00256266" w:rsidRDefault="0012732E" w:rsidP="0012732E">
      <w:pPr>
        <w:pStyle w:val="ListParagraph"/>
        <w:spacing w:after="0" w:line="240" w:lineRule="auto"/>
        <w:ind w:left="1276"/>
      </w:pPr>
    </w:p>
    <w:p w14:paraId="1A8FF71C" w14:textId="77777777" w:rsidR="00BC27DD" w:rsidRPr="00256266" w:rsidRDefault="00891CCE" w:rsidP="009265C7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 xml:space="preserve">Simplify </w:t>
      </w:r>
      <w:r w:rsidR="001A7548" w:rsidRPr="00256266">
        <w:t xml:space="preserve">(split) </w:t>
      </w:r>
      <w:r w:rsidRPr="00256266">
        <w:t>questions with multiple subjects</w:t>
      </w:r>
    </w:p>
    <w:p w14:paraId="3F4992A8" w14:textId="77777777" w:rsidR="00BC27DD" w:rsidRPr="00256266" w:rsidRDefault="00891CCE" w:rsidP="009265C7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>Evaluate overlapping in the resulting questions (potential redundancy)</w:t>
      </w:r>
    </w:p>
    <w:p w14:paraId="13009534" w14:textId="77777777" w:rsidR="00590A0A" w:rsidRPr="00256266" w:rsidRDefault="00FF235A" w:rsidP="009265C7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 xml:space="preserve">Identify </w:t>
      </w:r>
      <w:r w:rsidR="00CF0D69" w:rsidRPr="00256266">
        <w:t xml:space="preserve">questions with </w:t>
      </w:r>
      <w:r w:rsidRPr="00256266">
        <w:t xml:space="preserve">observable </w:t>
      </w:r>
      <w:r w:rsidR="00590A0A" w:rsidRPr="00256266">
        <w:t xml:space="preserve">response </w:t>
      </w:r>
      <w:r w:rsidR="005204B5" w:rsidRPr="00256266">
        <w:t xml:space="preserve">status </w:t>
      </w:r>
      <w:r w:rsidRPr="00256266">
        <w:t>(</w:t>
      </w:r>
      <w:r w:rsidR="005204B5" w:rsidRPr="00256266">
        <w:t xml:space="preserve">can be checked using </w:t>
      </w:r>
      <w:r w:rsidRPr="00256266">
        <w:t>effective data provision like Task 1 nominal catches)</w:t>
      </w:r>
    </w:p>
    <w:p w14:paraId="3D17584E" w14:textId="77777777" w:rsidR="005C6140" w:rsidRPr="00256266" w:rsidRDefault="00891CCE" w:rsidP="009265C7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 xml:space="preserve">Check if complementary explanatory notes to responses of type “YES”, “NO” “N/A” are </w:t>
      </w:r>
      <w:r w:rsidR="005C6140" w:rsidRPr="00256266">
        <w:t xml:space="preserve">necessary </w:t>
      </w:r>
      <w:r w:rsidRPr="00256266">
        <w:t>OR covered in other documents (e.g. Annual Reports)</w:t>
      </w:r>
    </w:p>
    <w:p w14:paraId="081C05EF" w14:textId="43A385B2" w:rsidR="00891CCE" w:rsidRPr="00256266" w:rsidRDefault="00891CCE" w:rsidP="009265C7">
      <w:pPr>
        <w:pStyle w:val="ListParagraph"/>
        <w:numPr>
          <w:ilvl w:val="2"/>
          <w:numId w:val="1"/>
        </w:numPr>
        <w:spacing w:after="0" w:line="240" w:lineRule="auto"/>
        <w:ind w:left="1701" w:hanging="425"/>
      </w:pPr>
      <w:r w:rsidRPr="00256266">
        <w:t>Check how feasible each response can be adapted to more quantitative responses (ratios, scales, etc.)</w:t>
      </w:r>
    </w:p>
    <w:p w14:paraId="3FE071FC" w14:textId="77777777" w:rsidR="00CF7ED6" w:rsidRPr="00256266" w:rsidRDefault="00CF7ED6" w:rsidP="00CF7ED6">
      <w:pPr>
        <w:pStyle w:val="ListParagraph"/>
        <w:spacing w:after="0" w:line="240" w:lineRule="auto"/>
        <w:ind w:left="1418"/>
      </w:pPr>
    </w:p>
    <w:p w14:paraId="750B6936" w14:textId="2A4AE82C" w:rsidR="002E66B2" w:rsidRPr="00256266" w:rsidRDefault="00EF1D00" w:rsidP="007C6968">
      <w:pPr>
        <w:spacing w:after="0" w:line="240" w:lineRule="auto"/>
      </w:pPr>
      <w:r w:rsidRPr="00256266">
        <w:t>The following const</w:t>
      </w:r>
      <w:r w:rsidR="00135BD1" w:rsidRPr="00256266">
        <w:t>r</w:t>
      </w:r>
      <w:r w:rsidRPr="00256266">
        <w:t>ains</w:t>
      </w:r>
      <w:r w:rsidR="00135BD1" w:rsidRPr="00256266">
        <w:t xml:space="preserve"> should </w:t>
      </w:r>
      <w:r w:rsidR="00935DEE" w:rsidRPr="00256266">
        <w:t>apply</w:t>
      </w:r>
      <w:r w:rsidR="002E66B2" w:rsidRPr="00256266">
        <w:t xml:space="preserve">: </w:t>
      </w:r>
    </w:p>
    <w:p w14:paraId="2B01F7A9" w14:textId="77777777" w:rsidR="00CF7ED6" w:rsidRPr="00256266" w:rsidRDefault="00CF7ED6" w:rsidP="007C6968">
      <w:pPr>
        <w:spacing w:after="0" w:line="240" w:lineRule="auto"/>
      </w:pPr>
    </w:p>
    <w:p w14:paraId="51D0213F" w14:textId="70A07161" w:rsidR="002E66B2" w:rsidRPr="00256266" w:rsidRDefault="002E66B2" w:rsidP="00CF7ED6">
      <w:pPr>
        <w:pStyle w:val="ListParagraph"/>
        <w:numPr>
          <w:ilvl w:val="0"/>
          <w:numId w:val="2"/>
        </w:numPr>
        <w:spacing w:after="0" w:line="240" w:lineRule="auto"/>
        <w:ind w:left="851" w:hanging="425"/>
      </w:pPr>
      <w:r w:rsidRPr="00256266">
        <w:t>Do not change any of the existing recommendations</w:t>
      </w:r>
      <w:r w:rsidR="00CF7ED6" w:rsidRPr="00256266">
        <w:t>,</w:t>
      </w:r>
      <w:r w:rsidRPr="00256266">
        <w:t xml:space="preserve"> </w:t>
      </w:r>
    </w:p>
    <w:p w14:paraId="389845A1" w14:textId="562A98D6" w:rsidR="002E66B2" w:rsidRPr="00256266" w:rsidRDefault="002E66B2" w:rsidP="00CF7ED6">
      <w:pPr>
        <w:pStyle w:val="ListParagraph"/>
        <w:numPr>
          <w:ilvl w:val="0"/>
          <w:numId w:val="2"/>
        </w:numPr>
        <w:spacing w:after="0" w:line="240" w:lineRule="auto"/>
        <w:ind w:left="851" w:hanging="425"/>
      </w:pPr>
      <w:r w:rsidRPr="00256266">
        <w:t>Adapt sheets to the new recommendations, as required</w:t>
      </w:r>
      <w:r w:rsidR="00CF7ED6" w:rsidRPr="00256266">
        <w:t>.</w:t>
      </w:r>
    </w:p>
    <w:p w14:paraId="7057BAA6" w14:textId="77777777" w:rsidR="00CF7ED6" w:rsidRPr="00256266" w:rsidRDefault="00CF7ED6" w:rsidP="00CF7ED6">
      <w:pPr>
        <w:pStyle w:val="Heading2"/>
        <w:spacing w:before="0" w:after="0" w:line="240" w:lineRule="auto"/>
        <w:ind w:left="0"/>
        <w:rPr>
          <w:sz w:val="20"/>
          <w:szCs w:val="20"/>
        </w:rPr>
      </w:pPr>
    </w:p>
    <w:p w14:paraId="6ABF2BFE" w14:textId="34F32ED0" w:rsidR="00935DEE" w:rsidRPr="00256266" w:rsidRDefault="00935DEE" w:rsidP="00CF7ED6">
      <w:pPr>
        <w:pStyle w:val="Heading2"/>
        <w:spacing w:before="0" w:after="0" w:line="240" w:lineRule="auto"/>
        <w:ind w:left="0"/>
        <w:rPr>
          <w:sz w:val="20"/>
          <w:szCs w:val="20"/>
        </w:rPr>
      </w:pPr>
      <w:r w:rsidRPr="00256266">
        <w:rPr>
          <w:sz w:val="20"/>
          <w:szCs w:val="20"/>
        </w:rPr>
        <w:t xml:space="preserve">Results </w:t>
      </w:r>
    </w:p>
    <w:p w14:paraId="1A02BC77" w14:textId="77777777" w:rsidR="00572EA6" w:rsidRPr="00256266" w:rsidRDefault="00572EA6" w:rsidP="007C6968">
      <w:pPr>
        <w:spacing w:after="0" w:line="240" w:lineRule="auto"/>
      </w:pPr>
    </w:p>
    <w:p w14:paraId="192A2768" w14:textId="1C7AEC2D" w:rsidR="00DA18D0" w:rsidRPr="00225526" w:rsidRDefault="00B41F12" w:rsidP="007C6968">
      <w:pPr>
        <w:spacing w:after="0" w:line="240" w:lineRule="auto"/>
      </w:pPr>
      <w:r w:rsidRPr="00256266">
        <w:t>Preliminary results of this work should be presented at the next WG-ORT intersessional meeting (Feb</w:t>
      </w:r>
      <w:r w:rsidR="00314831" w:rsidRPr="00256266">
        <w:t xml:space="preserve">ruary </w:t>
      </w:r>
      <w:r w:rsidRPr="00256266">
        <w:t>2026)</w:t>
      </w:r>
      <w:r w:rsidR="009929ED" w:rsidRPr="00256266">
        <w:t xml:space="preserve"> for a </w:t>
      </w:r>
      <w:r w:rsidR="003C6C2D" w:rsidRPr="00256266">
        <w:t>first evaluation and further deliberations</w:t>
      </w:r>
      <w:r w:rsidRPr="00256266">
        <w:t xml:space="preserve">. </w:t>
      </w:r>
      <w:r w:rsidR="001D7A8E" w:rsidRPr="00256266">
        <w:t xml:space="preserve">The final proposal </w:t>
      </w:r>
      <w:r w:rsidR="00BA7C4F" w:rsidRPr="00256266">
        <w:t>should be presented at the 2026</w:t>
      </w:r>
      <w:r w:rsidR="007B470B" w:rsidRPr="00256266">
        <w:t xml:space="preserve"> annual meeting of the Commission</w:t>
      </w:r>
      <w:r w:rsidR="00BA7C4F" w:rsidRPr="00256266">
        <w:t xml:space="preserve">, </w:t>
      </w:r>
      <w:r w:rsidR="00144015" w:rsidRPr="00256266">
        <w:t>jointly by the</w:t>
      </w:r>
      <w:r w:rsidR="007B470B" w:rsidRPr="00256266">
        <w:t xml:space="preserve"> Chairs of Panel </w:t>
      </w:r>
      <w:r w:rsidR="00144015" w:rsidRPr="00256266">
        <w:t>4, COC,</w:t>
      </w:r>
      <w:r w:rsidR="00DA18D0" w:rsidRPr="00256266">
        <w:t xml:space="preserve"> and </w:t>
      </w:r>
      <w:r w:rsidR="00AB3D4C" w:rsidRPr="00256266">
        <w:t>WG-ORT</w:t>
      </w:r>
      <w:r w:rsidR="00DA18D0" w:rsidRPr="00256266">
        <w:t>.</w:t>
      </w:r>
    </w:p>
    <w:sectPr w:rsidR="00DA18D0" w:rsidRPr="00225526" w:rsidSect="00B91B1B">
      <w:headerReference w:type="default" r:id="rId35"/>
      <w:footerReference w:type="default" r:id="rId36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71C2" w14:textId="77777777" w:rsidR="00184135" w:rsidRDefault="00184135" w:rsidP="00B41F12">
      <w:r>
        <w:separator/>
      </w:r>
    </w:p>
  </w:endnote>
  <w:endnote w:type="continuationSeparator" w:id="0">
    <w:p w14:paraId="7A5D429C" w14:textId="77777777" w:rsidR="00184135" w:rsidRDefault="00184135" w:rsidP="00B4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565E" w14:textId="77777777" w:rsidR="007B65F1" w:rsidRPr="007B65F1" w:rsidRDefault="00256266" w:rsidP="007B65F1">
    <w:pP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Times New Roman"/>
        <w:sz w:val="24"/>
        <w:szCs w:val="24"/>
        <w:lang w:val="es-ES"/>
      </w:rPr>
    </w:pPr>
    <w:sdt>
      <w:sdtPr>
        <w:rPr>
          <w:rFonts w:ascii="Calibri" w:eastAsia="Calibri" w:hAnsi="Calibri" w:cs="Calibri"/>
          <w:kern w:val="0"/>
          <w:lang w:val="es-ES"/>
          <w14:ligatures w14:val="none"/>
        </w:rPr>
        <w:id w:val="1164588205"/>
        <w:docPartObj>
          <w:docPartGallery w:val="Page Numbers (Top of Page)"/>
          <w:docPartUnique/>
        </w:docPartObj>
      </w:sdtPr>
      <w:sdtEndPr/>
      <w:sdtContent>
        <w:r w:rsidR="007B65F1" w:rsidRPr="007B65F1">
          <w:rPr>
            <w:rFonts w:eastAsia="Calibri" w:cs="Calibri"/>
            <w:kern w:val="0"/>
            <w:lang w:val="es-ES"/>
            <w14:ligatures w14:val="none"/>
          </w:rPr>
          <w:fldChar w:fldCharType="begin"/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instrText xml:space="preserve"> PAGE </w:instrText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fldChar w:fldCharType="separate"/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t>1</w:t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fldChar w:fldCharType="end"/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t xml:space="preserve"> / </w:t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fldChar w:fldCharType="begin"/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instrText xml:space="preserve"> NUMPAGES  </w:instrText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fldChar w:fldCharType="separate"/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t>7</w:t>
        </w:r>
        <w:r w:rsidR="007B65F1" w:rsidRPr="007B65F1">
          <w:rPr>
            <w:rFonts w:eastAsia="Calibri" w:cs="Calibri"/>
            <w:kern w:val="0"/>
            <w:lang w:val="es-ES"/>
            <w14:ligatures w14:val="non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BD2E8" w14:textId="77777777" w:rsidR="00184135" w:rsidRDefault="00184135" w:rsidP="00B41F12">
      <w:r>
        <w:separator/>
      </w:r>
    </w:p>
  </w:footnote>
  <w:footnote w:type="continuationSeparator" w:id="0">
    <w:p w14:paraId="69EDB293" w14:textId="77777777" w:rsidR="00184135" w:rsidRDefault="00184135" w:rsidP="00B4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B6FA" w14:textId="11343530" w:rsidR="00B60FC1" w:rsidRPr="00B60FC1" w:rsidRDefault="00B60FC1" w:rsidP="00B60FC1">
    <w:pPr>
      <w:tabs>
        <w:tab w:val="center" w:pos="4680"/>
        <w:tab w:val="right" w:pos="9360"/>
      </w:tabs>
      <w:spacing w:after="0" w:line="240" w:lineRule="auto"/>
      <w:jc w:val="right"/>
      <w:rPr>
        <w:rFonts w:eastAsia="Yu Mincho" w:cs="Times New Roman"/>
        <w:b/>
        <w:bCs/>
        <w:lang w:val="en-US" w:eastAsia="ja-JP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B60FC1">
      <w:rPr>
        <w:rFonts w:eastAsia="Yu Mincho" w:cs="Times New Roman"/>
        <w:b/>
        <w:bCs/>
        <w:lang w:val="en-US" w:eastAsia="ja-JP"/>
      </w:rPr>
      <w:t>COC_3</w:t>
    </w:r>
    <w:r>
      <w:rPr>
        <w:rFonts w:eastAsia="Yu Mincho" w:cs="Times New Roman"/>
        <w:b/>
        <w:bCs/>
        <w:lang w:val="en-US" w:eastAsia="ja-JP"/>
      </w:rPr>
      <w:t>21</w:t>
    </w:r>
    <w:r w:rsidRPr="00B60FC1">
      <w:rPr>
        <w:rFonts w:eastAsia="Yu Mincho" w:cs="Times New Roman"/>
        <w:b/>
        <w:bCs/>
        <w:lang w:val="en-US" w:eastAsia="ja-JP"/>
      </w:rPr>
      <w:t>/2025</w:t>
    </w:r>
  </w:p>
  <w:p w14:paraId="5290587B" w14:textId="519830B2" w:rsidR="00B60FC1" w:rsidRPr="00B60FC1" w:rsidRDefault="00B60FC1" w:rsidP="00B60FC1">
    <w:pPr>
      <w:tabs>
        <w:tab w:val="center" w:pos="4680"/>
        <w:tab w:val="right" w:pos="9360"/>
      </w:tabs>
      <w:spacing w:after="0" w:line="240" w:lineRule="auto"/>
      <w:jc w:val="right"/>
      <w:rPr>
        <w:rFonts w:ascii="Aptos" w:eastAsia="Aptos" w:hAnsi="Aptos" w:cs="Times New Roman"/>
        <w:sz w:val="24"/>
        <w:szCs w:val="24"/>
        <w:lang w:val="es-ES"/>
      </w:rPr>
    </w:pPr>
    <w:r w:rsidRPr="00B60FC1">
      <w:rPr>
        <w:rFonts w:eastAsia="Yu Mincho" w:cs="Times New Roman"/>
        <w:lang w:val="en-US" w:eastAsia="ja-JP"/>
      </w:rPr>
      <w:fldChar w:fldCharType="begin"/>
    </w:r>
    <w:r w:rsidRPr="00B60FC1">
      <w:rPr>
        <w:rFonts w:eastAsia="Yu Mincho" w:cs="Times New Roman"/>
        <w:b/>
        <w:bCs/>
        <w:lang w:val="es-ES_tradnl" w:eastAsia="ja-JP"/>
      </w:rPr>
      <w:instrText xml:space="preserve"> TIME \@ "dd/MM/yyyy H:mm" </w:instrText>
    </w:r>
    <w:r w:rsidRPr="00B60FC1">
      <w:rPr>
        <w:rFonts w:eastAsia="Yu Mincho" w:cs="Times New Roman"/>
        <w:lang w:val="en-US" w:eastAsia="ja-JP"/>
      </w:rPr>
      <w:fldChar w:fldCharType="separate"/>
    </w:r>
    <w:r w:rsidR="00256266">
      <w:rPr>
        <w:rFonts w:eastAsia="Yu Mincho" w:cs="Times New Roman"/>
        <w:b/>
        <w:bCs/>
        <w:noProof/>
        <w:lang w:val="es-ES_tradnl" w:eastAsia="ja-JP"/>
      </w:rPr>
      <w:t>13/11/2025 9:50</w:t>
    </w:r>
    <w:r w:rsidRPr="00B60FC1">
      <w:rPr>
        <w:rFonts w:eastAsia="Yu Mincho" w:cs="Times New Roman"/>
        <w:lang w:val="en-US" w:eastAsia="ja-JP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F04CC"/>
    <w:multiLevelType w:val="hybridMultilevel"/>
    <w:tmpl w:val="F66C1A64"/>
    <w:lvl w:ilvl="0" w:tplc="414ED4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643B"/>
    <w:multiLevelType w:val="hybridMultilevel"/>
    <w:tmpl w:val="F13297F6"/>
    <w:lvl w:ilvl="0" w:tplc="55E8007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0945">
    <w:abstractNumId w:val="0"/>
  </w:num>
  <w:num w:numId="2" w16cid:durableId="147208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1E"/>
    <w:rsid w:val="0000472C"/>
    <w:rsid w:val="00006A54"/>
    <w:rsid w:val="00015431"/>
    <w:rsid w:val="00016FDA"/>
    <w:rsid w:val="00035422"/>
    <w:rsid w:val="0004129A"/>
    <w:rsid w:val="00041DC4"/>
    <w:rsid w:val="00047092"/>
    <w:rsid w:val="00047383"/>
    <w:rsid w:val="000538A9"/>
    <w:rsid w:val="00065217"/>
    <w:rsid w:val="000716EA"/>
    <w:rsid w:val="000734C2"/>
    <w:rsid w:val="000850E3"/>
    <w:rsid w:val="00096E30"/>
    <w:rsid w:val="000B016C"/>
    <w:rsid w:val="000B6872"/>
    <w:rsid w:val="000B6DC7"/>
    <w:rsid w:val="000D62A4"/>
    <w:rsid w:val="000E2E46"/>
    <w:rsid w:val="000E352A"/>
    <w:rsid w:val="000E459B"/>
    <w:rsid w:val="000F7AFE"/>
    <w:rsid w:val="001001C7"/>
    <w:rsid w:val="00120D13"/>
    <w:rsid w:val="00121C11"/>
    <w:rsid w:val="00123538"/>
    <w:rsid w:val="00125CA5"/>
    <w:rsid w:val="0012678F"/>
    <w:rsid w:val="00126F1E"/>
    <w:rsid w:val="0012732E"/>
    <w:rsid w:val="00135BD1"/>
    <w:rsid w:val="00136041"/>
    <w:rsid w:val="00144015"/>
    <w:rsid w:val="001444E8"/>
    <w:rsid w:val="0015319D"/>
    <w:rsid w:val="00155E91"/>
    <w:rsid w:val="00162B47"/>
    <w:rsid w:val="00165DB6"/>
    <w:rsid w:val="00166B16"/>
    <w:rsid w:val="001711CA"/>
    <w:rsid w:val="00176B40"/>
    <w:rsid w:val="001772ED"/>
    <w:rsid w:val="00184135"/>
    <w:rsid w:val="0019739C"/>
    <w:rsid w:val="001A07FF"/>
    <w:rsid w:val="001A7548"/>
    <w:rsid w:val="001B54D1"/>
    <w:rsid w:val="001C002A"/>
    <w:rsid w:val="001C20C5"/>
    <w:rsid w:val="001C372D"/>
    <w:rsid w:val="001D0128"/>
    <w:rsid w:val="001D6C93"/>
    <w:rsid w:val="001D7A8E"/>
    <w:rsid w:val="001E31CC"/>
    <w:rsid w:val="001E5604"/>
    <w:rsid w:val="001F442A"/>
    <w:rsid w:val="00205BC7"/>
    <w:rsid w:val="0021525A"/>
    <w:rsid w:val="00220B69"/>
    <w:rsid w:val="00224CDD"/>
    <w:rsid w:val="00225526"/>
    <w:rsid w:val="0023754E"/>
    <w:rsid w:val="00247175"/>
    <w:rsid w:val="002550BD"/>
    <w:rsid w:val="00256266"/>
    <w:rsid w:val="0026553D"/>
    <w:rsid w:val="002822AC"/>
    <w:rsid w:val="0029535E"/>
    <w:rsid w:val="002A1907"/>
    <w:rsid w:val="002C2FA0"/>
    <w:rsid w:val="002C3C15"/>
    <w:rsid w:val="002C661E"/>
    <w:rsid w:val="002D0D2A"/>
    <w:rsid w:val="002D0D3F"/>
    <w:rsid w:val="002D5DCA"/>
    <w:rsid w:val="002D6799"/>
    <w:rsid w:val="002D690B"/>
    <w:rsid w:val="002E66B2"/>
    <w:rsid w:val="002F0E11"/>
    <w:rsid w:val="002F4776"/>
    <w:rsid w:val="00300A6F"/>
    <w:rsid w:val="0030625C"/>
    <w:rsid w:val="00314831"/>
    <w:rsid w:val="00314E01"/>
    <w:rsid w:val="0031550A"/>
    <w:rsid w:val="003158BE"/>
    <w:rsid w:val="00334698"/>
    <w:rsid w:val="00345DC6"/>
    <w:rsid w:val="00375502"/>
    <w:rsid w:val="00376028"/>
    <w:rsid w:val="00376436"/>
    <w:rsid w:val="00380303"/>
    <w:rsid w:val="00385A4C"/>
    <w:rsid w:val="00386541"/>
    <w:rsid w:val="00387EB9"/>
    <w:rsid w:val="00391ADE"/>
    <w:rsid w:val="003B0352"/>
    <w:rsid w:val="003B0819"/>
    <w:rsid w:val="003B3AC6"/>
    <w:rsid w:val="003C08FA"/>
    <w:rsid w:val="003C2F23"/>
    <w:rsid w:val="003C2FFC"/>
    <w:rsid w:val="003C3871"/>
    <w:rsid w:val="003C6C2D"/>
    <w:rsid w:val="003C6DC9"/>
    <w:rsid w:val="003D2831"/>
    <w:rsid w:val="003E5482"/>
    <w:rsid w:val="003F0DB3"/>
    <w:rsid w:val="003F4D91"/>
    <w:rsid w:val="003F6888"/>
    <w:rsid w:val="00405524"/>
    <w:rsid w:val="00410DFA"/>
    <w:rsid w:val="004113FC"/>
    <w:rsid w:val="004177AA"/>
    <w:rsid w:val="004206C6"/>
    <w:rsid w:val="00441312"/>
    <w:rsid w:val="004500AC"/>
    <w:rsid w:val="00450747"/>
    <w:rsid w:val="00455849"/>
    <w:rsid w:val="00456E1F"/>
    <w:rsid w:val="00463FB3"/>
    <w:rsid w:val="00471DA6"/>
    <w:rsid w:val="00484DFD"/>
    <w:rsid w:val="00486D6C"/>
    <w:rsid w:val="00490D1D"/>
    <w:rsid w:val="00493F7D"/>
    <w:rsid w:val="00494494"/>
    <w:rsid w:val="00496407"/>
    <w:rsid w:val="004A1894"/>
    <w:rsid w:val="004A2C11"/>
    <w:rsid w:val="004A3BDA"/>
    <w:rsid w:val="004A452D"/>
    <w:rsid w:val="004B101D"/>
    <w:rsid w:val="004B4F53"/>
    <w:rsid w:val="004C2349"/>
    <w:rsid w:val="004C522F"/>
    <w:rsid w:val="004D1DEC"/>
    <w:rsid w:val="004D4FEB"/>
    <w:rsid w:val="004E5831"/>
    <w:rsid w:val="004F289D"/>
    <w:rsid w:val="004F3EB8"/>
    <w:rsid w:val="004F3FBE"/>
    <w:rsid w:val="005031EB"/>
    <w:rsid w:val="005036A9"/>
    <w:rsid w:val="0052022F"/>
    <w:rsid w:val="005204B5"/>
    <w:rsid w:val="00530948"/>
    <w:rsid w:val="00535F9F"/>
    <w:rsid w:val="005420BF"/>
    <w:rsid w:val="00545210"/>
    <w:rsid w:val="0055232F"/>
    <w:rsid w:val="00556379"/>
    <w:rsid w:val="00566676"/>
    <w:rsid w:val="005726BF"/>
    <w:rsid w:val="00572EA6"/>
    <w:rsid w:val="00580F1E"/>
    <w:rsid w:val="00586F91"/>
    <w:rsid w:val="005907DC"/>
    <w:rsid w:val="00590A0A"/>
    <w:rsid w:val="005C1949"/>
    <w:rsid w:val="005C46D2"/>
    <w:rsid w:val="005C6140"/>
    <w:rsid w:val="005D31B8"/>
    <w:rsid w:val="005D5373"/>
    <w:rsid w:val="005E067B"/>
    <w:rsid w:val="005E243B"/>
    <w:rsid w:val="005E3F05"/>
    <w:rsid w:val="005F3171"/>
    <w:rsid w:val="005F37A1"/>
    <w:rsid w:val="005F4D3A"/>
    <w:rsid w:val="006010F7"/>
    <w:rsid w:val="00606BBF"/>
    <w:rsid w:val="006269B2"/>
    <w:rsid w:val="00640877"/>
    <w:rsid w:val="00640FE0"/>
    <w:rsid w:val="00660555"/>
    <w:rsid w:val="0067215E"/>
    <w:rsid w:val="00677B68"/>
    <w:rsid w:val="00691233"/>
    <w:rsid w:val="006C2157"/>
    <w:rsid w:val="006F565C"/>
    <w:rsid w:val="006F68D4"/>
    <w:rsid w:val="00706E46"/>
    <w:rsid w:val="00711D23"/>
    <w:rsid w:val="00713F88"/>
    <w:rsid w:val="007264FD"/>
    <w:rsid w:val="00743EBD"/>
    <w:rsid w:val="00750B99"/>
    <w:rsid w:val="00763B84"/>
    <w:rsid w:val="00766905"/>
    <w:rsid w:val="007765A8"/>
    <w:rsid w:val="00791535"/>
    <w:rsid w:val="00791AD9"/>
    <w:rsid w:val="007A1AEE"/>
    <w:rsid w:val="007B1487"/>
    <w:rsid w:val="007B2484"/>
    <w:rsid w:val="007B2695"/>
    <w:rsid w:val="007B470B"/>
    <w:rsid w:val="007B65F1"/>
    <w:rsid w:val="007B768F"/>
    <w:rsid w:val="007C4F7C"/>
    <w:rsid w:val="007C6968"/>
    <w:rsid w:val="007D673D"/>
    <w:rsid w:val="007E3C00"/>
    <w:rsid w:val="007F66D9"/>
    <w:rsid w:val="008002D4"/>
    <w:rsid w:val="008006BD"/>
    <w:rsid w:val="00804A94"/>
    <w:rsid w:val="00817C43"/>
    <w:rsid w:val="008320FB"/>
    <w:rsid w:val="00834B06"/>
    <w:rsid w:val="008534BA"/>
    <w:rsid w:val="00860B94"/>
    <w:rsid w:val="00862EB5"/>
    <w:rsid w:val="00867C0D"/>
    <w:rsid w:val="0087661A"/>
    <w:rsid w:val="00883C9A"/>
    <w:rsid w:val="00883D69"/>
    <w:rsid w:val="00885173"/>
    <w:rsid w:val="00886E78"/>
    <w:rsid w:val="00891148"/>
    <w:rsid w:val="00891CCE"/>
    <w:rsid w:val="00892420"/>
    <w:rsid w:val="008A345E"/>
    <w:rsid w:val="008A558B"/>
    <w:rsid w:val="008C141F"/>
    <w:rsid w:val="008C62C9"/>
    <w:rsid w:val="008D2FFE"/>
    <w:rsid w:val="008D35A8"/>
    <w:rsid w:val="008D6D5E"/>
    <w:rsid w:val="008E0A57"/>
    <w:rsid w:val="008E22E5"/>
    <w:rsid w:val="008E6744"/>
    <w:rsid w:val="008F12FC"/>
    <w:rsid w:val="008F27CC"/>
    <w:rsid w:val="00900460"/>
    <w:rsid w:val="00903B1F"/>
    <w:rsid w:val="00905EDD"/>
    <w:rsid w:val="009067BA"/>
    <w:rsid w:val="00910762"/>
    <w:rsid w:val="0091389F"/>
    <w:rsid w:val="00916F4D"/>
    <w:rsid w:val="00920427"/>
    <w:rsid w:val="0092331A"/>
    <w:rsid w:val="009252BD"/>
    <w:rsid w:val="009265C7"/>
    <w:rsid w:val="0093127D"/>
    <w:rsid w:val="00932573"/>
    <w:rsid w:val="00935DEE"/>
    <w:rsid w:val="00942FBB"/>
    <w:rsid w:val="0095083D"/>
    <w:rsid w:val="0095700C"/>
    <w:rsid w:val="00960A1E"/>
    <w:rsid w:val="00963FB8"/>
    <w:rsid w:val="00980780"/>
    <w:rsid w:val="0098553F"/>
    <w:rsid w:val="009866E5"/>
    <w:rsid w:val="009929ED"/>
    <w:rsid w:val="0099362B"/>
    <w:rsid w:val="00997E6D"/>
    <w:rsid w:val="009A33DE"/>
    <w:rsid w:val="009A3D9F"/>
    <w:rsid w:val="009B35F9"/>
    <w:rsid w:val="009B6E5A"/>
    <w:rsid w:val="009C1535"/>
    <w:rsid w:val="009D5F71"/>
    <w:rsid w:val="009D630E"/>
    <w:rsid w:val="009E4F96"/>
    <w:rsid w:val="009F291E"/>
    <w:rsid w:val="00A04536"/>
    <w:rsid w:val="00A13A76"/>
    <w:rsid w:val="00A16A13"/>
    <w:rsid w:val="00A220A3"/>
    <w:rsid w:val="00A339F4"/>
    <w:rsid w:val="00A362E4"/>
    <w:rsid w:val="00A444B0"/>
    <w:rsid w:val="00A67E84"/>
    <w:rsid w:val="00A71711"/>
    <w:rsid w:val="00A747BF"/>
    <w:rsid w:val="00A80237"/>
    <w:rsid w:val="00A8151E"/>
    <w:rsid w:val="00A864B1"/>
    <w:rsid w:val="00A97B79"/>
    <w:rsid w:val="00AA12F8"/>
    <w:rsid w:val="00AA262A"/>
    <w:rsid w:val="00AA58B0"/>
    <w:rsid w:val="00AB359B"/>
    <w:rsid w:val="00AB3A50"/>
    <w:rsid w:val="00AB3D4C"/>
    <w:rsid w:val="00AB53D7"/>
    <w:rsid w:val="00AB7153"/>
    <w:rsid w:val="00AC2BC3"/>
    <w:rsid w:val="00AC7A0F"/>
    <w:rsid w:val="00AD02AD"/>
    <w:rsid w:val="00AD47CD"/>
    <w:rsid w:val="00AE1F8C"/>
    <w:rsid w:val="00AF1F8D"/>
    <w:rsid w:val="00AF3308"/>
    <w:rsid w:val="00B05847"/>
    <w:rsid w:val="00B12CB8"/>
    <w:rsid w:val="00B13ADA"/>
    <w:rsid w:val="00B13CF3"/>
    <w:rsid w:val="00B23920"/>
    <w:rsid w:val="00B30BFF"/>
    <w:rsid w:val="00B41243"/>
    <w:rsid w:val="00B41F12"/>
    <w:rsid w:val="00B46169"/>
    <w:rsid w:val="00B47872"/>
    <w:rsid w:val="00B53FAB"/>
    <w:rsid w:val="00B57FCA"/>
    <w:rsid w:val="00B60FC1"/>
    <w:rsid w:val="00B715C3"/>
    <w:rsid w:val="00B7250A"/>
    <w:rsid w:val="00B76B78"/>
    <w:rsid w:val="00B8100F"/>
    <w:rsid w:val="00B82801"/>
    <w:rsid w:val="00B83CF2"/>
    <w:rsid w:val="00B859D2"/>
    <w:rsid w:val="00B91B1B"/>
    <w:rsid w:val="00BA7C4F"/>
    <w:rsid w:val="00BB4C83"/>
    <w:rsid w:val="00BB70FF"/>
    <w:rsid w:val="00BC27DD"/>
    <w:rsid w:val="00BC2DFC"/>
    <w:rsid w:val="00BD7D23"/>
    <w:rsid w:val="00BE2ABB"/>
    <w:rsid w:val="00BF39C1"/>
    <w:rsid w:val="00BF725D"/>
    <w:rsid w:val="00C01237"/>
    <w:rsid w:val="00C062EF"/>
    <w:rsid w:val="00C06884"/>
    <w:rsid w:val="00C200CF"/>
    <w:rsid w:val="00C2233A"/>
    <w:rsid w:val="00C23ECD"/>
    <w:rsid w:val="00C24B59"/>
    <w:rsid w:val="00C2502F"/>
    <w:rsid w:val="00C44222"/>
    <w:rsid w:val="00C5007E"/>
    <w:rsid w:val="00C565F1"/>
    <w:rsid w:val="00C60A55"/>
    <w:rsid w:val="00C64D18"/>
    <w:rsid w:val="00C83EB4"/>
    <w:rsid w:val="00C85812"/>
    <w:rsid w:val="00C85ACB"/>
    <w:rsid w:val="00C85D1D"/>
    <w:rsid w:val="00C8740C"/>
    <w:rsid w:val="00C93F26"/>
    <w:rsid w:val="00CB4284"/>
    <w:rsid w:val="00CC4673"/>
    <w:rsid w:val="00CC566D"/>
    <w:rsid w:val="00CD0A27"/>
    <w:rsid w:val="00CD1F80"/>
    <w:rsid w:val="00CD436E"/>
    <w:rsid w:val="00CD776C"/>
    <w:rsid w:val="00CE56F8"/>
    <w:rsid w:val="00CF0D69"/>
    <w:rsid w:val="00CF28D2"/>
    <w:rsid w:val="00CF7ED6"/>
    <w:rsid w:val="00D049FD"/>
    <w:rsid w:val="00D064D2"/>
    <w:rsid w:val="00D12764"/>
    <w:rsid w:val="00D14FCD"/>
    <w:rsid w:val="00D16E81"/>
    <w:rsid w:val="00D21108"/>
    <w:rsid w:val="00D25B68"/>
    <w:rsid w:val="00D37216"/>
    <w:rsid w:val="00D44129"/>
    <w:rsid w:val="00D467BB"/>
    <w:rsid w:val="00D5002F"/>
    <w:rsid w:val="00D52916"/>
    <w:rsid w:val="00D53305"/>
    <w:rsid w:val="00D55DA3"/>
    <w:rsid w:val="00D86E0E"/>
    <w:rsid w:val="00D91BDF"/>
    <w:rsid w:val="00D97A8C"/>
    <w:rsid w:val="00DA18D0"/>
    <w:rsid w:val="00DA1C37"/>
    <w:rsid w:val="00DA6907"/>
    <w:rsid w:val="00DB349B"/>
    <w:rsid w:val="00DC0973"/>
    <w:rsid w:val="00DC5EAD"/>
    <w:rsid w:val="00DC5F4C"/>
    <w:rsid w:val="00DD3ABD"/>
    <w:rsid w:val="00DD7C6D"/>
    <w:rsid w:val="00DE1AED"/>
    <w:rsid w:val="00DF11CF"/>
    <w:rsid w:val="00DF6B51"/>
    <w:rsid w:val="00E1332A"/>
    <w:rsid w:val="00E15EB3"/>
    <w:rsid w:val="00E22A9F"/>
    <w:rsid w:val="00E36E27"/>
    <w:rsid w:val="00E40DCE"/>
    <w:rsid w:val="00E41298"/>
    <w:rsid w:val="00E4131A"/>
    <w:rsid w:val="00E621FF"/>
    <w:rsid w:val="00E65018"/>
    <w:rsid w:val="00E67905"/>
    <w:rsid w:val="00E7146C"/>
    <w:rsid w:val="00E72C6A"/>
    <w:rsid w:val="00E73419"/>
    <w:rsid w:val="00E7369D"/>
    <w:rsid w:val="00E75EDD"/>
    <w:rsid w:val="00E81864"/>
    <w:rsid w:val="00E86CD7"/>
    <w:rsid w:val="00E91D26"/>
    <w:rsid w:val="00E92D21"/>
    <w:rsid w:val="00E92DF5"/>
    <w:rsid w:val="00E9694E"/>
    <w:rsid w:val="00EA7A1E"/>
    <w:rsid w:val="00EB38E6"/>
    <w:rsid w:val="00EB3A9E"/>
    <w:rsid w:val="00EB40D6"/>
    <w:rsid w:val="00ED1B84"/>
    <w:rsid w:val="00ED1EBB"/>
    <w:rsid w:val="00EE5037"/>
    <w:rsid w:val="00EF1D00"/>
    <w:rsid w:val="00EF2720"/>
    <w:rsid w:val="00F04946"/>
    <w:rsid w:val="00F13BAC"/>
    <w:rsid w:val="00F17885"/>
    <w:rsid w:val="00F20561"/>
    <w:rsid w:val="00F26740"/>
    <w:rsid w:val="00F27E7A"/>
    <w:rsid w:val="00F3507F"/>
    <w:rsid w:val="00F43331"/>
    <w:rsid w:val="00F433EE"/>
    <w:rsid w:val="00F43A7B"/>
    <w:rsid w:val="00F555D7"/>
    <w:rsid w:val="00F618F0"/>
    <w:rsid w:val="00F72018"/>
    <w:rsid w:val="00F74BAE"/>
    <w:rsid w:val="00F805BE"/>
    <w:rsid w:val="00F933CD"/>
    <w:rsid w:val="00F95B6F"/>
    <w:rsid w:val="00F96BF5"/>
    <w:rsid w:val="00FA6406"/>
    <w:rsid w:val="00FA71A2"/>
    <w:rsid w:val="00FB6591"/>
    <w:rsid w:val="00FB6DCD"/>
    <w:rsid w:val="00FC538B"/>
    <w:rsid w:val="00FD37AA"/>
    <w:rsid w:val="00FE6457"/>
    <w:rsid w:val="00FF235A"/>
    <w:rsid w:val="00FF597D"/>
    <w:rsid w:val="00FF69D2"/>
    <w:rsid w:val="05EA1748"/>
    <w:rsid w:val="16612CF5"/>
    <w:rsid w:val="215F273E"/>
    <w:rsid w:val="480AE5A9"/>
    <w:rsid w:val="538CEE3D"/>
    <w:rsid w:val="5A7DFBB1"/>
    <w:rsid w:val="6AE0C3D3"/>
    <w:rsid w:val="72AF125D"/>
    <w:rsid w:val="784B9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A121E"/>
  <w15:chartTrackingRefBased/>
  <w15:docId w15:val="{3FE74850-CCF4-4A39-B692-73849980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12"/>
    <w:pPr>
      <w:spacing w:after="120"/>
      <w:jc w:val="both"/>
    </w:pPr>
    <w:rPr>
      <w:rFonts w:ascii="Cambria" w:hAnsi="Cambria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61"/>
    <w:pPr>
      <w:keepNext/>
      <w:keepLines/>
      <w:spacing w:before="160" w:after="80"/>
      <w:ind w:left="284"/>
      <w:outlineLvl w:val="1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561"/>
    <w:rPr>
      <w:rFonts w:asciiTheme="majorHAnsi" w:eastAsiaTheme="majorEastAsia" w:hAnsiTheme="majorHAnsi" w:cstheme="majorBidi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0561"/>
    <w:rPr>
      <w:rFonts w:asciiTheme="majorHAnsi" w:eastAsiaTheme="majorEastAsia" w:hAnsiTheme="majorHAnsi" w:cstheme="majorBidi"/>
      <w:b/>
      <w:bCs/>
      <w:i/>
      <w:iCs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1E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1E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1E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1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1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1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1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B4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aps/>
      <w:spacing w:val="-10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0D6"/>
    <w:rPr>
      <w:rFonts w:asciiTheme="majorHAnsi" w:eastAsiaTheme="majorEastAsia" w:hAnsiTheme="majorHAnsi" w:cstheme="majorBidi"/>
      <w:b/>
      <w:bCs/>
      <w:caps/>
      <w:spacing w:val="-10"/>
      <w:kern w:val="28"/>
      <w:sz w:val="28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91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F29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91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F2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9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1E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F291E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3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3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DE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93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F7D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933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0472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38A9"/>
    <w:pPr>
      <w:spacing w:after="0" w:line="240" w:lineRule="auto"/>
    </w:pPr>
    <w:rPr>
      <w:rFonts w:ascii="Cambria" w:hAnsi="Cambri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ccat.int/Documents/Meetings/Docs/2024/Reports/2024_WG-ORT_ENG.pdf" TargetMode="External"/><Relationship Id="rId18" Type="http://schemas.openxmlformats.org/officeDocument/2006/relationships/hyperlink" Target="https://www.iccat.int/Documents/Recs/compendiopdf-e/2004-10-e.pdf" TargetMode="External"/><Relationship Id="rId26" Type="http://schemas.openxmlformats.org/officeDocument/2006/relationships/hyperlink" Target="https://www.iccat.int/Documents/Recs/compendiopdf-e/2018-06-e.pdf" TargetMode="External"/><Relationship Id="rId21" Type="http://schemas.openxmlformats.org/officeDocument/2006/relationships/hyperlink" Target="https://www.iccat.int/Documents/Recs/compendiopdf-e/2010-07-e.pdf" TargetMode="External"/><Relationship Id="rId34" Type="http://schemas.openxmlformats.org/officeDocument/2006/relationships/hyperlink" Target="https://www.iccat.int/Documents/Meetings/Docs/2025/Reports/2025_WG-ORT_ENG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ccat.int/Documents/Meetings/Docs/2023/REPORTS/2023_WG-ORT_ENG.pdf" TargetMode="External"/><Relationship Id="rId17" Type="http://schemas.openxmlformats.org/officeDocument/2006/relationships/hyperlink" Target="https://www.iccat.int/Documents/Recs/compendiopdf-e/2019-05-e.pdf" TargetMode="External"/><Relationship Id="rId25" Type="http://schemas.openxmlformats.org/officeDocument/2006/relationships/hyperlink" Target="https://www.iccat.int/Documents/Recs/compendiopdf-e/2015-06-e.pdf" TargetMode="External"/><Relationship Id="rId33" Type="http://schemas.openxmlformats.org/officeDocument/2006/relationships/hyperlink" Target="https://www.iccat.int/com2024/ENG/PA4_807_ENG.pdf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cat.int/Documents/Recs/compendiopdf-e/2018-05-e.pdf" TargetMode="External"/><Relationship Id="rId20" Type="http://schemas.openxmlformats.org/officeDocument/2006/relationships/hyperlink" Target="https://www.iccat.int/Documents/Recs/compendiopdf-e/2009-07-e.pdf" TargetMode="External"/><Relationship Id="rId29" Type="http://schemas.openxmlformats.org/officeDocument/2006/relationships/hyperlink" Target="https://www.iccat.int/Documents/Recs/compendiopdf-e/2023-10-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cat.int/Documents/Meetings/Docs/2022/REPORTS/2022_WG_ORT_ENG.pdf" TargetMode="External"/><Relationship Id="rId24" Type="http://schemas.openxmlformats.org/officeDocument/2006/relationships/hyperlink" Target="https://www.iccat.int/Documents/Recs/compendiopdf-e/2011-15-e.pdf" TargetMode="External"/><Relationship Id="rId32" Type="http://schemas.openxmlformats.org/officeDocument/2006/relationships/hyperlink" Target="https://www.iccat.int/Documents/Recs/compendiopdf-e/2024-12-e.pdf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ccat.int/Documents/Recs/compendiopdf-e/2016-11-e.pdf" TargetMode="External"/><Relationship Id="rId23" Type="http://schemas.openxmlformats.org/officeDocument/2006/relationships/hyperlink" Target="https://www.iccat.int/Documents/Recs/compendiopdf-e/2011-08-e.pdf" TargetMode="External"/><Relationship Id="rId28" Type="http://schemas.openxmlformats.org/officeDocument/2006/relationships/hyperlink" Target="https://www.iccat.int/Documents/Recs/compendiopdf-e/2022-11-e.pdf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ccat.int/Documents/Recs/compendiopdf-e/2007-06-e.pdf" TargetMode="External"/><Relationship Id="rId31" Type="http://schemas.openxmlformats.org/officeDocument/2006/relationships/hyperlink" Target="https://www.iccat.int/Documents/Recs/compendiopdf-e/2023-12-e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cat.int/com2024/ENG/PA4_807_ENG.pdf" TargetMode="External"/><Relationship Id="rId22" Type="http://schemas.openxmlformats.org/officeDocument/2006/relationships/hyperlink" Target="https://www.iccat.int/Documents/Recs/compendiopdf-e/2010-08-e.pdf" TargetMode="External"/><Relationship Id="rId27" Type="http://schemas.openxmlformats.org/officeDocument/2006/relationships/hyperlink" Target="https://www.iccat.int/Documents/Recs/compendiopdf-e/2021-09-e.pdf" TargetMode="External"/><Relationship Id="rId30" Type="http://schemas.openxmlformats.org/officeDocument/2006/relationships/hyperlink" Target="https://www.iccat.int/Documents/Recs/compendiopdf-e/2023-11-e.pdf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a38256-9035-4c83-a88e-6b3ee2b9dbf8" xsi:nil="true"/>
    <lcf76f155ced4ddcb4097134ff3c332f xmlns="234e81f3-a66e-4c83-8385-0857ddfca1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D94236401CF449774E54927DAF70F" ma:contentTypeVersion="11" ma:contentTypeDescription="Create a new document." ma:contentTypeScope="" ma:versionID="64907b9a7faa034d9a08f475e6a4581d">
  <xsd:schema xmlns:xsd="http://www.w3.org/2001/XMLSchema" xmlns:xs="http://www.w3.org/2001/XMLSchema" xmlns:p="http://schemas.microsoft.com/office/2006/metadata/properties" xmlns:ns2="234e81f3-a66e-4c83-8385-0857ddfca1a0" xmlns:ns3="49a38256-9035-4c83-a88e-6b3ee2b9dbf8" targetNamespace="http://schemas.microsoft.com/office/2006/metadata/properties" ma:root="true" ma:fieldsID="c71abd724f0b6df144d3a0229e4390ea" ns2:_="" ns3:_="">
    <xsd:import namespace="234e81f3-a66e-4c83-8385-0857ddfca1a0"/>
    <xsd:import namespace="49a38256-9035-4c83-a88e-6b3ee2b9d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e81f3-a66e-4c83-8385-0857ddfca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93e85cc-e36d-4fcb-a8a6-48bf60db5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38256-9035-4c83-a88e-6b3ee2b9dbf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3a7584-af19-44d7-9542-44c169cb98e9}" ma:internalName="TaxCatchAll" ma:showField="CatchAllData" ma:web="49a38256-9035-4c83-a88e-6b3ee2b9d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ECE76-2CB0-4866-A269-5D471D740B7E}">
  <ds:schemaRefs>
    <ds:schemaRef ds:uri="http://schemas.microsoft.com/office/2006/metadata/properties"/>
    <ds:schemaRef ds:uri="http://schemas.microsoft.com/office/infopath/2007/PartnerControls"/>
    <ds:schemaRef ds:uri="49a38256-9035-4c83-a88e-6b3ee2b9dbf8"/>
    <ds:schemaRef ds:uri="234e81f3-a66e-4c83-8385-0857ddfca1a0"/>
  </ds:schemaRefs>
</ds:datastoreItem>
</file>

<file path=customXml/itemProps2.xml><?xml version="1.0" encoding="utf-8"?>
<ds:datastoreItem xmlns:ds="http://schemas.openxmlformats.org/officeDocument/2006/customXml" ds:itemID="{817DD845-A2E6-4974-9CEC-C027694BF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F842A-BF86-4388-969E-04E6F31CE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e81f3-a66e-4c83-8385-0857ddfca1a0"/>
    <ds:schemaRef ds:uri="49a38256-9035-4c83-a88e-6b3ee2b9d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1E07A-9BB7-4F82-AE99-B5BC4387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Palma</dc:creator>
  <cp:keywords/>
  <dc:description/>
  <cp:lastModifiedBy>Karen Donovan</cp:lastModifiedBy>
  <cp:revision>329</cp:revision>
  <dcterms:created xsi:type="dcterms:W3CDTF">2025-11-04T18:06:00Z</dcterms:created>
  <dcterms:modified xsi:type="dcterms:W3CDTF">2025-11-13T08:52:00Z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0x010100434D94236401CF449774E54927DAF70F</vt:lpwstr>
  </property>
  <property fmtid="{D5CDD505-2E9C-101B-9397-08002B2CF9AE}" pid="3" name="MediaServiceImageTags">
    <vt:lpwstr/>
  </property>
</Properties>
</file>