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2FE0" w14:textId="77777777" w:rsidR="00DB047D" w:rsidRPr="00DB047D" w:rsidRDefault="00DB047D" w:rsidP="00DB047D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Cambria" w:hAnsi="Cambria"/>
          <w:b/>
          <w:sz w:val="20"/>
        </w:rPr>
        <w:t>Original: inglés</w:t>
      </w:r>
    </w:p>
    <w:p w14:paraId="2572D132" w14:textId="77777777" w:rsidR="00DB047D" w:rsidRDefault="00DB047D" w:rsidP="00DB047D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67F42B58" w14:textId="2EA0F3F2" w:rsidR="00A90F29" w:rsidRDefault="00672CBF" w:rsidP="00DB047D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</w:rPr>
        <w:t>Consideración de la participación de no CPC en las pesquerías de ICCAT</w:t>
      </w:r>
    </w:p>
    <w:p w14:paraId="24977F84" w14:textId="77777777" w:rsidR="00DB047D" w:rsidRDefault="00DB047D" w:rsidP="00DB047D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3394FD59" w14:textId="547FF4FD" w:rsidR="004B1257" w:rsidRDefault="004B1257" w:rsidP="00DB047D">
      <w:pPr>
        <w:spacing w:after="0" w:line="240" w:lineRule="auto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sz w:val="20"/>
        </w:rPr>
        <w:t>(preparado por la Secretaría</w:t>
      </w:r>
      <w:r w:rsidR="003D44FB">
        <w:rPr>
          <w:rFonts w:ascii="Cambria" w:hAnsi="Cambria"/>
          <w:i/>
          <w:sz w:val="20"/>
        </w:rPr>
        <w:t xml:space="preserve"> de ICCAT</w:t>
      </w:r>
      <w:r>
        <w:rPr>
          <w:rFonts w:ascii="Cambria" w:hAnsi="Cambria"/>
          <w:i/>
          <w:sz w:val="20"/>
        </w:rPr>
        <w:t>, en consulta con Japón y el presidente del COC)</w:t>
      </w:r>
    </w:p>
    <w:p w14:paraId="2154006C" w14:textId="77777777" w:rsidR="00DB047D" w:rsidRPr="00FC542C" w:rsidRDefault="00DB047D" w:rsidP="00DB047D">
      <w:pPr>
        <w:spacing w:after="0" w:line="240" w:lineRule="auto"/>
        <w:rPr>
          <w:rFonts w:ascii="Cambria" w:hAnsi="Cambria"/>
          <w:i/>
          <w:iCs/>
          <w:sz w:val="20"/>
          <w:szCs w:val="20"/>
        </w:rPr>
      </w:pPr>
    </w:p>
    <w:p w14:paraId="454025D6" w14:textId="7BC82B1D" w:rsidR="00AF0508" w:rsidRPr="00AF0508" w:rsidRDefault="00AF0508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Este documento es la continuación del documento COC_320/2024, que se presentó en la 24ª Reunión extraordinaria de la Comisión, tras la presentación del documento COC_321/2023 por parte de Japón en la 28ª Reunión ordinaria de la Comisión, relativo a las capturas de túnidos y especies afines realizadas por parte de no CPC. Posteriormente, se solicitó a la Secretaría que recopilara los datos de capturas de las no CPC de los últimos cinco años, basándose en la información estadística remitida por las no CPC a la Secretaría, así como en los datos disponibles de la FAO. Los datos relevantes más actualizados figuran en la </w:t>
      </w:r>
      <w:r>
        <w:rPr>
          <w:rFonts w:ascii="Cambria" w:hAnsi="Cambria"/>
          <w:b/>
          <w:sz w:val="20"/>
        </w:rPr>
        <w:t>Tabla 1</w:t>
      </w:r>
      <w:r>
        <w:rPr>
          <w:rFonts w:ascii="Cambria" w:hAnsi="Cambria"/>
          <w:sz w:val="20"/>
        </w:rPr>
        <w:t xml:space="preserve"> de este documento.</w:t>
      </w:r>
    </w:p>
    <w:p w14:paraId="2328FE07" w14:textId="77777777" w:rsidR="00DB047D" w:rsidRPr="00FC542C" w:rsidRDefault="00DB047D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A823EA6" w14:textId="74B26E75" w:rsidR="00FC542C" w:rsidRDefault="00FC542C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Estos datos deberían indicar el volumen de capturas por especies y por no CPC y deberían ser tenidos en cuenta por la Comisión para evaluar la preocupación real. Podrían establecerse criterios para esta evaluación, como descartar las capturas que representen menos del 0,1 % del TAC.</w:t>
      </w:r>
    </w:p>
    <w:p w14:paraId="5BF3CBF5" w14:textId="77777777" w:rsidR="00DB047D" w:rsidRPr="003D44FB" w:rsidRDefault="00DB047D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8A2BCD9" w14:textId="754BC18F" w:rsidR="004B1257" w:rsidRDefault="004B1257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Otro punto de debate podría ser hasta qué punto la Comisión debería tolerar el aumento de las capturas por parte de las no CPC cuando el estado de</w:t>
      </w:r>
      <w:r w:rsidR="009F37C6">
        <w:rPr>
          <w:rFonts w:ascii="Cambria" w:hAnsi="Cambria"/>
          <w:sz w:val="20"/>
        </w:rPr>
        <w:t>l</w:t>
      </w:r>
      <w:r>
        <w:rPr>
          <w:rFonts w:ascii="Cambria" w:hAnsi="Cambria"/>
          <w:sz w:val="20"/>
        </w:rPr>
        <w:t xml:space="preserve"> stock está mejorando, lo que probablemente aumentará de forma natural sus capturas.</w:t>
      </w:r>
    </w:p>
    <w:p w14:paraId="12C2A226" w14:textId="77777777" w:rsidR="00C8676B" w:rsidRPr="00FC542C" w:rsidRDefault="00C8676B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775A717" w14:textId="24B04579" w:rsidR="001E6C30" w:rsidRDefault="001E6C30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Se han enviado cartas a Dominica, la República Dominicana, Jamaica, Montenegro, San Cristóbal y Nieves y Santa Lucía para solicitar su cooperación con ICCAT, lo que incluye la presentación a ICCAT de información sobre las pesquerías de ICCAT de las no CPC, así como su participación como observador, Parte no contratante colaboradora o Parte. También se envió a Colombia y a Gibraltar cartas en la que se solicitaba información sobre las pesquerías de ICCAT.</w:t>
      </w:r>
    </w:p>
    <w:p w14:paraId="00447031" w14:textId="77777777" w:rsidR="00DB047D" w:rsidRPr="003D44FB" w:rsidRDefault="00DB047D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FD0408B" w14:textId="65099CCF" w:rsidR="001B6BBE" w:rsidRPr="00FC542C" w:rsidRDefault="00773D06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La Secretaría también ha recopilado los datos estadísticos de las capturas nominales recibidas de las </w:t>
      </w:r>
      <w:proofErr w:type="gramStart"/>
      <w:r>
        <w:rPr>
          <w:rFonts w:ascii="Cambria" w:hAnsi="Cambria"/>
          <w:sz w:val="20"/>
        </w:rPr>
        <w:t>no CPC costeras</w:t>
      </w:r>
      <w:proofErr w:type="gramEnd"/>
      <w:r>
        <w:rPr>
          <w:rFonts w:ascii="Cambria" w:hAnsi="Cambria"/>
          <w:sz w:val="20"/>
        </w:rPr>
        <w:t xml:space="preserve"> en el </w:t>
      </w:r>
      <w:r>
        <w:rPr>
          <w:rFonts w:ascii="Cambria" w:hAnsi="Cambria"/>
          <w:b/>
          <w:sz w:val="20"/>
        </w:rPr>
        <w:t>Apéndice 1</w:t>
      </w:r>
      <w:r>
        <w:rPr>
          <w:rFonts w:ascii="Cambria" w:hAnsi="Cambria"/>
          <w:sz w:val="20"/>
        </w:rPr>
        <w:t xml:space="preserve"> de este documento.</w:t>
      </w:r>
    </w:p>
    <w:p w14:paraId="7F19DBD3" w14:textId="77777777" w:rsidR="00773D06" w:rsidRPr="00FC542C" w:rsidRDefault="00773D06" w:rsidP="00773D06">
      <w:pPr>
        <w:jc w:val="right"/>
        <w:rPr>
          <w:rFonts w:ascii="Cambria" w:hAnsi="Cambria"/>
          <w:b/>
          <w:bCs/>
          <w:sz w:val="18"/>
          <w:szCs w:val="18"/>
        </w:rPr>
        <w:sectPr w:rsidR="00773D06" w:rsidRPr="00FC542C" w:rsidSect="008B7F74">
          <w:headerReference w:type="default" r:id="rId7"/>
          <w:footerReference w:type="default" r:id="rId8"/>
          <w:pgSz w:w="11907" w:h="16840" w:code="9"/>
          <w:pgMar w:top="1418" w:right="1418" w:bottom="1418" w:left="1418" w:header="851" w:footer="1134" w:gutter="0"/>
          <w:cols w:space="720"/>
          <w:docGrid w:linePitch="360"/>
        </w:sectPr>
      </w:pPr>
    </w:p>
    <w:p w14:paraId="660B4B27" w14:textId="5DC892F7" w:rsidR="001B6BBE" w:rsidRPr="00DB047D" w:rsidRDefault="00773D06" w:rsidP="00DB047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</w:rPr>
        <w:lastRenderedPageBreak/>
        <w:t xml:space="preserve">Tabla 1. </w:t>
      </w:r>
      <w:r>
        <w:rPr>
          <w:rFonts w:ascii="Cambria" w:hAnsi="Cambria"/>
          <w:sz w:val="20"/>
        </w:rPr>
        <w:t>Capturas por no CP y especies en el océano Atlántico.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37"/>
        <w:gridCol w:w="1946"/>
        <w:gridCol w:w="1129"/>
        <w:gridCol w:w="1129"/>
        <w:gridCol w:w="983"/>
        <w:gridCol w:w="984"/>
        <w:gridCol w:w="839"/>
        <w:gridCol w:w="1012"/>
        <w:gridCol w:w="1012"/>
        <w:gridCol w:w="1012"/>
        <w:gridCol w:w="1012"/>
        <w:gridCol w:w="1009"/>
      </w:tblGrid>
      <w:tr w:rsidR="00B8702B" w:rsidRPr="00707F96" w14:paraId="2B828375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5D591" w14:textId="77777777" w:rsidR="00B8702B" w:rsidRPr="003D44FB" w:rsidRDefault="00B8702B" w:rsidP="00AA1B4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7B0EDC7C" w14:textId="77777777" w:rsidR="00B8702B" w:rsidRPr="003D44FB" w:rsidRDefault="00B8702B" w:rsidP="00AA1B4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27" w:type="pct"/>
            <w:gridSpan w:val="5"/>
            <w:tcBorders>
              <w:bottom w:val="nil"/>
            </w:tcBorders>
            <w:noWrap/>
            <w:vAlign w:val="center"/>
          </w:tcPr>
          <w:p w14:paraId="042D85D3" w14:textId="77777777" w:rsidR="00B8702B" w:rsidRPr="003D44FB" w:rsidRDefault="00B8702B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24" w:type="pct"/>
            <w:gridSpan w:val="5"/>
            <w:tcBorders>
              <w:bottom w:val="nil"/>
            </w:tcBorders>
            <w:noWrap/>
            <w:vAlign w:val="center"/>
          </w:tcPr>
          <w:p w14:paraId="61739E08" w14:textId="7E105465" w:rsidR="00B8702B" w:rsidRPr="00707F96" w:rsidRDefault="00B8702B" w:rsidP="00B8702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(Unidad: toneladas)</w:t>
            </w:r>
          </w:p>
        </w:tc>
      </w:tr>
      <w:tr w:rsidR="00AA1B4F" w:rsidRPr="00707F96" w14:paraId="31A2F5C0" w14:textId="77777777" w:rsidTr="00D2327A">
        <w:trPr>
          <w:trHeight w:val="34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E15E8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B5348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827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369725" w14:textId="77777777" w:rsidR="00AA1B4F" w:rsidRPr="00707F9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 xml:space="preserve">Fuente: FAO </w:t>
            </w:r>
            <w:proofErr w:type="spellStart"/>
            <w:r>
              <w:rPr>
                <w:rFonts w:ascii="Cambria" w:hAnsi="Cambria"/>
                <w:b/>
                <w:color w:val="000000"/>
                <w:sz w:val="18"/>
              </w:rPr>
              <w:t>FishStatJ</w:t>
            </w:r>
            <w:proofErr w:type="spellEnd"/>
          </w:p>
        </w:tc>
        <w:tc>
          <w:tcPr>
            <w:tcW w:w="1824" w:type="pct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5143CC" w14:textId="77777777" w:rsidR="00AA1B4F" w:rsidRPr="00707F9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Fuente: Datos estadísticos presentados a la Secretaría</w:t>
            </w:r>
          </w:p>
        </w:tc>
      </w:tr>
      <w:tr w:rsidR="00AA1B4F" w:rsidRPr="00707F96" w14:paraId="633CDE06" w14:textId="77777777" w:rsidTr="00B8702B">
        <w:trPr>
          <w:trHeight w:val="284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BA9E57" w14:textId="77777777" w:rsidR="00AA1B4F" w:rsidRPr="00707F9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 xml:space="preserve">País 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595668" w14:textId="77777777" w:rsidR="00AA1B4F" w:rsidRPr="00707F9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Especies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4B5B7" w14:textId="77777777" w:rsidR="00AA1B4F" w:rsidRPr="00707F9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2019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CBF077" w14:textId="77777777" w:rsidR="00AA1B4F" w:rsidRPr="00707F9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2020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D4EDE8" w14:textId="77777777" w:rsidR="00AA1B4F" w:rsidRPr="00707F9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2021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B7AD9A" w14:textId="77777777" w:rsidR="00AA1B4F" w:rsidRPr="00707F9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2022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8BE25B" w14:textId="77777777" w:rsidR="00AA1B4F" w:rsidRPr="00707F9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2023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77AF2C" w14:textId="77777777" w:rsidR="00AA1B4F" w:rsidRPr="00707F9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2019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881D53" w14:textId="77777777" w:rsidR="00AA1B4F" w:rsidRPr="00707F9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2020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D9DA30" w14:textId="77777777" w:rsidR="00AA1B4F" w:rsidRPr="00707F9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2021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941F89" w14:textId="77777777" w:rsidR="00AA1B4F" w:rsidRPr="00707F9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2022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8A71CF" w14:textId="77777777" w:rsidR="00AA1B4F" w:rsidRPr="00707F9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2023</w:t>
            </w:r>
          </w:p>
        </w:tc>
      </w:tr>
      <w:tr w:rsidR="00AA1B4F" w:rsidRPr="00707F96" w14:paraId="634DF327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857D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Argentina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F3E92B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Pez espada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11E0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B6EF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D2B5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2219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1,78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E609B4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F22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22C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01BE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98A5C0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1B746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46B14B80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078B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Colombia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0C3A50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Patudo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C83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6FF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9D12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6772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FA6B2F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E40F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E23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94B2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A64628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DE500A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170D440F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4C5D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Colombia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03D9E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Rabil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81D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10478,00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95E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14598,00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EB72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6748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0BFA17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2264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2E99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560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4A6DEF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68302E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55D56BC3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A3ED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Congo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B5A8F1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Pez espada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0A7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DDD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3,03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1E35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5,00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B690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E08DF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7,00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82BC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4FDE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F53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7E9C65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429ED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2C699713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EBC2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Dominica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C85C1B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Patudo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1735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03D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9EFF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61D5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7B0B9E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0,16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AFD2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FC34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4CD4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23743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FEBB71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25C9192E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7024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Dominica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C16C8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Rabil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BA3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180,00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B037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120,00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2A10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74,50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79D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75,00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9C2C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208,00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9F5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179,03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A6C6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307,02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DAAA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B7256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3E517E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2254CDB5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BB59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República Dominicana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3B23AB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Atún blanco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24E5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627,23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53D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380,39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03A0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476,91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EFC2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485,00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DBCF21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160,00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DCF5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9724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2EE5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84F9D4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7136EC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640C07C1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67A8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República Dominicana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E955C5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Atún rojo del Atlántico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5A2E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7AF7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30E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836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E02289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36,00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DD1A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789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EB7C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3D048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AA4B00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783B04A2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5F44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República Dominicana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D799C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Rabil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4191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217,37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4717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173,28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4161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217,25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022C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220,00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284D51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341,00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F583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A1AB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F95B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7A08E6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B44EAD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1EF0560B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A720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Gibraltar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713C3B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Atún rojo del Atlántico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99D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E6D5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2F2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BB39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62468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CA09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17,38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8D2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20,02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BA0E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21,58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6575CA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24,90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64A3E5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27,74</w:t>
            </w:r>
          </w:p>
        </w:tc>
      </w:tr>
      <w:tr w:rsidR="00AA1B4F" w:rsidRPr="00707F96" w14:paraId="42387F2D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1B346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Guyana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E73EA5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Patudo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4550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F430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4,00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C561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1,50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0276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225C2E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3F74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1,94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30F7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3,82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35D1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1,25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E74B6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801F2C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2579E2BC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B0ED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Guyana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5723D4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Pez espada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4A8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77C2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4,50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2F55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2,70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B24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0C7AC7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CDE1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1,73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034F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4,52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CDF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2,77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EFFAF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33ACD3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1B4A515C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1618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Guyana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881B8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Rabil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3202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48,00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391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128,00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E4D4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164,00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63F1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E106F6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1995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42,61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39AE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116,21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85C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164,02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01EF26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407160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5FA82729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F5F7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Israel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2BB968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Atún rojo del Atlántico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98DC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EDB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3FE2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07ADF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869894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17E5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97387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B286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9A8628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19B7AC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703B27FE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3C77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Montenegro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6382A4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Atún rojo del Atlántico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8626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59,00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3EF6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24,24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76F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23,00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FEAA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23,00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6A8238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34,00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7C9A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0D1E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0454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C1C87B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34F8D7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523CAF58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3DF3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Montenegro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A764B9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Pez espada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F80E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3,00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0BD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6,52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7638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7,00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10A5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5,00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BD5CA9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10,90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AD9D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415E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8B1D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AEBAD1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41B153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336CEA1A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95E9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San Cristóbal y Nieves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C70EC5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Patudo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09C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F0B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0,57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0A87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B9A8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A928F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4C47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F585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ABDC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A0E7C5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E84A07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604B5450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AF13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San Cristóbal y Nieves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25E9E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Pez espada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B0D5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C89F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7586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4F9A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E48A14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17E1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DAE6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1,17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59F5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33F2E2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F98AB6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419EA6ED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65FE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San Cristóbal y Nieves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B8E74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Rabil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AF11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D820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6,00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F8E7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0,24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6F04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F7AFA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E3F9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B1C9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5,94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15D5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74D7E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B4AEB2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2DA72AA8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97C7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Santa Lucía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9AAA6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Atún blanco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77CC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B09E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5945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490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9FC081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2,39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E6B0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AEE6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99E7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6CFF6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0,26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8F972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2,39</w:t>
            </w:r>
          </w:p>
        </w:tc>
      </w:tr>
      <w:tr w:rsidR="00AA1B4F" w:rsidRPr="00707F96" w14:paraId="476F0068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474D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Santa Lucía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80767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Patudo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B74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12,89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573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16,91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731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3,17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A091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2,80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57DEDA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2,17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148E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12,89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70B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8,56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E4B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3,17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B1DF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2,80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88AD58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2,17</w:t>
            </w:r>
          </w:p>
        </w:tc>
      </w:tr>
      <w:tr w:rsidR="00AA1B4F" w:rsidRPr="00707F96" w14:paraId="584FE07E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5DCB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Santa Lucía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6DD737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Pez espada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21B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1172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2EAF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DB8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B959E2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0CA4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CBBE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FB89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D837F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0,03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A78FA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</w:tr>
      <w:tr w:rsidR="00AA1B4F" w:rsidRPr="00707F96" w14:paraId="202F69CA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1B2B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Santa Lucía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2E87C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Rabil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DA8C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171,85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518C7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189,54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85F8AA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156,28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13FEA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173,80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1DC9A7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156,11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D6BF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171,85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3761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189,54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3D7C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156,28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C8F32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173,80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3E402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156,11</w:t>
            </w:r>
          </w:p>
        </w:tc>
      </w:tr>
      <w:tr w:rsidR="00AA1B4F" w:rsidRPr="00707F96" w14:paraId="052ACDE4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3383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Togo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970D37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Patudo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F50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45,00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3BA6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60,00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14B0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18,00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856B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D43FC7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69F9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1D2C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DECD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4832B1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CD906F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28C89A35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2955F4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Togo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D35F57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Pez espada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FD3D15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3,00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1D3C7A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5,00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A5D2B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925BE7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2,00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DC6C16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1,10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2B4031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4A541F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89E534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2AE1B8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223EA" w14:textId="77777777" w:rsidR="00AA1B4F" w:rsidRPr="00707F9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A1B4F" w:rsidRPr="00707F96" w14:paraId="1DA54943" w14:textId="77777777" w:rsidTr="00C80FFC">
        <w:trPr>
          <w:trHeight w:val="34"/>
        </w:trPr>
        <w:tc>
          <w:tcPr>
            <w:tcW w:w="13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D0A0B2" w14:textId="77777777" w:rsidR="00AA1B4F" w:rsidRPr="00707F9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Total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B1A469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11861,00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FCF829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15731,28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C8F039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1169,97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47E71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1009,39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6396B0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969,79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989083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428,10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ECE2BC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657,10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30469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349,39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8D203D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201,79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1A93CF" w14:textId="77777777" w:rsidR="00AA1B4F" w:rsidRPr="00707F9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188,40</w:t>
            </w:r>
          </w:p>
        </w:tc>
      </w:tr>
    </w:tbl>
    <w:p w14:paraId="05A9DD30" w14:textId="77777777" w:rsidR="00AA1B4F" w:rsidRPr="00FC542C" w:rsidRDefault="00AA1B4F" w:rsidP="00C80FFC">
      <w:pPr>
        <w:rPr>
          <w:rFonts w:ascii="Cambria" w:hAnsi="Cambria"/>
          <w:sz w:val="18"/>
          <w:szCs w:val="18"/>
        </w:rPr>
      </w:pPr>
    </w:p>
    <w:sectPr w:rsidR="00AA1B4F" w:rsidRPr="00FC542C" w:rsidSect="00DB047D">
      <w:pgSz w:w="16840" w:h="11907" w:orient="landscape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31AF" w14:textId="77777777" w:rsidR="00FA0E87" w:rsidRDefault="00FA0E87" w:rsidP="00DB047D">
      <w:pPr>
        <w:spacing w:after="0" w:line="240" w:lineRule="auto"/>
      </w:pPr>
      <w:r>
        <w:separator/>
      </w:r>
    </w:p>
  </w:endnote>
  <w:endnote w:type="continuationSeparator" w:id="0">
    <w:p w14:paraId="5F31EAAE" w14:textId="77777777" w:rsidR="00FA0E87" w:rsidRDefault="00FA0E87" w:rsidP="00DB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5FE2" w14:textId="77777777" w:rsidR="00DB047D" w:rsidRPr="00DB047D" w:rsidRDefault="00000000" w:rsidP="00DB047D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kern w:val="0"/>
        <w:sz w:val="20"/>
        <w14:ligatures w14:val="none"/>
      </w:rPr>
    </w:pPr>
    <w:sdt>
      <w:sdtPr>
        <w:rPr>
          <w:rFonts w:ascii="Calibri" w:eastAsia="Calibri" w:hAnsi="Calibri" w:cs="Calibri"/>
          <w:kern w:val="0"/>
          <w:sz w:val="20"/>
          <w:szCs w:val="20"/>
          <w14:ligatures w14:val="none"/>
        </w:rPr>
        <w:id w:val="810910487"/>
        <w:docPartObj>
          <w:docPartGallery w:val="Page Numbers (Top of Page)"/>
          <w:docPartUnique/>
        </w:docPartObj>
      </w:sdtPr>
      <w:sdtContent>
        <w:r w:rsidR="00DB047D" w:rsidRPr="00DB047D">
          <w:rPr>
            <w:rFonts w:ascii="Cambria" w:eastAsia="Calibri" w:hAnsi="Cambria" w:cs="Calibri"/>
            <w:sz w:val="20"/>
          </w:rPr>
          <w:fldChar w:fldCharType="begin"/>
        </w:r>
        <w:r w:rsidR="00DB047D" w:rsidRPr="00DB047D">
          <w:rPr>
            <w:rFonts w:ascii="Cambria" w:eastAsia="Calibri" w:hAnsi="Cambria" w:cs="Calibri"/>
            <w:sz w:val="20"/>
          </w:rPr>
          <w:instrText xml:space="preserve"> PAGE </w:instrText>
        </w:r>
        <w:r w:rsidR="00DB047D" w:rsidRPr="00DB047D">
          <w:rPr>
            <w:rFonts w:ascii="Cambria" w:eastAsia="Calibri" w:hAnsi="Cambria" w:cs="Calibri"/>
            <w:sz w:val="20"/>
          </w:rPr>
          <w:fldChar w:fldCharType="separate"/>
        </w:r>
        <w:r w:rsidR="00DB047D" w:rsidRPr="00DB047D">
          <w:rPr>
            <w:rFonts w:ascii="Cambria" w:eastAsia="Calibri" w:hAnsi="Cambria" w:cs="Calibri"/>
            <w:sz w:val="20"/>
          </w:rPr>
          <w:t>1</w:t>
        </w:r>
        <w:r w:rsidR="00DB047D" w:rsidRPr="00DB047D">
          <w:rPr>
            <w:rFonts w:ascii="Cambria" w:eastAsia="Calibri" w:hAnsi="Cambria" w:cs="Calibri"/>
            <w:sz w:val="20"/>
          </w:rPr>
          <w:fldChar w:fldCharType="end"/>
        </w:r>
        <w:r w:rsidR="00D2327A">
          <w:rPr>
            <w:rFonts w:ascii="Cambria" w:hAnsi="Cambria"/>
            <w:sz w:val="20"/>
          </w:rPr>
          <w:t xml:space="preserve"> / </w:t>
        </w:r>
        <w:r w:rsidR="00DB047D" w:rsidRPr="00DB047D">
          <w:rPr>
            <w:rFonts w:ascii="Cambria" w:eastAsia="Calibri" w:hAnsi="Cambria" w:cs="Calibri"/>
            <w:sz w:val="20"/>
          </w:rPr>
          <w:fldChar w:fldCharType="begin"/>
        </w:r>
        <w:r w:rsidR="00DB047D" w:rsidRPr="00DB047D">
          <w:rPr>
            <w:rFonts w:ascii="Cambria" w:eastAsia="Calibri" w:hAnsi="Cambria" w:cs="Calibri"/>
            <w:sz w:val="20"/>
          </w:rPr>
          <w:instrText xml:space="preserve"> NUMPAGES  </w:instrText>
        </w:r>
        <w:r w:rsidR="00DB047D" w:rsidRPr="00DB047D">
          <w:rPr>
            <w:rFonts w:ascii="Cambria" w:eastAsia="Calibri" w:hAnsi="Cambria" w:cs="Calibri"/>
            <w:sz w:val="20"/>
          </w:rPr>
          <w:fldChar w:fldCharType="separate"/>
        </w:r>
        <w:r w:rsidR="00DB047D" w:rsidRPr="00DB047D">
          <w:rPr>
            <w:rFonts w:ascii="Cambria" w:eastAsia="Calibri" w:hAnsi="Cambria" w:cs="Calibri"/>
            <w:sz w:val="20"/>
          </w:rPr>
          <w:t>5</w:t>
        </w:r>
        <w:r w:rsidR="00DB047D" w:rsidRPr="00DB047D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3305" w14:textId="77777777" w:rsidR="00FA0E87" w:rsidRDefault="00FA0E87" w:rsidP="00DB047D">
      <w:pPr>
        <w:spacing w:after="0" w:line="240" w:lineRule="auto"/>
      </w:pPr>
      <w:r>
        <w:separator/>
      </w:r>
    </w:p>
  </w:footnote>
  <w:footnote w:type="continuationSeparator" w:id="0">
    <w:p w14:paraId="5D443A10" w14:textId="77777777" w:rsidR="00FA0E87" w:rsidRDefault="00FA0E87" w:rsidP="00DB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6F7E" w14:textId="74CD705B" w:rsidR="00DB047D" w:rsidRPr="00DB047D" w:rsidRDefault="00DB047D" w:rsidP="00DB047D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kern w:val="0"/>
        <w14:ligatures w14:val="none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bookmarkStart w:id="6" w:name="_Hlk117162352"/>
    <w:bookmarkStart w:id="7" w:name="_Hlk117162353"/>
    <w:bookmarkStart w:id="8" w:name="_Hlk117162355"/>
    <w:bookmarkStart w:id="9" w:name="_Hlk117162356"/>
    <w:bookmarkStart w:id="10" w:name="_Hlk117589541"/>
    <w:bookmarkStart w:id="11" w:name="_Hlk117589542"/>
    <w:bookmarkStart w:id="12" w:name="_Hlk117589581"/>
    <w:bookmarkStart w:id="13" w:name="_Hlk117589582"/>
    <w:r>
      <w:rPr>
        <w:rFonts w:ascii="Cambria" w:hAnsi="Cambria"/>
        <w:b/>
      </w:rPr>
      <w:t>COC_320/2025</w:t>
    </w:r>
  </w:p>
  <w:p w14:paraId="62C5EB2B" w14:textId="7B47F8DA" w:rsidR="00DB047D" w:rsidRPr="00DB047D" w:rsidRDefault="00DB047D" w:rsidP="00DB047D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  <w:r w:rsidRPr="00DB047D">
      <w:rPr>
        <w:rFonts w:ascii="Calibri" w:eastAsia="Calibri" w:hAnsi="Calibri" w:cs="Times New Roman"/>
      </w:rPr>
      <w:fldChar w:fldCharType="begin"/>
    </w:r>
    <w:r w:rsidRPr="00DB047D">
      <w:rPr>
        <w:rFonts w:ascii="Cambria" w:eastAsia="Calibri" w:hAnsi="Cambria" w:cs="Times New Roman"/>
        <w:b/>
        <w:sz w:val="16"/>
      </w:rPr>
      <w:instrText xml:space="preserve"> TIME \@ "dd/MM/yyyy H:mm" </w:instrText>
    </w:r>
    <w:r w:rsidRPr="00DB047D">
      <w:rPr>
        <w:rFonts w:ascii="Calibri" w:eastAsia="Calibri" w:hAnsi="Calibri" w:cs="Times New Roman"/>
      </w:rPr>
      <w:fldChar w:fldCharType="separate"/>
    </w:r>
    <w:r w:rsidR="003D44FB">
      <w:rPr>
        <w:rFonts w:ascii="Cambria" w:eastAsia="Calibri" w:hAnsi="Cambria" w:cs="Times New Roman"/>
        <w:b/>
        <w:noProof/>
        <w:sz w:val="16"/>
      </w:rPr>
      <w:t>23/10/2025 12:08</w:t>
    </w:r>
    <w:r w:rsidRPr="00DB047D">
      <w:rPr>
        <w:rFonts w:ascii="Calibri" w:eastAsia="Calibri" w:hAnsi="Calibri" w:cs="Times New Roman"/>
        <w:kern w:val="0"/>
        <w14:ligatures w14:val="none"/>
      </w:rPr>
      <w:fldChar w:fldCharType="end"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9511C"/>
    <w:multiLevelType w:val="hybridMultilevel"/>
    <w:tmpl w:val="1390D98A"/>
    <w:lvl w:ilvl="0" w:tplc="39B08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941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57"/>
    <w:rsid w:val="000A032E"/>
    <w:rsid w:val="0019201B"/>
    <w:rsid w:val="001959F5"/>
    <w:rsid w:val="001B6BBE"/>
    <w:rsid w:val="001C6578"/>
    <w:rsid w:val="001E6C30"/>
    <w:rsid w:val="00313570"/>
    <w:rsid w:val="0036557C"/>
    <w:rsid w:val="00387865"/>
    <w:rsid w:val="003D44FB"/>
    <w:rsid w:val="003D5F66"/>
    <w:rsid w:val="00495056"/>
    <w:rsid w:val="004B1257"/>
    <w:rsid w:val="005E22CB"/>
    <w:rsid w:val="00604DE6"/>
    <w:rsid w:val="00672CBF"/>
    <w:rsid w:val="006F798D"/>
    <w:rsid w:val="00707F96"/>
    <w:rsid w:val="00745265"/>
    <w:rsid w:val="00773D06"/>
    <w:rsid w:val="007E775D"/>
    <w:rsid w:val="008B7F74"/>
    <w:rsid w:val="009F37C6"/>
    <w:rsid w:val="00A90F29"/>
    <w:rsid w:val="00AA1B4F"/>
    <w:rsid w:val="00AF0508"/>
    <w:rsid w:val="00AF1F42"/>
    <w:rsid w:val="00B8702B"/>
    <w:rsid w:val="00C80FFC"/>
    <w:rsid w:val="00C8676B"/>
    <w:rsid w:val="00D2327A"/>
    <w:rsid w:val="00D67E1A"/>
    <w:rsid w:val="00DB047D"/>
    <w:rsid w:val="00DB7AE3"/>
    <w:rsid w:val="00DE6E43"/>
    <w:rsid w:val="00FA0E87"/>
    <w:rsid w:val="00FC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39815"/>
  <w15:chartTrackingRefBased/>
  <w15:docId w15:val="{82D44029-8328-4AF5-A9A1-41B955BA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1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4B12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2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2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2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2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2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2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2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2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2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257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A90F2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B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047D"/>
  </w:style>
  <w:style w:type="paragraph" w:styleId="Piedepgina">
    <w:name w:val="footer"/>
    <w:basedOn w:val="Normal"/>
    <w:link w:val="PiedepginaCar"/>
    <w:uiPriority w:val="99"/>
    <w:unhideWhenUsed/>
    <w:rsid w:val="00DB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47D"/>
  </w:style>
  <w:style w:type="character" w:styleId="Hipervnculo">
    <w:name w:val="Hyperlink"/>
    <w:basedOn w:val="Fuentedeprrafopredeter"/>
    <w:uiPriority w:val="99"/>
    <w:unhideWhenUsed/>
    <w:rsid w:val="00AF1F4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652</Words>
  <Characters>3303</Characters>
  <Application>Microsoft Office Word</Application>
  <DocSecurity>0</DocSecurity>
  <Lines>412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Lucia Echevarria</cp:lastModifiedBy>
  <cp:revision>14</cp:revision>
  <dcterms:created xsi:type="dcterms:W3CDTF">2024-10-24T01:42:00Z</dcterms:created>
  <dcterms:modified xsi:type="dcterms:W3CDTF">2025-10-23T10:11:00Z</dcterms:modified>
</cp:coreProperties>
</file>