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34B0" w14:textId="3647D87E" w:rsidR="00515822" w:rsidRPr="00975617" w:rsidRDefault="00515822" w:rsidP="00515822">
      <w:pPr>
        <w:jc w:val="right"/>
        <w:rPr>
          <w:rFonts w:ascii="Cambria" w:hAnsi="Cambria"/>
          <w:sz w:val="20"/>
          <w:szCs w:val="20"/>
        </w:rPr>
      </w:pPr>
      <w:r w:rsidRPr="00975617">
        <w:rPr>
          <w:rFonts w:ascii="Cambria" w:hAnsi="Cambria"/>
          <w:b/>
          <w:sz w:val="20"/>
          <w:szCs w:val="20"/>
        </w:rPr>
        <w:t>Original:</w:t>
      </w:r>
      <w:r w:rsidRPr="00975617">
        <w:rPr>
          <w:rFonts w:ascii="Cambria" w:hAnsi="Cambria"/>
          <w:sz w:val="20"/>
          <w:szCs w:val="20"/>
        </w:rPr>
        <w:t xml:space="preserve"> </w:t>
      </w:r>
      <w:r w:rsidRPr="00975617">
        <w:rPr>
          <w:rFonts w:ascii="Cambria" w:hAnsi="Cambria"/>
          <w:b/>
          <w:sz w:val="20"/>
          <w:szCs w:val="20"/>
        </w:rPr>
        <w:t>inglés, francés y español</w:t>
      </w:r>
      <w:r w:rsidRPr="00975617">
        <w:rPr>
          <w:rFonts w:ascii="Cambria" w:hAnsi="Cambria"/>
          <w:sz w:val="20"/>
          <w:szCs w:val="20"/>
        </w:rPr>
        <w:t xml:space="preserve"> </w:t>
      </w:r>
    </w:p>
    <w:p w14:paraId="09C45D50" w14:textId="6BB4B558" w:rsidR="00213058" w:rsidRPr="00975617" w:rsidRDefault="00056F4D" w:rsidP="004C4D53">
      <w:pPr>
        <w:spacing w:after="0" w:line="240" w:lineRule="auto"/>
        <w:jc w:val="center"/>
        <w:rPr>
          <w:rFonts w:ascii="Cambria" w:hAnsi="Cambria"/>
          <w:b/>
          <w:bCs/>
          <w:sz w:val="20"/>
          <w:szCs w:val="20"/>
        </w:rPr>
      </w:pPr>
      <w:r w:rsidRPr="00975617">
        <w:rPr>
          <w:rFonts w:ascii="Cambria" w:hAnsi="Cambria"/>
          <w:b/>
          <w:sz w:val="20"/>
          <w:szCs w:val="20"/>
        </w:rPr>
        <w:t xml:space="preserve">Información sobre la aplicación de los programas de observadores científicos tal y como ha sido comunicada por las CPC </w:t>
      </w:r>
    </w:p>
    <w:p w14:paraId="049F071B" w14:textId="77777777" w:rsidR="00CA0263" w:rsidRPr="00975617" w:rsidRDefault="00CA0263" w:rsidP="00465B41">
      <w:pPr>
        <w:spacing w:after="0" w:line="240" w:lineRule="auto"/>
        <w:jc w:val="center"/>
        <w:rPr>
          <w:rFonts w:ascii="Cambria" w:hAnsi="Cambria"/>
          <w:i/>
          <w:sz w:val="20"/>
          <w:szCs w:val="20"/>
        </w:rPr>
      </w:pPr>
    </w:p>
    <w:p w14:paraId="51A7AE81" w14:textId="18DD80B3" w:rsidR="00465B41" w:rsidRPr="00975617" w:rsidRDefault="00CA0263" w:rsidP="00465B41">
      <w:pPr>
        <w:spacing w:after="0" w:line="240" w:lineRule="auto"/>
        <w:jc w:val="center"/>
        <w:rPr>
          <w:rFonts w:ascii="Cambria" w:hAnsi="Cambria"/>
          <w:i/>
          <w:iCs/>
          <w:sz w:val="20"/>
          <w:szCs w:val="20"/>
        </w:rPr>
      </w:pPr>
      <w:r w:rsidRPr="00975617">
        <w:rPr>
          <w:rFonts w:ascii="Cambria" w:hAnsi="Cambria"/>
          <w:i/>
          <w:sz w:val="20"/>
          <w:szCs w:val="20"/>
        </w:rPr>
        <w:t>(</w:t>
      </w:r>
      <w:r w:rsidR="00465B41" w:rsidRPr="00975617">
        <w:rPr>
          <w:rFonts w:ascii="Cambria" w:hAnsi="Cambria"/>
          <w:i/>
          <w:sz w:val="20"/>
          <w:szCs w:val="20"/>
        </w:rPr>
        <w:t>Compilada por la Secretaría de ICCAT</w:t>
      </w:r>
      <w:r w:rsidRPr="00975617">
        <w:rPr>
          <w:rFonts w:ascii="Cambria" w:hAnsi="Cambria"/>
          <w:i/>
          <w:sz w:val="20"/>
          <w:szCs w:val="20"/>
        </w:rPr>
        <w:t>)</w:t>
      </w:r>
    </w:p>
    <w:p w14:paraId="11CDDC28" w14:textId="77777777" w:rsidR="00465B41" w:rsidRPr="00975617" w:rsidRDefault="00465B41" w:rsidP="00465B41">
      <w:pPr>
        <w:spacing w:after="0" w:line="240" w:lineRule="auto"/>
        <w:jc w:val="center"/>
        <w:rPr>
          <w:rFonts w:ascii="Cambria" w:hAnsi="Cambria"/>
          <w:i/>
          <w:iCs/>
          <w:sz w:val="20"/>
          <w:szCs w:val="20"/>
        </w:rPr>
      </w:pPr>
    </w:p>
    <w:p w14:paraId="468F4F61" w14:textId="0AC0F8E1" w:rsidR="00465B41" w:rsidRPr="00975617" w:rsidRDefault="00465B41" w:rsidP="00465B41">
      <w:pPr>
        <w:spacing w:after="0" w:line="240" w:lineRule="auto"/>
        <w:jc w:val="center"/>
        <w:rPr>
          <w:rFonts w:ascii="Cambria" w:hAnsi="Cambria"/>
          <w:sz w:val="20"/>
          <w:szCs w:val="20"/>
        </w:rPr>
      </w:pPr>
      <w:r w:rsidRPr="00975617">
        <w:rPr>
          <w:rFonts w:ascii="Cambria" w:hAnsi="Cambria"/>
          <w:sz w:val="20"/>
          <w:szCs w:val="20"/>
        </w:rPr>
        <w:t xml:space="preserve">(Información a 17 de </w:t>
      </w:r>
      <w:r w:rsidR="00FE5443" w:rsidRPr="00975617">
        <w:rPr>
          <w:rFonts w:ascii="Cambria" w:hAnsi="Cambria"/>
          <w:sz w:val="20"/>
          <w:szCs w:val="20"/>
          <w:u w:val="single"/>
        </w:rPr>
        <w:t>noviembre</w:t>
      </w:r>
      <w:r w:rsidRPr="00975617">
        <w:rPr>
          <w:rFonts w:ascii="Cambria" w:hAnsi="Cambria"/>
          <w:sz w:val="20"/>
          <w:szCs w:val="20"/>
        </w:rPr>
        <w:t xml:space="preserve"> de 2025)</w:t>
      </w:r>
    </w:p>
    <w:p w14:paraId="02E51662" w14:textId="77777777" w:rsidR="00465B41" w:rsidRPr="00975617" w:rsidRDefault="00465B41" w:rsidP="00465B41">
      <w:pPr>
        <w:spacing w:after="0" w:line="240" w:lineRule="auto"/>
        <w:jc w:val="center"/>
        <w:rPr>
          <w:rFonts w:ascii="Cambria" w:hAnsi="Cambria"/>
          <w:sz w:val="20"/>
          <w:szCs w:val="20"/>
        </w:rPr>
      </w:pPr>
    </w:p>
    <w:p w14:paraId="642FA97A" w14:textId="2FF03449" w:rsidR="00AE23FD" w:rsidRPr="00975617" w:rsidRDefault="00944B29" w:rsidP="00AE23FD">
      <w:pPr>
        <w:jc w:val="both"/>
        <w:rPr>
          <w:rFonts w:ascii="Cambria" w:hAnsi="Cambria" w:cs="Noto Sans"/>
          <w:color w:val="333333"/>
          <w:sz w:val="20"/>
          <w:szCs w:val="20"/>
          <w:shd w:val="clear" w:color="auto" w:fill="FFFFFF"/>
        </w:rPr>
      </w:pPr>
      <w:r w:rsidRPr="00975617">
        <w:rPr>
          <w:rFonts w:ascii="Cambria" w:hAnsi="Cambria"/>
          <w:sz w:val="20"/>
          <w:szCs w:val="20"/>
        </w:rPr>
        <w:t xml:space="preserve">La información que figura en la tabla siguiente muestra las respuestas de las CPC al requisito S:GEN11, Información sobre la implementación de la </w:t>
      </w:r>
      <w:hyperlink r:id="rId7" w:tgtFrame="_blank" w:history="1">
        <w:r w:rsidRPr="00975617">
          <w:rPr>
            <w:rStyle w:val="Hyperlink"/>
            <w:rFonts w:ascii="Cambria" w:hAnsi="Cambria"/>
            <w:i/>
            <w:iCs/>
            <w:sz w:val="20"/>
            <w:szCs w:val="20"/>
            <w:u w:val="none"/>
            <w:shd w:val="clear" w:color="auto" w:fill="FFFFFF"/>
          </w:rPr>
          <w:t xml:space="preserve">Recomendación de ICCAT para establecer unas normas mínimas para programas de observadores científicos en buques pesqueros </w:t>
        </w:r>
        <w:r w:rsidRPr="00975617">
          <w:rPr>
            <w:rStyle w:val="Hyperlink"/>
            <w:rFonts w:ascii="Cambria" w:hAnsi="Cambria"/>
            <w:sz w:val="20"/>
            <w:szCs w:val="20"/>
            <w:u w:val="none"/>
            <w:shd w:val="clear" w:color="auto" w:fill="FFFFFF"/>
          </w:rPr>
          <w:t>(Rec. 16-14)</w:t>
        </w:r>
      </w:hyperlink>
      <w:r w:rsidRPr="00975617">
        <w:rPr>
          <w:rFonts w:ascii="Cambria" w:hAnsi="Cambria"/>
          <w:sz w:val="20"/>
          <w:szCs w:val="20"/>
        </w:rPr>
        <w:t>.</w:t>
      </w:r>
      <w:r w:rsidRPr="00975617">
        <w:rPr>
          <w:rFonts w:ascii="Cambria" w:hAnsi="Cambria"/>
          <w:color w:val="333333"/>
          <w:sz w:val="20"/>
          <w:szCs w:val="20"/>
          <w:shd w:val="clear" w:color="auto" w:fill="FFFFFF"/>
        </w:rPr>
        <w:t xml:space="preserve"> La mayor parte de la información pertinente figurará en los propios Informes anuales, pero el resumen da una indicación de si se ha facilitado o no. También se incluye una lista de quienes presentaron el formulario ST09 cumplimentado. La tabla también ofrece un resumen de la implementación de los programas internos de observadores de las CPC de ICCAT, cuando procede. L</w:t>
      </w:r>
      <w:r w:rsidR="00CA0263" w:rsidRPr="00975617">
        <w:rPr>
          <w:rFonts w:ascii="Cambria" w:hAnsi="Cambria"/>
          <w:color w:val="333333"/>
          <w:sz w:val="20"/>
          <w:szCs w:val="20"/>
          <w:shd w:val="clear" w:color="auto" w:fill="FFFFFF"/>
        </w:rPr>
        <w:t>a</w:t>
      </w:r>
      <w:r w:rsidRPr="00975617">
        <w:rPr>
          <w:rFonts w:ascii="Cambria" w:hAnsi="Cambria"/>
          <w:color w:val="333333"/>
          <w:sz w:val="20"/>
          <w:szCs w:val="20"/>
          <w:shd w:val="clear" w:color="auto" w:fill="FFFFFF"/>
        </w:rPr>
        <w:t>s ratios de cobertura se calculan por número de mareas (</w:t>
      </w:r>
      <w:proofErr w:type="spellStart"/>
      <w:r w:rsidRPr="00975617">
        <w:rPr>
          <w:rFonts w:ascii="Cambria" w:hAnsi="Cambria"/>
          <w:color w:val="333333"/>
          <w:sz w:val="20"/>
          <w:szCs w:val="20"/>
          <w:shd w:val="clear" w:color="auto" w:fill="FFFFFF"/>
        </w:rPr>
        <w:t>Ntrip</w:t>
      </w:r>
      <w:proofErr w:type="spellEnd"/>
      <w:r w:rsidRPr="00975617">
        <w:rPr>
          <w:rFonts w:ascii="Cambria" w:hAnsi="Cambria"/>
          <w:color w:val="333333"/>
          <w:sz w:val="20"/>
          <w:szCs w:val="20"/>
          <w:shd w:val="clear" w:color="auto" w:fill="FFFFFF"/>
        </w:rPr>
        <w:t>), número de días (</w:t>
      </w:r>
      <w:proofErr w:type="spellStart"/>
      <w:r w:rsidRPr="00975617">
        <w:rPr>
          <w:rFonts w:ascii="Cambria" w:hAnsi="Cambria"/>
          <w:color w:val="333333"/>
          <w:sz w:val="20"/>
          <w:szCs w:val="20"/>
          <w:shd w:val="clear" w:color="auto" w:fill="FFFFFF"/>
        </w:rPr>
        <w:t>Ndays</w:t>
      </w:r>
      <w:proofErr w:type="spellEnd"/>
      <w:r w:rsidRPr="00975617">
        <w:rPr>
          <w:rFonts w:ascii="Cambria" w:hAnsi="Cambria"/>
          <w:color w:val="333333"/>
          <w:sz w:val="20"/>
          <w:szCs w:val="20"/>
          <w:shd w:val="clear" w:color="auto" w:fill="FFFFFF"/>
        </w:rPr>
        <w:t>), número de lances (</w:t>
      </w:r>
      <w:proofErr w:type="spellStart"/>
      <w:r w:rsidRPr="00975617">
        <w:rPr>
          <w:rFonts w:ascii="Cambria" w:hAnsi="Cambria"/>
          <w:color w:val="333333"/>
          <w:sz w:val="20"/>
          <w:szCs w:val="20"/>
          <w:shd w:val="clear" w:color="auto" w:fill="FFFFFF"/>
        </w:rPr>
        <w:t>Nset</w:t>
      </w:r>
      <w:proofErr w:type="spellEnd"/>
      <w:r w:rsidRPr="00975617">
        <w:rPr>
          <w:rFonts w:ascii="Cambria" w:hAnsi="Cambria"/>
          <w:color w:val="333333"/>
          <w:sz w:val="20"/>
          <w:szCs w:val="20"/>
          <w:shd w:val="clear" w:color="auto" w:fill="FFFFFF"/>
        </w:rPr>
        <w:t xml:space="preserve">), número de buques (No. </w:t>
      </w:r>
      <w:proofErr w:type="spellStart"/>
      <w:r w:rsidRPr="00975617">
        <w:rPr>
          <w:rFonts w:ascii="Cambria" w:hAnsi="Cambria"/>
          <w:color w:val="333333"/>
          <w:sz w:val="20"/>
          <w:szCs w:val="20"/>
          <w:shd w:val="clear" w:color="auto" w:fill="FFFFFF"/>
        </w:rPr>
        <w:t>of</w:t>
      </w:r>
      <w:proofErr w:type="spellEnd"/>
      <w:r w:rsidRPr="00975617">
        <w:rPr>
          <w:rFonts w:ascii="Cambria" w:hAnsi="Cambria"/>
          <w:color w:val="333333"/>
          <w:sz w:val="20"/>
          <w:szCs w:val="20"/>
          <w:shd w:val="clear" w:color="auto" w:fill="FFFFFF"/>
        </w:rPr>
        <w:t xml:space="preserve"> </w:t>
      </w:r>
      <w:proofErr w:type="spellStart"/>
      <w:r w:rsidRPr="00975617">
        <w:rPr>
          <w:rFonts w:ascii="Cambria" w:hAnsi="Cambria"/>
          <w:color w:val="333333"/>
          <w:sz w:val="20"/>
          <w:szCs w:val="20"/>
          <w:shd w:val="clear" w:color="auto" w:fill="FFFFFF"/>
        </w:rPr>
        <w:t>vessels</w:t>
      </w:r>
      <w:proofErr w:type="spellEnd"/>
      <w:r w:rsidRPr="00975617">
        <w:rPr>
          <w:rFonts w:ascii="Cambria" w:hAnsi="Cambria"/>
          <w:color w:val="333333"/>
          <w:sz w:val="20"/>
          <w:szCs w:val="20"/>
          <w:shd w:val="clear" w:color="auto" w:fill="FFFFFF"/>
        </w:rPr>
        <w:t xml:space="preserve">),  </w:t>
      </w:r>
    </w:p>
    <w:tbl>
      <w:tblPr>
        <w:tblpPr w:leftFromText="141" w:rightFromText="141" w:vertAnchor="text" w:tblpY="1"/>
        <w:tblOverlap w:val="never"/>
        <w:tblW w:w="5317" w:type="pct"/>
        <w:shd w:val="clear" w:color="auto" w:fill="FFFFFF" w:themeFill="background1"/>
        <w:tblLayout w:type="fixed"/>
        <w:tblLook w:val="04A0" w:firstRow="1" w:lastRow="0" w:firstColumn="1" w:lastColumn="0" w:noHBand="0" w:noVBand="1"/>
      </w:tblPr>
      <w:tblGrid>
        <w:gridCol w:w="893"/>
        <w:gridCol w:w="932"/>
        <w:gridCol w:w="923"/>
        <w:gridCol w:w="1922"/>
        <w:gridCol w:w="1432"/>
        <w:gridCol w:w="991"/>
        <w:gridCol w:w="2023"/>
        <w:gridCol w:w="916"/>
        <w:gridCol w:w="735"/>
        <w:gridCol w:w="993"/>
        <w:gridCol w:w="993"/>
        <w:gridCol w:w="845"/>
        <w:gridCol w:w="1273"/>
      </w:tblGrid>
      <w:tr w:rsidR="00CB5E05" w:rsidRPr="00975617" w14:paraId="1A273AAC" w14:textId="77777777" w:rsidTr="00CB5E05">
        <w:trPr>
          <w:trHeight w:val="480"/>
          <w:tblHeader/>
        </w:trPr>
        <w:tc>
          <w:tcPr>
            <w:tcW w:w="300" w:type="pct"/>
            <w:tcBorders>
              <w:top w:val="single" w:sz="8" w:space="0" w:color="auto"/>
              <w:left w:val="single" w:sz="8" w:space="0" w:color="auto"/>
              <w:bottom w:val="single" w:sz="4" w:space="0" w:color="auto"/>
              <w:right w:val="single" w:sz="4" w:space="0" w:color="auto"/>
            </w:tcBorders>
            <w:shd w:val="clear" w:color="auto" w:fill="E7E6E6" w:themeFill="background2"/>
            <w:vAlign w:val="center"/>
            <w:hideMark/>
          </w:tcPr>
          <w:p w14:paraId="18657CC0" w14:textId="77777777" w:rsidR="0014152F" w:rsidRPr="00975617"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CPC</w:t>
            </w:r>
          </w:p>
        </w:tc>
        <w:tc>
          <w:tcPr>
            <w:tcW w:w="313" w:type="pct"/>
            <w:tcBorders>
              <w:top w:val="single" w:sz="8" w:space="0" w:color="auto"/>
              <w:left w:val="nil"/>
              <w:bottom w:val="single" w:sz="4" w:space="0" w:color="auto"/>
              <w:right w:val="single" w:sz="4" w:space="0" w:color="auto"/>
            </w:tcBorders>
            <w:shd w:val="clear" w:color="auto" w:fill="E7E6E6" w:themeFill="background2"/>
            <w:vAlign w:val="center"/>
            <w:hideMark/>
          </w:tcPr>
          <w:p w14:paraId="086F866E" w14:textId="77777777" w:rsidR="0014152F" w:rsidRPr="00975617" w:rsidRDefault="0014152F" w:rsidP="00CB5E05">
            <w:pPr>
              <w:spacing w:after="0" w:line="240" w:lineRule="auto"/>
              <w:ind w:left="-154" w:right="-117"/>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¿Aplicable?</w:t>
            </w:r>
          </w:p>
        </w:tc>
        <w:tc>
          <w:tcPr>
            <w:tcW w:w="310" w:type="pct"/>
            <w:tcBorders>
              <w:top w:val="single" w:sz="8" w:space="0" w:color="auto"/>
              <w:left w:val="nil"/>
              <w:bottom w:val="single" w:sz="4" w:space="0" w:color="auto"/>
              <w:right w:val="single" w:sz="4" w:space="0" w:color="auto"/>
            </w:tcBorders>
            <w:shd w:val="clear" w:color="auto" w:fill="E7E6E6" w:themeFill="background2"/>
            <w:vAlign w:val="center"/>
            <w:hideMark/>
          </w:tcPr>
          <w:p w14:paraId="3984D1AC" w14:textId="58387C50" w:rsidR="0014152F" w:rsidRPr="00975617"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Fecha de la primera presenta</w:t>
            </w:r>
            <w:r w:rsidR="00CB5E05" w:rsidRPr="00975617">
              <w:rPr>
                <w:rFonts w:ascii="Cambria" w:hAnsi="Cambria"/>
                <w:b/>
                <w:i/>
                <w:color w:val="000000"/>
                <w:sz w:val="16"/>
                <w:szCs w:val="16"/>
              </w:rPr>
              <w:t>-</w:t>
            </w:r>
            <w:proofErr w:type="spellStart"/>
            <w:r w:rsidRPr="00975617">
              <w:rPr>
                <w:rFonts w:ascii="Cambria" w:hAnsi="Cambria"/>
                <w:b/>
                <w:i/>
                <w:color w:val="000000"/>
                <w:sz w:val="16"/>
                <w:szCs w:val="16"/>
              </w:rPr>
              <w:t>ción</w:t>
            </w:r>
            <w:proofErr w:type="spellEnd"/>
          </w:p>
        </w:tc>
        <w:tc>
          <w:tcPr>
            <w:tcW w:w="646" w:type="pct"/>
            <w:tcBorders>
              <w:top w:val="single" w:sz="8" w:space="0" w:color="auto"/>
              <w:left w:val="nil"/>
              <w:bottom w:val="single" w:sz="4" w:space="0" w:color="auto"/>
              <w:right w:val="single" w:sz="4" w:space="0" w:color="auto"/>
            </w:tcBorders>
            <w:shd w:val="clear" w:color="auto" w:fill="E7E6E6" w:themeFill="background2"/>
            <w:vAlign w:val="center"/>
            <w:hideMark/>
          </w:tcPr>
          <w:p w14:paraId="376C97AA" w14:textId="77777777" w:rsidR="0014152F" w:rsidRPr="00975617"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Respuesta/motivo de N/A</w:t>
            </w:r>
          </w:p>
        </w:tc>
        <w:tc>
          <w:tcPr>
            <w:tcW w:w="481" w:type="pct"/>
            <w:tcBorders>
              <w:top w:val="single" w:sz="8" w:space="0" w:color="auto"/>
              <w:left w:val="nil"/>
              <w:bottom w:val="single" w:sz="4" w:space="0" w:color="auto"/>
              <w:right w:val="single" w:sz="4" w:space="0" w:color="auto"/>
            </w:tcBorders>
            <w:shd w:val="clear" w:color="auto" w:fill="E7E6E6" w:themeFill="background2"/>
            <w:vAlign w:val="center"/>
            <w:hideMark/>
          </w:tcPr>
          <w:p w14:paraId="5C0328FA" w14:textId="77777777" w:rsidR="0014152F" w:rsidRPr="00975617"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Comentario de la Secretaría</w:t>
            </w:r>
          </w:p>
        </w:tc>
        <w:tc>
          <w:tcPr>
            <w:tcW w:w="333" w:type="pct"/>
            <w:tcBorders>
              <w:top w:val="single" w:sz="8" w:space="0" w:color="auto"/>
              <w:left w:val="nil"/>
              <w:bottom w:val="single" w:sz="4" w:space="0" w:color="auto"/>
              <w:right w:val="single" w:sz="4" w:space="0" w:color="auto"/>
            </w:tcBorders>
            <w:shd w:val="clear" w:color="auto" w:fill="E7E6E6" w:themeFill="background2"/>
            <w:vAlign w:val="center"/>
            <w:hideMark/>
          </w:tcPr>
          <w:p w14:paraId="0047DEF5" w14:textId="77777777" w:rsidR="0014152F" w:rsidRPr="00975617" w:rsidRDefault="0014152F" w:rsidP="00CB5E05">
            <w:pPr>
              <w:spacing w:after="0" w:line="240" w:lineRule="auto"/>
              <w:ind w:left="-116" w:right="-101"/>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¿Ha presentado ST09?</w:t>
            </w:r>
          </w:p>
        </w:tc>
        <w:tc>
          <w:tcPr>
            <w:tcW w:w="680" w:type="pct"/>
            <w:tcBorders>
              <w:top w:val="single" w:sz="8" w:space="0" w:color="auto"/>
              <w:left w:val="nil"/>
              <w:bottom w:val="single" w:sz="4" w:space="0" w:color="auto"/>
              <w:right w:val="single" w:sz="8" w:space="0" w:color="auto"/>
            </w:tcBorders>
            <w:shd w:val="clear" w:color="auto" w:fill="E7E6E6" w:themeFill="background2"/>
            <w:vAlign w:val="center"/>
            <w:hideMark/>
          </w:tcPr>
          <w:p w14:paraId="60411234" w14:textId="509C1CE8" w:rsidR="0014152F" w:rsidRPr="00975617"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Motivo de la no presentación del ST09</w:t>
            </w:r>
            <w:r w:rsidR="00CA0263" w:rsidRPr="00975617">
              <w:rPr>
                <w:rFonts w:ascii="Cambria" w:hAnsi="Cambria"/>
                <w:b/>
                <w:i/>
                <w:color w:val="000000"/>
                <w:sz w:val="16"/>
                <w:szCs w:val="16"/>
              </w:rPr>
              <w:t xml:space="preserve"> en el IOMS </w:t>
            </w:r>
          </w:p>
        </w:tc>
        <w:tc>
          <w:tcPr>
            <w:tcW w:w="308" w:type="pct"/>
            <w:tcBorders>
              <w:top w:val="single" w:sz="8" w:space="0" w:color="auto"/>
              <w:left w:val="nil"/>
              <w:bottom w:val="single" w:sz="4" w:space="0" w:color="auto"/>
              <w:right w:val="single" w:sz="4" w:space="0" w:color="auto"/>
            </w:tcBorders>
            <w:shd w:val="clear" w:color="auto" w:fill="E7E6E6" w:themeFill="background2"/>
            <w:vAlign w:val="center"/>
            <w:hideMark/>
          </w:tcPr>
          <w:p w14:paraId="3B642D62" w14:textId="77777777" w:rsidR="0014152F" w:rsidRPr="00975617" w:rsidRDefault="0014152F" w:rsidP="00CB5E05">
            <w:pPr>
              <w:spacing w:after="0" w:line="240" w:lineRule="auto"/>
              <w:ind w:left="-156" w:right="-141"/>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Pabellón declarante</w:t>
            </w:r>
          </w:p>
        </w:tc>
        <w:tc>
          <w:tcPr>
            <w:tcW w:w="247" w:type="pct"/>
            <w:tcBorders>
              <w:top w:val="single" w:sz="8" w:space="0" w:color="auto"/>
              <w:left w:val="nil"/>
              <w:bottom w:val="single" w:sz="4" w:space="0" w:color="auto"/>
              <w:right w:val="single" w:sz="4" w:space="0" w:color="auto"/>
            </w:tcBorders>
            <w:shd w:val="clear" w:color="auto" w:fill="E7E6E6" w:themeFill="background2"/>
            <w:vAlign w:val="center"/>
            <w:hideMark/>
          </w:tcPr>
          <w:p w14:paraId="0D2DDE53" w14:textId="77777777" w:rsidR="0014152F" w:rsidRPr="00975617"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Año de inicio</w:t>
            </w:r>
          </w:p>
        </w:tc>
        <w:tc>
          <w:tcPr>
            <w:tcW w:w="334" w:type="pct"/>
            <w:tcBorders>
              <w:top w:val="single" w:sz="8" w:space="0" w:color="auto"/>
              <w:left w:val="nil"/>
              <w:bottom w:val="single" w:sz="4" w:space="0" w:color="auto"/>
              <w:right w:val="single" w:sz="4" w:space="0" w:color="auto"/>
            </w:tcBorders>
            <w:shd w:val="clear" w:color="auto" w:fill="E7E6E6" w:themeFill="background2"/>
            <w:vAlign w:val="center"/>
            <w:hideMark/>
          </w:tcPr>
          <w:p w14:paraId="33B6C1D6" w14:textId="77777777" w:rsidR="0014152F" w:rsidRPr="00975617" w:rsidRDefault="0014152F" w:rsidP="00CB5E05">
            <w:pPr>
              <w:spacing w:after="0" w:line="240" w:lineRule="auto"/>
              <w:ind w:left="-111" w:right="-102"/>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Pesquerías objeto de seguimiento (1 o más)</w:t>
            </w:r>
          </w:p>
        </w:tc>
        <w:tc>
          <w:tcPr>
            <w:tcW w:w="334" w:type="pct"/>
            <w:tcBorders>
              <w:top w:val="single" w:sz="8" w:space="0" w:color="auto"/>
              <w:left w:val="nil"/>
              <w:bottom w:val="single" w:sz="4" w:space="0" w:color="auto"/>
              <w:right w:val="single" w:sz="4" w:space="0" w:color="auto"/>
            </w:tcBorders>
            <w:shd w:val="clear" w:color="auto" w:fill="E7E6E6" w:themeFill="background2"/>
            <w:vAlign w:val="center"/>
            <w:hideMark/>
          </w:tcPr>
          <w:p w14:paraId="0537049D" w14:textId="77777777" w:rsidR="0014152F" w:rsidRPr="00975617"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Porcentaje de ratio de cobertura (%)</w:t>
            </w:r>
          </w:p>
        </w:tc>
        <w:tc>
          <w:tcPr>
            <w:tcW w:w="284" w:type="pct"/>
            <w:tcBorders>
              <w:top w:val="single" w:sz="8" w:space="0" w:color="auto"/>
              <w:left w:val="nil"/>
              <w:bottom w:val="single" w:sz="4" w:space="0" w:color="auto"/>
              <w:right w:val="single" w:sz="4" w:space="0" w:color="auto"/>
            </w:tcBorders>
            <w:shd w:val="clear" w:color="auto" w:fill="E7E6E6" w:themeFill="background2"/>
            <w:vAlign w:val="center"/>
            <w:hideMark/>
          </w:tcPr>
          <w:p w14:paraId="2AB8B4A8" w14:textId="77777777" w:rsidR="0014152F" w:rsidRPr="00975617" w:rsidRDefault="0014152F" w:rsidP="00CB5E05">
            <w:pPr>
              <w:spacing w:after="0" w:line="240" w:lineRule="auto"/>
              <w:ind w:left="-103" w:right="-107"/>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Cobertura basada en</w:t>
            </w:r>
          </w:p>
        </w:tc>
        <w:tc>
          <w:tcPr>
            <w:tcW w:w="428" w:type="pct"/>
            <w:tcBorders>
              <w:top w:val="single" w:sz="8" w:space="0" w:color="auto"/>
              <w:left w:val="nil"/>
              <w:bottom w:val="single" w:sz="4" w:space="0" w:color="auto"/>
              <w:right w:val="single" w:sz="8" w:space="0" w:color="auto"/>
            </w:tcBorders>
            <w:shd w:val="clear" w:color="auto" w:fill="E7E6E6" w:themeFill="background2"/>
            <w:vAlign w:val="center"/>
            <w:hideMark/>
          </w:tcPr>
          <w:p w14:paraId="0AF75EA9" w14:textId="77777777" w:rsidR="0014152F" w:rsidRPr="00975617"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975617">
              <w:rPr>
                <w:rFonts w:ascii="Cambria" w:hAnsi="Cambria"/>
                <w:b/>
                <w:i/>
                <w:color w:val="000000"/>
                <w:sz w:val="16"/>
                <w:szCs w:val="16"/>
              </w:rPr>
              <w:t>Comentario de la Secretaría</w:t>
            </w:r>
          </w:p>
        </w:tc>
      </w:tr>
      <w:tr w:rsidR="00CB5E05" w:rsidRPr="00975617" w14:paraId="203B4959" w14:textId="77777777" w:rsidTr="00CB5E05">
        <w:trPr>
          <w:trHeight w:val="96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C89ACC8"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Albania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B678E8"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4926B0" w14:textId="06CDA497"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5DEF93"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Albania dispone de datos del programa de observadores sobre descartes, capturas fortuitas o accidentales de especies vulnerables en la flota albanesa de arrastreros y pequeños cerqueros pelágicos del mar Adriático.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CB8BE"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7F86F"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2A8FE"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El programa de observadores está centrado en descartes, capturas fortuitas o incidentales de especies vulnerables en la flota albanesa de arrastreros y pequeños cerqueros pelágicos del mar Adriático.</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A9FD0D"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Albania</w:t>
            </w:r>
          </w:p>
        </w:tc>
        <w:tc>
          <w:tcPr>
            <w:tcW w:w="2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5DC154" w14:textId="13356B8F"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CE72AE" w14:textId="2E30AEDD"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125BC5"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0,00%</w:t>
            </w:r>
          </w:p>
        </w:tc>
        <w:tc>
          <w:tcPr>
            <w:tcW w:w="28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57773E"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4868E32"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441CF146"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9089B8E"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Argelia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448F25"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34623E" w14:textId="1A2FDDD8"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9E2A1"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cambios desde la última transmisión.</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6808EF"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La respuesta debería ser Sí = Aplicable. No se ha concedido ninguna exención a este requisito.</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2BBFD8"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6BA799"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cambios desde la última transmisión.</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096229"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Argelia</w:t>
            </w:r>
          </w:p>
        </w:tc>
        <w:tc>
          <w:tcPr>
            <w:tcW w:w="2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07A6F9" w14:textId="036C15C9"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9D5D65" w14:textId="1CB11D6B"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14DBB6" w14:textId="6A024239"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3D9DE0"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BDE5C2A"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21192E94"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508A027"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Angola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F4E796"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65433A" w14:textId="395E68A8"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0EAD4" w14:textId="0D412BD2"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Angola no tiene observadores científicos a bordo, pero tendrá el próximo año.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D89ED"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312ACF"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43F548" w14:textId="11779BB4"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Angola no tiene observadores científicos a bordo, pero tendrá el próximo año.</w:t>
            </w:r>
          </w:p>
        </w:tc>
        <w:tc>
          <w:tcPr>
            <w:tcW w:w="30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72599D5"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Angola</w:t>
            </w:r>
          </w:p>
        </w:tc>
        <w:tc>
          <w:tcPr>
            <w:tcW w:w="2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8B4F95" w14:textId="648C6269"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78BA62" w14:textId="51C25023"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92FE5E" w14:textId="26892662"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3541E6"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12E0805"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7B693D0F" w14:textId="77777777" w:rsidTr="00CB5E05">
        <w:trPr>
          <w:trHeight w:val="499"/>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51C1C9" w14:textId="77777777" w:rsidR="0014152F" w:rsidRPr="00975617" w:rsidRDefault="0014152F" w:rsidP="00CB5E05">
            <w:pPr>
              <w:spacing w:after="0" w:line="240" w:lineRule="auto"/>
              <w:ind w:right="-58"/>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Barbados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3F0EB"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BE4A5B" w14:textId="75E1CFEB"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73684" w14:textId="4151F3F9"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Barbados no ha implementado aún un programa de observadores. Sin embargo, el proyecto de </w:t>
            </w:r>
            <w:r w:rsidRPr="00975617">
              <w:rPr>
                <w:rFonts w:ascii="Cambria" w:hAnsi="Cambria"/>
                <w:color w:val="000000"/>
                <w:sz w:val="16"/>
                <w:szCs w:val="16"/>
              </w:rPr>
              <w:lastRenderedPageBreak/>
              <w:t xml:space="preserve">ley sobre la ordenación y desarrollo sostenibles de las pesquerías y los reglamentos </w:t>
            </w:r>
            <w:r w:rsidR="00162396" w:rsidRPr="00975617">
              <w:rPr>
                <w:rFonts w:ascii="Cambria" w:hAnsi="Cambria"/>
                <w:color w:val="000000"/>
                <w:sz w:val="16"/>
                <w:szCs w:val="16"/>
              </w:rPr>
              <w:t xml:space="preserve">de 2024 y </w:t>
            </w:r>
            <w:r w:rsidRPr="00975617">
              <w:rPr>
                <w:rFonts w:ascii="Cambria" w:hAnsi="Cambria"/>
                <w:color w:val="000000"/>
                <w:sz w:val="16"/>
                <w:szCs w:val="16"/>
              </w:rPr>
              <w:t>que lo acompañan obligan a que los patrones de los buques pesqueros participen en programas de observadores, incluido el seguimiento electrónico</w:t>
            </w:r>
            <w:r w:rsidR="00995C59" w:rsidRPr="00975617">
              <w:rPr>
                <w:rFonts w:ascii="Cambria" w:hAnsi="Cambria"/>
                <w:color w:val="000000"/>
                <w:sz w:val="16"/>
                <w:szCs w:val="16"/>
              </w:rPr>
              <w:t>,</w:t>
            </w:r>
            <w:r w:rsidRPr="00975617">
              <w:rPr>
                <w:rFonts w:ascii="Cambria" w:hAnsi="Cambria"/>
                <w:color w:val="000000"/>
                <w:sz w:val="16"/>
                <w:szCs w:val="16"/>
              </w:rPr>
              <w:t xml:space="preserve"> de acuerdo con lo estipulado por el Responsable de pesca. Como se menciona en el informe nacional, Barbados participa en un programa de EMS a través de </w:t>
            </w:r>
            <w:proofErr w:type="spellStart"/>
            <w:r w:rsidRPr="00975617">
              <w:rPr>
                <w:rFonts w:ascii="Cambria" w:hAnsi="Cambria"/>
                <w:color w:val="000000"/>
                <w:sz w:val="16"/>
                <w:szCs w:val="16"/>
              </w:rPr>
              <w:t>Shellcatch</w:t>
            </w:r>
            <w:proofErr w:type="spellEnd"/>
            <w:r w:rsidRPr="00975617">
              <w:rPr>
                <w:rFonts w:ascii="Cambria" w:hAnsi="Cambria"/>
                <w:color w:val="000000"/>
                <w:sz w:val="16"/>
                <w:szCs w:val="16"/>
              </w:rPr>
              <w:t xml:space="preserve"> y se proporcionarán detalles oportunamente a ICCAT en el contexto de la validación.</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3314F0"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B6EA65"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4AE8CD" w14:textId="04DEA61D"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Barbados no ha implementado aún un programa de observadores. Sin embargo, el proyecto de </w:t>
            </w:r>
            <w:r w:rsidRPr="00975617">
              <w:rPr>
                <w:rFonts w:ascii="Cambria" w:hAnsi="Cambria"/>
                <w:color w:val="000000"/>
                <w:sz w:val="16"/>
                <w:szCs w:val="16"/>
              </w:rPr>
              <w:lastRenderedPageBreak/>
              <w:t xml:space="preserve">ley sobre la ordenación y desarrollo sostenibles de las pesquerías y los reglamentos </w:t>
            </w:r>
            <w:r w:rsidR="00162396" w:rsidRPr="00975617">
              <w:rPr>
                <w:rFonts w:ascii="Cambria" w:hAnsi="Cambria"/>
                <w:color w:val="000000"/>
                <w:sz w:val="16"/>
                <w:szCs w:val="16"/>
              </w:rPr>
              <w:t xml:space="preserve">de 2024 y </w:t>
            </w:r>
            <w:r w:rsidRPr="00975617">
              <w:rPr>
                <w:rFonts w:ascii="Cambria" w:hAnsi="Cambria"/>
                <w:color w:val="000000"/>
                <w:sz w:val="16"/>
                <w:szCs w:val="16"/>
              </w:rPr>
              <w:t xml:space="preserve">que lo acompañan obligan a que los patrones de los buques pesqueros participen en programas de observadores, incluido el seguimiento electrónico de acuerdo con lo estipulado por el Responsable de pesca. Como se menciona en el informe nacional, Barbados participa en un programa de EMS a través de </w:t>
            </w:r>
            <w:proofErr w:type="spellStart"/>
            <w:r w:rsidRPr="00975617">
              <w:rPr>
                <w:rFonts w:ascii="Cambria" w:hAnsi="Cambria"/>
                <w:color w:val="000000"/>
                <w:sz w:val="16"/>
                <w:szCs w:val="16"/>
              </w:rPr>
              <w:t>Shellcatch</w:t>
            </w:r>
            <w:proofErr w:type="spellEnd"/>
            <w:r w:rsidRPr="00975617">
              <w:rPr>
                <w:rFonts w:ascii="Cambria" w:hAnsi="Cambria"/>
                <w:color w:val="000000"/>
                <w:sz w:val="16"/>
                <w:szCs w:val="16"/>
              </w:rPr>
              <w:t xml:space="preserve"> y se proporcionarán detalles oportunamente a ICCAT en el contexto de la validación.</w:t>
            </w:r>
          </w:p>
        </w:tc>
        <w:tc>
          <w:tcPr>
            <w:tcW w:w="30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D1DE95" w14:textId="77777777" w:rsidR="0014152F" w:rsidRPr="00975617" w:rsidRDefault="0014152F" w:rsidP="00CB5E05">
            <w:pPr>
              <w:spacing w:after="0" w:line="240" w:lineRule="auto"/>
              <w:ind w:right="-142"/>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Barbados</w:t>
            </w:r>
          </w:p>
        </w:tc>
        <w:tc>
          <w:tcPr>
            <w:tcW w:w="2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54D95D" w14:textId="78A83E4B"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239975" w14:textId="76924501"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C2DAB9" w14:textId="646E3B89"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4DAE0C"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E1AB6BD"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2AB71D94"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034696"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Belice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B7BB37"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95F4D6" w14:textId="351D6DE2"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24/03/25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DE96FF" w14:textId="7196FEF8"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Belice no lleva a cabo un seguimiento científico alternativo, ya que no disponemos de buques artesanales en nuestra flota que no puedan llevar un observador.</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53AC00"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La respuesta debería ser Sí = Aplicable</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A3D09"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047596" w14:textId="2AA4788B"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Belice no lleva a cabo un seguimiento científico alternativo, ya que no disponemos de buques artesanales en nuestra flota que no puedan llevar un observador.</w:t>
            </w:r>
          </w:p>
        </w:tc>
        <w:tc>
          <w:tcPr>
            <w:tcW w:w="30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21FC3F2"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Belice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AD0D8E"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EDD721"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2DEF6"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7,00%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05244"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30DECE"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360E30F9" w14:textId="77777777" w:rsidTr="00CB5E05">
        <w:trPr>
          <w:trHeight w:val="12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79B808"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Bolivia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95E618"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902BA" w14:textId="72F250DF"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DA9BDE" w14:textId="7A261B0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Bolivia no dispuso de un programa de observadores nacionales en funcionamiento, como tampoco utilizó un enfoque alternativo toda vez que no contó con buques pesqueros autorizados para operar en la zona del Convenio durante el período del presente informe</w:t>
            </w:r>
            <w:r w:rsidR="00EF785E" w:rsidRPr="00975617">
              <w:rPr>
                <w:rFonts w:ascii="Cambria" w:hAnsi="Cambria"/>
                <w:color w:val="000000"/>
                <w:sz w:val="16"/>
                <w:szCs w:val="16"/>
              </w:rPr>
              <w:t>.</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A8F0F"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pesquerías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EEC38"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8FBE8"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94CBC6"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Bolivia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5A3242" w14:textId="696AAF84"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470B2F" w14:textId="73EEE07E"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84D18E"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5,00%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68195E"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A1EA76"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El formulario no contenía información sobre qué tasa de cobertura pesquera se aplicaba. </w:t>
            </w:r>
          </w:p>
        </w:tc>
      </w:tr>
      <w:tr w:rsidR="00CB5E05" w:rsidRPr="00975617" w14:paraId="219D0A4D"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21DD33A"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Brasil</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D14C3"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525BA1" w14:textId="5515676F"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91F159"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Datos no disponibles en este momento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4D693"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0886D2"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628C95B"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Datos no disponibles en este momento</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C18232"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Brasil</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ACA5B6" w14:textId="3CDC46ED"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5E002C" w14:textId="2E2726EE"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3975A5" w14:textId="2F0D3454"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6316BA"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BCAF7"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71F17EE7" w14:textId="77777777" w:rsidTr="00CB5E05">
        <w:trPr>
          <w:trHeight w:val="16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F108C7"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Cabo Verde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EA9D93"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ABDDBA" w14:textId="312DE0DF"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6613CB" w14:textId="22ADE477" w:rsidR="0014152F" w:rsidRPr="00975617" w:rsidRDefault="00D1647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En </w:t>
            </w:r>
            <w:r w:rsidR="0014152F" w:rsidRPr="00975617">
              <w:rPr>
                <w:rFonts w:ascii="Cambria" w:hAnsi="Cambria"/>
                <w:color w:val="000000"/>
                <w:sz w:val="16"/>
                <w:szCs w:val="16"/>
              </w:rPr>
              <w:t>Cabo Verde, aún no se ha implementado ningún programa de observadores. Sin embargo, Cabo Verde está trabajando para establecer uno. El primer paso ya se ha dado con la formación impartida a los posibles observadores, y Cabo Verde está estableciendo acuerdos con ONG nacionales y regionales para poner en marcha el programa de observadores.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1229E2"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Cabo Verde tiene siete buques autorizados en el Registro ICCAT y capturó un total de 3.690 t de especies ICCAT combinadas en 2024.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DDCCD2"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90768BC"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49C2F9"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Cabo Verde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C999A7"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189BA4"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7EC12" w14:textId="289D5960"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8545E"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C596E38"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4A0725D0"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2478DF1"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Canadá</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07ED"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C603D7" w14:textId="4242FAE8"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16/07/25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8E026F"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002010"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DAC114"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E2E101A"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CAE9B"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Canadá</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333F35"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0CB85C"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096EAC"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3,00%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E7A0BD"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20E4DDA"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09607F49"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FC8F67" w14:textId="02FD688D"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China </w:t>
            </w:r>
            <w:proofErr w:type="spellStart"/>
            <w:r w:rsidRPr="00975617">
              <w:rPr>
                <w:rFonts w:ascii="Cambria" w:hAnsi="Cambria"/>
                <w:color w:val="000000"/>
                <w:sz w:val="16"/>
                <w:szCs w:val="16"/>
              </w:rPr>
              <w:t>R</w:t>
            </w:r>
            <w:r w:rsidR="00D16478" w:rsidRPr="00975617">
              <w:rPr>
                <w:rFonts w:ascii="Cambria" w:hAnsi="Cambria"/>
                <w:color w:val="000000"/>
                <w:sz w:val="16"/>
                <w:szCs w:val="16"/>
              </w:rPr>
              <w:t>.</w:t>
            </w:r>
            <w:r w:rsidRPr="00975617">
              <w:rPr>
                <w:rFonts w:ascii="Cambria" w:hAnsi="Cambria"/>
                <w:color w:val="000000"/>
                <w:sz w:val="16"/>
                <w:szCs w:val="16"/>
              </w:rPr>
              <w:t>P</w:t>
            </w:r>
            <w:proofErr w:type="spellEnd"/>
            <w:r w:rsidRPr="00975617">
              <w:rPr>
                <w:rFonts w:ascii="Cambria" w:hAnsi="Cambria"/>
                <w:color w:val="000000"/>
                <w:sz w:val="16"/>
                <w:szCs w:val="16"/>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65DC0"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1767D6" w14:textId="09DADF61"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15/09/25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F77BD2"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0386"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D21C86"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89D0970"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FCF7A" w14:textId="4EA0A251"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China </w:t>
            </w:r>
            <w:proofErr w:type="spellStart"/>
            <w:r w:rsidRPr="00975617">
              <w:rPr>
                <w:rFonts w:ascii="Cambria" w:hAnsi="Cambria"/>
                <w:color w:val="000000"/>
                <w:sz w:val="16"/>
                <w:szCs w:val="16"/>
              </w:rPr>
              <w:t>R</w:t>
            </w:r>
            <w:r w:rsidR="00D16478" w:rsidRPr="00975617">
              <w:rPr>
                <w:rFonts w:ascii="Cambria" w:hAnsi="Cambria"/>
                <w:color w:val="000000"/>
                <w:sz w:val="16"/>
                <w:szCs w:val="16"/>
              </w:rPr>
              <w:t>.</w:t>
            </w:r>
            <w:r w:rsidRPr="00975617">
              <w:rPr>
                <w:rFonts w:ascii="Cambria" w:hAnsi="Cambria"/>
                <w:color w:val="000000"/>
                <w:sz w:val="16"/>
                <w:szCs w:val="16"/>
              </w:rPr>
              <w:t>P</w:t>
            </w:r>
            <w:proofErr w:type="spellEnd"/>
            <w:r w:rsidRPr="00975617">
              <w:rPr>
                <w:rFonts w:ascii="Cambria" w:hAnsi="Cambria"/>
                <w:color w:val="000000"/>
                <w:sz w:val="16"/>
                <w:szCs w:val="16"/>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7413A"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2001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9E39F9"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22A827"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10,40%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999778" w14:textId="72CB7EF0" w:rsidR="0014152F" w:rsidRPr="00975617" w:rsidRDefault="00E025C5"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548C04"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3F8F77CB"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7B9002A"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Taipei Chino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482338"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C24FE" w14:textId="481892CB"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A3CB4F"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10/07/2025</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BB87E4"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908C6"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B270B1"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9A0B31"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Taipei Chino</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AC4F4A"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2002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6A805B"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AFEEB"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13,00%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A271BC"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F21696"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4F677B55" w14:textId="77777777" w:rsidTr="00CB5E05">
        <w:trPr>
          <w:trHeight w:val="2059"/>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2CA7154"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Costa Rica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6A5C9C"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6FB63F" w14:textId="71C45008"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AF661B"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En 2023 Costa Rica inició la implementación de hojas de registro de lances para recopilar información de descartes y captura fortuita en la flota que opera en el Atlántico. Se está implementando un plan piloto de observadores a bordo (humano y electrónico), el cual sería la base para el diseño del programa de observadores a bordo. Se agradece al SCRS y a la Secretaría su colaboración para recibir </w:t>
            </w:r>
            <w:r w:rsidRPr="00975617">
              <w:rPr>
                <w:rFonts w:ascii="Cambria" w:hAnsi="Cambria"/>
                <w:color w:val="000000"/>
                <w:sz w:val="16"/>
                <w:szCs w:val="16"/>
              </w:rPr>
              <w:lastRenderedPageBreak/>
              <w:t>talleres de creación de capacidad para ayudar a Costa Rica a cumplir los requisitos de comunicar los descartes vivos y muertos totales.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ECDDC4"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049EBE"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 (no se han comunicado datos)</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B4AA04A"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Costa Rica está implementando un plan piloto de observadores a bordo (humano y electrónico), el cual sería la base para el diseño del programa de observadores a bordo.</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F3F261"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Costa Rica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62F41" w14:textId="6999C21E"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6FBD69" w14:textId="377A9011"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C23518" w14:textId="73F5ADFF"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BAC4B"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8D732B"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0F12CDF4"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D21D39"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Côte d’Ivoire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B7F9D6"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F85066" w14:textId="133F3E64"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121BD"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80A7B"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E6DAB7"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26163A4"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385729"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Côte d’Ivoire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74656F" w14:textId="4AB8F8CD"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642D3E" w14:textId="3320F6F7"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2855CD" w14:textId="12AF27CB"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06EBE"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553D9F"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38690C94"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6DFCB" w14:textId="084A503D"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Cura</w:t>
            </w:r>
            <w:r w:rsidR="00D16478" w:rsidRPr="00975617">
              <w:rPr>
                <w:rFonts w:ascii="Cambria" w:hAnsi="Cambria"/>
                <w:color w:val="000000"/>
                <w:sz w:val="16"/>
                <w:szCs w:val="16"/>
              </w:rPr>
              <w:t>z</w:t>
            </w:r>
            <w:r w:rsidRPr="00975617">
              <w:rPr>
                <w:rFonts w:ascii="Cambria" w:hAnsi="Cambria"/>
                <w:color w:val="000000"/>
                <w:sz w:val="16"/>
                <w:szCs w:val="16"/>
              </w:rPr>
              <w:t>ao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345180"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784C6" w14:textId="7C4942FD"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1D81A3"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Sí, en el caso de las actividades pesqueras, normalmente Curazao cuenta con observadores que operan en los buques de Curazao y que han sido formados por </w:t>
            </w:r>
            <w:proofErr w:type="spellStart"/>
            <w:r w:rsidRPr="00975617">
              <w:rPr>
                <w:rFonts w:ascii="Cambria" w:hAnsi="Cambria"/>
                <w:color w:val="000000"/>
                <w:sz w:val="16"/>
                <w:szCs w:val="16"/>
              </w:rPr>
              <w:t>AZTI</w:t>
            </w:r>
            <w:proofErr w:type="spellEnd"/>
            <w:r w:rsidRPr="00975617">
              <w:rPr>
                <w:rFonts w:ascii="Cambria" w:hAnsi="Cambria"/>
                <w:color w:val="000000"/>
                <w:sz w:val="16"/>
                <w:szCs w:val="16"/>
              </w:rPr>
              <w:t>.</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31EA9"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actividad en 2024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BC0811"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B8E69BC"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B5159"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Curazao</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2ECAD82"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91676"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6F9C96"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100,00%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D710AB"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A7325C"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63FB3A5C" w14:textId="77777777" w:rsidTr="00CB5E05">
        <w:trPr>
          <w:trHeight w:val="144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0ADF177"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Egipto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152D89"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80A94C" w14:textId="219BDAC0"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EBC238"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La LFRPDA llevó a cabo un programa nacional de formación para observadores pesqueros locales de Egipto sobre la recopilación y comunicación de datos de ICCAT, en colaboración con el </w:t>
            </w:r>
            <w:proofErr w:type="spellStart"/>
            <w:r w:rsidRPr="00975617">
              <w:rPr>
                <w:rFonts w:ascii="Cambria" w:hAnsi="Cambria"/>
                <w:color w:val="000000"/>
                <w:sz w:val="16"/>
                <w:szCs w:val="16"/>
              </w:rPr>
              <w:t>NIOF</w:t>
            </w:r>
            <w:proofErr w:type="spellEnd"/>
            <w:r w:rsidRPr="00975617">
              <w:rPr>
                <w:rFonts w:ascii="Cambria" w:hAnsi="Cambria"/>
                <w:color w:val="000000"/>
                <w:sz w:val="16"/>
                <w:szCs w:val="16"/>
              </w:rPr>
              <w:t>, durante la temporada de pesca de 2025, financiado por el Proyecto ICCAT/Japón de ayuda a la creación de capacidad (fase 3).</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86B0B0"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3541AE"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Se rechazó en el IOMS debido a errores</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C257FB5"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La LFRPDA llevó a cabo un programa nacional de formación para observadores pesqueros locales de Egipto sobre la recopilación y comunicación de datos de ICCAT, en colaboración con el </w:t>
            </w:r>
            <w:proofErr w:type="spellStart"/>
            <w:r w:rsidRPr="00975617">
              <w:rPr>
                <w:rFonts w:ascii="Cambria" w:hAnsi="Cambria"/>
                <w:color w:val="000000"/>
                <w:sz w:val="16"/>
                <w:szCs w:val="16"/>
              </w:rPr>
              <w:t>NIOF</w:t>
            </w:r>
            <w:proofErr w:type="spellEnd"/>
            <w:r w:rsidRPr="00975617">
              <w:rPr>
                <w:rFonts w:ascii="Cambria" w:hAnsi="Cambria"/>
                <w:color w:val="000000"/>
                <w:sz w:val="16"/>
                <w:szCs w:val="16"/>
              </w:rPr>
              <w:t>, durante la temporada de pesca de 2025, financiado por el Proyecto ICCAT/Japón de ayuda a la creación de capacidad (fase 3).</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A1383D"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Egipto</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7752B" w14:textId="352DACA3"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56D9F2" w14:textId="649643DA"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40542" w14:textId="73B5E95E"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7AA7D8"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85CE79"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1206F91B"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43F5B4C"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El Salvador</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9E4BD9"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D0AA7C" w14:textId="2ACD2063"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20/06/25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292B0A"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651039"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2C42A3"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051837"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7EEE3D"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El Salvador</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868874"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2DB25F"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208D07"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CF06F4"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254AAE70"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274A6F91"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55466A" w14:textId="2F3D2445" w:rsidR="0014152F" w:rsidRPr="00975617" w:rsidRDefault="00271511"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B196B"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8AC73C" w14:textId="7323AE85"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0A0676"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información que comunicar.</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A6C985"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8D9A6E"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6A40C2"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43214C"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UE-Portugal</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1641C"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A579F"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10333F"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3%</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8AD27A" w14:textId="24CF7FC8" w:rsidR="0014152F" w:rsidRPr="00975617" w:rsidRDefault="00E025C5"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9B95CF2"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7363EA09"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05C656" w14:textId="6E994E7D" w:rsidR="0014152F" w:rsidRPr="00975617" w:rsidRDefault="00271511"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96A71D" w14:textId="4AC1AF5C"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95BD28" w14:textId="3AEB1C0D"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67528"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496045"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ED748"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95E968"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2810B9"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UE-Chipre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67028"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2006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D99E8D"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A44FE7"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9A3219" w14:textId="3A4A497F" w:rsidR="0014152F" w:rsidRPr="00975617" w:rsidRDefault="00E025C5"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80D979"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0972C451"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B45543" w14:textId="6228085E" w:rsidR="0014152F" w:rsidRPr="00975617" w:rsidRDefault="00271511"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7B73F" w14:textId="0371482C"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7D9F70" w14:textId="68A002C0"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A6453"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C7BFC9"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15509E"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C2ABFE"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D0D03"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UE-Francia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F8E87C"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B9FF6" w14:textId="77777777" w:rsidR="0014152F" w:rsidRPr="00975617" w:rsidRDefault="0014152F" w:rsidP="00CB5E05">
            <w:pPr>
              <w:spacing w:after="0" w:line="240" w:lineRule="auto"/>
              <w:ind w:left="-109" w:right="-114"/>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PS(</w:t>
            </w:r>
            <w:proofErr w:type="spellStart"/>
            <w:r w:rsidRPr="00975617">
              <w:rPr>
                <w:rFonts w:ascii="Cambria" w:hAnsi="Cambria"/>
                <w:color w:val="000000"/>
                <w:sz w:val="16"/>
                <w:szCs w:val="16"/>
              </w:rPr>
              <w:t>ETRO</w:t>
            </w:r>
            <w:proofErr w:type="spellEnd"/>
            <w:r w:rsidRPr="00975617">
              <w:rPr>
                <w:rFonts w:ascii="Cambria" w:hAnsi="Cambria"/>
                <w:color w:val="000000"/>
                <w:sz w:val="16"/>
                <w:szCs w:val="16"/>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345BB7"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AF2990" w14:textId="42F15F73" w:rsidR="0014152F" w:rsidRPr="00975617" w:rsidRDefault="00E025C5"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DA47FD"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3F24D40A"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CC0FFC9" w14:textId="0CA06181" w:rsidR="0014152F" w:rsidRPr="00975617" w:rsidRDefault="00271511"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21A526" w14:textId="2BEA7B1B"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CC9888E" w14:textId="5D966C65" w:rsidR="0014152F" w:rsidRPr="00975617"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8A334"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9BFDB"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7216B7"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DE425E"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A512D3" w14:textId="77777777" w:rsidR="0014152F" w:rsidRPr="00975617" w:rsidRDefault="0014152F"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UE-Grecia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CFFA19"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NA</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BA7BEF"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31340C" w14:textId="77777777" w:rsidR="0014152F" w:rsidRPr="00975617"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4,00%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A6A15A" w14:textId="128903DE" w:rsidR="0014152F" w:rsidRPr="00975617" w:rsidRDefault="00E025C5" w:rsidP="00CB5E05">
            <w:pPr>
              <w:spacing w:after="0" w:line="240" w:lineRule="auto"/>
              <w:ind w:left="-103" w:right="-107"/>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A88D03C" w14:textId="77777777" w:rsidR="0014152F" w:rsidRPr="00975617"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Actualizaciones en 2025, pero la tasa de cobertura se ha dejado en blanco.</w:t>
            </w:r>
          </w:p>
        </w:tc>
      </w:tr>
      <w:tr w:rsidR="00CB5E05" w:rsidRPr="00975617" w14:paraId="2F585631"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B8B9541" w14:textId="6A362C97" w:rsidR="007A62B8" w:rsidRPr="00975617" w:rsidRDefault="00271511"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99C5C" w14:textId="5D817A59" w:rsidR="007A62B8" w:rsidRPr="00975617"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201C50" w14:textId="6EC94710" w:rsidR="007A62B8" w:rsidRPr="00975617"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AE6F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AAF9D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F160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3CE67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2D1A8"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UE-Croacia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11CCC2"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E90731" w14:textId="48424CE5"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LL, </w:t>
            </w:r>
            <w:proofErr w:type="spellStart"/>
            <w:r w:rsidRPr="00975617">
              <w:rPr>
                <w:rFonts w:ascii="Cambria" w:hAnsi="Cambria"/>
                <w:color w:val="000000"/>
                <w:sz w:val="16"/>
                <w:szCs w:val="16"/>
              </w:rPr>
              <w:t>RR</w:t>
            </w:r>
            <w:proofErr w:type="spellEnd"/>
            <w:r w:rsidRPr="00975617">
              <w:rPr>
                <w:rFonts w:ascii="Cambria" w:hAnsi="Cambria"/>
                <w:color w:val="000000"/>
                <w:sz w:val="16"/>
                <w:szCs w:val="16"/>
              </w:rPr>
              <w:t>, 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5BF09" w14:textId="24C6BFEC"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3EAD1D"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283FA4A" w14:textId="14968B75"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Se han comunicado los datos de observadores para estas flotas, pero no las ratios de cobertura.</w:t>
            </w:r>
          </w:p>
        </w:tc>
      </w:tr>
      <w:tr w:rsidR="00CB5E05" w:rsidRPr="00975617" w14:paraId="095977A9"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D10C2D" w14:textId="76082FD8" w:rsidR="007A62B8" w:rsidRPr="00975617" w:rsidRDefault="00271511"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CD0651" w14:textId="4B3F835F"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847D0" w14:textId="3AB831FD"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67D01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7519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F2912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6B884CC"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CB8650"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UE-Italia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C7CCF"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7CF18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LL, </w:t>
            </w:r>
            <w:proofErr w:type="spellStart"/>
            <w:r w:rsidRPr="00975617">
              <w:rPr>
                <w:rFonts w:ascii="Cambria" w:hAnsi="Cambria"/>
                <w:color w:val="000000"/>
                <w:sz w:val="16"/>
                <w:szCs w:val="16"/>
              </w:rPr>
              <w:t>TP</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4BC50D" w14:textId="32DC7D49"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 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D37636" w14:textId="3DDBA1CF" w:rsidR="007A62B8" w:rsidRPr="00975617" w:rsidRDefault="00E025C5" w:rsidP="00CB5E05">
            <w:pPr>
              <w:spacing w:after="0" w:line="240" w:lineRule="auto"/>
              <w:ind w:left="-103" w:right="-107"/>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Ntrip</w:t>
            </w:r>
            <w:proofErr w:type="spellEnd"/>
            <w:r w:rsidR="007A62B8" w:rsidRPr="00975617">
              <w:rPr>
                <w:rFonts w:ascii="Cambria" w:hAnsi="Cambria"/>
                <w:color w:val="000000"/>
                <w:sz w:val="16"/>
                <w:szCs w:val="16"/>
              </w:rPr>
              <w:t xml:space="preserve">, </w:t>
            </w:r>
            <w:proofErr w:type="spellStart"/>
            <w:r w:rsidRPr="00975617">
              <w:rPr>
                <w:rFonts w:ascii="Cambria" w:hAnsi="Cambria"/>
                <w:color w:val="000000"/>
                <w:sz w:val="16"/>
                <w:szCs w:val="16"/>
              </w:rPr>
              <w:t>Nday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6AE46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363D9426" w14:textId="77777777" w:rsidTr="00CB5E05">
        <w:trPr>
          <w:trHeight w:val="96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72C81FF" w14:textId="7EE962E6" w:rsidR="007A62B8" w:rsidRPr="00975617" w:rsidRDefault="00271511"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83D3B3" w14:textId="5E9FA196"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5D5F7A" w14:textId="47629672"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24C94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A694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B6BE3D"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EACE906"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74743A"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UE-Irlanda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BC862"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63466B" w14:textId="77BD957A"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916983" w14:textId="3F1C53DE"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99CF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583396"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No se recopilaron datos de observadores para la pesquería de atún blanco en 2024. En la sección 2 del informe anual del Reino Unido se incluirán más detalles sobre los motivos de esta situación y los planes para remediarla en los próximos años. </w:t>
            </w:r>
          </w:p>
        </w:tc>
      </w:tr>
      <w:tr w:rsidR="00CB5E05" w:rsidRPr="00975617" w14:paraId="68484F8F"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26E46B" w14:textId="1905E181" w:rsidR="007A62B8" w:rsidRPr="00975617" w:rsidRDefault="00271511"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5D787" w14:textId="2D06DBAC"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FA3D25" w14:textId="2C325D98"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88BE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B35F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822EE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4E3C8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7483AB"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UE-Malta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EC30A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13685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9673DA"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0,15%</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E7260C" w14:textId="38CAF42A" w:rsidR="007A62B8" w:rsidRPr="00975617" w:rsidRDefault="00E025C5"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AB6882"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1CD2E5BB" w14:textId="77777777" w:rsidTr="00CB5E05">
        <w:trPr>
          <w:trHeight w:val="3068"/>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60E8F9" w14:textId="12990CED" w:rsidR="007A62B8" w:rsidRPr="00975617" w:rsidRDefault="00271511"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D678F8" w14:textId="7B2629B3"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EB73C5" w14:textId="233D6351"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C536D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D4B949"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D4D25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95ABD2"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D5FD3"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UE-Portugal Madeira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81CE89"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DD300B"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BB</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8DA6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F9B68" w14:textId="77777777" w:rsidR="007A62B8" w:rsidRPr="00975617" w:rsidRDefault="007A62B8" w:rsidP="00CB5E05">
            <w:pPr>
              <w:spacing w:after="0" w:line="240" w:lineRule="auto"/>
              <w:ind w:left="-103" w:right="-107"/>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No. </w:t>
            </w:r>
            <w:proofErr w:type="spellStart"/>
            <w:r w:rsidRPr="00975617">
              <w:rPr>
                <w:rFonts w:ascii="Cambria" w:hAnsi="Cambria"/>
                <w:color w:val="000000"/>
                <w:sz w:val="16"/>
                <w:szCs w:val="16"/>
              </w:rPr>
              <w:t>Of</w:t>
            </w:r>
            <w:proofErr w:type="spellEnd"/>
            <w:r w:rsidRPr="00975617">
              <w:rPr>
                <w:rFonts w:ascii="Cambria" w:hAnsi="Cambria"/>
                <w:color w:val="000000"/>
                <w:sz w:val="16"/>
                <w:szCs w:val="16"/>
              </w:rPr>
              <w:t xml:space="preserve"> </w:t>
            </w:r>
            <w:proofErr w:type="spellStart"/>
            <w:r w:rsidRPr="00975617">
              <w:rPr>
                <w:rFonts w:ascii="Cambria" w:hAnsi="Cambria"/>
                <w:color w:val="000000"/>
                <w:sz w:val="16"/>
                <w:szCs w:val="16"/>
              </w:rPr>
              <w:t>Vessels</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D698D2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Basado en la presentación de ST11 de 2019. No se han presentado datos sobre la ratio de cobertura de línea de mano.</w:t>
            </w:r>
          </w:p>
        </w:tc>
      </w:tr>
      <w:tr w:rsidR="00CB5E05" w:rsidRPr="00975617" w14:paraId="5BAA942F"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EA944" w14:textId="388882A8"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r w:rsidR="00B82D85" w:rsidRPr="00975617">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A04E0D" w14:textId="021ABE87" w:rsidR="007A62B8" w:rsidRPr="00975617"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8DF12F9" w14:textId="0517DEC4" w:rsidR="007A62B8" w:rsidRPr="00975617"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E7DAE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C4F6D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3DFDFB"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454D7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B8B7EC"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UE-España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4CAB3"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1196F" w14:textId="77777777" w:rsidR="007A62B8" w:rsidRPr="00975617" w:rsidRDefault="007A62B8" w:rsidP="00CB5E05">
            <w:pPr>
              <w:spacing w:after="0" w:line="240" w:lineRule="auto"/>
              <w:ind w:left="-109" w:right="-114"/>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 PS(</w:t>
            </w:r>
            <w:proofErr w:type="spellStart"/>
            <w:r w:rsidRPr="00975617">
              <w:rPr>
                <w:rFonts w:ascii="Cambria" w:hAnsi="Cambria"/>
                <w:color w:val="000000"/>
                <w:sz w:val="16"/>
                <w:szCs w:val="16"/>
              </w:rPr>
              <w:t>ETRO</w:t>
            </w:r>
            <w:proofErr w:type="spellEnd"/>
            <w:r w:rsidRPr="00975617">
              <w:rPr>
                <w:rFonts w:ascii="Cambria" w:hAnsi="Cambria"/>
                <w:color w:val="000000"/>
                <w:sz w:val="16"/>
                <w:szCs w:val="16"/>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897A15" w14:textId="671459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6%, 53%</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1D71C3" w14:textId="1FAB2C7B" w:rsidR="007A62B8" w:rsidRPr="00975617" w:rsidRDefault="00E025C5" w:rsidP="00CB5E05">
            <w:pPr>
              <w:spacing w:after="0" w:line="240" w:lineRule="auto"/>
              <w:ind w:left="-103" w:right="-107"/>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Ntrip</w:t>
            </w:r>
            <w:proofErr w:type="spellEnd"/>
            <w:r w:rsidR="007A62B8" w:rsidRPr="00975617">
              <w:rPr>
                <w:rFonts w:ascii="Cambria" w:hAnsi="Cambria"/>
                <w:color w:val="000000"/>
                <w:sz w:val="16"/>
                <w:szCs w:val="16"/>
              </w:rPr>
              <w:t xml:space="preserve">, </w:t>
            </w: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A22288"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6E584789"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C89A56"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Francia (SPM)</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D5BD2B"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C6F20F" w14:textId="3B56861C"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08/07</w:t>
            </w:r>
            <w:r w:rsidR="00CB5E05" w:rsidRPr="00975617">
              <w:rPr>
                <w:rFonts w:ascii="Cambria" w:hAnsi="Cambria"/>
                <w:color w:val="000000"/>
                <w:sz w:val="16"/>
                <w:szCs w:val="16"/>
              </w:rPr>
              <w:t>/</w:t>
            </w:r>
            <w:r w:rsidRPr="00975617">
              <w:rPr>
                <w:rFonts w:ascii="Cambria" w:hAnsi="Cambria"/>
                <w:color w:val="000000"/>
                <w:sz w:val="16"/>
                <w:szCs w:val="16"/>
              </w:rPr>
              <w:t>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4128AD"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08/07/2025 No hay buques científicos de observación.</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25F2C"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C9EB2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4F450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1731A5"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Francia (SPM)</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87190" w14:textId="3444ACBA"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898D5D" w14:textId="3CCA50E1"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00D991" w14:textId="388D8A6D"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A74CAA"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35106A"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6632BADF"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EBACFC"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Gabón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58144A" w14:textId="570BF651"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0F456E" w14:textId="7FC9AB7D"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E7723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4847D"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2B7C3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D49046C"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3B9726"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Gabón</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226691" w14:textId="49A3284C"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C5B9BE" w14:textId="29044467"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738B88" w14:textId="23C0DDDD"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BCD49F"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35A71D"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3789A135"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7FC818"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Gambia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2C2739" w14:textId="00F560E4"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E97BC4" w14:textId="76C4D3A4"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DE1AD"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076AA9"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3B3C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65BA9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B3AA51"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Gambia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99A424" w14:textId="134DC574"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AD432" w14:textId="390C34D6"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B30D9" w14:textId="2453CF82"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BDAE8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DDD45A2"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1670DAE1"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3D1DEC"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Ghana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B19D9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73579" w14:textId="77F836E2"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B1C5A"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Informe anual</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0B87C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4CA7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803A8"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71285C"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Ghana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263395"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2006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958CA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PS, </w:t>
            </w:r>
            <w:proofErr w:type="spellStart"/>
            <w:r w:rsidRPr="00975617">
              <w:rPr>
                <w:rFonts w:ascii="Cambria" w:hAnsi="Cambria"/>
                <w:color w:val="000000"/>
                <w:sz w:val="16"/>
                <w:szCs w:val="16"/>
              </w:rPr>
              <w:t>BB</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41E55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67,00%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8326A"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No. </w:t>
            </w:r>
            <w:proofErr w:type="spellStart"/>
            <w:r w:rsidRPr="00975617">
              <w:rPr>
                <w:rFonts w:ascii="Cambria" w:hAnsi="Cambria"/>
                <w:color w:val="000000"/>
                <w:sz w:val="16"/>
                <w:szCs w:val="16"/>
              </w:rPr>
              <w:t>of</w:t>
            </w:r>
            <w:proofErr w:type="spellEnd"/>
            <w:r w:rsidRPr="00975617">
              <w:rPr>
                <w:rFonts w:ascii="Cambria" w:hAnsi="Cambria"/>
                <w:color w:val="000000"/>
                <w:sz w:val="16"/>
                <w:szCs w:val="16"/>
              </w:rPr>
              <w:t xml:space="preserve"> </w:t>
            </w:r>
            <w:proofErr w:type="spellStart"/>
            <w:r w:rsidRPr="00975617">
              <w:rPr>
                <w:rFonts w:ascii="Cambria" w:hAnsi="Cambria"/>
                <w:color w:val="000000"/>
                <w:sz w:val="16"/>
                <w:szCs w:val="16"/>
              </w:rPr>
              <w:t>vessels</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282F75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Basado en la presentación de ST11 de 2017. Solo se ha comunicado una cifra para las flotas de cerco y de cebo vivo.</w:t>
            </w:r>
          </w:p>
        </w:tc>
      </w:tr>
      <w:tr w:rsidR="00CB5E05" w:rsidRPr="00975617" w14:paraId="452D0A89"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48202F0" w14:textId="77777777" w:rsidR="007A62B8" w:rsidRPr="00975617"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Guatemala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B7615D"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F251F" w14:textId="085E6322"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DFE529" w14:textId="75233FB8"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 aplicable. Guatemala no tiene barcos pequeños y no tiene programa de observadores científicos</w:t>
            </w:r>
            <w:r w:rsidR="00B82D85" w:rsidRPr="00975617">
              <w:rPr>
                <w:rFonts w:ascii="Cambria" w:hAnsi="Cambria"/>
                <w:color w:val="000000"/>
                <w:sz w:val="16"/>
                <w:szCs w:val="16"/>
              </w:rPr>
              <w:t>.</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673A00"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28DF41"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B097E81" w14:textId="7DAAFDA8"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Guatemala no tiene barcos pequeños y no tiene programa de observadores científicos</w:t>
            </w:r>
            <w:r w:rsidR="00B82D85" w:rsidRPr="00975617">
              <w:rPr>
                <w:rFonts w:ascii="Cambria" w:hAnsi="Cambria"/>
                <w:color w:val="000000"/>
                <w:sz w:val="16"/>
                <w:szCs w:val="16"/>
              </w:rPr>
              <w:t>.</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6F60E" w14:textId="77777777" w:rsidR="007A62B8" w:rsidRPr="00975617" w:rsidRDefault="007A62B8" w:rsidP="00CB5E05">
            <w:pPr>
              <w:spacing w:after="0" w:line="240" w:lineRule="auto"/>
              <w:ind w:left="-17" w:right="-64"/>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Guatemala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A2CBD"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73043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646C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45,00%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85A64B"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4963F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431EDA5B"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85FF4C9" w14:textId="77777777" w:rsidR="007A62B8" w:rsidRPr="00975617" w:rsidRDefault="007A62B8" w:rsidP="00CB5E05">
            <w:pPr>
              <w:spacing w:after="0" w:line="240" w:lineRule="auto"/>
              <w:ind w:left="-17" w:right="-58"/>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Guinea Ecuatorial </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3EB1FC" w14:textId="6092BEAD"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3F1120" w14:textId="280DB98A"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80C6C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56851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3C205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0B2704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8AC549"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Guinea Ecuatorial </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F6BC5" w14:textId="299C9E73"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62DC5" w14:textId="3E4C78EE"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66CA29" w14:textId="16C81FF9"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6680C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D6826B2"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7453BB98"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907FF3"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Guinea-Bissau</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94E6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91263F" w14:textId="3193A0BA"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52982" w14:textId="1284F2EF"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No cuenta con ningún </w:t>
            </w:r>
            <w:r w:rsidR="00B82D85" w:rsidRPr="00975617">
              <w:rPr>
                <w:rFonts w:ascii="Cambria" w:hAnsi="Cambria"/>
                <w:color w:val="000000"/>
                <w:sz w:val="16"/>
                <w:szCs w:val="16"/>
              </w:rPr>
              <w:t>buque de pesca de atún</w:t>
            </w:r>
            <w:r w:rsidRPr="00975617">
              <w:rPr>
                <w:rFonts w:ascii="Cambria" w:hAnsi="Cambria"/>
                <w:color w:val="000000"/>
                <w:sz w:val="16"/>
                <w:szCs w:val="16"/>
              </w:rPr>
              <w:t>. No aplicable.</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C64C5A"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6BD04B"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3229E8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Guinea Bissau no tiene buques de pesca de atún</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91768"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Guinea-Bissau</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3D39D" w14:textId="78777B2A"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9F7FD" w14:textId="167F614F"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FB8976" w14:textId="2FC4E2FA"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D56AE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C73F80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0354D606"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C4C11C" w14:textId="77777777" w:rsidR="007A62B8" w:rsidRPr="00975617" w:rsidRDefault="007A62B8" w:rsidP="00CB5E05">
            <w:pPr>
              <w:spacing w:after="0" w:line="240" w:lineRule="auto"/>
              <w:ind w:right="-58"/>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República de Guinea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30FC94" w14:textId="78A9E75C"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69674" w14:textId="0789BEE3"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D6AE10"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0986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441D5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26254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No hay motivo para la no transmisión, solo la fecha de presentación del informe anual. Sin embargo, no se ha enviado el formulario ST09.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705DF2"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República de Guinea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D0E841" w14:textId="1ABCEED9"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6AC932" w14:textId="2F444B0A"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57D39" w14:textId="69FF9DA4"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1C98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C0C8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39B3D850"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E6B462"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Guyana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A30411" w14:textId="291DAB09"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DFF2BD" w14:textId="4A6CD099"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0327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C2DF0"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B009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A287BC"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3DF9D5"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Guyana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A6459C" w14:textId="5D23C695"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C9345D" w14:textId="0E4F82B5"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EA7A3A" w14:textId="1B562356"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5FBD85"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F6558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35AACF0E"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74BA0"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Honduras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D168F" w14:textId="7237406C"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375932" w14:textId="4B8B5805"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5A68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B39C28"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7A8D1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082734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Honduras no cuenta con ningún buque pesquero autorizado a capturar especies de ICCAT.</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8C79A6"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Honduras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23CB04" w14:textId="40863478"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304001" w14:textId="52965BF4"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44141" w14:textId="6D5284F1"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181AC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C7242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6F0AC1E9"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CFD6C52"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Islandia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313DD5"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E0F7D" w14:textId="3BBC9ADF"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4F2A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 existen dichas pesquerías.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1E762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A8269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E2A7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0F80AE"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Islandia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C85334" w14:textId="7797C079"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CAA04" w14:textId="11C30192"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327CD" w14:textId="012006CC"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A8B3A"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DDBDE30"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Los buques islandeses en 2024 no se dirigieron a ninguna especie de ICCAT - no hay datos que comunicar.</w:t>
            </w:r>
          </w:p>
        </w:tc>
      </w:tr>
      <w:tr w:rsidR="00CB5E05" w:rsidRPr="00975617" w14:paraId="1AE20FC0"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341FEA8"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Japón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D316C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760F" w14:textId="10B1B99C"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11/09/25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46FCE9"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6139D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55DC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1B5F40"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210DC"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Japón</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EDB65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1992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7A041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FC05A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11%</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1B819"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4B08E8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7F7334D7"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A7A94BA"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Corea, Rep.</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A86415"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146288" w14:textId="2BAC5850"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15/07/25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14BA4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3AD21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B95B3"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CAD4D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53EEC1"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Corea, Rep.</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FB5A3A"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C11D1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84DF4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14%</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69949"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9E34DFA"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6C32F0B4"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895617A"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Liberia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C9495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FFF34" w14:textId="4FBB82B0"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27/08/25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BE2AE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FF46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CFADDF"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4DFC0E"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BA031"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Liberia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CD6259" w14:textId="13BFDCD8"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42D58F" w14:textId="44B181E5"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07B800" w14:textId="68D11A76"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A4C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4012D4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44E567D4"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9492997"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Libia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CD7DF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664D2B" w14:textId="4D8E3BCC"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AB155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información sobre la Rec. 16-14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E25E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La respuesta debería ser Sí = Aplicable</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E03E4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C2B25E"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4181EF"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Libia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29A1A" w14:textId="4287F9C0"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7E8215" w14:textId="38F1183B"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120AB" w14:textId="143B5079"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5F0D13"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855A49"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4C82B36B"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FCD0A88" w14:textId="77777777" w:rsidR="007A62B8" w:rsidRPr="00975617"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Marruecos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19C71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F6B1D7" w14:textId="6498D254"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1156B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Documento SCRS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3809D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DD42EA"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5CB00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D9A5AE" w14:textId="77777777" w:rsidR="007A62B8" w:rsidRPr="00975617"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Marruecos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B5D35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95CE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D57B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5%</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4AECD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86D848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7CE814E3"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D29F16D" w14:textId="77777777" w:rsidR="007A62B8" w:rsidRPr="00975617"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Mauritania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1FCF7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670583" w14:textId="55C9DCD2"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4B410B" w14:textId="58C83233"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 le afecta, dado que no hay flota</w:t>
            </w:r>
            <w:r w:rsidR="000C3E0E" w:rsidRPr="00975617">
              <w:rPr>
                <w:rFonts w:ascii="Cambria" w:hAnsi="Cambria"/>
                <w:color w:val="000000"/>
                <w:sz w:val="16"/>
                <w:szCs w:val="16"/>
              </w:rPr>
              <w:t>.</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0AFD4A"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A3E5D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BB60AEE"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 le afecta a Mauritania, dado que no hay flota.</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CE166A" w14:textId="77777777" w:rsidR="007A62B8" w:rsidRPr="00975617"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Mauritania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3EC50F" w14:textId="758505D3"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1AC784" w14:textId="428AFEE9"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64B81D" w14:textId="6961F906"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F8345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FC8E3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7727A0D9"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E764AEA"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México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24D5FD"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222CD" w14:textId="6A81EFA6"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07/07/25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6DEEC9"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6E6678"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5DCE1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7AFDA"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E22F30"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México</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91AFB"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CCE12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E68A6F"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598211"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DF936E"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F977AB" w:rsidRPr="00975617" w14:paraId="5494DA5F" w14:textId="77777777" w:rsidTr="00975617">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652A662" w14:textId="77777777" w:rsidR="00F977AB" w:rsidRPr="00975617" w:rsidRDefault="00F977AB" w:rsidP="00F977AB">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Namibia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5D9B0" w14:textId="77777777" w:rsidR="00F977AB" w:rsidRPr="00975617" w:rsidRDefault="00F977AB" w:rsidP="00F977AB">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D17D8" w14:textId="3C294B3E" w:rsidR="00F977AB" w:rsidRPr="00975617" w:rsidRDefault="00F977AB" w:rsidP="00F977AB">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C88A51" w14:textId="77777777" w:rsidR="00F977AB" w:rsidRPr="00975617" w:rsidRDefault="00F977AB" w:rsidP="00F977AB">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15/07/2025</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6F1EE4" w14:textId="77777777" w:rsidR="00F977AB" w:rsidRPr="00975617" w:rsidRDefault="00F977AB" w:rsidP="00F977AB">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00E606" w14:textId="77777777" w:rsidR="00F977AB" w:rsidRPr="00975617" w:rsidRDefault="00F977AB" w:rsidP="00F977AB">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9853BD1" w14:textId="77777777" w:rsidR="00F977AB" w:rsidRPr="00975617" w:rsidRDefault="00F977AB" w:rsidP="00F977AB">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5466EA" w14:textId="77777777" w:rsidR="00F977AB" w:rsidRPr="00975617" w:rsidRDefault="00F977AB" w:rsidP="00F977AB">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Namibia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FCFC5E" w14:textId="16EA9DFC" w:rsidR="00F977AB" w:rsidRPr="00975617" w:rsidRDefault="00F977AB" w:rsidP="00975617">
            <w:pPr>
              <w:spacing w:after="0" w:line="240" w:lineRule="auto"/>
              <w:jc w:val="center"/>
              <w:rPr>
                <w:rFonts w:ascii="Cambria" w:hAnsi="Cambria"/>
                <w:color w:val="000000"/>
                <w:sz w:val="16"/>
                <w:szCs w:val="16"/>
                <w:u w:val="single"/>
              </w:rPr>
            </w:pPr>
            <w:r w:rsidRPr="00975617">
              <w:rPr>
                <w:rFonts w:ascii="Cambria" w:hAnsi="Cambria"/>
                <w:color w:val="000000"/>
                <w:sz w:val="16"/>
                <w:szCs w:val="16"/>
                <w:u w:val="single"/>
              </w:rPr>
              <w:t>1991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6A886E" w14:textId="41BB9CDF" w:rsidR="00F977AB" w:rsidRPr="00975617" w:rsidRDefault="00F977AB" w:rsidP="00975617">
            <w:pPr>
              <w:spacing w:after="0" w:line="240" w:lineRule="auto"/>
              <w:jc w:val="center"/>
              <w:rPr>
                <w:rFonts w:ascii="Cambria" w:hAnsi="Cambria"/>
                <w:color w:val="000000"/>
                <w:sz w:val="16"/>
                <w:szCs w:val="16"/>
                <w:u w:val="single"/>
              </w:rPr>
            </w:pPr>
            <w:r w:rsidRPr="00975617">
              <w:rPr>
                <w:rFonts w:ascii="Cambria" w:hAnsi="Cambria"/>
                <w:color w:val="000000"/>
                <w:sz w:val="16"/>
                <w:szCs w:val="16"/>
                <w:u w:val="single"/>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0951C" w14:textId="0F5AF4E6" w:rsidR="00F977AB" w:rsidRPr="00975617" w:rsidRDefault="00F977AB" w:rsidP="00975617">
            <w:pPr>
              <w:spacing w:after="0" w:line="240" w:lineRule="auto"/>
              <w:jc w:val="center"/>
              <w:rPr>
                <w:rFonts w:ascii="Cambria" w:hAnsi="Cambria"/>
                <w:color w:val="000000"/>
                <w:sz w:val="16"/>
                <w:szCs w:val="16"/>
                <w:u w:val="single"/>
              </w:rPr>
            </w:pPr>
            <w:r w:rsidRPr="00975617">
              <w:rPr>
                <w:rFonts w:ascii="Cambria" w:hAnsi="Cambria"/>
                <w:color w:val="000000"/>
                <w:sz w:val="16"/>
                <w:szCs w:val="16"/>
                <w:u w:val="single"/>
              </w:rPr>
              <w:t>43</w:t>
            </w:r>
            <w:r w:rsidR="00975617" w:rsidRPr="00975617">
              <w:rPr>
                <w:rFonts w:ascii="Cambria" w:hAnsi="Cambria"/>
                <w:color w:val="000000"/>
                <w:sz w:val="16"/>
                <w:szCs w:val="16"/>
                <w:u w:val="single"/>
              </w:rPr>
              <w:t>,</w:t>
            </w:r>
            <w:r w:rsidRPr="00975617">
              <w:rPr>
                <w:rFonts w:ascii="Cambria" w:hAnsi="Cambria"/>
                <w:color w:val="000000"/>
                <w:sz w:val="16"/>
                <w:szCs w:val="16"/>
                <w:u w:val="single"/>
              </w:rPr>
              <w:t>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65595F" w14:textId="5D9209C8" w:rsidR="00F977AB" w:rsidRPr="00975617" w:rsidRDefault="00F977AB" w:rsidP="00975617">
            <w:pPr>
              <w:spacing w:after="0" w:line="240" w:lineRule="auto"/>
              <w:jc w:val="center"/>
              <w:rPr>
                <w:rFonts w:ascii="Cambria" w:hAnsi="Cambria"/>
                <w:color w:val="000000"/>
                <w:sz w:val="16"/>
                <w:szCs w:val="16"/>
                <w:u w:val="single"/>
              </w:rPr>
            </w:pPr>
            <w:proofErr w:type="spellStart"/>
            <w:r w:rsidRPr="00975617">
              <w:rPr>
                <w:rFonts w:ascii="Cambria" w:hAnsi="Cambria"/>
                <w:color w:val="000000"/>
                <w:sz w:val="16"/>
                <w:szCs w:val="16"/>
                <w:u w:val="single"/>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25147" w14:textId="77777777" w:rsidR="00F977AB" w:rsidRPr="00975617" w:rsidRDefault="00F977AB" w:rsidP="00F977AB">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3A834FF3" w14:textId="77777777" w:rsidTr="00CB5E05">
        <w:trPr>
          <w:trHeight w:val="96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8A5696" w14:textId="77777777" w:rsidR="007A62B8" w:rsidRPr="00975617"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Nicaragua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289DCB"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A64C5" w14:textId="17385308"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387BF5" w14:textId="133AB75B"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 aplicable (Nicaragua no ha recopilado información en el marco de los observadores atuneros nacionales, ya que actualmente no opera flota pesquera en la zona del Convenio).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84E2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pesquerías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DB1A71"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92269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 aplicable (Nicaragua no ha recopilado información en el marco de los observadores atuneros nacionales, ya que actualmente no opera flota pesquera en la zona del Convenio).</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DF118C"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Nicaragua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B10584" w14:textId="4EFEB60C"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D9B1A" w14:textId="710750C6"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421D7" w14:textId="40B2BCF5"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B3167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709EA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7AEAAF0E"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A9EEA9A"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Nigeria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9B012C" w14:textId="4CAF6C5D"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88A5B0" w14:textId="66D614A6"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492D5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5CA192" w14:textId="46357811"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Sin respuesta en IOMS. </w:t>
            </w:r>
            <w:r w:rsidR="000C3E0E" w:rsidRPr="00975617">
              <w:rPr>
                <w:rFonts w:ascii="Cambria" w:hAnsi="Cambria"/>
                <w:color w:val="000000"/>
                <w:sz w:val="16"/>
                <w:szCs w:val="16"/>
              </w:rPr>
              <w:t xml:space="preserve">Se ha comunicado que no hay ninguna </w:t>
            </w:r>
            <w:r w:rsidRPr="00975617">
              <w:rPr>
                <w:rFonts w:ascii="Cambria" w:hAnsi="Cambria"/>
                <w:color w:val="000000"/>
                <w:sz w:val="16"/>
                <w:szCs w:val="16"/>
              </w:rPr>
              <w:t>actividad</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AF1E6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E2E3062"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02F22C"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Nigeria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116245" w14:textId="1C9AC27A"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3B433" w14:textId="2407D4C1"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54FF23" w14:textId="5B79AA1B"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CD03D"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5D64A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54E19201" w14:textId="77777777" w:rsidTr="00CB5E05">
        <w:trPr>
          <w:trHeight w:val="24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84AB73B"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Noruega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411C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09B8E1" w14:textId="5ABC71A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15/02/19</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06908A"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Esta información figura en la sección 4 de la parte II del Informe anual noruego.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E3E14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45AD2A"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111EB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D33E80"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Noruega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171F1"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D024A"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 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5DC59F"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27 %, 0 %</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33E7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Ntrip</w:t>
            </w:r>
            <w:proofErr w:type="spellEnd"/>
            <w:r w:rsidRPr="00975617">
              <w:rPr>
                <w:rFonts w:ascii="Cambria" w:hAnsi="Cambria"/>
                <w:color w:val="000000"/>
                <w:sz w:val="16"/>
                <w:szCs w:val="16"/>
              </w:rPr>
              <w:t xml:space="preserve">, </w:t>
            </w: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FABE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2A701BCD"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CAB2433"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Panamá</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8B1AF"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E57BD7" w14:textId="4755B9ED"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21/07/23</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CCA4E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DFC5F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A01C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E2E47E"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648E44"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Panamá</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B28E09"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085293" w14:textId="77777777" w:rsidR="000C3E0E" w:rsidRPr="00975617" w:rsidRDefault="007A62B8" w:rsidP="00CB5E05">
            <w:pPr>
              <w:spacing w:after="0" w:line="240" w:lineRule="auto"/>
              <w:ind w:right="-114"/>
              <w:jc w:val="center"/>
              <w:rPr>
                <w:rFonts w:ascii="Cambria" w:hAnsi="Cambria"/>
                <w:color w:val="000000"/>
                <w:sz w:val="16"/>
                <w:szCs w:val="16"/>
                <w:lang w:val="fr-FR"/>
              </w:rPr>
            </w:pPr>
            <w:proofErr w:type="spellStart"/>
            <w:r w:rsidRPr="00975617">
              <w:rPr>
                <w:rFonts w:ascii="Cambria" w:hAnsi="Cambria"/>
                <w:color w:val="000000"/>
                <w:sz w:val="16"/>
                <w:szCs w:val="16"/>
                <w:lang w:val="fr-FR"/>
              </w:rPr>
              <w:t>LL</w:t>
            </w:r>
            <w:proofErr w:type="spellEnd"/>
            <w:r w:rsidRPr="00975617">
              <w:rPr>
                <w:rFonts w:ascii="Cambria" w:hAnsi="Cambria"/>
                <w:color w:val="000000"/>
                <w:sz w:val="16"/>
                <w:szCs w:val="16"/>
                <w:lang w:val="fr-FR"/>
              </w:rPr>
              <w:t xml:space="preserve">, </w:t>
            </w:r>
          </w:p>
          <w:p w14:paraId="179A1BFE" w14:textId="77777777" w:rsidR="000C3E0E" w:rsidRPr="00975617" w:rsidRDefault="007A62B8" w:rsidP="00CB5E05">
            <w:pPr>
              <w:spacing w:after="0" w:line="240" w:lineRule="auto"/>
              <w:ind w:right="-114"/>
              <w:jc w:val="center"/>
              <w:rPr>
                <w:rFonts w:ascii="Cambria" w:hAnsi="Cambria"/>
                <w:color w:val="000000"/>
                <w:sz w:val="16"/>
                <w:szCs w:val="16"/>
                <w:lang w:val="fr-FR"/>
              </w:rPr>
            </w:pPr>
            <w:r w:rsidRPr="00975617">
              <w:rPr>
                <w:rFonts w:ascii="Cambria" w:hAnsi="Cambria"/>
                <w:color w:val="000000"/>
                <w:sz w:val="16"/>
                <w:szCs w:val="16"/>
                <w:lang w:val="fr-FR"/>
              </w:rPr>
              <w:t xml:space="preserve">PS, </w:t>
            </w:r>
          </w:p>
          <w:p w14:paraId="57FFC61C" w14:textId="7A5485B3" w:rsidR="007A62B8" w:rsidRPr="00975617" w:rsidRDefault="007A62B8" w:rsidP="00CB5E05">
            <w:pPr>
              <w:spacing w:after="0" w:line="240" w:lineRule="auto"/>
              <w:ind w:right="-114"/>
              <w:jc w:val="center"/>
              <w:rPr>
                <w:rFonts w:ascii="Cambria" w:eastAsia="Times New Roman" w:hAnsi="Cambria" w:cs="Times New Roman"/>
                <w:color w:val="000000"/>
                <w:kern w:val="0"/>
                <w:sz w:val="16"/>
                <w:szCs w:val="16"/>
                <w:lang w:val="fr-FR"/>
                <w14:ligatures w14:val="none"/>
              </w:rPr>
            </w:pPr>
            <w:r w:rsidRPr="00975617">
              <w:rPr>
                <w:rFonts w:ascii="Cambria" w:hAnsi="Cambria"/>
                <w:color w:val="000000"/>
                <w:sz w:val="16"/>
                <w:szCs w:val="16"/>
                <w:lang w:val="fr-FR"/>
              </w:rPr>
              <w:t>PS, PS(</w:t>
            </w:r>
            <w:proofErr w:type="spellStart"/>
            <w:r w:rsidRPr="00975617">
              <w:rPr>
                <w:rFonts w:ascii="Cambria" w:hAnsi="Cambria"/>
                <w:color w:val="000000"/>
                <w:sz w:val="16"/>
                <w:szCs w:val="16"/>
                <w:lang w:val="fr-FR"/>
              </w:rPr>
              <w:t>ETRO</w:t>
            </w:r>
            <w:proofErr w:type="spellEnd"/>
            <w:r w:rsidRPr="00975617">
              <w:rPr>
                <w:rFonts w:ascii="Cambria" w:hAnsi="Cambria"/>
                <w:color w:val="000000"/>
                <w:sz w:val="16"/>
                <w:szCs w:val="16"/>
                <w:lang w:val="fr-F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600E05"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11 %, 78 %, 100 %, 100 %</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06943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r w:rsidRPr="00975617">
              <w:rPr>
                <w:rFonts w:ascii="Cambria" w:hAnsi="Cambria"/>
                <w:color w:val="000000"/>
                <w:sz w:val="16"/>
                <w:szCs w:val="16"/>
              </w:rPr>
              <w:t xml:space="preserve">, </w:t>
            </w:r>
            <w:proofErr w:type="spellStart"/>
            <w:r w:rsidRPr="00975617">
              <w:rPr>
                <w:rFonts w:ascii="Cambria" w:hAnsi="Cambria"/>
                <w:color w:val="000000"/>
                <w:sz w:val="16"/>
                <w:szCs w:val="16"/>
              </w:rPr>
              <w:t>Nset</w:t>
            </w:r>
            <w:proofErr w:type="spellEnd"/>
            <w:r w:rsidRPr="00975617">
              <w:rPr>
                <w:rFonts w:ascii="Cambria" w:hAnsi="Cambria"/>
                <w:color w:val="000000"/>
                <w:sz w:val="16"/>
                <w:szCs w:val="16"/>
              </w:rPr>
              <w:t xml:space="preserve">, </w:t>
            </w:r>
            <w:proofErr w:type="spellStart"/>
            <w:r w:rsidRPr="00975617">
              <w:rPr>
                <w:rFonts w:ascii="Cambria" w:hAnsi="Cambria"/>
                <w:color w:val="000000"/>
                <w:sz w:val="16"/>
                <w:szCs w:val="16"/>
              </w:rPr>
              <w:t>Ntrip</w:t>
            </w:r>
            <w:proofErr w:type="spellEnd"/>
            <w:r w:rsidRPr="00975617">
              <w:rPr>
                <w:rFonts w:ascii="Cambria" w:hAnsi="Cambria"/>
                <w:color w:val="000000"/>
                <w:sz w:val="16"/>
                <w:szCs w:val="16"/>
              </w:rPr>
              <w:t xml:space="preserve">, </w:t>
            </w: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1718109"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675759BF"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9E73FBF"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Filipinas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545AD"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EB5AB" w14:textId="3DE30DBB"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1C475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 aplicable. Esta CPC no tiene flota activa en la zona del Convenio de ICCAT desde 2015 hasta la actualidad.</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E90BB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pesquerías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72B5FB"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BC43DD" w14:textId="339F6B7F"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Filipinas no tiene flota activa en la zona del Convenio de ICCAT desde 2015 hasta la actualidad.</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843B6B"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Filipinas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E8524F" w14:textId="78238D2C"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AA83C1" w14:textId="657FBE46"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8D61E7" w14:textId="70B375EB"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185C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A5F93C"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4080BB9D"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D1AE442"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Rusia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B372B9"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44E645" w14:textId="7F1FF414"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14/07/25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2AE58"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Los observadores cubrieron el 13 % de los días de pesca de la pesquería de arrastre (14/07/2025)</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275889"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7C4F32"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F6F95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7958F" w14:textId="77777777" w:rsidR="007A62B8" w:rsidRPr="00975617" w:rsidRDefault="007A62B8" w:rsidP="00CB5E05">
            <w:pPr>
              <w:spacing w:after="0" w:line="240" w:lineRule="auto"/>
              <w:ind w:left="-17" w:right="-142"/>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Federación Rusa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C14F7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12564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TW</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846295"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13%</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6B15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E2DD2"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55F1F7FB"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A4636"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São Tomé </w:t>
            </w:r>
            <w:proofErr w:type="spellStart"/>
            <w:r w:rsidRPr="00975617">
              <w:rPr>
                <w:rFonts w:ascii="Cambria" w:hAnsi="Cambria"/>
                <w:color w:val="000000"/>
                <w:sz w:val="16"/>
                <w:szCs w:val="16"/>
              </w:rPr>
              <w:t>e</w:t>
            </w:r>
            <w:proofErr w:type="spellEnd"/>
            <w:r w:rsidRPr="00975617">
              <w:rPr>
                <w:rFonts w:ascii="Cambria" w:hAnsi="Cambria"/>
                <w:color w:val="000000"/>
                <w:sz w:val="16"/>
                <w:szCs w:val="16"/>
              </w:rPr>
              <w:t xml:space="preserve"> Príncipe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5446BC" w14:textId="00DD12D1"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2A47DB" w14:textId="4A928837"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1360D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61DF8"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68B072"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460146"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B97A5"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São Tomé </w:t>
            </w:r>
            <w:proofErr w:type="spellStart"/>
            <w:r w:rsidRPr="00975617">
              <w:rPr>
                <w:rFonts w:ascii="Cambria" w:hAnsi="Cambria"/>
                <w:color w:val="000000"/>
                <w:sz w:val="16"/>
                <w:szCs w:val="16"/>
              </w:rPr>
              <w:t>e</w:t>
            </w:r>
            <w:proofErr w:type="spellEnd"/>
            <w:r w:rsidRPr="00975617">
              <w:rPr>
                <w:rFonts w:ascii="Cambria" w:hAnsi="Cambria"/>
                <w:color w:val="000000"/>
                <w:sz w:val="16"/>
                <w:szCs w:val="16"/>
              </w:rPr>
              <w:t xml:space="preserve"> Príncipe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57E24" w14:textId="06EBBC6F"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505D1" w14:textId="2FBFA731"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5CFB7E" w14:textId="667DCF27"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28DF13"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02AE9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4AF5D54C" w14:textId="77777777" w:rsidTr="00CB5E05">
        <w:trPr>
          <w:trHeight w:val="96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EC33971"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Senegal</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7F750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BA34C3" w14:textId="7280722E"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86E9CA"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Los observadores embarcan a bordo de cerqueros y toda la información recopilada se ha presentado mediante el formulario ST09.</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3D920"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6D8C4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AC1A1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730149"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Senegal</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05282F"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364AD"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99ECE9"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41,00%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2252A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C8B5DE"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68DCEC7C"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404A1AB"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Sierra Leona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BB0DE3"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10A577" w14:textId="44A94480"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A8A49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Sierra Leona no cuenta con observadores embarcados en buques atuneros.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BE1C7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565673"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3F381E"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Sierra Leona no cuenta con observadores embarcados en buques atuneros.</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58C108"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Sierra Leona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F2483E" w14:textId="1CA8B416"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CA4192" w14:textId="0380E888"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427015" w14:textId="03656953"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D29AA3"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834439"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54D37CDC"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E695092"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Sudáfrica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44F71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C7DF2F" w14:textId="3FB02A9F"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15/09/25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C9DFE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Incluido en el Informe anual (científico)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9F3B8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BB236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F48ED5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C63026"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Sudáfrica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31D9E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8234D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30CFA1"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11%</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9A129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C78F5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45DF4766"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69E5DA"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San Vicente y las Granadinas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A3C58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E4E2B" w14:textId="2CB5AAA8"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9BE4E"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 hay un programa de observadores. Sólo flotas artesanales con buques de menos de 10 m de eslora en funcionamiento.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6ABC1"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La respuesta debería ser Sí = Aplicable</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E7B08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16B10D8"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San Vicente y las Granadinas no cuenta con un programa de observadores. Las embarcaciones que operan actualmente forman parte de la flota artesanal.</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71E8FD"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San Vicente y las Granadinas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04066E" w14:textId="0F116798" w:rsidR="007A62B8" w:rsidRPr="00975617"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777F9B" w14:textId="6486464E" w:rsidR="007A62B8" w:rsidRPr="00975617"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672863" w14:textId="0E43FE2C" w:rsidR="007A62B8" w:rsidRPr="00975617"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8537F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9C06B3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F977AB" w:rsidRPr="00975617" w14:paraId="0E5BEE4A" w14:textId="77777777" w:rsidTr="00CB5E05">
        <w:trPr>
          <w:trHeight w:val="12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1C2E308" w14:textId="77777777" w:rsidR="00F977AB" w:rsidRPr="00975617" w:rsidRDefault="00F977AB" w:rsidP="00F977AB">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Surinam</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8C6E9D" w14:textId="77777777" w:rsidR="00F977AB" w:rsidRPr="00975617" w:rsidRDefault="00F977AB" w:rsidP="00F977AB">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7C6C87" w14:textId="5060C5CC" w:rsidR="00F977AB" w:rsidRPr="00975617" w:rsidRDefault="00F977AB" w:rsidP="00F977AB">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5C5BAC" w14:textId="77777777" w:rsidR="00F977AB" w:rsidRPr="00975617" w:rsidRDefault="00F977AB" w:rsidP="00F977AB">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Surinam aún no puede implementar un programa nacional de observadores para los buques atuneros de Surinam debido a la falta de capacidad humana y financiera, pero sigue buscando opciones alternativas para implementarlo lo antes posible.</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5AD28" w14:textId="77777777" w:rsidR="00F977AB" w:rsidRPr="00975617" w:rsidRDefault="00F977AB" w:rsidP="00F977AB">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407894" w14:textId="77777777" w:rsidR="00F977AB" w:rsidRPr="00975617" w:rsidRDefault="00F977AB" w:rsidP="00F977AB">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5E7D37" w14:textId="77777777" w:rsidR="00F977AB" w:rsidRPr="00975617" w:rsidRDefault="00F977AB" w:rsidP="00F977AB">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Surinam aún no puede implementar un programa nacional de observadores para los buques atuneros de Surinam debido a la falta de capacidad humana y financiera.</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F66A57" w14:textId="77777777" w:rsidR="00F977AB" w:rsidRPr="00975617" w:rsidRDefault="00F977AB" w:rsidP="00F977AB">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Surinam</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A70C2" w14:textId="77777777" w:rsidR="00F977AB" w:rsidRPr="00975617" w:rsidRDefault="00F977AB" w:rsidP="00F977AB">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A4A48F" w14:textId="2509E3FC" w:rsidR="00F977AB" w:rsidRPr="00975617" w:rsidRDefault="00F977AB" w:rsidP="00F977AB">
            <w:pPr>
              <w:spacing w:after="0" w:line="240" w:lineRule="auto"/>
              <w:jc w:val="center"/>
              <w:rPr>
                <w:rFonts w:ascii="Cambria" w:hAnsi="Cambria"/>
                <w:color w:val="000000"/>
                <w:sz w:val="16"/>
                <w:szCs w:val="16"/>
                <w:u w:val="single"/>
              </w:rPr>
            </w:pPr>
            <w:r w:rsidRPr="00975617">
              <w:rPr>
                <w:rFonts w:ascii="Cambria" w:hAnsi="Cambria"/>
                <w:color w:val="000000"/>
                <w:sz w:val="16"/>
                <w:szCs w:val="16"/>
                <w:u w:val="single"/>
              </w:rPr>
              <w:t>TW</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49D2DE" w14:textId="3DAFA101" w:rsidR="00F977AB" w:rsidRPr="00975617" w:rsidRDefault="00F977AB" w:rsidP="00F977AB">
            <w:pPr>
              <w:spacing w:after="0" w:line="240" w:lineRule="auto"/>
              <w:jc w:val="center"/>
              <w:rPr>
                <w:rFonts w:ascii="Cambria" w:hAnsi="Cambria"/>
                <w:color w:val="000000"/>
                <w:sz w:val="16"/>
                <w:szCs w:val="16"/>
                <w:u w:val="single"/>
              </w:rPr>
            </w:pPr>
            <w:r w:rsidRPr="00975617">
              <w:rPr>
                <w:rFonts w:ascii="Cambria" w:hAnsi="Cambria"/>
                <w:color w:val="000000"/>
                <w:sz w:val="16"/>
                <w:szCs w:val="16"/>
                <w:u w:val="single"/>
              </w:rPr>
              <w:t>2%</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2B9572" w14:textId="1440F916" w:rsidR="00F977AB" w:rsidRPr="00975617" w:rsidRDefault="00F977AB" w:rsidP="00F977AB">
            <w:pPr>
              <w:spacing w:after="0" w:line="240" w:lineRule="auto"/>
              <w:jc w:val="center"/>
              <w:rPr>
                <w:rFonts w:ascii="Cambria" w:hAnsi="Cambria"/>
                <w:color w:val="000000"/>
                <w:sz w:val="16"/>
                <w:szCs w:val="16"/>
                <w:u w:val="single"/>
              </w:rPr>
            </w:pPr>
            <w:proofErr w:type="spellStart"/>
            <w:r w:rsidRPr="00975617">
              <w:rPr>
                <w:rFonts w:ascii="Cambria" w:hAnsi="Cambria"/>
                <w:color w:val="000000"/>
                <w:sz w:val="16"/>
                <w:szCs w:val="16"/>
                <w:u w:val="single"/>
              </w:rPr>
              <w:t>Nday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110790" w14:textId="77777777" w:rsidR="00F977AB" w:rsidRPr="00975617" w:rsidRDefault="00F977AB" w:rsidP="00F977AB">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6A874B1E"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7D15197"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Siria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3FD5A" w14:textId="3C278609"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8B23F6" w14:textId="2B9109FD"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EF6C08"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105CAC"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C036B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80094B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557F08"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Siria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F70DE1" w14:textId="29BFDD28"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C3E84" w14:textId="617A9DAC"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71643" w14:textId="37FFB876"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FDC6A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8BBDFD8"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7AA2D548"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3599C15"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Trinidad y Tobago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C5B7D4" w14:textId="534DE441"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2A36ED" w14:textId="7638F172"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8A0620"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9E64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A3CD9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213029C"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57CB9A"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Trinidad y Tobago</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9DDF" w14:textId="4093FE14"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77D6D" w14:textId="68544CB3"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93C3E6" w14:textId="050F53F6"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CF076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75CB54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1A275164" w14:textId="77777777" w:rsidTr="00CB5E05">
        <w:trPr>
          <w:trHeight w:val="666"/>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3DD145B"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Túnez</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62C1CB"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B187AC" w14:textId="4F46DAD1"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11/07/25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EC62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F47286"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DA6CE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9094D0"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9C0B5"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Túnez</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52D51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5BE6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274B1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100,00%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7895F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1EBC3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4567E341"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16A20C6"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Türkiye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835A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AF2CE6" w14:textId="3B19E629"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12/09/25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5A363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Enviado a ICCAT el 12/09/2025 en el informe denominado "Report_on_GEN11_SHK01_BYC04_BYC05_TUR2025".</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DFB55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3C11F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89D7EC"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D2C23"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Türkiye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03056B"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F3B761"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GN</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EF87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100,00%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1E497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F627F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68C6B60C"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D861B31"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Reino Unido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CDF3D3"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0FDB5D" w14:textId="019387A5"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5F6656" w14:textId="3444D3EC"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En 2024,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xml:space="preserve">. cuenta con un programa interno de observadores aplicable a su pesquería de atún blanco del Atlántico norte formada por dos arrastreros en pareja. Los observadores cuentan con experiencia y formación para completar el ST09-DomObPrg.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xml:space="preserve">. también ha consolidado las directrices para la industria sobre los requisitos de los observadores en ICCAT, con el fin de ayudar a la industria a comprender las responsabilidades de los patrones y los observadores. Las directrices incluyen el tipo y la frecuencia de la cobertura necesaria, las obligaciones del capitán y del observador, y los protocolos de seguridad. En la sección 2.2 se ofrece más información sobre la imposibilidad del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de cumplir con su cobertura de observadores en 2024.</w:t>
            </w:r>
            <w:r w:rsidRPr="00975617">
              <w:rPr>
                <w:rFonts w:ascii="Cambria" w:hAnsi="Cambria"/>
                <w:color w:val="000000"/>
                <w:sz w:val="16"/>
                <w:szCs w:val="16"/>
              </w:rPr>
              <w:br/>
            </w:r>
            <w:r w:rsidRPr="00975617">
              <w:rPr>
                <w:rFonts w:ascii="Cambria" w:hAnsi="Cambria"/>
                <w:color w:val="000000"/>
                <w:sz w:val="16"/>
                <w:szCs w:val="16"/>
              </w:rPr>
              <w:br/>
              <w:t xml:space="preserve">Bermudas contó con un observador de palangre </w:t>
            </w:r>
            <w:r w:rsidRPr="00975617">
              <w:rPr>
                <w:rFonts w:ascii="Cambria" w:hAnsi="Cambria"/>
                <w:color w:val="000000"/>
                <w:sz w:val="16"/>
                <w:szCs w:val="16"/>
              </w:rPr>
              <w:lastRenderedPageBreak/>
              <w:t>operativo en 2024.</w:t>
            </w:r>
            <w:r w:rsidRPr="00975617">
              <w:rPr>
                <w:rFonts w:ascii="Cambria" w:hAnsi="Cambria"/>
                <w:color w:val="000000"/>
                <w:sz w:val="16"/>
                <w:szCs w:val="16"/>
              </w:rPr>
              <w:br/>
            </w:r>
            <w:r w:rsidRPr="00975617">
              <w:rPr>
                <w:rFonts w:ascii="Cambria" w:hAnsi="Cambria"/>
                <w:color w:val="000000"/>
                <w:sz w:val="16"/>
                <w:szCs w:val="16"/>
              </w:rPr>
              <w:br/>
              <w:t>Se impartió formación en los territorios de ultramar del Reino Unido para la implementación de la Rec. 16-14 en 2024.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5CC22"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D4F47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7B44BD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DFDD9"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Gran Bretaña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905501"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1A0C35"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TW</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34F6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1A0FE3"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TW-</w:t>
            </w:r>
            <w:proofErr w:type="spellStart"/>
            <w:r w:rsidRPr="00975617">
              <w:rPr>
                <w:rFonts w:ascii="Cambria" w:hAnsi="Cambria"/>
                <w:color w:val="000000"/>
                <w:sz w:val="16"/>
                <w:szCs w:val="16"/>
              </w:rPr>
              <w:t>Nday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05FC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6CC975EA" w14:textId="77777777" w:rsidTr="00CB5E05">
        <w:trPr>
          <w:trHeight w:val="1304"/>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42CE04"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Reino Unido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63942"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F6F99" w14:textId="13C787B5"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8DD520A" w14:textId="77777777" w:rsidR="00CB5E05" w:rsidRPr="00975617" w:rsidRDefault="007A62B8" w:rsidP="00CB5E05">
            <w:pPr>
              <w:spacing w:after="0" w:line="240" w:lineRule="auto"/>
              <w:jc w:val="both"/>
              <w:rPr>
                <w:rFonts w:ascii="Cambria" w:hAnsi="Cambria"/>
                <w:color w:val="000000"/>
                <w:sz w:val="16"/>
                <w:szCs w:val="16"/>
              </w:rPr>
            </w:pPr>
            <w:r w:rsidRPr="00975617">
              <w:rPr>
                <w:rFonts w:ascii="Cambria" w:hAnsi="Cambria"/>
                <w:color w:val="000000"/>
                <w:sz w:val="16"/>
                <w:szCs w:val="16"/>
              </w:rPr>
              <w:t xml:space="preserve">En 2024,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xml:space="preserve">. cuenta con un programa interno de observadores aplicable a su pesquería de atún blanco del Atlántico norte formada por dos arrastreros en pareja. Los observadores cuentan con experiencia y formación para completar el ST09-DomObPrg.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xml:space="preserve">. también ha consolidado las directrices para la industria sobre los requisitos de los observadores en ICCAT, con el fin de ayudar a la industria a comprender las responsabilidades de los patrones y los observadores. Las directrices incluyen el tipo y la frecuencia de la cobertura necesaria, las obligaciones del capitán y del observador, y los protocolos de seguridad. En la sección 2.2 se ofrece más información sobre la imposibilidad del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de cumplir con su cobertura de observadores en 2024.</w:t>
            </w:r>
            <w:r w:rsidRPr="00975617">
              <w:rPr>
                <w:rFonts w:ascii="Cambria" w:hAnsi="Cambria"/>
                <w:color w:val="000000"/>
                <w:sz w:val="16"/>
                <w:szCs w:val="16"/>
              </w:rPr>
              <w:br/>
            </w:r>
            <w:r w:rsidRPr="00975617">
              <w:rPr>
                <w:rFonts w:ascii="Cambria" w:hAnsi="Cambria"/>
                <w:color w:val="000000"/>
                <w:sz w:val="16"/>
                <w:szCs w:val="16"/>
              </w:rPr>
              <w:br/>
            </w:r>
          </w:p>
          <w:p w14:paraId="6D4988CB" w14:textId="2D037647" w:rsidR="00CB5E05" w:rsidRPr="00975617" w:rsidRDefault="007A62B8" w:rsidP="00CB5E05">
            <w:pPr>
              <w:spacing w:after="0" w:line="240" w:lineRule="auto"/>
              <w:jc w:val="both"/>
              <w:rPr>
                <w:rFonts w:ascii="Cambria" w:eastAsia="Times New Roman" w:hAnsi="Cambria" w:cs="Times New Roman"/>
                <w:sz w:val="16"/>
                <w:szCs w:val="16"/>
              </w:rPr>
            </w:pPr>
            <w:r w:rsidRPr="00975617">
              <w:rPr>
                <w:rFonts w:ascii="Cambria" w:hAnsi="Cambria"/>
                <w:color w:val="000000"/>
                <w:sz w:val="16"/>
                <w:szCs w:val="16"/>
              </w:rPr>
              <w:lastRenderedPageBreak/>
              <w:t>Bermudas contó con un observador de palangre operativo en 2024.</w:t>
            </w:r>
            <w:r w:rsidRPr="00975617">
              <w:rPr>
                <w:rFonts w:ascii="Cambria" w:hAnsi="Cambria"/>
                <w:color w:val="000000"/>
                <w:sz w:val="16"/>
                <w:szCs w:val="16"/>
              </w:rPr>
              <w:br/>
            </w:r>
            <w:r w:rsidRPr="00975617">
              <w:rPr>
                <w:rFonts w:ascii="Cambria" w:hAnsi="Cambria"/>
                <w:color w:val="000000"/>
                <w:sz w:val="16"/>
                <w:szCs w:val="16"/>
              </w:rPr>
              <w:br/>
              <w:t>Se impartió formación en los territorios de ultramar del Reino Unido para la implementación de la Rec. 16-14 en 2024.</w:t>
            </w:r>
          </w:p>
          <w:p w14:paraId="1CD8F329" w14:textId="4F82E10C" w:rsidR="00CB5E05" w:rsidRPr="00975617" w:rsidRDefault="00CB5E05" w:rsidP="00CB5E05">
            <w:pPr>
              <w:rPr>
                <w:rFonts w:ascii="Cambria" w:eastAsia="Times New Roman" w:hAnsi="Cambria" w:cs="Times New Roman"/>
                <w:sz w:val="16"/>
                <w:szCs w:val="16"/>
              </w:rPr>
            </w:pP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536AC"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F48F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DEF576"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B7F85"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RU - Bermudas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D7C80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210BDB"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LL, </w:t>
            </w:r>
            <w:proofErr w:type="spellStart"/>
            <w:r w:rsidRPr="00975617">
              <w:rPr>
                <w:rFonts w:ascii="Cambria" w:hAnsi="Cambria"/>
                <w:color w:val="000000"/>
                <w:sz w:val="16"/>
                <w:szCs w:val="16"/>
              </w:rPr>
              <w:t>RR</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D0B890"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7 %, 100 %</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52449" w14:textId="619D6AC9"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w:t>
            </w:r>
            <w:r w:rsidR="002950C7" w:rsidRPr="00975617">
              <w:rPr>
                <w:rFonts w:ascii="Cambria" w:hAnsi="Cambria"/>
                <w:color w:val="000000"/>
                <w:sz w:val="16"/>
                <w:szCs w:val="16"/>
              </w:rPr>
              <w:t>trip</w:t>
            </w:r>
            <w:proofErr w:type="spellEnd"/>
            <w:r w:rsidRPr="00975617">
              <w:rPr>
                <w:rFonts w:ascii="Cambria" w:hAnsi="Cambria"/>
                <w:color w:val="000000"/>
                <w:sz w:val="16"/>
                <w:szCs w:val="16"/>
              </w:rPr>
              <w:t xml:space="preserve">, </w:t>
            </w:r>
            <w:proofErr w:type="spellStart"/>
            <w:r w:rsidRPr="00975617">
              <w:rPr>
                <w:rFonts w:ascii="Cambria" w:hAnsi="Cambria"/>
                <w:color w:val="000000"/>
                <w:sz w:val="16"/>
                <w:szCs w:val="16"/>
              </w:rPr>
              <w:t>N</w:t>
            </w:r>
            <w:r w:rsidR="002950C7" w:rsidRPr="00975617">
              <w:rPr>
                <w:rFonts w:ascii="Cambria" w:hAnsi="Cambria"/>
                <w:color w:val="000000"/>
                <w:sz w:val="16"/>
                <w:szCs w:val="16"/>
              </w:rPr>
              <w:t>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58DD24C" w14:textId="77777777" w:rsidR="007A62B8" w:rsidRPr="00975617" w:rsidRDefault="007A62B8" w:rsidP="00CB5E05">
            <w:pPr>
              <w:spacing w:after="0" w:line="240" w:lineRule="auto"/>
              <w:ind w:right="-109"/>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Actualizaciones en 2025</w:t>
            </w:r>
          </w:p>
        </w:tc>
      </w:tr>
      <w:tr w:rsidR="00CB5E05" w:rsidRPr="00975617" w14:paraId="3167A368" w14:textId="77777777" w:rsidTr="00CB5E05">
        <w:trPr>
          <w:trHeight w:val="2155"/>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7BD76B7"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Reino Unido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002C1"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66966" w14:textId="68ADD829"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364C3D" w14:textId="6B005ACE"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En 2024,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xml:space="preserve">. cuenta con un programa interno de observadores aplicable a su pesquería de atún blanco del Atlántico norte formada por dos arrastreros en pareja. Los observadores cuentan con experiencia y formación para completar el ST09-DomObPrg.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xml:space="preserve">. también ha consolidado las directrices para la industria sobre los requisitos de los observadores en ICCAT, con el fin de ayudar a la industria a comprender las responsabilidades de los patrones y los observadores. Las directrices incluyen el tipo y la frecuencia de la cobertura necesaria, las obligaciones del capitán y del observador, y los protocolos de seguridad. En la sección 2.2 se ofrece más información sobre la imposibilidad del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de cumplir con su cobertura de observadores en 2024.</w:t>
            </w:r>
            <w:r w:rsidRPr="00975617">
              <w:rPr>
                <w:rFonts w:ascii="Cambria" w:hAnsi="Cambria"/>
                <w:color w:val="000000"/>
                <w:sz w:val="16"/>
                <w:szCs w:val="16"/>
              </w:rPr>
              <w:br/>
            </w:r>
            <w:r w:rsidRPr="00975617">
              <w:rPr>
                <w:rFonts w:ascii="Cambria" w:hAnsi="Cambria"/>
                <w:color w:val="000000"/>
                <w:sz w:val="16"/>
                <w:szCs w:val="16"/>
              </w:rPr>
              <w:lastRenderedPageBreak/>
              <w:br/>
              <w:t>Bermudas contó con un observador de palangre operativo en 2024.</w:t>
            </w:r>
            <w:r w:rsidRPr="00975617">
              <w:rPr>
                <w:rFonts w:ascii="Cambria" w:hAnsi="Cambria"/>
                <w:color w:val="000000"/>
                <w:sz w:val="16"/>
                <w:szCs w:val="16"/>
              </w:rPr>
              <w:br/>
            </w:r>
            <w:r w:rsidRPr="00975617">
              <w:rPr>
                <w:rFonts w:ascii="Cambria" w:hAnsi="Cambria"/>
                <w:color w:val="000000"/>
                <w:sz w:val="16"/>
                <w:szCs w:val="16"/>
              </w:rPr>
              <w:br/>
              <w:t>Se impartió formación en los territorios de ultramar del Reino Unido para la implementación de la Rec. 16-14 en 2024.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17A670"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8EE35"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B720B9"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6F3F43" w14:textId="6502E046"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w:t>
            </w:r>
            <w:r w:rsidR="002950C7" w:rsidRPr="00975617">
              <w:rPr>
                <w:rFonts w:ascii="Cambria" w:hAnsi="Cambria"/>
                <w:color w:val="000000"/>
                <w:sz w:val="16"/>
                <w:szCs w:val="16"/>
              </w:rPr>
              <w:t>U</w:t>
            </w:r>
            <w:r w:rsidRPr="00975617">
              <w:rPr>
                <w:rFonts w:ascii="Cambria" w:hAnsi="Cambria"/>
                <w:color w:val="000000"/>
                <w:sz w:val="16"/>
                <w:szCs w:val="16"/>
              </w:rPr>
              <w:t>- Santa Elena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DAB01A"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2A93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RR</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27FA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3%</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28910C" w14:textId="7BF1D7A3"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w:t>
            </w:r>
            <w:r w:rsidR="002950C7" w:rsidRPr="00975617">
              <w:rPr>
                <w:rFonts w:ascii="Cambria" w:hAnsi="Cambria"/>
                <w:color w:val="000000"/>
                <w:sz w:val="16"/>
                <w:szCs w:val="16"/>
              </w:rPr>
              <w:t>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514F9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431129B7" w14:textId="77777777" w:rsidTr="00CB5E05">
        <w:trPr>
          <w:trHeight w:val="2155"/>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FF4AC2A"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Reino Unido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7DA9D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EA5EA0" w14:textId="704A8514"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3CE3B5" w14:textId="07EA6FC5"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En 2024,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xml:space="preserve">. cuenta con un programa interno de observadores aplicable a su pesquería de atún blanco del Atlántico norte formada por dos arrastreros en pareja. Los observadores cuentan con experiencia y formación para completar el ST09-DomObPrg.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xml:space="preserve">. también ha consolidado las directrices para la industria sobre los requisitos de los observadores en ICCAT, con el fin de ayudar a la industria a comprender las responsabilidades de los patrones y los observadores. Las directrices incluyen el tipo y la frecuencia de la cobertura necesaria, las obligaciones del capitán y del observador, y los protocolos de seguridad. En la sección 2.2 se ofrece más información sobre la imposibilidad </w:t>
            </w:r>
            <w:r w:rsidRPr="00975617">
              <w:rPr>
                <w:rFonts w:ascii="Cambria" w:hAnsi="Cambria"/>
                <w:color w:val="000000"/>
                <w:sz w:val="16"/>
                <w:szCs w:val="16"/>
              </w:rPr>
              <w:lastRenderedPageBreak/>
              <w:t xml:space="preserve">del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de cumplir con su cobertura de observadores en 2024.</w:t>
            </w:r>
            <w:r w:rsidRPr="00975617">
              <w:rPr>
                <w:rFonts w:ascii="Cambria" w:hAnsi="Cambria"/>
                <w:color w:val="000000"/>
                <w:sz w:val="16"/>
                <w:szCs w:val="16"/>
              </w:rPr>
              <w:br/>
            </w:r>
            <w:r w:rsidRPr="00975617">
              <w:rPr>
                <w:rFonts w:ascii="Cambria" w:hAnsi="Cambria"/>
                <w:color w:val="000000"/>
                <w:sz w:val="16"/>
                <w:szCs w:val="16"/>
              </w:rPr>
              <w:br/>
              <w:t>Bermudas contó con un observador de palangre operativo en 2024.</w:t>
            </w:r>
            <w:r w:rsidRPr="00975617">
              <w:rPr>
                <w:rFonts w:ascii="Cambria" w:hAnsi="Cambria"/>
                <w:color w:val="000000"/>
                <w:sz w:val="16"/>
                <w:szCs w:val="16"/>
              </w:rPr>
              <w:br/>
            </w:r>
            <w:r w:rsidRPr="00975617">
              <w:rPr>
                <w:rFonts w:ascii="Cambria" w:hAnsi="Cambria"/>
                <w:color w:val="000000"/>
                <w:sz w:val="16"/>
                <w:szCs w:val="16"/>
              </w:rPr>
              <w:br/>
              <w:t>Se impartió formación en los territorios de ultramar del Reino Unido para la implementación de la Rec. 16-14 en 2024.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890C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D85148"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B3093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4E5C3" w14:textId="5A0D5199"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RU - Turc</w:t>
            </w:r>
            <w:r w:rsidR="002950C7" w:rsidRPr="00975617">
              <w:rPr>
                <w:rFonts w:ascii="Cambria" w:hAnsi="Cambria"/>
                <w:color w:val="000000"/>
                <w:sz w:val="16"/>
                <w:szCs w:val="16"/>
              </w:rPr>
              <w:t>a</w:t>
            </w:r>
            <w:r w:rsidRPr="00975617">
              <w:rPr>
                <w:rFonts w:ascii="Cambria" w:hAnsi="Cambria"/>
                <w:color w:val="000000"/>
                <w:sz w:val="16"/>
                <w:szCs w:val="16"/>
              </w:rPr>
              <w:t>s y Caicos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F2375"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03380" w14:textId="3814AB2E"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64550B" w14:textId="0BF7E100"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1F72E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792A2"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Observadores en los lugares de desembarque de los torneos.</w:t>
            </w:r>
          </w:p>
        </w:tc>
      </w:tr>
      <w:tr w:rsidR="00CB5E05" w:rsidRPr="00975617" w14:paraId="0AD33929" w14:textId="77777777" w:rsidTr="00CB5E05">
        <w:trPr>
          <w:trHeight w:val="2805"/>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7A3BA8"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Reino Unido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4F5E44"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0466B" w14:textId="75E0533D"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FA7068" w14:textId="56099C51"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En 2024,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xml:space="preserve">. cuenta con un programa interno de observadores aplicable a su pesquería de atún blanco del Atlántico norte formada por dos arrastreros en pareja. Los observadores cuentan con experiencia y formación para completar el ST09-DomObPrg.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xml:space="preserve">. también ha consolidado las directrices para la industria sobre los requisitos de los observadores en ICCAT, con el fin de ayudar a la industria a comprender las responsabilidades de los patrones y los observadores. Las directrices incluyen el tipo y la frecuencia de la cobertura necesaria, las obligaciones del capitán y del observador, y los protocolos de seguridad. En la sección 2.2 se ofrece más información </w:t>
            </w:r>
            <w:r w:rsidRPr="00975617">
              <w:rPr>
                <w:rFonts w:ascii="Cambria" w:hAnsi="Cambria"/>
                <w:color w:val="000000"/>
                <w:sz w:val="16"/>
                <w:szCs w:val="16"/>
              </w:rPr>
              <w:lastRenderedPageBreak/>
              <w:t xml:space="preserve">sobre la imposibilidad del RU </w:t>
            </w:r>
            <w:proofErr w:type="spellStart"/>
            <w:r w:rsidRPr="00975617">
              <w:rPr>
                <w:rFonts w:ascii="Cambria" w:hAnsi="Cambria"/>
                <w:color w:val="000000"/>
                <w:sz w:val="16"/>
                <w:szCs w:val="16"/>
              </w:rPr>
              <w:t>Met</w:t>
            </w:r>
            <w:proofErr w:type="spellEnd"/>
            <w:r w:rsidRPr="00975617">
              <w:rPr>
                <w:rFonts w:ascii="Cambria" w:hAnsi="Cambria"/>
                <w:color w:val="000000"/>
                <w:sz w:val="16"/>
                <w:szCs w:val="16"/>
              </w:rPr>
              <w:t>. de cumplir con su cobertura de observadores en 2024.</w:t>
            </w:r>
            <w:r w:rsidRPr="00975617">
              <w:rPr>
                <w:rFonts w:ascii="Cambria" w:hAnsi="Cambria"/>
                <w:color w:val="000000"/>
                <w:sz w:val="16"/>
                <w:szCs w:val="16"/>
              </w:rPr>
              <w:br/>
            </w:r>
            <w:r w:rsidRPr="00975617">
              <w:rPr>
                <w:rFonts w:ascii="Cambria" w:hAnsi="Cambria"/>
                <w:color w:val="000000"/>
                <w:sz w:val="16"/>
                <w:szCs w:val="16"/>
              </w:rPr>
              <w:br/>
              <w:t>Bermudas contó con un observador de palangre operativo en 2024.</w:t>
            </w:r>
            <w:r w:rsidRPr="00975617">
              <w:rPr>
                <w:rFonts w:ascii="Cambria" w:hAnsi="Cambria"/>
                <w:color w:val="000000"/>
                <w:sz w:val="16"/>
                <w:szCs w:val="16"/>
              </w:rPr>
              <w:br/>
            </w:r>
            <w:r w:rsidRPr="00975617">
              <w:rPr>
                <w:rFonts w:ascii="Cambria" w:hAnsi="Cambria"/>
                <w:color w:val="000000"/>
                <w:sz w:val="16"/>
                <w:szCs w:val="16"/>
              </w:rPr>
              <w:br/>
              <w:t>Se impartió formación en los territorios de ultramar del Reino Unido para la implementación de la Rec. 16-14 en 2024.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B7111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lastRenderedPageBreak/>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7418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83984EE"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AD4A5F"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RU - Islas Vírgenes británicas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0AE2ED"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04B5C" w14:textId="3F7F75F2"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47B0CE" w14:textId="17DCA08E"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CB5D"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3C4AAA4"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Las </w:t>
            </w:r>
            <w:proofErr w:type="spellStart"/>
            <w:r w:rsidRPr="00975617">
              <w:rPr>
                <w:rFonts w:ascii="Cambria" w:hAnsi="Cambria"/>
                <w:color w:val="000000"/>
                <w:sz w:val="16"/>
                <w:szCs w:val="16"/>
              </w:rPr>
              <w:t>VGB</w:t>
            </w:r>
            <w:proofErr w:type="spellEnd"/>
            <w:r w:rsidRPr="00975617">
              <w:rPr>
                <w:rFonts w:ascii="Cambria" w:hAnsi="Cambria"/>
                <w:color w:val="000000"/>
                <w:sz w:val="16"/>
                <w:szCs w:val="16"/>
              </w:rPr>
              <w:t xml:space="preserve"> no cuenta con un programa nacional de observadores.</w:t>
            </w:r>
          </w:p>
        </w:tc>
      </w:tr>
      <w:tr w:rsidR="00CB5E05" w:rsidRPr="00975617" w14:paraId="30FF6E28"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449CBB"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Estados Unidos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3D8CAC"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4A7B0D" w14:textId="39E6387B"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5F700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Sección 2 del informe nacional de Estados Unidos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968E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1A2DC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5AE62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3D906F"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Estados Unidos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DAD9B9"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1992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DF8185"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78BA23"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14,00%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899CF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975617">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5892AB"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975617" w14:paraId="23025DDA"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231CBAC"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Uruguay</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5F68D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45D466" w14:textId="5011A11F"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F23427"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actividad de la flota en 2024.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C7B9F9"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365E66"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6D039D5"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Sin actividad de la flota en 2024.</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4784DC" w14:textId="77777777" w:rsidR="007A62B8" w:rsidRPr="00975617"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Uruguay</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0B5A6" w14:textId="0887281A"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059751" w14:textId="060820AF"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ADB91" w14:textId="00DA9CCA"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15F4AF"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758C173"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r>
      <w:tr w:rsidR="00CB5E05" w:rsidRPr="00B82D85" w14:paraId="044E9286" w14:textId="77777777" w:rsidTr="00CB5E05">
        <w:trPr>
          <w:trHeight w:val="495"/>
        </w:trPr>
        <w:tc>
          <w:tcPr>
            <w:tcW w:w="300"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p w14:paraId="2CD73E73" w14:textId="77777777" w:rsidR="007A62B8" w:rsidRPr="00975617" w:rsidRDefault="007A62B8" w:rsidP="00CB5E05">
            <w:pPr>
              <w:spacing w:after="0" w:line="240" w:lineRule="auto"/>
              <w:ind w:right="-59"/>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Venezuela</w:t>
            </w:r>
          </w:p>
        </w:tc>
        <w:tc>
          <w:tcPr>
            <w:tcW w:w="313" w:type="pct"/>
            <w:tcBorders>
              <w:top w:val="single" w:sz="4" w:space="0" w:color="auto"/>
              <w:left w:val="nil"/>
              <w:bottom w:val="single" w:sz="8" w:space="0" w:color="auto"/>
              <w:right w:val="single" w:sz="4" w:space="0" w:color="auto"/>
            </w:tcBorders>
            <w:shd w:val="clear" w:color="auto" w:fill="FFFFFF" w:themeFill="background1"/>
            <w:vAlign w:val="center"/>
            <w:hideMark/>
          </w:tcPr>
          <w:p w14:paraId="58839BD7"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Sí</w:t>
            </w:r>
          </w:p>
        </w:tc>
        <w:tc>
          <w:tcPr>
            <w:tcW w:w="310" w:type="pct"/>
            <w:tcBorders>
              <w:top w:val="single" w:sz="4" w:space="0" w:color="auto"/>
              <w:left w:val="nil"/>
              <w:bottom w:val="single" w:sz="8" w:space="0" w:color="auto"/>
              <w:right w:val="single" w:sz="4" w:space="0" w:color="auto"/>
            </w:tcBorders>
            <w:shd w:val="clear" w:color="auto" w:fill="FFFFFF" w:themeFill="background1"/>
            <w:vAlign w:val="center"/>
            <w:hideMark/>
          </w:tcPr>
          <w:p w14:paraId="4BFE6DAF" w14:textId="4F5F0551" w:rsidR="007A62B8" w:rsidRPr="00975617"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8" w:space="0" w:color="auto"/>
              <w:right w:val="single" w:sz="4" w:space="0" w:color="auto"/>
            </w:tcBorders>
            <w:shd w:val="clear" w:color="auto" w:fill="FFFFFF" w:themeFill="background1"/>
            <w:vAlign w:val="center"/>
            <w:hideMark/>
          </w:tcPr>
          <w:p w14:paraId="7AC29F99"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Venezuela ha presentado dificultades para desarrollar el programa de observadores.</w:t>
            </w:r>
          </w:p>
        </w:tc>
        <w:tc>
          <w:tcPr>
            <w:tcW w:w="481" w:type="pct"/>
            <w:tcBorders>
              <w:top w:val="single" w:sz="4" w:space="0" w:color="auto"/>
              <w:left w:val="nil"/>
              <w:bottom w:val="single" w:sz="8" w:space="0" w:color="auto"/>
              <w:right w:val="single" w:sz="4" w:space="0" w:color="auto"/>
            </w:tcBorders>
            <w:shd w:val="clear" w:color="auto" w:fill="FFFFFF" w:themeFill="background1"/>
            <w:vAlign w:val="center"/>
            <w:hideMark/>
          </w:tcPr>
          <w:p w14:paraId="1771A64C"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w:t>
            </w:r>
          </w:p>
        </w:tc>
        <w:tc>
          <w:tcPr>
            <w:tcW w:w="333" w:type="pct"/>
            <w:tcBorders>
              <w:top w:val="single" w:sz="4" w:space="0" w:color="auto"/>
              <w:left w:val="nil"/>
              <w:bottom w:val="single" w:sz="8" w:space="0" w:color="auto"/>
              <w:right w:val="single" w:sz="4" w:space="0" w:color="auto"/>
            </w:tcBorders>
            <w:shd w:val="clear" w:color="auto" w:fill="FFFFFF" w:themeFill="background1"/>
            <w:vAlign w:val="center"/>
            <w:hideMark/>
          </w:tcPr>
          <w:p w14:paraId="7E0572DE" w14:textId="77777777" w:rsidR="007A62B8" w:rsidRPr="00975617"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No</w:t>
            </w:r>
          </w:p>
        </w:tc>
        <w:tc>
          <w:tcPr>
            <w:tcW w:w="680" w:type="pct"/>
            <w:tcBorders>
              <w:top w:val="single" w:sz="4" w:space="0" w:color="auto"/>
              <w:left w:val="nil"/>
              <w:bottom w:val="single" w:sz="8" w:space="0" w:color="auto"/>
              <w:right w:val="single" w:sz="8" w:space="0" w:color="auto"/>
            </w:tcBorders>
            <w:shd w:val="clear" w:color="auto" w:fill="FFFFFF" w:themeFill="background1"/>
            <w:vAlign w:val="center"/>
            <w:hideMark/>
          </w:tcPr>
          <w:p w14:paraId="3214B6DF" w14:textId="77777777" w:rsidR="007A62B8" w:rsidRPr="00975617"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 xml:space="preserve">Venezuela ha presentado dificultades para desarrollar el programa de observadores.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B8452D" w14:textId="77777777" w:rsidR="007A62B8" w:rsidRPr="00B82D85" w:rsidRDefault="007A62B8" w:rsidP="00CB5E05">
            <w:pPr>
              <w:spacing w:after="0" w:line="240" w:lineRule="auto"/>
              <w:rPr>
                <w:rFonts w:ascii="Cambria" w:eastAsia="Times New Roman" w:hAnsi="Cambria" w:cs="Times New Roman"/>
                <w:color w:val="000000"/>
                <w:kern w:val="0"/>
                <w:sz w:val="16"/>
                <w:szCs w:val="16"/>
                <w14:ligatures w14:val="none"/>
              </w:rPr>
            </w:pPr>
            <w:r w:rsidRPr="00975617">
              <w:rPr>
                <w:rFonts w:ascii="Cambria" w:hAnsi="Cambria"/>
                <w:color w:val="000000"/>
                <w:sz w:val="16"/>
                <w:szCs w:val="16"/>
              </w:rPr>
              <w:t>Venezuela</w:t>
            </w:r>
          </w:p>
        </w:tc>
        <w:tc>
          <w:tcPr>
            <w:tcW w:w="247" w:type="pct"/>
            <w:tcBorders>
              <w:top w:val="single" w:sz="4" w:space="0" w:color="auto"/>
              <w:left w:val="nil"/>
              <w:bottom w:val="single" w:sz="8" w:space="0" w:color="auto"/>
              <w:right w:val="single" w:sz="4" w:space="0" w:color="auto"/>
            </w:tcBorders>
            <w:shd w:val="clear" w:color="auto" w:fill="FFFFFF" w:themeFill="background1"/>
            <w:vAlign w:val="center"/>
            <w:hideMark/>
          </w:tcPr>
          <w:p w14:paraId="3B42CA15" w14:textId="441A10F6" w:rsidR="007A62B8" w:rsidRPr="00B82D85"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8" w:space="0" w:color="auto"/>
              <w:right w:val="single" w:sz="4" w:space="0" w:color="auto"/>
            </w:tcBorders>
            <w:shd w:val="clear" w:color="auto" w:fill="FFFFFF" w:themeFill="background1"/>
            <w:vAlign w:val="center"/>
            <w:hideMark/>
          </w:tcPr>
          <w:p w14:paraId="0C4F4F57" w14:textId="5DBDA23C" w:rsidR="007A62B8" w:rsidRPr="00B82D85"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8" w:space="0" w:color="auto"/>
              <w:right w:val="single" w:sz="4" w:space="0" w:color="auto"/>
            </w:tcBorders>
            <w:shd w:val="clear" w:color="auto" w:fill="FFFFFF" w:themeFill="background1"/>
            <w:vAlign w:val="center"/>
            <w:hideMark/>
          </w:tcPr>
          <w:p w14:paraId="59A36990" w14:textId="4F05C21F" w:rsidR="007A62B8" w:rsidRPr="00B82D85"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8" w:space="0" w:color="auto"/>
              <w:right w:val="single" w:sz="4" w:space="0" w:color="auto"/>
            </w:tcBorders>
            <w:shd w:val="clear" w:color="auto" w:fill="FFFFFF" w:themeFill="background1"/>
            <w:vAlign w:val="center"/>
            <w:hideMark/>
          </w:tcPr>
          <w:p w14:paraId="6D15928D" w14:textId="77777777" w:rsidR="007A62B8" w:rsidRPr="00B82D85"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B82D85">
              <w:rPr>
                <w:rFonts w:ascii="Cambria" w:hAnsi="Cambria"/>
                <w:color w:val="000000"/>
                <w:sz w:val="16"/>
                <w:szCs w:val="16"/>
              </w:rPr>
              <w:t> </w:t>
            </w:r>
          </w:p>
        </w:tc>
        <w:tc>
          <w:tcPr>
            <w:tcW w:w="428" w:type="pct"/>
            <w:tcBorders>
              <w:top w:val="single" w:sz="4" w:space="0" w:color="auto"/>
              <w:left w:val="nil"/>
              <w:bottom w:val="single" w:sz="8" w:space="0" w:color="auto"/>
              <w:right w:val="single" w:sz="8" w:space="0" w:color="auto"/>
            </w:tcBorders>
            <w:shd w:val="clear" w:color="auto" w:fill="FFFFFF" w:themeFill="background1"/>
            <w:vAlign w:val="center"/>
            <w:hideMark/>
          </w:tcPr>
          <w:p w14:paraId="6FA411DF" w14:textId="77777777" w:rsidR="007A62B8" w:rsidRPr="00B82D85"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B82D85">
              <w:rPr>
                <w:rFonts w:ascii="Cambria" w:hAnsi="Cambria"/>
                <w:color w:val="000000"/>
                <w:sz w:val="16"/>
                <w:szCs w:val="16"/>
              </w:rPr>
              <w:t> </w:t>
            </w:r>
          </w:p>
        </w:tc>
      </w:tr>
    </w:tbl>
    <w:p w14:paraId="2AC6A7F8" w14:textId="3911C869" w:rsidR="00CE178E" w:rsidRPr="00B82D85" w:rsidRDefault="00CB5E05" w:rsidP="005A43DB">
      <w:pPr>
        <w:jc w:val="both"/>
        <w:rPr>
          <w:rFonts w:ascii="Cambria" w:hAnsi="Cambria" w:cs="Noto Sans"/>
          <w:color w:val="333333"/>
          <w:sz w:val="16"/>
          <w:szCs w:val="16"/>
          <w:shd w:val="clear" w:color="auto" w:fill="FFFFFF"/>
          <w:lang w:val="en-GB"/>
        </w:rPr>
      </w:pPr>
      <w:r>
        <w:rPr>
          <w:rFonts w:ascii="Cambria" w:hAnsi="Cambria" w:cs="Noto Sans"/>
          <w:color w:val="333333"/>
          <w:sz w:val="16"/>
          <w:szCs w:val="16"/>
          <w:shd w:val="clear" w:color="auto" w:fill="FFFFFF"/>
          <w:lang w:val="en-GB"/>
        </w:rPr>
        <w:br w:type="textWrapping" w:clear="all"/>
      </w:r>
    </w:p>
    <w:sectPr w:rsidR="00CE178E" w:rsidRPr="00B82D85" w:rsidSect="009D45CE">
      <w:headerReference w:type="default" r:id="rId8"/>
      <w:footerReference w:type="default" r:id="rId9"/>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91A0" w14:textId="77777777" w:rsidR="006B6813" w:rsidRDefault="006B6813" w:rsidP="00056F4D">
      <w:pPr>
        <w:spacing w:after="0" w:line="240" w:lineRule="auto"/>
      </w:pPr>
      <w:r>
        <w:separator/>
      </w:r>
    </w:p>
  </w:endnote>
  <w:endnote w:type="continuationSeparator" w:id="0">
    <w:p w14:paraId="584EEDE7" w14:textId="77777777" w:rsidR="006B6813" w:rsidRDefault="006B6813" w:rsidP="0005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ia">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8EF2" w14:textId="77777777" w:rsidR="00056F4D" w:rsidRPr="00F05E80" w:rsidRDefault="00056F4D" w:rsidP="009D45CE">
    <w:pPr>
      <w:tabs>
        <w:tab w:val="center" w:pos="4535"/>
        <w:tab w:val="center" w:pos="4680"/>
        <w:tab w:val="left" w:pos="6150"/>
        <w:tab w:val="right" w:pos="9360"/>
      </w:tabs>
      <w:spacing w:after="0" w:line="240" w:lineRule="auto"/>
      <w:jc w:val="center"/>
      <w:rPr>
        <w:rFonts w:ascii="Cambria" w:eastAsia="Calibri" w:hAnsi="Cambria" w:cs="Calibri"/>
        <w:sz w:val="20"/>
      </w:rPr>
    </w:pPr>
    <w:r w:rsidRPr="00F05E80">
      <w:rPr>
        <w:rFonts w:ascii="Cambria" w:eastAsia="Calibri" w:hAnsi="Cambria" w:cs="Calibri"/>
        <w:sz w:val="20"/>
      </w:rPr>
      <w:fldChar w:fldCharType="begin"/>
    </w:r>
    <w:r w:rsidRPr="00F05E80">
      <w:rPr>
        <w:rFonts w:ascii="Cambria" w:eastAsia="Calibri" w:hAnsi="Cambria" w:cs="Calibri"/>
        <w:sz w:val="20"/>
      </w:rPr>
      <w:instrText xml:space="preserve"> PAGE </w:instrText>
    </w:r>
    <w:r w:rsidRPr="00F05E80">
      <w:rPr>
        <w:rFonts w:ascii="Cambria" w:eastAsia="Calibri" w:hAnsi="Cambria" w:cs="Calibri"/>
        <w:sz w:val="20"/>
      </w:rPr>
      <w:fldChar w:fldCharType="separate"/>
    </w:r>
    <w:r>
      <w:rPr>
        <w:rFonts w:ascii="Cambria" w:eastAsia="Calibri" w:hAnsi="Cambria" w:cs="Calibri"/>
        <w:sz w:val="20"/>
      </w:rPr>
      <w:t>1</w:t>
    </w:r>
    <w:r w:rsidRPr="00F05E80">
      <w:rPr>
        <w:rFonts w:ascii="Cambria" w:eastAsia="Calibri" w:hAnsi="Cambria" w:cs="Calibri"/>
        <w:sz w:val="20"/>
      </w:rPr>
      <w:fldChar w:fldCharType="end"/>
    </w:r>
    <w:r>
      <w:rPr>
        <w:rFonts w:ascii="Cambria" w:hAnsi="Cambria"/>
        <w:sz w:val="20"/>
      </w:rPr>
      <w:t xml:space="preserve"> / </w:t>
    </w:r>
    <w:r w:rsidRPr="00F05E80">
      <w:rPr>
        <w:rFonts w:ascii="Cambria" w:eastAsia="Calibri" w:hAnsi="Cambria" w:cs="Calibri"/>
        <w:sz w:val="20"/>
      </w:rPr>
      <w:fldChar w:fldCharType="begin"/>
    </w:r>
    <w:r w:rsidRPr="00F05E80">
      <w:rPr>
        <w:rFonts w:ascii="Cambria" w:eastAsia="Calibri" w:hAnsi="Cambria" w:cs="Calibri"/>
        <w:sz w:val="20"/>
      </w:rPr>
      <w:instrText xml:space="preserve"> NUMPAGES  </w:instrText>
    </w:r>
    <w:r w:rsidRPr="00F05E80">
      <w:rPr>
        <w:rFonts w:ascii="Cambria" w:eastAsia="Calibri" w:hAnsi="Cambria" w:cs="Calibri"/>
        <w:sz w:val="20"/>
      </w:rPr>
      <w:fldChar w:fldCharType="separate"/>
    </w:r>
    <w:r>
      <w:rPr>
        <w:rFonts w:ascii="Cambria" w:eastAsia="Calibri" w:hAnsi="Cambria" w:cs="Calibri"/>
        <w:sz w:val="20"/>
      </w:rPr>
      <w:t>5</w:t>
    </w:r>
    <w:r w:rsidRPr="00F05E8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0821" w14:textId="77777777" w:rsidR="006B6813" w:rsidRDefault="006B6813" w:rsidP="00056F4D">
      <w:pPr>
        <w:spacing w:after="0" w:line="240" w:lineRule="auto"/>
      </w:pPr>
      <w:r>
        <w:separator/>
      </w:r>
    </w:p>
  </w:footnote>
  <w:footnote w:type="continuationSeparator" w:id="0">
    <w:p w14:paraId="404D6F35" w14:textId="77777777" w:rsidR="006B6813" w:rsidRDefault="006B6813" w:rsidP="00056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A08E" w14:textId="150D5F5E" w:rsidR="00056F4D" w:rsidRPr="003832FC" w:rsidRDefault="00056F4D" w:rsidP="00056F4D">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COC_318</w:t>
    </w:r>
    <w:r w:rsidR="00032914">
      <w:rPr>
        <w:rFonts w:ascii="Cambria" w:hAnsi="Cambria"/>
        <w:b/>
        <w:sz w:val="20"/>
      </w:rPr>
      <w:t>A</w:t>
    </w:r>
    <w:r>
      <w:rPr>
        <w:rFonts w:ascii="Cambria" w:hAnsi="Cambria"/>
        <w:b/>
        <w:sz w:val="20"/>
      </w:rPr>
      <w:t>/2025</w:t>
    </w:r>
  </w:p>
  <w:p w14:paraId="56251DDD" w14:textId="72455E05" w:rsidR="00056F4D" w:rsidRDefault="00056F4D" w:rsidP="009D45CE">
    <w:pPr>
      <w:tabs>
        <w:tab w:val="left" w:pos="7320"/>
      </w:tabs>
      <w:spacing w:after="0" w:line="240" w:lineRule="exact"/>
      <w:jc w:val="right"/>
    </w:pPr>
    <w:r w:rsidRPr="003832FC">
      <w:rPr>
        <w:rFonts w:ascii="Cambria" w:eastAsia="Times New Roman" w:hAnsi="Cambria" w:cs="Times New Roman"/>
        <w:b/>
        <w:sz w:val="16"/>
      </w:rPr>
      <w:fldChar w:fldCharType="begin"/>
    </w:r>
    <w:r w:rsidRPr="003832FC">
      <w:rPr>
        <w:rFonts w:ascii="Cambria" w:eastAsia="Times New Roman" w:hAnsi="Cambria" w:cs="Times New Roman"/>
        <w:b/>
        <w:sz w:val="16"/>
      </w:rPr>
      <w:instrText xml:space="preserve"> TIME \@ "dd/MM/yyyy H:mm" </w:instrText>
    </w:r>
    <w:r w:rsidRPr="003832FC">
      <w:rPr>
        <w:rFonts w:ascii="Cambria" w:eastAsia="Times New Roman" w:hAnsi="Cambria" w:cs="Times New Roman"/>
        <w:b/>
        <w:sz w:val="16"/>
      </w:rPr>
      <w:fldChar w:fldCharType="separate"/>
    </w:r>
    <w:r w:rsidR="00F977AB">
      <w:rPr>
        <w:rFonts w:ascii="Cambria" w:eastAsia="Times New Roman" w:hAnsi="Cambria" w:cs="Times New Roman"/>
        <w:b/>
        <w:noProof/>
        <w:sz w:val="16"/>
      </w:rPr>
      <w:t>17/11/2025 11:55</w:t>
    </w:r>
    <w:r w:rsidRPr="003832FC">
      <w:rPr>
        <w:rFonts w:ascii="Cambria" w:eastAsia="Times New Roman" w:hAnsi="Cambria" w:cs="Times New Roman"/>
        <w:b/>
        <w:bCs/>
        <w:sz w:val="16"/>
        <w:szCs w:val="16"/>
        <w:lang w:val="es-ES_tradnl"/>
      </w:rPr>
      <w:fldChar w:fldCharType="end"/>
    </w:r>
    <w:bookmarkEnd w:id="0"/>
    <w:bookmarkEnd w:id="1"/>
    <w:bookmarkEnd w:id="2"/>
    <w:bookmarkEnd w:id="3"/>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31"/>
    <w:rsid w:val="00010A3C"/>
    <w:rsid w:val="00032914"/>
    <w:rsid w:val="00044132"/>
    <w:rsid w:val="0005325E"/>
    <w:rsid w:val="000545EE"/>
    <w:rsid w:val="00056F4D"/>
    <w:rsid w:val="00067492"/>
    <w:rsid w:val="00076B7D"/>
    <w:rsid w:val="00084A5B"/>
    <w:rsid w:val="00095CDF"/>
    <w:rsid w:val="000C3E0E"/>
    <w:rsid w:val="000D404F"/>
    <w:rsid w:val="000D6031"/>
    <w:rsid w:val="0014152F"/>
    <w:rsid w:val="00162396"/>
    <w:rsid w:val="00191DCB"/>
    <w:rsid w:val="001B6708"/>
    <w:rsid w:val="001D49D5"/>
    <w:rsid w:val="00213058"/>
    <w:rsid w:val="00250C2F"/>
    <w:rsid w:val="00261478"/>
    <w:rsid w:val="00267FD2"/>
    <w:rsid w:val="00271511"/>
    <w:rsid w:val="0027207A"/>
    <w:rsid w:val="00272A61"/>
    <w:rsid w:val="0028437B"/>
    <w:rsid w:val="002950C7"/>
    <w:rsid w:val="002B3DB3"/>
    <w:rsid w:val="00333DDB"/>
    <w:rsid w:val="003404AC"/>
    <w:rsid w:val="00377C06"/>
    <w:rsid w:val="003A71C7"/>
    <w:rsid w:val="003D51E5"/>
    <w:rsid w:val="003F6CEE"/>
    <w:rsid w:val="00450D5C"/>
    <w:rsid w:val="00454936"/>
    <w:rsid w:val="00457CDA"/>
    <w:rsid w:val="00461224"/>
    <w:rsid w:val="00464302"/>
    <w:rsid w:val="00465B41"/>
    <w:rsid w:val="004A0A8B"/>
    <w:rsid w:val="004C4D53"/>
    <w:rsid w:val="0050667C"/>
    <w:rsid w:val="00515822"/>
    <w:rsid w:val="00535EF7"/>
    <w:rsid w:val="00542B88"/>
    <w:rsid w:val="00547EA3"/>
    <w:rsid w:val="00566B40"/>
    <w:rsid w:val="005A43DB"/>
    <w:rsid w:val="00604F50"/>
    <w:rsid w:val="00605C4F"/>
    <w:rsid w:val="00650840"/>
    <w:rsid w:val="00680BC3"/>
    <w:rsid w:val="006B0B3C"/>
    <w:rsid w:val="006B6813"/>
    <w:rsid w:val="00700797"/>
    <w:rsid w:val="00715395"/>
    <w:rsid w:val="00720AE2"/>
    <w:rsid w:val="00737FB3"/>
    <w:rsid w:val="007A12F1"/>
    <w:rsid w:val="007A62B8"/>
    <w:rsid w:val="00810BCB"/>
    <w:rsid w:val="00814983"/>
    <w:rsid w:val="00825EC9"/>
    <w:rsid w:val="008405D0"/>
    <w:rsid w:val="00857191"/>
    <w:rsid w:val="0086295E"/>
    <w:rsid w:val="008E5237"/>
    <w:rsid w:val="008F7027"/>
    <w:rsid w:val="00902AA7"/>
    <w:rsid w:val="00906D56"/>
    <w:rsid w:val="00922609"/>
    <w:rsid w:val="00944B29"/>
    <w:rsid w:val="00952810"/>
    <w:rsid w:val="00960E61"/>
    <w:rsid w:val="00975617"/>
    <w:rsid w:val="00992812"/>
    <w:rsid w:val="00995C59"/>
    <w:rsid w:val="009D45CE"/>
    <w:rsid w:val="00A453F4"/>
    <w:rsid w:val="00A5550D"/>
    <w:rsid w:val="00A82AD3"/>
    <w:rsid w:val="00AB22E4"/>
    <w:rsid w:val="00AB3A26"/>
    <w:rsid w:val="00AC0F05"/>
    <w:rsid w:val="00AC6E1A"/>
    <w:rsid w:val="00AE23FD"/>
    <w:rsid w:val="00B82D85"/>
    <w:rsid w:val="00B97F07"/>
    <w:rsid w:val="00BA1E94"/>
    <w:rsid w:val="00C56F43"/>
    <w:rsid w:val="00C85869"/>
    <w:rsid w:val="00CA0263"/>
    <w:rsid w:val="00CB5E05"/>
    <w:rsid w:val="00CE178E"/>
    <w:rsid w:val="00D16478"/>
    <w:rsid w:val="00D37EF5"/>
    <w:rsid w:val="00D51A8C"/>
    <w:rsid w:val="00D528E0"/>
    <w:rsid w:val="00DC0BBD"/>
    <w:rsid w:val="00DC3157"/>
    <w:rsid w:val="00E025C5"/>
    <w:rsid w:val="00E56AE5"/>
    <w:rsid w:val="00EA4EFB"/>
    <w:rsid w:val="00EB2E2A"/>
    <w:rsid w:val="00EC35B5"/>
    <w:rsid w:val="00EE76F2"/>
    <w:rsid w:val="00EF785E"/>
    <w:rsid w:val="00F20BAB"/>
    <w:rsid w:val="00F21B6D"/>
    <w:rsid w:val="00F257C7"/>
    <w:rsid w:val="00F43E36"/>
    <w:rsid w:val="00F56BB9"/>
    <w:rsid w:val="00F80E6E"/>
    <w:rsid w:val="00F84CA6"/>
    <w:rsid w:val="00F977AB"/>
    <w:rsid w:val="00FE54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9D20"/>
  <w15:chartTrackingRefBased/>
  <w15:docId w15:val="{A819F865-BFC5-4A74-9339-B9BA9ADE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F4D"/>
  </w:style>
  <w:style w:type="paragraph" w:styleId="Footer">
    <w:name w:val="footer"/>
    <w:basedOn w:val="Normal"/>
    <w:link w:val="FooterChar"/>
    <w:uiPriority w:val="99"/>
    <w:unhideWhenUsed/>
    <w:rsid w:val="0005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F4D"/>
  </w:style>
  <w:style w:type="character" w:styleId="Hyperlink">
    <w:name w:val="Hyperlink"/>
    <w:basedOn w:val="DefaultParagraphFont"/>
    <w:uiPriority w:val="99"/>
    <w:unhideWhenUsed/>
    <w:rsid w:val="00D51A8C"/>
    <w:rPr>
      <w:color w:val="0563C1" w:themeColor="hyperlink"/>
      <w:u w:val="single"/>
    </w:rPr>
  </w:style>
  <w:style w:type="character" w:styleId="UnresolvedMention">
    <w:name w:val="Unresolved Mention"/>
    <w:basedOn w:val="DefaultParagraphFont"/>
    <w:uiPriority w:val="99"/>
    <w:semiHidden/>
    <w:unhideWhenUsed/>
    <w:rsid w:val="00D51A8C"/>
    <w:rPr>
      <w:color w:val="605E5C"/>
      <w:shd w:val="clear" w:color="auto" w:fill="E1DFDD"/>
    </w:rPr>
  </w:style>
  <w:style w:type="character" w:styleId="FollowedHyperlink">
    <w:name w:val="FollowedHyperlink"/>
    <w:basedOn w:val="DefaultParagraphFont"/>
    <w:uiPriority w:val="99"/>
    <w:semiHidden/>
    <w:unhideWhenUsed/>
    <w:rsid w:val="00CE178E"/>
    <w:rPr>
      <w:color w:val="96607D"/>
      <w:u w:val="single"/>
    </w:rPr>
  </w:style>
  <w:style w:type="paragraph" w:customStyle="1" w:styleId="msonormal0">
    <w:name w:val="msonormal"/>
    <w:basedOn w:val="Normal"/>
    <w:rsid w:val="00CE17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3">
    <w:name w:val="xl63"/>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kern w:val="0"/>
      <w:sz w:val="18"/>
      <w:szCs w:val="18"/>
      <w:lang w:eastAsia="en-GB"/>
      <w14:ligatures w14:val="none"/>
    </w:rPr>
  </w:style>
  <w:style w:type="paragraph" w:customStyle="1" w:styleId="xl64">
    <w:name w:val="xl64"/>
    <w:basedOn w:val="Normal"/>
    <w:rsid w:val="00CE178E"/>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ria" w:eastAsia="Times New Roman" w:hAnsi="Cambria" w:cs="Times New Roman"/>
      <w:b/>
      <w:bCs/>
      <w:i/>
      <w:iCs/>
      <w:color w:val="000000"/>
      <w:kern w:val="0"/>
      <w:sz w:val="18"/>
      <w:szCs w:val="18"/>
      <w:lang w:eastAsia="en-GB"/>
      <w14:ligatures w14:val="none"/>
    </w:rPr>
  </w:style>
  <w:style w:type="paragraph" w:customStyle="1" w:styleId="xl66">
    <w:name w:val="xl66"/>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pPr>
    <w:rPr>
      <w:rFonts w:ascii="Cambria" w:eastAsia="Times New Roman" w:hAnsi="Cambria" w:cs="Times New Roman"/>
      <w:b/>
      <w:bCs/>
      <w:i/>
      <w:iCs/>
      <w:color w:val="000000"/>
      <w:kern w:val="0"/>
      <w:sz w:val="18"/>
      <w:szCs w:val="18"/>
      <w:lang w:eastAsia="en-GB"/>
      <w14:ligatures w14:val="none"/>
    </w:rPr>
  </w:style>
  <w:style w:type="paragraph" w:customStyle="1" w:styleId="xl67">
    <w:name w:val="xl67"/>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kern w:val="0"/>
      <w:sz w:val="18"/>
      <w:szCs w:val="18"/>
      <w:lang w:eastAsia="en-GB"/>
      <w14:ligatures w14:val="none"/>
    </w:rPr>
  </w:style>
  <w:style w:type="paragraph" w:customStyle="1" w:styleId="xl68">
    <w:name w:val="xl68"/>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sz w:val="24"/>
      <w:szCs w:val="24"/>
      <w:lang w:eastAsia="en-GB"/>
      <w14:ligatures w14:val="none"/>
    </w:rPr>
  </w:style>
  <w:style w:type="paragraph" w:customStyle="1" w:styleId="xl69">
    <w:name w:val="xl69"/>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AE23FD"/>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1">
    <w:name w:val="xl71"/>
    <w:basedOn w:val="Normal"/>
    <w:rsid w:val="00AE23FD"/>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2">
    <w:name w:val="xl72"/>
    <w:basedOn w:val="Normal"/>
    <w:rsid w:val="00AE23F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3">
    <w:name w:val="xl73"/>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4">
    <w:name w:val="xl74"/>
    <w:basedOn w:val="Normal"/>
    <w:rsid w:val="00AE23F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5">
    <w:name w:val="xl75"/>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6">
    <w:name w:val="xl76"/>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7">
    <w:name w:val="xl77"/>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8">
    <w:name w:val="xl78"/>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9">
    <w:name w:val="xl79"/>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80">
    <w:name w:val="xl80"/>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1">
    <w:name w:val="xl81"/>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2">
    <w:name w:val="xl82"/>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3">
    <w:name w:val="xl83"/>
    <w:basedOn w:val="Normal"/>
    <w:rsid w:val="00AE23F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067492"/>
    <w:pPr>
      <w:spacing w:after="0" w:line="240" w:lineRule="auto"/>
    </w:pPr>
  </w:style>
  <w:style w:type="paragraph" w:customStyle="1" w:styleId="xl84">
    <w:name w:val="xl84"/>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5">
    <w:name w:val="xl85"/>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6">
    <w:name w:val="xl86"/>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7">
    <w:name w:val="xl87"/>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8">
    <w:name w:val="xl88"/>
    <w:basedOn w:val="Normal"/>
    <w:rsid w:val="0014152F"/>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9">
    <w:name w:val="xl89"/>
    <w:basedOn w:val="Normal"/>
    <w:rsid w:val="0014152F"/>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141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91">
    <w:name w:val="xl91"/>
    <w:basedOn w:val="Normal"/>
    <w:rsid w:val="0014152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92">
    <w:name w:val="xl92"/>
    <w:basedOn w:val="Normal"/>
    <w:rsid w:val="001415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19826">
      <w:bodyDiv w:val="1"/>
      <w:marLeft w:val="0"/>
      <w:marRight w:val="0"/>
      <w:marTop w:val="0"/>
      <w:marBottom w:val="0"/>
      <w:divBdr>
        <w:top w:val="none" w:sz="0" w:space="0" w:color="auto"/>
        <w:left w:val="none" w:sz="0" w:space="0" w:color="auto"/>
        <w:bottom w:val="none" w:sz="0" w:space="0" w:color="auto"/>
        <w:right w:val="none" w:sz="0" w:space="0" w:color="auto"/>
      </w:divBdr>
    </w:div>
    <w:div w:id="348991755">
      <w:bodyDiv w:val="1"/>
      <w:marLeft w:val="0"/>
      <w:marRight w:val="0"/>
      <w:marTop w:val="0"/>
      <w:marBottom w:val="0"/>
      <w:divBdr>
        <w:top w:val="none" w:sz="0" w:space="0" w:color="auto"/>
        <w:left w:val="none" w:sz="0" w:space="0" w:color="auto"/>
        <w:bottom w:val="none" w:sz="0" w:space="0" w:color="auto"/>
        <w:right w:val="none" w:sz="0" w:space="0" w:color="auto"/>
      </w:divBdr>
    </w:div>
    <w:div w:id="473958603">
      <w:bodyDiv w:val="1"/>
      <w:marLeft w:val="0"/>
      <w:marRight w:val="0"/>
      <w:marTop w:val="0"/>
      <w:marBottom w:val="0"/>
      <w:divBdr>
        <w:top w:val="none" w:sz="0" w:space="0" w:color="auto"/>
        <w:left w:val="none" w:sz="0" w:space="0" w:color="auto"/>
        <w:bottom w:val="none" w:sz="0" w:space="0" w:color="auto"/>
        <w:right w:val="none" w:sz="0" w:space="0" w:color="auto"/>
      </w:divBdr>
    </w:div>
    <w:div w:id="621039875">
      <w:bodyDiv w:val="1"/>
      <w:marLeft w:val="0"/>
      <w:marRight w:val="0"/>
      <w:marTop w:val="0"/>
      <w:marBottom w:val="0"/>
      <w:divBdr>
        <w:top w:val="none" w:sz="0" w:space="0" w:color="auto"/>
        <w:left w:val="none" w:sz="0" w:space="0" w:color="auto"/>
        <w:bottom w:val="none" w:sz="0" w:space="0" w:color="auto"/>
        <w:right w:val="none" w:sz="0" w:space="0" w:color="auto"/>
      </w:divBdr>
    </w:div>
    <w:div w:id="917642218">
      <w:bodyDiv w:val="1"/>
      <w:marLeft w:val="0"/>
      <w:marRight w:val="0"/>
      <w:marTop w:val="0"/>
      <w:marBottom w:val="0"/>
      <w:divBdr>
        <w:top w:val="none" w:sz="0" w:space="0" w:color="auto"/>
        <w:left w:val="none" w:sz="0" w:space="0" w:color="auto"/>
        <w:bottom w:val="none" w:sz="0" w:space="0" w:color="auto"/>
        <w:right w:val="none" w:sz="0" w:space="0" w:color="auto"/>
      </w:divBdr>
    </w:div>
    <w:div w:id="966551109">
      <w:bodyDiv w:val="1"/>
      <w:marLeft w:val="0"/>
      <w:marRight w:val="0"/>
      <w:marTop w:val="0"/>
      <w:marBottom w:val="0"/>
      <w:divBdr>
        <w:top w:val="none" w:sz="0" w:space="0" w:color="auto"/>
        <w:left w:val="none" w:sz="0" w:space="0" w:color="auto"/>
        <w:bottom w:val="none" w:sz="0" w:space="0" w:color="auto"/>
        <w:right w:val="none" w:sz="0" w:space="0" w:color="auto"/>
      </w:divBdr>
    </w:div>
    <w:div w:id="1093547566">
      <w:bodyDiv w:val="1"/>
      <w:marLeft w:val="0"/>
      <w:marRight w:val="0"/>
      <w:marTop w:val="0"/>
      <w:marBottom w:val="0"/>
      <w:divBdr>
        <w:top w:val="none" w:sz="0" w:space="0" w:color="auto"/>
        <w:left w:val="none" w:sz="0" w:space="0" w:color="auto"/>
        <w:bottom w:val="none" w:sz="0" w:space="0" w:color="auto"/>
        <w:right w:val="none" w:sz="0" w:space="0" w:color="auto"/>
      </w:divBdr>
    </w:div>
    <w:div w:id="197586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Recs/compendiopdf-s/2016-14-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4A87B-4834-447D-B460-44167244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15</Pages>
  <Words>2845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Author</cp:lastModifiedBy>
  <cp:revision>32</cp:revision>
  <dcterms:created xsi:type="dcterms:W3CDTF">2024-11-12T14:53:00Z</dcterms:created>
  <dcterms:modified xsi:type="dcterms:W3CDTF">2025-11-17T11:08:00Z</dcterms:modified>
</cp:coreProperties>
</file>