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34B0" w14:textId="3647D87E" w:rsidR="00515822" w:rsidRPr="00B06882" w:rsidRDefault="00515822" w:rsidP="00515822">
      <w:pPr>
        <w:jc w:val="right"/>
        <w:rPr>
          <w:rFonts w:ascii="Cambria" w:hAnsi="Cambria"/>
          <w:sz w:val="20"/>
          <w:szCs w:val="20"/>
        </w:rPr>
      </w:pPr>
      <w:r w:rsidRPr="00B06882">
        <w:rPr>
          <w:rFonts w:ascii="Cambria" w:hAnsi="Cambria"/>
          <w:b/>
          <w:bCs/>
          <w:sz w:val="20"/>
          <w:szCs w:val="20"/>
        </w:rPr>
        <w:t>Original :</w:t>
      </w:r>
      <w:r w:rsidRPr="00B06882">
        <w:rPr>
          <w:rFonts w:ascii="Cambria" w:hAnsi="Cambria"/>
          <w:sz w:val="20"/>
          <w:szCs w:val="20"/>
        </w:rPr>
        <w:t xml:space="preserve"> </w:t>
      </w:r>
      <w:r w:rsidRPr="00B06882">
        <w:rPr>
          <w:rFonts w:ascii="Cambria" w:hAnsi="Cambria"/>
          <w:b/>
          <w:sz w:val="20"/>
          <w:szCs w:val="20"/>
        </w:rPr>
        <w:t>anglais/espagnol/français</w:t>
      </w:r>
      <w:r w:rsidRPr="00B06882">
        <w:rPr>
          <w:rFonts w:ascii="Cambria" w:hAnsi="Cambria"/>
          <w:sz w:val="20"/>
          <w:szCs w:val="20"/>
        </w:rPr>
        <w:t xml:space="preserve"> </w:t>
      </w:r>
    </w:p>
    <w:p w14:paraId="09C45D50" w14:textId="6BB4B558" w:rsidR="00213058" w:rsidRPr="00B06882" w:rsidRDefault="00056F4D" w:rsidP="004C4D53">
      <w:pPr>
        <w:spacing w:after="0" w:line="240" w:lineRule="auto"/>
        <w:jc w:val="center"/>
        <w:rPr>
          <w:rFonts w:ascii="Cambria" w:hAnsi="Cambria"/>
          <w:b/>
          <w:bCs/>
          <w:sz w:val="20"/>
          <w:szCs w:val="20"/>
        </w:rPr>
      </w:pPr>
      <w:r w:rsidRPr="00B06882">
        <w:rPr>
          <w:rFonts w:ascii="Cambria" w:hAnsi="Cambria"/>
          <w:b/>
          <w:sz w:val="20"/>
          <w:szCs w:val="20"/>
        </w:rPr>
        <w:t xml:space="preserve">Informations sur la mise en œuvre des programmes d’observateurs scientifiques communiquées par les CPC </w:t>
      </w:r>
    </w:p>
    <w:p w14:paraId="51A7AE81" w14:textId="1AE5D600" w:rsidR="00465B41" w:rsidRPr="00B06882" w:rsidRDefault="00E36CA9" w:rsidP="00465B41">
      <w:pPr>
        <w:spacing w:after="0" w:line="240" w:lineRule="auto"/>
        <w:jc w:val="center"/>
        <w:rPr>
          <w:rFonts w:ascii="Cambria" w:hAnsi="Cambria"/>
          <w:i/>
          <w:iCs/>
          <w:sz w:val="20"/>
          <w:szCs w:val="20"/>
        </w:rPr>
      </w:pPr>
      <w:r w:rsidRPr="00B06882">
        <w:rPr>
          <w:rFonts w:ascii="Cambria" w:hAnsi="Cambria"/>
          <w:i/>
          <w:sz w:val="20"/>
          <w:szCs w:val="20"/>
        </w:rPr>
        <w:t>(</w:t>
      </w:r>
      <w:r w:rsidR="00465B41" w:rsidRPr="00B06882">
        <w:rPr>
          <w:rFonts w:ascii="Cambria" w:hAnsi="Cambria"/>
          <w:i/>
          <w:sz w:val="20"/>
          <w:szCs w:val="20"/>
        </w:rPr>
        <w:t>Compilé par le Secrétariat de l'ICCAT</w:t>
      </w:r>
      <w:r w:rsidR="008E5E29" w:rsidRPr="00B06882">
        <w:rPr>
          <w:rFonts w:ascii="Cambria" w:hAnsi="Cambria"/>
          <w:i/>
          <w:sz w:val="20"/>
          <w:szCs w:val="20"/>
        </w:rPr>
        <w:t>)</w:t>
      </w:r>
    </w:p>
    <w:p w14:paraId="11CDDC28" w14:textId="77777777" w:rsidR="00465B41" w:rsidRPr="00B06882" w:rsidRDefault="00465B41" w:rsidP="00465B41">
      <w:pPr>
        <w:spacing w:after="0" w:line="240" w:lineRule="auto"/>
        <w:jc w:val="center"/>
        <w:rPr>
          <w:rFonts w:ascii="Cambria" w:hAnsi="Cambria"/>
          <w:i/>
          <w:iCs/>
          <w:sz w:val="20"/>
          <w:szCs w:val="20"/>
        </w:rPr>
      </w:pPr>
    </w:p>
    <w:p w14:paraId="468F4F61" w14:textId="6C8CCF54" w:rsidR="00465B41" w:rsidRPr="00B06882" w:rsidRDefault="00465B41" w:rsidP="00465B41">
      <w:pPr>
        <w:spacing w:after="0" w:line="240" w:lineRule="auto"/>
        <w:jc w:val="center"/>
        <w:rPr>
          <w:rFonts w:ascii="Cambria" w:hAnsi="Cambria"/>
          <w:sz w:val="20"/>
          <w:szCs w:val="20"/>
        </w:rPr>
      </w:pPr>
      <w:r w:rsidRPr="00B06882">
        <w:rPr>
          <w:rFonts w:ascii="Cambria" w:hAnsi="Cambria"/>
          <w:sz w:val="20"/>
          <w:szCs w:val="20"/>
        </w:rPr>
        <w:t xml:space="preserve">(Informations en date du 17 </w:t>
      </w:r>
      <w:r w:rsidR="007375DF" w:rsidRPr="007375DF">
        <w:rPr>
          <w:rFonts w:ascii="Cambria" w:hAnsi="Cambria"/>
          <w:sz w:val="20"/>
          <w:szCs w:val="20"/>
          <w:highlight w:val="yellow"/>
          <w:u w:val="single"/>
        </w:rPr>
        <w:t>novembre</w:t>
      </w:r>
      <w:r w:rsidRPr="00B06882">
        <w:rPr>
          <w:rFonts w:ascii="Cambria" w:hAnsi="Cambria"/>
          <w:sz w:val="20"/>
          <w:szCs w:val="20"/>
        </w:rPr>
        <w:t xml:space="preserve"> 2025)</w:t>
      </w:r>
    </w:p>
    <w:p w14:paraId="02E51662" w14:textId="77777777" w:rsidR="00465B41" w:rsidRPr="00B06882" w:rsidRDefault="00465B41" w:rsidP="00465B41">
      <w:pPr>
        <w:spacing w:after="0" w:line="240" w:lineRule="auto"/>
        <w:jc w:val="center"/>
        <w:rPr>
          <w:rFonts w:ascii="Cambria" w:hAnsi="Cambria"/>
          <w:sz w:val="20"/>
          <w:szCs w:val="20"/>
        </w:rPr>
      </w:pPr>
    </w:p>
    <w:p w14:paraId="642FA97A" w14:textId="352AFF12" w:rsidR="00AE23FD" w:rsidRPr="00B06882" w:rsidRDefault="00944B29" w:rsidP="00AE23FD">
      <w:pPr>
        <w:jc w:val="both"/>
        <w:rPr>
          <w:rFonts w:ascii="Cambria" w:hAnsi="Cambria" w:cs="Noto Sans"/>
          <w:sz w:val="20"/>
          <w:szCs w:val="20"/>
          <w:shd w:val="clear" w:color="auto" w:fill="FFFFFF"/>
        </w:rPr>
      </w:pPr>
      <w:r w:rsidRPr="00B06882">
        <w:rPr>
          <w:rFonts w:ascii="Cambria" w:hAnsi="Cambria"/>
          <w:sz w:val="20"/>
          <w:szCs w:val="20"/>
        </w:rPr>
        <w:t xml:space="preserve">L'information dans le tableau ci-dessous montre les réponses des CPC à l'exigence </w:t>
      </w:r>
      <w:r w:rsidRPr="00B06882">
        <w:rPr>
          <w:rFonts w:ascii="Cambria" w:hAnsi="Cambria"/>
          <w:sz w:val="20"/>
          <w:szCs w:val="20"/>
          <w:shd w:val="clear" w:color="auto" w:fill="FFFFFF"/>
        </w:rPr>
        <w:t xml:space="preserve">S:GEN11, Information sur la mise en œuvre de la </w:t>
      </w:r>
      <w:hyperlink r:id="rId7" w:tgtFrame="_blank" w:history="1">
        <w:r w:rsidRPr="00B06882">
          <w:rPr>
            <w:rStyle w:val="Hyperlink"/>
            <w:rFonts w:ascii="Cambria" w:hAnsi="Cambria"/>
            <w:i/>
            <w:color w:val="auto"/>
            <w:sz w:val="20"/>
            <w:szCs w:val="20"/>
            <w:u w:val="none"/>
            <w:shd w:val="clear" w:color="auto" w:fill="FFFFFF"/>
          </w:rPr>
          <w:t>Recommandation de l'ICCAT visant à établir des normes minimales pour le programme d'observateurs scientifiques à bord de navires de pêche</w:t>
        </w:r>
        <w:r w:rsidRPr="00B06882">
          <w:rPr>
            <w:rStyle w:val="Hyperlink"/>
            <w:rFonts w:ascii="Cambria" w:hAnsi="Cambria"/>
            <w:color w:val="auto"/>
            <w:sz w:val="20"/>
            <w:szCs w:val="20"/>
            <w:u w:val="none"/>
            <w:shd w:val="clear" w:color="auto" w:fill="FFFFFF"/>
          </w:rPr>
          <w:t xml:space="preserve"> (Rec. 16-14)</w:t>
        </w:r>
      </w:hyperlink>
      <w:r w:rsidRPr="00B06882">
        <w:rPr>
          <w:rFonts w:ascii="Cambria" w:hAnsi="Cambria"/>
          <w:sz w:val="20"/>
          <w:szCs w:val="20"/>
          <w:shd w:val="clear" w:color="auto" w:fill="FFFFFF"/>
        </w:rPr>
        <w:t>. La plupart des informations pertinentes seront incluses dans les rapports annuels en eux-mêmes mais le résumé donne des indications quant à savoir si elles ont été soumises ou non. La liste des CPC qui ont soumis le formulaire ST09 complété est également incluse. Le tableau fournit également un résumé de la mise en œuvre des programmes d'observateurs nationaux des CPC de l’ICCAT, le cas échéant. Les ratios de couverture sont calculés en fonction du nombre de sorties (</w:t>
      </w:r>
      <w:proofErr w:type="spellStart"/>
      <w:r w:rsidRPr="00B06882">
        <w:rPr>
          <w:rFonts w:ascii="Cambria" w:hAnsi="Cambria"/>
          <w:sz w:val="20"/>
          <w:szCs w:val="20"/>
          <w:shd w:val="clear" w:color="auto" w:fill="FFFFFF"/>
        </w:rPr>
        <w:t>Ntrip</w:t>
      </w:r>
      <w:proofErr w:type="spellEnd"/>
      <w:r w:rsidRPr="00B06882">
        <w:rPr>
          <w:rFonts w:ascii="Cambria" w:hAnsi="Cambria"/>
          <w:sz w:val="20"/>
          <w:szCs w:val="20"/>
          <w:shd w:val="clear" w:color="auto" w:fill="FFFFFF"/>
        </w:rPr>
        <w:t>), du nombre de jours (</w:t>
      </w:r>
      <w:proofErr w:type="spellStart"/>
      <w:r w:rsidRPr="00B06882">
        <w:rPr>
          <w:rFonts w:ascii="Cambria" w:hAnsi="Cambria"/>
          <w:sz w:val="20"/>
          <w:szCs w:val="20"/>
          <w:shd w:val="clear" w:color="auto" w:fill="FFFFFF"/>
        </w:rPr>
        <w:t>Ndays</w:t>
      </w:r>
      <w:proofErr w:type="spellEnd"/>
      <w:r w:rsidRPr="00B06882">
        <w:rPr>
          <w:rFonts w:ascii="Cambria" w:hAnsi="Cambria"/>
          <w:sz w:val="20"/>
          <w:szCs w:val="20"/>
          <w:shd w:val="clear" w:color="auto" w:fill="FFFFFF"/>
        </w:rPr>
        <w:t>), du nombre de calées (</w:t>
      </w:r>
      <w:proofErr w:type="spellStart"/>
      <w:r w:rsidRPr="00B06882">
        <w:rPr>
          <w:rFonts w:ascii="Cambria" w:hAnsi="Cambria"/>
          <w:sz w:val="20"/>
          <w:szCs w:val="20"/>
          <w:shd w:val="clear" w:color="auto" w:fill="FFFFFF"/>
        </w:rPr>
        <w:t>Nset</w:t>
      </w:r>
      <w:proofErr w:type="spellEnd"/>
      <w:r w:rsidRPr="00B06882">
        <w:rPr>
          <w:rFonts w:ascii="Cambria" w:hAnsi="Cambria"/>
          <w:sz w:val="20"/>
          <w:szCs w:val="20"/>
          <w:shd w:val="clear" w:color="auto" w:fill="FFFFFF"/>
        </w:rPr>
        <w:t xml:space="preserve">) et du nombre de navires (No. of </w:t>
      </w:r>
      <w:proofErr w:type="spellStart"/>
      <w:r w:rsidRPr="00B06882">
        <w:rPr>
          <w:rFonts w:ascii="Cambria" w:hAnsi="Cambria"/>
          <w:sz w:val="20"/>
          <w:szCs w:val="20"/>
          <w:shd w:val="clear" w:color="auto" w:fill="FFFFFF"/>
        </w:rPr>
        <w:t>vessels</w:t>
      </w:r>
      <w:proofErr w:type="spellEnd"/>
      <w:r w:rsidRPr="00B06882">
        <w:rPr>
          <w:rFonts w:ascii="Cambria" w:hAnsi="Cambria"/>
          <w:sz w:val="20"/>
          <w:szCs w:val="20"/>
          <w:shd w:val="clear" w:color="auto" w:fill="FFFFFF"/>
        </w:rPr>
        <w:t>)</w:t>
      </w:r>
      <w:r w:rsidR="004D0819" w:rsidRPr="00B06882">
        <w:rPr>
          <w:rFonts w:ascii="Cambria" w:hAnsi="Cambria"/>
          <w:sz w:val="20"/>
          <w:szCs w:val="20"/>
          <w:shd w:val="clear" w:color="auto" w:fill="FFFFFF"/>
        </w:rPr>
        <w:t>.</w:t>
      </w:r>
      <w:r w:rsidRPr="00B06882">
        <w:rPr>
          <w:rFonts w:ascii="Cambria" w:hAnsi="Cambria"/>
          <w:sz w:val="20"/>
          <w:szCs w:val="20"/>
          <w:shd w:val="clear" w:color="auto" w:fill="FFFFFF"/>
        </w:rPr>
        <w:t xml:space="preserve">  </w:t>
      </w:r>
    </w:p>
    <w:tbl>
      <w:tblPr>
        <w:tblW w:w="5217" w:type="pct"/>
        <w:shd w:val="clear" w:color="auto" w:fill="FFFFFF" w:themeFill="background1"/>
        <w:tblLayout w:type="fixed"/>
        <w:tblLook w:val="04A0" w:firstRow="1" w:lastRow="0" w:firstColumn="1" w:lastColumn="0" w:noHBand="0" w:noVBand="1"/>
      </w:tblPr>
      <w:tblGrid>
        <w:gridCol w:w="963"/>
        <w:gridCol w:w="1007"/>
        <w:gridCol w:w="998"/>
        <w:gridCol w:w="2076"/>
        <w:gridCol w:w="1546"/>
        <w:gridCol w:w="1069"/>
        <w:gridCol w:w="2186"/>
        <w:gridCol w:w="991"/>
        <w:gridCol w:w="798"/>
        <w:gridCol w:w="918"/>
        <w:gridCol w:w="1073"/>
        <w:gridCol w:w="770"/>
        <w:gridCol w:w="1379"/>
      </w:tblGrid>
      <w:tr w:rsidR="00B06882" w:rsidRPr="00B06882" w14:paraId="1A273AAC" w14:textId="77777777" w:rsidTr="008405D0">
        <w:trPr>
          <w:trHeight w:val="480"/>
          <w:tblHeader/>
        </w:trPr>
        <w:tc>
          <w:tcPr>
            <w:tcW w:w="305" w:type="pct"/>
            <w:tcBorders>
              <w:top w:val="single" w:sz="8" w:space="0" w:color="auto"/>
              <w:left w:val="single" w:sz="8" w:space="0" w:color="auto"/>
              <w:bottom w:val="single" w:sz="4" w:space="0" w:color="auto"/>
              <w:right w:val="single" w:sz="4" w:space="0" w:color="auto"/>
            </w:tcBorders>
            <w:shd w:val="clear" w:color="auto" w:fill="E7E6E6" w:themeFill="background2"/>
            <w:vAlign w:val="center"/>
            <w:hideMark/>
          </w:tcPr>
          <w:p w14:paraId="18657CC0"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CPC</w:t>
            </w:r>
          </w:p>
        </w:tc>
        <w:tc>
          <w:tcPr>
            <w:tcW w:w="319" w:type="pct"/>
            <w:tcBorders>
              <w:top w:val="single" w:sz="8" w:space="0" w:color="auto"/>
              <w:left w:val="nil"/>
              <w:bottom w:val="single" w:sz="4" w:space="0" w:color="auto"/>
              <w:right w:val="single" w:sz="4" w:space="0" w:color="auto"/>
            </w:tcBorders>
            <w:shd w:val="clear" w:color="auto" w:fill="E7E6E6" w:themeFill="background2"/>
            <w:vAlign w:val="center"/>
            <w:hideMark/>
          </w:tcPr>
          <w:p w14:paraId="086F866E" w14:textId="66FB9D3E" w:rsidR="0014152F" w:rsidRPr="00B06882" w:rsidRDefault="0014152F" w:rsidP="005A43DB">
            <w:pPr>
              <w:spacing w:after="0" w:line="240" w:lineRule="auto"/>
              <w:jc w:val="center"/>
              <w:rPr>
                <w:rFonts w:ascii="Cambria" w:eastAsia="Times New Roman" w:hAnsi="Cambria" w:cs="Times New Roman"/>
                <w:b/>
                <w:bCs/>
                <w:i/>
                <w:iCs/>
                <w:kern w:val="0"/>
                <w:sz w:val="14"/>
                <w:szCs w:val="14"/>
                <w14:ligatures w14:val="none"/>
              </w:rPr>
            </w:pPr>
            <w:r w:rsidRPr="00B06882">
              <w:rPr>
                <w:rFonts w:ascii="Cambria" w:hAnsi="Cambria"/>
                <w:b/>
                <w:i/>
                <w:sz w:val="14"/>
                <w:szCs w:val="14"/>
              </w:rPr>
              <w:t>Applicable</w:t>
            </w:r>
            <w:r w:rsidR="00EF75D1" w:rsidRPr="00B06882">
              <w:rPr>
                <w:rFonts w:ascii="Cambria" w:hAnsi="Cambria"/>
                <w:b/>
                <w:i/>
                <w:sz w:val="14"/>
                <w:szCs w:val="14"/>
              </w:rPr>
              <w:t> </w:t>
            </w:r>
            <w:r w:rsidRPr="00B06882">
              <w:rPr>
                <w:rFonts w:ascii="Cambria" w:hAnsi="Cambria"/>
                <w:b/>
                <w:i/>
                <w:sz w:val="14"/>
                <w:szCs w:val="14"/>
              </w:rPr>
              <w:t>?</w:t>
            </w:r>
          </w:p>
        </w:tc>
        <w:tc>
          <w:tcPr>
            <w:tcW w:w="316" w:type="pct"/>
            <w:tcBorders>
              <w:top w:val="single" w:sz="8" w:space="0" w:color="auto"/>
              <w:left w:val="nil"/>
              <w:bottom w:val="single" w:sz="4" w:space="0" w:color="auto"/>
              <w:right w:val="single" w:sz="4" w:space="0" w:color="auto"/>
            </w:tcBorders>
            <w:shd w:val="clear" w:color="auto" w:fill="E7E6E6" w:themeFill="background2"/>
            <w:vAlign w:val="center"/>
            <w:hideMark/>
          </w:tcPr>
          <w:p w14:paraId="3984D1AC"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 xml:space="preserve">Date de la première </w:t>
            </w:r>
            <w:r w:rsidRPr="00B06882">
              <w:rPr>
                <w:rFonts w:ascii="Cambria" w:hAnsi="Cambria"/>
                <w:b/>
                <w:i/>
                <w:sz w:val="14"/>
                <w:szCs w:val="14"/>
              </w:rPr>
              <w:t>soumission</w:t>
            </w:r>
          </w:p>
        </w:tc>
        <w:tc>
          <w:tcPr>
            <w:tcW w:w="658" w:type="pct"/>
            <w:tcBorders>
              <w:top w:val="single" w:sz="8" w:space="0" w:color="auto"/>
              <w:left w:val="nil"/>
              <w:bottom w:val="single" w:sz="4" w:space="0" w:color="auto"/>
              <w:right w:val="single" w:sz="4" w:space="0" w:color="auto"/>
            </w:tcBorders>
            <w:shd w:val="clear" w:color="auto" w:fill="E7E6E6" w:themeFill="background2"/>
            <w:vAlign w:val="center"/>
            <w:hideMark/>
          </w:tcPr>
          <w:p w14:paraId="376C97AA" w14:textId="4D8409E9"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Réponse / R</w:t>
            </w:r>
            <w:r w:rsidR="007C0F38" w:rsidRPr="00B06882">
              <w:rPr>
                <w:rFonts w:ascii="Cambria" w:hAnsi="Cambria"/>
                <w:b/>
                <w:i/>
                <w:sz w:val="16"/>
                <w:szCs w:val="16"/>
              </w:rPr>
              <w:t>aison</w:t>
            </w:r>
            <w:r w:rsidRPr="00B06882">
              <w:rPr>
                <w:rFonts w:ascii="Cambria" w:hAnsi="Cambria"/>
                <w:b/>
                <w:i/>
                <w:sz w:val="16"/>
                <w:szCs w:val="16"/>
              </w:rPr>
              <w:t xml:space="preserve"> pour N/A</w:t>
            </w:r>
          </w:p>
        </w:tc>
        <w:tc>
          <w:tcPr>
            <w:tcW w:w="490" w:type="pct"/>
            <w:tcBorders>
              <w:top w:val="single" w:sz="8" w:space="0" w:color="auto"/>
              <w:left w:val="nil"/>
              <w:bottom w:val="single" w:sz="4" w:space="0" w:color="auto"/>
              <w:right w:val="single" w:sz="4" w:space="0" w:color="auto"/>
            </w:tcBorders>
            <w:shd w:val="clear" w:color="auto" w:fill="E7E6E6" w:themeFill="background2"/>
            <w:vAlign w:val="center"/>
            <w:hideMark/>
          </w:tcPr>
          <w:p w14:paraId="5C0328FA"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Observation du Secrétariat</w:t>
            </w:r>
          </w:p>
        </w:tc>
        <w:tc>
          <w:tcPr>
            <w:tcW w:w="339" w:type="pct"/>
            <w:tcBorders>
              <w:top w:val="single" w:sz="8" w:space="0" w:color="auto"/>
              <w:left w:val="nil"/>
              <w:bottom w:val="single" w:sz="4" w:space="0" w:color="auto"/>
              <w:right w:val="single" w:sz="4" w:space="0" w:color="auto"/>
            </w:tcBorders>
            <w:shd w:val="clear" w:color="auto" w:fill="E7E6E6" w:themeFill="background2"/>
            <w:vAlign w:val="center"/>
            <w:hideMark/>
          </w:tcPr>
          <w:p w14:paraId="0047DEF5"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ST09 soumis ?</w:t>
            </w:r>
          </w:p>
        </w:tc>
        <w:tc>
          <w:tcPr>
            <w:tcW w:w="693" w:type="pct"/>
            <w:tcBorders>
              <w:top w:val="single" w:sz="8" w:space="0" w:color="auto"/>
              <w:left w:val="nil"/>
              <w:bottom w:val="single" w:sz="4" w:space="0" w:color="auto"/>
              <w:right w:val="single" w:sz="8" w:space="0" w:color="auto"/>
            </w:tcBorders>
            <w:shd w:val="clear" w:color="auto" w:fill="E7E6E6" w:themeFill="background2"/>
            <w:vAlign w:val="center"/>
            <w:hideMark/>
          </w:tcPr>
          <w:p w14:paraId="60411234"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Raison de la non-soumission du ST09 dans l'IOMS</w:t>
            </w:r>
          </w:p>
        </w:tc>
        <w:tc>
          <w:tcPr>
            <w:tcW w:w="314" w:type="pct"/>
            <w:tcBorders>
              <w:top w:val="single" w:sz="8" w:space="0" w:color="auto"/>
              <w:left w:val="nil"/>
              <w:bottom w:val="single" w:sz="4" w:space="0" w:color="auto"/>
              <w:right w:val="single" w:sz="4" w:space="0" w:color="auto"/>
            </w:tcBorders>
            <w:shd w:val="clear" w:color="auto" w:fill="E7E6E6" w:themeFill="background2"/>
            <w:vAlign w:val="center"/>
            <w:hideMark/>
          </w:tcPr>
          <w:p w14:paraId="3B642D62"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Pavillon déclarant</w:t>
            </w:r>
          </w:p>
        </w:tc>
        <w:tc>
          <w:tcPr>
            <w:tcW w:w="253" w:type="pct"/>
            <w:tcBorders>
              <w:top w:val="single" w:sz="8" w:space="0" w:color="auto"/>
              <w:left w:val="nil"/>
              <w:bottom w:val="single" w:sz="4" w:space="0" w:color="auto"/>
              <w:right w:val="single" w:sz="4" w:space="0" w:color="auto"/>
            </w:tcBorders>
            <w:shd w:val="clear" w:color="auto" w:fill="E7E6E6" w:themeFill="background2"/>
            <w:vAlign w:val="center"/>
            <w:hideMark/>
          </w:tcPr>
          <w:p w14:paraId="0D2DDE53"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Année de début</w:t>
            </w:r>
          </w:p>
        </w:tc>
        <w:tc>
          <w:tcPr>
            <w:tcW w:w="291" w:type="pct"/>
            <w:tcBorders>
              <w:top w:val="single" w:sz="8" w:space="0" w:color="auto"/>
              <w:left w:val="nil"/>
              <w:bottom w:val="single" w:sz="4" w:space="0" w:color="auto"/>
              <w:right w:val="single" w:sz="4" w:space="0" w:color="auto"/>
            </w:tcBorders>
            <w:shd w:val="clear" w:color="auto" w:fill="E7E6E6" w:themeFill="background2"/>
            <w:vAlign w:val="center"/>
            <w:hideMark/>
          </w:tcPr>
          <w:p w14:paraId="33B6C1D6" w14:textId="56596CE8"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Pêcherie suivie (1 ou plus)</w:t>
            </w:r>
          </w:p>
        </w:tc>
        <w:tc>
          <w:tcPr>
            <w:tcW w:w="340" w:type="pct"/>
            <w:tcBorders>
              <w:top w:val="single" w:sz="8" w:space="0" w:color="auto"/>
              <w:left w:val="nil"/>
              <w:bottom w:val="single" w:sz="4" w:space="0" w:color="auto"/>
              <w:right w:val="single" w:sz="4" w:space="0" w:color="auto"/>
            </w:tcBorders>
            <w:shd w:val="clear" w:color="auto" w:fill="E7E6E6" w:themeFill="background2"/>
            <w:vAlign w:val="center"/>
            <w:hideMark/>
          </w:tcPr>
          <w:p w14:paraId="0537049D"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4"/>
                <w:szCs w:val="14"/>
              </w:rPr>
              <w:t>Pourcentage</w:t>
            </w:r>
            <w:r w:rsidRPr="00B06882">
              <w:rPr>
                <w:rFonts w:ascii="Cambria" w:hAnsi="Cambria"/>
                <w:b/>
                <w:i/>
                <w:sz w:val="16"/>
                <w:szCs w:val="16"/>
              </w:rPr>
              <w:t xml:space="preserve"> de couverture (%)</w:t>
            </w:r>
          </w:p>
        </w:tc>
        <w:tc>
          <w:tcPr>
            <w:tcW w:w="244" w:type="pct"/>
            <w:tcBorders>
              <w:top w:val="single" w:sz="8" w:space="0" w:color="auto"/>
              <w:left w:val="nil"/>
              <w:bottom w:val="single" w:sz="4" w:space="0" w:color="auto"/>
              <w:right w:val="single" w:sz="4" w:space="0" w:color="auto"/>
            </w:tcBorders>
            <w:shd w:val="clear" w:color="auto" w:fill="E7E6E6" w:themeFill="background2"/>
            <w:vAlign w:val="center"/>
            <w:hideMark/>
          </w:tcPr>
          <w:p w14:paraId="2AB8B4A8" w14:textId="0AD768FC"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 xml:space="preserve">Couverture </w:t>
            </w:r>
            <w:r w:rsidR="00911336" w:rsidRPr="00B06882">
              <w:rPr>
                <w:rFonts w:ascii="Cambria" w:hAnsi="Cambria"/>
                <w:b/>
                <w:i/>
                <w:sz w:val="16"/>
                <w:szCs w:val="16"/>
              </w:rPr>
              <w:t>basée</w:t>
            </w:r>
            <w:r w:rsidRPr="00B06882">
              <w:rPr>
                <w:rFonts w:ascii="Cambria" w:hAnsi="Cambria"/>
                <w:b/>
                <w:i/>
                <w:sz w:val="16"/>
                <w:szCs w:val="16"/>
              </w:rPr>
              <w:t xml:space="preserve"> sur</w:t>
            </w:r>
          </w:p>
        </w:tc>
        <w:tc>
          <w:tcPr>
            <w:tcW w:w="437" w:type="pct"/>
            <w:tcBorders>
              <w:top w:val="single" w:sz="8" w:space="0" w:color="auto"/>
              <w:left w:val="nil"/>
              <w:bottom w:val="single" w:sz="4" w:space="0" w:color="auto"/>
              <w:right w:val="single" w:sz="8" w:space="0" w:color="auto"/>
            </w:tcBorders>
            <w:shd w:val="clear" w:color="auto" w:fill="E7E6E6" w:themeFill="background2"/>
            <w:vAlign w:val="center"/>
            <w:hideMark/>
          </w:tcPr>
          <w:p w14:paraId="0AF75EA9"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Observation du Secrétariat</w:t>
            </w:r>
          </w:p>
        </w:tc>
      </w:tr>
      <w:tr w:rsidR="00B06882" w:rsidRPr="00B06882" w14:paraId="203B4959" w14:textId="77777777" w:rsidTr="008405D0">
        <w:trPr>
          <w:trHeight w:val="96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C89ACC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Albanie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B678E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4926B0" w14:textId="06CDA49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5DEF9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L'Albanie dispose de données du programme d'observateurs sur les rejets, les prises accessoires ou les captures accidentelles d'espèces vulnérables dans la flottille albanaise de chalutiers et de petits senneurs pélagiques de la mer Adriatique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CB8B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7F86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2A8F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Le programme d’observateurs a porté sur les rejets, les prises accessoires ou les captures accidentelles d’espèces vulnérables dans la flottille albanaise de chalutiers et de petites </w:t>
            </w:r>
            <w:proofErr w:type="spellStart"/>
            <w:r w:rsidRPr="00B06882">
              <w:rPr>
                <w:rFonts w:ascii="Cambria" w:hAnsi="Cambria"/>
                <w:sz w:val="16"/>
                <w:szCs w:val="16"/>
              </w:rPr>
              <w:t>sennes</w:t>
            </w:r>
            <w:proofErr w:type="spellEnd"/>
            <w:r w:rsidRPr="00B06882">
              <w:rPr>
                <w:rFonts w:ascii="Cambria" w:hAnsi="Cambria"/>
                <w:sz w:val="16"/>
                <w:szCs w:val="16"/>
              </w:rPr>
              <w:t xml:space="preserve"> pélagiques en mer Adriatique.</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A9FD0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Albanie</w:t>
            </w:r>
          </w:p>
        </w:tc>
        <w:tc>
          <w:tcPr>
            <w:tcW w:w="2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5DC154" w14:textId="13356B8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CE72AE" w14:textId="2E30AED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125BC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0,00%</w:t>
            </w: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57773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4868E3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41CF146"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9089B8E"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Algérie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448F2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34623E" w14:textId="1A2FDDD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9E2A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 changement n'a été opéré depuis la dernière transmission.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6808EF" w14:textId="6CF9B3FB" w:rsidR="0014152F" w:rsidRPr="00B06882" w:rsidRDefault="00825026"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réponse doit être </w:t>
            </w:r>
            <w:r w:rsidR="00DF2D5B" w:rsidRPr="00B06882">
              <w:rPr>
                <w:rFonts w:ascii="Cambria" w:hAnsi="Cambria"/>
                <w:sz w:val="16"/>
                <w:szCs w:val="16"/>
              </w:rPr>
              <w:t>Oui</w:t>
            </w:r>
            <w:r w:rsidR="0014152F" w:rsidRPr="00B06882">
              <w:rPr>
                <w:rFonts w:ascii="Cambria" w:hAnsi="Cambria"/>
                <w:sz w:val="16"/>
                <w:szCs w:val="16"/>
              </w:rPr>
              <w:t xml:space="preserve"> = Applicable. Aucune dérogation à cette obligation n'a été accordée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BBFD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6BA79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 changement depuis la dernière soumission.</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09622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Algérie</w:t>
            </w:r>
          </w:p>
        </w:tc>
        <w:tc>
          <w:tcPr>
            <w:tcW w:w="2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07A6F9" w14:textId="036C15C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9D5D65" w14:textId="1CB11D6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14DBB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w:t>
            </w: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3D9DE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DE5C2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1192E94"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508A02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Angola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F4E79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65433A" w14:textId="395E68A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0EAD4" w14:textId="0D412BD2"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L'Angola n'a pas d'observateur scientifique à bord, mais en aura un l'année prochaine.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D89E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312AC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43F548" w14:textId="11779BB4"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L'Angola n'a pas d'observateur scientifique à bord, mais en aura un l'année prochaine.</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72599D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Angola</w:t>
            </w:r>
          </w:p>
        </w:tc>
        <w:tc>
          <w:tcPr>
            <w:tcW w:w="2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8B4F95" w14:textId="648C626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78BA62" w14:textId="51C2502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2FE5E" w14:textId="2689266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3541E6"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12E080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B693D0F" w14:textId="77777777" w:rsidTr="008405D0">
        <w:trPr>
          <w:trHeight w:val="28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51C1C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lastRenderedPageBreak/>
              <w:t>Barbade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3F0E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BE4A5B" w14:textId="75E1CFE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73684" w14:textId="10BDB653"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Barbade n'a pas encore mis en œuvre de programme d'observateurs. Toutefois, la nouvelle loi de gestion et de développement des pêches durables et les règlements de 2024 qui les accompagnent exigent que les capitaines des navires de pêche participent aux programmes d’observateurs, y compris de surveillance électronique, comme indiqué par le Directeur des pêches. Comme indiqué dans le rapport annuel, la Barbade a instauré un programme d’EMS via </w:t>
            </w:r>
            <w:proofErr w:type="spellStart"/>
            <w:r w:rsidRPr="00B06882">
              <w:rPr>
                <w:rFonts w:ascii="Cambria" w:hAnsi="Cambria"/>
                <w:sz w:val="16"/>
                <w:szCs w:val="16"/>
              </w:rPr>
              <w:t>Shellcatch</w:t>
            </w:r>
            <w:proofErr w:type="spellEnd"/>
            <w:r w:rsidRPr="00B06882">
              <w:rPr>
                <w:rFonts w:ascii="Cambria" w:hAnsi="Cambria"/>
                <w:sz w:val="16"/>
                <w:szCs w:val="16"/>
              </w:rPr>
              <w:t xml:space="preserve"> et les informations détaillées seront communiquées à l’ICCAT en temps opportun dans le cadre de la validation.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3314F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B6EA6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4AE8CD" w14:textId="6B6CE75C"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Barbade n'a pas encore mis en œuvre de programme d'observateurs. Toutefois, la nouvelle loi de gestion et de développement des pêches durables et les règlements de 2024 qui les accompagnent exigent que les capitaines des navires de pêche participent aux programmes d’observateurs, y compris de surveillance électronique, comme indiqué par le Directeur des pêches. Comme indiqué dans le rapport annuel, la Barbade a instauré un programme d’EMS via </w:t>
            </w:r>
            <w:proofErr w:type="spellStart"/>
            <w:r w:rsidRPr="00B06882">
              <w:rPr>
                <w:rFonts w:ascii="Cambria" w:hAnsi="Cambria"/>
                <w:sz w:val="16"/>
                <w:szCs w:val="16"/>
              </w:rPr>
              <w:t>Shellcatch</w:t>
            </w:r>
            <w:proofErr w:type="spellEnd"/>
            <w:r w:rsidRPr="00B06882">
              <w:rPr>
                <w:rFonts w:ascii="Cambria" w:hAnsi="Cambria"/>
                <w:sz w:val="16"/>
                <w:szCs w:val="16"/>
              </w:rPr>
              <w:t xml:space="preserve"> et les informations détaillées seront communiquées à l’ICCAT en temps opportun dans le cadre de la validation.</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D1DE9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Barbade</w:t>
            </w:r>
          </w:p>
        </w:tc>
        <w:tc>
          <w:tcPr>
            <w:tcW w:w="2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54D95D" w14:textId="78A83E4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239975" w14:textId="7692450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C2DAB9" w14:textId="646E3B8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4DAE0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E1AB6B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AB71D94"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03469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Belize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B7BB3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95F4D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Le 24 mars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DE96FF" w14:textId="7196FEF8"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Belize n'effectue pas de suivi scientifique alternatif, car sa flottille ne compte aucun petit navire capable de transporter un observateur.</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53AC00" w14:textId="1600D990" w:rsidR="0014152F" w:rsidRPr="00B06882" w:rsidRDefault="00733565"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réponse doit être </w:t>
            </w:r>
            <w:r w:rsidR="005D32BF" w:rsidRPr="00B06882">
              <w:rPr>
                <w:rFonts w:ascii="Cambria" w:hAnsi="Cambria"/>
                <w:sz w:val="16"/>
                <w:szCs w:val="16"/>
              </w:rPr>
              <w:t>Oui</w:t>
            </w:r>
            <w:r w:rsidR="0014152F" w:rsidRPr="00B06882">
              <w:rPr>
                <w:rFonts w:ascii="Cambria" w:hAnsi="Cambria"/>
                <w:sz w:val="16"/>
                <w:szCs w:val="16"/>
              </w:rPr>
              <w:t xml:space="preserve">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A3D0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047596" w14:textId="2AA4788B"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Belize n'effectue pas de suivi scientifique alternatif, car sa flottille ne compte aucun petit navire capable de transporter un observateur.</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21FC3F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Belize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AD0D8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EDD72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2DEF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7,00%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0524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30DEC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60E30F9" w14:textId="77777777" w:rsidTr="00865A75">
        <w:trPr>
          <w:trHeight w:val="633"/>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79B80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Bolivie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95E61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902BA" w14:textId="72F250D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DA9BDE" w14:textId="4990F42B"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Bolivie n'a pas mis en place de programme d'observateurs nationaux et n'a pas non plus utilisé d'approche alternative, car elle ne disposait pas de navires de pêche autorisés à opérer dans la zone de la Convention pendant la période couverte par le présent rapport.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A8F0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Absence de pêcherie.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EEC3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8FBE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94CBC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Bolivie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5A3242" w14:textId="696AAF8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470B2F" w14:textId="73EEE07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84D18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5,00%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68195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A1EA7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Le formulaire ne contenait pas d'informations sur le taux de couverture des pêcheries appliqué. </w:t>
            </w:r>
          </w:p>
        </w:tc>
      </w:tr>
      <w:tr w:rsidR="00B06882" w:rsidRPr="00B06882" w14:paraId="219D0A4D"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21DD33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lastRenderedPageBreak/>
              <w:t>Brésil</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D14C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525BA1" w14:textId="5515676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91F15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Données indisponibles pour le moment.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4D69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0886D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628C95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Données indisponibles pour le moment.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C1823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Brésil</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ACA5B6" w14:textId="3CDC46E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E002C" w14:textId="2E2726E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3975A5" w14:textId="2F0D345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6316BA"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BCAF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1F17EE7" w14:textId="77777777" w:rsidTr="008405D0">
        <w:trPr>
          <w:trHeight w:val="16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F108C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Cabo Verde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EA9D9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ABDDBA" w14:textId="312DE0D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6613C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 Cabo Verde, aucun programme d'observateurs n'a encore été mis en œuvre. Cependant, le Cabo Verde travaille à sa mise en place. La première étape a déjà été franchie en offrant une formation aux observateurs potentiels, et le Cabo Verde est actuellement en train d'établir des accords avec des ONG nationales et régionales pour rendre opérationnel le programme d'observateurs.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1229E2" w14:textId="7885B022"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Le Cabo Verde a sept navires autorisés dans le </w:t>
            </w:r>
            <w:r w:rsidR="00865A75" w:rsidRPr="00B06882">
              <w:rPr>
                <w:rFonts w:ascii="Cambria" w:hAnsi="Cambria"/>
                <w:sz w:val="16"/>
                <w:szCs w:val="16"/>
              </w:rPr>
              <w:t>Registre de</w:t>
            </w:r>
            <w:r w:rsidRPr="00B06882">
              <w:rPr>
                <w:rFonts w:ascii="Cambria" w:hAnsi="Cambria"/>
                <w:sz w:val="16"/>
                <w:szCs w:val="16"/>
              </w:rPr>
              <w:t xml:space="preserve"> l’ICCAT et a capturé un total de 3.690</w:t>
            </w:r>
            <w:r w:rsidR="004848DE" w:rsidRPr="00B06882">
              <w:rPr>
                <w:rFonts w:ascii="Cambria" w:hAnsi="Cambria"/>
                <w:sz w:val="16"/>
                <w:szCs w:val="16"/>
              </w:rPr>
              <w:t> </w:t>
            </w:r>
            <w:r w:rsidRPr="00B06882">
              <w:rPr>
                <w:rFonts w:ascii="Cambria" w:hAnsi="Cambria"/>
                <w:sz w:val="16"/>
                <w:szCs w:val="16"/>
              </w:rPr>
              <w:t>t d’espèces ICCAT combinées en 2024.</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DDCCD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90768B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49C2F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Cabo Verde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C999A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2005</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189BA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7EC12" w14:textId="289D596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8545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C596E3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A0725D0"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2478DF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Canada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07E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C603D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16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8E026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00201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DAC11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E2E101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CAE9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Canada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333F3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0CB85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096EA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3,00%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E7A0B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20E4DD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9607F4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FC8F6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Chine, </w:t>
            </w:r>
            <w:proofErr w:type="spellStart"/>
            <w:r w:rsidRPr="00B06882">
              <w:rPr>
                <w:rFonts w:ascii="Cambria" w:hAnsi="Cambria"/>
                <w:sz w:val="16"/>
                <w:szCs w:val="16"/>
              </w:rPr>
              <w:t>Rép</w:t>
            </w:r>
            <w:proofErr w:type="spellEnd"/>
            <w:r w:rsidRPr="00B06882">
              <w:rPr>
                <w:rFonts w:ascii="Cambria" w:hAnsi="Cambria"/>
                <w:sz w:val="16"/>
                <w:szCs w:val="16"/>
              </w:rPr>
              <w:t>. pop.</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65DC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1767D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15 septembre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F77BD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038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D21C8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89D097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FCF7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Chine, </w:t>
            </w:r>
            <w:proofErr w:type="spellStart"/>
            <w:r w:rsidRPr="00B06882">
              <w:rPr>
                <w:rFonts w:ascii="Cambria" w:hAnsi="Cambria"/>
                <w:sz w:val="16"/>
                <w:szCs w:val="16"/>
              </w:rPr>
              <w:t>Rép</w:t>
            </w:r>
            <w:proofErr w:type="spellEnd"/>
            <w:r w:rsidRPr="00B06882">
              <w:rPr>
                <w:rFonts w:ascii="Cambria" w:hAnsi="Cambria"/>
                <w:sz w:val="16"/>
                <w:szCs w:val="16"/>
              </w:rPr>
              <w:t>. pop.</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7413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2001</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9E39F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22A82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10,40%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999778" w14:textId="5A87C625"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548C0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F8F77CB"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7B9002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Taipei chinois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48233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C24FE" w14:textId="481892C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A3CB4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10 juillet 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BB87E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908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B270B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9A0B3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Taipei chinois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AC4F4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6A805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AFEE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13,00%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A271B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F2169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F677B55" w14:textId="77777777" w:rsidTr="002C3CB7">
        <w:trPr>
          <w:trHeight w:val="1559"/>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2CA7154"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Costa Rica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6A5C9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6FB63F" w14:textId="71C4500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AF661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En 2023, le Costa Rica a commencé à mettre en place des fiches d'enregistrement des opérations afin de recueillir des informations sur les rejets et les captures accidentelles de la flottille qui opère dans l'Atlantique. Un plan pilote d'observateurs à bord (humains et électroniques) est en cours de mise en œuvre, qui servira de base à la conception du programme d'observateurs à bord. Nous remercions le SCRS et le Secrétariat pour leur collaboration dans l'organisation d'ateliers de renforcement des capacités afin d'aider le Costa Rica à se conformer aux exigences en matière de déclaration du total des rejets morts et vivants.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ECDDC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049EB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 (aucune donnée n'a été déclarée)</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4AA04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Costa Rica met actuellement en œuvre un projet pilote d'observateurs à bord (humains et électroniques), qui servira de base à la conception du programme d'observateurs à bord.</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F3F26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Costa Rica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62F41" w14:textId="6999C21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6FBD69" w14:textId="377A901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C23518" w14:textId="73F5ADF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BAC4B"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8D732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F12CDF4"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D21D3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Côte d'Ivoire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B7F9D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F85066" w14:textId="133F3E6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121B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80A7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E6DAB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26163A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38572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Côte d'Ivoire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74656F" w14:textId="4AB8F8C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642D3E" w14:textId="3320F6F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2855CD" w14:textId="12AF27C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06EB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553D9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8690C94"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6DFC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Curaçao</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34518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784C6" w14:textId="7C4942F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1D81A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Oui, dans le cas des activités de pêche, Curaçao a normalement des observateurs qui opèrent sur les navires de Curaçao et qui sont formés par l'AZTI.</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31EA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Aucune activité en 2024.</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BC081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B8E69B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B515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Curaçao</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ECAD8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9167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6F9C9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D710AB"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A7325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3FB3A5C" w14:textId="77777777" w:rsidTr="008405D0">
        <w:trPr>
          <w:trHeight w:val="144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0ADF17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Égypte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152D8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0A94C" w14:textId="219BDAC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EBC23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LFRPDA a mené un programme national de formation pour les observateurs locaux des pêcheries d'Égypte sur la collecte et la déclaration des données de l'ICCAT, en collaboration avec l'Institut national d'océanographie et de pêche (NIOF) au cours de la saison de pêche 2025, financé par le Projet d'assistance au renforcement des capacités ICCAT/Japon (phase 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86B0B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3541A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Il a été rejeté par l'IOMS en raison d'erreurs.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C257FB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LFRPDA a mené un programme national de formation pour les observateurs locaux des pêcheries d'Égypte sur la collecte et la déclaration des données de l'ICCAT, en collaboration avec le NIOF au cours de la saison de pêche 2025, financé par le Projet d'assistance au renforcement des capacités ICCAT/Japon (phase 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A1383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Égypte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7752B" w14:textId="352DACA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56D9F2" w14:textId="649643D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40542" w14:textId="73B5E95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7AA7D8"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85CE7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1206F91B"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43F5B4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El Salvador</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9E4BD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D0AA7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 juin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292B0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65103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2C42A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05183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7EEE3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El Salvador</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86887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2015</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2DB25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208D0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CF06F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254AAE7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74A6F91"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55466A" w14:textId="2F17B92F"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B196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8AC73C" w14:textId="7323AE8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0A067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Aucune information à déclarer.</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A6C98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8D9A6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6A40C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43214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UE-Portugal</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1641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A579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10333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8AD27A" w14:textId="1AE32F41"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9B95CF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363EA0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05C656" w14:textId="35F24714"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96A71D" w14:textId="4AC1AF5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95BD28" w14:textId="3AEB1C0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6752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49604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ED74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95E96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2810B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UE-Chypre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6702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2006</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D99E8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A44FE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9A3219" w14:textId="31E18C0F"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80D97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972C451"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B45543" w14:textId="237CE570"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7B73F" w14:textId="0371482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7D9F70" w14:textId="68A002C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A645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C7BFC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15509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C2ABF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D0D0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UE-France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F8E87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2005</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B9FF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PS(ETRO)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345BB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AF2990" w14:textId="4CA94CFD"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DA47F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F24D40A"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CC0FFC9" w14:textId="1B83DEC1"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21A526" w14:textId="2BEA7B1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CC9888E" w14:textId="5D966C6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8A33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9BFD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7216B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DE425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A512D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UE-Grèce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CFFA1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NA</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BA7BE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31340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4,00%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A6A15A" w14:textId="3C2D0D8C"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A88D03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Mise à jour en 2025 mais taux de couverture laissé en blanc</w:t>
            </w:r>
          </w:p>
        </w:tc>
      </w:tr>
      <w:tr w:rsidR="00B06882" w:rsidRPr="00B06882" w14:paraId="2F585631"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B8B9541" w14:textId="2EC9FE04"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99C5C" w14:textId="5D817A59"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201C50" w14:textId="6EC94710"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AE6F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AAF9D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F160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3CE67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2D1A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UE-Croatie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11CCC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E90731" w14:textId="48424CE5"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RR, 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5BF09" w14:textId="24C6BFE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3EAD1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283FA4A" w14:textId="7F2A4A77" w:rsidR="0014152F" w:rsidRPr="00B06882" w:rsidRDefault="00865A75"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Données</w:t>
            </w:r>
            <w:r w:rsidR="0014152F" w:rsidRPr="00B06882">
              <w:rPr>
                <w:rFonts w:ascii="Cambria" w:hAnsi="Cambria"/>
                <w:sz w:val="16"/>
                <w:szCs w:val="16"/>
              </w:rPr>
              <w:t xml:space="preserve"> d'observateurs déclarées pour ces flottilles, mais pas de taux de couverture</w:t>
            </w:r>
          </w:p>
        </w:tc>
      </w:tr>
      <w:tr w:rsidR="00B06882" w:rsidRPr="00B06882" w14:paraId="095977A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D10C2D" w14:textId="0992D425"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CD0651" w14:textId="4B3F835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847D0" w14:textId="3AB831F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67D01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7519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F2912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6B884C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CB865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UE-Italie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C7CC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7CF18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TP</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4BC50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 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37636" w14:textId="794C731B"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r w:rsidR="0014152F" w:rsidRPr="00B06882">
              <w:rPr>
                <w:rFonts w:ascii="Cambria" w:hAnsi="Cambria"/>
                <w:sz w:val="16"/>
                <w:szCs w:val="16"/>
              </w:rPr>
              <w:t xml:space="preserve">, </w:t>
            </w: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6AE46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63D9426" w14:textId="77777777" w:rsidTr="008405D0">
        <w:trPr>
          <w:trHeight w:val="96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72C81FF" w14:textId="6E4D1F9A"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eastAsia="Times New Roman" w:hAnsi="Cambria" w:cs="Times New Roman"/>
                <w:kern w:val="0"/>
                <w:sz w:val="14"/>
                <w:szCs w:val="14"/>
                <w14:ligatures w14:val="none"/>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83D3B3" w14:textId="5E9FA19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5D5F7A" w14:textId="4762967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24C94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A694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B6BE3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EACE90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74743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UE-Irlande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BC86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63466B" w14:textId="77BD957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916983" w14:textId="3F1C53D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99CF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58339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Aucune donnée d'observateur n'a été collectée pour la pêcherie ALB en 2024. De plus amples détails sur les raisons de cette situation et les plans pour y remédier dans les années à venir seront inclus dans la section 2 du rapport annuel du Royaume-Uni. </w:t>
            </w:r>
          </w:p>
        </w:tc>
      </w:tr>
      <w:tr w:rsidR="00B06882" w:rsidRPr="00B06882" w14:paraId="68484F8F"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26E46B" w14:textId="16C241A1"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5D787" w14:textId="2D06DBA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FA3D25" w14:textId="2C325D9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88BE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B35F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822EE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4E3C8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7483A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UE-Malte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EC30A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13685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9673D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0,15%</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E7260C" w14:textId="6F00195B"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AB688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1CD2E5BB"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60E8F9" w14:textId="1C37D4C1" w:rsidR="0014152F" w:rsidRPr="00B06882" w:rsidRDefault="003D20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D678F8" w14:textId="7B2629B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EB73C5" w14:textId="233D635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C536D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D4B94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D4D25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95ABD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D5FD3" w14:textId="6194A8C9"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4"/>
                <w:szCs w:val="14"/>
              </w:rPr>
              <w:t>U</w:t>
            </w:r>
            <w:r w:rsidR="006047FF" w:rsidRPr="00B06882">
              <w:rPr>
                <w:rFonts w:ascii="Cambria" w:hAnsi="Cambria"/>
                <w:sz w:val="14"/>
                <w:szCs w:val="14"/>
              </w:rPr>
              <w:t>E-</w:t>
            </w:r>
            <w:r w:rsidRPr="00B06882">
              <w:rPr>
                <w:rFonts w:ascii="Cambria" w:hAnsi="Cambria"/>
                <w:sz w:val="14"/>
                <w:szCs w:val="14"/>
              </w:rPr>
              <w:t>Portugal</w:t>
            </w:r>
            <w:r w:rsidRPr="00B06882">
              <w:rPr>
                <w:rFonts w:ascii="Cambria" w:hAnsi="Cambria"/>
                <w:sz w:val="16"/>
                <w:szCs w:val="16"/>
              </w:rPr>
              <w:t xml:space="preserve"> Madère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81CE8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DD300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BB</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8DA6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F9B68" w14:textId="3C8FBA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w:t>
            </w:r>
            <w:r w:rsidR="00A54D45" w:rsidRPr="00B06882">
              <w:rPr>
                <w:rFonts w:ascii="Cambria" w:hAnsi="Cambria"/>
                <w:sz w:val="16"/>
                <w:szCs w:val="16"/>
              </w:rPr>
              <w:t xml:space="preserve">º of </w:t>
            </w:r>
            <w:proofErr w:type="spellStart"/>
            <w:r w:rsidR="00A54D45" w:rsidRPr="00B06882">
              <w:rPr>
                <w:rFonts w:ascii="Cambria" w:hAnsi="Cambria"/>
                <w:sz w:val="16"/>
                <w:szCs w:val="16"/>
              </w:rPr>
              <w:t>vessels</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D698D2B" w14:textId="14E6D44E" w:rsidR="0014152F" w:rsidRPr="00B06882" w:rsidRDefault="00865A75"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Sur</w:t>
            </w:r>
            <w:r w:rsidR="0014152F" w:rsidRPr="00B06882">
              <w:rPr>
                <w:rFonts w:ascii="Cambria" w:hAnsi="Cambria"/>
                <w:sz w:val="16"/>
                <w:szCs w:val="16"/>
              </w:rPr>
              <w:t xml:space="preserve"> la base de la soumission </w:t>
            </w:r>
            <w:r w:rsidR="003D2086" w:rsidRPr="00B06882">
              <w:rPr>
                <w:rFonts w:ascii="Cambria" w:hAnsi="Cambria"/>
                <w:sz w:val="16"/>
                <w:szCs w:val="16"/>
              </w:rPr>
              <w:t xml:space="preserve">du </w:t>
            </w:r>
            <w:r w:rsidR="0014152F" w:rsidRPr="00B06882">
              <w:rPr>
                <w:rFonts w:ascii="Cambria" w:hAnsi="Cambria"/>
                <w:sz w:val="16"/>
                <w:szCs w:val="16"/>
              </w:rPr>
              <w:t>ST11 de 2019. Pas de données soumises pour le ratio de couverture HL</w:t>
            </w:r>
          </w:p>
        </w:tc>
      </w:tr>
      <w:tr w:rsidR="00B06882" w:rsidRPr="00B06882" w14:paraId="5BAA942F"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EA944" w14:textId="40BB58A4"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w:t>
            </w:r>
            <w:r w:rsidR="003E1C1D" w:rsidRPr="00B06882">
              <w:rPr>
                <w:rFonts w:ascii="Cambria" w:hAnsi="Cambria"/>
                <w:sz w:val="16"/>
                <w:szCs w:val="16"/>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A04E0D" w14:textId="021ABE87"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DF12F9" w14:textId="0517DEC4"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E7DAE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4F6D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3DFDF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454D7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B8B7E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UE-Espagne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4CAB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2020</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1196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PS</w:t>
            </w:r>
            <w:r w:rsidRPr="00B06882">
              <w:rPr>
                <w:rFonts w:ascii="Cambria" w:hAnsi="Cambria"/>
                <w:sz w:val="14"/>
                <w:szCs w:val="14"/>
              </w:rPr>
              <w:t>(ETRO)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897A1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6%, 53%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1D71C3" w14:textId="196A9C1E"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r w:rsidR="0014152F" w:rsidRPr="00B06882">
              <w:rPr>
                <w:rFonts w:ascii="Cambria" w:hAnsi="Cambria"/>
                <w:sz w:val="16"/>
                <w:szCs w:val="16"/>
              </w:rPr>
              <w:t xml:space="preserve">, </w:t>
            </w: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A2228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E58478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C89A5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France (SPM)</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D5BD2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6F20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8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128A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08/07/2025. Pas de navire scientifique d'observation.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25F2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C9EB2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4F450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1731A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France (SPM)</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87190" w14:textId="3444ACB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898D5D" w14:textId="3CCA50E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00D991" w14:textId="388D8A6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A74CAA"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35106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632BADF"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EBACF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Gabon</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58144A" w14:textId="570BF65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0F456E" w14:textId="7FC9AB7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E7723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4847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2B7C3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D49046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3B972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Gabon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226691" w14:textId="49A3284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C5B9BE" w14:textId="2904446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738B88" w14:textId="23C0DDD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BCD49F"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35A71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789A135"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7FC81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Gambie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2C2739" w14:textId="00F560E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E97BC4" w14:textId="76C4D3A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DE1A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076AA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3B3C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65BA9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B3AA5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Gambie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99A424" w14:textId="134DC57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AD432" w14:textId="390C34D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B30D9" w14:textId="2453CF8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BDAE86"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DDD45A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1670DAE1"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3D1DE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Ghana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B19D9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73579" w14:textId="77F836E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B1C5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Rapport annuel</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0B87C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4CA7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803A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71285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Ghana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26339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2006</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958CA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 BB</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41E55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67,00%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8326A" w14:textId="400D2CD1" w:rsidR="0014152F" w:rsidRPr="00B06882" w:rsidRDefault="007E72F9"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xml:space="preserve">Nº of </w:t>
            </w:r>
            <w:proofErr w:type="spellStart"/>
            <w:r w:rsidRPr="00B06882">
              <w:rPr>
                <w:rFonts w:ascii="Cambria" w:hAnsi="Cambria"/>
                <w:sz w:val="16"/>
                <w:szCs w:val="16"/>
              </w:rPr>
              <w:t>vessels</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282F75B" w14:textId="1471C60E" w:rsidR="0014152F" w:rsidRPr="00B06882" w:rsidRDefault="006047F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Sur</w:t>
            </w:r>
            <w:r w:rsidR="0014152F" w:rsidRPr="00B06882">
              <w:rPr>
                <w:rFonts w:ascii="Cambria" w:hAnsi="Cambria"/>
                <w:sz w:val="16"/>
                <w:szCs w:val="16"/>
              </w:rPr>
              <w:t xml:space="preserve"> la base de la soumission </w:t>
            </w:r>
            <w:r w:rsidR="00973377" w:rsidRPr="00B06882">
              <w:rPr>
                <w:rFonts w:ascii="Cambria" w:hAnsi="Cambria"/>
                <w:sz w:val="16"/>
                <w:szCs w:val="16"/>
              </w:rPr>
              <w:t xml:space="preserve">du </w:t>
            </w:r>
            <w:r w:rsidR="0014152F" w:rsidRPr="00B06882">
              <w:rPr>
                <w:rFonts w:ascii="Cambria" w:hAnsi="Cambria"/>
                <w:sz w:val="16"/>
                <w:szCs w:val="16"/>
              </w:rPr>
              <w:t>ST11 de 2017. Un seul chiffre déclaré pour les deux flottilles PS et BB</w:t>
            </w:r>
          </w:p>
        </w:tc>
      </w:tr>
      <w:tr w:rsidR="00B06882" w:rsidRPr="00B06882" w14:paraId="452D0A89"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48202F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Guatemala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B7615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F251F" w14:textId="085E632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FE52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Non applicable. Le Guatemala ne dispose pas de petits navires et n'a pas de programme d'observateurs scientifiques.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673A0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28DF4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B097E81" w14:textId="1E5F2925"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Guatemala ne dispose pas de petits navires et n'a pas de programme d'observateurs scientifiques.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6F60E"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Guatemala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A2CB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73043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646C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45,00%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85A64B"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4963F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31EDA5B"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85FF4C9" w14:textId="77777777"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 xml:space="preserve">Guinée équatoriale </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3EB1FC" w14:textId="6092BEA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3F1120" w14:textId="280DB98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80C6C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56851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C205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0B2704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8AC54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Guinée </w:t>
            </w:r>
            <w:r w:rsidRPr="00B06882">
              <w:rPr>
                <w:rFonts w:ascii="Cambria" w:hAnsi="Cambria"/>
                <w:sz w:val="14"/>
                <w:szCs w:val="14"/>
              </w:rPr>
              <w:t xml:space="preserve">équatoriale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F6BC5" w14:textId="299C9E7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62DC5" w14:textId="3E4C78E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66CA29" w14:textId="16C81FF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6680C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D6826B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453BB98"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907FF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Guinée Bissau</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94E6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91263F" w14:textId="3193A0B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5298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Guinée-Bissau ne possède pas de navires de pêche au thon. Non applicable.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C64C5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6BD04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3229E8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Guinée-Bissau ne possède pas de navires de pêche au thon.</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9176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Guinée Bissau</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3D39D" w14:textId="78777B2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9F7FD" w14:textId="167F614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FB8976" w14:textId="2FC4E2F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D56AE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C73F80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354D606"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C4C11C" w14:textId="77777777"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République de Guinée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30FC94" w14:textId="78A9E75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69674" w14:textId="0789BEE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D6AE1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0986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441D5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26254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Pas de raison à l’absence de soumission, seulement la date de soumission du rapport annuel. Toutefois, aucun formulaire ST09 n’a été envoyé.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705DF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4"/>
                <w:szCs w:val="14"/>
              </w:rPr>
              <w:t>République</w:t>
            </w:r>
            <w:r w:rsidRPr="00B06882">
              <w:rPr>
                <w:rFonts w:ascii="Cambria" w:hAnsi="Cambria"/>
                <w:sz w:val="16"/>
                <w:szCs w:val="16"/>
              </w:rPr>
              <w:t xml:space="preserve"> de Guinée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D0E841" w14:textId="1ABCEED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6AC932" w14:textId="2F444B0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57D39" w14:textId="69FF9DA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1C98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C0C8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9B3D850"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E6B46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Guyana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A30411" w14:textId="291DAB0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DFF2BD" w14:textId="4A6CD09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0327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C2DF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B009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A287B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3DF9D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Guyana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A6459C" w14:textId="5D23C69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C9345D" w14:textId="0E4F82B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EA7A3A" w14:textId="1B56235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5FBD85"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F6558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5AACF0E"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74BA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Honduras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D168F" w14:textId="7237406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375932" w14:textId="4B8B580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5A68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B39C2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7A8D1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082734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Honduras ne dispose actuellement pas de navires de pêche autorisés à capturer des espèces ICCAT.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8C79A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Honduras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23CB04" w14:textId="4086347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04001" w14:textId="52965BF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44141" w14:textId="6D5284F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181AC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C7242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F0AC1E9"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CFD6C5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Islande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313DD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E0F7D" w14:textId="3BBC9AD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4F2A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Ne dispose pas de pêcheries de cette nature.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1E762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A8269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E2A7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0F80AE"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Islande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C85334" w14:textId="7797C07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CAA04" w14:textId="11C3019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327CD" w14:textId="012006C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A8B3A"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DDBDE3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En 2024, les navires islandais n'opèrent aucune pêcherie directe de l’ICCAT. Il n’y a aucune donnée à déclarer.</w:t>
            </w:r>
          </w:p>
        </w:tc>
      </w:tr>
      <w:tr w:rsidR="00B06882" w:rsidRPr="00B06882" w14:paraId="1AE20FC0"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341FEA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Japon</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D316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760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 septembre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46FCE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6139D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55D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1B5F4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210D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Japon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EDB65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1992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7A041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FC05A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1B819"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4B08E8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F7334D7"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A7A94B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Corée (</w:t>
            </w:r>
            <w:proofErr w:type="spellStart"/>
            <w:r w:rsidRPr="00B06882">
              <w:rPr>
                <w:rFonts w:ascii="Cambria" w:hAnsi="Cambria"/>
                <w:sz w:val="16"/>
                <w:szCs w:val="16"/>
              </w:rPr>
              <w:t>Rép</w:t>
            </w:r>
            <w:proofErr w:type="spellEnd"/>
            <w:r w:rsidRPr="00B06882">
              <w:rPr>
                <w:rFonts w:ascii="Cambria" w:hAnsi="Cambria"/>
                <w:sz w:val="16"/>
                <w:szCs w:val="16"/>
              </w:rPr>
              <w:t>.)</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A8641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14628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15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14BA4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3AD21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B95B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CAD4D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53EEC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Corée (</w:t>
            </w:r>
            <w:proofErr w:type="spellStart"/>
            <w:r w:rsidRPr="00B06882">
              <w:rPr>
                <w:rFonts w:ascii="Cambria" w:hAnsi="Cambria"/>
                <w:sz w:val="16"/>
                <w:szCs w:val="16"/>
              </w:rPr>
              <w:t>Rép</w:t>
            </w:r>
            <w:proofErr w:type="spellEnd"/>
            <w:r w:rsidRPr="00B06882">
              <w:rPr>
                <w:rFonts w:ascii="Cambria" w:hAnsi="Cambria"/>
                <w:sz w:val="16"/>
                <w:szCs w:val="16"/>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FB5A3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C11D1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84DF4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14%</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69949"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9E34DF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C32F0B4"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895617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Liberia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C9495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FFF3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27 août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BE2AE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FF46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CFADD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4DFC0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BA03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Liberia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CD6259" w14:textId="13BFDCD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42D58F" w14:textId="44B181E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07B800" w14:textId="68D11A7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A4C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4012D4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4E567D4"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949299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Libye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CD7DF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664D2B" w14:textId="4D8E3BC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AB155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d'information concernant la Rec.16-14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E25E3" w14:textId="4A6B4C2B"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réponse doit être </w:t>
            </w:r>
            <w:r w:rsidR="00AB6F96" w:rsidRPr="00B06882">
              <w:rPr>
                <w:rFonts w:ascii="Cambria" w:hAnsi="Cambria"/>
                <w:sz w:val="16"/>
                <w:szCs w:val="16"/>
              </w:rPr>
              <w:t>O</w:t>
            </w:r>
            <w:r w:rsidR="00386F7D" w:rsidRPr="00B06882">
              <w:rPr>
                <w:rFonts w:ascii="Cambria" w:hAnsi="Cambria"/>
                <w:sz w:val="16"/>
                <w:szCs w:val="16"/>
              </w:rPr>
              <w:t>ui</w:t>
            </w:r>
            <w:r w:rsidRPr="00B06882">
              <w:rPr>
                <w:rFonts w:ascii="Cambria" w:hAnsi="Cambria"/>
                <w:sz w:val="16"/>
                <w:szCs w:val="16"/>
              </w:rPr>
              <w:t xml:space="preserve">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E03E4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C2B25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4181EF"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Libye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29A1A" w14:textId="4287F9C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7E8215" w14:textId="38F1183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120AB" w14:textId="143B507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5F0D13"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855A4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C82B36B"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FCD0A8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Maroc</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19C71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F6B1D7" w14:textId="6498D25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1156B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Document SCRS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3809D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DD42E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5CB00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D9A5AE"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Maroc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B5D35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95CE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D57B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5%</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4AECD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86D848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CE814E3"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D29F16D" w14:textId="77777777"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Mauritanie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1FCF7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670583" w14:textId="55C9DCD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4B410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Mauritanie n'est pas concernée en l’absence de flottille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0AFD4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A3E5D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BB60AE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Mauritanie n'est pas concernée en l'absence de flottille.</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CE166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Mauritanie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3EC50F" w14:textId="758505D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1AC784" w14:textId="428AFEE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64B81D" w14:textId="6961F90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F83457"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FC8E3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727A0D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E764AE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Mexique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24D5F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222C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7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6DEEC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6E667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5DCE1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7AFD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E22F3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Mexique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91AF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CCE12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E68A6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598211"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DF936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52201D" w:rsidRPr="00B06882" w14:paraId="5494DA5F"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652A662" w14:textId="77777777" w:rsidR="0052201D" w:rsidRPr="00B06882" w:rsidRDefault="0052201D" w:rsidP="0052201D">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Namibie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5D9B0" w14:textId="77777777" w:rsidR="0052201D" w:rsidRPr="00B06882" w:rsidRDefault="0052201D" w:rsidP="0052201D">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D17D8" w14:textId="3C294B3E" w:rsidR="0052201D" w:rsidRPr="00B06882" w:rsidRDefault="0052201D" w:rsidP="0052201D">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C88A51" w14:textId="77777777" w:rsidR="0052201D" w:rsidRPr="00B06882" w:rsidRDefault="0052201D" w:rsidP="0052201D">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15 juillet 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6F1EE4" w14:textId="77777777" w:rsidR="0052201D" w:rsidRPr="00B06882" w:rsidRDefault="0052201D" w:rsidP="0052201D">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00E606" w14:textId="77777777" w:rsidR="0052201D" w:rsidRPr="00B06882" w:rsidRDefault="0052201D" w:rsidP="0052201D">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9853BD1" w14:textId="77777777" w:rsidR="0052201D" w:rsidRPr="00B06882" w:rsidRDefault="0052201D" w:rsidP="0052201D">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5466EA" w14:textId="77777777" w:rsidR="0052201D" w:rsidRPr="00B06882" w:rsidRDefault="0052201D" w:rsidP="0052201D">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Namibie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FCFC5E" w14:textId="243581B9" w:rsidR="0052201D" w:rsidRPr="00235810" w:rsidRDefault="0052201D" w:rsidP="0052201D">
            <w:pPr>
              <w:spacing w:after="0" w:line="240" w:lineRule="auto"/>
              <w:jc w:val="center"/>
              <w:rPr>
                <w:rFonts w:ascii="Cambria" w:eastAsia="Times New Roman" w:hAnsi="Cambria" w:cs="Times New Roman"/>
                <w:kern w:val="0"/>
                <w:sz w:val="16"/>
                <w:szCs w:val="16"/>
                <w:lang w:val="en-GB" w:eastAsia="en-GB"/>
                <w14:ligatures w14:val="none"/>
              </w:rPr>
            </w:pPr>
            <w:r w:rsidRPr="00235810">
              <w:rPr>
                <w:rFonts w:ascii="Cambia" w:eastAsia="Times New Roman" w:hAnsi="Cambia" w:cs="Times New Roman"/>
                <w:color w:val="000000"/>
                <w:kern w:val="0"/>
                <w:sz w:val="16"/>
                <w:szCs w:val="16"/>
                <w:highlight w:val="yellow"/>
                <w:u w:val="single"/>
                <w:lang w:val="en-GB" w:eastAsia="en-GB"/>
                <w14:ligatures w14:val="none"/>
              </w:rPr>
              <w:t>1991</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6A886E" w14:textId="33BE6329" w:rsidR="0052201D" w:rsidRPr="00235810" w:rsidRDefault="0052201D" w:rsidP="0052201D">
            <w:pPr>
              <w:spacing w:after="0" w:line="240" w:lineRule="auto"/>
              <w:jc w:val="center"/>
              <w:rPr>
                <w:rFonts w:ascii="Cambria" w:eastAsia="Times New Roman" w:hAnsi="Cambria" w:cs="Times New Roman"/>
                <w:kern w:val="0"/>
                <w:sz w:val="16"/>
                <w:szCs w:val="16"/>
                <w:lang w:val="en-GB" w:eastAsia="en-GB"/>
                <w14:ligatures w14:val="none"/>
              </w:rPr>
            </w:pPr>
            <w:r w:rsidRPr="00235810">
              <w:rPr>
                <w:rFonts w:ascii="Cambia" w:eastAsia="Times New Roman" w:hAnsi="Cambia" w:cs="Times New Roman"/>
                <w:color w:val="000000"/>
                <w:kern w:val="0"/>
                <w:sz w:val="16"/>
                <w:szCs w:val="16"/>
                <w:highlight w:val="yellow"/>
                <w:u w:val="single"/>
                <w:lang w:val="en-GB" w:eastAsia="en-GB"/>
                <w14:ligatures w14:val="none"/>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0951C" w14:textId="525E3349" w:rsidR="0052201D" w:rsidRPr="00235810" w:rsidRDefault="0052201D" w:rsidP="0052201D">
            <w:pPr>
              <w:spacing w:after="0" w:line="240" w:lineRule="auto"/>
              <w:jc w:val="center"/>
              <w:rPr>
                <w:rFonts w:ascii="Cambria" w:eastAsia="Times New Roman" w:hAnsi="Cambria" w:cs="Times New Roman"/>
                <w:kern w:val="0"/>
                <w:sz w:val="16"/>
                <w:szCs w:val="16"/>
                <w:lang w:val="en-GB" w:eastAsia="en-GB"/>
                <w14:ligatures w14:val="none"/>
              </w:rPr>
            </w:pPr>
            <w:r w:rsidRPr="00235810">
              <w:rPr>
                <w:rFonts w:ascii="Cambia" w:eastAsia="Times New Roman" w:hAnsi="Cambia" w:cs="Times New Roman"/>
                <w:color w:val="000000"/>
                <w:kern w:val="0"/>
                <w:sz w:val="16"/>
                <w:szCs w:val="16"/>
                <w:highlight w:val="yellow"/>
                <w:u w:val="single"/>
                <w:lang w:val="en-GB" w:eastAsia="en-GB"/>
                <w14:ligatures w14:val="none"/>
              </w:rPr>
              <w:t>43</w:t>
            </w:r>
            <w:r w:rsidR="008C3D5A">
              <w:rPr>
                <w:rFonts w:ascii="Cambia" w:eastAsia="Times New Roman" w:hAnsi="Cambia" w:cs="Times New Roman"/>
                <w:color w:val="000000"/>
                <w:kern w:val="0"/>
                <w:sz w:val="16"/>
                <w:szCs w:val="16"/>
                <w:highlight w:val="yellow"/>
                <w:u w:val="single"/>
                <w:lang w:val="en-GB" w:eastAsia="en-GB"/>
                <w14:ligatures w14:val="none"/>
              </w:rPr>
              <w:t>,</w:t>
            </w:r>
            <w:r w:rsidRPr="00235810">
              <w:rPr>
                <w:rFonts w:ascii="Cambia" w:eastAsia="Times New Roman" w:hAnsi="Cambia" w:cs="Times New Roman"/>
                <w:color w:val="000000"/>
                <w:kern w:val="0"/>
                <w:sz w:val="16"/>
                <w:szCs w:val="16"/>
                <w:highlight w:val="yellow"/>
                <w:u w:val="single"/>
                <w:lang w:val="en-GB" w:eastAsia="en-GB"/>
                <w14:ligatures w14:val="none"/>
              </w:rPr>
              <w:t>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65595F" w14:textId="530CE8F5" w:rsidR="0052201D" w:rsidRPr="00235810" w:rsidRDefault="0052201D" w:rsidP="0052201D">
            <w:pPr>
              <w:spacing w:after="0" w:line="240" w:lineRule="auto"/>
              <w:jc w:val="center"/>
              <w:rPr>
                <w:rFonts w:ascii="Cambria" w:eastAsia="Times New Roman" w:hAnsi="Cambria" w:cs="Times New Roman"/>
                <w:kern w:val="0"/>
                <w:sz w:val="16"/>
                <w:szCs w:val="16"/>
                <w14:ligatures w14:val="none"/>
              </w:rPr>
            </w:pPr>
            <w:proofErr w:type="spellStart"/>
            <w:r w:rsidRPr="00235810">
              <w:rPr>
                <w:rFonts w:ascii="Cambia" w:eastAsia="Times New Roman" w:hAnsi="Cambia" w:cs="Times New Roman"/>
                <w:color w:val="000000"/>
                <w:kern w:val="0"/>
                <w:sz w:val="16"/>
                <w:szCs w:val="16"/>
                <w:highlight w:val="yellow"/>
                <w:u w:val="single"/>
                <w:lang w:val="en-GB" w:eastAsia="en-GB"/>
                <w14:ligatures w14:val="none"/>
              </w:rPr>
              <w:t>Ntrip</w:t>
            </w:r>
            <w:proofErr w:type="spellEnd"/>
            <w:r w:rsidRPr="00235810">
              <w:rPr>
                <w:rFonts w:ascii="Cambia" w:eastAsia="Times New Roman" w:hAnsi="Cambia" w:cs="Times New Roman"/>
                <w:color w:val="000000"/>
                <w:kern w:val="0"/>
                <w:sz w:val="16"/>
                <w:szCs w:val="16"/>
                <w:highlight w:val="yellow"/>
                <w:u w:val="single"/>
                <w:lang w:val="en-GB" w:eastAsia="en-GB"/>
                <w14:ligatures w14:val="none"/>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25147" w14:textId="77777777" w:rsidR="0052201D" w:rsidRPr="00B06882" w:rsidRDefault="0052201D" w:rsidP="0052201D">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A834FF3" w14:textId="77777777" w:rsidTr="008405D0">
        <w:trPr>
          <w:trHeight w:val="96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8A569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Nicaragua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289DC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A64C5" w14:textId="1738530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87BF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Non applicable. (Le Nicaragua n'a pas recueilli d'informations dans le cadre des observateurs nationaux pour la pêche au thon, car il n'exploite actuellement aucune flottille de pêche dans la zone de la Convention).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84E2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Absence de pêcherie.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DB1A7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92269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N/A (le Nicaragua n’a pas collecté d’informations dans le cadre des observateurs nationaux pour la pêche au thon car aucune flottille de pêche n’opère actuellement dans la zone de la Convention).</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DF118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Nicaragua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B10584" w14:textId="4EFEB60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D9B1A" w14:textId="710750C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421D7" w14:textId="40B2BCF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B3167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709EA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AEAAF0E"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A9EEA9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Nigeria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9B012C" w14:textId="4CAF6C5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88A5B0" w14:textId="66D614A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492D5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5CA19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 A déclaré qu’il n’y avait aucune activité</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AF1E6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E2E306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02F22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Nigeria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116245" w14:textId="1C9AC27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3B433" w14:textId="2407D4C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54FF23" w14:textId="5B79AA1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CD03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5D64A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54E19201" w14:textId="77777777" w:rsidTr="002C3CB7">
        <w:trPr>
          <w:trHeight w:val="1233"/>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84AB73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Norvège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411C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09B8E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15 février 2019</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06908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Ces informations sont fournies dans la partie II, section 4 du rapport annuel norvégien.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E3E14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45AD2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111EB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D33E8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Norvège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171F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D024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5DC59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27%, 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33E7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r w:rsidRPr="00B06882">
              <w:rPr>
                <w:rFonts w:ascii="Cambria" w:hAnsi="Cambria"/>
                <w:sz w:val="16"/>
                <w:szCs w:val="16"/>
              </w:rPr>
              <w:t xml:space="preserve">, </w:t>
            </w: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FABE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A701BCD"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CAB243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Panama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8B1A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E57BD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21 juillet 2023</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CCA4E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DFC5F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A01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E2E47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648E44"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Panama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B28E0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33306A" w14:textId="77777777" w:rsidR="00F04D3A" w:rsidRPr="00B06882" w:rsidRDefault="0014152F" w:rsidP="005A43DB">
            <w:pPr>
              <w:spacing w:after="0" w:line="240" w:lineRule="auto"/>
              <w:jc w:val="center"/>
              <w:rPr>
                <w:rFonts w:ascii="Cambria" w:hAnsi="Cambria"/>
                <w:sz w:val="16"/>
                <w:szCs w:val="16"/>
              </w:rPr>
            </w:pPr>
            <w:r w:rsidRPr="00B06882">
              <w:rPr>
                <w:rFonts w:ascii="Cambria" w:hAnsi="Cambria"/>
                <w:sz w:val="16"/>
                <w:szCs w:val="16"/>
              </w:rPr>
              <w:t>LL,</w:t>
            </w:r>
          </w:p>
          <w:p w14:paraId="50F1E9E0" w14:textId="77777777" w:rsidR="00F04D3A" w:rsidRPr="00B06882" w:rsidRDefault="0014152F" w:rsidP="005A43DB">
            <w:pPr>
              <w:spacing w:after="0" w:line="240" w:lineRule="auto"/>
              <w:jc w:val="center"/>
              <w:rPr>
                <w:rFonts w:ascii="Cambria" w:hAnsi="Cambria"/>
                <w:sz w:val="16"/>
                <w:szCs w:val="16"/>
              </w:rPr>
            </w:pPr>
            <w:r w:rsidRPr="00B06882">
              <w:rPr>
                <w:rFonts w:ascii="Cambria" w:hAnsi="Cambria"/>
                <w:sz w:val="16"/>
                <w:szCs w:val="16"/>
              </w:rPr>
              <w:t>PS,</w:t>
            </w:r>
          </w:p>
          <w:p w14:paraId="57FFC61C" w14:textId="62722B3F"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xml:space="preserve"> PS, PS(ETRO)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F5C8FB" w14:textId="77777777" w:rsidR="00491E05" w:rsidRPr="00B06882" w:rsidRDefault="0014152F" w:rsidP="005A43DB">
            <w:pPr>
              <w:spacing w:after="0" w:line="240" w:lineRule="auto"/>
              <w:jc w:val="center"/>
              <w:rPr>
                <w:rFonts w:ascii="Cambria" w:hAnsi="Cambria"/>
                <w:sz w:val="16"/>
                <w:szCs w:val="16"/>
              </w:rPr>
            </w:pPr>
            <w:r w:rsidRPr="00B06882">
              <w:rPr>
                <w:rFonts w:ascii="Cambria" w:hAnsi="Cambria"/>
                <w:sz w:val="16"/>
                <w:szCs w:val="16"/>
              </w:rPr>
              <w:t xml:space="preserve">11%, </w:t>
            </w:r>
          </w:p>
          <w:p w14:paraId="5C3B51FC" w14:textId="77777777" w:rsidR="00491E05" w:rsidRPr="00B06882" w:rsidRDefault="0014152F" w:rsidP="005A43DB">
            <w:pPr>
              <w:spacing w:after="0" w:line="240" w:lineRule="auto"/>
              <w:jc w:val="center"/>
              <w:rPr>
                <w:rFonts w:ascii="Cambria" w:hAnsi="Cambria"/>
                <w:sz w:val="16"/>
                <w:szCs w:val="16"/>
              </w:rPr>
            </w:pPr>
            <w:r w:rsidRPr="00B06882">
              <w:rPr>
                <w:rFonts w:ascii="Cambria" w:hAnsi="Cambria"/>
                <w:sz w:val="16"/>
                <w:szCs w:val="16"/>
              </w:rPr>
              <w:t xml:space="preserve">78%, </w:t>
            </w:r>
          </w:p>
          <w:p w14:paraId="0A600E05" w14:textId="152C36B4"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 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06943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r w:rsidRPr="00B06882">
              <w:rPr>
                <w:rFonts w:ascii="Cambria" w:hAnsi="Cambria"/>
                <w:sz w:val="16"/>
                <w:szCs w:val="16"/>
              </w:rPr>
              <w:t xml:space="preserve">, </w:t>
            </w:r>
            <w:proofErr w:type="spellStart"/>
            <w:r w:rsidRPr="00B06882">
              <w:rPr>
                <w:rFonts w:ascii="Cambria" w:hAnsi="Cambria"/>
                <w:sz w:val="16"/>
                <w:szCs w:val="16"/>
              </w:rPr>
              <w:t>Nset</w:t>
            </w:r>
            <w:proofErr w:type="spellEnd"/>
            <w:r w:rsidRPr="00B06882">
              <w:rPr>
                <w:rFonts w:ascii="Cambria" w:hAnsi="Cambria"/>
                <w:sz w:val="16"/>
                <w:szCs w:val="16"/>
              </w:rPr>
              <w:t xml:space="preserve">, </w:t>
            </w:r>
            <w:proofErr w:type="spellStart"/>
            <w:r w:rsidRPr="00B06882">
              <w:rPr>
                <w:rFonts w:ascii="Cambria" w:hAnsi="Cambria"/>
                <w:sz w:val="16"/>
                <w:szCs w:val="16"/>
              </w:rPr>
              <w:t>Ntrip</w:t>
            </w:r>
            <w:proofErr w:type="spellEnd"/>
            <w:r w:rsidRPr="00B06882">
              <w:rPr>
                <w:rFonts w:ascii="Cambria" w:hAnsi="Cambria"/>
                <w:sz w:val="16"/>
                <w:szCs w:val="16"/>
              </w:rPr>
              <w:t xml:space="preserve">, </w:t>
            </w: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171810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75759BF"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9E73FBF" w14:textId="77777777"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Philippines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545A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EB5AB" w14:textId="3DE30DB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C475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Non applicable. Cette CPC n'a pas de flottille active dans la zone de la Convention ICCAT de 2015 à nos jours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E90BB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Absence de pêcherie.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72B5F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BC43DD" w14:textId="6AC50C08"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Les Philippines n’ont pas de flottille active dans la zone de la Convention ICCAT de 2015 à nos jours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843B6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Philippines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E8524F" w14:textId="78238D2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AA83C1" w14:textId="657FBE4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8D61E7" w14:textId="70B375E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185C7"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A5F93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080BB9D"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D1AE44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Russie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B372B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44E64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14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2AE5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Les observateurs ont couvert 13% des jours de pêche au chalut (14 juillet 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27588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7C4F3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F6F95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7958F"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Fédération de Russie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C14F7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12564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TW</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84629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6B157"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E2DD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55F1F7FB"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A463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Sao Tomé-et-Principe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5446BC" w14:textId="00DD12D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2A47DB" w14:textId="4A92883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1360D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61DF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68B07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46014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B97A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Sao Tomé-et-Principe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57E24" w14:textId="06EBBC6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505D1" w14:textId="2FBFA73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CFB7E" w14:textId="667DCF2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28DF13"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02AE9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AF5D54C" w14:textId="77777777" w:rsidTr="008405D0">
        <w:trPr>
          <w:trHeight w:val="96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EC3397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Sénégal</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7F750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BA34C3" w14:textId="7280722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86E9C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L'embarquement des observateurs est effectif sur les navires thoniers senneurs et toutes les informations collectées ont été soumises à travers le formulaire ST09</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3D92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6D8C4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AC1A1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73014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Sénégal</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05282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364A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99ECE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41,00%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2252A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C8B5D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8DCEC7C"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404A1A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Sierra Leone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BB0DE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10A577" w14:textId="44A9448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A8A49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Sierra Leone n'a pas d'observateurs à bord de thoniers.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BE1C7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56567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3F381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Sierra Leone n'a pas d'observateurs à bord de thoniers.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58C10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Sierra Leone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F2483E" w14:textId="1CA8B41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CA4192" w14:textId="0380E88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427015" w14:textId="0365695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D29AA3"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83443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54D37CDC"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E69509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Afrique du Sud</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44F71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C7DF2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15 septembre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C9DFE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Inclus dans le rapport annuel (scientifique)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9F3B8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BB236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F48ED5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C6302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Afrique du Sud</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31D9E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8234D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30CFA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9A129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C78F5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5DF4766"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69E5D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Saint-Vincent-et-les-</w:t>
            </w:r>
            <w:r w:rsidRPr="00B06882">
              <w:rPr>
                <w:rFonts w:ascii="Cambria" w:hAnsi="Cambria"/>
                <w:sz w:val="14"/>
                <w:szCs w:val="14"/>
              </w:rPr>
              <w:t>Grenadines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A3C58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E4E2B" w14:textId="2CB5AAA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9BE4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 programme d’observateurs mis en place. Seule la flottille artisanale dotée de bateaux de moins de 10 mètres de long est en activité.</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6ABC1" w14:textId="3305785E"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réponse doit être </w:t>
            </w:r>
            <w:r w:rsidR="00D138EC" w:rsidRPr="00B06882">
              <w:rPr>
                <w:rFonts w:ascii="Cambria" w:hAnsi="Cambria"/>
                <w:sz w:val="16"/>
                <w:szCs w:val="16"/>
              </w:rPr>
              <w:t>Oui</w:t>
            </w:r>
            <w:r w:rsidRPr="00B06882">
              <w:rPr>
                <w:rFonts w:ascii="Cambria" w:hAnsi="Cambria"/>
                <w:sz w:val="16"/>
                <w:szCs w:val="16"/>
              </w:rPr>
              <w:t xml:space="preserve">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E7B08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16B10D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Saint-Vincent-et-les-Grenadines n'a pas de programme d’observateurs en place. Les navires qui opèrent actuellement font partie de la flottille artisanale.</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71E8F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Saint-Vincent-et-les-</w:t>
            </w:r>
            <w:r w:rsidRPr="00B06882">
              <w:rPr>
                <w:rFonts w:ascii="Cambria" w:hAnsi="Cambria"/>
                <w:sz w:val="14"/>
                <w:szCs w:val="14"/>
              </w:rPr>
              <w:t>Grenadines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04066E" w14:textId="0F116798"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777F9B" w14:textId="6486464E"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672863" w14:textId="0E43FE2C"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8537F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9C06B3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E5BEE4A" w14:textId="77777777" w:rsidTr="00F451CA">
        <w:trPr>
          <w:trHeight w:val="74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1C2E30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Suriname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8C6E9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7C6C87" w14:textId="5060C5C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5C5BA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Suriname n'est pas encore en mesure de mettre en œuvre un programme national d'observateurs pour les thoniers surinamais en raison du manque de capacités humaines et financières, mais il cherche continuellement des options alternatives pour le mettre en œuvre dès que possible.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5AD2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40789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5E7D3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Suriname n'est pas encore en mesure de mettre en œuvre un programme national d'observateurs pour les thoniers surinamais en raison du manque de capacités humaines et financières.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F66A57" w14:textId="77777777" w:rsidR="0014152F" w:rsidRPr="008C3D5A" w:rsidRDefault="0014152F" w:rsidP="005A43DB">
            <w:pPr>
              <w:spacing w:after="0" w:line="240" w:lineRule="auto"/>
              <w:rPr>
                <w:rFonts w:ascii="Cambria" w:eastAsia="Times New Roman" w:hAnsi="Cambria" w:cs="Times New Roman"/>
                <w:kern w:val="0"/>
                <w:sz w:val="16"/>
                <w:szCs w:val="16"/>
                <w14:ligatures w14:val="none"/>
              </w:rPr>
            </w:pPr>
            <w:r w:rsidRPr="008C3D5A">
              <w:rPr>
                <w:rFonts w:ascii="Cambria" w:hAnsi="Cambria"/>
                <w:sz w:val="16"/>
                <w:szCs w:val="16"/>
              </w:rPr>
              <w:t>Suriname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A70C2" w14:textId="77777777" w:rsidR="0014152F" w:rsidRPr="008C3D5A" w:rsidRDefault="0014152F" w:rsidP="005A43DB">
            <w:pPr>
              <w:spacing w:after="0" w:line="240" w:lineRule="auto"/>
              <w:jc w:val="center"/>
              <w:rPr>
                <w:rFonts w:ascii="Cambria" w:eastAsia="Times New Roman" w:hAnsi="Cambria" w:cs="Times New Roman"/>
                <w:kern w:val="0"/>
                <w:sz w:val="16"/>
                <w:szCs w:val="16"/>
                <w14:ligatures w14:val="none"/>
              </w:rPr>
            </w:pPr>
            <w:r w:rsidRPr="008C3D5A">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A4A48F" w14:textId="062D6AFA" w:rsidR="0014152F" w:rsidRPr="008C3D5A" w:rsidRDefault="0077147F" w:rsidP="005A43DB">
            <w:pPr>
              <w:spacing w:after="0" w:line="240" w:lineRule="auto"/>
              <w:jc w:val="center"/>
              <w:rPr>
                <w:rFonts w:ascii="Cambria" w:eastAsia="Times New Roman" w:hAnsi="Cambria" w:cs="Times New Roman"/>
                <w:kern w:val="0"/>
                <w:sz w:val="16"/>
                <w:szCs w:val="16"/>
                <w:u w:val="single"/>
                <w14:ligatures w14:val="none"/>
              </w:rPr>
            </w:pPr>
            <w:r w:rsidRPr="008C3D5A">
              <w:rPr>
                <w:rFonts w:ascii="Cambria" w:hAnsi="Cambria"/>
                <w:sz w:val="16"/>
                <w:szCs w:val="16"/>
                <w:highlight w:val="yellow"/>
                <w:u w:val="single"/>
              </w:rPr>
              <w:t>TW</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49D2DE" w14:textId="77777777" w:rsidR="0014152F" w:rsidRPr="008C3D5A" w:rsidRDefault="0014152F" w:rsidP="005A43DB">
            <w:pPr>
              <w:spacing w:after="0" w:line="240" w:lineRule="auto"/>
              <w:jc w:val="center"/>
              <w:rPr>
                <w:rFonts w:ascii="Cambria" w:eastAsia="Times New Roman" w:hAnsi="Cambria" w:cs="Times New Roman"/>
                <w:kern w:val="0"/>
                <w:sz w:val="16"/>
                <w:szCs w:val="16"/>
                <w14:ligatures w14:val="none"/>
              </w:rPr>
            </w:pPr>
            <w:r w:rsidRPr="008C3D5A">
              <w:rPr>
                <w:rFonts w:ascii="Cambria" w:hAnsi="Cambria"/>
                <w:sz w:val="16"/>
                <w:szCs w:val="16"/>
              </w:rPr>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2B9572" w14:textId="08E8BC4D" w:rsidR="0014152F" w:rsidRPr="008C3D5A" w:rsidRDefault="008D7CC8" w:rsidP="0014152F">
            <w:pPr>
              <w:spacing w:after="0" w:line="240" w:lineRule="auto"/>
              <w:jc w:val="center"/>
              <w:rPr>
                <w:rFonts w:ascii="Cambria" w:eastAsia="Times New Roman" w:hAnsi="Cambria" w:cs="Times New Roman"/>
                <w:kern w:val="0"/>
                <w:sz w:val="16"/>
                <w:szCs w:val="16"/>
                <w14:ligatures w14:val="none"/>
              </w:rPr>
            </w:pPr>
            <w:r w:rsidRPr="008C3D5A">
              <w:rPr>
                <w:rFonts w:ascii="Cambia" w:eastAsia="Times New Roman" w:hAnsi="Cambia" w:cs="Times New Roman"/>
                <w:color w:val="000000"/>
                <w:kern w:val="0"/>
                <w:sz w:val="16"/>
                <w:szCs w:val="16"/>
                <w:highlight w:val="yellow"/>
                <w:u w:val="single"/>
                <w:lang w:val="en-GB" w:eastAsia="en-GB"/>
                <w14:ligatures w14:val="none"/>
              </w:rPr>
              <w:t>Nday</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11079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A874B1E"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7D1519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Syrie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3FD5A" w14:textId="3C27860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8B23F6" w14:textId="2B9109F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EF6C0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105CA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C036B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80094B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557F0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Syrie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F70DE1" w14:textId="29BFDD2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C3E84" w14:textId="617A9DA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71643" w14:textId="37FFB87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FDC6A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8BBDFD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AA2D548"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3599C1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Trinidad &amp; Tobago</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C5B7D4" w14:textId="534DE44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2A36ED" w14:textId="7638F17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8A062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9E64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A3CD9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213029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57CB9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Trinité-et-Tobago</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9DDF" w14:textId="4093FE1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77D6D" w14:textId="68544CB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93C3E6" w14:textId="050F53F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CF076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75CB54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1A275164"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3DD145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Tunisie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62C1C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B187A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EC62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F4728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DA6CE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9094D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9C0B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Tunisie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52D51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5BE6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274B1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7895F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1EBC3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567E341"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16A20C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Türkiye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835A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AF2CE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12 septembre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5A363F" w14:textId="0EB19DFB"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Transmis à l’ICCAT le 12 septembre 2025 dans le rapport intitulé :</w:t>
            </w:r>
            <w:r w:rsidR="003D46E3" w:rsidRPr="00B06882">
              <w:rPr>
                <w:rFonts w:ascii="Cambria" w:hAnsi="Cambria"/>
                <w:sz w:val="16"/>
                <w:szCs w:val="16"/>
              </w:rPr>
              <w:t xml:space="preserve"> </w:t>
            </w:r>
            <w:r w:rsidRPr="00B06882">
              <w:rPr>
                <w:rFonts w:ascii="Cambria" w:hAnsi="Cambria"/>
                <w:sz w:val="16"/>
                <w:szCs w:val="16"/>
              </w:rPr>
              <w:t>"Report_on_GEN11_SHK01_BYC04_BYC05_TUR2025"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DFB55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3C11F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89D7E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D2C2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Türkiye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03056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F3B76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GN</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EF87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E497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F627F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8C6B60C"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D861B3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CDF3D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0FDB5D" w14:textId="019387A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F24748"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a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C543E7" w:rsidRPr="00B06882">
              <w:rPr>
                <w:rFonts w:ascii="Cambria" w:hAnsi="Cambria"/>
                <w:sz w:val="16"/>
                <w:szCs w:val="16"/>
              </w:rPr>
              <w:t>l</w:t>
            </w:r>
            <w:r w:rsidRPr="00B06882">
              <w:rPr>
                <w:rFonts w:ascii="Cambria" w:hAnsi="Cambria"/>
                <w:sz w:val="16"/>
                <w:szCs w:val="16"/>
              </w:rPr>
              <w:t xml:space="preserve">e RU Met. d'atteindre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4F5F6656" w14:textId="231D9F12"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Les Bermudes disposaient d'un observateur de la pêche palangrière opérationnel en 2024.</w:t>
            </w:r>
            <w:r w:rsidRPr="00B06882">
              <w:rPr>
                <w:rFonts w:ascii="Cambria" w:hAnsi="Cambria"/>
                <w:sz w:val="16"/>
                <w:szCs w:val="16"/>
              </w:rPr>
              <w:b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5CC2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D4F47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7B44BD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DFDD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Grande-Bretagne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90550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1A0C3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TW</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34F6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1A0FE3"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TW-</w:t>
            </w: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05FC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CC975EA" w14:textId="77777777" w:rsidTr="002C3CB7">
        <w:trPr>
          <w:trHeight w:val="709"/>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42CE04"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6394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F6F99" w14:textId="13C787B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AEC855"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a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EF75D1" w:rsidRPr="00B06882">
              <w:rPr>
                <w:rFonts w:ascii="Cambria" w:hAnsi="Cambria"/>
                <w:sz w:val="16"/>
                <w:szCs w:val="16"/>
              </w:rPr>
              <w:t>l</w:t>
            </w:r>
            <w:r w:rsidRPr="00B06882">
              <w:rPr>
                <w:rFonts w:ascii="Cambria" w:hAnsi="Cambria"/>
                <w:sz w:val="16"/>
                <w:szCs w:val="16"/>
              </w:rPr>
              <w:t xml:space="preserve">e RU Met. d'atteindre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3ADE6389"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Les Bermudes disposaient d'un observateur de la pêche palangrière opérationnel en 2024.</w:t>
            </w:r>
          </w:p>
          <w:p w14:paraId="1CD8F329" w14:textId="04D6AE03"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536A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F48F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DEF57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B7F8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RU-Bermudes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D7C80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210BD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RR</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D0B89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7%, 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52449" w14:textId="4864D553"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r w:rsidR="0014152F" w:rsidRPr="00B06882">
              <w:rPr>
                <w:rFonts w:ascii="Cambria" w:hAnsi="Cambria"/>
                <w:sz w:val="16"/>
                <w:szCs w:val="16"/>
              </w:rPr>
              <w:t xml:space="preserve">, </w:t>
            </w: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58DD24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Mises à jour en 2025</w:t>
            </w:r>
          </w:p>
        </w:tc>
      </w:tr>
      <w:tr w:rsidR="00B06882" w:rsidRPr="00B06882" w14:paraId="3167A368" w14:textId="77777777" w:rsidTr="002C3CB7">
        <w:trPr>
          <w:trHeight w:val="567"/>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7BD76B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002C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66966" w14:textId="68ADD82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F35779"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a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0508D2" w:rsidRPr="00B06882">
              <w:rPr>
                <w:rFonts w:ascii="Cambria" w:hAnsi="Cambria"/>
                <w:sz w:val="16"/>
                <w:szCs w:val="16"/>
              </w:rPr>
              <w:t>l</w:t>
            </w:r>
            <w:r w:rsidRPr="00B06882">
              <w:rPr>
                <w:rFonts w:ascii="Cambria" w:hAnsi="Cambria"/>
                <w:sz w:val="16"/>
                <w:szCs w:val="16"/>
              </w:rPr>
              <w:t xml:space="preserve">e RU Met. d'atteindre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76CAF46B"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Les Bermudes disposaient d'un observateur de la pêche palangrière opérationnel en 2024.</w:t>
            </w:r>
          </w:p>
          <w:p w14:paraId="67364C3D" w14:textId="6024973D"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17A67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8EE3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B720B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6F3F4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RU-Sainte Hélène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DAB01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2021</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2A93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RR</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27FA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28910C" w14:textId="697C0EBC"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514F9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31129B7" w14:textId="77777777" w:rsidTr="002C3CB7">
        <w:trPr>
          <w:trHeight w:val="567"/>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FF4AC2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7DA9D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EA5EA0" w14:textId="704A851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CF33BD" w14:textId="77777777" w:rsidR="000508D2"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a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0508D2" w:rsidRPr="00B06882">
              <w:rPr>
                <w:rFonts w:ascii="Cambria" w:hAnsi="Cambria"/>
                <w:sz w:val="16"/>
                <w:szCs w:val="16"/>
              </w:rPr>
              <w:t>l</w:t>
            </w:r>
            <w:r w:rsidRPr="00B06882">
              <w:rPr>
                <w:rFonts w:ascii="Cambria" w:hAnsi="Cambria"/>
                <w:sz w:val="16"/>
                <w:szCs w:val="16"/>
              </w:rPr>
              <w:t xml:space="preserve">e RU Met. d'atteindre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510BCF06"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Les Bermudes disposaient d'un observateur de la pêche palangrière opérationnel en 2024.</w:t>
            </w:r>
          </w:p>
          <w:p w14:paraId="653CE3B5" w14:textId="450AF953"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890C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D8514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B3093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4E5C3" w14:textId="5CECF91D"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RU-Turks et </w:t>
            </w:r>
            <w:proofErr w:type="spellStart"/>
            <w:r w:rsidRPr="00B06882">
              <w:rPr>
                <w:rFonts w:ascii="Cambria" w:hAnsi="Cambria"/>
                <w:sz w:val="16"/>
                <w:szCs w:val="16"/>
              </w:rPr>
              <w:t>Caicos</w:t>
            </w:r>
            <w:proofErr w:type="spellEnd"/>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F237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03380" w14:textId="3814AB2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64550B" w14:textId="0BF7E10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1F72E6"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792A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Des observateurs sur les lieux de débarquement des tournois.</w:t>
            </w:r>
          </w:p>
        </w:tc>
      </w:tr>
      <w:tr w:rsidR="00B06882" w:rsidRPr="00B06882" w14:paraId="0AD33929" w14:textId="77777777" w:rsidTr="002C3CB7">
        <w:trPr>
          <w:trHeight w:val="567"/>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7A3BA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F5E4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0466B" w14:textId="75E0533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C1C11" w14:textId="77777777" w:rsidR="000508D2"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a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0508D2" w:rsidRPr="00B06882">
              <w:rPr>
                <w:rFonts w:ascii="Cambria" w:hAnsi="Cambria"/>
                <w:sz w:val="16"/>
                <w:szCs w:val="16"/>
              </w:rPr>
              <w:t>l</w:t>
            </w:r>
            <w:r w:rsidRPr="00B06882">
              <w:rPr>
                <w:rFonts w:ascii="Cambria" w:hAnsi="Cambria"/>
                <w:sz w:val="16"/>
                <w:szCs w:val="16"/>
              </w:rPr>
              <w:t xml:space="preserve">e RU Met. d'atteindre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6EDA2D87" w14:textId="77777777" w:rsidR="000508D2"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Les Bermudes disposaient d'un observateur de la pêche palangrière opérationnel en 2024.</w:t>
            </w:r>
          </w:p>
          <w:p w14:paraId="39FA7068" w14:textId="691F3FA9"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B7111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7418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83984E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AD4A5F"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RU-Îles vierges </w:t>
            </w:r>
            <w:r w:rsidRPr="00B06882">
              <w:rPr>
                <w:rFonts w:ascii="Cambria" w:hAnsi="Cambria"/>
                <w:sz w:val="14"/>
                <w:szCs w:val="14"/>
              </w:rPr>
              <w:t>britanniques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0AE2E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04B5C" w14:textId="3F7F75F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47B0CE" w14:textId="17DCA08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CB5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3C4AAA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VGB n'a pas de programme d'observateurs nationaux.</w:t>
            </w:r>
          </w:p>
        </w:tc>
      </w:tr>
      <w:tr w:rsidR="00B06882" w:rsidRPr="00B06882" w14:paraId="30FF6E28"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449CB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États-Unis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3D8CA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4A7B0D" w14:textId="39E6387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5F700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Consulter la Section 2 du rapport annuel des États-Unis.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968E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1A2D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5AE62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3D906F"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États-Unis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DAD9B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1992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DF818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78BA2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14,00%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899CF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5892A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3025DDA"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231CBA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Uruguay</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5F68D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45D466" w14:textId="5011A11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F2342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Aucune activité de la flottille en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C7B9F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365E6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6D039D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Aucune activité de la flottille en 2024.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4784D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Uruguay</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0B5A6" w14:textId="0887281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059751" w14:textId="060820A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ADB91" w14:textId="00DA9CC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15F4AF"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758C17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44E9286" w14:textId="77777777" w:rsidTr="008405D0">
        <w:trPr>
          <w:trHeight w:val="495"/>
        </w:trPr>
        <w:tc>
          <w:tcPr>
            <w:tcW w:w="305"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14:paraId="2CD73E7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Venezuela</w:t>
            </w:r>
          </w:p>
        </w:tc>
        <w:tc>
          <w:tcPr>
            <w:tcW w:w="319" w:type="pct"/>
            <w:tcBorders>
              <w:top w:val="single" w:sz="4" w:space="0" w:color="auto"/>
              <w:left w:val="nil"/>
              <w:bottom w:val="single" w:sz="8" w:space="0" w:color="auto"/>
              <w:right w:val="single" w:sz="4" w:space="0" w:color="auto"/>
            </w:tcBorders>
            <w:shd w:val="clear" w:color="auto" w:fill="FFFFFF" w:themeFill="background1"/>
            <w:vAlign w:val="center"/>
            <w:hideMark/>
          </w:tcPr>
          <w:p w14:paraId="58839BD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8" w:space="0" w:color="auto"/>
              <w:right w:val="single" w:sz="4" w:space="0" w:color="auto"/>
            </w:tcBorders>
            <w:shd w:val="clear" w:color="auto" w:fill="FFFFFF" w:themeFill="background1"/>
            <w:vAlign w:val="center"/>
            <w:hideMark/>
          </w:tcPr>
          <w:p w14:paraId="4BFE6DAF" w14:textId="4F5F055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8" w:space="0" w:color="auto"/>
              <w:right w:val="single" w:sz="4" w:space="0" w:color="auto"/>
            </w:tcBorders>
            <w:shd w:val="clear" w:color="auto" w:fill="FFFFFF" w:themeFill="background1"/>
            <w:vAlign w:val="center"/>
            <w:hideMark/>
          </w:tcPr>
          <w:p w14:paraId="7AC29F9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Venezuela a rencontré des difficultés pour développer le programme d'observateurs.</w:t>
            </w:r>
          </w:p>
        </w:tc>
        <w:tc>
          <w:tcPr>
            <w:tcW w:w="490" w:type="pct"/>
            <w:tcBorders>
              <w:top w:val="single" w:sz="4" w:space="0" w:color="auto"/>
              <w:left w:val="nil"/>
              <w:bottom w:val="single" w:sz="8" w:space="0" w:color="auto"/>
              <w:right w:val="single" w:sz="4" w:space="0" w:color="auto"/>
            </w:tcBorders>
            <w:shd w:val="clear" w:color="auto" w:fill="FFFFFF" w:themeFill="background1"/>
            <w:vAlign w:val="center"/>
            <w:hideMark/>
          </w:tcPr>
          <w:p w14:paraId="1771A64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8" w:space="0" w:color="auto"/>
              <w:right w:val="single" w:sz="4" w:space="0" w:color="auto"/>
            </w:tcBorders>
            <w:shd w:val="clear" w:color="auto" w:fill="FFFFFF" w:themeFill="background1"/>
            <w:vAlign w:val="center"/>
            <w:hideMark/>
          </w:tcPr>
          <w:p w14:paraId="7E0572D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8" w:space="0" w:color="auto"/>
              <w:right w:val="single" w:sz="8" w:space="0" w:color="auto"/>
            </w:tcBorders>
            <w:shd w:val="clear" w:color="auto" w:fill="FFFFFF" w:themeFill="background1"/>
            <w:vAlign w:val="center"/>
            <w:hideMark/>
          </w:tcPr>
          <w:p w14:paraId="3214B6D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Le Venezuela a rencontré des difficultés pour développer le programme d’observateurs.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B8452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Venezuela</w:t>
            </w:r>
          </w:p>
        </w:tc>
        <w:tc>
          <w:tcPr>
            <w:tcW w:w="253" w:type="pct"/>
            <w:tcBorders>
              <w:top w:val="single" w:sz="4" w:space="0" w:color="auto"/>
              <w:left w:val="nil"/>
              <w:bottom w:val="single" w:sz="8" w:space="0" w:color="auto"/>
              <w:right w:val="single" w:sz="4" w:space="0" w:color="auto"/>
            </w:tcBorders>
            <w:shd w:val="clear" w:color="auto" w:fill="FFFFFF" w:themeFill="background1"/>
            <w:vAlign w:val="center"/>
            <w:hideMark/>
          </w:tcPr>
          <w:p w14:paraId="3B42CA15" w14:textId="441A10F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8" w:space="0" w:color="auto"/>
              <w:right w:val="single" w:sz="4" w:space="0" w:color="auto"/>
            </w:tcBorders>
            <w:shd w:val="clear" w:color="auto" w:fill="FFFFFF" w:themeFill="background1"/>
            <w:vAlign w:val="center"/>
            <w:hideMark/>
          </w:tcPr>
          <w:p w14:paraId="0C4F4F57" w14:textId="5DBDA23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8" w:space="0" w:color="auto"/>
              <w:right w:val="single" w:sz="4" w:space="0" w:color="auto"/>
            </w:tcBorders>
            <w:shd w:val="clear" w:color="auto" w:fill="FFFFFF" w:themeFill="background1"/>
            <w:vAlign w:val="center"/>
            <w:hideMark/>
          </w:tcPr>
          <w:p w14:paraId="59A36990" w14:textId="4F05C21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8" w:space="0" w:color="auto"/>
              <w:right w:val="single" w:sz="4" w:space="0" w:color="auto"/>
            </w:tcBorders>
            <w:shd w:val="clear" w:color="auto" w:fill="FFFFFF" w:themeFill="background1"/>
            <w:vAlign w:val="center"/>
            <w:hideMark/>
          </w:tcPr>
          <w:p w14:paraId="6D15928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8" w:space="0" w:color="auto"/>
              <w:right w:val="single" w:sz="8" w:space="0" w:color="auto"/>
            </w:tcBorders>
            <w:shd w:val="clear" w:color="auto" w:fill="FFFFFF" w:themeFill="background1"/>
            <w:vAlign w:val="center"/>
            <w:hideMark/>
          </w:tcPr>
          <w:p w14:paraId="6FA411D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bl>
    <w:p w14:paraId="2AC6A7F8" w14:textId="0EE552C7" w:rsidR="00CE178E" w:rsidRPr="00B06882" w:rsidRDefault="00CE178E" w:rsidP="005A43DB">
      <w:pPr>
        <w:jc w:val="both"/>
        <w:rPr>
          <w:rFonts w:ascii="Cambria" w:hAnsi="Cambria" w:cs="Noto Sans"/>
          <w:sz w:val="20"/>
          <w:szCs w:val="20"/>
          <w:shd w:val="clear" w:color="auto" w:fill="FFFFFF"/>
          <w:lang w:val="en-GB"/>
        </w:rPr>
      </w:pPr>
    </w:p>
    <w:sectPr w:rsidR="00CE178E" w:rsidRPr="00B06882" w:rsidSect="00D16172">
      <w:headerReference w:type="default" r:id="rId8"/>
      <w:footerReference w:type="default" r:id="rId9"/>
      <w:pgSz w:w="16840" w:h="11907" w:orient="landscape" w:code="9"/>
      <w:pgMar w:top="1247" w:right="851" w:bottom="1247" w:left="851"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EDE7" w14:textId="77777777" w:rsidR="007526BF" w:rsidRDefault="007526BF" w:rsidP="00056F4D">
      <w:pPr>
        <w:spacing w:after="0" w:line="240" w:lineRule="auto"/>
      </w:pPr>
      <w:r>
        <w:separator/>
      </w:r>
    </w:p>
  </w:endnote>
  <w:endnote w:type="continuationSeparator" w:id="0">
    <w:p w14:paraId="38D67BA6" w14:textId="77777777" w:rsidR="007526BF" w:rsidRDefault="007526BF" w:rsidP="0005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ia">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8EF2" w14:textId="77777777" w:rsidR="00056F4D" w:rsidRPr="00F05E80" w:rsidRDefault="00056F4D" w:rsidP="009D45CE">
    <w:pPr>
      <w:tabs>
        <w:tab w:val="center" w:pos="4535"/>
        <w:tab w:val="center" w:pos="4680"/>
        <w:tab w:val="left" w:pos="6150"/>
        <w:tab w:val="right" w:pos="9360"/>
      </w:tabs>
      <w:spacing w:after="0" w:line="240" w:lineRule="auto"/>
      <w:jc w:val="center"/>
      <w:rPr>
        <w:rFonts w:ascii="Cambria" w:eastAsia="Calibri" w:hAnsi="Cambria" w:cs="Calibri"/>
        <w:sz w:val="20"/>
      </w:rPr>
    </w:pPr>
    <w:r w:rsidRPr="00F05E80">
      <w:rPr>
        <w:rFonts w:ascii="Cambria" w:eastAsia="Calibri" w:hAnsi="Cambria" w:cs="Calibri"/>
        <w:sz w:val="20"/>
      </w:rPr>
      <w:fldChar w:fldCharType="begin"/>
    </w:r>
    <w:r w:rsidRPr="00F05E80">
      <w:rPr>
        <w:rFonts w:ascii="Cambria" w:eastAsia="Calibri" w:hAnsi="Cambria" w:cs="Calibri"/>
        <w:sz w:val="20"/>
      </w:rPr>
      <w:instrText xml:space="preserve"> PAGE </w:instrText>
    </w:r>
    <w:r w:rsidRPr="00F05E80">
      <w:rPr>
        <w:rFonts w:ascii="Cambria" w:eastAsia="Calibri" w:hAnsi="Cambria" w:cs="Calibri"/>
        <w:sz w:val="20"/>
      </w:rPr>
      <w:fldChar w:fldCharType="separate"/>
    </w:r>
    <w:r>
      <w:rPr>
        <w:rFonts w:ascii="Cambria" w:eastAsia="Calibri" w:hAnsi="Cambria" w:cs="Calibri"/>
        <w:sz w:val="20"/>
      </w:rPr>
      <w:t>1</w:t>
    </w:r>
    <w:r w:rsidRPr="00F05E80">
      <w:rPr>
        <w:rFonts w:ascii="Cambria" w:eastAsia="Calibri" w:hAnsi="Cambria" w:cs="Calibri"/>
        <w:sz w:val="20"/>
      </w:rPr>
      <w:fldChar w:fldCharType="end"/>
    </w:r>
    <w:r>
      <w:rPr>
        <w:rFonts w:ascii="Cambria" w:hAnsi="Cambria"/>
        <w:sz w:val="20"/>
      </w:rPr>
      <w:t xml:space="preserve"> / </w:t>
    </w:r>
    <w:r w:rsidRPr="00F05E80">
      <w:rPr>
        <w:rFonts w:ascii="Cambria" w:eastAsia="Calibri" w:hAnsi="Cambria" w:cs="Calibri"/>
        <w:sz w:val="20"/>
      </w:rPr>
      <w:fldChar w:fldCharType="begin"/>
    </w:r>
    <w:r w:rsidRPr="00F05E80">
      <w:rPr>
        <w:rFonts w:ascii="Cambria" w:eastAsia="Calibri" w:hAnsi="Cambria" w:cs="Calibri"/>
        <w:sz w:val="20"/>
      </w:rPr>
      <w:instrText xml:space="preserve"> NUMPAGES  </w:instrText>
    </w:r>
    <w:r w:rsidRPr="00F05E80">
      <w:rPr>
        <w:rFonts w:ascii="Cambria" w:eastAsia="Calibri" w:hAnsi="Cambria" w:cs="Calibri"/>
        <w:sz w:val="20"/>
      </w:rPr>
      <w:fldChar w:fldCharType="separate"/>
    </w:r>
    <w:r>
      <w:rPr>
        <w:rFonts w:ascii="Cambria" w:eastAsia="Calibri" w:hAnsi="Cambria" w:cs="Calibri"/>
        <w:sz w:val="20"/>
      </w:rPr>
      <w:t>5</w:t>
    </w:r>
    <w:r w:rsidRPr="00F05E8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3F98" w14:textId="77777777" w:rsidR="007526BF" w:rsidRDefault="007526BF" w:rsidP="00056F4D">
      <w:pPr>
        <w:spacing w:after="0" w:line="240" w:lineRule="auto"/>
      </w:pPr>
      <w:r>
        <w:separator/>
      </w:r>
    </w:p>
  </w:footnote>
  <w:footnote w:type="continuationSeparator" w:id="0">
    <w:p w14:paraId="3C12EA1C" w14:textId="77777777" w:rsidR="007526BF" w:rsidRDefault="007526BF" w:rsidP="0005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A08E" w14:textId="339DCF72" w:rsidR="00056F4D" w:rsidRPr="003832FC" w:rsidRDefault="00056F4D" w:rsidP="00056F4D">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COC_318</w:t>
    </w:r>
    <w:r w:rsidR="00C950F8">
      <w:rPr>
        <w:rFonts w:ascii="Cambria" w:hAnsi="Cambria"/>
        <w:b/>
        <w:sz w:val="20"/>
      </w:rPr>
      <w:t>A</w:t>
    </w:r>
    <w:r>
      <w:rPr>
        <w:rFonts w:ascii="Cambria" w:hAnsi="Cambria"/>
        <w:b/>
        <w:sz w:val="20"/>
      </w:rPr>
      <w:t>/2025</w:t>
    </w:r>
  </w:p>
  <w:p w14:paraId="56251DDD" w14:textId="4007689C" w:rsidR="00056F4D" w:rsidRDefault="00056F4D" w:rsidP="009D45CE">
    <w:pPr>
      <w:tabs>
        <w:tab w:val="left" w:pos="7320"/>
      </w:tabs>
      <w:spacing w:after="0" w:line="240" w:lineRule="exact"/>
      <w:jc w:val="right"/>
      <w:rPr>
        <w:rFonts w:ascii="Cambria" w:eastAsia="Times New Roman" w:hAnsi="Cambria" w:cs="Times New Roman"/>
        <w:b/>
        <w:bCs/>
        <w:sz w:val="16"/>
        <w:szCs w:val="16"/>
        <w:lang w:val="es-ES_tradnl"/>
      </w:rPr>
    </w:pPr>
    <w:r w:rsidRPr="003832FC">
      <w:rPr>
        <w:rFonts w:ascii="Cambria" w:eastAsia="Times New Roman" w:hAnsi="Cambria" w:cs="Times New Roman"/>
        <w:b/>
        <w:sz w:val="16"/>
      </w:rPr>
      <w:fldChar w:fldCharType="begin"/>
    </w:r>
    <w:r w:rsidRPr="003832FC">
      <w:rPr>
        <w:rFonts w:ascii="Cambria" w:eastAsia="Times New Roman" w:hAnsi="Cambria" w:cs="Times New Roman"/>
        <w:b/>
        <w:sz w:val="16"/>
      </w:rPr>
      <w:instrText xml:space="preserve"> TIME \@ "dd/MM/yyyy H:mm" </w:instrText>
    </w:r>
    <w:r w:rsidRPr="003832FC">
      <w:rPr>
        <w:rFonts w:ascii="Cambria" w:eastAsia="Times New Roman" w:hAnsi="Cambria" w:cs="Times New Roman"/>
        <w:b/>
        <w:sz w:val="16"/>
      </w:rPr>
      <w:fldChar w:fldCharType="separate"/>
    </w:r>
    <w:r w:rsidR="00C950F8">
      <w:rPr>
        <w:rFonts w:ascii="Cambria" w:eastAsia="Times New Roman" w:hAnsi="Cambria" w:cs="Times New Roman"/>
        <w:b/>
        <w:noProof/>
        <w:sz w:val="16"/>
      </w:rPr>
      <w:t>17/11/2025 11:57</w:t>
    </w:r>
    <w:r w:rsidRPr="003832FC">
      <w:rPr>
        <w:rFonts w:ascii="Cambria" w:eastAsia="Times New Roman" w:hAnsi="Cambria" w:cs="Times New Roman"/>
        <w:b/>
        <w:bCs/>
        <w:sz w:val="16"/>
        <w:szCs w:val="16"/>
        <w:lang w:val="es-ES_tradnl"/>
      </w:rPr>
      <w:fldChar w:fldCharType="end"/>
    </w:r>
    <w:bookmarkEnd w:id="0"/>
    <w:bookmarkEnd w:id="1"/>
    <w:bookmarkEnd w:id="2"/>
    <w:bookmarkEnd w:id="3"/>
    <w:bookmarkEnd w:id="4"/>
    <w:bookmarkEnd w:id="5"/>
  </w:p>
  <w:p w14:paraId="69E6F94A" w14:textId="77777777" w:rsidR="002C3CB7" w:rsidRDefault="002C3CB7" w:rsidP="009D45CE">
    <w:pPr>
      <w:tabs>
        <w:tab w:val="left" w:pos="7320"/>
      </w:tabs>
      <w:spacing w:after="0" w:line="24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31"/>
    <w:rsid w:val="00010A3C"/>
    <w:rsid w:val="000508D2"/>
    <w:rsid w:val="0005325E"/>
    <w:rsid w:val="00056F4D"/>
    <w:rsid w:val="00067492"/>
    <w:rsid w:val="00076B7D"/>
    <w:rsid w:val="00084A5B"/>
    <w:rsid w:val="00095CDF"/>
    <w:rsid w:val="000C06F2"/>
    <w:rsid w:val="000D404F"/>
    <w:rsid w:val="000D6031"/>
    <w:rsid w:val="00107816"/>
    <w:rsid w:val="00133BBC"/>
    <w:rsid w:val="0014152F"/>
    <w:rsid w:val="00191DCB"/>
    <w:rsid w:val="001950E5"/>
    <w:rsid w:val="001B6708"/>
    <w:rsid w:val="001D49D5"/>
    <w:rsid w:val="00213058"/>
    <w:rsid w:val="00235810"/>
    <w:rsid w:val="00250C2F"/>
    <w:rsid w:val="00261478"/>
    <w:rsid w:val="00267FD2"/>
    <w:rsid w:val="00272A61"/>
    <w:rsid w:val="0028437B"/>
    <w:rsid w:val="002B3DB3"/>
    <w:rsid w:val="002C3CB7"/>
    <w:rsid w:val="00333DDB"/>
    <w:rsid w:val="003404AC"/>
    <w:rsid w:val="00377C06"/>
    <w:rsid w:val="00386F7D"/>
    <w:rsid w:val="003A71C7"/>
    <w:rsid w:val="003D2086"/>
    <w:rsid w:val="003D46E3"/>
    <w:rsid w:val="003D51E5"/>
    <w:rsid w:val="003E1C1D"/>
    <w:rsid w:val="003E477A"/>
    <w:rsid w:val="003F0D86"/>
    <w:rsid w:val="00450D5C"/>
    <w:rsid w:val="00454936"/>
    <w:rsid w:val="00457CDA"/>
    <w:rsid w:val="00461224"/>
    <w:rsid w:val="00464302"/>
    <w:rsid w:val="00465B41"/>
    <w:rsid w:val="004848DE"/>
    <w:rsid w:val="00491E05"/>
    <w:rsid w:val="004A0A8B"/>
    <w:rsid w:val="004A4007"/>
    <w:rsid w:val="004C414D"/>
    <w:rsid w:val="004C4D53"/>
    <w:rsid w:val="004D0819"/>
    <w:rsid w:val="0050667C"/>
    <w:rsid w:val="00515822"/>
    <w:rsid w:val="0052201D"/>
    <w:rsid w:val="00535EF7"/>
    <w:rsid w:val="00542B88"/>
    <w:rsid w:val="00547EA3"/>
    <w:rsid w:val="00566B40"/>
    <w:rsid w:val="005A43DB"/>
    <w:rsid w:val="005D32BF"/>
    <w:rsid w:val="006047FF"/>
    <w:rsid w:val="00604F50"/>
    <w:rsid w:val="00605C4F"/>
    <w:rsid w:val="00650840"/>
    <w:rsid w:val="00657407"/>
    <w:rsid w:val="00680BC3"/>
    <w:rsid w:val="006B6813"/>
    <w:rsid w:val="00700797"/>
    <w:rsid w:val="00715395"/>
    <w:rsid w:val="00720AE2"/>
    <w:rsid w:val="00733565"/>
    <w:rsid w:val="007375DF"/>
    <w:rsid w:val="00737FB3"/>
    <w:rsid w:val="007526BF"/>
    <w:rsid w:val="00757E39"/>
    <w:rsid w:val="0077147F"/>
    <w:rsid w:val="007A12F1"/>
    <w:rsid w:val="007B59E8"/>
    <w:rsid w:val="007C0F38"/>
    <w:rsid w:val="007E72F9"/>
    <w:rsid w:val="00810BCB"/>
    <w:rsid w:val="00814983"/>
    <w:rsid w:val="00825026"/>
    <w:rsid w:val="00825EC9"/>
    <w:rsid w:val="008405D0"/>
    <w:rsid w:val="00857191"/>
    <w:rsid w:val="00865A75"/>
    <w:rsid w:val="008C3D5A"/>
    <w:rsid w:val="008D7CC8"/>
    <w:rsid w:val="008E0B01"/>
    <w:rsid w:val="008E5E29"/>
    <w:rsid w:val="008F7027"/>
    <w:rsid w:val="00906D56"/>
    <w:rsid w:val="00911336"/>
    <w:rsid w:val="00922609"/>
    <w:rsid w:val="009261DD"/>
    <w:rsid w:val="00944B29"/>
    <w:rsid w:val="00952810"/>
    <w:rsid w:val="00960E61"/>
    <w:rsid w:val="00973377"/>
    <w:rsid w:val="00992812"/>
    <w:rsid w:val="009C22B1"/>
    <w:rsid w:val="009D45CE"/>
    <w:rsid w:val="009D601C"/>
    <w:rsid w:val="00A06735"/>
    <w:rsid w:val="00A54D45"/>
    <w:rsid w:val="00A5550D"/>
    <w:rsid w:val="00A82AD3"/>
    <w:rsid w:val="00AB22E4"/>
    <w:rsid w:val="00AB3A26"/>
    <w:rsid w:val="00AB6F96"/>
    <w:rsid w:val="00AC0F05"/>
    <w:rsid w:val="00AC6E1A"/>
    <w:rsid w:val="00AE23FD"/>
    <w:rsid w:val="00B06882"/>
    <w:rsid w:val="00B714DB"/>
    <w:rsid w:val="00B84432"/>
    <w:rsid w:val="00BE2D44"/>
    <w:rsid w:val="00C11D75"/>
    <w:rsid w:val="00C543E7"/>
    <w:rsid w:val="00C85869"/>
    <w:rsid w:val="00C950F8"/>
    <w:rsid w:val="00CC4AB9"/>
    <w:rsid w:val="00CE178E"/>
    <w:rsid w:val="00D138EC"/>
    <w:rsid w:val="00D16172"/>
    <w:rsid w:val="00D37EF5"/>
    <w:rsid w:val="00D51A8C"/>
    <w:rsid w:val="00D528E0"/>
    <w:rsid w:val="00D97857"/>
    <w:rsid w:val="00DC0BBD"/>
    <w:rsid w:val="00DC0E4F"/>
    <w:rsid w:val="00DC3157"/>
    <w:rsid w:val="00DF2D5B"/>
    <w:rsid w:val="00E36CA9"/>
    <w:rsid w:val="00E56AE5"/>
    <w:rsid w:val="00EB2E2A"/>
    <w:rsid w:val="00EC35B5"/>
    <w:rsid w:val="00EE76F2"/>
    <w:rsid w:val="00EF75D1"/>
    <w:rsid w:val="00F04D3A"/>
    <w:rsid w:val="00F20BAB"/>
    <w:rsid w:val="00F21B6D"/>
    <w:rsid w:val="00F257C7"/>
    <w:rsid w:val="00F451CA"/>
    <w:rsid w:val="00F56BB9"/>
    <w:rsid w:val="00F80E6E"/>
    <w:rsid w:val="00FB4CDA"/>
    <w:rsid w:val="00FB716F"/>
    <w:rsid w:val="00FD4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9D20"/>
  <w15:chartTrackingRefBased/>
  <w15:docId w15:val="{A819F865-BFC5-4A74-9339-B9BA9ADE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4D"/>
  </w:style>
  <w:style w:type="paragraph" w:styleId="Footer">
    <w:name w:val="footer"/>
    <w:basedOn w:val="Normal"/>
    <w:link w:val="FooterChar"/>
    <w:uiPriority w:val="99"/>
    <w:unhideWhenUsed/>
    <w:rsid w:val="0005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F4D"/>
  </w:style>
  <w:style w:type="character" w:styleId="Hyperlink">
    <w:name w:val="Hyperlink"/>
    <w:basedOn w:val="DefaultParagraphFont"/>
    <w:uiPriority w:val="99"/>
    <w:unhideWhenUsed/>
    <w:rsid w:val="00D51A8C"/>
    <w:rPr>
      <w:color w:val="0563C1" w:themeColor="hyperlink"/>
      <w:u w:val="single"/>
    </w:rPr>
  </w:style>
  <w:style w:type="character" w:styleId="UnresolvedMention">
    <w:name w:val="Unresolved Mention"/>
    <w:basedOn w:val="DefaultParagraphFont"/>
    <w:uiPriority w:val="99"/>
    <w:semiHidden/>
    <w:unhideWhenUsed/>
    <w:rsid w:val="00D51A8C"/>
    <w:rPr>
      <w:color w:val="605E5C"/>
      <w:shd w:val="clear" w:color="auto" w:fill="E1DFDD"/>
    </w:rPr>
  </w:style>
  <w:style w:type="character" w:styleId="FollowedHyperlink">
    <w:name w:val="FollowedHyperlink"/>
    <w:basedOn w:val="DefaultParagraphFont"/>
    <w:uiPriority w:val="99"/>
    <w:semiHidden/>
    <w:unhideWhenUsed/>
    <w:rsid w:val="00CE178E"/>
    <w:rPr>
      <w:color w:val="96607D"/>
      <w:u w:val="single"/>
    </w:rPr>
  </w:style>
  <w:style w:type="paragraph" w:customStyle="1" w:styleId="msonormal0">
    <w:name w:val="msonormal"/>
    <w:basedOn w:val="Normal"/>
    <w:rsid w:val="00CE17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3">
    <w:name w:val="xl63"/>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kern w:val="0"/>
      <w:sz w:val="18"/>
      <w:szCs w:val="18"/>
      <w:lang w:eastAsia="en-GB"/>
      <w14:ligatures w14:val="none"/>
    </w:rPr>
  </w:style>
  <w:style w:type="paragraph" w:customStyle="1" w:styleId="xl64">
    <w:name w:val="xl64"/>
    <w:basedOn w:val="Normal"/>
    <w:rsid w:val="00CE178E"/>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ria" w:eastAsia="Times New Roman" w:hAnsi="Cambria" w:cs="Times New Roman"/>
      <w:b/>
      <w:bCs/>
      <w:i/>
      <w:iCs/>
      <w:color w:val="000000"/>
      <w:kern w:val="0"/>
      <w:sz w:val="18"/>
      <w:szCs w:val="18"/>
      <w:lang w:eastAsia="en-GB"/>
      <w14:ligatures w14:val="none"/>
    </w:rPr>
  </w:style>
  <w:style w:type="paragraph" w:customStyle="1" w:styleId="xl66">
    <w:name w:val="xl66"/>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pPr>
    <w:rPr>
      <w:rFonts w:ascii="Cambria" w:eastAsia="Times New Roman" w:hAnsi="Cambria" w:cs="Times New Roman"/>
      <w:b/>
      <w:bCs/>
      <w:i/>
      <w:iCs/>
      <w:color w:val="000000"/>
      <w:kern w:val="0"/>
      <w:sz w:val="18"/>
      <w:szCs w:val="18"/>
      <w:lang w:eastAsia="en-GB"/>
      <w14:ligatures w14:val="none"/>
    </w:rPr>
  </w:style>
  <w:style w:type="paragraph" w:customStyle="1" w:styleId="xl67">
    <w:name w:val="xl67"/>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sz w:val="18"/>
      <w:szCs w:val="18"/>
      <w:lang w:eastAsia="en-GB"/>
      <w14:ligatures w14:val="none"/>
    </w:rPr>
  </w:style>
  <w:style w:type="paragraph" w:customStyle="1" w:styleId="xl68">
    <w:name w:val="xl68"/>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eastAsia="en-GB"/>
      <w14:ligatures w14:val="none"/>
    </w:rPr>
  </w:style>
  <w:style w:type="paragraph" w:customStyle="1" w:styleId="xl69">
    <w:name w:val="xl69"/>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AE23FD"/>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1">
    <w:name w:val="xl71"/>
    <w:basedOn w:val="Normal"/>
    <w:rsid w:val="00AE23FD"/>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2">
    <w:name w:val="xl72"/>
    <w:basedOn w:val="Normal"/>
    <w:rsid w:val="00AE23F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3">
    <w:name w:val="xl73"/>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4">
    <w:name w:val="xl74"/>
    <w:basedOn w:val="Normal"/>
    <w:rsid w:val="00AE23F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5">
    <w:name w:val="xl75"/>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6">
    <w:name w:val="xl76"/>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7">
    <w:name w:val="xl77"/>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8">
    <w:name w:val="xl78"/>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9">
    <w:name w:val="xl79"/>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80">
    <w:name w:val="xl80"/>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1">
    <w:name w:val="xl81"/>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2">
    <w:name w:val="xl82"/>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3">
    <w:name w:val="xl83"/>
    <w:basedOn w:val="Normal"/>
    <w:rsid w:val="00AE23F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067492"/>
    <w:pPr>
      <w:spacing w:after="0" w:line="240" w:lineRule="auto"/>
    </w:pPr>
  </w:style>
  <w:style w:type="paragraph" w:customStyle="1" w:styleId="xl84">
    <w:name w:val="xl84"/>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5">
    <w:name w:val="xl85"/>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6">
    <w:name w:val="xl86"/>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7">
    <w:name w:val="xl87"/>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8">
    <w:name w:val="xl88"/>
    <w:basedOn w:val="Normal"/>
    <w:rsid w:val="0014152F"/>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9">
    <w:name w:val="xl89"/>
    <w:basedOn w:val="Normal"/>
    <w:rsid w:val="0014152F"/>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141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91">
    <w:name w:val="xl91"/>
    <w:basedOn w:val="Normal"/>
    <w:rsid w:val="0014152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92">
    <w:name w:val="xl92"/>
    <w:basedOn w:val="Normal"/>
    <w:rsid w:val="00141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9826">
      <w:bodyDiv w:val="1"/>
      <w:marLeft w:val="0"/>
      <w:marRight w:val="0"/>
      <w:marTop w:val="0"/>
      <w:marBottom w:val="0"/>
      <w:divBdr>
        <w:top w:val="none" w:sz="0" w:space="0" w:color="auto"/>
        <w:left w:val="none" w:sz="0" w:space="0" w:color="auto"/>
        <w:bottom w:val="none" w:sz="0" w:space="0" w:color="auto"/>
        <w:right w:val="none" w:sz="0" w:space="0" w:color="auto"/>
      </w:divBdr>
    </w:div>
    <w:div w:id="348991755">
      <w:bodyDiv w:val="1"/>
      <w:marLeft w:val="0"/>
      <w:marRight w:val="0"/>
      <w:marTop w:val="0"/>
      <w:marBottom w:val="0"/>
      <w:divBdr>
        <w:top w:val="none" w:sz="0" w:space="0" w:color="auto"/>
        <w:left w:val="none" w:sz="0" w:space="0" w:color="auto"/>
        <w:bottom w:val="none" w:sz="0" w:space="0" w:color="auto"/>
        <w:right w:val="none" w:sz="0" w:space="0" w:color="auto"/>
      </w:divBdr>
    </w:div>
    <w:div w:id="473958603">
      <w:bodyDiv w:val="1"/>
      <w:marLeft w:val="0"/>
      <w:marRight w:val="0"/>
      <w:marTop w:val="0"/>
      <w:marBottom w:val="0"/>
      <w:divBdr>
        <w:top w:val="none" w:sz="0" w:space="0" w:color="auto"/>
        <w:left w:val="none" w:sz="0" w:space="0" w:color="auto"/>
        <w:bottom w:val="none" w:sz="0" w:space="0" w:color="auto"/>
        <w:right w:val="none" w:sz="0" w:space="0" w:color="auto"/>
      </w:divBdr>
    </w:div>
    <w:div w:id="621039875">
      <w:bodyDiv w:val="1"/>
      <w:marLeft w:val="0"/>
      <w:marRight w:val="0"/>
      <w:marTop w:val="0"/>
      <w:marBottom w:val="0"/>
      <w:divBdr>
        <w:top w:val="none" w:sz="0" w:space="0" w:color="auto"/>
        <w:left w:val="none" w:sz="0" w:space="0" w:color="auto"/>
        <w:bottom w:val="none" w:sz="0" w:space="0" w:color="auto"/>
        <w:right w:val="none" w:sz="0" w:space="0" w:color="auto"/>
      </w:divBdr>
    </w:div>
    <w:div w:id="917642218">
      <w:bodyDiv w:val="1"/>
      <w:marLeft w:val="0"/>
      <w:marRight w:val="0"/>
      <w:marTop w:val="0"/>
      <w:marBottom w:val="0"/>
      <w:divBdr>
        <w:top w:val="none" w:sz="0" w:space="0" w:color="auto"/>
        <w:left w:val="none" w:sz="0" w:space="0" w:color="auto"/>
        <w:bottom w:val="none" w:sz="0" w:space="0" w:color="auto"/>
        <w:right w:val="none" w:sz="0" w:space="0" w:color="auto"/>
      </w:divBdr>
    </w:div>
    <w:div w:id="966551109">
      <w:bodyDiv w:val="1"/>
      <w:marLeft w:val="0"/>
      <w:marRight w:val="0"/>
      <w:marTop w:val="0"/>
      <w:marBottom w:val="0"/>
      <w:divBdr>
        <w:top w:val="none" w:sz="0" w:space="0" w:color="auto"/>
        <w:left w:val="none" w:sz="0" w:space="0" w:color="auto"/>
        <w:bottom w:val="none" w:sz="0" w:space="0" w:color="auto"/>
        <w:right w:val="none" w:sz="0" w:space="0" w:color="auto"/>
      </w:divBdr>
    </w:div>
    <w:div w:id="1093547566">
      <w:bodyDiv w:val="1"/>
      <w:marLeft w:val="0"/>
      <w:marRight w:val="0"/>
      <w:marTop w:val="0"/>
      <w:marBottom w:val="0"/>
      <w:divBdr>
        <w:top w:val="none" w:sz="0" w:space="0" w:color="auto"/>
        <w:left w:val="none" w:sz="0" w:space="0" w:color="auto"/>
        <w:bottom w:val="none" w:sz="0" w:space="0" w:color="auto"/>
        <w:right w:val="none" w:sz="0" w:space="0" w:color="auto"/>
      </w:divBdr>
    </w:div>
    <w:div w:id="197586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Recs/compendiopdf-f/2016-14-f.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A87B-4834-447D-B460-44167244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73</cp:revision>
  <dcterms:created xsi:type="dcterms:W3CDTF">2024-11-12T14:53:00Z</dcterms:created>
  <dcterms:modified xsi:type="dcterms:W3CDTF">2025-11-17T11:07:00Z</dcterms:modified>
</cp:coreProperties>
</file>