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F66E" w14:textId="4DCD37C1" w:rsidR="00EA443B" w:rsidRPr="00304A04" w:rsidRDefault="00304A04" w:rsidP="00BA4E86">
      <w:pPr>
        <w:jc w:val="right"/>
        <w:rPr>
          <w:rFonts w:ascii="Cambria" w:eastAsia="MS Mincho" w:hAnsi="Cambria"/>
          <w:b/>
          <w:bCs/>
          <w:color w:val="00000A"/>
          <w:lang w:val="en-US"/>
        </w:rPr>
      </w:pPr>
      <w:r w:rsidRPr="00304A04">
        <w:rPr>
          <w:rFonts w:ascii="Cambria" w:eastAsia="MS Mincho" w:hAnsi="Cambria"/>
          <w:b/>
          <w:bCs/>
          <w:color w:val="00000A"/>
          <w:lang w:val="en-US"/>
        </w:rPr>
        <w:t>Original: English</w:t>
      </w:r>
    </w:p>
    <w:p w14:paraId="0AF41781" w14:textId="77777777" w:rsidR="00304A04" w:rsidRPr="00AC68FB" w:rsidRDefault="00304A04" w:rsidP="00AC68FB">
      <w:pPr>
        <w:jc w:val="center"/>
        <w:rPr>
          <w:rFonts w:ascii="Cambria" w:eastAsia="MS Mincho" w:hAnsi="Cambria"/>
          <w:b/>
          <w:bCs/>
          <w:color w:val="00000A"/>
          <w:lang w:val="en-US"/>
        </w:rPr>
      </w:pPr>
    </w:p>
    <w:p w14:paraId="66B98B09" w14:textId="77777777" w:rsidR="00AC68FB" w:rsidRDefault="00AC68FB" w:rsidP="00AC68FB">
      <w:pPr>
        <w:jc w:val="center"/>
        <w:rPr>
          <w:rFonts w:ascii="Cambria" w:eastAsia="MS Mincho" w:hAnsi="Cambria"/>
          <w:b/>
          <w:bCs/>
          <w:color w:val="00000A"/>
          <w:lang w:val="en-US"/>
        </w:rPr>
      </w:pPr>
      <w:r w:rsidRPr="00AC68FB">
        <w:rPr>
          <w:rFonts w:ascii="Cambria" w:eastAsia="MS Mincho" w:hAnsi="Cambria"/>
          <w:b/>
          <w:bCs/>
          <w:color w:val="00000A"/>
          <w:lang w:val="en-US"/>
        </w:rPr>
        <w:t xml:space="preserve">Letter from the Chair of the Conservation and </w:t>
      </w:r>
    </w:p>
    <w:p w14:paraId="2E1237D7" w14:textId="5927CB92" w:rsidR="00304A04" w:rsidRPr="00AC68FB" w:rsidRDefault="00AC68FB" w:rsidP="00AC68FB">
      <w:pPr>
        <w:jc w:val="center"/>
        <w:rPr>
          <w:rFonts w:ascii="Cambria" w:eastAsia="MS Mincho" w:hAnsi="Cambria"/>
          <w:b/>
          <w:bCs/>
          <w:color w:val="00000A"/>
          <w:lang w:val="en-US"/>
        </w:rPr>
      </w:pPr>
      <w:r w:rsidRPr="00AC68FB">
        <w:rPr>
          <w:rFonts w:ascii="Cambria" w:eastAsia="MS Mincho" w:hAnsi="Cambria"/>
          <w:b/>
          <w:bCs/>
          <w:color w:val="00000A"/>
          <w:lang w:val="en-US"/>
        </w:rPr>
        <w:t>Management Measures Compliance Committee (COC)</w:t>
      </w:r>
    </w:p>
    <w:p w14:paraId="71D1CED6" w14:textId="6933EB2A" w:rsidR="00BA4E86" w:rsidRPr="00AC68FB" w:rsidRDefault="00AC68FB" w:rsidP="00AC68FB">
      <w:pPr>
        <w:jc w:val="center"/>
        <w:rPr>
          <w:rFonts w:ascii="Cambria" w:eastAsia="MS Mincho" w:hAnsi="Cambria"/>
          <w:i/>
          <w:iCs/>
          <w:color w:val="00000A"/>
          <w:lang w:val="en-US"/>
        </w:rPr>
      </w:pPr>
      <w:r w:rsidRPr="00AC68FB">
        <w:rPr>
          <w:rFonts w:ascii="Cambria" w:eastAsia="MS Mincho" w:hAnsi="Cambria"/>
          <w:i/>
          <w:iCs/>
          <w:color w:val="00000A"/>
          <w:lang w:val="en-US"/>
        </w:rPr>
        <w:t>(</w:t>
      </w:r>
      <w:r w:rsidR="00BA4E86" w:rsidRPr="00AC68FB">
        <w:rPr>
          <w:rFonts w:ascii="Cambria" w:eastAsia="MS Mincho" w:hAnsi="Cambria"/>
          <w:i/>
          <w:iCs/>
          <w:color w:val="00000A"/>
          <w:lang w:val="en-US"/>
        </w:rPr>
        <w:t xml:space="preserve">ICCAT </w:t>
      </w:r>
      <w:r w:rsidRPr="00AC68FB">
        <w:rPr>
          <w:rFonts w:ascii="Cambria" w:eastAsia="MS Mincho" w:hAnsi="Cambria"/>
          <w:i/>
          <w:iCs/>
          <w:color w:val="00000A"/>
          <w:lang w:val="en-US"/>
        </w:rPr>
        <w:t>Circular</w:t>
      </w:r>
      <w:r w:rsidR="00BA4E86" w:rsidRPr="00AC68FB">
        <w:rPr>
          <w:rFonts w:ascii="Cambria" w:eastAsia="MS Mincho" w:hAnsi="Cambria"/>
          <w:i/>
          <w:iCs/>
          <w:color w:val="00000A"/>
          <w:lang w:val="en-US"/>
        </w:rPr>
        <w:t xml:space="preserve"> # </w:t>
      </w:r>
      <w:r w:rsidR="00FD5976" w:rsidRPr="00AC68FB">
        <w:rPr>
          <w:rFonts w:ascii="Cambria" w:eastAsia="MS Mincho" w:hAnsi="Cambria"/>
          <w:i/>
          <w:iCs/>
          <w:color w:val="00000A"/>
          <w:lang w:val="en-US"/>
        </w:rPr>
        <w:t>10017</w:t>
      </w:r>
      <w:r w:rsidR="00BA4E86" w:rsidRPr="00AC68FB">
        <w:rPr>
          <w:rFonts w:ascii="Cambria" w:eastAsia="MS Mincho" w:hAnsi="Cambria"/>
          <w:i/>
          <w:iCs/>
          <w:color w:val="00000A"/>
          <w:lang w:val="en-US"/>
        </w:rPr>
        <w:t xml:space="preserve"> / 202</w:t>
      </w:r>
      <w:r w:rsidR="008C151B" w:rsidRPr="00AC68FB">
        <w:rPr>
          <w:rFonts w:ascii="Cambria" w:eastAsia="MS Mincho" w:hAnsi="Cambria"/>
          <w:i/>
          <w:iCs/>
          <w:color w:val="00000A"/>
          <w:lang w:val="en-US"/>
        </w:rPr>
        <w:t>5</w:t>
      </w:r>
      <w:r w:rsidRPr="00AC68FB">
        <w:rPr>
          <w:rFonts w:ascii="Cambria" w:eastAsia="MS Mincho" w:hAnsi="Cambria"/>
          <w:i/>
          <w:iCs/>
          <w:color w:val="00000A"/>
          <w:lang w:val="en-US"/>
        </w:rPr>
        <w:t>)</w:t>
      </w:r>
    </w:p>
    <w:p w14:paraId="18F8CEB2" w14:textId="77777777" w:rsidR="00BA4E86" w:rsidRPr="00744F53" w:rsidRDefault="00BA4E86" w:rsidP="00BA4E86">
      <w:pPr>
        <w:keepNext/>
        <w:jc w:val="center"/>
        <w:outlineLvl w:val="0"/>
        <w:rPr>
          <w:rFonts w:ascii="Cambria" w:eastAsia="MS Mincho" w:hAnsi="Cambria"/>
          <w:b/>
          <w:bCs/>
          <w:color w:val="00000A"/>
          <w:lang w:val="en-US"/>
        </w:rPr>
      </w:pPr>
    </w:p>
    <w:p w14:paraId="1A77AFBB" w14:textId="77777777" w:rsidR="00227291" w:rsidRDefault="00227291" w:rsidP="00227291">
      <w:pPr>
        <w:rPr>
          <w:rFonts w:asciiTheme="majorHAnsi" w:hAnsiTheme="majorHAnsi"/>
          <w:sz w:val="16"/>
          <w:szCs w:val="16"/>
          <w:lang w:val="en-GB"/>
        </w:rPr>
      </w:pPr>
    </w:p>
    <w:p w14:paraId="7ADE9341" w14:textId="77777777" w:rsidR="00E01F09" w:rsidRPr="00E01F09" w:rsidRDefault="00E01F09" w:rsidP="00E01F09">
      <w:pPr>
        <w:ind w:left="1134" w:hanging="1134"/>
        <w:rPr>
          <w:rFonts w:ascii="Cambria" w:eastAsia="MS Mincho" w:hAnsi="Cambria"/>
          <w:b/>
          <w:bCs/>
          <w:color w:val="00000A"/>
          <w:lang w:val="en-US"/>
        </w:rPr>
      </w:pPr>
      <w:r w:rsidRPr="00E01F09">
        <w:rPr>
          <w:rFonts w:ascii="Cambria" w:eastAsia="MS Mincho" w:hAnsi="Cambria"/>
          <w:b/>
          <w:bCs/>
          <w:color w:val="00000A"/>
          <w:lang w:val="en-US"/>
        </w:rPr>
        <w:t>SUBJECT:</w:t>
      </w:r>
      <w:r w:rsidRPr="00E01F09">
        <w:rPr>
          <w:rFonts w:ascii="Cambria" w:eastAsia="MS Mincho" w:hAnsi="Cambria"/>
          <w:b/>
          <w:bCs/>
          <w:color w:val="00000A"/>
          <w:lang w:val="en-US"/>
        </w:rPr>
        <w:tab/>
        <w:t>2025 ANNUAL MEETING OF THE CONSERVATION AND MANAGEMENT MEASURES COMPLIANCE COMMITTEE</w:t>
      </w:r>
    </w:p>
    <w:p w14:paraId="495DE7EA" w14:textId="77777777" w:rsidR="00E01F09" w:rsidRPr="00E01F09" w:rsidRDefault="00E01F09" w:rsidP="00E01F09">
      <w:pPr>
        <w:rPr>
          <w:rFonts w:ascii="Cambria" w:eastAsia="MS Mincho" w:hAnsi="Cambria"/>
          <w:color w:val="00000A"/>
          <w:lang w:val="en-US"/>
        </w:rPr>
      </w:pPr>
    </w:p>
    <w:p w14:paraId="3296CD62" w14:textId="77777777" w:rsidR="00E01F09" w:rsidRPr="00E01F09" w:rsidRDefault="00E01F09" w:rsidP="00E01F09">
      <w:pPr>
        <w:rPr>
          <w:rFonts w:ascii="Cambria" w:eastAsia="MS Mincho" w:hAnsi="Cambria"/>
          <w:color w:val="00000A"/>
          <w:lang w:val="en-US"/>
        </w:rPr>
      </w:pPr>
      <w:r w:rsidRPr="00E01F09">
        <w:rPr>
          <w:rFonts w:ascii="Cambria" w:eastAsia="MS Mincho" w:hAnsi="Cambria"/>
          <w:color w:val="00000A"/>
          <w:lang w:val="en-US"/>
        </w:rPr>
        <w:t>Dear Distinguished Delegates and Observers,</w:t>
      </w:r>
    </w:p>
    <w:p w14:paraId="5E51E61E" w14:textId="77777777" w:rsidR="00E01F09" w:rsidRPr="00E01F09" w:rsidRDefault="00E01F09" w:rsidP="00E01F09">
      <w:pPr>
        <w:rPr>
          <w:rFonts w:ascii="Cambria" w:eastAsia="MS Mincho" w:hAnsi="Cambria"/>
          <w:color w:val="00000A"/>
          <w:lang w:val="en-US"/>
        </w:rPr>
      </w:pPr>
    </w:p>
    <w:p w14:paraId="06F5EB9D" w14:textId="77777777" w:rsidR="00E01F09" w:rsidRPr="00E01F09" w:rsidRDefault="00E01F09" w:rsidP="00E01F09">
      <w:pPr>
        <w:rPr>
          <w:rFonts w:ascii="Cambria" w:eastAsia="MS Mincho" w:hAnsi="Cambria"/>
          <w:color w:val="00000A"/>
          <w:lang w:val="en-US"/>
        </w:rPr>
      </w:pPr>
      <w:r w:rsidRPr="00E01F09">
        <w:rPr>
          <w:rFonts w:ascii="Cambria" w:eastAsia="MS Mincho" w:hAnsi="Cambria"/>
          <w:color w:val="00000A"/>
          <w:lang w:val="en-US"/>
        </w:rPr>
        <w:t>I am looking forward to working with all participants at the 2025 Meeting of the Compliance Committee (COC), which pursuant to para 6 of the</w:t>
      </w:r>
      <w:r w:rsidRPr="00E01F09">
        <w:rPr>
          <w:rFonts w:ascii="Cambria" w:hAnsi="Cambria"/>
          <w:color w:val="00000A"/>
          <w:spacing w:val="-10"/>
          <w:w w:val="105"/>
          <w:lang w:val="en-US"/>
        </w:rPr>
        <w:t xml:space="preserve"> </w:t>
      </w:r>
      <w:hyperlink r:id="rId7" w:history="1">
        <w:r w:rsidRPr="00E01F09">
          <w:rPr>
            <w:rFonts w:ascii="Cambria" w:hAnsi="Cambria"/>
            <w:i/>
            <w:color w:val="467886"/>
            <w:w w:val="105"/>
            <w:lang w:val="en-US"/>
          </w:rPr>
          <w:t>Resolution</w:t>
        </w:r>
        <w:r w:rsidRPr="00E01F09">
          <w:rPr>
            <w:rFonts w:ascii="Cambria" w:hAnsi="Cambria"/>
            <w:i/>
            <w:color w:val="467886"/>
            <w:spacing w:val="-9"/>
            <w:w w:val="105"/>
            <w:lang w:val="en-US"/>
          </w:rPr>
          <w:t xml:space="preserve"> </w:t>
        </w:r>
        <w:r w:rsidRPr="00E01F09">
          <w:rPr>
            <w:rFonts w:ascii="Cambria" w:hAnsi="Cambria"/>
            <w:i/>
            <w:color w:val="467886"/>
            <w:w w:val="105"/>
            <w:lang w:val="en-US"/>
          </w:rPr>
          <w:t>by</w:t>
        </w:r>
        <w:r w:rsidRPr="00E01F09">
          <w:rPr>
            <w:rFonts w:ascii="Cambria" w:hAnsi="Cambria"/>
            <w:i/>
            <w:color w:val="467886"/>
            <w:spacing w:val="-10"/>
            <w:w w:val="105"/>
            <w:lang w:val="en-US"/>
          </w:rPr>
          <w:t xml:space="preserve"> </w:t>
        </w:r>
        <w:r w:rsidRPr="00E01F09">
          <w:rPr>
            <w:rFonts w:ascii="Cambria" w:hAnsi="Cambria"/>
            <w:i/>
            <w:color w:val="467886"/>
            <w:w w:val="105"/>
            <w:lang w:val="en-US"/>
          </w:rPr>
          <w:t>ICCAT</w:t>
        </w:r>
        <w:r w:rsidRPr="00E01F09">
          <w:rPr>
            <w:rFonts w:ascii="Cambria" w:hAnsi="Cambria"/>
            <w:i/>
            <w:color w:val="467886"/>
            <w:spacing w:val="-10"/>
            <w:w w:val="105"/>
            <w:lang w:val="en-US"/>
          </w:rPr>
          <w:t xml:space="preserve"> </w:t>
        </w:r>
        <w:r w:rsidRPr="00E01F09">
          <w:rPr>
            <w:rFonts w:ascii="Cambria" w:hAnsi="Cambria"/>
            <w:i/>
            <w:color w:val="467886"/>
            <w:w w:val="105"/>
            <w:lang w:val="en-US"/>
          </w:rPr>
          <w:t>to</w:t>
        </w:r>
        <w:r w:rsidRPr="00E01F09">
          <w:rPr>
            <w:rFonts w:ascii="Cambria" w:hAnsi="Cambria"/>
            <w:i/>
            <w:color w:val="467886"/>
            <w:spacing w:val="-10"/>
            <w:w w:val="105"/>
            <w:lang w:val="en-US"/>
          </w:rPr>
          <w:t xml:space="preserve"> </w:t>
        </w:r>
        <w:r w:rsidRPr="00E01F09">
          <w:rPr>
            <w:rFonts w:ascii="Cambria" w:hAnsi="Cambria"/>
            <w:i/>
            <w:color w:val="467886"/>
            <w:w w:val="105"/>
            <w:lang w:val="en-US"/>
          </w:rPr>
          <w:t>facilitate</w:t>
        </w:r>
        <w:r w:rsidRPr="00E01F09">
          <w:rPr>
            <w:rFonts w:ascii="Cambria" w:hAnsi="Cambria"/>
            <w:i/>
            <w:color w:val="467886"/>
            <w:spacing w:val="-10"/>
            <w:w w:val="105"/>
            <w:lang w:val="en-US"/>
          </w:rPr>
          <w:t xml:space="preserve"> </w:t>
        </w:r>
        <w:r w:rsidRPr="00E01F09">
          <w:rPr>
            <w:rFonts w:ascii="Cambria" w:hAnsi="Cambria"/>
            <w:i/>
            <w:color w:val="467886"/>
            <w:w w:val="105"/>
            <w:lang w:val="en-US"/>
          </w:rPr>
          <w:t>an</w:t>
        </w:r>
        <w:r w:rsidRPr="00E01F09">
          <w:rPr>
            <w:rFonts w:ascii="Cambria" w:hAnsi="Cambria"/>
            <w:i/>
            <w:color w:val="467886"/>
            <w:spacing w:val="-10"/>
            <w:w w:val="105"/>
            <w:lang w:val="en-US"/>
          </w:rPr>
          <w:t xml:space="preserve"> </w:t>
        </w:r>
        <w:r w:rsidRPr="00E01F09">
          <w:rPr>
            <w:rFonts w:ascii="Cambria" w:hAnsi="Cambria"/>
            <w:i/>
            <w:color w:val="467886"/>
            <w:w w:val="105"/>
            <w:lang w:val="en-US"/>
          </w:rPr>
          <w:t>effective</w:t>
        </w:r>
        <w:r w:rsidRPr="00E01F09">
          <w:rPr>
            <w:rFonts w:ascii="Cambria" w:hAnsi="Cambria"/>
            <w:i/>
            <w:color w:val="467886"/>
            <w:spacing w:val="-9"/>
            <w:w w:val="105"/>
            <w:lang w:val="en-US"/>
          </w:rPr>
          <w:t xml:space="preserve"> </w:t>
        </w:r>
        <w:r w:rsidRPr="00E01F09">
          <w:rPr>
            <w:rFonts w:ascii="Cambria" w:hAnsi="Cambria"/>
            <w:i/>
            <w:color w:val="467886"/>
            <w:w w:val="105"/>
            <w:lang w:val="en-US"/>
          </w:rPr>
          <w:t>and</w:t>
        </w:r>
        <w:r w:rsidRPr="00E01F09">
          <w:rPr>
            <w:rFonts w:ascii="Cambria" w:hAnsi="Cambria"/>
            <w:i/>
            <w:color w:val="467886"/>
            <w:spacing w:val="-6"/>
            <w:w w:val="105"/>
            <w:lang w:val="en-US"/>
          </w:rPr>
          <w:t xml:space="preserve"> </w:t>
        </w:r>
        <w:r w:rsidRPr="00E01F09">
          <w:rPr>
            <w:rFonts w:ascii="Cambria" w:hAnsi="Cambria"/>
            <w:i/>
            <w:color w:val="467886"/>
            <w:w w:val="105"/>
            <w:lang w:val="en-US"/>
          </w:rPr>
          <w:t>efficient</w:t>
        </w:r>
        <w:r w:rsidRPr="00E01F09">
          <w:rPr>
            <w:rFonts w:ascii="Cambria" w:hAnsi="Cambria"/>
            <w:i/>
            <w:color w:val="467886"/>
            <w:spacing w:val="-10"/>
            <w:w w:val="105"/>
            <w:lang w:val="en-US"/>
          </w:rPr>
          <w:t xml:space="preserve"> </w:t>
        </w:r>
        <w:r w:rsidRPr="00E01F09">
          <w:rPr>
            <w:rFonts w:ascii="Cambria" w:hAnsi="Cambria"/>
            <w:i/>
            <w:color w:val="467886"/>
            <w:w w:val="105"/>
            <w:lang w:val="en-US"/>
          </w:rPr>
          <w:t>compliance</w:t>
        </w:r>
        <w:r w:rsidRPr="00E01F09">
          <w:rPr>
            <w:rFonts w:ascii="Cambria" w:hAnsi="Cambria"/>
            <w:i/>
            <w:color w:val="467886"/>
            <w:spacing w:val="40"/>
            <w:w w:val="105"/>
            <w:lang w:val="en-US"/>
          </w:rPr>
          <w:t xml:space="preserve"> </w:t>
        </w:r>
        <w:r w:rsidRPr="00E01F09">
          <w:rPr>
            <w:rFonts w:ascii="Cambria" w:hAnsi="Cambria"/>
            <w:i/>
            <w:color w:val="467886"/>
            <w:w w:val="105"/>
            <w:lang w:val="en-US"/>
          </w:rPr>
          <w:t xml:space="preserve">process </w:t>
        </w:r>
        <w:r w:rsidRPr="00E01F09">
          <w:rPr>
            <w:rFonts w:ascii="Cambria" w:hAnsi="Cambria"/>
            <w:color w:val="467886"/>
            <w:w w:val="105"/>
            <w:lang w:val="en-US"/>
          </w:rPr>
          <w:t>(Res. 16-22),</w:t>
        </w:r>
      </w:hyperlink>
      <w:r w:rsidRPr="00E01F09">
        <w:rPr>
          <w:rFonts w:ascii="Cambria" w:eastAsia="MS Mincho" w:hAnsi="Cambria"/>
          <w:color w:val="00000A"/>
          <w:lang w:val="en-US"/>
        </w:rPr>
        <w:t xml:space="preserve"> will meet for its biennial two-day session on November 15-16, 2025, as well as during the Annual Meeting November 17-24, 2025. </w:t>
      </w:r>
    </w:p>
    <w:p w14:paraId="235C89EE" w14:textId="77777777" w:rsidR="00E01F09" w:rsidRPr="00E01F09" w:rsidRDefault="00E01F09" w:rsidP="00E01F09">
      <w:pPr>
        <w:rPr>
          <w:rFonts w:ascii="Cambria" w:eastAsia="MS Mincho" w:hAnsi="Cambria"/>
          <w:color w:val="00000A"/>
          <w:lang w:val="en-US"/>
        </w:rPr>
      </w:pPr>
    </w:p>
    <w:p w14:paraId="3024232A" w14:textId="553F21FB" w:rsidR="00E01F09" w:rsidRPr="00E01F09" w:rsidRDefault="00E01F09" w:rsidP="00E01F09">
      <w:pPr>
        <w:rPr>
          <w:rFonts w:ascii="Cambria" w:eastAsia="MS Mincho" w:hAnsi="Cambria"/>
          <w:color w:val="00000A"/>
          <w:lang w:val="en-US"/>
        </w:rPr>
      </w:pPr>
      <w:r w:rsidRPr="00E01F09">
        <w:rPr>
          <w:rFonts w:ascii="Cambria" w:eastAsia="MS Mincho" w:hAnsi="Cambria"/>
          <w:color w:val="00000A"/>
          <w:lang w:val="en-US"/>
        </w:rPr>
        <w:t xml:space="preserve">To ensure our discussions are constructive and efficient, I would like to take this opportunity to inform the Commission about how I intend to structure the meeting, subject to further input from CPCs and adoption of the </w:t>
      </w:r>
      <w:hyperlink r:id="rId8" w:history="1">
        <w:r w:rsidRPr="00E01F09">
          <w:rPr>
            <w:rFonts w:ascii="Cambria" w:eastAsia="MS Mincho" w:hAnsi="Cambria"/>
            <w:color w:val="0070C0"/>
            <w:lang w:val="en-US"/>
          </w:rPr>
          <w:t>Tentative Agenda</w:t>
        </w:r>
      </w:hyperlink>
      <w:r w:rsidRPr="00E01F09">
        <w:rPr>
          <w:rFonts w:ascii="Cambria" w:eastAsia="MS Mincho" w:hAnsi="Cambria"/>
          <w:color w:val="00000A"/>
          <w:lang w:val="en-US"/>
        </w:rPr>
        <w:t>. I would also like to provide information on certain Agenda items, to ensure that all CPCs submit and review relevant information and are prepared to actively engage in the COC meeting.</w:t>
      </w:r>
    </w:p>
    <w:p w14:paraId="7565C278" w14:textId="77777777" w:rsidR="00E01F09" w:rsidRPr="00E01F09" w:rsidRDefault="00E01F09" w:rsidP="00E01F09">
      <w:pPr>
        <w:rPr>
          <w:rFonts w:ascii="Cambria" w:eastAsia="MS Mincho" w:hAnsi="Cambria"/>
          <w:color w:val="00000A"/>
          <w:lang w:val="en-US"/>
        </w:rPr>
      </w:pPr>
    </w:p>
    <w:p w14:paraId="5BE268FB" w14:textId="77777777" w:rsidR="00E01F09" w:rsidRPr="00E01F09" w:rsidRDefault="00E01F09" w:rsidP="00E01F09">
      <w:pPr>
        <w:rPr>
          <w:rFonts w:ascii="Cambria" w:eastAsia="MS Mincho" w:hAnsi="Cambria"/>
          <w:b/>
          <w:bCs/>
          <w:color w:val="00000A"/>
          <w:lang w:val="en-US"/>
        </w:rPr>
      </w:pPr>
      <w:r w:rsidRPr="00E01F09">
        <w:rPr>
          <w:rFonts w:ascii="Cambria" w:eastAsia="MS Mincho" w:hAnsi="Cambria"/>
          <w:b/>
          <w:bCs/>
          <w:color w:val="00000A"/>
          <w:lang w:val="en-US"/>
        </w:rPr>
        <w:t>Request for advance input on potential CPC compliance issues</w:t>
      </w:r>
    </w:p>
    <w:p w14:paraId="17E25AE6" w14:textId="77777777" w:rsidR="00E01F09" w:rsidRPr="00E01F09" w:rsidRDefault="00E01F09" w:rsidP="00E01F09">
      <w:pPr>
        <w:rPr>
          <w:rFonts w:ascii="Cambria" w:eastAsia="MS Mincho" w:hAnsi="Cambria"/>
          <w:color w:val="00000A"/>
          <w:lang w:val="en-US"/>
        </w:rPr>
      </w:pPr>
    </w:p>
    <w:p w14:paraId="61C5EABE" w14:textId="77777777" w:rsidR="00E01F09" w:rsidRPr="00E01F09" w:rsidRDefault="00E01F09" w:rsidP="00E01F09">
      <w:pPr>
        <w:rPr>
          <w:rFonts w:ascii="Cambria" w:eastAsia="MS Mincho" w:hAnsi="Cambria"/>
          <w:color w:val="00000A"/>
          <w:lang w:val="en-US"/>
        </w:rPr>
      </w:pPr>
      <w:r w:rsidRPr="00E01F09">
        <w:rPr>
          <w:rFonts w:ascii="Cambria" w:eastAsia="MS Mincho" w:hAnsi="Cambria"/>
          <w:color w:val="00000A"/>
          <w:lang w:val="en-US"/>
        </w:rPr>
        <w:t xml:space="preserve">To facilitate a fulsome discussion during the CPC by CPC compliance review, which can be more in-depth this year due to the special two day session, and to ensure that issues are raised early enough for the COC and interested CPC to respond, I encourage CPCs to: </w:t>
      </w:r>
    </w:p>
    <w:p w14:paraId="00CB55EA" w14:textId="77777777" w:rsidR="00E01F09" w:rsidRPr="00E01F09" w:rsidRDefault="00E01F09" w:rsidP="00E01F09">
      <w:pPr>
        <w:rPr>
          <w:rFonts w:ascii="Cambria" w:eastAsia="MS Mincho" w:hAnsi="Cambria"/>
          <w:color w:val="00000A"/>
          <w:lang w:val="en-US"/>
        </w:rPr>
      </w:pPr>
    </w:p>
    <w:p w14:paraId="13ABB226" w14:textId="77777777" w:rsidR="00E01F09" w:rsidRPr="00E01F09" w:rsidRDefault="00E01F09" w:rsidP="00E01F09">
      <w:pPr>
        <w:widowControl w:val="0"/>
        <w:numPr>
          <w:ilvl w:val="0"/>
          <w:numId w:val="16"/>
        </w:numPr>
        <w:autoSpaceDE w:val="0"/>
        <w:autoSpaceDN w:val="0"/>
        <w:ind w:left="851" w:hanging="425"/>
        <w:contextualSpacing/>
        <w:jc w:val="left"/>
        <w:rPr>
          <w:rFonts w:ascii="Cambria" w:eastAsia="MS Mincho" w:hAnsi="Cambria"/>
          <w:color w:val="00000A"/>
          <w:lang w:val="en-US"/>
        </w:rPr>
      </w:pPr>
      <w:r w:rsidRPr="00E01F09">
        <w:rPr>
          <w:rFonts w:ascii="Cambria" w:eastAsia="MS Mincho" w:hAnsi="Cambria"/>
          <w:color w:val="00000A"/>
          <w:lang w:val="en-US"/>
        </w:rPr>
        <w:t xml:space="preserve">review the Annual Reports and other compliance-related documentation that will be posted on the </w:t>
      </w:r>
      <w:hyperlink r:id="rId9" w:history="1">
        <w:r w:rsidRPr="00E01F09">
          <w:rPr>
            <w:rFonts w:ascii="Cambria" w:eastAsia="MS Mincho" w:hAnsi="Cambria"/>
            <w:color w:val="0070C0"/>
            <w:lang w:val="en-US"/>
          </w:rPr>
          <w:t>2025 ICCAT meeting document site</w:t>
        </w:r>
      </w:hyperlink>
      <w:r w:rsidRPr="00E01F09">
        <w:rPr>
          <w:rFonts w:ascii="Cambria" w:eastAsia="MS Mincho" w:hAnsi="Cambria"/>
          <w:color w:val="00000A"/>
          <w:lang w:val="en-US"/>
        </w:rPr>
        <w:t>; and</w:t>
      </w:r>
    </w:p>
    <w:p w14:paraId="3CDE21DD" w14:textId="77777777" w:rsidR="00E01F09" w:rsidRPr="00E01F09" w:rsidRDefault="00E01F09" w:rsidP="00E01F09">
      <w:pPr>
        <w:ind w:left="851"/>
        <w:contextualSpacing/>
        <w:rPr>
          <w:rFonts w:ascii="Cambria" w:eastAsia="MS Mincho" w:hAnsi="Cambria"/>
          <w:color w:val="00000A"/>
          <w:lang w:val="en-US"/>
        </w:rPr>
      </w:pPr>
    </w:p>
    <w:p w14:paraId="30C5FA42" w14:textId="77777777" w:rsidR="00E01F09" w:rsidRPr="00E01F09" w:rsidRDefault="00E01F09" w:rsidP="00E01F09">
      <w:pPr>
        <w:widowControl w:val="0"/>
        <w:numPr>
          <w:ilvl w:val="0"/>
          <w:numId w:val="16"/>
        </w:numPr>
        <w:autoSpaceDE w:val="0"/>
        <w:autoSpaceDN w:val="0"/>
        <w:ind w:left="851" w:hanging="425"/>
        <w:contextualSpacing/>
        <w:jc w:val="left"/>
        <w:rPr>
          <w:rFonts w:ascii="Cambria" w:eastAsia="MS Mincho" w:hAnsi="Cambria"/>
          <w:color w:val="00000A"/>
          <w:lang w:val="en-US"/>
        </w:rPr>
      </w:pPr>
      <w:r w:rsidRPr="00E01F09">
        <w:rPr>
          <w:rFonts w:ascii="Cambria" w:eastAsia="MS Mincho" w:hAnsi="Cambria"/>
          <w:color w:val="00000A"/>
          <w:lang w:val="en-US"/>
        </w:rPr>
        <w:t xml:space="preserve">submit any questions or concerns regarding potential compliance issues matters to me, via </w:t>
      </w:r>
      <w:hyperlink r:id="rId10" w:history="1">
        <w:r w:rsidRPr="00E01F09">
          <w:rPr>
            <w:rFonts w:ascii="Cambria" w:eastAsia="MS Mincho" w:hAnsi="Cambria"/>
            <w:color w:val="467886"/>
            <w:lang w:val="en-US"/>
          </w:rPr>
          <w:t>info@iccat.int</w:t>
        </w:r>
      </w:hyperlink>
      <w:r w:rsidRPr="00E01F09">
        <w:rPr>
          <w:rFonts w:ascii="Cambria" w:eastAsia="MS Mincho" w:hAnsi="Cambria"/>
          <w:color w:val="00000A"/>
          <w:lang w:val="en-US"/>
        </w:rPr>
        <w:t xml:space="preserve">, no later than </w:t>
      </w:r>
      <w:r w:rsidRPr="00E01F09">
        <w:rPr>
          <w:rFonts w:ascii="Cambria" w:eastAsia="MS Mincho" w:hAnsi="Cambria"/>
          <w:b/>
          <w:bCs/>
          <w:color w:val="00000A"/>
          <w:lang w:val="en-US"/>
        </w:rPr>
        <w:t>Friday, 17 October 2025</w:t>
      </w:r>
      <w:r w:rsidRPr="00E01F09">
        <w:rPr>
          <w:rFonts w:ascii="Cambria" w:eastAsia="MS Mincho" w:hAnsi="Cambria"/>
          <w:color w:val="00000A"/>
          <w:lang w:val="en-US"/>
        </w:rPr>
        <w:t>. I will in turn consider this input as I work with the Secretariat to develop the Compliance Summary Tables and as I identify topics for the COC’s focus during its meetings. Additionally, where appropriate, I may consider sharing the submitted questions or concerns with the relevant CPC for their awareness and advance input.</w:t>
      </w:r>
    </w:p>
    <w:p w14:paraId="361E8567" w14:textId="77777777" w:rsidR="00E01F09" w:rsidRPr="00E01F09" w:rsidRDefault="00E01F09" w:rsidP="00E01F09">
      <w:pPr>
        <w:rPr>
          <w:rFonts w:ascii="Cambria" w:eastAsia="MS Mincho" w:hAnsi="Cambria"/>
          <w:color w:val="00000A"/>
          <w:lang w:val="en-US"/>
        </w:rPr>
      </w:pPr>
    </w:p>
    <w:p w14:paraId="4BF08893"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r w:rsidRPr="00E01F09">
        <w:rPr>
          <w:rFonts w:ascii="Cambria" w:eastAsia="MS Mincho" w:hAnsi="Cambria"/>
          <w:color w:val="00000A"/>
          <w:lang w:val="en-US"/>
        </w:rPr>
        <w:t>Additionally, pursuant to paragraph 2 of the</w:t>
      </w:r>
      <w:r w:rsidRPr="00E01F09">
        <w:rPr>
          <w:rFonts w:ascii="Cambria" w:hAnsi="Cambria"/>
          <w:color w:val="00000A"/>
          <w:spacing w:val="-10"/>
          <w:w w:val="105"/>
          <w:lang w:val="en-US"/>
        </w:rPr>
        <w:t xml:space="preserve"> </w:t>
      </w:r>
      <w:hyperlink r:id="rId11" w:history="1">
        <w:r w:rsidRPr="00E01F09">
          <w:rPr>
            <w:rFonts w:ascii="Cambria" w:hAnsi="Cambria"/>
            <w:i/>
            <w:color w:val="467886"/>
            <w:w w:val="105"/>
            <w:lang w:val="en-US"/>
          </w:rPr>
          <w:t>Resolution</w:t>
        </w:r>
        <w:r w:rsidRPr="00E01F09">
          <w:rPr>
            <w:rFonts w:ascii="Cambria" w:hAnsi="Cambria"/>
            <w:i/>
            <w:color w:val="467886"/>
            <w:spacing w:val="-9"/>
            <w:w w:val="105"/>
            <w:lang w:val="en-US"/>
          </w:rPr>
          <w:t xml:space="preserve"> </w:t>
        </w:r>
        <w:r w:rsidRPr="00E01F09">
          <w:rPr>
            <w:rFonts w:ascii="Cambria" w:hAnsi="Cambria"/>
            <w:i/>
            <w:color w:val="467886"/>
            <w:w w:val="105"/>
            <w:lang w:val="en-US"/>
          </w:rPr>
          <w:t>by</w:t>
        </w:r>
        <w:r w:rsidRPr="00E01F09">
          <w:rPr>
            <w:rFonts w:ascii="Cambria" w:hAnsi="Cambria"/>
            <w:i/>
            <w:color w:val="467886"/>
            <w:spacing w:val="-10"/>
            <w:w w:val="105"/>
            <w:lang w:val="en-US"/>
          </w:rPr>
          <w:t xml:space="preserve"> </w:t>
        </w:r>
        <w:r w:rsidRPr="00E01F09">
          <w:rPr>
            <w:rFonts w:ascii="Cambria" w:hAnsi="Cambria"/>
            <w:i/>
            <w:color w:val="467886"/>
            <w:w w:val="105"/>
            <w:lang w:val="en-US"/>
          </w:rPr>
          <w:t>ICCAT</w:t>
        </w:r>
        <w:r w:rsidRPr="00E01F09">
          <w:rPr>
            <w:rFonts w:ascii="Cambria" w:hAnsi="Cambria"/>
            <w:i/>
            <w:color w:val="467886"/>
            <w:spacing w:val="-10"/>
            <w:w w:val="105"/>
            <w:lang w:val="en-US"/>
          </w:rPr>
          <w:t xml:space="preserve"> </w:t>
        </w:r>
        <w:r w:rsidRPr="00E01F09">
          <w:rPr>
            <w:rFonts w:ascii="Cambria" w:hAnsi="Cambria"/>
            <w:i/>
            <w:color w:val="467886"/>
            <w:w w:val="105"/>
            <w:lang w:val="en-US"/>
          </w:rPr>
          <w:t>to</w:t>
        </w:r>
        <w:r w:rsidRPr="00E01F09">
          <w:rPr>
            <w:rFonts w:ascii="Cambria" w:hAnsi="Cambria"/>
            <w:i/>
            <w:color w:val="467886"/>
            <w:spacing w:val="-10"/>
            <w:w w:val="105"/>
            <w:lang w:val="en-US"/>
          </w:rPr>
          <w:t xml:space="preserve"> </w:t>
        </w:r>
        <w:r w:rsidRPr="00E01F09">
          <w:rPr>
            <w:rFonts w:ascii="Cambria" w:hAnsi="Cambria"/>
            <w:i/>
            <w:color w:val="467886"/>
            <w:w w:val="105"/>
            <w:lang w:val="en-US"/>
          </w:rPr>
          <w:t>facilitate</w:t>
        </w:r>
        <w:r w:rsidRPr="00E01F09">
          <w:rPr>
            <w:rFonts w:ascii="Cambria" w:hAnsi="Cambria"/>
            <w:i/>
            <w:color w:val="467886"/>
            <w:spacing w:val="-10"/>
            <w:w w:val="105"/>
            <w:lang w:val="en-US"/>
          </w:rPr>
          <w:t xml:space="preserve"> </w:t>
        </w:r>
        <w:r w:rsidRPr="00E01F09">
          <w:rPr>
            <w:rFonts w:ascii="Cambria" w:hAnsi="Cambria"/>
            <w:i/>
            <w:color w:val="467886"/>
            <w:w w:val="105"/>
            <w:lang w:val="en-US"/>
          </w:rPr>
          <w:t>an</w:t>
        </w:r>
        <w:r w:rsidRPr="00E01F09">
          <w:rPr>
            <w:rFonts w:ascii="Cambria" w:hAnsi="Cambria"/>
            <w:i/>
            <w:color w:val="467886"/>
            <w:spacing w:val="-10"/>
            <w:w w:val="105"/>
            <w:lang w:val="en-US"/>
          </w:rPr>
          <w:t xml:space="preserve"> </w:t>
        </w:r>
        <w:r w:rsidRPr="00E01F09">
          <w:rPr>
            <w:rFonts w:ascii="Cambria" w:hAnsi="Cambria"/>
            <w:i/>
            <w:color w:val="467886"/>
            <w:w w:val="105"/>
            <w:lang w:val="en-US"/>
          </w:rPr>
          <w:t>effective</w:t>
        </w:r>
        <w:r w:rsidRPr="00E01F09">
          <w:rPr>
            <w:rFonts w:ascii="Cambria" w:hAnsi="Cambria"/>
            <w:i/>
            <w:color w:val="467886"/>
            <w:spacing w:val="-9"/>
            <w:w w:val="105"/>
            <w:lang w:val="en-US"/>
          </w:rPr>
          <w:t xml:space="preserve"> </w:t>
        </w:r>
        <w:r w:rsidRPr="00E01F09">
          <w:rPr>
            <w:rFonts w:ascii="Cambria" w:hAnsi="Cambria"/>
            <w:i/>
            <w:color w:val="467886"/>
            <w:w w:val="105"/>
            <w:lang w:val="en-US"/>
          </w:rPr>
          <w:t>and</w:t>
        </w:r>
        <w:r w:rsidRPr="00E01F09">
          <w:rPr>
            <w:rFonts w:ascii="Cambria" w:hAnsi="Cambria"/>
            <w:i/>
            <w:color w:val="467886"/>
            <w:spacing w:val="-6"/>
            <w:w w:val="105"/>
            <w:lang w:val="en-US"/>
          </w:rPr>
          <w:t xml:space="preserve"> </w:t>
        </w:r>
        <w:r w:rsidRPr="00E01F09">
          <w:rPr>
            <w:rFonts w:ascii="Cambria" w:hAnsi="Cambria"/>
            <w:i/>
            <w:color w:val="467886"/>
            <w:w w:val="105"/>
            <w:lang w:val="en-US"/>
          </w:rPr>
          <w:t>efficient</w:t>
        </w:r>
        <w:r w:rsidRPr="00E01F09">
          <w:rPr>
            <w:rFonts w:ascii="Cambria" w:hAnsi="Cambria"/>
            <w:i/>
            <w:color w:val="467886"/>
            <w:spacing w:val="-10"/>
            <w:w w:val="105"/>
            <w:lang w:val="en-US"/>
          </w:rPr>
          <w:t xml:space="preserve"> </w:t>
        </w:r>
        <w:r w:rsidRPr="00E01F09">
          <w:rPr>
            <w:rFonts w:ascii="Cambria" w:hAnsi="Cambria"/>
            <w:i/>
            <w:color w:val="467886"/>
            <w:w w:val="105"/>
            <w:lang w:val="en-US"/>
          </w:rPr>
          <w:t>compliance</w:t>
        </w:r>
        <w:r w:rsidRPr="00E01F09">
          <w:rPr>
            <w:rFonts w:ascii="Cambria" w:hAnsi="Cambria"/>
            <w:i/>
            <w:color w:val="467886"/>
            <w:spacing w:val="40"/>
            <w:w w:val="105"/>
            <w:lang w:val="en-US"/>
          </w:rPr>
          <w:t xml:space="preserve"> </w:t>
        </w:r>
        <w:r w:rsidRPr="00E01F09">
          <w:rPr>
            <w:rFonts w:ascii="Cambria" w:hAnsi="Cambria"/>
            <w:i/>
            <w:color w:val="467886"/>
            <w:w w:val="105"/>
            <w:lang w:val="en-US"/>
          </w:rPr>
          <w:t xml:space="preserve">process </w:t>
        </w:r>
        <w:r w:rsidRPr="00E01F09">
          <w:rPr>
            <w:rFonts w:ascii="Cambria" w:hAnsi="Cambria"/>
            <w:color w:val="467886"/>
            <w:w w:val="105"/>
            <w:lang w:val="en-US"/>
          </w:rPr>
          <w:t>(Res. 16-22),</w:t>
        </w:r>
      </w:hyperlink>
      <w:r w:rsidRPr="00E01F09">
        <w:rPr>
          <w:rFonts w:ascii="Cambria" w:hAnsi="Cambria"/>
          <w:color w:val="0000FD"/>
          <w:w w:val="105"/>
          <w:lang w:val="en-US"/>
        </w:rPr>
        <w:t xml:space="preserve"> </w:t>
      </w:r>
      <w:r w:rsidRPr="00E01F09">
        <w:rPr>
          <w:rFonts w:ascii="Cambria" w:eastAsia="MS Mincho" w:hAnsi="Cambria"/>
          <w:color w:val="00000A"/>
          <w:lang w:val="en-US"/>
        </w:rPr>
        <w:t>I am working with the ICCAT Secretariat develop and circulate the first draft of the Compliance Summary Tables (COC_308/2025) on or around October 25, 2025, three weeks prior to the first COC session, at which point CPCs are invited to submit "initial, written explanations of inaccuracies or additional information to the ICCAT Secretariat on their own compliance information as reflected in the Draft Summary Compliance Tables and any supplementary tables at least five days before the start of the first session of the COC" (</w:t>
      </w:r>
      <w:r w:rsidRPr="00E01F09">
        <w:rPr>
          <w:rFonts w:ascii="Cambria" w:eastAsia="MS Mincho" w:hAnsi="Cambria"/>
          <w:b/>
          <w:bCs/>
          <w:color w:val="00000A"/>
          <w:lang w:val="en-US"/>
        </w:rPr>
        <w:t>Monday, November 10, 2025</w:t>
      </w:r>
      <w:r w:rsidRPr="00E01F09">
        <w:rPr>
          <w:rFonts w:ascii="Cambria" w:eastAsia="MS Mincho" w:hAnsi="Cambria"/>
          <w:color w:val="00000A"/>
          <w:lang w:val="en-US"/>
        </w:rPr>
        <w:t>).</w:t>
      </w:r>
    </w:p>
    <w:p w14:paraId="65B4462B" w14:textId="77777777" w:rsidR="00E01F09" w:rsidRPr="00E01F09" w:rsidRDefault="00E01F09" w:rsidP="00E01F09">
      <w:pPr>
        <w:widowControl w:val="0"/>
        <w:tabs>
          <w:tab w:val="left" w:pos="9072"/>
        </w:tabs>
        <w:autoSpaceDE w:val="0"/>
        <w:autoSpaceDN w:val="0"/>
        <w:ind w:left="1091" w:right="1061" w:hanging="6"/>
        <w:rPr>
          <w:rFonts w:ascii="Cambria" w:hAnsi="Cambria"/>
          <w:b/>
          <w:w w:val="105"/>
          <w:lang w:val="en-US"/>
        </w:rPr>
      </w:pPr>
    </w:p>
    <w:p w14:paraId="4FF4C67F" w14:textId="77777777" w:rsidR="00E01F09" w:rsidRPr="00E01F09" w:rsidRDefault="00E01F09" w:rsidP="00E01F09">
      <w:pPr>
        <w:widowControl w:val="0"/>
        <w:tabs>
          <w:tab w:val="left" w:pos="9072"/>
        </w:tabs>
        <w:autoSpaceDE w:val="0"/>
        <w:autoSpaceDN w:val="0"/>
        <w:ind w:right="-1"/>
        <w:rPr>
          <w:rFonts w:ascii="Cambria" w:eastAsia="MS Mincho" w:hAnsi="Cambria"/>
          <w:b/>
          <w:bCs/>
          <w:color w:val="00000A"/>
          <w:lang w:val="en-US"/>
        </w:rPr>
      </w:pPr>
      <w:r w:rsidRPr="00E01F09">
        <w:rPr>
          <w:rFonts w:ascii="Cambria" w:eastAsia="MS Mincho" w:hAnsi="Cambria"/>
          <w:b/>
          <w:bCs/>
          <w:color w:val="00000A"/>
          <w:lang w:val="en-US"/>
        </w:rPr>
        <w:t>Responses to Compliance Letters</w:t>
      </w:r>
    </w:p>
    <w:p w14:paraId="7C6FDF08"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p>
    <w:p w14:paraId="6ACC417F"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r w:rsidRPr="00E01F09">
        <w:rPr>
          <w:rFonts w:ascii="Cambria" w:eastAsia="MS Mincho" w:hAnsi="Cambria"/>
          <w:color w:val="00000A"/>
          <w:lang w:val="en-US"/>
        </w:rPr>
        <w:t xml:space="preserve">Most CPCs received a letter of identification or on compliance issues from the COC Chair, following the 2024 Meeting of the Compliance Committee. CPC written responses are essential for the Commission to conduct a meaningful review of actions taken by CPCs to address compliance issues identified by the Commission. I encourage those CPCs that have not already responded to provide a written response, using the response template and, where requested, an action plan, by the deadline in the letter they received. At this year’s meeting, I would like COC to devote more time to the response letters to assess the sufficiency of each response, and to discuss ways to better track CPC response actions over time. To this end, CPCs are encouraged to review response letters and raise any questions and concerns about the response at, or in advance of, the COC meetings. Chair letters and CPC response letters received to date will be posted on the </w:t>
      </w:r>
      <w:hyperlink r:id="rId12" w:history="1">
        <w:r w:rsidRPr="00E01F09">
          <w:rPr>
            <w:rFonts w:ascii="Cambria" w:eastAsia="MS Mincho" w:hAnsi="Cambria"/>
            <w:color w:val="00000A"/>
            <w:lang w:val="en-US"/>
          </w:rPr>
          <w:t>Annual Meeting website</w:t>
        </w:r>
      </w:hyperlink>
      <w:r w:rsidRPr="00E01F09">
        <w:rPr>
          <w:rFonts w:ascii="Cambria" w:eastAsia="MS Mincho" w:hAnsi="Cambria"/>
          <w:color w:val="00000A"/>
          <w:lang w:val="en-US"/>
        </w:rPr>
        <w:t>.</w:t>
      </w:r>
    </w:p>
    <w:p w14:paraId="38F98E43"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p>
    <w:p w14:paraId="529CBAB4" w14:textId="77777777" w:rsidR="00AC68FB" w:rsidRDefault="00AC68FB" w:rsidP="00E01F09">
      <w:pPr>
        <w:widowControl w:val="0"/>
        <w:tabs>
          <w:tab w:val="left" w:pos="9072"/>
        </w:tabs>
        <w:autoSpaceDE w:val="0"/>
        <w:autoSpaceDN w:val="0"/>
        <w:ind w:right="-1"/>
        <w:rPr>
          <w:rFonts w:ascii="Cambria" w:eastAsia="MS Mincho" w:hAnsi="Cambria"/>
          <w:b/>
          <w:bCs/>
          <w:color w:val="00000A"/>
          <w:lang w:val="en-US"/>
        </w:rPr>
      </w:pPr>
    </w:p>
    <w:p w14:paraId="58D3742F" w14:textId="211C37FD" w:rsidR="00E01F09" w:rsidRPr="00E01F09" w:rsidRDefault="00E01F09" w:rsidP="00E01F09">
      <w:pPr>
        <w:widowControl w:val="0"/>
        <w:tabs>
          <w:tab w:val="left" w:pos="9072"/>
        </w:tabs>
        <w:autoSpaceDE w:val="0"/>
        <w:autoSpaceDN w:val="0"/>
        <w:ind w:right="-1"/>
        <w:rPr>
          <w:rFonts w:ascii="Cambria" w:eastAsia="MS Mincho" w:hAnsi="Cambria"/>
          <w:b/>
          <w:bCs/>
          <w:color w:val="00000A"/>
          <w:lang w:val="en-US"/>
        </w:rPr>
      </w:pPr>
      <w:r w:rsidRPr="00E01F09">
        <w:rPr>
          <w:rFonts w:ascii="Cambria" w:eastAsia="MS Mincho" w:hAnsi="Cambria"/>
          <w:b/>
          <w:bCs/>
          <w:color w:val="00000A"/>
          <w:lang w:val="en-US"/>
        </w:rPr>
        <w:lastRenderedPageBreak/>
        <w:t>Priority matters</w:t>
      </w:r>
    </w:p>
    <w:p w14:paraId="431D12BB"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p>
    <w:p w14:paraId="4D6459BD" w14:textId="77777777" w:rsidR="00E01F09" w:rsidRDefault="00E01F09" w:rsidP="00E01F09">
      <w:pPr>
        <w:widowControl w:val="0"/>
        <w:tabs>
          <w:tab w:val="left" w:pos="9072"/>
        </w:tabs>
        <w:autoSpaceDE w:val="0"/>
        <w:autoSpaceDN w:val="0"/>
        <w:ind w:right="-1"/>
        <w:rPr>
          <w:rFonts w:ascii="Cambria" w:eastAsia="MS Mincho" w:hAnsi="Cambria"/>
          <w:color w:val="00000A"/>
          <w:lang w:val="en-US"/>
        </w:rPr>
      </w:pPr>
      <w:r w:rsidRPr="00E01F09">
        <w:rPr>
          <w:rFonts w:ascii="Cambria" w:eastAsia="MS Mincho" w:hAnsi="Cambria"/>
          <w:color w:val="00000A"/>
          <w:lang w:val="en-US"/>
        </w:rPr>
        <w:t xml:space="preserve">I have taken into account discussions at the 2024 COC meeting, as reflected in the meeting report, and identified the following measures for priority consideration at the 2025 meeting: </w:t>
      </w:r>
    </w:p>
    <w:p w14:paraId="65F115FF" w14:textId="77777777" w:rsidR="00AC68FB" w:rsidRPr="00E01F09" w:rsidRDefault="00AC68FB" w:rsidP="00E01F09">
      <w:pPr>
        <w:widowControl w:val="0"/>
        <w:tabs>
          <w:tab w:val="left" w:pos="9072"/>
        </w:tabs>
        <w:autoSpaceDE w:val="0"/>
        <w:autoSpaceDN w:val="0"/>
        <w:ind w:right="-1"/>
        <w:rPr>
          <w:rFonts w:ascii="Cambria" w:eastAsia="MS Mincho" w:hAnsi="Cambria"/>
          <w:color w:val="00000A"/>
          <w:lang w:val="en-US"/>
        </w:rPr>
      </w:pPr>
    </w:p>
    <w:p w14:paraId="66175B55" w14:textId="77777777" w:rsidR="00E01F09" w:rsidRPr="00E01F09" w:rsidRDefault="00E01F09" w:rsidP="00E01F09">
      <w:pPr>
        <w:widowControl w:val="0"/>
        <w:tabs>
          <w:tab w:val="left" w:pos="426"/>
        </w:tabs>
        <w:rPr>
          <w:rFonts w:ascii="Cambria" w:hAnsi="Cambria"/>
          <w:iCs/>
          <w:color w:val="0563C1"/>
          <w:lang w:val="en-GB" w:eastAsia="es-ES"/>
        </w:rPr>
      </w:pPr>
      <w:hyperlink r:id="rId13" w:history="1">
        <w:r w:rsidRPr="00E01F09">
          <w:rPr>
            <w:rFonts w:ascii="Cambria" w:hAnsi="Cambria"/>
            <w:i/>
            <w:color w:val="0563C1"/>
            <w:lang w:val="en-GB" w:eastAsia="es-ES"/>
          </w:rPr>
          <w:t xml:space="preserve">Recommendation by ICCAT amending Recommendation 18-09 on port State measures to prevent, deter, and eliminate illegal, unreported and unregulated fishing </w:t>
        </w:r>
        <w:r w:rsidRPr="00E01F09">
          <w:rPr>
            <w:rFonts w:ascii="Cambria" w:hAnsi="Cambria"/>
            <w:iCs/>
            <w:color w:val="0563C1"/>
            <w:lang w:val="en-GB" w:eastAsia="es-ES"/>
          </w:rPr>
          <w:t>(Rec. 23-17)</w:t>
        </w:r>
      </w:hyperlink>
    </w:p>
    <w:p w14:paraId="2917A9EA" w14:textId="77777777" w:rsidR="00E01F09" w:rsidRPr="00E01F09" w:rsidRDefault="00E01F09" w:rsidP="00E01F09">
      <w:pPr>
        <w:widowControl w:val="0"/>
        <w:tabs>
          <w:tab w:val="left" w:pos="426"/>
        </w:tabs>
        <w:autoSpaceDE w:val="0"/>
        <w:autoSpaceDN w:val="0"/>
        <w:rPr>
          <w:rFonts w:ascii="Cambria" w:hAnsi="Cambria"/>
          <w:sz w:val="12"/>
          <w:szCs w:val="12"/>
          <w:lang w:val="en-US"/>
        </w:rPr>
      </w:pPr>
    </w:p>
    <w:p w14:paraId="0BDE4E47" w14:textId="77777777" w:rsidR="00E01F09" w:rsidRPr="00E01F09" w:rsidRDefault="00E01F09" w:rsidP="00E01F09">
      <w:pPr>
        <w:widowControl w:val="0"/>
        <w:tabs>
          <w:tab w:val="left" w:pos="426"/>
        </w:tabs>
        <w:rPr>
          <w:rFonts w:ascii="Cambria" w:eastAsia="MS Mincho" w:hAnsi="Cambria"/>
          <w:color w:val="00000A"/>
          <w:lang w:val="en-US"/>
        </w:rPr>
      </w:pPr>
      <w:hyperlink r:id="rId14" w:history="1">
        <w:r w:rsidRPr="00E01F09">
          <w:rPr>
            <w:rFonts w:ascii="Cambria" w:hAnsi="Cambria"/>
            <w:i/>
            <w:color w:val="0563C1"/>
            <w:lang w:val="en-US" w:eastAsia="es-ES"/>
          </w:rPr>
          <w:t xml:space="preserve">Recommendation by ICCAT on improvement of compliance review of conservation and management measures regarding billfish caught in the ICCAT Convention area </w:t>
        </w:r>
        <w:r w:rsidRPr="00E01F09">
          <w:rPr>
            <w:rFonts w:ascii="Cambria" w:hAnsi="Cambria"/>
            <w:iCs/>
            <w:color w:val="0563C1"/>
            <w:lang w:val="en-US" w:eastAsia="es-ES"/>
          </w:rPr>
          <w:t>(Rec. 18-05</w:t>
        </w:r>
      </w:hyperlink>
      <w:hyperlink r:id="rId15" w:history="1">
        <w:r w:rsidRPr="00E01F09">
          <w:rPr>
            <w:rFonts w:ascii="Cambria" w:hAnsi="Cambria"/>
            <w:color w:val="467886"/>
            <w:lang w:val="en-US"/>
          </w:rPr>
          <w:t>)</w:t>
        </w:r>
      </w:hyperlink>
      <w:r w:rsidRPr="00E01F09">
        <w:rPr>
          <w:rFonts w:ascii="Cambria" w:hAnsi="Cambria"/>
          <w:i/>
          <w:lang w:val="en-US" w:eastAsia="es-ES"/>
        </w:rPr>
        <w:t xml:space="preserve"> </w:t>
      </w:r>
      <w:r w:rsidRPr="00E01F09">
        <w:rPr>
          <w:rFonts w:ascii="Cambria" w:eastAsia="MS Mincho" w:hAnsi="Cambria"/>
          <w:color w:val="00000A"/>
          <w:lang w:val="en-US"/>
        </w:rPr>
        <w:t>(Billfish Check Sheet)</w:t>
      </w:r>
    </w:p>
    <w:p w14:paraId="6A6DAC38" w14:textId="77777777" w:rsidR="00E01F09" w:rsidRPr="00E01F09" w:rsidRDefault="00E01F09" w:rsidP="00E01F09">
      <w:pPr>
        <w:widowControl w:val="0"/>
        <w:tabs>
          <w:tab w:val="left" w:pos="426"/>
        </w:tabs>
        <w:rPr>
          <w:rFonts w:ascii="Cambria" w:hAnsi="Cambria"/>
          <w:iCs/>
          <w:sz w:val="12"/>
          <w:szCs w:val="12"/>
          <w:lang w:val="en-US" w:eastAsia="es-ES"/>
        </w:rPr>
      </w:pPr>
    </w:p>
    <w:p w14:paraId="0C74C38D" w14:textId="77777777" w:rsidR="00E01F09" w:rsidRPr="00E01F09" w:rsidRDefault="00E01F09" w:rsidP="00E01F09">
      <w:pPr>
        <w:widowControl w:val="0"/>
        <w:tabs>
          <w:tab w:val="left" w:pos="426"/>
        </w:tabs>
        <w:rPr>
          <w:rFonts w:ascii="Cambria" w:eastAsia="MS Mincho" w:hAnsi="Cambria"/>
          <w:color w:val="00000A"/>
          <w:lang w:val="en-US"/>
        </w:rPr>
      </w:pPr>
      <w:hyperlink r:id="rId16" w:history="1">
        <w:r w:rsidRPr="00E01F09">
          <w:rPr>
            <w:rFonts w:ascii="Cambria" w:hAnsi="Cambria"/>
            <w:i/>
            <w:color w:val="0563C1"/>
            <w:lang w:val="en-US" w:eastAsia="es-ES"/>
          </w:rPr>
          <w:t xml:space="preserve">Recommendation by ICCAT to replace Recommendation 16-13 on improvement of compliance review of conservation and management measures regarding sharks caught in association with ICCAT fisheries </w:t>
        </w:r>
        <w:r w:rsidRPr="00E01F09">
          <w:rPr>
            <w:rFonts w:ascii="Cambria" w:hAnsi="Cambria"/>
            <w:iCs/>
            <w:color w:val="0563C1"/>
            <w:lang w:val="en-US" w:eastAsia="es-ES"/>
          </w:rPr>
          <w:t>(Rec. 18</w:t>
        </w:r>
        <w:r w:rsidRPr="00E01F09">
          <w:rPr>
            <w:rFonts w:ascii="Cambria" w:hAnsi="Cambria"/>
            <w:iCs/>
            <w:color w:val="0563C1"/>
            <w:lang w:val="en-US" w:eastAsia="es-ES"/>
          </w:rPr>
          <w:noBreakHyphen/>
          <w:t>06</w:t>
        </w:r>
      </w:hyperlink>
      <w:r w:rsidRPr="00E01F09">
        <w:rPr>
          <w:rFonts w:ascii="Cambria" w:hAnsi="Cambria"/>
          <w:color w:val="0070C0"/>
          <w:lang w:val="en-US"/>
        </w:rPr>
        <w:t>)</w:t>
      </w:r>
      <w:r w:rsidRPr="00E01F09">
        <w:rPr>
          <w:rFonts w:ascii="Cambria" w:hAnsi="Cambria"/>
          <w:iCs/>
          <w:color w:val="000000"/>
          <w:lang w:val="en-US" w:eastAsia="es-ES"/>
        </w:rPr>
        <w:t xml:space="preserve"> (</w:t>
      </w:r>
      <w:r w:rsidRPr="00E01F09">
        <w:rPr>
          <w:rFonts w:ascii="Cambria" w:eastAsia="MS Mincho" w:hAnsi="Cambria"/>
          <w:color w:val="00000A"/>
          <w:lang w:val="en-US"/>
        </w:rPr>
        <w:t xml:space="preserve">Shark Check Sheet) </w:t>
      </w:r>
    </w:p>
    <w:p w14:paraId="767EBE94" w14:textId="77777777" w:rsidR="00E01F09" w:rsidRPr="00E01F09" w:rsidRDefault="00E01F09" w:rsidP="00E01F09">
      <w:pPr>
        <w:widowControl w:val="0"/>
        <w:tabs>
          <w:tab w:val="left" w:pos="426"/>
        </w:tabs>
        <w:rPr>
          <w:rFonts w:ascii="Cambria" w:hAnsi="Cambria"/>
          <w:iCs/>
          <w:color w:val="000000"/>
          <w:sz w:val="12"/>
          <w:szCs w:val="12"/>
          <w:lang w:val="en-US" w:eastAsia="es-ES"/>
        </w:rPr>
      </w:pPr>
    </w:p>
    <w:p w14:paraId="7762231B" w14:textId="77777777" w:rsidR="00E01F09" w:rsidRPr="00E01F09" w:rsidRDefault="00E01F09" w:rsidP="00E01F09">
      <w:pPr>
        <w:widowControl w:val="0"/>
        <w:tabs>
          <w:tab w:val="left" w:pos="426"/>
        </w:tabs>
        <w:rPr>
          <w:rFonts w:ascii="Cambria" w:hAnsi="Cambria"/>
          <w:iCs/>
          <w:color w:val="0563C1"/>
          <w:lang w:val="en-US" w:eastAsia="es-ES"/>
        </w:rPr>
      </w:pPr>
      <w:hyperlink r:id="rId17" w:history="1">
        <w:r w:rsidRPr="00E01F09">
          <w:rPr>
            <w:rFonts w:ascii="Cambria" w:hAnsi="Cambria"/>
            <w:i/>
            <w:iCs/>
            <w:color w:val="0563C1"/>
            <w:lang w:val="en-US" w:eastAsia="es-ES"/>
          </w:rPr>
          <w:t>Recommendation by ICCAT to establish minimum standards for fishing vessel scientific observer programs</w:t>
        </w:r>
        <w:r w:rsidRPr="00E01F09">
          <w:rPr>
            <w:rFonts w:ascii="Cambria" w:hAnsi="Cambria"/>
            <w:i/>
            <w:color w:val="0563C1"/>
            <w:lang w:val="en-US" w:eastAsia="es-ES"/>
          </w:rPr>
          <w:t xml:space="preserve"> </w:t>
        </w:r>
        <w:r w:rsidRPr="00E01F09">
          <w:rPr>
            <w:rFonts w:ascii="Cambria" w:hAnsi="Cambria"/>
            <w:iCs/>
            <w:color w:val="0563C1"/>
            <w:lang w:val="en-US" w:eastAsia="es-ES"/>
          </w:rPr>
          <w:t>(Rec. 16</w:t>
        </w:r>
        <w:r w:rsidRPr="00E01F09">
          <w:rPr>
            <w:rFonts w:ascii="Cambria" w:hAnsi="Cambria"/>
            <w:i/>
            <w:color w:val="0563C1"/>
            <w:lang w:val="en-US" w:eastAsia="es-ES"/>
          </w:rPr>
          <w:t>-</w:t>
        </w:r>
        <w:r w:rsidRPr="00E01F09">
          <w:rPr>
            <w:rFonts w:ascii="Cambria" w:hAnsi="Cambria"/>
            <w:iCs/>
            <w:color w:val="0563C1"/>
            <w:lang w:val="en-US" w:eastAsia="es-ES"/>
          </w:rPr>
          <w:t>14)</w:t>
        </w:r>
      </w:hyperlink>
    </w:p>
    <w:p w14:paraId="0AE9C004" w14:textId="77777777" w:rsidR="00E01F09" w:rsidRPr="00E01F09" w:rsidRDefault="00E01F09" w:rsidP="00E01F09">
      <w:pPr>
        <w:widowControl w:val="0"/>
        <w:autoSpaceDE w:val="0"/>
        <w:autoSpaceDN w:val="0"/>
        <w:ind w:left="720"/>
        <w:contextualSpacing/>
        <w:rPr>
          <w:rFonts w:ascii="Cambria" w:hAnsi="Cambria"/>
          <w:sz w:val="12"/>
          <w:szCs w:val="12"/>
          <w:lang w:val="en-US"/>
        </w:rPr>
      </w:pPr>
    </w:p>
    <w:p w14:paraId="44782102" w14:textId="77777777" w:rsidR="00E01F09" w:rsidRPr="00E01F09" w:rsidRDefault="00E01F09" w:rsidP="00E01F09">
      <w:pPr>
        <w:widowControl w:val="0"/>
        <w:tabs>
          <w:tab w:val="left" w:pos="426"/>
        </w:tabs>
        <w:rPr>
          <w:rFonts w:ascii="Cambria" w:hAnsi="Cambria"/>
          <w:lang w:val="en-US"/>
        </w:rPr>
      </w:pPr>
      <w:hyperlink r:id="rId18" w:history="1">
        <w:r w:rsidRPr="00E01F09">
          <w:rPr>
            <w:rFonts w:ascii="Cambria" w:hAnsi="Cambria"/>
            <w:i/>
            <w:iCs/>
            <w:color w:val="0070C0"/>
            <w:lang w:val="en-US"/>
          </w:rPr>
          <w:t xml:space="preserve">Recommendation by ICCAT on the bycatch of sea turtles caught in association with ICCAT fisheries </w:t>
        </w:r>
        <w:r w:rsidRPr="00E01F09">
          <w:rPr>
            <w:rFonts w:ascii="Cambria" w:hAnsi="Cambria"/>
            <w:color w:val="0070C0"/>
            <w:lang w:val="en-US"/>
          </w:rPr>
          <w:t>(Rec. 22</w:t>
        </w:r>
        <w:r w:rsidRPr="00E01F09">
          <w:rPr>
            <w:rFonts w:ascii="Cambria" w:hAnsi="Cambria"/>
            <w:color w:val="0070C0"/>
            <w:lang w:val="en-US"/>
          </w:rPr>
          <w:noBreakHyphen/>
          <w:t>12)</w:t>
        </w:r>
      </w:hyperlink>
      <w:r w:rsidRPr="00E01F09">
        <w:rPr>
          <w:rFonts w:ascii="Cambria" w:hAnsi="Cambria"/>
          <w:color w:val="0070C0"/>
          <w:lang w:val="en-US"/>
        </w:rPr>
        <w:t xml:space="preserve"> </w:t>
      </w:r>
      <w:r w:rsidRPr="00E01F09">
        <w:rPr>
          <w:rFonts w:ascii="Cambria" w:hAnsi="Cambria"/>
          <w:lang w:val="en-US"/>
        </w:rPr>
        <w:t xml:space="preserve">as amended by </w:t>
      </w:r>
      <w:hyperlink r:id="rId19" w:history="1">
        <w:r w:rsidRPr="00E01F09">
          <w:rPr>
            <w:rFonts w:ascii="Cambria" w:hAnsi="Cambria"/>
            <w:i/>
            <w:iCs/>
            <w:color w:val="467886"/>
            <w:lang w:val="en-US"/>
          </w:rPr>
          <w:t>Supplemental Recommendation by ICCAT amending Recommendation 22-12 on the bycatch of sea turtles caught in association with ICCAT fisheries</w:t>
        </w:r>
        <w:r w:rsidRPr="00E01F09">
          <w:rPr>
            <w:rFonts w:ascii="Cambria" w:hAnsi="Cambria"/>
            <w:color w:val="467886"/>
            <w:lang w:val="en-US"/>
          </w:rPr>
          <w:t xml:space="preserve"> (Rec. 23-13)</w:t>
        </w:r>
      </w:hyperlink>
    </w:p>
    <w:p w14:paraId="4F973579" w14:textId="77777777" w:rsidR="00E01F09" w:rsidRPr="00E01F09" w:rsidRDefault="00E01F09" w:rsidP="00E01F09">
      <w:pPr>
        <w:widowControl w:val="0"/>
        <w:tabs>
          <w:tab w:val="left" w:pos="426"/>
        </w:tabs>
        <w:rPr>
          <w:rFonts w:ascii="Cambria" w:hAnsi="Cambria"/>
          <w:sz w:val="12"/>
          <w:szCs w:val="12"/>
          <w:lang w:val="en-US"/>
        </w:rPr>
      </w:pPr>
    </w:p>
    <w:p w14:paraId="76EB4470" w14:textId="77777777" w:rsidR="00E01F09" w:rsidRPr="00E01F09" w:rsidRDefault="00E01F09" w:rsidP="00E01F09">
      <w:pPr>
        <w:widowControl w:val="0"/>
        <w:tabs>
          <w:tab w:val="left" w:pos="426"/>
        </w:tabs>
        <w:rPr>
          <w:rFonts w:ascii="Cambria" w:hAnsi="Cambria"/>
          <w:color w:val="467886"/>
          <w:lang w:val="en-US"/>
        </w:rPr>
      </w:pPr>
      <w:r w:rsidRPr="00E01F09">
        <w:rPr>
          <w:rFonts w:ascii="Cambria" w:hAnsi="Cambria"/>
          <w:i/>
          <w:iCs/>
          <w:lang w:val="en-US"/>
        </w:rPr>
        <w:fldChar w:fldCharType="begin"/>
      </w:r>
      <w:r w:rsidRPr="00E01F09">
        <w:rPr>
          <w:rFonts w:ascii="Cambria" w:hAnsi="Cambria"/>
          <w:i/>
          <w:iCs/>
          <w:lang w:val="en-US"/>
        </w:rPr>
        <w:instrText>HYPERLINK "https://www.iccat.int/Documents/Recs/compendiopdf-e/2016-11-e.pdf"</w:instrText>
      </w:r>
      <w:r w:rsidRPr="00E01F09">
        <w:rPr>
          <w:rFonts w:ascii="Cambria" w:hAnsi="Cambria"/>
          <w:i/>
          <w:iCs/>
          <w:lang w:val="en-US"/>
        </w:rPr>
      </w:r>
      <w:r w:rsidRPr="00E01F09">
        <w:rPr>
          <w:rFonts w:ascii="Cambria" w:hAnsi="Cambria"/>
          <w:i/>
          <w:iCs/>
          <w:lang w:val="en-US"/>
        </w:rPr>
        <w:fldChar w:fldCharType="separate"/>
      </w:r>
      <w:r w:rsidRPr="00E01F09">
        <w:rPr>
          <w:rFonts w:ascii="Cambria" w:hAnsi="Cambria"/>
          <w:i/>
          <w:iCs/>
          <w:color w:val="467886"/>
          <w:lang w:val="en-US"/>
        </w:rPr>
        <w:t>Recommendation by ICCAT on management measures for the conservation of Atlantic sailfish</w:t>
      </w:r>
      <w:r w:rsidRPr="00E01F09">
        <w:rPr>
          <w:rFonts w:ascii="Cambria" w:hAnsi="Cambria"/>
          <w:color w:val="467886"/>
          <w:lang w:val="en-US"/>
        </w:rPr>
        <w:t xml:space="preserve"> (Rec. 16-11)</w:t>
      </w:r>
    </w:p>
    <w:p w14:paraId="3AAD6297" w14:textId="77777777" w:rsidR="00E01F09" w:rsidRPr="00E01F09" w:rsidRDefault="00E01F09" w:rsidP="00E01F09">
      <w:pPr>
        <w:widowControl w:val="0"/>
        <w:autoSpaceDE w:val="0"/>
        <w:autoSpaceDN w:val="0"/>
        <w:ind w:left="720"/>
        <w:contextualSpacing/>
        <w:rPr>
          <w:rFonts w:ascii="Cambria" w:hAnsi="Cambria"/>
          <w:lang w:val="en-US"/>
        </w:rPr>
      </w:pPr>
      <w:r w:rsidRPr="00E01F09">
        <w:rPr>
          <w:rFonts w:ascii="Cambria" w:hAnsi="Cambria"/>
          <w:i/>
          <w:iCs/>
          <w:lang w:val="en-US"/>
        </w:rPr>
        <w:fldChar w:fldCharType="end"/>
      </w:r>
    </w:p>
    <w:p w14:paraId="28AC15E5"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r w:rsidRPr="00E01F09">
        <w:rPr>
          <w:rFonts w:ascii="Cambria" w:eastAsia="MS Mincho" w:hAnsi="Cambria"/>
          <w:color w:val="00000A"/>
          <w:lang w:val="en-US"/>
        </w:rPr>
        <w:t xml:space="preserve">If CPCs have recommendations on other areas for the COC to prioritize at the 2025 Meeting of the Compliance Committee, I welcome that input in writing as far in advance of the meeting as possible, and no later than </w:t>
      </w:r>
      <w:r w:rsidRPr="00E01F09">
        <w:rPr>
          <w:rFonts w:ascii="Cambria" w:eastAsia="MS Mincho" w:hAnsi="Cambria"/>
          <w:b/>
          <w:bCs/>
          <w:color w:val="00000A"/>
          <w:lang w:val="en-US"/>
        </w:rPr>
        <w:t>Friday, October 24, 2025</w:t>
      </w:r>
      <w:r w:rsidRPr="00E01F09">
        <w:rPr>
          <w:rFonts w:ascii="Cambria" w:eastAsia="MS Mincho" w:hAnsi="Cambria"/>
          <w:color w:val="00000A"/>
          <w:lang w:val="en-US"/>
        </w:rPr>
        <w:t>.  CPC suggestions on how to efficiently and effectively conduct priority matter discussions in a way that enhances CPC participation would also be welcome.</w:t>
      </w:r>
    </w:p>
    <w:p w14:paraId="6CD0C044" w14:textId="77777777" w:rsidR="00E01F09" w:rsidRPr="00E01F09" w:rsidRDefault="00E01F09" w:rsidP="00E01F09">
      <w:pPr>
        <w:widowControl w:val="0"/>
        <w:autoSpaceDE w:val="0"/>
        <w:autoSpaceDN w:val="0"/>
        <w:ind w:right="1062"/>
        <w:rPr>
          <w:rFonts w:ascii="Cambria" w:hAnsi="Cambria"/>
          <w:spacing w:val="38"/>
          <w:w w:val="105"/>
          <w:lang w:val="en-US"/>
        </w:rPr>
      </w:pPr>
    </w:p>
    <w:p w14:paraId="1F6CD4E2" w14:textId="77777777" w:rsidR="00E01F09" w:rsidRPr="00E01F09" w:rsidRDefault="00E01F09" w:rsidP="00E01F09">
      <w:pPr>
        <w:widowControl w:val="0"/>
        <w:tabs>
          <w:tab w:val="left" w:pos="9072"/>
        </w:tabs>
        <w:autoSpaceDE w:val="0"/>
        <w:autoSpaceDN w:val="0"/>
        <w:ind w:right="-1"/>
        <w:rPr>
          <w:rFonts w:ascii="Cambria" w:eastAsia="MS Mincho" w:hAnsi="Cambria"/>
          <w:b/>
          <w:bCs/>
          <w:color w:val="00000A"/>
          <w:lang w:val="en-US"/>
        </w:rPr>
      </w:pPr>
      <w:r w:rsidRPr="00E01F09">
        <w:rPr>
          <w:rFonts w:ascii="Cambria" w:eastAsia="MS Mincho" w:hAnsi="Cambria"/>
          <w:b/>
          <w:bCs/>
          <w:color w:val="00000A"/>
          <w:lang w:val="en-US"/>
        </w:rPr>
        <w:t>Implementation of Schedule of actions</w:t>
      </w:r>
    </w:p>
    <w:p w14:paraId="2D2FB666"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p>
    <w:p w14:paraId="1A7527CC"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r w:rsidRPr="00E01F09">
        <w:rPr>
          <w:rFonts w:ascii="Cambria" w:eastAsia="MS Mincho" w:hAnsi="Cambria"/>
          <w:color w:val="00000A"/>
          <w:lang w:val="en-US"/>
        </w:rPr>
        <w:t>Lastly, at the 2025 meeting I would like the COC to continue its advancement towards full implementation of ICCAT’s</w:t>
      </w:r>
      <w:r w:rsidRPr="00E01F09">
        <w:rPr>
          <w:rFonts w:ascii="Cambria" w:hAnsi="Cambria"/>
          <w:lang w:val="en-US"/>
        </w:rPr>
        <w:t xml:space="preserve"> </w:t>
      </w:r>
      <w:hyperlink r:id="rId20" w:history="1">
        <w:r w:rsidRPr="00E01F09">
          <w:rPr>
            <w:rFonts w:ascii="Cambria" w:hAnsi="Cambria"/>
            <w:i/>
            <w:color w:val="0070C0"/>
            <w:w w:val="105"/>
            <w:lang w:val="en-US"/>
          </w:rPr>
          <w:t xml:space="preserve">Schedule of compliance issues and corresponding actions </w:t>
        </w:r>
        <w:r w:rsidRPr="00E01F09">
          <w:rPr>
            <w:rFonts w:ascii="Cambria" w:hAnsi="Cambria"/>
            <w:color w:val="0070C0"/>
            <w:w w:val="105"/>
            <w:lang w:val="en-US"/>
          </w:rPr>
          <w:t>(Ref. 22-18)</w:t>
        </w:r>
      </w:hyperlink>
      <w:r w:rsidRPr="00E01F09">
        <w:rPr>
          <w:rFonts w:ascii="Cambria" w:hAnsi="Cambria"/>
          <w:color w:val="0070C0"/>
          <w:lang w:val="en-US"/>
        </w:rPr>
        <w:t>.</w:t>
      </w:r>
      <w:r w:rsidRPr="00E01F09">
        <w:rPr>
          <w:rFonts w:ascii="Cambria" w:hAnsi="Cambria"/>
          <w:lang w:val="en-US"/>
        </w:rPr>
        <w:t xml:space="preserve">  I plan to work with the Secretariat and Friends of the Chair Group to develop methodologies and document formats that better synchronize the COC’s work with the categories and actions identified by the </w:t>
      </w:r>
      <w:r w:rsidRPr="00E01F09">
        <w:rPr>
          <w:rFonts w:ascii="Cambria" w:eastAsia="MS Mincho" w:hAnsi="Cambria"/>
          <w:color w:val="00000A"/>
          <w:lang w:val="en-US"/>
        </w:rPr>
        <w:t xml:space="preserve">Commission in </w:t>
      </w:r>
      <w:hyperlink r:id="rId21" w:history="1">
        <w:r w:rsidRPr="00E01F09">
          <w:rPr>
            <w:rFonts w:ascii="Cambria" w:eastAsia="MS Mincho" w:hAnsi="Cambria"/>
            <w:color w:val="467886"/>
            <w:lang w:val="en-US"/>
          </w:rPr>
          <w:t>Ref. 22-18</w:t>
        </w:r>
      </w:hyperlink>
      <w:r w:rsidRPr="00E01F09">
        <w:rPr>
          <w:rFonts w:ascii="Cambria" w:eastAsia="MS Mincho" w:hAnsi="Cambria"/>
          <w:color w:val="00000A"/>
          <w:lang w:val="en-US"/>
        </w:rPr>
        <w:t xml:space="preserve">; CPC ideas on how to better achieve the objectives of </w:t>
      </w:r>
      <w:hyperlink r:id="rId22" w:history="1">
        <w:r w:rsidRPr="00E01F09">
          <w:rPr>
            <w:rFonts w:ascii="Cambria" w:eastAsia="MS Mincho" w:hAnsi="Cambria"/>
            <w:color w:val="467886"/>
            <w:lang w:val="en-US"/>
          </w:rPr>
          <w:t>Ref. 22-18</w:t>
        </w:r>
      </w:hyperlink>
      <w:r w:rsidRPr="00E01F09">
        <w:rPr>
          <w:rFonts w:ascii="Cambria" w:eastAsia="MS Mincho" w:hAnsi="Cambria"/>
          <w:color w:val="00000A"/>
          <w:lang w:val="en-US"/>
        </w:rPr>
        <w:t xml:space="preserve"> are of course also welcome.</w:t>
      </w:r>
    </w:p>
    <w:p w14:paraId="1B846E31" w14:textId="77777777" w:rsidR="00E01F09" w:rsidRPr="00E01F09" w:rsidRDefault="00E01F09" w:rsidP="00E01F09">
      <w:pPr>
        <w:widowControl w:val="0"/>
        <w:tabs>
          <w:tab w:val="left" w:pos="9072"/>
        </w:tabs>
        <w:autoSpaceDE w:val="0"/>
        <w:autoSpaceDN w:val="0"/>
        <w:ind w:right="-1"/>
        <w:rPr>
          <w:rFonts w:ascii="Cambria" w:eastAsia="MS Mincho" w:hAnsi="Cambria"/>
          <w:color w:val="00000A"/>
          <w:lang w:val="en-US"/>
        </w:rPr>
      </w:pPr>
    </w:p>
    <w:p w14:paraId="4284004D" w14:textId="77777777" w:rsidR="00E01F09" w:rsidRPr="00E01F09" w:rsidRDefault="00E01F09" w:rsidP="00E01F09">
      <w:pPr>
        <w:widowControl w:val="0"/>
        <w:tabs>
          <w:tab w:val="left" w:pos="9072"/>
        </w:tabs>
        <w:autoSpaceDE w:val="0"/>
        <w:autoSpaceDN w:val="0"/>
        <w:ind w:right="-1"/>
        <w:rPr>
          <w:rFonts w:ascii="Cambria" w:hAnsi="Cambria"/>
          <w:lang w:val="en-US"/>
        </w:rPr>
      </w:pPr>
      <w:r w:rsidRPr="00E01F09">
        <w:rPr>
          <w:rFonts w:ascii="Cambria" w:hAnsi="Cambria"/>
          <w:lang w:val="en-US"/>
        </w:rPr>
        <w:t>To recap, the following input is invited in advance of the 2025 COC meeting:</w:t>
      </w:r>
    </w:p>
    <w:p w14:paraId="5D0C7425" w14:textId="77777777" w:rsidR="00E01F09" w:rsidRPr="00E01F09" w:rsidRDefault="00E01F09" w:rsidP="00E01F09">
      <w:pPr>
        <w:widowControl w:val="0"/>
        <w:autoSpaceDE w:val="0"/>
        <w:autoSpaceDN w:val="0"/>
        <w:rPr>
          <w:rFonts w:ascii="Cambria" w:hAnsi="Cambria"/>
          <w:lang w:val="en-US"/>
        </w:rPr>
      </w:pPr>
    </w:p>
    <w:p w14:paraId="41D0980B" w14:textId="77777777" w:rsidR="00E01F09" w:rsidRPr="00E01F09" w:rsidRDefault="00E01F09" w:rsidP="00E01F09">
      <w:pPr>
        <w:widowControl w:val="0"/>
        <w:autoSpaceDE w:val="0"/>
        <w:autoSpaceDN w:val="0"/>
        <w:rPr>
          <w:rFonts w:ascii="Cambria" w:hAnsi="Cambria"/>
          <w:b/>
          <w:bCs/>
          <w:i/>
          <w:iCs/>
          <w:lang w:val="en-US"/>
        </w:rPr>
      </w:pPr>
      <w:r w:rsidRPr="00E01F09">
        <w:rPr>
          <w:rFonts w:ascii="Cambria" w:hAnsi="Cambria"/>
          <w:b/>
          <w:bCs/>
          <w:i/>
          <w:iCs/>
          <w:lang w:val="en-US"/>
        </w:rPr>
        <w:t>By October 17, 2025</w:t>
      </w:r>
    </w:p>
    <w:p w14:paraId="7A65A759" w14:textId="77777777" w:rsidR="00E01F09" w:rsidRPr="00E01F09" w:rsidRDefault="00E01F09" w:rsidP="00E01F09">
      <w:pPr>
        <w:widowControl w:val="0"/>
        <w:autoSpaceDE w:val="0"/>
        <w:autoSpaceDN w:val="0"/>
        <w:rPr>
          <w:rFonts w:ascii="Cambria" w:hAnsi="Cambria"/>
          <w:lang w:val="en-US"/>
        </w:rPr>
      </w:pPr>
    </w:p>
    <w:p w14:paraId="28D1FADE" w14:textId="77777777" w:rsidR="00E01F09" w:rsidRPr="00E01F09" w:rsidRDefault="00E01F09" w:rsidP="00E01F09">
      <w:pPr>
        <w:widowControl w:val="0"/>
        <w:tabs>
          <w:tab w:val="left" w:pos="9072"/>
        </w:tabs>
        <w:autoSpaceDE w:val="0"/>
        <w:autoSpaceDN w:val="0"/>
        <w:ind w:right="-1"/>
        <w:rPr>
          <w:rFonts w:ascii="Cambria" w:hAnsi="Cambria"/>
          <w:lang w:val="en-US"/>
        </w:rPr>
      </w:pPr>
      <w:r w:rsidRPr="00E01F09">
        <w:rPr>
          <w:rFonts w:ascii="Cambria" w:hAnsi="Cambria"/>
          <w:lang w:val="en-US"/>
        </w:rPr>
        <w:t>Any questions or concerns regarding potential non-compliance by another CPC.</w:t>
      </w:r>
    </w:p>
    <w:p w14:paraId="1A91E21B" w14:textId="77777777" w:rsidR="00E01F09" w:rsidRPr="00E01F09" w:rsidRDefault="00E01F09" w:rsidP="00E01F09">
      <w:pPr>
        <w:widowControl w:val="0"/>
        <w:autoSpaceDE w:val="0"/>
        <w:autoSpaceDN w:val="0"/>
        <w:rPr>
          <w:rFonts w:ascii="Cambria" w:hAnsi="Cambria"/>
          <w:lang w:val="en-US"/>
        </w:rPr>
      </w:pPr>
    </w:p>
    <w:p w14:paraId="699BD5E9" w14:textId="77777777" w:rsidR="00E01F09" w:rsidRPr="00E01F09" w:rsidRDefault="00E01F09" w:rsidP="00E01F09">
      <w:pPr>
        <w:widowControl w:val="0"/>
        <w:autoSpaceDE w:val="0"/>
        <w:autoSpaceDN w:val="0"/>
        <w:rPr>
          <w:rFonts w:ascii="Cambria" w:hAnsi="Cambria"/>
          <w:b/>
          <w:bCs/>
          <w:i/>
          <w:iCs/>
          <w:lang w:val="en-US"/>
        </w:rPr>
      </w:pPr>
      <w:r w:rsidRPr="00E01F09">
        <w:rPr>
          <w:rFonts w:ascii="Cambria" w:hAnsi="Cambria"/>
          <w:b/>
          <w:bCs/>
          <w:i/>
          <w:iCs/>
          <w:lang w:val="en-US"/>
        </w:rPr>
        <w:t>By October 24, 2025</w:t>
      </w:r>
    </w:p>
    <w:p w14:paraId="1A6A3D03" w14:textId="77777777" w:rsidR="00E01F09" w:rsidRPr="00E01F09" w:rsidRDefault="00E01F09" w:rsidP="00E01F09">
      <w:pPr>
        <w:widowControl w:val="0"/>
        <w:autoSpaceDE w:val="0"/>
        <w:autoSpaceDN w:val="0"/>
        <w:rPr>
          <w:rFonts w:ascii="Cambria" w:hAnsi="Cambria"/>
          <w:lang w:val="en-US"/>
        </w:rPr>
      </w:pPr>
    </w:p>
    <w:p w14:paraId="78B36F1B" w14:textId="77777777" w:rsidR="00E01F09" w:rsidRPr="00E01F09" w:rsidRDefault="00E01F09" w:rsidP="00E01F09">
      <w:pPr>
        <w:widowControl w:val="0"/>
        <w:tabs>
          <w:tab w:val="left" w:pos="9072"/>
        </w:tabs>
        <w:autoSpaceDE w:val="0"/>
        <w:autoSpaceDN w:val="0"/>
        <w:ind w:right="-1"/>
        <w:rPr>
          <w:rFonts w:ascii="Cambria" w:hAnsi="Cambria"/>
          <w:lang w:val="en-US"/>
        </w:rPr>
      </w:pPr>
      <w:r w:rsidRPr="00E01F09">
        <w:rPr>
          <w:rFonts w:ascii="Cambria" w:hAnsi="Cambria"/>
          <w:lang w:val="en-US"/>
        </w:rPr>
        <w:t>CPC recommendations on other areas for the COC to prioritize at the 2025 Meeting of the Compliance Committee.</w:t>
      </w:r>
    </w:p>
    <w:p w14:paraId="16BA68E7" w14:textId="77777777" w:rsidR="00E01F09" w:rsidRPr="00E01F09" w:rsidRDefault="00E01F09" w:rsidP="00E01F09">
      <w:pPr>
        <w:widowControl w:val="0"/>
        <w:autoSpaceDE w:val="0"/>
        <w:autoSpaceDN w:val="0"/>
        <w:rPr>
          <w:rFonts w:ascii="Cambria" w:hAnsi="Cambria"/>
          <w:lang w:val="en-US"/>
        </w:rPr>
      </w:pPr>
    </w:p>
    <w:p w14:paraId="085736C5" w14:textId="77777777" w:rsidR="00E01F09" w:rsidRPr="00E01F09" w:rsidRDefault="00E01F09" w:rsidP="00E01F09">
      <w:pPr>
        <w:widowControl w:val="0"/>
        <w:autoSpaceDE w:val="0"/>
        <w:autoSpaceDN w:val="0"/>
        <w:rPr>
          <w:rFonts w:ascii="Cambria" w:hAnsi="Cambria"/>
          <w:b/>
          <w:bCs/>
          <w:i/>
          <w:iCs/>
          <w:lang w:val="en-US"/>
        </w:rPr>
      </w:pPr>
      <w:r w:rsidRPr="00E01F09">
        <w:rPr>
          <w:rFonts w:ascii="Cambria" w:hAnsi="Cambria"/>
          <w:b/>
          <w:bCs/>
          <w:i/>
          <w:iCs/>
          <w:lang w:val="en-US"/>
        </w:rPr>
        <w:t>By November 10, 2025</w:t>
      </w:r>
    </w:p>
    <w:p w14:paraId="14DCD6AC" w14:textId="77777777" w:rsidR="00E01F09" w:rsidRPr="00E01F09" w:rsidRDefault="00E01F09" w:rsidP="00E01F09">
      <w:pPr>
        <w:widowControl w:val="0"/>
        <w:autoSpaceDE w:val="0"/>
        <w:autoSpaceDN w:val="0"/>
        <w:rPr>
          <w:rFonts w:ascii="Cambria" w:hAnsi="Cambria"/>
          <w:b/>
          <w:bCs/>
          <w:i/>
          <w:iCs/>
          <w:lang w:val="en-US"/>
        </w:rPr>
      </w:pPr>
    </w:p>
    <w:p w14:paraId="77243350" w14:textId="7758B85B" w:rsidR="00E01F09" w:rsidRDefault="00E01F09" w:rsidP="00E01F09">
      <w:pPr>
        <w:widowControl w:val="0"/>
        <w:tabs>
          <w:tab w:val="left" w:pos="9072"/>
        </w:tabs>
        <w:autoSpaceDE w:val="0"/>
        <w:autoSpaceDN w:val="0"/>
        <w:ind w:right="-1"/>
        <w:rPr>
          <w:rFonts w:ascii="Cambria" w:hAnsi="Cambria"/>
          <w:lang w:val="en-US"/>
        </w:rPr>
      </w:pPr>
      <w:r w:rsidRPr="00E01F09">
        <w:rPr>
          <w:rFonts w:ascii="Cambria" w:hAnsi="Cambria"/>
          <w:lang w:val="en-US"/>
        </w:rPr>
        <w:t>CPCs are invited to submit "initial, written explanations of inaccuracies or additional information to the ICCAT Secretariat on their own compliance information as reflected in the Draft Summary Compliance Tables and any supplementary tables at least five days before the start of the first session of the COC" (Res. 16-22)</w:t>
      </w:r>
      <w:r w:rsidR="00AD436C">
        <w:rPr>
          <w:rFonts w:ascii="Cambria" w:hAnsi="Cambria"/>
          <w:lang w:val="en-US"/>
        </w:rPr>
        <w:t>.</w:t>
      </w:r>
    </w:p>
    <w:p w14:paraId="65E0BACA" w14:textId="77777777" w:rsidR="00AD436C" w:rsidRPr="00E01F09" w:rsidRDefault="00AD436C" w:rsidP="00E01F09">
      <w:pPr>
        <w:widowControl w:val="0"/>
        <w:tabs>
          <w:tab w:val="left" w:pos="9072"/>
        </w:tabs>
        <w:autoSpaceDE w:val="0"/>
        <w:autoSpaceDN w:val="0"/>
        <w:ind w:right="-1"/>
        <w:rPr>
          <w:rFonts w:ascii="Cambria" w:hAnsi="Cambria"/>
          <w:lang w:val="en-US"/>
        </w:rPr>
      </w:pPr>
    </w:p>
    <w:p w14:paraId="6CAFCED1" w14:textId="77777777" w:rsidR="00042B52" w:rsidRDefault="00E01F09" w:rsidP="00E01F09">
      <w:pPr>
        <w:widowControl w:val="0"/>
        <w:tabs>
          <w:tab w:val="left" w:pos="9072"/>
        </w:tabs>
        <w:autoSpaceDE w:val="0"/>
        <w:autoSpaceDN w:val="0"/>
        <w:ind w:right="-1"/>
        <w:rPr>
          <w:noProof/>
          <w:lang w:val="en-GB" w:eastAsia="en-GB"/>
        </w:rPr>
      </w:pPr>
      <w:r w:rsidRPr="00E01F09">
        <w:rPr>
          <w:rFonts w:ascii="Cambria" w:hAnsi="Cambria"/>
          <w:lang w:val="en-US"/>
        </w:rPr>
        <w:t>Please accept the assurances of my highest consideration.</w:t>
      </w:r>
      <w:r w:rsidR="00042B52" w:rsidRPr="00042B52">
        <w:rPr>
          <w:noProof/>
          <w:lang w:val="en-GB" w:eastAsia="en-GB"/>
        </w:rPr>
        <w:t xml:space="preserve"> </w:t>
      </w:r>
    </w:p>
    <w:p w14:paraId="781175CC" w14:textId="1DE170C4" w:rsidR="00E01F09" w:rsidRDefault="00042B52" w:rsidP="009A0B3A">
      <w:pPr>
        <w:widowControl w:val="0"/>
        <w:tabs>
          <w:tab w:val="left" w:pos="9072"/>
        </w:tabs>
        <w:autoSpaceDE w:val="0"/>
        <w:autoSpaceDN w:val="0"/>
        <w:ind w:right="-1"/>
        <w:jc w:val="right"/>
        <w:rPr>
          <w:rFonts w:ascii="Cambria" w:hAnsi="Cambria"/>
          <w:lang w:val="en-US"/>
        </w:rPr>
      </w:pPr>
      <w:r w:rsidRPr="00042B52">
        <w:rPr>
          <w:noProof/>
          <w:lang w:val="en-GB" w:eastAsia="en-GB"/>
        </w:rPr>
        <w:drawing>
          <wp:inline distT="0" distB="0" distL="0" distR="0" wp14:anchorId="478700F8" wp14:editId="5EFDF492">
            <wp:extent cx="2300855" cy="379730"/>
            <wp:effectExtent l="0" t="0" r="4445" b="1270"/>
            <wp:docPr id="2002248367" name="Picture 2002248367" descr="C:\Copia\ARCHIVES\Modèles\SIGNATURE\derek campbell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pia\ARCHIVES\Modèles\SIGNATURE\derek campbell signature.bmp"/>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370777" cy="391270"/>
                    </a:xfrm>
                    <a:prstGeom prst="rect">
                      <a:avLst/>
                    </a:prstGeom>
                    <a:noFill/>
                    <a:ln>
                      <a:noFill/>
                    </a:ln>
                    <a:extLst>
                      <a:ext uri="{53640926-AAD7-44D8-BBD7-CCE9431645EC}">
                        <a14:shadowObscured xmlns:a14="http://schemas.microsoft.com/office/drawing/2010/main"/>
                      </a:ext>
                    </a:extLst>
                  </pic:spPr>
                </pic:pic>
              </a:graphicData>
            </a:graphic>
          </wp:inline>
        </w:drawing>
      </w:r>
    </w:p>
    <w:p w14:paraId="27F8C392" w14:textId="316FEAB9" w:rsidR="00042B52" w:rsidRPr="00E01F09" w:rsidRDefault="00042B52" w:rsidP="00E01F09">
      <w:pPr>
        <w:widowControl w:val="0"/>
        <w:tabs>
          <w:tab w:val="left" w:pos="9072"/>
        </w:tabs>
        <w:autoSpaceDE w:val="0"/>
        <w:autoSpaceDN w:val="0"/>
        <w:ind w:right="-1"/>
        <w:rPr>
          <w:rFonts w:ascii="Cambria" w:hAnsi="Cambria"/>
          <w:lang w:val="en-US"/>
        </w:rPr>
      </w:pPr>
    </w:p>
    <w:p w14:paraId="6BDA7841" w14:textId="77777777" w:rsidR="00206C18" w:rsidRDefault="00206C18" w:rsidP="00206C18">
      <w:pPr>
        <w:widowControl w:val="0"/>
        <w:tabs>
          <w:tab w:val="left" w:pos="9072"/>
        </w:tabs>
        <w:autoSpaceDE w:val="0"/>
        <w:autoSpaceDN w:val="0"/>
        <w:ind w:left="5536" w:right="-1"/>
        <w:rPr>
          <w:rFonts w:ascii="Cambria" w:hAnsi="Cambria"/>
          <w:lang w:val="en-US"/>
        </w:rPr>
      </w:pPr>
      <w:r>
        <w:rPr>
          <w:rFonts w:ascii="Cambria" w:hAnsi="Cambria"/>
          <w:lang w:val="en-US"/>
        </w:rPr>
        <w:t>D</w:t>
      </w:r>
      <w:r w:rsidR="001019C5">
        <w:rPr>
          <w:rFonts w:ascii="Cambria" w:hAnsi="Cambria"/>
          <w:lang w:val="en-US"/>
        </w:rPr>
        <w:t>erek Campbell</w:t>
      </w:r>
    </w:p>
    <w:p w14:paraId="05EE460A" w14:textId="4C5B7669" w:rsidR="009A0B3A" w:rsidRPr="00E01F09" w:rsidRDefault="009A0B3A" w:rsidP="00206C18">
      <w:pPr>
        <w:widowControl w:val="0"/>
        <w:tabs>
          <w:tab w:val="left" w:pos="9072"/>
        </w:tabs>
        <w:autoSpaceDE w:val="0"/>
        <w:autoSpaceDN w:val="0"/>
        <w:ind w:left="5536" w:right="-1"/>
        <w:rPr>
          <w:rFonts w:ascii="Cambria" w:hAnsi="Cambria"/>
          <w:i/>
          <w:iCs/>
          <w:lang w:val="en-US"/>
        </w:rPr>
      </w:pPr>
      <w:r w:rsidRPr="009A0B3A">
        <w:rPr>
          <w:rFonts w:ascii="Cambria" w:hAnsi="Cambria"/>
          <w:i/>
          <w:iCs/>
          <w:lang w:val="en-US"/>
        </w:rPr>
        <w:t>Compliance Committee Chair</w:t>
      </w:r>
    </w:p>
    <w:sectPr w:rsidR="009A0B3A" w:rsidRPr="00E01F09" w:rsidSect="00AC68FB">
      <w:headerReference w:type="default" r:id="rId24"/>
      <w:footerReference w:type="default" r:id="rId25"/>
      <w:headerReference w:type="first" r:id="rId26"/>
      <w:footerReference w:type="first" r:id="rId27"/>
      <w:type w:val="continuous"/>
      <w:pgSz w:w="11906" w:h="16838"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CB55" w14:textId="77777777" w:rsidR="008E1778" w:rsidRDefault="008E1778">
      <w:r>
        <w:separator/>
      </w:r>
    </w:p>
  </w:endnote>
  <w:endnote w:type="continuationSeparator" w:id="0">
    <w:p w14:paraId="3DE18D13" w14:textId="77777777" w:rsidR="008E1778" w:rsidRDefault="008E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C351" w14:textId="77777777" w:rsidR="00AC68FB" w:rsidRPr="00AC68FB" w:rsidRDefault="00AC68FB" w:rsidP="00AC68FB">
    <w:pPr>
      <w:tabs>
        <w:tab w:val="center" w:pos="4535"/>
        <w:tab w:val="center" w:pos="4680"/>
        <w:tab w:val="left" w:pos="6150"/>
        <w:tab w:val="right" w:pos="9360"/>
      </w:tabs>
      <w:jc w:val="center"/>
      <w:rPr>
        <w:rFonts w:asciiTheme="majorHAnsi" w:hAnsiTheme="majorHAnsi"/>
      </w:rPr>
    </w:pP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PAGE </w:instrText>
    </w:r>
    <w:r w:rsidRPr="00AC68FB">
      <w:rPr>
        <w:rFonts w:asciiTheme="majorHAnsi" w:eastAsia="Calibri" w:hAnsiTheme="majorHAnsi" w:cs="Calibri"/>
      </w:rPr>
      <w:fldChar w:fldCharType="separate"/>
    </w:r>
    <w:r w:rsidRPr="00AC68FB">
      <w:rPr>
        <w:rFonts w:asciiTheme="majorHAnsi" w:eastAsia="Calibri" w:hAnsiTheme="majorHAnsi" w:cs="Calibri"/>
      </w:rPr>
      <w:t>1</w:t>
    </w:r>
    <w:r w:rsidRPr="00AC68FB">
      <w:rPr>
        <w:rFonts w:asciiTheme="majorHAnsi" w:eastAsia="Calibri" w:hAnsiTheme="majorHAnsi" w:cs="Calibri"/>
      </w:rPr>
      <w:fldChar w:fldCharType="end"/>
    </w:r>
    <w:r w:rsidRPr="00AC68FB">
      <w:rPr>
        <w:rFonts w:asciiTheme="majorHAnsi" w:eastAsia="Calibri" w:hAnsiTheme="majorHAnsi" w:cs="Calibri"/>
      </w:rPr>
      <w:t xml:space="preserve"> / </w:t>
    </w: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NUMPAGES  </w:instrText>
    </w:r>
    <w:r w:rsidRPr="00AC68FB">
      <w:rPr>
        <w:rFonts w:asciiTheme="majorHAnsi" w:eastAsia="Calibri" w:hAnsiTheme="majorHAnsi" w:cs="Calibri"/>
      </w:rPr>
      <w:fldChar w:fldCharType="separate"/>
    </w:r>
    <w:r w:rsidRPr="00AC68FB">
      <w:rPr>
        <w:rFonts w:asciiTheme="majorHAnsi" w:eastAsia="Calibri" w:hAnsiTheme="majorHAnsi" w:cs="Calibri"/>
      </w:rPr>
      <w:t>2</w:t>
    </w:r>
    <w:r w:rsidRPr="00AC68FB">
      <w:rPr>
        <w:rFonts w:asciiTheme="majorHAnsi" w:eastAsia="Calibri" w:hAnsiTheme="majorHAns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CC15" w14:textId="77777777" w:rsidR="00594B6C" w:rsidRPr="00AC68FB" w:rsidRDefault="00594B6C" w:rsidP="00594B6C">
    <w:pPr>
      <w:tabs>
        <w:tab w:val="center" w:pos="4535"/>
        <w:tab w:val="center" w:pos="4680"/>
        <w:tab w:val="left" w:pos="6150"/>
        <w:tab w:val="right" w:pos="9360"/>
      </w:tabs>
      <w:jc w:val="center"/>
      <w:rPr>
        <w:rFonts w:asciiTheme="majorHAnsi" w:hAnsiTheme="majorHAnsi"/>
      </w:rPr>
    </w:pP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PAGE </w:instrText>
    </w:r>
    <w:r w:rsidRPr="00AC68FB">
      <w:rPr>
        <w:rFonts w:asciiTheme="majorHAnsi" w:eastAsia="Calibri" w:hAnsiTheme="majorHAnsi" w:cs="Calibri"/>
      </w:rPr>
      <w:fldChar w:fldCharType="separate"/>
    </w:r>
    <w:r w:rsidRPr="00AC68FB">
      <w:rPr>
        <w:rFonts w:asciiTheme="majorHAnsi" w:hAnsiTheme="majorHAnsi" w:cs="Calibri"/>
      </w:rPr>
      <w:t>1</w:t>
    </w:r>
    <w:r w:rsidRPr="00AC68FB">
      <w:rPr>
        <w:rFonts w:asciiTheme="majorHAnsi" w:eastAsia="Calibri" w:hAnsiTheme="majorHAnsi" w:cs="Calibri"/>
      </w:rPr>
      <w:fldChar w:fldCharType="end"/>
    </w:r>
    <w:r w:rsidRPr="00AC68FB">
      <w:rPr>
        <w:rFonts w:asciiTheme="majorHAnsi" w:eastAsia="Calibri" w:hAnsiTheme="majorHAnsi" w:cs="Calibri"/>
      </w:rPr>
      <w:t xml:space="preserve"> / </w:t>
    </w: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NUMPAGES  </w:instrText>
    </w:r>
    <w:r w:rsidRPr="00AC68FB">
      <w:rPr>
        <w:rFonts w:asciiTheme="majorHAnsi" w:eastAsia="Calibri" w:hAnsiTheme="majorHAnsi" w:cs="Calibri"/>
      </w:rPr>
      <w:fldChar w:fldCharType="separate"/>
    </w:r>
    <w:r w:rsidRPr="00AC68FB">
      <w:rPr>
        <w:rFonts w:asciiTheme="majorHAnsi" w:hAnsiTheme="majorHAnsi" w:cs="Calibri"/>
      </w:rPr>
      <w:t>6</w:t>
    </w:r>
    <w:r w:rsidRPr="00AC68FB">
      <w:rPr>
        <w:rFonts w:asciiTheme="majorHAnsi" w:eastAsia="Calibri" w:hAnsiTheme="majorHAns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686F" w14:textId="77777777" w:rsidR="008E1778" w:rsidRDefault="008E1778">
      <w:r>
        <w:separator/>
      </w:r>
    </w:p>
  </w:footnote>
  <w:footnote w:type="continuationSeparator" w:id="0">
    <w:p w14:paraId="7CC7873E" w14:textId="77777777" w:rsidR="008E1778" w:rsidRDefault="008E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92AE" w14:textId="77777777" w:rsidR="00AC68FB" w:rsidRPr="00304A04" w:rsidRDefault="00AC68FB" w:rsidP="00AC68FB">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r>
      <w:rPr>
        <w:rFonts w:ascii="Cambria" w:eastAsia="Calibri" w:hAnsi="Cambria" w:cs="Cambria"/>
        <w:b/>
        <w:bCs/>
        <w:lang w:val="en-US"/>
      </w:rPr>
      <w:t>COC</w:t>
    </w:r>
    <w:r w:rsidRPr="00304A04">
      <w:rPr>
        <w:rFonts w:ascii="Cambria" w:eastAsia="Calibri" w:hAnsi="Cambria" w:cs="Cambria"/>
        <w:b/>
        <w:bCs/>
        <w:lang w:val="en-US"/>
      </w:rPr>
      <w:t>_</w:t>
    </w:r>
    <w:r>
      <w:rPr>
        <w:rFonts w:ascii="Cambria" w:eastAsia="Calibri" w:hAnsi="Cambria" w:cs="Cambria"/>
        <w:b/>
        <w:bCs/>
        <w:lang w:val="en-US"/>
      </w:rPr>
      <w:t>317</w:t>
    </w:r>
    <w:r w:rsidRPr="00304A04">
      <w:rPr>
        <w:rFonts w:ascii="Cambria" w:eastAsia="Calibri" w:hAnsi="Cambria" w:cs="Cambria"/>
        <w:b/>
        <w:bCs/>
        <w:lang w:val="en-US"/>
      </w:rPr>
      <w:t>/2025</w:t>
    </w:r>
  </w:p>
  <w:p w14:paraId="0D2BA023" w14:textId="0A65C82E" w:rsidR="00AC68FB" w:rsidRDefault="00AC68FB" w:rsidP="00AC68FB">
    <w:pPr>
      <w:widowControl w:val="0"/>
      <w:tabs>
        <w:tab w:val="left" w:pos="7320"/>
      </w:tabs>
      <w:autoSpaceDE w:val="0"/>
      <w:autoSpaceDN w:val="0"/>
      <w:spacing w:line="240" w:lineRule="exact"/>
      <w:jc w:val="right"/>
    </w:pPr>
    <w:r w:rsidRPr="00304A04">
      <w:rPr>
        <w:rFonts w:ascii="Cambria" w:eastAsia="Cambria" w:hAnsi="Cambria" w:cs="Cambria"/>
        <w:b/>
        <w:bCs/>
        <w:sz w:val="16"/>
        <w:szCs w:val="16"/>
        <w:lang w:val="es-ES_tradnl"/>
      </w:rPr>
      <w:fldChar w:fldCharType="begin"/>
    </w:r>
    <w:r w:rsidRPr="00304A04">
      <w:rPr>
        <w:rFonts w:ascii="Cambria" w:eastAsia="Cambria" w:hAnsi="Cambria" w:cs="Cambria"/>
        <w:b/>
        <w:bCs/>
        <w:sz w:val="16"/>
        <w:szCs w:val="16"/>
        <w:lang w:val="es-ES_tradnl"/>
      </w:rPr>
      <w:instrText xml:space="preserve"> TIME \@ "dd/MM/yyyy H:mm" </w:instrText>
    </w:r>
    <w:r w:rsidRPr="00304A04">
      <w:rPr>
        <w:rFonts w:ascii="Cambria" w:eastAsia="Cambria" w:hAnsi="Cambria" w:cs="Cambria"/>
        <w:b/>
        <w:bCs/>
        <w:sz w:val="16"/>
        <w:szCs w:val="16"/>
        <w:lang w:val="es-ES_tradnl"/>
      </w:rPr>
      <w:fldChar w:fldCharType="separate"/>
    </w:r>
    <w:r w:rsidR="00DC4959">
      <w:rPr>
        <w:rFonts w:ascii="Cambria" w:eastAsia="Cambria" w:hAnsi="Cambria" w:cs="Cambria"/>
        <w:b/>
        <w:bCs/>
        <w:noProof/>
        <w:sz w:val="16"/>
        <w:szCs w:val="16"/>
        <w:lang w:val="es-ES_tradnl"/>
      </w:rPr>
      <w:t>29/10/2025 14:39</w:t>
    </w:r>
    <w:r w:rsidRPr="00304A04">
      <w:rPr>
        <w:rFonts w:ascii="Cambria" w:eastAsia="Cambria" w:hAnsi="Cambria" w:cs="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B41C" w14:textId="7927942C" w:rsidR="00304A04" w:rsidRPr="00304A04" w:rsidRDefault="00304A04" w:rsidP="00304A04">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lang w:val="en-US"/>
      </w:rPr>
      <w:t>COC</w:t>
    </w:r>
    <w:r w:rsidRPr="00304A04">
      <w:rPr>
        <w:rFonts w:ascii="Cambria" w:eastAsia="Calibri" w:hAnsi="Cambria" w:cs="Cambria"/>
        <w:b/>
        <w:bCs/>
        <w:lang w:val="en-US"/>
      </w:rPr>
      <w:t>_</w:t>
    </w:r>
    <w:r>
      <w:rPr>
        <w:rFonts w:ascii="Cambria" w:eastAsia="Calibri" w:hAnsi="Cambria" w:cs="Cambria"/>
        <w:b/>
        <w:bCs/>
        <w:lang w:val="en-US"/>
      </w:rPr>
      <w:t>317</w:t>
    </w:r>
    <w:r w:rsidRPr="00304A04">
      <w:rPr>
        <w:rFonts w:ascii="Cambria" w:eastAsia="Calibri" w:hAnsi="Cambria" w:cs="Cambria"/>
        <w:b/>
        <w:bCs/>
        <w:lang w:val="en-US"/>
      </w:rPr>
      <w:t>/2025</w:t>
    </w:r>
  </w:p>
  <w:p w14:paraId="0AB1B773" w14:textId="7DE35D97" w:rsidR="0044168E" w:rsidRPr="00960BFB" w:rsidRDefault="00304A04" w:rsidP="00AC68FB">
    <w:pPr>
      <w:widowControl w:val="0"/>
      <w:tabs>
        <w:tab w:val="left" w:pos="7320"/>
      </w:tabs>
      <w:autoSpaceDE w:val="0"/>
      <w:autoSpaceDN w:val="0"/>
      <w:spacing w:line="240" w:lineRule="exact"/>
      <w:jc w:val="right"/>
    </w:pPr>
    <w:r w:rsidRPr="00304A04">
      <w:rPr>
        <w:rFonts w:ascii="Cambria" w:eastAsia="Cambria" w:hAnsi="Cambria" w:cs="Cambria"/>
        <w:b/>
        <w:bCs/>
        <w:sz w:val="16"/>
        <w:szCs w:val="16"/>
        <w:lang w:val="es-ES_tradnl"/>
      </w:rPr>
      <w:fldChar w:fldCharType="begin"/>
    </w:r>
    <w:r w:rsidRPr="00304A04">
      <w:rPr>
        <w:rFonts w:ascii="Cambria" w:eastAsia="Cambria" w:hAnsi="Cambria" w:cs="Cambria"/>
        <w:b/>
        <w:bCs/>
        <w:sz w:val="16"/>
        <w:szCs w:val="16"/>
        <w:lang w:val="es-ES_tradnl"/>
      </w:rPr>
      <w:instrText xml:space="preserve"> TIME \@ "dd/MM/yyyy H:mm" </w:instrText>
    </w:r>
    <w:r w:rsidRPr="00304A04">
      <w:rPr>
        <w:rFonts w:ascii="Cambria" w:eastAsia="Cambria" w:hAnsi="Cambria" w:cs="Cambria"/>
        <w:b/>
        <w:bCs/>
        <w:sz w:val="16"/>
        <w:szCs w:val="16"/>
        <w:lang w:val="es-ES_tradnl"/>
      </w:rPr>
      <w:fldChar w:fldCharType="separate"/>
    </w:r>
    <w:r w:rsidR="00DC4959">
      <w:rPr>
        <w:rFonts w:ascii="Cambria" w:eastAsia="Cambria" w:hAnsi="Cambria" w:cs="Cambria"/>
        <w:b/>
        <w:bCs/>
        <w:noProof/>
        <w:sz w:val="16"/>
        <w:szCs w:val="16"/>
        <w:lang w:val="es-ES_tradnl"/>
      </w:rPr>
      <w:t>29/10/2025 14:39</w:t>
    </w:r>
    <w:r w:rsidRPr="00304A04">
      <w:rPr>
        <w:rFonts w:ascii="Cambria" w:eastAsia="Cambria" w:hAnsi="Cambria" w:cs="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7D723C"/>
    <w:multiLevelType w:val="hybridMultilevel"/>
    <w:tmpl w:val="642425FE"/>
    <w:lvl w:ilvl="0" w:tplc="0409000F">
      <w:start w:val="1"/>
      <w:numFmt w:val="decimal"/>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6"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F265F1E"/>
    <w:multiLevelType w:val="hybridMultilevel"/>
    <w:tmpl w:val="4948C1DE"/>
    <w:lvl w:ilvl="0" w:tplc="FEBAAEEC">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0"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65E58BD"/>
    <w:multiLevelType w:val="hybridMultilevel"/>
    <w:tmpl w:val="E420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904415982">
    <w:abstractNumId w:val="10"/>
  </w:num>
  <w:num w:numId="2" w16cid:durableId="842015572">
    <w:abstractNumId w:val="6"/>
  </w:num>
  <w:num w:numId="3" w16cid:durableId="844321998">
    <w:abstractNumId w:val="2"/>
  </w:num>
  <w:num w:numId="4" w16cid:durableId="2066756195">
    <w:abstractNumId w:val="7"/>
  </w:num>
  <w:num w:numId="5" w16cid:durableId="501894070">
    <w:abstractNumId w:val="12"/>
  </w:num>
  <w:num w:numId="6" w16cid:durableId="1071079582">
    <w:abstractNumId w:val="3"/>
  </w:num>
  <w:num w:numId="7" w16cid:durableId="792093853">
    <w:abstractNumId w:val="8"/>
  </w:num>
  <w:num w:numId="8" w16cid:durableId="515195467">
    <w:abstractNumId w:val="0"/>
  </w:num>
  <w:num w:numId="9" w16cid:durableId="594755178">
    <w:abstractNumId w:val="14"/>
  </w:num>
  <w:num w:numId="10" w16cid:durableId="485510452">
    <w:abstractNumId w:val="4"/>
  </w:num>
  <w:num w:numId="11" w16cid:durableId="1024940055">
    <w:abstractNumId w:val="11"/>
  </w:num>
  <w:num w:numId="12" w16cid:durableId="1207840765">
    <w:abstractNumId w:val="1"/>
  </w:num>
  <w:num w:numId="13" w16cid:durableId="1531213340">
    <w:abstractNumId w:val="15"/>
  </w:num>
  <w:num w:numId="14" w16cid:durableId="645470857">
    <w:abstractNumId w:val="5"/>
  </w:num>
  <w:num w:numId="15" w16cid:durableId="1111127301">
    <w:abstractNumId w:val="9"/>
  </w:num>
  <w:num w:numId="16" w16cid:durableId="808937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6"/>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42F2"/>
    <w:rsid w:val="00010B47"/>
    <w:rsid w:val="00011F5B"/>
    <w:rsid w:val="000143F1"/>
    <w:rsid w:val="0002132E"/>
    <w:rsid w:val="000246CC"/>
    <w:rsid w:val="000257BF"/>
    <w:rsid w:val="00026E93"/>
    <w:rsid w:val="00027A40"/>
    <w:rsid w:val="00027F68"/>
    <w:rsid w:val="0003404E"/>
    <w:rsid w:val="00034E5C"/>
    <w:rsid w:val="000409D8"/>
    <w:rsid w:val="00040CDC"/>
    <w:rsid w:val="000418F6"/>
    <w:rsid w:val="00042B52"/>
    <w:rsid w:val="00044BEC"/>
    <w:rsid w:val="00045DC3"/>
    <w:rsid w:val="00046FFD"/>
    <w:rsid w:val="000471A7"/>
    <w:rsid w:val="000501D8"/>
    <w:rsid w:val="00054879"/>
    <w:rsid w:val="00054C95"/>
    <w:rsid w:val="00055DC9"/>
    <w:rsid w:val="00057E80"/>
    <w:rsid w:val="00062B8F"/>
    <w:rsid w:val="000745A1"/>
    <w:rsid w:val="000745F6"/>
    <w:rsid w:val="00074B93"/>
    <w:rsid w:val="000831CD"/>
    <w:rsid w:val="00083601"/>
    <w:rsid w:val="00083618"/>
    <w:rsid w:val="000840DC"/>
    <w:rsid w:val="0009397A"/>
    <w:rsid w:val="000963B7"/>
    <w:rsid w:val="00096BB4"/>
    <w:rsid w:val="0009704A"/>
    <w:rsid w:val="000A0C2A"/>
    <w:rsid w:val="000A1056"/>
    <w:rsid w:val="000A7512"/>
    <w:rsid w:val="000B431B"/>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19C5"/>
    <w:rsid w:val="0010338E"/>
    <w:rsid w:val="00103760"/>
    <w:rsid w:val="00103F7D"/>
    <w:rsid w:val="00105186"/>
    <w:rsid w:val="00113986"/>
    <w:rsid w:val="00120D0C"/>
    <w:rsid w:val="00120FB5"/>
    <w:rsid w:val="0012198C"/>
    <w:rsid w:val="00122EDA"/>
    <w:rsid w:val="00127E36"/>
    <w:rsid w:val="0013339E"/>
    <w:rsid w:val="00135E1D"/>
    <w:rsid w:val="001377E9"/>
    <w:rsid w:val="00140A0F"/>
    <w:rsid w:val="00144373"/>
    <w:rsid w:val="00147D3B"/>
    <w:rsid w:val="00152984"/>
    <w:rsid w:val="00153A64"/>
    <w:rsid w:val="00155974"/>
    <w:rsid w:val="0015625D"/>
    <w:rsid w:val="00163C4C"/>
    <w:rsid w:val="00167338"/>
    <w:rsid w:val="00170AA8"/>
    <w:rsid w:val="00174560"/>
    <w:rsid w:val="0017652E"/>
    <w:rsid w:val="001772C4"/>
    <w:rsid w:val="00177B50"/>
    <w:rsid w:val="00181317"/>
    <w:rsid w:val="001814D2"/>
    <w:rsid w:val="00192EEA"/>
    <w:rsid w:val="0019746E"/>
    <w:rsid w:val="00197A65"/>
    <w:rsid w:val="001A2F8B"/>
    <w:rsid w:val="001A445E"/>
    <w:rsid w:val="001A5C30"/>
    <w:rsid w:val="001B186B"/>
    <w:rsid w:val="001B250A"/>
    <w:rsid w:val="001B4253"/>
    <w:rsid w:val="001B478A"/>
    <w:rsid w:val="001C125C"/>
    <w:rsid w:val="001C48D9"/>
    <w:rsid w:val="001C5E31"/>
    <w:rsid w:val="001D2C34"/>
    <w:rsid w:val="001D5A58"/>
    <w:rsid w:val="001D674B"/>
    <w:rsid w:val="001D7491"/>
    <w:rsid w:val="001E0B66"/>
    <w:rsid w:val="001E3A65"/>
    <w:rsid w:val="001E592A"/>
    <w:rsid w:val="001E6C07"/>
    <w:rsid w:val="001F0754"/>
    <w:rsid w:val="00200557"/>
    <w:rsid w:val="0020149A"/>
    <w:rsid w:val="0020416B"/>
    <w:rsid w:val="00204CF4"/>
    <w:rsid w:val="00206C18"/>
    <w:rsid w:val="00210DB6"/>
    <w:rsid w:val="00220B68"/>
    <w:rsid w:val="0022370D"/>
    <w:rsid w:val="00224B3E"/>
    <w:rsid w:val="00227291"/>
    <w:rsid w:val="00227F6E"/>
    <w:rsid w:val="0023011A"/>
    <w:rsid w:val="00230999"/>
    <w:rsid w:val="0023510B"/>
    <w:rsid w:val="0023761C"/>
    <w:rsid w:val="00240F27"/>
    <w:rsid w:val="002417CC"/>
    <w:rsid w:val="0024546B"/>
    <w:rsid w:val="00245B64"/>
    <w:rsid w:val="00251735"/>
    <w:rsid w:val="00253115"/>
    <w:rsid w:val="0025410E"/>
    <w:rsid w:val="00254BAC"/>
    <w:rsid w:val="002565A3"/>
    <w:rsid w:val="002634E7"/>
    <w:rsid w:val="002708B5"/>
    <w:rsid w:val="00276077"/>
    <w:rsid w:val="00281E92"/>
    <w:rsid w:val="00282C41"/>
    <w:rsid w:val="00290643"/>
    <w:rsid w:val="00290F7B"/>
    <w:rsid w:val="00291475"/>
    <w:rsid w:val="002936B2"/>
    <w:rsid w:val="00295C8A"/>
    <w:rsid w:val="002A0A58"/>
    <w:rsid w:val="002A5BF1"/>
    <w:rsid w:val="002A74C8"/>
    <w:rsid w:val="002A7A60"/>
    <w:rsid w:val="002B1806"/>
    <w:rsid w:val="002B2ADA"/>
    <w:rsid w:val="002B35B6"/>
    <w:rsid w:val="002B3AD0"/>
    <w:rsid w:val="002B603B"/>
    <w:rsid w:val="002B6644"/>
    <w:rsid w:val="002C35FF"/>
    <w:rsid w:val="002D0ED9"/>
    <w:rsid w:val="002D2075"/>
    <w:rsid w:val="002D2159"/>
    <w:rsid w:val="002D42DD"/>
    <w:rsid w:val="002D5DC1"/>
    <w:rsid w:val="002E0120"/>
    <w:rsid w:val="002E104C"/>
    <w:rsid w:val="002E5C7C"/>
    <w:rsid w:val="002E7B32"/>
    <w:rsid w:val="002F51B0"/>
    <w:rsid w:val="002F5295"/>
    <w:rsid w:val="002F5F9D"/>
    <w:rsid w:val="00301BFB"/>
    <w:rsid w:val="00304A04"/>
    <w:rsid w:val="00304DC4"/>
    <w:rsid w:val="0030620C"/>
    <w:rsid w:val="00310C07"/>
    <w:rsid w:val="0031178D"/>
    <w:rsid w:val="003140D2"/>
    <w:rsid w:val="00316831"/>
    <w:rsid w:val="00324160"/>
    <w:rsid w:val="003253FC"/>
    <w:rsid w:val="00326498"/>
    <w:rsid w:val="00326776"/>
    <w:rsid w:val="00331B07"/>
    <w:rsid w:val="00340064"/>
    <w:rsid w:val="00343874"/>
    <w:rsid w:val="0034398A"/>
    <w:rsid w:val="00343F73"/>
    <w:rsid w:val="00345B1F"/>
    <w:rsid w:val="00350041"/>
    <w:rsid w:val="003500A2"/>
    <w:rsid w:val="003513B1"/>
    <w:rsid w:val="0035141A"/>
    <w:rsid w:val="0035329E"/>
    <w:rsid w:val="003553F1"/>
    <w:rsid w:val="0035786D"/>
    <w:rsid w:val="00361019"/>
    <w:rsid w:val="00363119"/>
    <w:rsid w:val="0037050F"/>
    <w:rsid w:val="003708EF"/>
    <w:rsid w:val="0037594F"/>
    <w:rsid w:val="0037725C"/>
    <w:rsid w:val="00382EA3"/>
    <w:rsid w:val="00387811"/>
    <w:rsid w:val="00390ABD"/>
    <w:rsid w:val="003A26E9"/>
    <w:rsid w:val="003B29B9"/>
    <w:rsid w:val="003B306D"/>
    <w:rsid w:val="003B42F9"/>
    <w:rsid w:val="003B6EBD"/>
    <w:rsid w:val="003C7716"/>
    <w:rsid w:val="003D2A5D"/>
    <w:rsid w:val="003D5FC7"/>
    <w:rsid w:val="003E2DE3"/>
    <w:rsid w:val="003E3062"/>
    <w:rsid w:val="003F03C1"/>
    <w:rsid w:val="003F0AA3"/>
    <w:rsid w:val="003F3C46"/>
    <w:rsid w:val="003F5164"/>
    <w:rsid w:val="003F556E"/>
    <w:rsid w:val="003F7727"/>
    <w:rsid w:val="0040218C"/>
    <w:rsid w:val="00410B33"/>
    <w:rsid w:val="00411DD0"/>
    <w:rsid w:val="00413942"/>
    <w:rsid w:val="0041397D"/>
    <w:rsid w:val="0041416E"/>
    <w:rsid w:val="00425C78"/>
    <w:rsid w:val="00425E54"/>
    <w:rsid w:val="00430B74"/>
    <w:rsid w:val="004339C8"/>
    <w:rsid w:val="00434737"/>
    <w:rsid w:val="0043478C"/>
    <w:rsid w:val="004362C2"/>
    <w:rsid w:val="004412C8"/>
    <w:rsid w:val="0044168E"/>
    <w:rsid w:val="004439F1"/>
    <w:rsid w:val="004475B0"/>
    <w:rsid w:val="00454BC0"/>
    <w:rsid w:val="00454D39"/>
    <w:rsid w:val="00455AF2"/>
    <w:rsid w:val="00457FBB"/>
    <w:rsid w:val="00462466"/>
    <w:rsid w:val="0046280E"/>
    <w:rsid w:val="00465447"/>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3E31"/>
    <w:rsid w:val="004B1156"/>
    <w:rsid w:val="004B2AE2"/>
    <w:rsid w:val="004B4EF0"/>
    <w:rsid w:val="004B54E3"/>
    <w:rsid w:val="004B774C"/>
    <w:rsid w:val="004C139A"/>
    <w:rsid w:val="004C2FAC"/>
    <w:rsid w:val="004C4031"/>
    <w:rsid w:val="004C511C"/>
    <w:rsid w:val="004C5F3C"/>
    <w:rsid w:val="004C6CEC"/>
    <w:rsid w:val="004D5144"/>
    <w:rsid w:val="004D7BDE"/>
    <w:rsid w:val="004E0B98"/>
    <w:rsid w:val="004E0D65"/>
    <w:rsid w:val="004E2EA8"/>
    <w:rsid w:val="004E5938"/>
    <w:rsid w:val="004E5B5B"/>
    <w:rsid w:val="004E7D2E"/>
    <w:rsid w:val="004F2F8F"/>
    <w:rsid w:val="004F3D7E"/>
    <w:rsid w:val="004F48AA"/>
    <w:rsid w:val="00504D40"/>
    <w:rsid w:val="005208F2"/>
    <w:rsid w:val="00524BAC"/>
    <w:rsid w:val="005270BC"/>
    <w:rsid w:val="0053342D"/>
    <w:rsid w:val="00533909"/>
    <w:rsid w:val="005343D4"/>
    <w:rsid w:val="005360D8"/>
    <w:rsid w:val="00536DF3"/>
    <w:rsid w:val="00542ECF"/>
    <w:rsid w:val="005451CC"/>
    <w:rsid w:val="0054623A"/>
    <w:rsid w:val="0054772A"/>
    <w:rsid w:val="00552635"/>
    <w:rsid w:val="005548DC"/>
    <w:rsid w:val="005564ED"/>
    <w:rsid w:val="005709BA"/>
    <w:rsid w:val="005711AB"/>
    <w:rsid w:val="005876EC"/>
    <w:rsid w:val="00594B6C"/>
    <w:rsid w:val="00594D33"/>
    <w:rsid w:val="005A017E"/>
    <w:rsid w:val="005A1864"/>
    <w:rsid w:val="005A326D"/>
    <w:rsid w:val="005A3610"/>
    <w:rsid w:val="005A3D90"/>
    <w:rsid w:val="005A549D"/>
    <w:rsid w:val="005A6A18"/>
    <w:rsid w:val="005B2256"/>
    <w:rsid w:val="005B34B5"/>
    <w:rsid w:val="005B35C1"/>
    <w:rsid w:val="005B53D9"/>
    <w:rsid w:val="005B78E3"/>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3079"/>
    <w:rsid w:val="00646182"/>
    <w:rsid w:val="0064654F"/>
    <w:rsid w:val="00647277"/>
    <w:rsid w:val="006524D9"/>
    <w:rsid w:val="00654364"/>
    <w:rsid w:val="006557A7"/>
    <w:rsid w:val="00655C52"/>
    <w:rsid w:val="00662DCD"/>
    <w:rsid w:val="006634D3"/>
    <w:rsid w:val="00664460"/>
    <w:rsid w:val="0066625D"/>
    <w:rsid w:val="00666B24"/>
    <w:rsid w:val="0067032B"/>
    <w:rsid w:val="0067429E"/>
    <w:rsid w:val="00674F76"/>
    <w:rsid w:val="00680FF3"/>
    <w:rsid w:val="00682930"/>
    <w:rsid w:val="006832C9"/>
    <w:rsid w:val="006870BC"/>
    <w:rsid w:val="00694ECD"/>
    <w:rsid w:val="006A080F"/>
    <w:rsid w:val="006A0F18"/>
    <w:rsid w:val="006A2F17"/>
    <w:rsid w:val="006A76D0"/>
    <w:rsid w:val="006B28A5"/>
    <w:rsid w:val="006C43C5"/>
    <w:rsid w:val="006D7449"/>
    <w:rsid w:val="006F3359"/>
    <w:rsid w:val="006F5301"/>
    <w:rsid w:val="006F6C0D"/>
    <w:rsid w:val="00700B20"/>
    <w:rsid w:val="00705FD7"/>
    <w:rsid w:val="00711366"/>
    <w:rsid w:val="00712035"/>
    <w:rsid w:val="0071630D"/>
    <w:rsid w:val="00720A7E"/>
    <w:rsid w:val="00721350"/>
    <w:rsid w:val="007232AC"/>
    <w:rsid w:val="00723A2F"/>
    <w:rsid w:val="00730AFB"/>
    <w:rsid w:val="007325F7"/>
    <w:rsid w:val="0073264D"/>
    <w:rsid w:val="00732F6D"/>
    <w:rsid w:val="00734841"/>
    <w:rsid w:val="0073595B"/>
    <w:rsid w:val="007369FD"/>
    <w:rsid w:val="00736F7E"/>
    <w:rsid w:val="0074312D"/>
    <w:rsid w:val="00743EE4"/>
    <w:rsid w:val="007442B0"/>
    <w:rsid w:val="00744F53"/>
    <w:rsid w:val="00747586"/>
    <w:rsid w:val="0074784E"/>
    <w:rsid w:val="00747E4E"/>
    <w:rsid w:val="0075086D"/>
    <w:rsid w:val="007512E8"/>
    <w:rsid w:val="0075512D"/>
    <w:rsid w:val="0076090F"/>
    <w:rsid w:val="007610A0"/>
    <w:rsid w:val="007612F7"/>
    <w:rsid w:val="007617AF"/>
    <w:rsid w:val="007632E9"/>
    <w:rsid w:val="00763954"/>
    <w:rsid w:val="00764315"/>
    <w:rsid w:val="0077248F"/>
    <w:rsid w:val="0077439D"/>
    <w:rsid w:val="00774691"/>
    <w:rsid w:val="00781494"/>
    <w:rsid w:val="0079172B"/>
    <w:rsid w:val="00791BD3"/>
    <w:rsid w:val="007A0AE2"/>
    <w:rsid w:val="007A0D8E"/>
    <w:rsid w:val="007A5235"/>
    <w:rsid w:val="007B060F"/>
    <w:rsid w:val="007B563F"/>
    <w:rsid w:val="007B6347"/>
    <w:rsid w:val="007B6A89"/>
    <w:rsid w:val="007C2789"/>
    <w:rsid w:val="007C3E28"/>
    <w:rsid w:val="007D08D5"/>
    <w:rsid w:val="007D0CA6"/>
    <w:rsid w:val="007D6082"/>
    <w:rsid w:val="007E2B15"/>
    <w:rsid w:val="007E3119"/>
    <w:rsid w:val="007E3FDF"/>
    <w:rsid w:val="007E6CCE"/>
    <w:rsid w:val="007E71CF"/>
    <w:rsid w:val="007F1384"/>
    <w:rsid w:val="007F2D51"/>
    <w:rsid w:val="007F4DE2"/>
    <w:rsid w:val="007F5176"/>
    <w:rsid w:val="00801D88"/>
    <w:rsid w:val="00805B45"/>
    <w:rsid w:val="008111C4"/>
    <w:rsid w:val="00817011"/>
    <w:rsid w:val="0082458D"/>
    <w:rsid w:val="00831E2C"/>
    <w:rsid w:val="00833EAA"/>
    <w:rsid w:val="008443FC"/>
    <w:rsid w:val="008445B1"/>
    <w:rsid w:val="008522A5"/>
    <w:rsid w:val="0085381F"/>
    <w:rsid w:val="00854093"/>
    <w:rsid w:val="0085605E"/>
    <w:rsid w:val="00856C81"/>
    <w:rsid w:val="008570EF"/>
    <w:rsid w:val="008604A5"/>
    <w:rsid w:val="008607D5"/>
    <w:rsid w:val="00861B2E"/>
    <w:rsid w:val="008632D7"/>
    <w:rsid w:val="00866C4C"/>
    <w:rsid w:val="00867CD8"/>
    <w:rsid w:val="00874333"/>
    <w:rsid w:val="00874CB7"/>
    <w:rsid w:val="00875F80"/>
    <w:rsid w:val="0087634B"/>
    <w:rsid w:val="00876BBC"/>
    <w:rsid w:val="00877170"/>
    <w:rsid w:val="00880EDC"/>
    <w:rsid w:val="00880FB7"/>
    <w:rsid w:val="0088367F"/>
    <w:rsid w:val="00883A13"/>
    <w:rsid w:val="00887049"/>
    <w:rsid w:val="00890FF3"/>
    <w:rsid w:val="00892C02"/>
    <w:rsid w:val="008932AC"/>
    <w:rsid w:val="00895704"/>
    <w:rsid w:val="0089753D"/>
    <w:rsid w:val="008A1E40"/>
    <w:rsid w:val="008A32C7"/>
    <w:rsid w:val="008A4208"/>
    <w:rsid w:val="008A7A59"/>
    <w:rsid w:val="008B0830"/>
    <w:rsid w:val="008B65CE"/>
    <w:rsid w:val="008B7327"/>
    <w:rsid w:val="008B756D"/>
    <w:rsid w:val="008C109D"/>
    <w:rsid w:val="008C151B"/>
    <w:rsid w:val="008C669E"/>
    <w:rsid w:val="008D225A"/>
    <w:rsid w:val="008D22F1"/>
    <w:rsid w:val="008D6A88"/>
    <w:rsid w:val="008E1778"/>
    <w:rsid w:val="008E546A"/>
    <w:rsid w:val="008E68F6"/>
    <w:rsid w:val="008E6BFC"/>
    <w:rsid w:val="008F4554"/>
    <w:rsid w:val="008F68AF"/>
    <w:rsid w:val="0090074B"/>
    <w:rsid w:val="00902082"/>
    <w:rsid w:val="00910881"/>
    <w:rsid w:val="00910DF1"/>
    <w:rsid w:val="00911560"/>
    <w:rsid w:val="00913B23"/>
    <w:rsid w:val="00914B85"/>
    <w:rsid w:val="0092090B"/>
    <w:rsid w:val="00920C2C"/>
    <w:rsid w:val="00920D75"/>
    <w:rsid w:val="00921FA2"/>
    <w:rsid w:val="009229C3"/>
    <w:rsid w:val="00927A81"/>
    <w:rsid w:val="00930F07"/>
    <w:rsid w:val="00931334"/>
    <w:rsid w:val="0093141B"/>
    <w:rsid w:val="00935928"/>
    <w:rsid w:val="009367F7"/>
    <w:rsid w:val="00936A5A"/>
    <w:rsid w:val="00937553"/>
    <w:rsid w:val="00937742"/>
    <w:rsid w:val="009416C4"/>
    <w:rsid w:val="00941AEB"/>
    <w:rsid w:val="00943725"/>
    <w:rsid w:val="00943D0F"/>
    <w:rsid w:val="00946361"/>
    <w:rsid w:val="00946D2A"/>
    <w:rsid w:val="00947C9E"/>
    <w:rsid w:val="0095460E"/>
    <w:rsid w:val="00954A84"/>
    <w:rsid w:val="0095561D"/>
    <w:rsid w:val="00960BFB"/>
    <w:rsid w:val="00964248"/>
    <w:rsid w:val="00967714"/>
    <w:rsid w:val="00970957"/>
    <w:rsid w:val="00971289"/>
    <w:rsid w:val="0097170E"/>
    <w:rsid w:val="009753CC"/>
    <w:rsid w:val="009757FB"/>
    <w:rsid w:val="00976A21"/>
    <w:rsid w:val="00977C60"/>
    <w:rsid w:val="009845EB"/>
    <w:rsid w:val="00985379"/>
    <w:rsid w:val="00987DB8"/>
    <w:rsid w:val="0099258A"/>
    <w:rsid w:val="00995B42"/>
    <w:rsid w:val="009A0B3A"/>
    <w:rsid w:val="009A16A1"/>
    <w:rsid w:val="009A3349"/>
    <w:rsid w:val="009A3DB5"/>
    <w:rsid w:val="009A3FBD"/>
    <w:rsid w:val="009A6425"/>
    <w:rsid w:val="009A6C3A"/>
    <w:rsid w:val="009A7791"/>
    <w:rsid w:val="009B0D38"/>
    <w:rsid w:val="009B0FA9"/>
    <w:rsid w:val="009B1A99"/>
    <w:rsid w:val="009B3288"/>
    <w:rsid w:val="009B57BD"/>
    <w:rsid w:val="009B62AF"/>
    <w:rsid w:val="009C0D3E"/>
    <w:rsid w:val="009D0675"/>
    <w:rsid w:val="009D0D3C"/>
    <w:rsid w:val="009D1D64"/>
    <w:rsid w:val="009D2A4D"/>
    <w:rsid w:val="009D6246"/>
    <w:rsid w:val="009D64F4"/>
    <w:rsid w:val="009E0A2A"/>
    <w:rsid w:val="009E201D"/>
    <w:rsid w:val="009E454E"/>
    <w:rsid w:val="009E73DB"/>
    <w:rsid w:val="009E7607"/>
    <w:rsid w:val="009F0429"/>
    <w:rsid w:val="009F74BA"/>
    <w:rsid w:val="00A00152"/>
    <w:rsid w:val="00A007BF"/>
    <w:rsid w:val="00A0301F"/>
    <w:rsid w:val="00A05A2F"/>
    <w:rsid w:val="00A10454"/>
    <w:rsid w:val="00A10EF1"/>
    <w:rsid w:val="00A1193A"/>
    <w:rsid w:val="00A11D21"/>
    <w:rsid w:val="00A13C16"/>
    <w:rsid w:val="00A17EF8"/>
    <w:rsid w:val="00A20526"/>
    <w:rsid w:val="00A2157D"/>
    <w:rsid w:val="00A24424"/>
    <w:rsid w:val="00A26511"/>
    <w:rsid w:val="00A274CB"/>
    <w:rsid w:val="00A30E5F"/>
    <w:rsid w:val="00A3736F"/>
    <w:rsid w:val="00A401BD"/>
    <w:rsid w:val="00A42975"/>
    <w:rsid w:val="00A462AC"/>
    <w:rsid w:val="00A5386C"/>
    <w:rsid w:val="00A53B3E"/>
    <w:rsid w:val="00A550EE"/>
    <w:rsid w:val="00A561E9"/>
    <w:rsid w:val="00A5769A"/>
    <w:rsid w:val="00A6066E"/>
    <w:rsid w:val="00A67543"/>
    <w:rsid w:val="00A70F76"/>
    <w:rsid w:val="00A73458"/>
    <w:rsid w:val="00A7418E"/>
    <w:rsid w:val="00A752DE"/>
    <w:rsid w:val="00A75DAF"/>
    <w:rsid w:val="00A85857"/>
    <w:rsid w:val="00A87F15"/>
    <w:rsid w:val="00A90CE3"/>
    <w:rsid w:val="00A91D68"/>
    <w:rsid w:val="00A92554"/>
    <w:rsid w:val="00A92FBA"/>
    <w:rsid w:val="00A94508"/>
    <w:rsid w:val="00A95A8A"/>
    <w:rsid w:val="00A9697A"/>
    <w:rsid w:val="00A97202"/>
    <w:rsid w:val="00AA014B"/>
    <w:rsid w:val="00AA1312"/>
    <w:rsid w:val="00AA3B27"/>
    <w:rsid w:val="00AA451A"/>
    <w:rsid w:val="00AB227F"/>
    <w:rsid w:val="00AB3338"/>
    <w:rsid w:val="00AC05CC"/>
    <w:rsid w:val="00AC0B25"/>
    <w:rsid w:val="00AC4E0E"/>
    <w:rsid w:val="00AC68FB"/>
    <w:rsid w:val="00AC7106"/>
    <w:rsid w:val="00AD1981"/>
    <w:rsid w:val="00AD4162"/>
    <w:rsid w:val="00AD436C"/>
    <w:rsid w:val="00AE05EA"/>
    <w:rsid w:val="00AE31C4"/>
    <w:rsid w:val="00AF1F1D"/>
    <w:rsid w:val="00AF37A8"/>
    <w:rsid w:val="00AF4260"/>
    <w:rsid w:val="00AF6C61"/>
    <w:rsid w:val="00B06070"/>
    <w:rsid w:val="00B07B56"/>
    <w:rsid w:val="00B10114"/>
    <w:rsid w:val="00B101A6"/>
    <w:rsid w:val="00B10FC1"/>
    <w:rsid w:val="00B1155A"/>
    <w:rsid w:val="00B12A6B"/>
    <w:rsid w:val="00B14362"/>
    <w:rsid w:val="00B14930"/>
    <w:rsid w:val="00B163FB"/>
    <w:rsid w:val="00B16FC7"/>
    <w:rsid w:val="00B25B1E"/>
    <w:rsid w:val="00B2666D"/>
    <w:rsid w:val="00B312F9"/>
    <w:rsid w:val="00B3187D"/>
    <w:rsid w:val="00B37C22"/>
    <w:rsid w:val="00B41CF5"/>
    <w:rsid w:val="00B43293"/>
    <w:rsid w:val="00B4405A"/>
    <w:rsid w:val="00B446E4"/>
    <w:rsid w:val="00B46683"/>
    <w:rsid w:val="00B47F3C"/>
    <w:rsid w:val="00B50D06"/>
    <w:rsid w:val="00B611C9"/>
    <w:rsid w:val="00B634D7"/>
    <w:rsid w:val="00B66068"/>
    <w:rsid w:val="00B66441"/>
    <w:rsid w:val="00B771D1"/>
    <w:rsid w:val="00B83004"/>
    <w:rsid w:val="00B86A48"/>
    <w:rsid w:val="00B86EC1"/>
    <w:rsid w:val="00B87FEB"/>
    <w:rsid w:val="00B90457"/>
    <w:rsid w:val="00B9254C"/>
    <w:rsid w:val="00B9779F"/>
    <w:rsid w:val="00BA252A"/>
    <w:rsid w:val="00BA2FD4"/>
    <w:rsid w:val="00BA42D7"/>
    <w:rsid w:val="00BA4E86"/>
    <w:rsid w:val="00BA7623"/>
    <w:rsid w:val="00BA7A72"/>
    <w:rsid w:val="00BB2698"/>
    <w:rsid w:val="00BB2A80"/>
    <w:rsid w:val="00BB316C"/>
    <w:rsid w:val="00BB46F6"/>
    <w:rsid w:val="00BB77C9"/>
    <w:rsid w:val="00BC2D9A"/>
    <w:rsid w:val="00BC6F89"/>
    <w:rsid w:val="00BD02D9"/>
    <w:rsid w:val="00BE0CA4"/>
    <w:rsid w:val="00BE2580"/>
    <w:rsid w:val="00BE2EA5"/>
    <w:rsid w:val="00BE3772"/>
    <w:rsid w:val="00BE7CC1"/>
    <w:rsid w:val="00BF2262"/>
    <w:rsid w:val="00BF3E87"/>
    <w:rsid w:val="00BF4531"/>
    <w:rsid w:val="00BF5952"/>
    <w:rsid w:val="00BF5E4A"/>
    <w:rsid w:val="00BF7D93"/>
    <w:rsid w:val="00C033BE"/>
    <w:rsid w:val="00C03D3A"/>
    <w:rsid w:val="00C116A1"/>
    <w:rsid w:val="00C2232D"/>
    <w:rsid w:val="00C22FED"/>
    <w:rsid w:val="00C27B51"/>
    <w:rsid w:val="00C3287B"/>
    <w:rsid w:val="00C33E32"/>
    <w:rsid w:val="00C36503"/>
    <w:rsid w:val="00C37AC5"/>
    <w:rsid w:val="00C40CCB"/>
    <w:rsid w:val="00C417D1"/>
    <w:rsid w:val="00C45FE8"/>
    <w:rsid w:val="00C5118A"/>
    <w:rsid w:val="00C51FBB"/>
    <w:rsid w:val="00C53C67"/>
    <w:rsid w:val="00C54F0D"/>
    <w:rsid w:val="00C5559F"/>
    <w:rsid w:val="00C61240"/>
    <w:rsid w:val="00C63A90"/>
    <w:rsid w:val="00C64C34"/>
    <w:rsid w:val="00C656CA"/>
    <w:rsid w:val="00C717C0"/>
    <w:rsid w:val="00C75316"/>
    <w:rsid w:val="00C76E79"/>
    <w:rsid w:val="00C8004D"/>
    <w:rsid w:val="00C8068B"/>
    <w:rsid w:val="00C814ED"/>
    <w:rsid w:val="00C877A6"/>
    <w:rsid w:val="00C901D1"/>
    <w:rsid w:val="00C9717E"/>
    <w:rsid w:val="00CA1BE1"/>
    <w:rsid w:val="00CA4F49"/>
    <w:rsid w:val="00CA515B"/>
    <w:rsid w:val="00CA66ED"/>
    <w:rsid w:val="00CB0FC1"/>
    <w:rsid w:val="00CB3A8A"/>
    <w:rsid w:val="00CB4DAE"/>
    <w:rsid w:val="00CB7451"/>
    <w:rsid w:val="00CB7E7D"/>
    <w:rsid w:val="00CC514D"/>
    <w:rsid w:val="00CD16B8"/>
    <w:rsid w:val="00CD2205"/>
    <w:rsid w:val="00CD328D"/>
    <w:rsid w:val="00CD334B"/>
    <w:rsid w:val="00CD788E"/>
    <w:rsid w:val="00CE2B91"/>
    <w:rsid w:val="00CF134C"/>
    <w:rsid w:val="00CF5EB2"/>
    <w:rsid w:val="00CF788B"/>
    <w:rsid w:val="00D00750"/>
    <w:rsid w:val="00D0154E"/>
    <w:rsid w:val="00D041DC"/>
    <w:rsid w:val="00D05140"/>
    <w:rsid w:val="00D064DB"/>
    <w:rsid w:val="00D076CD"/>
    <w:rsid w:val="00D13704"/>
    <w:rsid w:val="00D23627"/>
    <w:rsid w:val="00D25AF4"/>
    <w:rsid w:val="00D25EA6"/>
    <w:rsid w:val="00D3550D"/>
    <w:rsid w:val="00D35755"/>
    <w:rsid w:val="00D365A6"/>
    <w:rsid w:val="00D43E65"/>
    <w:rsid w:val="00D4566F"/>
    <w:rsid w:val="00D4771B"/>
    <w:rsid w:val="00D5281E"/>
    <w:rsid w:val="00D5413D"/>
    <w:rsid w:val="00D5427C"/>
    <w:rsid w:val="00D615DE"/>
    <w:rsid w:val="00D6349A"/>
    <w:rsid w:val="00D64D4E"/>
    <w:rsid w:val="00D664D3"/>
    <w:rsid w:val="00D71240"/>
    <w:rsid w:val="00D75A61"/>
    <w:rsid w:val="00D76039"/>
    <w:rsid w:val="00D8045A"/>
    <w:rsid w:val="00D81E56"/>
    <w:rsid w:val="00D84C6C"/>
    <w:rsid w:val="00D862CF"/>
    <w:rsid w:val="00D90AE8"/>
    <w:rsid w:val="00DA17C2"/>
    <w:rsid w:val="00DB0D24"/>
    <w:rsid w:val="00DB20B8"/>
    <w:rsid w:val="00DB3395"/>
    <w:rsid w:val="00DB78EC"/>
    <w:rsid w:val="00DB7EDD"/>
    <w:rsid w:val="00DC05AA"/>
    <w:rsid w:val="00DC14DD"/>
    <w:rsid w:val="00DC1ABF"/>
    <w:rsid w:val="00DC1B2A"/>
    <w:rsid w:val="00DC4959"/>
    <w:rsid w:val="00DC4DDF"/>
    <w:rsid w:val="00DC6D09"/>
    <w:rsid w:val="00DD20E1"/>
    <w:rsid w:val="00DD2F72"/>
    <w:rsid w:val="00DD5AA8"/>
    <w:rsid w:val="00DE38F9"/>
    <w:rsid w:val="00DF1E46"/>
    <w:rsid w:val="00DF3D02"/>
    <w:rsid w:val="00DF4503"/>
    <w:rsid w:val="00DF7840"/>
    <w:rsid w:val="00E01297"/>
    <w:rsid w:val="00E01F09"/>
    <w:rsid w:val="00E0483C"/>
    <w:rsid w:val="00E075FB"/>
    <w:rsid w:val="00E10156"/>
    <w:rsid w:val="00E105B5"/>
    <w:rsid w:val="00E10E67"/>
    <w:rsid w:val="00E234CA"/>
    <w:rsid w:val="00E247C3"/>
    <w:rsid w:val="00E24A32"/>
    <w:rsid w:val="00E26442"/>
    <w:rsid w:val="00E272F7"/>
    <w:rsid w:val="00E318F5"/>
    <w:rsid w:val="00E323A0"/>
    <w:rsid w:val="00E33193"/>
    <w:rsid w:val="00E359F2"/>
    <w:rsid w:val="00E406C0"/>
    <w:rsid w:val="00E407E7"/>
    <w:rsid w:val="00E412B8"/>
    <w:rsid w:val="00E41E18"/>
    <w:rsid w:val="00E437CD"/>
    <w:rsid w:val="00E44678"/>
    <w:rsid w:val="00E448B1"/>
    <w:rsid w:val="00E45EE2"/>
    <w:rsid w:val="00E466FE"/>
    <w:rsid w:val="00E472A1"/>
    <w:rsid w:val="00E52F09"/>
    <w:rsid w:val="00E55010"/>
    <w:rsid w:val="00E566D6"/>
    <w:rsid w:val="00E62DC1"/>
    <w:rsid w:val="00E62E46"/>
    <w:rsid w:val="00E64661"/>
    <w:rsid w:val="00E6514E"/>
    <w:rsid w:val="00E65B67"/>
    <w:rsid w:val="00E67F53"/>
    <w:rsid w:val="00E718A9"/>
    <w:rsid w:val="00E72114"/>
    <w:rsid w:val="00E76B11"/>
    <w:rsid w:val="00E76DF8"/>
    <w:rsid w:val="00E774F2"/>
    <w:rsid w:val="00E862F8"/>
    <w:rsid w:val="00E91931"/>
    <w:rsid w:val="00E925CE"/>
    <w:rsid w:val="00E93499"/>
    <w:rsid w:val="00E9487B"/>
    <w:rsid w:val="00E96A4C"/>
    <w:rsid w:val="00EA060C"/>
    <w:rsid w:val="00EA0A8A"/>
    <w:rsid w:val="00EA2D3A"/>
    <w:rsid w:val="00EA2E45"/>
    <w:rsid w:val="00EA443B"/>
    <w:rsid w:val="00EA7B24"/>
    <w:rsid w:val="00EB3B4D"/>
    <w:rsid w:val="00EB69B6"/>
    <w:rsid w:val="00EC3B57"/>
    <w:rsid w:val="00EC5167"/>
    <w:rsid w:val="00EC54DA"/>
    <w:rsid w:val="00EC5AE2"/>
    <w:rsid w:val="00ED03B3"/>
    <w:rsid w:val="00ED0FF5"/>
    <w:rsid w:val="00ED3778"/>
    <w:rsid w:val="00ED51DB"/>
    <w:rsid w:val="00ED562D"/>
    <w:rsid w:val="00ED6327"/>
    <w:rsid w:val="00EE0167"/>
    <w:rsid w:val="00EE11E3"/>
    <w:rsid w:val="00EE49AD"/>
    <w:rsid w:val="00EE7659"/>
    <w:rsid w:val="00EF0D3A"/>
    <w:rsid w:val="00EF3B52"/>
    <w:rsid w:val="00EF3BD9"/>
    <w:rsid w:val="00EF562C"/>
    <w:rsid w:val="00EF6D76"/>
    <w:rsid w:val="00F0186D"/>
    <w:rsid w:val="00F0231A"/>
    <w:rsid w:val="00F13885"/>
    <w:rsid w:val="00F14775"/>
    <w:rsid w:val="00F15651"/>
    <w:rsid w:val="00F15E51"/>
    <w:rsid w:val="00F26CC9"/>
    <w:rsid w:val="00F301D8"/>
    <w:rsid w:val="00F312BE"/>
    <w:rsid w:val="00F31BB2"/>
    <w:rsid w:val="00F326F0"/>
    <w:rsid w:val="00F35E01"/>
    <w:rsid w:val="00F37586"/>
    <w:rsid w:val="00F400B2"/>
    <w:rsid w:val="00F406FD"/>
    <w:rsid w:val="00F41942"/>
    <w:rsid w:val="00F41BB7"/>
    <w:rsid w:val="00F42B3F"/>
    <w:rsid w:val="00F42BDB"/>
    <w:rsid w:val="00F459DC"/>
    <w:rsid w:val="00F46C6E"/>
    <w:rsid w:val="00F47904"/>
    <w:rsid w:val="00F47EDD"/>
    <w:rsid w:val="00F509E3"/>
    <w:rsid w:val="00F5211D"/>
    <w:rsid w:val="00F532FD"/>
    <w:rsid w:val="00F53A64"/>
    <w:rsid w:val="00F5596F"/>
    <w:rsid w:val="00F62EEB"/>
    <w:rsid w:val="00F64EB9"/>
    <w:rsid w:val="00F67448"/>
    <w:rsid w:val="00F67473"/>
    <w:rsid w:val="00F67EA6"/>
    <w:rsid w:val="00F720B9"/>
    <w:rsid w:val="00F76B4D"/>
    <w:rsid w:val="00F83DA8"/>
    <w:rsid w:val="00F850EF"/>
    <w:rsid w:val="00F86614"/>
    <w:rsid w:val="00F90AF5"/>
    <w:rsid w:val="00F90F6C"/>
    <w:rsid w:val="00F956DB"/>
    <w:rsid w:val="00F9631D"/>
    <w:rsid w:val="00FA3457"/>
    <w:rsid w:val="00FA4DB9"/>
    <w:rsid w:val="00FA5459"/>
    <w:rsid w:val="00FB197C"/>
    <w:rsid w:val="00FB1D05"/>
    <w:rsid w:val="00FB499B"/>
    <w:rsid w:val="00FB4FE1"/>
    <w:rsid w:val="00FB52AE"/>
    <w:rsid w:val="00FB5CF0"/>
    <w:rsid w:val="00FC51AB"/>
    <w:rsid w:val="00FC6571"/>
    <w:rsid w:val="00FC6F27"/>
    <w:rsid w:val="00FC7963"/>
    <w:rsid w:val="00FC7FEC"/>
    <w:rsid w:val="00FD039E"/>
    <w:rsid w:val="00FD09E4"/>
    <w:rsid w:val="00FD190E"/>
    <w:rsid w:val="00FD245C"/>
    <w:rsid w:val="00FD2CB0"/>
    <w:rsid w:val="00FD40FD"/>
    <w:rsid w:val="00FD4981"/>
    <w:rsid w:val="00FD5976"/>
    <w:rsid w:val="00FD6C66"/>
    <w:rsid w:val="00FE0A8D"/>
    <w:rsid w:val="00FE20ED"/>
    <w:rsid w:val="00FE3928"/>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lang w:val="en-US"/>
    </w:rPr>
  </w:style>
  <w:style w:type="paragraph" w:styleId="Heading7">
    <w:name w:val="heading 7"/>
    <w:basedOn w:val="Normal"/>
    <w:next w:val="Normal"/>
    <w:qFormat/>
    <w:rsid w:val="00F64EB9"/>
    <w:pPr>
      <w:keepNext/>
      <w:jc w:val="left"/>
      <w:outlineLvl w:val="6"/>
    </w:pPr>
    <w:rPr>
      <w:b/>
      <w:bCs/>
      <w:lang w:val="es-ES_tradnl"/>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lang w:val="es-ES_tradnl"/>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val="en-US"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rPr>
      <w:lang w:val="en-US"/>
    </w:r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lang w:val="en-US"/>
    </w:rPr>
  </w:style>
  <w:style w:type="paragraph" w:styleId="Revision">
    <w:name w:val="Revision"/>
    <w:hidden/>
    <w:uiPriority w:val="99"/>
    <w:semiHidden/>
    <w:rsid w:val="00D365A6"/>
    <w:rPr>
      <w:lang w:eastAsia="en-US"/>
    </w:rPr>
  </w:style>
  <w:style w:type="character" w:styleId="CommentReference">
    <w:name w:val="annotation reference"/>
    <w:basedOn w:val="DefaultParagraphFont"/>
    <w:semiHidden/>
    <w:unhideWhenUsed/>
    <w:rsid w:val="004E5B5B"/>
    <w:rPr>
      <w:sz w:val="16"/>
      <w:szCs w:val="16"/>
    </w:rPr>
  </w:style>
  <w:style w:type="paragraph" w:styleId="CommentText">
    <w:name w:val="annotation text"/>
    <w:basedOn w:val="Normal"/>
    <w:link w:val="CommentTextChar"/>
    <w:unhideWhenUsed/>
    <w:rsid w:val="004E5B5B"/>
  </w:style>
  <w:style w:type="character" w:customStyle="1" w:styleId="CommentTextChar">
    <w:name w:val="Comment Text Char"/>
    <w:basedOn w:val="DefaultParagraphFont"/>
    <w:link w:val="CommentText"/>
    <w:rsid w:val="004E5B5B"/>
    <w:rPr>
      <w:lang w:eastAsia="en-US"/>
    </w:rPr>
  </w:style>
  <w:style w:type="paragraph" w:styleId="CommentSubject">
    <w:name w:val="annotation subject"/>
    <w:basedOn w:val="CommentText"/>
    <w:next w:val="CommentText"/>
    <w:link w:val="CommentSubjectChar"/>
    <w:semiHidden/>
    <w:unhideWhenUsed/>
    <w:rsid w:val="004E5B5B"/>
    <w:rPr>
      <w:b/>
      <w:bCs/>
    </w:rPr>
  </w:style>
  <w:style w:type="character" w:customStyle="1" w:styleId="CommentSubjectChar">
    <w:name w:val="Comment Subject Char"/>
    <w:basedOn w:val="CommentTextChar"/>
    <w:link w:val="CommentSubject"/>
    <w:semiHidden/>
    <w:rsid w:val="004E5B5B"/>
    <w:rPr>
      <w:b/>
      <w:bCs/>
      <w:lang w:eastAsia="en-US"/>
    </w:rPr>
  </w:style>
  <w:style w:type="table" w:customStyle="1" w:styleId="TableGrid1">
    <w:name w:val="Table Grid1"/>
    <w:basedOn w:val="TableNormal"/>
    <w:next w:val="TableGrid"/>
    <w:uiPriority w:val="39"/>
    <w:rsid w:val="0020055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70">
      <w:bodyDiv w:val="1"/>
      <w:marLeft w:val="0"/>
      <w:marRight w:val="0"/>
      <w:marTop w:val="0"/>
      <w:marBottom w:val="0"/>
      <w:divBdr>
        <w:top w:val="none" w:sz="0" w:space="0" w:color="auto"/>
        <w:left w:val="none" w:sz="0" w:space="0" w:color="auto"/>
        <w:bottom w:val="none" w:sz="0" w:space="0" w:color="auto"/>
        <w:right w:val="none" w:sz="0" w:space="0" w:color="auto"/>
      </w:divBdr>
    </w:div>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89602714">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099327435">
      <w:bodyDiv w:val="1"/>
      <w:marLeft w:val="0"/>
      <w:marRight w:val="0"/>
      <w:marTop w:val="0"/>
      <w:marBottom w:val="0"/>
      <w:divBdr>
        <w:top w:val="none" w:sz="0" w:space="0" w:color="auto"/>
        <w:left w:val="none" w:sz="0" w:space="0" w:color="auto"/>
        <w:bottom w:val="none" w:sz="0" w:space="0" w:color="auto"/>
        <w:right w:val="none" w:sz="0" w:space="0" w:color="auto"/>
      </w:divBdr>
    </w:div>
    <w:div w:id="1209302080">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786197388">
      <w:bodyDiv w:val="1"/>
      <w:marLeft w:val="0"/>
      <w:marRight w:val="0"/>
      <w:marTop w:val="0"/>
      <w:marBottom w:val="0"/>
      <w:divBdr>
        <w:top w:val="none" w:sz="0" w:space="0" w:color="auto"/>
        <w:left w:val="none" w:sz="0" w:space="0" w:color="auto"/>
        <w:bottom w:val="none" w:sz="0" w:space="0" w:color="auto"/>
        <w:right w:val="none" w:sz="0" w:space="0" w:color="auto"/>
      </w:divBdr>
    </w:div>
    <w:div w:id="1891569339">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7991685">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sComm/uploads/COC_300_ENG_REV_1_20251013124818.docx" TargetMode="External"/><Relationship Id="rId13" Type="http://schemas.openxmlformats.org/officeDocument/2006/relationships/hyperlink" Target="https://www.iccat.int/Documents/Recs/compendiopdf-e/2023-17-e.pdf" TargetMode="External"/><Relationship Id="rId18" Type="http://schemas.openxmlformats.org/officeDocument/2006/relationships/hyperlink" Target="https://www.iccat.int/Documents/Recs/compendiopdf-e/2022-12-e.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iccat.int/Documents/Recs/compendiopdf-e/2022-18-e.pdf" TargetMode="External"/><Relationship Id="rId7" Type="http://schemas.openxmlformats.org/officeDocument/2006/relationships/hyperlink" Target="https://www.iccat.int/Documents/Recs/compendiopdf-e/2016-22-e.pdf" TargetMode="External"/><Relationship Id="rId12" Type="http://schemas.openxmlformats.org/officeDocument/2006/relationships/hyperlink" Target="https://www.iccat.int/DocsComm/PageDocs.php" TargetMode="External"/><Relationship Id="rId17" Type="http://schemas.openxmlformats.org/officeDocument/2006/relationships/hyperlink" Target="https://www.iccat.int/Documents/Recs/compendiopdf-e/2016-14-e.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ccat.int/Documents/Recs/compendiopdf-e/2018-06-e.pdf" TargetMode="External"/><Relationship Id="rId20" Type="http://schemas.openxmlformats.org/officeDocument/2006/relationships/hyperlink" Target="https://www.iccat.int/Documents/Recs/compendiopdf-e/2022-18-e.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e/2016-22-e.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ccat.int/Documents/Recs/compendiopdf-e/2018-05-e.pdf"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mailto:info@iccat.int" TargetMode="External"/><Relationship Id="rId19" Type="http://schemas.openxmlformats.org/officeDocument/2006/relationships/hyperlink" Target="https://www.iccat.int/Documents/Recs/compendiopdf-e/2023-13-e.pdf" TargetMode="Externa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uments/Recs/compendiopdf-e/2018-05-e.pdf" TargetMode="External"/><Relationship Id="rId22" Type="http://schemas.openxmlformats.org/officeDocument/2006/relationships/hyperlink" Target="https://www.iccat.int/Documents/Recs/compendiopdf-e/2022-18-e.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2025-02-04T09:21:00Z</dcterms:created>
  <dcterms:modified xsi:type="dcterms:W3CDTF">2025-10-29T13:54:00Z</dcterms:modified>
</cp:coreProperties>
</file>