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D099" w14:textId="6C3427C6" w:rsidR="005A18DD" w:rsidRPr="002501D4" w:rsidRDefault="00A84E73" w:rsidP="004D46FE">
      <w:pPr>
        <w:tabs>
          <w:tab w:val="left" w:pos="9214"/>
        </w:tabs>
        <w:spacing w:line="240" w:lineRule="exact"/>
        <w:ind w:right="2"/>
        <w:jc w:val="right"/>
        <w:rPr>
          <w:rFonts w:asciiTheme="majorHAnsi" w:hAnsiTheme="majorHAnsi"/>
          <w:b/>
          <w:sz w:val="20"/>
          <w:szCs w:val="20"/>
        </w:rPr>
      </w:pPr>
      <w:r w:rsidRPr="002501D4">
        <w:rPr>
          <w:rFonts w:asciiTheme="majorHAnsi" w:hAnsiTheme="majorHAnsi"/>
          <w:b/>
          <w:sz w:val="20"/>
          <w:szCs w:val="20"/>
        </w:rPr>
        <w:t>Original: inglés</w:t>
      </w:r>
      <w:r w:rsidR="00BA1C6B" w:rsidRPr="002501D4">
        <w:rPr>
          <w:rFonts w:asciiTheme="majorHAnsi" w:hAnsiTheme="majorHAnsi"/>
          <w:b/>
          <w:sz w:val="20"/>
          <w:szCs w:val="20"/>
        </w:rPr>
        <w:t>/francés</w:t>
      </w:r>
    </w:p>
    <w:p w14:paraId="69C94EA7" w14:textId="77777777" w:rsidR="005A18DD" w:rsidRPr="002501D4" w:rsidRDefault="005A18DD" w:rsidP="004D46FE">
      <w:pPr>
        <w:pBdr>
          <w:top w:val="nil"/>
          <w:left w:val="nil"/>
          <w:bottom w:val="nil"/>
          <w:right w:val="nil"/>
          <w:between w:val="nil"/>
        </w:pBdr>
        <w:tabs>
          <w:tab w:val="left" w:pos="9072"/>
        </w:tabs>
        <w:spacing w:line="240" w:lineRule="exact"/>
        <w:jc w:val="right"/>
        <w:rPr>
          <w:rFonts w:asciiTheme="majorHAnsi" w:hAnsiTheme="majorHAnsi"/>
          <w:b/>
          <w:color w:val="000000"/>
          <w:sz w:val="20"/>
          <w:szCs w:val="20"/>
        </w:rPr>
      </w:pPr>
    </w:p>
    <w:p w14:paraId="5A4BCCF8" w14:textId="77777777" w:rsidR="0018551C" w:rsidRPr="002501D4" w:rsidRDefault="0018551C" w:rsidP="004D46FE">
      <w:pPr>
        <w:spacing w:line="240" w:lineRule="exact"/>
        <w:jc w:val="center"/>
        <w:rPr>
          <w:rFonts w:asciiTheme="majorHAnsi" w:hAnsiTheme="majorHAnsi"/>
          <w:b/>
          <w:sz w:val="20"/>
          <w:szCs w:val="20"/>
        </w:rPr>
      </w:pPr>
      <w:r w:rsidRPr="002501D4">
        <w:rPr>
          <w:rFonts w:asciiTheme="majorHAnsi" w:hAnsiTheme="majorHAnsi"/>
          <w:b/>
          <w:sz w:val="20"/>
          <w:szCs w:val="20"/>
        </w:rPr>
        <w:t>Grupo de trabajo sobre tecnología de comunicación en línea (WG-ORT)</w:t>
      </w:r>
    </w:p>
    <w:p w14:paraId="290321BC" w14:textId="6F4DAE74" w:rsidR="0018551C" w:rsidRPr="002501D4" w:rsidRDefault="0018551C" w:rsidP="004D46FE">
      <w:pPr>
        <w:spacing w:line="240" w:lineRule="exact"/>
        <w:jc w:val="center"/>
        <w:rPr>
          <w:rFonts w:asciiTheme="majorHAnsi" w:hAnsiTheme="majorHAnsi"/>
          <w:b/>
          <w:sz w:val="20"/>
          <w:szCs w:val="20"/>
        </w:rPr>
      </w:pPr>
    </w:p>
    <w:p w14:paraId="7831E264" w14:textId="4E9698BA" w:rsidR="0018551C" w:rsidRPr="002501D4" w:rsidRDefault="0018551C" w:rsidP="004D46FE">
      <w:pPr>
        <w:spacing w:line="240" w:lineRule="exact"/>
        <w:jc w:val="center"/>
        <w:rPr>
          <w:rFonts w:asciiTheme="majorHAnsi" w:hAnsiTheme="majorHAnsi"/>
          <w:b/>
          <w:sz w:val="20"/>
          <w:szCs w:val="20"/>
        </w:rPr>
      </w:pPr>
      <w:r w:rsidRPr="002501D4">
        <w:rPr>
          <w:rFonts w:asciiTheme="majorHAnsi" w:hAnsiTheme="majorHAnsi"/>
          <w:b/>
          <w:sz w:val="20"/>
          <w:szCs w:val="20"/>
        </w:rPr>
        <w:t>Informe de situación de 2025</w:t>
      </w:r>
    </w:p>
    <w:p w14:paraId="2CC6FFE7" w14:textId="77777777" w:rsidR="0018551C" w:rsidRPr="002501D4" w:rsidRDefault="0018551C" w:rsidP="004D46FE">
      <w:pPr>
        <w:spacing w:line="240" w:lineRule="exact"/>
        <w:jc w:val="center"/>
        <w:rPr>
          <w:rFonts w:asciiTheme="majorHAnsi" w:hAnsiTheme="majorHAnsi"/>
          <w:b/>
          <w:sz w:val="20"/>
          <w:szCs w:val="20"/>
        </w:rPr>
      </w:pPr>
    </w:p>
    <w:p w14:paraId="69541835" w14:textId="3B3A4551" w:rsidR="0018551C" w:rsidRPr="002501D4" w:rsidRDefault="0018551C" w:rsidP="004D46FE">
      <w:pPr>
        <w:spacing w:line="240" w:lineRule="exact"/>
        <w:jc w:val="center"/>
        <w:rPr>
          <w:rFonts w:asciiTheme="majorHAnsi" w:hAnsiTheme="majorHAnsi"/>
          <w:bCs/>
          <w:i/>
          <w:iCs/>
          <w:sz w:val="20"/>
          <w:szCs w:val="20"/>
        </w:rPr>
      </w:pPr>
      <w:r w:rsidRPr="002501D4">
        <w:rPr>
          <w:rFonts w:asciiTheme="majorHAnsi" w:hAnsiTheme="majorHAnsi"/>
          <w:i/>
          <w:sz w:val="20"/>
          <w:szCs w:val="20"/>
        </w:rPr>
        <w:t>(Preparado por la Secretaría)</w:t>
      </w:r>
    </w:p>
    <w:p w14:paraId="4F8BA8FC" w14:textId="77777777" w:rsidR="005A18DD" w:rsidRPr="002501D4" w:rsidRDefault="005A18DD" w:rsidP="004D46FE">
      <w:pPr>
        <w:pBdr>
          <w:top w:val="nil"/>
          <w:left w:val="nil"/>
          <w:bottom w:val="nil"/>
          <w:right w:val="nil"/>
          <w:between w:val="nil"/>
        </w:pBdr>
        <w:tabs>
          <w:tab w:val="left" w:pos="9214"/>
        </w:tabs>
        <w:spacing w:line="240" w:lineRule="exact"/>
        <w:rPr>
          <w:rFonts w:asciiTheme="majorHAnsi" w:hAnsiTheme="majorHAnsi"/>
          <w:b/>
          <w:color w:val="000000"/>
          <w:sz w:val="20"/>
          <w:szCs w:val="20"/>
        </w:rPr>
      </w:pPr>
    </w:p>
    <w:p w14:paraId="770EED33" w14:textId="530CBB46" w:rsidR="008A419C" w:rsidRPr="002501D4" w:rsidRDefault="008A419C" w:rsidP="004D46FE">
      <w:pPr>
        <w:tabs>
          <w:tab w:val="left" w:pos="9214"/>
        </w:tabs>
        <w:spacing w:line="240" w:lineRule="exact"/>
        <w:rPr>
          <w:rFonts w:asciiTheme="majorHAnsi" w:hAnsiTheme="majorHAnsi"/>
          <w:b/>
          <w:sz w:val="20"/>
          <w:szCs w:val="20"/>
        </w:rPr>
      </w:pPr>
      <w:r w:rsidRPr="002501D4">
        <w:rPr>
          <w:rFonts w:asciiTheme="majorHAnsi" w:hAnsiTheme="majorHAnsi"/>
          <w:b/>
          <w:sz w:val="20"/>
          <w:szCs w:val="20"/>
        </w:rPr>
        <w:t>Resumen de las actividades del Grupo de trabajo en 2025</w:t>
      </w:r>
    </w:p>
    <w:p w14:paraId="12AEAD40" w14:textId="77777777" w:rsidR="008A419C" w:rsidRPr="002501D4" w:rsidRDefault="008A419C" w:rsidP="004D46FE">
      <w:pPr>
        <w:pBdr>
          <w:top w:val="nil"/>
          <w:left w:val="nil"/>
          <w:bottom w:val="nil"/>
          <w:right w:val="nil"/>
          <w:between w:val="nil"/>
        </w:pBdr>
        <w:tabs>
          <w:tab w:val="left" w:pos="9214"/>
        </w:tabs>
        <w:spacing w:line="240" w:lineRule="exact"/>
        <w:rPr>
          <w:rFonts w:asciiTheme="majorHAnsi" w:hAnsiTheme="majorHAnsi"/>
          <w:b/>
          <w:color w:val="000000"/>
          <w:sz w:val="20"/>
          <w:szCs w:val="20"/>
        </w:rPr>
      </w:pPr>
    </w:p>
    <w:p w14:paraId="2F9DD399" w14:textId="448C9F0E" w:rsidR="004829C8" w:rsidRPr="002501D4" w:rsidRDefault="00E43B14" w:rsidP="004D46FE">
      <w:pPr>
        <w:tabs>
          <w:tab w:val="left" w:pos="558"/>
          <w:tab w:val="left" w:pos="559"/>
          <w:tab w:val="left" w:pos="9214"/>
        </w:tabs>
        <w:spacing w:line="240" w:lineRule="exact"/>
        <w:jc w:val="both"/>
        <w:rPr>
          <w:rFonts w:asciiTheme="majorHAnsi" w:hAnsiTheme="majorHAnsi"/>
          <w:color w:val="000000"/>
          <w:sz w:val="20"/>
          <w:szCs w:val="20"/>
        </w:rPr>
      </w:pPr>
      <w:r w:rsidRPr="002501D4">
        <w:rPr>
          <w:rFonts w:asciiTheme="majorHAnsi" w:hAnsiTheme="majorHAnsi"/>
          <w:sz w:val="20"/>
          <w:szCs w:val="20"/>
        </w:rPr>
        <w:t xml:space="preserve">Las actividades anuales del WG-ORT se planifican anualmente en la reunión intersesiones de principios de febrero para adaptarse a las deliberaciones de la reunión anual de la Comisión precedente. El WG-ORT se reunió virtualmente los días 11 y 12 de febrero de 2025 para revisar los avances en el desarrollo del Sistema integrado de gestión en línea (IOMS) </w:t>
      </w:r>
      <w:r w:rsidR="00BA1C6B" w:rsidRPr="002501D4">
        <w:rPr>
          <w:rFonts w:asciiTheme="majorHAnsi" w:hAnsiTheme="majorHAnsi"/>
          <w:sz w:val="20"/>
          <w:szCs w:val="20"/>
        </w:rPr>
        <w:t xml:space="preserve">de ICCAT </w:t>
      </w:r>
      <w:r w:rsidRPr="002501D4">
        <w:rPr>
          <w:rFonts w:asciiTheme="majorHAnsi" w:hAnsiTheme="majorHAnsi"/>
          <w:sz w:val="20"/>
          <w:szCs w:val="20"/>
        </w:rPr>
        <w:t>y para planificar futuras actividades.</w:t>
      </w:r>
      <w:r w:rsidRPr="002501D4">
        <w:rPr>
          <w:rFonts w:asciiTheme="majorHAnsi" w:hAnsiTheme="majorHAnsi"/>
          <w:color w:val="000000"/>
          <w:sz w:val="20"/>
          <w:szCs w:val="20"/>
        </w:rPr>
        <w:t xml:space="preserve"> El informe de la reunión, disponible como documento </w:t>
      </w:r>
      <w:hyperlink r:id="rId11">
        <w:r w:rsidRPr="002501D4">
          <w:rPr>
            <w:rFonts w:asciiTheme="majorHAnsi" w:hAnsiTheme="majorHAnsi"/>
            <w:color w:val="0000FF"/>
            <w:sz w:val="20"/>
            <w:szCs w:val="20"/>
          </w:rPr>
          <w:t>COC_302/</w:t>
        </w:r>
        <w:r w:rsidRPr="002501D4">
          <w:rPr>
            <w:rFonts w:asciiTheme="majorHAnsi" w:hAnsiTheme="majorHAnsi"/>
            <w:color w:val="0000FF"/>
            <w:sz w:val="20"/>
            <w:szCs w:val="20"/>
          </w:rPr>
          <w:t>2</w:t>
        </w:r>
        <w:r w:rsidRPr="002501D4">
          <w:rPr>
            <w:rFonts w:asciiTheme="majorHAnsi" w:hAnsiTheme="majorHAnsi"/>
            <w:color w:val="0000FF"/>
            <w:sz w:val="20"/>
            <w:szCs w:val="20"/>
          </w:rPr>
          <w:t>0</w:t>
        </w:r>
        <w:r w:rsidRPr="002501D4">
          <w:rPr>
            <w:rFonts w:asciiTheme="majorHAnsi" w:hAnsiTheme="majorHAnsi"/>
            <w:color w:val="0000FF"/>
            <w:sz w:val="20"/>
            <w:szCs w:val="20"/>
          </w:rPr>
          <w:t>25</w:t>
        </w:r>
      </w:hyperlink>
      <w:hyperlink r:id="rId12">
        <w:r w:rsidRPr="002501D4">
          <w:rPr>
            <w:rFonts w:asciiTheme="majorHAnsi" w:hAnsiTheme="majorHAnsi"/>
            <w:color w:val="000000"/>
            <w:sz w:val="20"/>
            <w:szCs w:val="20"/>
          </w:rPr>
          <w:t>,</w:t>
        </w:r>
      </w:hyperlink>
      <w:r w:rsidRPr="002501D4">
        <w:rPr>
          <w:rFonts w:asciiTheme="majorHAnsi" w:hAnsiTheme="majorHAnsi"/>
          <w:sz w:val="20"/>
          <w:szCs w:val="20"/>
        </w:rPr>
        <w:t xml:space="preserve"> ofrece información más pormenorizada sobre las actividades resumidas en este informe.</w:t>
      </w:r>
    </w:p>
    <w:p w14:paraId="29C52BF4" w14:textId="77777777" w:rsidR="004829C8" w:rsidRPr="002501D4" w:rsidRDefault="004829C8" w:rsidP="004D46FE">
      <w:pPr>
        <w:tabs>
          <w:tab w:val="left" w:pos="558"/>
          <w:tab w:val="left" w:pos="559"/>
          <w:tab w:val="left" w:pos="9214"/>
        </w:tabs>
        <w:spacing w:line="240" w:lineRule="exact"/>
        <w:jc w:val="both"/>
        <w:rPr>
          <w:rFonts w:asciiTheme="majorHAnsi" w:hAnsiTheme="majorHAnsi"/>
          <w:color w:val="000000"/>
          <w:sz w:val="20"/>
          <w:szCs w:val="20"/>
        </w:rPr>
      </w:pPr>
    </w:p>
    <w:p w14:paraId="192982A3" w14:textId="2F042DBB" w:rsidR="00775ED2" w:rsidRPr="002501D4" w:rsidRDefault="008A419C" w:rsidP="004D46FE">
      <w:pPr>
        <w:tabs>
          <w:tab w:val="left" w:pos="558"/>
          <w:tab w:val="left" w:pos="559"/>
          <w:tab w:val="left" w:pos="9214"/>
        </w:tabs>
        <w:spacing w:line="240" w:lineRule="exact"/>
        <w:jc w:val="both"/>
        <w:rPr>
          <w:rFonts w:asciiTheme="majorHAnsi" w:hAnsiTheme="majorHAnsi"/>
          <w:sz w:val="20"/>
          <w:szCs w:val="20"/>
        </w:rPr>
      </w:pPr>
      <w:r w:rsidRPr="002501D4">
        <w:rPr>
          <w:rFonts w:asciiTheme="majorHAnsi" w:hAnsiTheme="majorHAnsi"/>
          <w:sz w:val="20"/>
          <w:szCs w:val="20"/>
        </w:rPr>
        <w:t xml:space="preserve">Durante 2025, la Secretaría continuó su progreso en el desarrollo del IOMS que se encuentra actualmente en la Fase </w:t>
      </w:r>
      <w:r w:rsidR="00BA1C6B" w:rsidRPr="002501D4">
        <w:rPr>
          <w:rFonts w:asciiTheme="majorHAnsi" w:hAnsiTheme="majorHAnsi"/>
          <w:sz w:val="20"/>
          <w:szCs w:val="20"/>
        </w:rPr>
        <w:t>4</w:t>
      </w:r>
      <w:r w:rsidRPr="002501D4">
        <w:rPr>
          <w:rFonts w:asciiTheme="majorHAnsi" w:hAnsiTheme="majorHAnsi"/>
          <w:sz w:val="20"/>
          <w:szCs w:val="20"/>
        </w:rPr>
        <w:t xml:space="preserve"> (dos años: 1 de junio de 2024 a 31 de mayo de 2026). Todas las fases de desarrollo del IOMS se presentan en el plan de trabajo del WG-ORT (Tabla 3 de </w:t>
      </w:r>
      <w:hyperlink r:id="rId13" w:history="1">
        <w:r w:rsidRPr="002501D4">
          <w:rPr>
            <w:rStyle w:val="Hyperlink"/>
            <w:rFonts w:asciiTheme="majorHAnsi" w:hAnsiTheme="majorHAnsi"/>
            <w:sz w:val="20"/>
            <w:szCs w:val="20"/>
            <w:u w:val="none"/>
          </w:rPr>
          <w:t>COC_302/2025</w:t>
        </w:r>
      </w:hyperlink>
      <w:r w:rsidRPr="002501D4">
        <w:rPr>
          <w:rFonts w:asciiTheme="majorHAnsi" w:hAnsiTheme="majorHAnsi"/>
          <w:sz w:val="20"/>
          <w:szCs w:val="20"/>
        </w:rPr>
        <w:t>).</w:t>
      </w:r>
      <w:r w:rsidRPr="002501D4">
        <w:rPr>
          <w:rFonts w:asciiTheme="majorHAnsi" w:hAnsiTheme="majorHAnsi"/>
          <w:color w:val="0000FF"/>
          <w:sz w:val="20"/>
          <w:szCs w:val="20"/>
        </w:rPr>
        <w:t xml:space="preserve"> </w:t>
      </w:r>
      <w:r w:rsidRPr="002501D4">
        <w:rPr>
          <w:rFonts w:asciiTheme="majorHAnsi" w:hAnsiTheme="majorHAnsi"/>
          <w:sz w:val="20"/>
          <w:szCs w:val="20"/>
        </w:rPr>
        <w:t xml:space="preserve">El 1 de agosto de 2025, los módulos Gestor de formularios y Gestor de buques se pusieron en producción, tras una cuidadosa planificación por parte del </w:t>
      </w:r>
      <w:r w:rsidR="00BA1C6B" w:rsidRPr="002501D4">
        <w:rPr>
          <w:rFonts w:asciiTheme="majorHAnsi" w:hAnsiTheme="majorHAnsi"/>
          <w:sz w:val="20"/>
          <w:szCs w:val="20"/>
        </w:rPr>
        <w:t>WG</w:t>
      </w:r>
      <w:r w:rsidRPr="002501D4">
        <w:rPr>
          <w:rFonts w:asciiTheme="majorHAnsi" w:hAnsiTheme="majorHAnsi"/>
          <w:sz w:val="20"/>
          <w:szCs w:val="20"/>
        </w:rPr>
        <w:t>-ORT que incluyó dos sesiones de formación asociadas y varias mejoras acordadas de antemano.</w:t>
      </w:r>
      <w:r w:rsidR="009372FF" w:rsidRPr="002501D4">
        <w:rPr>
          <w:rFonts w:asciiTheme="majorHAnsi" w:hAnsiTheme="majorHAnsi"/>
          <w:sz w:val="20"/>
          <w:szCs w:val="20"/>
        </w:rPr>
        <w:t xml:space="preserve"> </w:t>
      </w:r>
      <w:r w:rsidRPr="002501D4">
        <w:rPr>
          <w:rFonts w:asciiTheme="majorHAnsi" w:hAnsiTheme="majorHAnsi"/>
          <w:sz w:val="20"/>
          <w:szCs w:val="20"/>
        </w:rPr>
        <w:t xml:space="preserve">El módulo Gestor de buques aún no incluye el componente FLUX, que sigue en fase de desarrollo y requiere más tiempo. Además, en consonancia con la estrategia de mejora permanente del IOMS, se han introducido constantemente mejoras en varias funcionalidades </w:t>
      </w:r>
      <w:r w:rsidR="00BA1C6B" w:rsidRPr="002501D4">
        <w:rPr>
          <w:rFonts w:asciiTheme="majorHAnsi" w:hAnsiTheme="majorHAnsi"/>
          <w:sz w:val="20"/>
          <w:szCs w:val="20"/>
        </w:rPr>
        <w:t xml:space="preserve">y </w:t>
      </w:r>
      <w:r w:rsidR="00BA1C6B" w:rsidRPr="002501D4">
        <w:rPr>
          <w:rFonts w:asciiTheme="majorHAnsi" w:hAnsiTheme="majorHAnsi"/>
          <w:sz w:val="20"/>
          <w:szCs w:val="20"/>
        </w:rPr>
        <w:t xml:space="preserve">herramientas </w:t>
      </w:r>
      <w:r w:rsidRPr="002501D4">
        <w:rPr>
          <w:rFonts w:asciiTheme="majorHAnsi" w:hAnsiTheme="majorHAnsi"/>
          <w:sz w:val="20"/>
          <w:szCs w:val="20"/>
        </w:rPr>
        <w:t xml:space="preserve">administrativas del IOMS (detalles en la Tabla 2 del </w:t>
      </w:r>
      <w:hyperlink r:id="rId14" w:history="1">
        <w:r w:rsidRPr="002501D4">
          <w:rPr>
            <w:rStyle w:val="Hyperlink"/>
            <w:rFonts w:asciiTheme="majorHAnsi" w:hAnsiTheme="majorHAnsi"/>
            <w:sz w:val="20"/>
            <w:szCs w:val="20"/>
            <w:u w:val="none"/>
          </w:rPr>
          <w:t>COC_302/2025</w:t>
        </w:r>
      </w:hyperlink>
      <w:r w:rsidRPr="002501D4">
        <w:rPr>
          <w:rFonts w:asciiTheme="majorHAnsi" w:hAnsiTheme="majorHAnsi"/>
          <w:sz w:val="20"/>
          <w:szCs w:val="20"/>
        </w:rPr>
        <w:t>).</w:t>
      </w:r>
    </w:p>
    <w:p w14:paraId="1FEE49A8" w14:textId="77777777" w:rsidR="00534610" w:rsidRPr="002501D4" w:rsidRDefault="00534610" w:rsidP="004D46FE">
      <w:pPr>
        <w:tabs>
          <w:tab w:val="left" w:pos="558"/>
          <w:tab w:val="left" w:pos="559"/>
          <w:tab w:val="left" w:pos="9214"/>
        </w:tabs>
        <w:spacing w:line="240" w:lineRule="exact"/>
        <w:jc w:val="both"/>
        <w:rPr>
          <w:rFonts w:asciiTheme="majorHAnsi" w:hAnsiTheme="majorHAnsi"/>
          <w:sz w:val="20"/>
          <w:szCs w:val="20"/>
        </w:rPr>
      </w:pPr>
    </w:p>
    <w:p w14:paraId="5CFD7762" w14:textId="1A122F95" w:rsidR="00CB4563" w:rsidRPr="002501D4" w:rsidRDefault="00CB4563" w:rsidP="004D46FE">
      <w:pPr>
        <w:pBdr>
          <w:top w:val="nil"/>
          <w:left w:val="nil"/>
          <w:bottom w:val="nil"/>
          <w:right w:val="nil"/>
          <w:between w:val="nil"/>
        </w:pBdr>
        <w:spacing w:line="240" w:lineRule="exact"/>
        <w:jc w:val="both"/>
        <w:rPr>
          <w:rFonts w:asciiTheme="majorHAnsi" w:hAnsiTheme="majorHAnsi"/>
          <w:b/>
          <w:bCs/>
          <w:i/>
          <w:iCs/>
          <w:color w:val="000000"/>
          <w:sz w:val="20"/>
          <w:szCs w:val="20"/>
        </w:rPr>
      </w:pPr>
      <w:r w:rsidRPr="002501D4">
        <w:rPr>
          <w:rFonts w:asciiTheme="majorHAnsi" w:hAnsiTheme="majorHAnsi"/>
          <w:b/>
          <w:i/>
          <w:color w:val="000000"/>
          <w:sz w:val="20"/>
          <w:szCs w:val="20"/>
        </w:rPr>
        <w:t>Módulo Gestor de buques</w:t>
      </w:r>
    </w:p>
    <w:p w14:paraId="7F563DC9" w14:textId="77777777" w:rsidR="00CB4563" w:rsidRPr="002501D4" w:rsidRDefault="00CB4563" w:rsidP="004D46FE">
      <w:pPr>
        <w:pBdr>
          <w:top w:val="nil"/>
          <w:left w:val="nil"/>
          <w:bottom w:val="nil"/>
          <w:right w:val="nil"/>
          <w:between w:val="nil"/>
        </w:pBdr>
        <w:spacing w:line="240" w:lineRule="exact"/>
        <w:jc w:val="both"/>
        <w:rPr>
          <w:rFonts w:asciiTheme="majorHAnsi" w:hAnsiTheme="majorHAnsi"/>
          <w:color w:val="000000"/>
          <w:sz w:val="20"/>
          <w:szCs w:val="20"/>
        </w:rPr>
      </w:pPr>
    </w:p>
    <w:p w14:paraId="26425772" w14:textId="791CCD63" w:rsidR="00D5013E" w:rsidRPr="002501D4" w:rsidRDefault="00D5013E" w:rsidP="004D46FE">
      <w:pPr>
        <w:pBdr>
          <w:top w:val="nil"/>
          <w:left w:val="nil"/>
          <w:bottom w:val="nil"/>
          <w:right w:val="nil"/>
          <w:between w:val="nil"/>
        </w:pBdr>
        <w:spacing w:line="240" w:lineRule="exact"/>
        <w:jc w:val="both"/>
        <w:rPr>
          <w:rFonts w:asciiTheme="majorHAnsi" w:hAnsiTheme="majorHAnsi"/>
          <w:color w:val="000000"/>
          <w:sz w:val="20"/>
          <w:szCs w:val="20"/>
        </w:rPr>
      </w:pPr>
      <w:r w:rsidRPr="002501D4">
        <w:rPr>
          <w:rFonts w:asciiTheme="majorHAnsi" w:hAnsiTheme="majorHAnsi"/>
          <w:color w:val="000000"/>
          <w:sz w:val="20"/>
          <w:szCs w:val="20"/>
        </w:rPr>
        <w:t>El módulo Gestor de buques, incluidos sus modos de trabajo en línea y fuera de línea, se puso en producción el 1 de agosto de 2025. Este módulo también contiene los componentes Autorizaciones de transbordo y Acuerdos de fletamento. Durante los primeros meses de funcionamiento, no se registraron problemas importantes. Los errores menores identificados por los usuarios del IOMS se corrigieron rápidamente y el IOMS se mantuvo totalmente estable. En 2025 se organizó una sesión de formación específica para familiarizar a los usuarios con las nuevas funcionalidades. Esta sesión aportó valiosos comentarios que contribuyeron a afinar ciertos procesos y a mejorar la experiencia general del usuario. El componente FLUX (UN/FLUX) del Gestor de buques, que permitirá el intercambio automático de información sobre buques entre el IOMS y las CPC interesadas, sigue en fase de desarrollo y se finalizará más adelante.</w:t>
      </w:r>
    </w:p>
    <w:p w14:paraId="26BBD1F5" w14:textId="77777777" w:rsidR="000E0392" w:rsidRPr="002501D4" w:rsidRDefault="000E0392" w:rsidP="004D46FE">
      <w:pPr>
        <w:pBdr>
          <w:top w:val="nil"/>
          <w:left w:val="nil"/>
          <w:bottom w:val="nil"/>
          <w:right w:val="nil"/>
          <w:between w:val="nil"/>
        </w:pBdr>
        <w:spacing w:line="240" w:lineRule="exact"/>
        <w:jc w:val="both"/>
        <w:rPr>
          <w:rFonts w:asciiTheme="majorHAnsi" w:hAnsiTheme="majorHAnsi"/>
          <w:color w:val="000000"/>
          <w:sz w:val="20"/>
          <w:szCs w:val="20"/>
        </w:rPr>
      </w:pPr>
    </w:p>
    <w:p w14:paraId="0268D431" w14:textId="223E2C0D" w:rsidR="00653B6F" w:rsidRPr="002501D4" w:rsidRDefault="00FB46A2" w:rsidP="004D46FE">
      <w:pPr>
        <w:pBdr>
          <w:top w:val="nil"/>
          <w:left w:val="nil"/>
          <w:bottom w:val="nil"/>
          <w:right w:val="nil"/>
          <w:between w:val="nil"/>
        </w:pBdr>
        <w:spacing w:line="240" w:lineRule="exact"/>
        <w:jc w:val="both"/>
        <w:rPr>
          <w:rFonts w:asciiTheme="majorHAnsi" w:hAnsiTheme="majorHAnsi"/>
          <w:color w:val="000000"/>
          <w:sz w:val="20"/>
          <w:szCs w:val="20"/>
        </w:rPr>
      </w:pPr>
      <w:r w:rsidRPr="002501D4">
        <w:rPr>
          <w:rFonts w:asciiTheme="majorHAnsi" w:hAnsiTheme="majorHAnsi"/>
          <w:color w:val="000000"/>
          <w:sz w:val="20"/>
          <w:szCs w:val="20"/>
        </w:rPr>
        <w:t>La página web pública del registro de buques de ICCAT está directamente conectada con el Gestor de buques a través de servicios web públicos (con información sobre buques publicada en tiempo real), lo que demuestra las capacidades de interoperabilidad de la arquitectura del IOMS y su potencial para futuras integraciones de sistemas.</w:t>
      </w:r>
    </w:p>
    <w:p w14:paraId="564E262D" w14:textId="77777777" w:rsidR="00653B6F" w:rsidRPr="002501D4" w:rsidRDefault="00653B6F" w:rsidP="004D46FE">
      <w:pPr>
        <w:tabs>
          <w:tab w:val="left" w:pos="558"/>
          <w:tab w:val="left" w:pos="559"/>
          <w:tab w:val="left" w:pos="9214"/>
        </w:tabs>
        <w:spacing w:line="240" w:lineRule="exact"/>
        <w:jc w:val="both"/>
        <w:rPr>
          <w:rFonts w:asciiTheme="majorHAnsi" w:hAnsiTheme="majorHAnsi"/>
          <w:b/>
          <w:bCs/>
          <w:sz w:val="20"/>
          <w:szCs w:val="20"/>
        </w:rPr>
      </w:pPr>
    </w:p>
    <w:p w14:paraId="3BF21379" w14:textId="51C9F25B" w:rsidR="00CB4563" w:rsidRPr="002501D4" w:rsidRDefault="00CB4563" w:rsidP="004D46FE">
      <w:pPr>
        <w:pBdr>
          <w:top w:val="nil"/>
          <w:left w:val="nil"/>
          <w:bottom w:val="nil"/>
          <w:right w:val="nil"/>
          <w:between w:val="nil"/>
        </w:pBdr>
        <w:spacing w:line="240" w:lineRule="exact"/>
        <w:jc w:val="both"/>
        <w:rPr>
          <w:rFonts w:asciiTheme="majorHAnsi" w:hAnsiTheme="majorHAnsi"/>
          <w:b/>
          <w:bCs/>
          <w:i/>
          <w:iCs/>
          <w:color w:val="000000"/>
          <w:sz w:val="20"/>
          <w:szCs w:val="20"/>
        </w:rPr>
      </w:pPr>
      <w:r w:rsidRPr="002501D4">
        <w:rPr>
          <w:rFonts w:asciiTheme="majorHAnsi" w:hAnsiTheme="majorHAnsi"/>
          <w:b/>
          <w:i/>
          <w:color w:val="000000"/>
          <w:sz w:val="20"/>
          <w:szCs w:val="20"/>
        </w:rPr>
        <w:t>Módulo Gestor de formularios</w:t>
      </w:r>
    </w:p>
    <w:p w14:paraId="0ED536C9" w14:textId="77777777" w:rsidR="00CB4563" w:rsidRPr="002501D4" w:rsidRDefault="00CB4563" w:rsidP="004D46FE">
      <w:pPr>
        <w:pBdr>
          <w:top w:val="nil"/>
          <w:left w:val="nil"/>
          <w:bottom w:val="nil"/>
          <w:right w:val="nil"/>
          <w:between w:val="nil"/>
        </w:pBdr>
        <w:spacing w:line="240" w:lineRule="exact"/>
        <w:jc w:val="both"/>
        <w:rPr>
          <w:rFonts w:asciiTheme="majorHAnsi" w:hAnsiTheme="majorHAnsi"/>
          <w:color w:val="000000"/>
          <w:sz w:val="20"/>
          <w:szCs w:val="20"/>
        </w:rPr>
      </w:pPr>
    </w:p>
    <w:p w14:paraId="712D907B" w14:textId="0BF58DB9" w:rsidR="00B44DB6" w:rsidRPr="002501D4" w:rsidRDefault="00B44DB6" w:rsidP="004D46FE">
      <w:pPr>
        <w:pBdr>
          <w:top w:val="nil"/>
          <w:left w:val="nil"/>
          <w:bottom w:val="nil"/>
          <w:right w:val="nil"/>
          <w:between w:val="nil"/>
        </w:pBdr>
        <w:spacing w:line="240" w:lineRule="exact"/>
        <w:jc w:val="both"/>
        <w:rPr>
          <w:rFonts w:asciiTheme="majorHAnsi" w:hAnsiTheme="majorHAnsi"/>
          <w:color w:val="000000"/>
          <w:sz w:val="20"/>
          <w:szCs w:val="20"/>
        </w:rPr>
      </w:pPr>
      <w:r w:rsidRPr="002501D4">
        <w:rPr>
          <w:rFonts w:asciiTheme="majorHAnsi" w:hAnsiTheme="majorHAnsi"/>
          <w:color w:val="000000"/>
          <w:sz w:val="20"/>
          <w:szCs w:val="20"/>
        </w:rPr>
        <w:t>El módulo Gestor de formularios se puso en producción el 1 de agosto de 2025. Al igual que el Gestor de buques, el sistema ya ha recibido comentarios de los usuarios en sus primeros meses de funcionamiento, sin que se haya informado de ningún problema importante. Algunas sugerencias y observaciones han servido para perfeccionar y estabilizar el módulo. En la actualidad, este módulo gestiona (lectura, validación previa, inventario) 15 formularios estándar de ICCAT de un total de unos 50 formularios. Esto incluye los 10 formularios estadísticos (ST01, ST02, ST03, ST04, ST05, ST06, ST07, ST08, ST09 y ST10), 2 formularios de marcado (TG01 y TG02) y 3 formularios relacionados con el cumplimiento (CP01, CP46 y CP53). Los tres últimos formularios los gestiona el módulo Gestor de buques (CP01: características y autorizaciones del buque; CP46: operaciones de transbordo; CP53: acuerdos de fletamento), siendo el Gestor de formularios el que enruta automáticamente el formulario (transmitiendo la responsabilidad del tratamiento)</w:t>
      </w:r>
      <w:r w:rsidR="009372FF" w:rsidRPr="002501D4">
        <w:rPr>
          <w:rFonts w:asciiTheme="majorHAnsi" w:hAnsiTheme="majorHAnsi"/>
          <w:color w:val="000000"/>
          <w:sz w:val="20"/>
          <w:szCs w:val="20"/>
        </w:rPr>
        <w:t xml:space="preserve"> </w:t>
      </w:r>
      <w:r w:rsidRPr="002501D4">
        <w:rPr>
          <w:rFonts w:asciiTheme="majorHAnsi" w:hAnsiTheme="majorHAnsi"/>
          <w:color w:val="000000"/>
          <w:sz w:val="20"/>
          <w:szCs w:val="20"/>
        </w:rPr>
        <w:t xml:space="preserve">al submódulo Gestor de buques correspondiente para las labores de validación y tratamiento. En 2025 se celebró una sesión de formación dedicada exclusivamente al uso del Gestor de formularios, que permitió a </w:t>
      </w:r>
      <w:r w:rsidRPr="002501D4">
        <w:rPr>
          <w:rFonts w:asciiTheme="majorHAnsi" w:hAnsiTheme="majorHAnsi"/>
          <w:color w:val="000000"/>
          <w:sz w:val="20"/>
          <w:szCs w:val="20"/>
        </w:rPr>
        <w:lastRenderedPageBreak/>
        <w:t>los usuarios familiarizarse con las funcionalidades del sistema y aportar valiosos comentarios para mejorar su uso.</w:t>
      </w:r>
    </w:p>
    <w:p w14:paraId="71736940" w14:textId="77777777" w:rsidR="00B44DB6" w:rsidRPr="002501D4" w:rsidRDefault="00B44DB6" w:rsidP="004D46FE">
      <w:pPr>
        <w:pBdr>
          <w:top w:val="nil"/>
          <w:left w:val="nil"/>
          <w:bottom w:val="nil"/>
          <w:right w:val="nil"/>
          <w:between w:val="nil"/>
        </w:pBdr>
        <w:spacing w:line="240" w:lineRule="exact"/>
        <w:jc w:val="both"/>
        <w:rPr>
          <w:rFonts w:asciiTheme="majorHAnsi" w:hAnsiTheme="majorHAnsi"/>
          <w:color w:val="000000"/>
          <w:sz w:val="20"/>
          <w:szCs w:val="20"/>
        </w:rPr>
      </w:pPr>
    </w:p>
    <w:p w14:paraId="7C0CBEBC" w14:textId="59324CD8" w:rsidR="00B44DB6" w:rsidRPr="002501D4" w:rsidRDefault="00B44DB6" w:rsidP="004D46FE">
      <w:pPr>
        <w:pBdr>
          <w:top w:val="nil"/>
          <w:left w:val="nil"/>
          <w:bottom w:val="nil"/>
          <w:right w:val="nil"/>
          <w:between w:val="nil"/>
        </w:pBdr>
        <w:spacing w:line="240" w:lineRule="exact"/>
        <w:jc w:val="both"/>
        <w:rPr>
          <w:rFonts w:asciiTheme="majorHAnsi" w:hAnsiTheme="majorHAnsi"/>
          <w:sz w:val="20"/>
          <w:szCs w:val="20"/>
        </w:rPr>
      </w:pPr>
      <w:r w:rsidRPr="002501D4">
        <w:rPr>
          <w:rFonts w:asciiTheme="majorHAnsi" w:hAnsiTheme="majorHAnsi"/>
          <w:sz w:val="20"/>
          <w:szCs w:val="20"/>
        </w:rPr>
        <w:t>El Gestor de formularios se encuentra actualmente en un periodo transitorio, funcionando en paralelo con el sistema tradicional de notificación por correo electrónico. Está previsto que esta fase de coexistencia se mantenga hasta el 1 de noviembre de 2025, lo que garantizará una migración fluida para las CPC y tiempo suficiente para la adaptación de los usuarios.</w:t>
      </w:r>
    </w:p>
    <w:p w14:paraId="0D3B269A" w14:textId="77777777" w:rsidR="009372FF" w:rsidRPr="002501D4" w:rsidRDefault="009372FF" w:rsidP="004D46FE">
      <w:pPr>
        <w:pBdr>
          <w:top w:val="nil"/>
          <w:left w:val="nil"/>
          <w:bottom w:val="nil"/>
          <w:right w:val="nil"/>
          <w:between w:val="nil"/>
        </w:pBdr>
        <w:spacing w:line="240" w:lineRule="exact"/>
        <w:jc w:val="both"/>
        <w:rPr>
          <w:rFonts w:asciiTheme="majorHAnsi" w:hAnsiTheme="majorHAnsi"/>
          <w:sz w:val="20"/>
          <w:szCs w:val="20"/>
        </w:rPr>
      </w:pPr>
    </w:p>
    <w:p w14:paraId="0FB942E1" w14:textId="37B8C7DE" w:rsidR="009372FF" w:rsidRPr="002501D4" w:rsidRDefault="009372FF" w:rsidP="004D46FE">
      <w:pPr>
        <w:pBdr>
          <w:top w:val="nil"/>
          <w:left w:val="nil"/>
          <w:bottom w:val="nil"/>
          <w:right w:val="nil"/>
          <w:between w:val="nil"/>
        </w:pBdr>
        <w:spacing w:line="240" w:lineRule="exact"/>
        <w:jc w:val="both"/>
        <w:rPr>
          <w:rFonts w:asciiTheme="majorHAnsi" w:hAnsiTheme="majorHAnsi"/>
          <w:sz w:val="20"/>
          <w:szCs w:val="20"/>
        </w:rPr>
      </w:pPr>
      <w:r w:rsidRPr="002501D4">
        <w:rPr>
          <w:rFonts w:asciiTheme="majorHAnsi" w:hAnsiTheme="majorHAnsi"/>
          <w:sz w:val="20"/>
          <w:szCs w:val="20"/>
        </w:rPr>
        <w:t xml:space="preserve">Tal y como se anunció en la Circular </w:t>
      </w:r>
      <w:r w:rsidR="00543698" w:rsidRPr="002501D4">
        <w:rPr>
          <w:rFonts w:asciiTheme="majorHAnsi" w:hAnsiTheme="majorHAnsi"/>
          <w:sz w:val="20"/>
          <w:szCs w:val="20"/>
        </w:rPr>
        <w:t>n.º </w:t>
      </w:r>
      <w:r w:rsidRPr="002501D4">
        <w:rPr>
          <w:rFonts w:asciiTheme="majorHAnsi" w:hAnsiTheme="majorHAnsi"/>
          <w:sz w:val="20"/>
          <w:szCs w:val="20"/>
        </w:rPr>
        <w:t xml:space="preserve">07010/2025, a partir del 1 de noviembre de 2025, el módulo </w:t>
      </w:r>
      <w:r w:rsidR="00543698" w:rsidRPr="002501D4">
        <w:rPr>
          <w:rFonts w:asciiTheme="majorHAnsi" w:hAnsiTheme="majorHAnsi"/>
          <w:sz w:val="20"/>
          <w:szCs w:val="20"/>
        </w:rPr>
        <w:t xml:space="preserve">Gestor </w:t>
      </w:r>
      <w:r w:rsidRPr="002501D4">
        <w:rPr>
          <w:rFonts w:asciiTheme="majorHAnsi" w:hAnsiTheme="majorHAnsi"/>
          <w:sz w:val="20"/>
          <w:szCs w:val="20"/>
        </w:rPr>
        <w:t xml:space="preserve">de buques y los formularios mencionados anteriormente para el módulo Gestor de formularios deberán enviarse a través del IOMS; los formularios tradicionales ya no se aceptarán. </w:t>
      </w:r>
    </w:p>
    <w:p w14:paraId="39EBED33" w14:textId="77777777" w:rsidR="009372FF" w:rsidRPr="002501D4" w:rsidRDefault="009372FF" w:rsidP="004D46FE">
      <w:pPr>
        <w:pBdr>
          <w:top w:val="nil"/>
          <w:left w:val="nil"/>
          <w:bottom w:val="nil"/>
          <w:right w:val="nil"/>
          <w:between w:val="nil"/>
        </w:pBdr>
        <w:spacing w:line="240" w:lineRule="exact"/>
        <w:jc w:val="both"/>
        <w:rPr>
          <w:rFonts w:asciiTheme="majorHAnsi" w:hAnsiTheme="majorHAnsi"/>
          <w:sz w:val="20"/>
          <w:szCs w:val="20"/>
        </w:rPr>
      </w:pPr>
    </w:p>
    <w:p w14:paraId="0FFE1C79" w14:textId="51475DF2" w:rsidR="00B44DB6" w:rsidRPr="002501D4" w:rsidRDefault="00B44DB6" w:rsidP="004D46FE">
      <w:pPr>
        <w:pBdr>
          <w:top w:val="nil"/>
          <w:left w:val="nil"/>
          <w:bottom w:val="nil"/>
          <w:right w:val="nil"/>
          <w:between w:val="nil"/>
        </w:pBdr>
        <w:spacing w:line="240" w:lineRule="exact"/>
        <w:jc w:val="both"/>
        <w:rPr>
          <w:rFonts w:asciiTheme="majorHAnsi" w:hAnsiTheme="majorHAnsi"/>
          <w:sz w:val="20"/>
          <w:szCs w:val="20"/>
        </w:rPr>
      </w:pPr>
      <w:r w:rsidRPr="002501D4">
        <w:rPr>
          <w:rFonts w:asciiTheme="majorHAnsi" w:hAnsiTheme="majorHAnsi"/>
          <w:sz w:val="20"/>
          <w:szCs w:val="20"/>
        </w:rPr>
        <w:t>El número de formularios admitidos por el sistema seguirá aumentando progresivamente a medida que cada formulario restante de ICCAT se estandarice y se incorpore al sistema. Este proceso continuo de estandarización aumentará aún más la pertinencia del Gestor de formularios al permitir a las CPC presentar, gestionar y recuperar una gama cada vez mayor de información de forma coherente a través del IOMS.</w:t>
      </w:r>
    </w:p>
    <w:p w14:paraId="2480DB77" w14:textId="77777777" w:rsidR="00F85435" w:rsidRPr="002501D4" w:rsidRDefault="00F85435" w:rsidP="004D46FE">
      <w:pPr>
        <w:pBdr>
          <w:top w:val="nil"/>
          <w:left w:val="nil"/>
          <w:bottom w:val="nil"/>
          <w:right w:val="nil"/>
          <w:between w:val="nil"/>
        </w:pBdr>
        <w:spacing w:line="240" w:lineRule="exact"/>
        <w:jc w:val="both"/>
        <w:rPr>
          <w:rFonts w:asciiTheme="majorHAnsi" w:hAnsiTheme="majorHAnsi"/>
          <w:color w:val="000000"/>
          <w:sz w:val="20"/>
          <w:szCs w:val="20"/>
        </w:rPr>
      </w:pPr>
    </w:p>
    <w:p w14:paraId="40AB482D" w14:textId="543E36DD" w:rsidR="006765C2" w:rsidRPr="002501D4" w:rsidRDefault="003018B3" w:rsidP="004D46FE">
      <w:pPr>
        <w:pBdr>
          <w:top w:val="nil"/>
          <w:left w:val="nil"/>
          <w:bottom w:val="nil"/>
          <w:right w:val="nil"/>
          <w:between w:val="nil"/>
        </w:pBdr>
        <w:spacing w:line="240" w:lineRule="exact"/>
        <w:jc w:val="both"/>
        <w:rPr>
          <w:rFonts w:asciiTheme="majorHAnsi" w:hAnsiTheme="majorHAnsi"/>
          <w:b/>
          <w:bCs/>
          <w:i/>
          <w:iCs/>
          <w:sz w:val="20"/>
          <w:szCs w:val="20"/>
        </w:rPr>
      </w:pPr>
      <w:r w:rsidRPr="002501D4">
        <w:rPr>
          <w:rFonts w:asciiTheme="majorHAnsi" w:hAnsiTheme="majorHAnsi"/>
          <w:b/>
          <w:i/>
          <w:sz w:val="20"/>
          <w:szCs w:val="20"/>
        </w:rPr>
        <w:t xml:space="preserve">Otras actividades relevantes </w:t>
      </w:r>
    </w:p>
    <w:p w14:paraId="646391C1" w14:textId="77777777" w:rsidR="0018551C" w:rsidRPr="002501D4" w:rsidRDefault="0018551C" w:rsidP="004D46FE">
      <w:pPr>
        <w:pBdr>
          <w:top w:val="nil"/>
          <w:left w:val="nil"/>
          <w:bottom w:val="nil"/>
          <w:right w:val="nil"/>
          <w:between w:val="nil"/>
        </w:pBdr>
        <w:spacing w:line="240" w:lineRule="exact"/>
        <w:jc w:val="both"/>
        <w:rPr>
          <w:rFonts w:asciiTheme="majorHAnsi" w:hAnsiTheme="majorHAnsi"/>
          <w:sz w:val="20"/>
          <w:szCs w:val="20"/>
        </w:rPr>
      </w:pPr>
    </w:p>
    <w:p w14:paraId="578D96A0" w14:textId="57FFAD59" w:rsidR="000076BA" w:rsidRPr="002501D4" w:rsidRDefault="000076BA" w:rsidP="004D46FE">
      <w:pPr>
        <w:pBdr>
          <w:top w:val="nil"/>
          <w:left w:val="nil"/>
          <w:bottom w:val="nil"/>
          <w:right w:val="nil"/>
          <w:between w:val="nil"/>
        </w:pBdr>
        <w:spacing w:line="240" w:lineRule="exact"/>
        <w:jc w:val="both"/>
        <w:rPr>
          <w:rFonts w:asciiTheme="majorHAnsi" w:hAnsiTheme="majorHAnsi"/>
          <w:sz w:val="20"/>
          <w:szCs w:val="20"/>
        </w:rPr>
      </w:pPr>
      <w:r w:rsidRPr="002501D4">
        <w:rPr>
          <w:rFonts w:asciiTheme="majorHAnsi" w:hAnsiTheme="majorHAnsi"/>
          <w:sz w:val="20"/>
          <w:szCs w:val="20"/>
        </w:rPr>
        <w:t>Durante 2025, la Secretaría completó una importante mejora de la arquitectura del sistema IOMS, llevada a cabo en paralelo con el desarrollo de los nuevos módulos y de forma totalmente transparente para los usuarios. Esta actualización garantiza que el IOMS siga siendo escalable, eficiente y esté alineado con los desarrollos actuales en infraestructura y servicios en la nube, al tiempo que mantiene el funcionamiento normal del sistema y se ajusta al presupuesto aprobado del IOMS.</w:t>
      </w:r>
    </w:p>
    <w:p w14:paraId="187218CF" w14:textId="77777777" w:rsidR="000076BA" w:rsidRPr="002501D4" w:rsidRDefault="000076BA" w:rsidP="004D46FE">
      <w:pPr>
        <w:pBdr>
          <w:top w:val="nil"/>
          <w:left w:val="nil"/>
          <w:bottom w:val="nil"/>
          <w:right w:val="nil"/>
          <w:between w:val="nil"/>
        </w:pBdr>
        <w:spacing w:line="240" w:lineRule="exact"/>
        <w:jc w:val="both"/>
        <w:rPr>
          <w:rFonts w:asciiTheme="majorHAnsi" w:hAnsiTheme="majorHAnsi"/>
          <w:sz w:val="20"/>
          <w:szCs w:val="20"/>
        </w:rPr>
      </w:pPr>
    </w:p>
    <w:p w14:paraId="6DD849A5" w14:textId="31B0B435" w:rsidR="000076BA" w:rsidRPr="002501D4" w:rsidRDefault="000076BA" w:rsidP="004D46FE">
      <w:pPr>
        <w:pBdr>
          <w:top w:val="nil"/>
          <w:left w:val="nil"/>
          <w:bottom w:val="nil"/>
          <w:right w:val="nil"/>
          <w:between w:val="nil"/>
        </w:pBdr>
        <w:spacing w:line="240" w:lineRule="exact"/>
        <w:jc w:val="both"/>
        <w:rPr>
          <w:rFonts w:asciiTheme="majorHAnsi" w:hAnsiTheme="majorHAnsi"/>
          <w:sz w:val="20"/>
          <w:szCs w:val="20"/>
        </w:rPr>
      </w:pPr>
      <w:r w:rsidRPr="002501D4">
        <w:rPr>
          <w:rFonts w:asciiTheme="majorHAnsi" w:hAnsiTheme="majorHAnsi"/>
          <w:sz w:val="20"/>
          <w:szCs w:val="20"/>
        </w:rPr>
        <w:t xml:space="preserve">Paralelamente, </w:t>
      </w:r>
      <w:r w:rsidR="00543698" w:rsidRPr="002501D4">
        <w:rPr>
          <w:rFonts w:asciiTheme="majorHAnsi" w:hAnsiTheme="majorHAnsi"/>
          <w:sz w:val="20"/>
          <w:szCs w:val="20"/>
        </w:rPr>
        <w:t xml:space="preserve">el </w:t>
      </w:r>
      <w:r w:rsidRPr="002501D4">
        <w:rPr>
          <w:rFonts w:asciiTheme="majorHAnsi" w:hAnsiTheme="majorHAnsi"/>
          <w:sz w:val="20"/>
          <w:szCs w:val="20"/>
        </w:rPr>
        <w:t xml:space="preserve">grupo de trabajo </w:t>
      </w:r>
      <w:r w:rsidRPr="002501D4">
        <w:rPr>
          <w:rFonts w:asciiTheme="majorHAnsi" w:hAnsiTheme="majorHAnsi"/>
          <w:i/>
          <w:iCs/>
          <w:sz w:val="20"/>
          <w:szCs w:val="20"/>
        </w:rPr>
        <w:t>ad hoc</w:t>
      </w:r>
      <w:r w:rsidRPr="002501D4">
        <w:rPr>
          <w:rFonts w:asciiTheme="majorHAnsi" w:hAnsiTheme="majorHAnsi"/>
          <w:sz w:val="20"/>
          <w:szCs w:val="20"/>
        </w:rPr>
        <w:t xml:space="preserve"> para abordar la redundancia en los requisitos de comunicación</w:t>
      </w:r>
      <w:r w:rsidR="00543698" w:rsidRPr="002501D4">
        <w:rPr>
          <w:rFonts w:asciiTheme="majorHAnsi" w:hAnsiTheme="majorHAnsi"/>
          <w:sz w:val="20"/>
          <w:szCs w:val="20"/>
        </w:rPr>
        <w:t xml:space="preserve"> del WG-ORT</w:t>
      </w:r>
      <w:r w:rsidRPr="002501D4">
        <w:rPr>
          <w:rFonts w:asciiTheme="majorHAnsi" w:hAnsiTheme="majorHAnsi"/>
          <w:sz w:val="20"/>
          <w:szCs w:val="20"/>
        </w:rPr>
        <w:t>, continuó su trabajo para simplificar los requisitos de comunicación y ordenación de ICCAT, basándose en el informe provisional de 2024 [PA4_807/2024] y en el documento de la Secretaría "Simplificación de las medidas de conservación y ordenación de ICCAT</w:t>
      </w:r>
      <w:r w:rsidRPr="002501D4">
        <w:rPr>
          <w:rFonts w:asciiTheme="majorHAnsi" w:hAnsiTheme="majorHAnsi"/>
          <w:i/>
          <w:sz w:val="20"/>
          <w:szCs w:val="20"/>
        </w:rPr>
        <w:t>"</w:t>
      </w:r>
      <w:r w:rsidRPr="002501D4">
        <w:rPr>
          <w:rFonts w:asciiTheme="majorHAnsi" w:hAnsiTheme="majorHAnsi"/>
          <w:sz w:val="20"/>
          <w:szCs w:val="20"/>
        </w:rPr>
        <w:t xml:space="preserve"> [PLE_103/2024]. Esta iniciativa, que cuenta con el apoyo de varias CPC y se ajusta a una próxima subvención de la UE, pretende reducir la duplicidad y mejorar la eficacia de los informes. Además, el glosario de términos y definiciones del IOMS, desarrollado con el Grupo de trabajo sobre medidas de seguimiento integradas (IMM) sigue evolucionando y se integrará en el sistema de ayuda del IOMS para garantizar la coherencia de la terminología utilizada en todos los IOMS.</w:t>
      </w:r>
    </w:p>
    <w:p w14:paraId="1951CF7C" w14:textId="77777777" w:rsidR="007F7E17" w:rsidRPr="002501D4" w:rsidRDefault="007F7E17" w:rsidP="004D46FE">
      <w:pPr>
        <w:tabs>
          <w:tab w:val="left" w:pos="558"/>
          <w:tab w:val="left" w:pos="559"/>
          <w:tab w:val="left" w:pos="9214"/>
        </w:tabs>
        <w:spacing w:line="240" w:lineRule="exact"/>
        <w:jc w:val="both"/>
        <w:rPr>
          <w:rFonts w:asciiTheme="majorHAnsi" w:hAnsiTheme="majorHAnsi"/>
          <w:sz w:val="20"/>
          <w:szCs w:val="20"/>
        </w:rPr>
      </w:pPr>
    </w:p>
    <w:p w14:paraId="1EB8BA05" w14:textId="77777777" w:rsidR="00987D1A" w:rsidRPr="002501D4" w:rsidRDefault="00987D1A" w:rsidP="004D46FE">
      <w:pPr>
        <w:tabs>
          <w:tab w:val="left" w:pos="558"/>
          <w:tab w:val="left" w:pos="559"/>
          <w:tab w:val="left" w:pos="9214"/>
        </w:tabs>
        <w:spacing w:line="240" w:lineRule="exact"/>
        <w:jc w:val="both"/>
        <w:rPr>
          <w:rFonts w:asciiTheme="majorHAnsi" w:hAnsiTheme="majorHAnsi"/>
          <w:sz w:val="20"/>
          <w:szCs w:val="20"/>
        </w:rPr>
      </w:pPr>
    </w:p>
    <w:p w14:paraId="5F949C7E" w14:textId="49D9185D" w:rsidR="006C30BA" w:rsidRPr="002501D4" w:rsidRDefault="00C125A0" w:rsidP="004D46FE">
      <w:pPr>
        <w:tabs>
          <w:tab w:val="left" w:pos="558"/>
          <w:tab w:val="left" w:pos="559"/>
          <w:tab w:val="left" w:pos="9214"/>
        </w:tabs>
        <w:spacing w:line="240" w:lineRule="exact"/>
        <w:jc w:val="both"/>
        <w:rPr>
          <w:rFonts w:asciiTheme="majorHAnsi" w:hAnsiTheme="majorHAnsi"/>
          <w:b/>
          <w:bCs/>
          <w:sz w:val="20"/>
          <w:szCs w:val="20"/>
        </w:rPr>
      </w:pPr>
      <w:r w:rsidRPr="002501D4">
        <w:rPr>
          <w:rFonts w:asciiTheme="majorHAnsi" w:hAnsiTheme="majorHAnsi"/>
          <w:b/>
          <w:sz w:val="20"/>
          <w:szCs w:val="20"/>
        </w:rPr>
        <w:t xml:space="preserve">Actualizaciones del plan de trabajo del WG-ORT </w:t>
      </w:r>
    </w:p>
    <w:p w14:paraId="2A3E4AEA" w14:textId="77777777" w:rsidR="006C30BA" w:rsidRPr="002501D4" w:rsidRDefault="006C30BA" w:rsidP="004D46FE">
      <w:pPr>
        <w:tabs>
          <w:tab w:val="left" w:pos="558"/>
          <w:tab w:val="left" w:pos="559"/>
          <w:tab w:val="left" w:pos="9214"/>
        </w:tabs>
        <w:spacing w:line="240" w:lineRule="exact"/>
        <w:jc w:val="both"/>
        <w:rPr>
          <w:rFonts w:asciiTheme="majorHAnsi" w:hAnsiTheme="majorHAnsi"/>
          <w:b/>
          <w:bCs/>
          <w:sz w:val="20"/>
          <w:szCs w:val="20"/>
        </w:rPr>
      </w:pPr>
    </w:p>
    <w:p w14:paraId="21BAF763" w14:textId="6A010DD1" w:rsidR="00180007" w:rsidRPr="002501D4" w:rsidRDefault="00180007" w:rsidP="004D46FE">
      <w:pPr>
        <w:tabs>
          <w:tab w:val="left" w:pos="558"/>
          <w:tab w:val="left" w:pos="559"/>
          <w:tab w:val="left" w:pos="9214"/>
        </w:tabs>
        <w:spacing w:line="240" w:lineRule="exact"/>
        <w:jc w:val="both"/>
        <w:rPr>
          <w:rFonts w:asciiTheme="majorHAnsi" w:hAnsiTheme="majorHAnsi"/>
          <w:sz w:val="20"/>
          <w:szCs w:val="20"/>
        </w:rPr>
      </w:pPr>
      <w:r w:rsidRPr="002501D4">
        <w:rPr>
          <w:rFonts w:asciiTheme="majorHAnsi" w:hAnsiTheme="majorHAnsi"/>
          <w:sz w:val="20"/>
          <w:szCs w:val="20"/>
        </w:rPr>
        <w:t>El WG-ORT revisó la información y acordó no incluir nuevos módulos ni fases adicionales en el plan de trabajo del IOMS debido a la ya pesada carga de trabajo del equipo del IOMS y de la Secretaría para 2025</w:t>
      </w:r>
      <w:r w:rsidR="00543698" w:rsidRPr="002501D4">
        <w:rPr>
          <w:rFonts w:asciiTheme="majorHAnsi" w:hAnsiTheme="majorHAnsi"/>
          <w:sz w:val="20"/>
          <w:szCs w:val="20"/>
        </w:rPr>
        <w:t xml:space="preserve"> y 2026</w:t>
      </w:r>
      <w:r w:rsidRPr="002501D4">
        <w:rPr>
          <w:rFonts w:asciiTheme="majorHAnsi" w:hAnsiTheme="majorHAnsi"/>
          <w:sz w:val="20"/>
          <w:szCs w:val="20"/>
        </w:rPr>
        <w:t>. El plan actual ya cubre las actividades previstas hasta el final de la Fase 5 (mayo de 2028).</w:t>
      </w:r>
    </w:p>
    <w:p w14:paraId="06C6372D" w14:textId="77777777" w:rsidR="00180007" w:rsidRPr="002501D4" w:rsidRDefault="00180007" w:rsidP="004D46FE">
      <w:pPr>
        <w:tabs>
          <w:tab w:val="left" w:pos="558"/>
          <w:tab w:val="left" w:pos="559"/>
          <w:tab w:val="left" w:pos="9214"/>
        </w:tabs>
        <w:spacing w:line="240" w:lineRule="exact"/>
        <w:jc w:val="both"/>
        <w:rPr>
          <w:rFonts w:asciiTheme="majorHAnsi" w:hAnsiTheme="majorHAnsi"/>
          <w:sz w:val="20"/>
          <w:szCs w:val="20"/>
        </w:rPr>
      </w:pPr>
    </w:p>
    <w:p w14:paraId="1CB1457E" w14:textId="69A2F1F6" w:rsidR="00180007" w:rsidRPr="002501D4" w:rsidRDefault="00180007" w:rsidP="004D46FE">
      <w:pPr>
        <w:tabs>
          <w:tab w:val="left" w:pos="558"/>
          <w:tab w:val="left" w:pos="559"/>
          <w:tab w:val="left" w:pos="9214"/>
        </w:tabs>
        <w:spacing w:line="240" w:lineRule="exact"/>
        <w:jc w:val="both"/>
        <w:rPr>
          <w:rFonts w:asciiTheme="majorHAnsi" w:hAnsiTheme="majorHAnsi"/>
          <w:sz w:val="20"/>
          <w:szCs w:val="20"/>
        </w:rPr>
      </w:pPr>
      <w:r w:rsidRPr="002501D4">
        <w:rPr>
          <w:rFonts w:asciiTheme="majorHAnsi" w:hAnsiTheme="majorHAnsi"/>
          <w:sz w:val="20"/>
          <w:szCs w:val="20"/>
        </w:rPr>
        <w:t xml:space="preserve">La puesta en producción de los módulos Gestor de buques y Gestor de formularios se logró el 1 de agosto de 2025, seguida de un periodo de transición de tres meses, hasta el 1 de noviembre de 2025, durante el cual ambos sistemas coexistirán con el método </w:t>
      </w:r>
      <w:r w:rsidR="00543698" w:rsidRPr="002501D4">
        <w:rPr>
          <w:rFonts w:asciiTheme="majorHAnsi" w:hAnsiTheme="majorHAnsi"/>
          <w:sz w:val="20"/>
          <w:szCs w:val="20"/>
        </w:rPr>
        <w:t xml:space="preserve"> tradicional </w:t>
      </w:r>
      <w:r w:rsidRPr="002501D4">
        <w:rPr>
          <w:rFonts w:asciiTheme="majorHAnsi" w:hAnsiTheme="majorHAnsi"/>
          <w:sz w:val="20"/>
          <w:szCs w:val="20"/>
        </w:rPr>
        <w:t xml:space="preserve">de </w:t>
      </w:r>
      <w:r w:rsidR="00543698" w:rsidRPr="002501D4">
        <w:rPr>
          <w:rFonts w:asciiTheme="majorHAnsi" w:hAnsiTheme="majorHAnsi"/>
          <w:sz w:val="20"/>
          <w:szCs w:val="20"/>
        </w:rPr>
        <w:t xml:space="preserve">comunicación de información </w:t>
      </w:r>
      <w:r w:rsidRPr="002501D4">
        <w:rPr>
          <w:rFonts w:asciiTheme="majorHAnsi" w:hAnsiTheme="majorHAnsi"/>
          <w:sz w:val="20"/>
          <w:szCs w:val="20"/>
        </w:rPr>
        <w:t>(por correo electrónico). Después de esta fecha, el uso de estos módulos será obligatorio. El componente FLUX (UN/FLUX) del Gestor de buques sigue desarrollándose en estrecha colaboración con la UE.</w:t>
      </w:r>
    </w:p>
    <w:p w14:paraId="22E11276" w14:textId="72534206" w:rsidR="00180007" w:rsidRPr="002501D4" w:rsidRDefault="00180007" w:rsidP="004D46FE">
      <w:pPr>
        <w:tabs>
          <w:tab w:val="left" w:pos="558"/>
          <w:tab w:val="left" w:pos="559"/>
          <w:tab w:val="left" w:pos="9214"/>
        </w:tabs>
        <w:spacing w:line="240" w:lineRule="exact"/>
        <w:jc w:val="both"/>
        <w:rPr>
          <w:rFonts w:asciiTheme="majorHAnsi" w:hAnsiTheme="majorHAnsi"/>
          <w:sz w:val="20"/>
          <w:szCs w:val="20"/>
        </w:rPr>
      </w:pPr>
    </w:p>
    <w:p w14:paraId="57C3B2E9" w14:textId="24C16FAF" w:rsidR="00180007" w:rsidRPr="002501D4" w:rsidRDefault="00180007" w:rsidP="004D46FE">
      <w:pPr>
        <w:tabs>
          <w:tab w:val="left" w:pos="558"/>
          <w:tab w:val="left" w:pos="559"/>
          <w:tab w:val="left" w:pos="9214"/>
        </w:tabs>
        <w:spacing w:line="240" w:lineRule="exact"/>
        <w:jc w:val="both"/>
        <w:rPr>
          <w:rFonts w:asciiTheme="majorHAnsi" w:hAnsiTheme="majorHAnsi"/>
          <w:sz w:val="20"/>
          <w:szCs w:val="20"/>
        </w:rPr>
      </w:pPr>
      <w:r w:rsidRPr="002501D4">
        <w:rPr>
          <w:rFonts w:asciiTheme="majorHAnsi" w:hAnsiTheme="majorHAnsi"/>
          <w:sz w:val="20"/>
          <w:szCs w:val="20"/>
        </w:rPr>
        <w:t xml:space="preserve">El WG-ORT apoyó las prioridades revisadas para las Fases 4 y 5, que ahora sitúan a los módulos Gestor de T1NC, Gestor de COCT y Gestor de T2CE como prioridad 1, mientras que los módulos Gestor de las hojas de comprobación de tiburones/istiofóridos, Gestor del programa SDP (SWO y BET) y Gestor de los informes periódicos de atún rojo se reprogramaron y se les asignaron niveles de prioridad más bajos. El desarrollo del Gestor de las hojas de comprobación de tiburones/istiofóridos se retrasará a la espera de que la Subcomisión 4 revise sus modelos, en coordinación con el Comité de Cumplimiento y la Comisión. El documento COC_321/2025 proporciona orientaciones adicionales destinadas a simplificar las hojas de comprobación de istiofóridos y tiburones. </w:t>
      </w:r>
    </w:p>
    <w:p w14:paraId="450A66DA" w14:textId="77777777" w:rsidR="00180007" w:rsidRPr="002501D4" w:rsidRDefault="00180007" w:rsidP="004D46FE">
      <w:pPr>
        <w:tabs>
          <w:tab w:val="left" w:pos="558"/>
          <w:tab w:val="left" w:pos="559"/>
          <w:tab w:val="left" w:pos="9214"/>
        </w:tabs>
        <w:spacing w:line="240" w:lineRule="exact"/>
        <w:jc w:val="both"/>
        <w:rPr>
          <w:rFonts w:asciiTheme="majorHAnsi" w:hAnsiTheme="majorHAnsi"/>
          <w:sz w:val="20"/>
          <w:szCs w:val="20"/>
        </w:rPr>
      </w:pPr>
    </w:p>
    <w:p w14:paraId="3ECBBB62" w14:textId="77777777" w:rsidR="004D46FE" w:rsidRPr="002501D4" w:rsidRDefault="004D46FE" w:rsidP="004D46FE">
      <w:pPr>
        <w:tabs>
          <w:tab w:val="left" w:pos="558"/>
          <w:tab w:val="left" w:pos="559"/>
          <w:tab w:val="left" w:pos="9214"/>
        </w:tabs>
        <w:spacing w:line="240" w:lineRule="exact"/>
        <w:jc w:val="both"/>
        <w:rPr>
          <w:rFonts w:asciiTheme="majorHAnsi" w:hAnsiTheme="majorHAnsi"/>
          <w:sz w:val="20"/>
          <w:szCs w:val="20"/>
        </w:rPr>
      </w:pPr>
    </w:p>
    <w:p w14:paraId="03C1DA47" w14:textId="7A8E43CB" w:rsidR="006C30BA" w:rsidRPr="002501D4" w:rsidRDefault="00180007" w:rsidP="004D46FE">
      <w:pPr>
        <w:tabs>
          <w:tab w:val="left" w:pos="558"/>
          <w:tab w:val="left" w:pos="559"/>
          <w:tab w:val="left" w:pos="9214"/>
        </w:tabs>
        <w:spacing w:line="240" w:lineRule="exact"/>
        <w:jc w:val="both"/>
        <w:rPr>
          <w:rFonts w:asciiTheme="majorHAnsi" w:hAnsiTheme="majorHAnsi"/>
          <w:sz w:val="20"/>
          <w:szCs w:val="20"/>
        </w:rPr>
      </w:pPr>
      <w:r w:rsidRPr="002501D4">
        <w:rPr>
          <w:rFonts w:asciiTheme="majorHAnsi" w:hAnsiTheme="majorHAnsi"/>
          <w:sz w:val="20"/>
          <w:szCs w:val="20"/>
        </w:rPr>
        <w:lastRenderedPageBreak/>
        <w:t xml:space="preserve">El plan de trabajo actualizado (resumido en la Tabla 3 del documento </w:t>
      </w:r>
      <w:hyperlink r:id="rId15">
        <w:r w:rsidRPr="002501D4">
          <w:rPr>
            <w:rFonts w:asciiTheme="majorHAnsi" w:hAnsiTheme="majorHAnsi"/>
            <w:color w:val="0000FF"/>
            <w:sz w:val="20"/>
            <w:szCs w:val="20"/>
          </w:rPr>
          <w:t>COC_302/2025</w:t>
        </w:r>
      </w:hyperlink>
      <w:r w:rsidRPr="002501D4">
        <w:rPr>
          <w:rFonts w:asciiTheme="majorHAnsi" w:hAnsiTheme="majorHAnsi"/>
          <w:sz w:val="20"/>
          <w:szCs w:val="20"/>
        </w:rPr>
        <w:t>) ofrece una hoja de ruta realista para el desarrollo del IOMS hasta 2028, manteniendo un equilibrio entre la carga de trabajo de la Secretaría, la fase de consolidación del sistema y las prioridades establecidas por la Comisión.</w:t>
      </w:r>
    </w:p>
    <w:p w14:paraId="4348FD74" w14:textId="77777777" w:rsidR="004D46FE" w:rsidRPr="002501D4" w:rsidRDefault="004D46FE" w:rsidP="004D46FE">
      <w:pPr>
        <w:pBdr>
          <w:top w:val="nil"/>
          <w:left w:val="nil"/>
          <w:bottom w:val="nil"/>
          <w:right w:val="nil"/>
          <w:between w:val="nil"/>
        </w:pBdr>
        <w:tabs>
          <w:tab w:val="left" w:pos="9214"/>
        </w:tabs>
        <w:spacing w:line="240" w:lineRule="exact"/>
        <w:ind w:right="214"/>
        <w:jc w:val="both"/>
        <w:rPr>
          <w:rFonts w:asciiTheme="majorHAnsi" w:hAnsiTheme="majorHAnsi"/>
          <w:b/>
          <w:color w:val="000000"/>
          <w:sz w:val="20"/>
          <w:szCs w:val="20"/>
        </w:rPr>
      </w:pPr>
      <w:bookmarkStart w:id="0" w:name="_heading=h.gjdgxs"/>
      <w:bookmarkEnd w:id="0"/>
    </w:p>
    <w:p w14:paraId="6921E438" w14:textId="77777777" w:rsidR="004D46FE" w:rsidRPr="002501D4" w:rsidRDefault="004D46FE" w:rsidP="004D46FE">
      <w:pPr>
        <w:pBdr>
          <w:top w:val="nil"/>
          <w:left w:val="nil"/>
          <w:bottom w:val="nil"/>
          <w:right w:val="nil"/>
          <w:between w:val="nil"/>
        </w:pBdr>
        <w:tabs>
          <w:tab w:val="left" w:pos="9214"/>
        </w:tabs>
        <w:spacing w:line="240" w:lineRule="exact"/>
        <w:ind w:right="214"/>
        <w:jc w:val="both"/>
        <w:rPr>
          <w:rFonts w:asciiTheme="majorHAnsi" w:hAnsiTheme="majorHAnsi"/>
          <w:b/>
          <w:color w:val="000000"/>
          <w:sz w:val="20"/>
          <w:szCs w:val="20"/>
        </w:rPr>
      </w:pPr>
    </w:p>
    <w:p w14:paraId="295AD6A7" w14:textId="623011A5" w:rsidR="008A419C" w:rsidRPr="002501D4" w:rsidRDefault="008A419C" w:rsidP="004D46FE">
      <w:pPr>
        <w:pBdr>
          <w:top w:val="nil"/>
          <w:left w:val="nil"/>
          <w:bottom w:val="nil"/>
          <w:right w:val="nil"/>
          <w:between w:val="nil"/>
        </w:pBdr>
        <w:tabs>
          <w:tab w:val="left" w:pos="9214"/>
        </w:tabs>
        <w:spacing w:line="240" w:lineRule="exact"/>
        <w:ind w:right="214"/>
        <w:jc w:val="both"/>
        <w:rPr>
          <w:rFonts w:asciiTheme="majorHAnsi" w:hAnsiTheme="majorHAnsi"/>
          <w:b/>
          <w:color w:val="000000"/>
          <w:sz w:val="20"/>
          <w:szCs w:val="20"/>
        </w:rPr>
      </w:pPr>
      <w:r w:rsidRPr="002501D4">
        <w:rPr>
          <w:rFonts w:asciiTheme="majorHAnsi" w:hAnsiTheme="majorHAnsi"/>
          <w:b/>
          <w:color w:val="000000"/>
          <w:sz w:val="20"/>
          <w:szCs w:val="20"/>
        </w:rPr>
        <w:t>Trabajo intersesiones de 2025</w:t>
      </w:r>
    </w:p>
    <w:p w14:paraId="1CE98050" w14:textId="77777777" w:rsidR="008A419C" w:rsidRPr="002501D4" w:rsidRDefault="008A419C" w:rsidP="004D46FE">
      <w:pPr>
        <w:pBdr>
          <w:top w:val="nil"/>
          <w:left w:val="nil"/>
          <w:bottom w:val="nil"/>
          <w:right w:val="nil"/>
          <w:between w:val="nil"/>
        </w:pBdr>
        <w:tabs>
          <w:tab w:val="left" w:pos="9214"/>
        </w:tabs>
        <w:spacing w:line="240" w:lineRule="exact"/>
        <w:ind w:right="214"/>
        <w:jc w:val="both"/>
        <w:rPr>
          <w:rFonts w:asciiTheme="majorHAnsi" w:hAnsiTheme="majorHAnsi"/>
          <w:b/>
          <w:color w:val="000000"/>
          <w:sz w:val="20"/>
          <w:szCs w:val="20"/>
          <w:u w:val="single"/>
        </w:rPr>
      </w:pPr>
    </w:p>
    <w:p w14:paraId="34BDF683" w14:textId="7F8F3341" w:rsidR="00C5011A" w:rsidRPr="002501D4" w:rsidRDefault="00C5011A" w:rsidP="004D46FE">
      <w:pPr>
        <w:pBdr>
          <w:top w:val="nil"/>
          <w:left w:val="nil"/>
          <w:bottom w:val="nil"/>
          <w:right w:val="nil"/>
          <w:between w:val="nil"/>
        </w:pBdr>
        <w:spacing w:line="240" w:lineRule="exact"/>
        <w:jc w:val="both"/>
        <w:rPr>
          <w:rFonts w:asciiTheme="majorHAnsi" w:hAnsiTheme="majorHAnsi"/>
          <w:color w:val="000000"/>
          <w:sz w:val="20"/>
          <w:szCs w:val="20"/>
        </w:rPr>
      </w:pPr>
      <w:r w:rsidRPr="002501D4">
        <w:rPr>
          <w:rFonts w:asciiTheme="majorHAnsi" w:hAnsiTheme="majorHAnsi"/>
          <w:sz w:val="20"/>
          <w:szCs w:val="20"/>
        </w:rPr>
        <w:t xml:space="preserve">Además de las diversas mejoras del IOMS debatidas/adoptadas (Tabla 2 del </w:t>
      </w:r>
      <w:hyperlink r:id="rId16">
        <w:r w:rsidRPr="002501D4">
          <w:rPr>
            <w:rFonts w:asciiTheme="majorHAnsi" w:hAnsiTheme="majorHAnsi"/>
            <w:color w:val="0000FF"/>
            <w:sz w:val="20"/>
            <w:szCs w:val="20"/>
          </w:rPr>
          <w:t>COC_302/2025</w:t>
        </w:r>
      </w:hyperlink>
      <w:r w:rsidRPr="002501D4">
        <w:rPr>
          <w:rFonts w:asciiTheme="majorHAnsi" w:hAnsiTheme="majorHAnsi"/>
          <w:sz w:val="20"/>
          <w:szCs w:val="20"/>
        </w:rPr>
        <w:t>)</w:t>
      </w:r>
      <w:r w:rsidR="008D2F87" w:rsidRPr="002501D4">
        <w:rPr>
          <w:rFonts w:asciiTheme="majorHAnsi" w:hAnsiTheme="majorHAnsi"/>
          <w:sz w:val="20"/>
          <w:szCs w:val="20"/>
        </w:rPr>
        <w:t>,</w:t>
      </w:r>
      <w:r w:rsidRPr="002501D4">
        <w:rPr>
          <w:rFonts w:asciiTheme="majorHAnsi" w:hAnsiTheme="majorHAnsi"/>
          <w:sz w:val="20"/>
          <w:szCs w:val="20"/>
        </w:rPr>
        <w:t xml:space="preserve"> el WG-ORT, junto con la Secretaría, ha previsto la siguiente lista de trabajos en el periodo intersesiones:</w:t>
      </w:r>
    </w:p>
    <w:p w14:paraId="76A6DD52" w14:textId="77777777" w:rsidR="00C5011A" w:rsidRPr="002501D4" w:rsidRDefault="00C5011A" w:rsidP="004D46FE">
      <w:pPr>
        <w:pBdr>
          <w:top w:val="nil"/>
          <w:left w:val="nil"/>
          <w:bottom w:val="nil"/>
          <w:right w:val="nil"/>
          <w:between w:val="nil"/>
        </w:pBdr>
        <w:spacing w:line="240" w:lineRule="exact"/>
        <w:rPr>
          <w:rFonts w:asciiTheme="majorHAnsi" w:hAnsiTheme="majorHAnsi"/>
          <w:color w:val="000000"/>
          <w:sz w:val="20"/>
          <w:szCs w:val="20"/>
        </w:rPr>
      </w:pPr>
    </w:p>
    <w:p w14:paraId="7A859BE8" w14:textId="77777777" w:rsidR="00C5011A" w:rsidRPr="002501D4" w:rsidRDefault="00C5011A" w:rsidP="004D46FE">
      <w:pPr>
        <w:pStyle w:val="NormalWeb"/>
        <w:spacing w:before="0" w:beforeAutospacing="0" w:after="0" w:afterAutospacing="0" w:line="240" w:lineRule="exact"/>
        <w:rPr>
          <w:rFonts w:asciiTheme="majorHAnsi" w:hAnsiTheme="majorHAnsi"/>
          <w:color w:val="FF0000"/>
          <w:sz w:val="20"/>
          <w:szCs w:val="20"/>
        </w:rPr>
      </w:pPr>
      <w:r w:rsidRPr="002501D4">
        <w:rPr>
          <w:rFonts w:asciiTheme="majorHAnsi" w:hAnsiTheme="majorHAnsi"/>
          <w:color w:val="000000"/>
          <w:sz w:val="20"/>
          <w:szCs w:val="20"/>
        </w:rPr>
        <w:t>Acciones de seguimiento y tareas del WG-ORT intersesiones:</w:t>
      </w:r>
      <w:r w:rsidRPr="002501D4">
        <w:rPr>
          <w:rFonts w:asciiTheme="majorHAnsi" w:hAnsiTheme="majorHAnsi"/>
          <w:color w:val="FF0000"/>
          <w:sz w:val="20"/>
          <w:szCs w:val="20"/>
        </w:rPr>
        <w:t> </w:t>
      </w:r>
    </w:p>
    <w:p w14:paraId="22582259" w14:textId="77777777" w:rsidR="00BD067D" w:rsidRPr="002501D4" w:rsidRDefault="00BD067D" w:rsidP="004D46FE">
      <w:pPr>
        <w:pStyle w:val="NormalWeb"/>
        <w:spacing w:before="0" w:beforeAutospacing="0" w:after="0" w:afterAutospacing="0" w:line="240" w:lineRule="exact"/>
        <w:rPr>
          <w:rFonts w:asciiTheme="majorHAnsi" w:hAnsiTheme="majorHAnsi"/>
          <w:color w:val="FF0000"/>
          <w:sz w:val="20"/>
          <w:szCs w:val="20"/>
        </w:rPr>
      </w:pPr>
    </w:p>
    <w:p w14:paraId="0A7D751D" w14:textId="5CA63553" w:rsidR="00C5011A" w:rsidRPr="002501D4" w:rsidRDefault="008D2F87" w:rsidP="004D46FE">
      <w:pPr>
        <w:pStyle w:val="NormalWeb"/>
        <w:numPr>
          <w:ilvl w:val="0"/>
          <w:numId w:val="18"/>
        </w:numPr>
        <w:spacing w:before="0" w:beforeAutospacing="0" w:after="0" w:afterAutospacing="0" w:line="240" w:lineRule="exact"/>
        <w:ind w:left="851" w:hanging="425"/>
        <w:jc w:val="both"/>
        <w:textAlignment w:val="baseline"/>
        <w:rPr>
          <w:rFonts w:asciiTheme="majorHAnsi" w:hAnsiTheme="majorHAnsi"/>
          <w:b/>
          <w:bCs/>
          <w:color w:val="000000"/>
          <w:sz w:val="20"/>
          <w:szCs w:val="20"/>
        </w:rPr>
      </w:pPr>
      <w:r w:rsidRPr="002501D4">
        <w:rPr>
          <w:rFonts w:asciiTheme="majorHAnsi" w:hAnsiTheme="majorHAnsi"/>
          <w:color w:val="000000"/>
          <w:sz w:val="20"/>
          <w:szCs w:val="20"/>
        </w:rPr>
        <w:t>Examen</w:t>
      </w:r>
      <w:r w:rsidR="00C5011A" w:rsidRPr="002501D4">
        <w:rPr>
          <w:rFonts w:asciiTheme="majorHAnsi" w:hAnsiTheme="majorHAnsi"/>
          <w:color w:val="000000"/>
          <w:sz w:val="20"/>
          <w:szCs w:val="20"/>
        </w:rPr>
        <w:t xml:space="preserve"> y adopción del informe de la reunión de febrero de 2025, incluidas las modificaciones del plan de trabajo. </w:t>
      </w:r>
      <w:r w:rsidR="00C5011A" w:rsidRPr="002501D4">
        <w:rPr>
          <w:rFonts w:asciiTheme="majorHAnsi" w:hAnsiTheme="majorHAnsi"/>
          <w:b/>
          <w:color w:val="000000"/>
          <w:sz w:val="20"/>
          <w:szCs w:val="20"/>
        </w:rPr>
        <w:t xml:space="preserve">El WG-ORT </w:t>
      </w:r>
      <w:r w:rsidRPr="002501D4">
        <w:rPr>
          <w:rFonts w:asciiTheme="majorHAnsi" w:hAnsiTheme="majorHAnsi"/>
          <w:b/>
          <w:color w:val="000000"/>
          <w:sz w:val="20"/>
          <w:szCs w:val="20"/>
        </w:rPr>
        <w:t>adoptó</w:t>
      </w:r>
      <w:r w:rsidR="00C5011A" w:rsidRPr="002501D4">
        <w:rPr>
          <w:rFonts w:asciiTheme="majorHAnsi" w:hAnsiTheme="majorHAnsi"/>
          <w:b/>
          <w:color w:val="000000"/>
          <w:sz w:val="20"/>
          <w:szCs w:val="20"/>
        </w:rPr>
        <w:t xml:space="preserve"> su informe. </w:t>
      </w:r>
    </w:p>
    <w:p w14:paraId="49FA3830" w14:textId="77777777" w:rsidR="004D46FE" w:rsidRPr="002501D4" w:rsidRDefault="004D46FE" w:rsidP="004D46FE">
      <w:pPr>
        <w:pStyle w:val="NormalWeb"/>
        <w:spacing w:before="0" w:beforeAutospacing="0" w:after="0" w:afterAutospacing="0" w:line="240" w:lineRule="exact"/>
        <w:ind w:left="851"/>
        <w:jc w:val="both"/>
        <w:textAlignment w:val="baseline"/>
        <w:rPr>
          <w:rFonts w:asciiTheme="majorHAnsi" w:hAnsiTheme="majorHAnsi"/>
          <w:b/>
          <w:bCs/>
          <w:color w:val="000000"/>
          <w:sz w:val="20"/>
          <w:szCs w:val="20"/>
        </w:rPr>
      </w:pPr>
    </w:p>
    <w:p w14:paraId="30DBA7BB" w14:textId="5AC08C9C" w:rsidR="007221B9" w:rsidRPr="002501D4" w:rsidRDefault="007221B9" w:rsidP="004D46FE">
      <w:pPr>
        <w:pStyle w:val="ListParagraph"/>
        <w:widowControl/>
        <w:numPr>
          <w:ilvl w:val="0"/>
          <w:numId w:val="18"/>
        </w:numPr>
        <w:spacing w:line="240" w:lineRule="exact"/>
        <w:ind w:left="851" w:hanging="425"/>
        <w:jc w:val="both"/>
        <w:rPr>
          <w:rFonts w:asciiTheme="majorHAnsi" w:eastAsiaTheme="minorHAnsi" w:hAnsiTheme="majorHAnsi" w:cs="Aptos"/>
          <w:b/>
          <w:bCs/>
          <w:color w:val="000000"/>
          <w:sz w:val="20"/>
          <w:szCs w:val="20"/>
        </w:rPr>
      </w:pPr>
      <w:r w:rsidRPr="002501D4">
        <w:rPr>
          <w:rFonts w:asciiTheme="majorHAnsi" w:hAnsiTheme="majorHAnsi"/>
          <w:color w:val="000000"/>
          <w:sz w:val="20"/>
          <w:szCs w:val="20"/>
        </w:rPr>
        <w:t xml:space="preserve">En relación con el Informe anual: la Secretaría de ICCAT trabajará durante el periodo intersesiones de 2025 en consulta con el equipo de desarrollo del IOMS y los presidentes del STACFAD, el Comité de Cumplimiento y el WG-ORT para determinar los costes asociados a la traducción propuesta. Para más información, consulte el </w:t>
      </w:r>
      <w:r w:rsidR="00C423DA" w:rsidRPr="002501D4">
        <w:rPr>
          <w:rFonts w:asciiTheme="majorHAnsi" w:hAnsiTheme="majorHAnsi"/>
          <w:color w:val="000000"/>
          <w:sz w:val="20"/>
          <w:szCs w:val="20"/>
        </w:rPr>
        <w:t>“D</w:t>
      </w:r>
      <w:r w:rsidRPr="002501D4">
        <w:rPr>
          <w:rFonts w:asciiTheme="majorHAnsi" w:hAnsiTheme="majorHAnsi"/>
          <w:color w:val="000000"/>
          <w:sz w:val="20"/>
          <w:szCs w:val="20"/>
        </w:rPr>
        <w:t xml:space="preserve">ocumento informativo: Traducción de datos y documentos del Sistema integrado de gestión en línea (IOMS)" [COC_317/2024]. Se debería presentar un informe al STACFAD en la 29ª Reunión ordinaria de la Comisión para su consideración en el presupuesto bienal 2026-2027. El presidente del WG-ORT también presentará una actualización al Comité de Cumplimiento en esa reunión. </w:t>
      </w:r>
      <w:r w:rsidRPr="002501D4">
        <w:rPr>
          <w:rFonts w:asciiTheme="majorHAnsi" w:hAnsiTheme="majorHAnsi"/>
          <w:b/>
          <w:color w:val="000000"/>
          <w:sz w:val="20"/>
          <w:szCs w:val="20"/>
        </w:rPr>
        <w:t xml:space="preserve">Esta tarea se llevó a cabo durante el periodo </w:t>
      </w:r>
      <w:r w:rsidR="002927B4" w:rsidRPr="002501D4">
        <w:rPr>
          <w:rFonts w:asciiTheme="majorHAnsi" w:hAnsiTheme="majorHAnsi"/>
          <w:b/>
          <w:color w:val="000000"/>
          <w:sz w:val="20"/>
          <w:szCs w:val="20"/>
        </w:rPr>
        <w:t>inter</w:t>
      </w:r>
      <w:r w:rsidRPr="002501D4">
        <w:rPr>
          <w:rFonts w:asciiTheme="majorHAnsi" w:hAnsiTheme="majorHAnsi"/>
          <w:b/>
          <w:color w:val="000000"/>
          <w:sz w:val="20"/>
          <w:szCs w:val="20"/>
        </w:rPr>
        <w:t>sesiones y se presenta al Comité en el documento COC_319/2025.</w:t>
      </w:r>
    </w:p>
    <w:p w14:paraId="163E50D5" w14:textId="77777777" w:rsidR="00FB06B9" w:rsidRPr="002501D4" w:rsidRDefault="00FB06B9" w:rsidP="004D46FE">
      <w:pPr>
        <w:pStyle w:val="ListParagraph"/>
        <w:widowControl/>
        <w:spacing w:line="240" w:lineRule="exact"/>
        <w:ind w:left="851" w:firstLine="0"/>
        <w:jc w:val="both"/>
        <w:rPr>
          <w:rFonts w:asciiTheme="majorHAnsi" w:eastAsiaTheme="minorHAnsi" w:hAnsiTheme="majorHAnsi" w:cs="Aptos"/>
          <w:b/>
          <w:bCs/>
          <w:color w:val="000000"/>
          <w:sz w:val="20"/>
          <w:szCs w:val="20"/>
          <w:lang w:eastAsia="en-GB"/>
        </w:rPr>
      </w:pPr>
    </w:p>
    <w:p w14:paraId="655236EB" w14:textId="62AD9119" w:rsidR="007221B9" w:rsidRPr="002501D4" w:rsidRDefault="007221B9" w:rsidP="004D46FE">
      <w:pPr>
        <w:pStyle w:val="ListParagraph"/>
        <w:widowControl/>
        <w:numPr>
          <w:ilvl w:val="0"/>
          <w:numId w:val="18"/>
        </w:numPr>
        <w:spacing w:line="240" w:lineRule="exact"/>
        <w:ind w:left="851" w:hanging="425"/>
        <w:jc w:val="both"/>
        <w:rPr>
          <w:rFonts w:asciiTheme="majorHAnsi" w:eastAsiaTheme="minorHAnsi" w:hAnsiTheme="majorHAnsi" w:cs="Aptos"/>
          <w:b/>
          <w:bCs/>
          <w:color w:val="000000"/>
          <w:sz w:val="20"/>
          <w:szCs w:val="20"/>
        </w:rPr>
      </w:pPr>
      <w:r w:rsidRPr="002501D4">
        <w:rPr>
          <w:rFonts w:asciiTheme="majorHAnsi" w:hAnsiTheme="majorHAnsi"/>
          <w:color w:val="000000"/>
          <w:sz w:val="20"/>
          <w:szCs w:val="20"/>
        </w:rPr>
        <w:t xml:space="preserve">Accesibilidad y funcionalidades de búsqueda en el IOMS: el equipo de desarrollo del IOMS investigará los pasos necesarios para permitir a las CPC </w:t>
      </w:r>
      <w:r w:rsidR="002927B4" w:rsidRPr="002501D4">
        <w:rPr>
          <w:rFonts w:asciiTheme="majorHAnsi" w:hAnsiTheme="majorHAnsi"/>
          <w:color w:val="000000"/>
          <w:sz w:val="20"/>
          <w:szCs w:val="20"/>
        </w:rPr>
        <w:t>consultar</w:t>
      </w:r>
      <w:r w:rsidRPr="002501D4">
        <w:rPr>
          <w:rFonts w:asciiTheme="majorHAnsi" w:hAnsiTheme="majorHAnsi"/>
          <w:color w:val="000000"/>
          <w:sz w:val="20"/>
          <w:szCs w:val="20"/>
        </w:rPr>
        <w:t xml:space="preserve">, clasificar, filtrar y buscar los documentos de comunicación de información finalizados (sección 3 del Informe anual) de otras CPC dentro del entorno del IOMS. </w:t>
      </w:r>
      <w:r w:rsidRPr="002501D4">
        <w:rPr>
          <w:rFonts w:asciiTheme="majorHAnsi" w:hAnsiTheme="majorHAnsi"/>
          <w:b/>
          <w:color w:val="000000"/>
          <w:sz w:val="20"/>
          <w:szCs w:val="20"/>
        </w:rPr>
        <w:t>El equipo de desarrollo del IOMS sigue trabajando en esta tarea.</w:t>
      </w:r>
    </w:p>
    <w:p w14:paraId="2D10E0E9" w14:textId="77777777" w:rsidR="00846F2C" w:rsidRPr="002501D4" w:rsidRDefault="00846F2C" w:rsidP="004D46FE">
      <w:pPr>
        <w:pStyle w:val="ListParagraph"/>
        <w:spacing w:line="240" w:lineRule="exact"/>
        <w:rPr>
          <w:rFonts w:asciiTheme="majorHAnsi" w:eastAsiaTheme="minorHAnsi" w:hAnsiTheme="majorHAnsi" w:cs="Aptos"/>
          <w:color w:val="000000"/>
          <w:sz w:val="20"/>
          <w:szCs w:val="20"/>
          <w:lang w:eastAsia="en-GB"/>
        </w:rPr>
      </w:pPr>
    </w:p>
    <w:p w14:paraId="6AC2654A" w14:textId="06555BF1" w:rsidR="007221B9" w:rsidRPr="002501D4" w:rsidRDefault="007221B9" w:rsidP="004D46FE">
      <w:pPr>
        <w:pStyle w:val="ListParagraph"/>
        <w:widowControl/>
        <w:numPr>
          <w:ilvl w:val="0"/>
          <w:numId w:val="18"/>
        </w:numPr>
        <w:spacing w:line="240" w:lineRule="exact"/>
        <w:ind w:left="851" w:hanging="425"/>
        <w:jc w:val="both"/>
        <w:rPr>
          <w:rFonts w:asciiTheme="majorHAnsi" w:eastAsiaTheme="minorHAnsi" w:hAnsiTheme="majorHAnsi" w:cs="Aptos"/>
          <w:b/>
          <w:bCs/>
          <w:color w:val="000000"/>
          <w:sz w:val="20"/>
          <w:szCs w:val="20"/>
        </w:rPr>
      </w:pPr>
      <w:r w:rsidRPr="002501D4">
        <w:rPr>
          <w:rFonts w:asciiTheme="majorHAnsi" w:hAnsiTheme="majorHAnsi"/>
          <w:color w:val="000000"/>
          <w:sz w:val="20"/>
          <w:szCs w:val="20"/>
        </w:rPr>
        <w:t xml:space="preserve">Formatos de envío de datos: el equipo de desarrollo del IOMS evaluará la viabilidad de utilizar formatos abiertos y no propietarios para el envío de los formularios estandarizados de ICCAT gestionados a través del Gestor de formularios. </w:t>
      </w:r>
      <w:r w:rsidRPr="002501D4">
        <w:rPr>
          <w:rFonts w:asciiTheme="majorHAnsi" w:hAnsiTheme="majorHAnsi"/>
          <w:b/>
          <w:color w:val="000000"/>
          <w:sz w:val="20"/>
          <w:szCs w:val="20"/>
        </w:rPr>
        <w:t>El equipo de desarrollo del IOMS ha estado trabajando en esta tarea, que está a punto de concluir.</w:t>
      </w:r>
    </w:p>
    <w:p w14:paraId="29B6B9A7" w14:textId="77777777" w:rsidR="00F070C9" w:rsidRPr="002501D4" w:rsidRDefault="00F070C9" w:rsidP="004D46FE">
      <w:pPr>
        <w:pStyle w:val="ListParagraph"/>
        <w:spacing w:line="240" w:lineRule="exact"/>
        <w:rPr>
          <w:rFonts w:asciiTheme="majorHAnsi" w:eastAsiaTheme="minorHAnsi" w:hAnsiTheme="majorHAnsi" w:cs="Aptos"/>
          <w:color w:val="000000"/>
          <w:sz w:val="20"/>
          <w:szCs w:val="20"/>
          <w:lang w:eastAsia="en-GB"/>
        </w:rPr>
      </w:pPr>
    </w:p>
    <w:p w14:paraId="05127819" w14:textId="34C54EF3" w:rsidR="007221B9" w:rsidRPr="002501D4" w:rsidRDefault="00F070C9" w:rsidP="004D46FE">
      <w:pPr>
        <w:pStyle w:val="ListParagraph"/>
        <w:widowControl/>
        <w:numPr>
          <w:ilvl w:val="0"/>
          <w:numId w:val="18"/>
        </w:numPr>
        <w:spacing w:line="240" w:lineRule="exact"/>
        <w:ind w:left="851" w:hanging="425"/>
        <w:jc w:val="both"/>
        <w:rPr>
          <w:rFonts w:asciiTheme="majorHAnsi" w:eastAsiaTheme="minorHAnsi" w:hAnsiTheme="majorHAnsi" w:cs="Aptos"/>
          <w:b/>
          <w:bCs/>
          <w:color w:val="000000"/>
          <w:sz w:val="20"/>
          <w:szCs w:val="20"/>
        </w:rPr>
      </w:pPr>
      <w:r w:rsidRPr="002501D4">
        <w:rPr>
          <w:rFonts w:asciiTheme="majorHAnsi" w:hAnsiTheme="majorHAnsi"/>
          <w:color w:val="000000"/>
          <w:sz w:val="20"/>
          <w:szCs w:val="20"/>
        </w:rPr>
        <w:t xml:space="preserve">Acceso público a datos seleccionados del IOMS: la Secretaría preparará una propuesta para la próxima reunión del WG-ORT sobre la </w:t>
      </w:r>
      <w:r w:rsidR="004E2361" w:rsidRPr="002501D4">
        <w:rPr>
          <w:rFonts w:asciiTheme="majorHAnsi" w:hAnsiTheme="majorHAnsi"/>
          <w:color w:val="000000"/>
          <w:sz w:val="20"/>
          <w:szCs w:val="20"/>
        </w:rPr>
        <w:t xml:space="preserve">manera de publicar </w:t>
      </w:r>
      <w:r w:rsidRPr="002501D4">
        <w:rPr>
          <w:rFonts w:asciiTheme="majorHAnsi" w:hAnsiTheme="majorHAnsi"/>
          <w:color w:val="000000"/>
          <w:sz w:val="20"/>
          <w:szCs w:val="20"/>
        </w:rPr>
        <w:t xml:space="preserve">los datos apropiados del IOMS conforme a la política de confidencialidad de datos de ICCAT. </w:t>
      </w:r>
      <w:r w:rsidRPr="002501D4">
        <w:rPr>
          <w:rFonts w:asciiTheme="majorHAnsi" w:hAnsiTheme="majorHAnsi"/>
          <w:b/>
          <w:color w:val="000000"/>
          <w:sz w:val="20"/>
          <w:szCs w:val="20"/>
        </w:rPr>
        <w:t>La Secretaría seguirá trabajando en esta tarea.</w:t>
      </w:r>
    </w:p>
    <w:p w14:paraId="2A22819E" w14:textId="77777777" w:rsidR="005C0B9A" w:rsidRPr="002501D4" w:rsidRDefault="005C0B9A" w:rsidP="004D46FE">
      <w:pPr>
        <w:pStyle w:val="ListParagraph"/>
        <w:spacing w:line="240" w:lineRule="exact"/>
        <w:rPr>
          <w:rFonts w:asciiTheme="majorHAnsi" w:eastAsiaTheme="minorHAnsi" w:hAnsiTheme="majorHAnsi" w:cs="Aptos"/>
          <w:b/>
          <w:bCs/>
          <w:color w:val="000000"/>
          <w:sz w:val="20"/>
          <w:szCs w:val="20"/>
          <w:lang w:eastAsia="en-GB"/>
        </w:rPr>
      </w:pPr>
    </w:p>
    <w:p w14:paraId="5884AC18" w14:textId="754A8DFF" w:rsidR="007221B9" w:rsidRPr="002501D4" w:rsidRDefault="007221B9" w:rsidP="004D46FE">
      <w:pPr>
        <w:pStyle w:val="ListParagraph"/>
        <w:widowControl/>
        <w:numPr>
          <w:ilvl w:val="0"/>
          <w:numId w:val="18"/>
        </w:numPr>
        <w:spacing w:line="240" w:lineRule="exact"/>
        <w:ind w:left="851" w:hanging="425"/>
        <w:jc w:val="both"/>
        <w:rPr>
          <w:rFonts w:asciiTheme="majorHAnsi" w:eastAsiaTheme="minorHAnsi" w:hAnsiTheme="majorHAnsi" w:cs="Aptos"/>
          <w:b/>
          <w:bCs/>
          <w:color w:val="000000"/>
          <w:sz w:val="20"/>
          <w:szCs w:val="20"/>
        </w:rPr>
      </w:pPr>
      <w:r w:rsidRPr="002501D4">
        <w:rPr>
          <w:rFonts w:asciiTheme="majorHAnsi" w:hAnsiTheme="majorHAnsi"/>
          <w:color w:val="000000"/>
          <w:sz w:val="20"/>
          <w:szCs w:val="20"/>
        </w:rPr>
        <w:t>Simplificación de las hojas de comprobación d</w:t>
      </w:r>
      <w:r w:rsidR="00685D5E" w:rsidRPr="002501D4">
        <w:rPr>
          <w:rFonts w:asciiTheme="majorHAnsi" w:hAnsiTheme="majorHAnsi"/>
          <w:color w:val="000000"/>
          <w:sz w:val="20"/>
          <w:szCs w:val="20"/>
        </w:rPr>
        <w:t>e</w:t>
      </w:r>
      <w:r w:rsidRPr="002501D4">
        <w:rPr>
          <w:rFonts w:asciiTheme="majorHAnsi" w:hAnsiTheme="majorHAnsi"/>
          <w:color w:val="000000"/>
          <w:sz w:val="20"/>
          <w:szCs w:val="20"/>
        </w:rPr>
        <w:t xml:space="preserve"> istiofóridos y tiburones: el presidente y la Secretaría elaborarán una propuesta, en consulta con los presidentes del COC y de la Subcomisión</w:t>
      </w:r>
      <w:r w:rsidR="004E2361" w:rsidRPr="002501D4">
        <w:rPr>
          <w:rFonts w:asciiTheme="majorHAnsi" w:hAnsiTheme="majorHAnsi"/>
          <w:color w:val="000000"/>
          <w:sz w:val="20"/>
          <w:szCs w:val="20"/>
        </w:rPr>
        <w:t> </w:t>
      </w:r>
      <w:r w:rsidRPr="002501D4">
        <w:rPr>
          <w:rFonts w:asciiTheme="majorHAnsi" w:hAnsiTheme="majorHAnsi"/>
          <w:color w:val="000000"/>
          <w:sz w:val="20"/>
          <w:szCs w:val="20"/>
        </w:rPr>
        <w:t xml:space="preserve">4, para simplificar la estructura de estos modelos y reducir la redundancia. </w:t>
      </w:r>
      <w:r w:rsidRPr="002501D4">
        <w:rPr>
          <w:rFonts w:asciiTheme="majorHAnsi" w:hAnsiTheme="majorHAnsi"/>
          <w:b/>
          <w:color w:val="000000"/>
          <w:sz w:val="20"/>
          <w:szCs w:val="20"/>
        </w:rPr>
        <w:t xml:space="preserve">Esta tarea se llevó a cabo durante el periodo </w:t>
      </w:r>
      <w:r w:rsidR="004E2361" w:rsidRPr="002501D4">
        <w:rPr>
          <w:rFonts w:asciiTheme="majorHAnsi" w:hAnsiTheme="majorHAnsi"/>
          <w:b/>
          <w:color w:val="000000"/>
          <w:sz w:val="20"/>
          <w:szCs w:val="20"/>
        </w:rPr>
        <w:t>inter</w:t>
      </w:r>
      <w:r w:rsidRPr="002501D4">
        <w:rPr>
          <w:rFonts w:asciiTheme="majorHAnsi" w:hAnsiTheme="majorHAnsi"/>
          <w:b/>
          <w:color w:val="000000"/>
          <w:sz w:val="20"/>
          <w:szCs w:val="20"/>
        </w:rPr>
        <w:t>sesiones y se presenta al Comité en el documento COC_320/2025.</w:t>
      </w:r>
    </w:p>
    <w:p w14:paraId="34898FC2" w14:textId="77777777" w:rsidR="005C0B9A" w:rsidRPr="002501D4" w:rsidRDefault="005C0B9A" w:rsidP="004D46FE">
      <w:pPr>
        <w:pStyle w:val="ListParagraph"/>
        <w:spacing w:line="240" w:lineRule="exact"/>
        <w:rPr>
          <w:rFonts w:asciiTheme="majorHAnsi" w:eastAsiaTheme="minorHAnsi" w:hAnsiTheme="majorHAnsi" w:cs="Aptos"/>
          <w:color w:val="000000"/>
          <w:sz w:val="20"/>
          <w:szCs w:val="20"/>
          <w:lang w:eastAsia="en-GB"/>
        </w:rPr>
      </w:pPr>
    </w:p>
    <w:p w14:paraId="78BC7C5E" w14:textId="500327C0" w:rsidR="007221B9" w:rsidRPr="002501D4" w:rsidRDefault="007221B9" w:rsidP="004D46FE">
      <w:pPr>
        <w:pStyle w:val="ListParagraph"/>
        <w:widowControl/>
        <w:numPr>
          <w:ilvl w:val="0"/>
          <w:numId w:val="18"/>
        </w:numPr>
        <w:spacing w:line="240" w:lineRule="exact"/>
        <w:ind w:left="851" w:hanging="425"/>
        <w:jc w:val="both"/>
        <w:rPr>
          <w:rFonts w:asciiTheme="majorHAnsi" w:eastAsiaTheme="minorHAnsi" w:hAnsiTheme="majorHAnsi" w:cs="Aptos"/>
          <w:b/>
          <w:bCs/>
          <w:color w:val="000000"/>
          <w:sz w:val="20"/>
          <w:szCs w:val="20"/>
        </w:rPr>
      </w:pPr>
      <w:r w:rsidRPr="002501D4">
        <w:rPr>
          <w:rFonts w:asciiTheme="majorHAnsi" w:hAnsiTheme="majorHAnsi"/>
          <w:color w:val="000000"/>
          <w:sz w:val="20"/>
          <w:szCs w:val="20"/>
        </w:rPr>
        <w:t xml:space="preserve">Eliminación de redundancias: el </w:t>
      </w:r>
      <w:r w:rsidR="004E2361" w:rsidRPr="002501D4">
        <w:rPr>
          <w:rFonts w:asciiTheme="majorHAnsi" w:hAnsiTheme="majorHAnsi"/>
          <w:sz w:val="20"/>
          <w:szCs w:val="20"/>
        </w:rPr>
        <w:t xml:space="preserve">grupo de trabajo </w:t>
      </w:r>
      <w:r w:rsidR="004E2361" w:rsidRPr="002501D4">
        <w:rPr>
          <w:rFonts w:asciiTheme="majorHAnsi" w:hAnsiTheme="majorHAnsi"/>
          <w:i/>
          <w:iCs/>
          <w:sz w:val="20"/>
          <w:szCs w:val="20"/>
        </w:rPr>
        <w:t>ad hoc</w:t>
      </w:r>
      <w:r w:rsidR="004E2361" w:rsidRPr="002501D4">
        <w:rPr>
          <w:rFonts w:asciiTheme="majorHAnsi" w:hAnsiTheme="majorHAnsi"/>
          <w:sz w:val="20"/>
          <w:szCs w:val="20"/>
        </w:rPr>
        <w:t xml:space="preserve"> para abordar la redundancia en los requisitos de comunicación del WG-ORT</w:t>
      </w:r>
      <w:r w:rsidRPr="002501D4">
        <w:rPr>
          <w:rFonts w:asciiTheme="majorHAnsi" w:hAnsiTheme="majorHAnsi"/>
          <w:color w:val="000000"/>
          <w:sz w:val="20"/>
          <w:szCs w:val="20"/>
        </w:rPr>
        <w:t xml:space="preserve"> ayudará a desarrollar directrices para que un consultor apoye este proceso. </w:t>
      </w:r>
      <w:r w:rsidRPr="002501D4">
        <w:rPr>
          <w:rFonts w:asciiTheme="majorHAnsi" w:hAnsiTheme="majorHAnsi"/>
          <w:b/>
          <w:color w:val="000000"/>
          <w:sz w:val="20"/>
          <w:szCs w:val="20"/>
        </w:rPr>
        <w:t>Esta tarea sigue en curso.</w:t>
      </w:r>
    </w:p>
    <w:p w14:paraId="36DA4F52" w14:textId="77777777" w:rsidR="007F7E17" w:rsidRPr="002501D4" w:rsidRDefault="007F7E17" w:rsidP="004D46FE">
      <w:pPr>
        <w:pBdr>
          <w:top w:val="nil"/>
          <w:left w:val="nil"/>
          <w:bottom w:val="nil"/>
          <w:right w:val="nil"/>
          <w:between w:val="nil"/>
        </w:pBdr>
        <w:tabs>
          <w:tab w:val="left" w:pos="9214"/>
        </w:tabs>
        <w:spacing w:line="240" w:lineRule="exact"/>
        <w:rPr>
          <w:rFonts w:asciiTheme="majorHAnsi" w:hAnsiTheme="majorHAnsi"/>
          <w:b/>
          <w:color w:val="000000"/>
          <w:sz w:val="20"/>
          <w:szCs w:val="20"/>
          <w:u w:val="single"/>
        </w:rPr>
      </w:pPr>
    </w:p>
    <w:p w14:paraId="263C3AAE" w14:textId="77777777" w:rsidR="0054384D" w:rsidRPr="002501D4" w:rsidRDefault="0054384D" w:rsidP="004D46FE">
      <w:pPr>
        <w:pBdr>
          <w:top w:val="nil"/>
          <w:left w:val="nil"/>
          <w:bottom w:val="nil"/>
          <w:right w:val="nil"/>
          <w:between w:val="nil"/>
        </w:pBdr>
        <w:tabs>
          <w:tab w:val="left" w:pos="9214"/>
        </w:tabs>
        <w:spacing w:line="240" w:lineRule="exact"/>
        <w:rPr>
          <w:rFonts w:asciiTheme="majorHAnsi" w:hAnsiTheme="majorHAnsi"/>
          <w:b/>
          <w:color w:val="000000"/>
          <w:sz w:val="20"/>
          <w:szCs w:val="20"/>
          <w:u w:val="single"/>
        </w:rPr>
      </w:pPr>
    </w:p>
    <w:p w14:paraId="7592D57F" w14:textId="77777777" w:rsidR="008A419C" w:rsidRPr="002501D4" w:rsidRDefault="008A419C" w:rsidP="004D46FE">
      <w:pPr>
        <w:pBdr>
          <w:top w:val="nil"/>
          <w:left w:val="nil"/>
          <w:bottom w:val="nil"/>
          <w:right w:val="nil"/>
          <w:between w:val="nil"/>
        </w:pBdr>
        <w:tabs>
          <w:tab w:val="left" w:pos="9214"/>
        </w:tabs>
        <w:spacing w:line="240" w:lineRule="exact"/>
        <w:rPr>
          <w:rFonts w:asciiTheme="majorHAnsi" w:hAnsiTheme="majorHAnsi"/>
          <w:b/>
          <w:color w:val="000000"/>
          <w:sz w:val="20"/>
          <w:szCs w:val="20"/>
        </w:rPr>
      </w:pPr>
      <w:r w:rsidRPr="002501D4">
        <w:rPr>
          <w:rFonts w:asciiTheme="majorHAnsi" w:hAnsiTheme="majorHAnsi"/>
          <w:b/>
          <w:color w:val="000000"/>
          <w:sz w:val="20"/>
          <w:szCs w:val="20"/>
        </w:rPr>
        <w:t>Sesiones de formación del IOMS</w:t>
      </w:r>
    </w:p>
    <w:p w14:paraId="1D156FDC" w14:textId="77777777" w:rsidR="008A419C" w:rsidRPr="002501D4" w:rsidRDefault="008A419C" w:rsidP="004D46FE">
      <w:pPr>
        <w:pBdr>
          <w:top w:val="nil"/>
          <w:left w:val="nil"/>
          <w:bottom w:val="nil"/>
          <w:right w:val="nil"/>
          <w:between w:val="nil"/>
        </w:pBdr>
        <w:tabs>
          <w:tab w:val="left" w:pos="9214"/>
        </w:tabs>
        <w:spacing w:line="240" w:lineRule="exact"/>
        <w:rPr>
          <w:rFonts w:asciiTheme="majorHAnsi" w:hAnsiTheme="majorHAnsi"/>
          <w:b/>
          <w:color w:val="000000"/>
          <w:sz w:val="20"/>
          <w:szCs w:val="20"/>
        </w:rPr>
      </w:pPr>
    </w:p>
    <w:p w14:paraId="78DC44B0" w14:textId="1C744531" w:rsidR="00F70C99" w:rsidRPr="002501D4" w:rsidRDefault="00F70C99" w:rsidP="004D46FE">
      <w:pPr>
        <w:pBdr>
          <w:top w:val="nil"/>
          <w:left w:val="nil"/>
          <w:bottom w:val="nil"/>
          <w:right w:val="nil"/>
          <w:between w:val="nil"/>
        </w:pBdr>
        <w:tabs>
          <w:tab w:val="left" w:pos="9214"/>
        </w:tabs>
        <w:spacing w:line="240" w:lineRule="exact"/>
        <w:jc w:val="both"/>
        <w:rPr>
          <w:rFonts w:asciiTheme="majorHAnsi" w:hAnsiTheme="majorHAnsi"/>
          <w:color w:val="000000"/>
          <w:sz w:val="20"/>
          <w:szCs w:val="20"/>
        </w:rPr>
      </w:pPr>
      <w:r w:rsidRPr="002501D4">
        <w:rPr>
          <w:rFonts w:asciiTheme="majorHAnsi" w:hAnsiTheme="majorHAnsi"/>
          <w:color w:val="000000"/>
          <w:sz w:val="20"/>
          <w:szCs w:val="20"/>
        </w:rPr>
        <w:t xml:space="preserve">El WG-ORT acordó celebrar dos sesiones de formación </w:t>
      </w:r>
      <w:r w:rsidR="004E2361" w:rsidRPr="002501D4">
        <w:rPr>
          <w:rFonts w:asciiTheme="majorHAnsi" w:hAnsiTheme="majorHAnsi"/>
          <w:color w:val="000000"/>
          <w:sz w:val="20"/>
          <w:szCs w:val="20"/>
        </w:rPr>
        <w:t>d</w:t>
      </w:r>
      <w:r w:rsidRPr="002501D4">
        <w:rPr>
          <w:rFonts w:asciiTheme="majorHAnsi" w:hAnsiTheme="majorHAnsi"/>
          <w:color w:val="000000"/>
          <w:sz w:val="20"/>
          <w:szCs w:val="20"/>
        </w:rPr>
        <w:t>el IOMS en 2025, cada una de ellas centrada exclusivamente en uno de los dos módulos para garantizar que todos los usuarios del IOMS estén plenamente preparados para su uso operatividad. La primera sesión (</w:t>
      </w:r>
      <w:r w:rsidR="004E2361" w:rsidRPr="002501D4">
        <w:rPr>
          <w:rFonts w:asciiTheme="majorHAnsi" w:hAnsiTheme="majorHAnsi"/>
          <w:color w:val="000000"/>
          <w:sz w:val="20"/>
          <w:szCs w:val="20"/>
        </w:rPr>
        <w:t>sesión de formación n.º </w:t>
      </w:r>
      <w:r w:rsidRPr="002501D4">
        <w:rPr>
          <w:rFonts w:asciiTheme="majorHAnsi" w:hAnsiTheme="majorHAnsi"/>
          <w:color w:val="000000"/>
          <w:sz w:val="20"/>
          <w:szCs w:val="20"/>
        </w:rPr>
        <w:t>2</w:t>
      </w:r>
      <w:r w:rsidR="004E2361" w:rsidRPr="002501D4">
        <w:rPr>
          <w:rFonts w:asciiTheme="majorHAnsi" w:hAnsiTheme="majorHAnsi"/>
          <w:color w:val="000000"/>
          <w:sz w:val="20"/>
          <w:szCs w:val="20"/>
        </w:rPr>
        <w:t xml:space="preserve"> del Gestor </w:t>
      </w:r>
      <w:r w:rsidR="004E2361" w:rsidRPr="002501D4">
        <w:rPr>
          <w:rFonts w:asciiTheme="majorHAnsi" w:hAnsiTheme="majorHAnsi"/>
          <w:color w:val="000000"/>
          <w:sz w:val="20"/>
          <w:szCs w:val="20"/>
        </w:rPr>
        <w:lastRenderedPageBreak/>
        <w:t>de formularios</w:t>
      </w:r>
      <w:r w:rsidRPr="002501D4">
        <w:rPr>
          <w:rFonts w:asciiTheme="majorHAnsi" w:hAnsiTheme="majorHAnsi"/>
          <w:color w:val="000000"/>
          <w:sz w:val="20"/>
          <w:szCs w:val="20"/>
        </w:rPr>
        <w:t>) se celebró el 6 de mayo de 2025, y la segunda sesión (</w:t>
      </w:r>
      <w:r w:rsidR="004E2361" w:rsidRPr="002501D4">
        <w:rPr>
          <w:rFonts w:asciiTheme="majorHAnsi" w:hAnsiTheme="majorHAnsi"/>
          <w:color w:val="000000"/>
          <w:sz w:val="20"/>
          <w:szCs w:val="20"/>
        </w:rPr>
        <w:t>sesión de formación n.º </w:t>
      </w:r>
      <w:r w:rsidR="004E2361" w:rsidRPr="002501D4">
        <w:rPr>
          <w:rFonts w:asciiTheme="majorHAnsi" w:hAnsiTheme="majorHAnsi"/>
          <w:color w:val="000000"/>
          <w:sz w:val="20"/>
          <w:szCs w:val="20"/>
        </w:rPr>
        <w:t>3</w:t>
      </w:r>
      <w:r w:rsidR="004E2361" w:rsidRPr="002501D4">
        <w:rPr>
          <w:rFonts w:asciiTheme="majorHAnsi" w:hAnsiTheme="majorHAnsi"/>
          <w:color w:val="000000"/>
          <w:sz w:val="20"/>
          <w:szCs w:val="20"/>
        </w:rPr>
        <w:t xml:space="preserve"> del Gestor de</w:t>
      </w:r>
      <w:r w:rsidR="004E2361" w:rsidRPr="002501D4">
        <w:rPr>
          <w:rFonts w:asciiTheme="majorHAnsi" w:hAnsiTheme="majorHAnsi"/>
          <w:color w:val="000000"/>
          <w:sz w:val="20"/>
          <w:szCs w:val="20"/>
        </w:rPr>
        <w:t xml:space="preserve"> Buques</w:t>
      </w:r>
      <w:r w:rsidRPr="002501D4">
        <w:rPr>
          <w:rFonts w:asciiTheme="majorHAnsi" w:hAnsiTheme="majorHAnsi"/>
          <w:color w:val="000000"/>
          <w:sz w:val="20"/>
          <w:szCs w:val="20"/>
        </w:rPr>
        <w:t xml:space="preserve">) el 30 de junio de 2025. En ambas sesiones se utilizó el entorno </w:t>
      </w:r>
      <w:proofErr w:type="spellStart"/>
      <w:r w:rsidRPr="002501D4">
        <w:rPr>
          <w:rFonts w:asciiTheme="majorHAnsi" w:hAnsiTheme="majorHAnsi"/>
          <w:color w:val="000000"/>
          <w:sz w:val="20"/>
          <w:szCs w:val="20"/>
        </w:rPr>
        <w:t>sandbox</w:t>
      </w:r>
      <w:proofErr w:type="spellEnd"/>
      <w:r w:rsidRPr="002501D4">
        <w:rPr>
          <w:rFonts w:asciiTheme="majorHAnsi" w:hAnsiTheme="majorHAnsi"/>
          <w:color w:val="000000"/>
          <w:sz w:val="20"/>
          <w:szCs w:val="20"/>
        </w:rPr>
        <w:t xml:space="preserve"> de IOMS, lo que permitió que los participantes aprendieran y </w:t>
      </w:r>
      <w:r w:rsidR="001E790C" w:rsidRPr="002501D4">
        <w:rPr>
          <w:rFonts w:asciiTheme="majorHAnsi" w:hAnsiTheme="majorHAnsi"/>
          <w:color w:val="000000"/>
          <w:sz w:val="20"/>
          <w:szCs w:val="20"/>
        </w:rPr>
        <w:t>practicaran</w:t>
      </w:r>
      <w:r w:rsidRPr="002501D4">
        <w:rPr>
          <w:rFonts w:asciiTheme="majorHAnsi" w:hAnsiTheme="majorHAnsi"/>
          <w:color w:val="000000"/>
          <w:sz w:val="20"/>
          <w:szCs w:val="20"/>
        </w:rPr>
        <w:t xml:space="preserve"> las funcionalidades de cada módulo de manera pormenorizada. El presidente recordó que los vídeos grabados de las sesiones de formación del IOMS previas están disponibles en la carpeta compartida de Nextcloud dedicada al WG-ORT; </w:t>
      </w:r>
      <w:r w:rsidR="001E790C" w:rsidRPr="002501D4">
        <w:rPr>
          <w:rFonts w:asciiTheme="majorHAnsi" w:hAnsiTheme="majorHAnsi"/>
          <w:color w:val="000000"/>
          <w:sz w:val="20"/>
          <w:szCs w:val="20"/>
        </w:rPr>
        <w:t>se invita</w:t>
      </w:r>
      <w:r w:rsidRPr="002501D4">
        <w:rPr>
          <w:rFonts w:asciiTheme="majorHAnsi" w:hAnsiTheme="majorHAnsi"/>
          <w:color w:val="000000"/>
          <w:sz w:val="20"/>
          <w:szCs w:val="20"/>
        </w:rPr>
        <w:t xml:space="preserve"> a todos los participantes a consultar estos vídeos.</w:t>
      </w:r>
    </w:p>
    <w:p w14:paraId="3A00268A" w14:textId="02023D41" w:rsidR="008A419C" w:rsidRPr="002501D4" w:rsidRDefault="008A419C" w:rsidP="004D46FE">
      <w:pPr>
        <w:spacing w:line="240" w:lineRule="exact"/>
        <w:rPr>
          <w:rFonts w:asciiTheme="majorHAnsi" w:hAnsiTheme="majorHAnsi"/>
          <w:b/>
          <w:color w:val="000000"/>
          <w:sz w:val="20"/>
          <w:szCs w:val="20"/>
        </w:rPr>
      </w:pPr>
      <w:r w:rsidRPr="002501D4">
        <w:rPr>
          <w:rFonts w:asciiTheme="majorHAnsi" w:hAnsiTheme="majorHAnsi"/>
          <w:b/>
          <w:color w:val="000000"/>
          <w:sz w:val="20"/>
          <w:szCs w:val="20"/>
        </w:rPr>
        <w:t>Informe anual en 2025</w:t>
      </w:r>
    </w:p>
    <w:p w14:paraId="47F550D6" w14:textId="77777777" w:rsidR="00860FCA" w:rsidRPr="002501D4" w:rsidRDefault="00860FCA" w:rsidP="004D46FE">
      <w:pPr>
        <w:spacing w:line="240" w:lineRule="exact"/>
        <w:rPr>
          <w:rFonts w:asciiTheme="majorHAnsi" w:hAnsiTheme="majorHAnsi"/>
          <w:b/>
          <w:color w:val="000000"/>
          <w:sz w:val="20"/>
          <w:szCs w:val="20"/>
        </w:rPr>
      </w:pPr>
    </w:p>
    <w:p w14:paraId="024540DD" w14:textId="5AD4EFD0" w:rsidR="00760BAD" w:rsidRPr="002501D4" w:rsidRDefault="00CB1A6F" w:rsidP="004D46FE">
      <w:pPr>
        <w:tabs>
          <w:tab w:val="left" w:pos="558"/>
          <w:tab w:val="left" w:pos="559"/>
          <w:tab w:val="left" w:pos="9214"/>
        </w:tabs>
        <w:spacing w:line="240" w:lineRule="exact"/>
        <w:jc w:val="both"/>
        <w:rPr>
          <w:rFonts w:asciiTheme="majorHAnsi" w:hAnsiTheme="majorHAnsi"/>
          <w:sz w:val="20"/>
          <w:szCs w:val="20"/>
        </w:rPr>
      </w:pPr>
      <w:r w:rsidRPr="002501D4">
        <w:rPr>
          <w:rFonts w:asciiTheme="majorHAnsi" w:hAnsiTheme="majorHAnsi"/>
          <w:sz w:val="20"/>
          <w:szCs w:val="20"/>
        </w:rPr>
        <w:t xml:space="preserve">El IOMS de ICCAT está en producción desde el 1 de agosto de 2021, con el módulo del Informe anual (Sección 3/Parte 1 y Sección 3/Parte 2) disponible en línea desde hace tres años. La presentación de informes anuales a través del IOMS para 2021 (año experimental) y 2022 (recomendado para la cumplimentación en línea) sirvió sobre todo para fines de formación, mientras que la presentación del Informe anual (Sección 3/Parte 1 y Sección 3/Parte 2) a través del IOMS era un requisito de 2023 en adelante (párrafo 2 de la </w:t>
      </w:r>
      <w:hyperlink r:id="rId17" w:history="1">
        <w:r w:rsidRPr="002501D4">
          <w:rPr>
            <w:rStyle w:val="Hyperlink"/>
            <w:rFonts w:asciiTheme="majorHAnsi" w:hAnsiTheme="majorHAnsi"/>
            <w:sz w:val="20"/>
            <w:szCs w:val="20"/>
            <w:u w:val="none"/>
          </w:rPr>
          <w:t>Rec. 22-17</w:t>
        </w:r>
      </w:hyperlink>
      <w:r w:rsidRPr="002501D4">
        <w:rPr>
          <w:rFonts w:asciiTheme="majorHAnsi" w:hAnsiTheme="majorHAnsi"/>
          <w:sz w:val="20"/>
          <w:szCs w:val="20"/>
        </w:rPr>
        <w:t>).</w:t>
      </w:r>
    </w:p>
    <w:p w14:paraId="46DE3C70" w14:textId="77777777" w:rsidR="00760BAD" w:rsidRPr="002501D4" w:rsidRDefault="00760BAD" w:rsidP="004D46FE">
      <w:pPr>
        <w:tabs>
          <w:tab w:val="left" w:pos="558"/>
          <w:tab w:val="left" w:pos="559"/>
          <w:tab w:val="left" w:pos="9214"/>
        </w:tabs>
        <w:spacing w:line="240" w:lineRule="exact"/>
        <w:jc w:val="both"/>
        <w:rPr>
          <w:rFonts w:asciiTheme="majorHAnsi" w:hAnsiTheme="majorHAnsi"/>
          <w:sz w:val="20"/>
          <w:szCs w:val="20"/>
        </w:rPr>
      </w:pPr>
    </w:p>
    <w:p w14:paraId="18E7F467" w14:textId="7DDC8365" w:rsidR="00993635" w:rsidRPr="002501D4" w:rsidRDefault="00864545" w:rsidP="004D46FE">
      <w:pPr>
        <w:tabs>
          <w:tab w:val="left" w:pos="558"/>
          <w:tab w:val="left" w:pos="559"/>
          <w:tab w:val="left" w:pos="9214"/>
        </w:tabs>
        <w:spacing w:line="240" w:lineRule="exact"/>
        <w:jc w:val="both"/>
        <w:rPr>
          <w:rFonts w:asciiTheme="majorHAnsi" w:hAnsiTheme="majorHAnsi"/>
          <w:color w:val="000000"/>
          <w:sz w:val="20"/>
          <w:szCs w:val="20"/>
        </w:rPr>
      </w:pPr>
      <w:r w:rsidRPr="002501D4">
        <w:rPr>
          <w:rFonts w:asciiTheme="majorHAnsi" w:hAnsiTheme="majorHAnsi"/>
          <w:sz w:val="20"/>
          <w:szCs w:val="20"/>
        </w:rPr>
        <w:t xml:space="preserve">Como en años anteriores, la Secretaría ayudó a todas las CPC de ICCAT a completar los Informes anuales de 2025 en el IOMS, tal y como recomendó el WG-ORT. </w:t>
      </w:r>
      <w:r w:rsidRPr="002501D4">
        <w:rPr>
          <w:rFonts w:asciiTheme="majorHAnsi" w:hAnsiTheme="majorHAnsi"/>
          <w:color w:val="000000"/>
          <w:sz w:val="20"/>
          <w:szCs w:val="20"/>
        </w:rPr>
        <w:t xml:space="preserve">En la </w:t>
      </w:r>
      <w:r w:rsidRPr="002501D4">
        <w:rPr>
          <w:rFonts w:asciiTheme="majorHAnsi" w:hAnsiTheme="majorHAnsi"/>
          <w:b/>
          <w:color w:val="000000"/>
          <w:sz w:val="20"/>
          <w:szCs w:val="20"/>
        </w:rPr>
        <w:t xml:space="preserve">Tabla 1 </w:t>
      </w:r>
      <w:r w:rsidRPr="002501D4">
        <w:rPr>
          <w:rFonts w:asciiTheme="majorHAnsi" w:hAnsiTheme="majorHAnsi"/>
          <w:color w:val="000000"/>
          <w:sz w:val="20"/>
          <w:szCs w:val="20"/>
        </w:rPr>
        <w:t>se presenta un resumen de los indicadores estadísticos relativos a la presentación de Informes anuales a través del IOMS para los años 2021, 2022, 2023</w:t>
      </w:r>
      <w:r w:rsidR="004D46FE" w:rsidRPr="002501D4">
        <w:rPr>
          <w:rFonts w:asciiTheme="majorHAnsi" w:hAnsiTheme="majorHAnsi"/>
          <w:color w:val="000000"/>
          <w:sz w:val="20"/>
          <w:szCs w:val="20"/>
        </w:rPr>
        <w:t xml:space="preserve">, </w:t>
      </w:r>
      <w:r w:rsidRPr="002501D4">
        <w:rPr>
          <w:rFonts w:asciiTheme="majorHAnsi" w:hAnsiTheme="majorHAnsi"/>
          <w:color w:val="000000"/>
          <w:sz w:val="20"/>
          <w:szCs w:val="20"/>
        </w:rPr>
        <w:t>2024</w:t>
      </w:r>
      <w:r w:rsidR="004D46FE" w:rsidRPr="002501D4">
        <w:rPr>
          <w:rFonts w:asciiTheme="majorHAnsi" w:hAnsiTheme="majorHAnsi"/>
          <w:color w:val="000000"/>
          <w:sz w:val="20"/>
          <w:szCs w:val="20"/>
        </w:rPr>
        <w:t xml:space="preserve"> y 2025</w:t>
      </w:r>
      <w:r w:rsidRPr="002501D4">
        <w:rPr>
          <w:rFonts w:asciiTheme="majorHAnsi" w:hAnsiTheme="majorHAnsi"/>
          <w:color w:val="000000"/>
          <w:sz w:val="20"/>
          <w:szCs w:val="20"/>
        </w:rPr>
        <w:t>. Los informes anuales de 2021 y 2022 (años de prueba) se incluyeron con fines comparativos, principalmente para observar los progresos realizados por las CPC de ICCAT en el uso del IOMS.</w:t>
      </w:r>
    </w:p>
    <w:p w14:paraId="7EA1FDA2" w14:textId="77777777" w:rsidR="00993635" w:rsidRPr="002501D4" w:rsidRDefault="00993635" w:rsidP="004D46FE">
      <w:pPr>
        <w:widowControl/>
        <w:pBdr>
          <w:top w:val="nil"/>
          <w:left w:val="nil"/>
          <w:bottom w:val="nil"/>
          <w:right w:val="nil"/>
          <w:between w:val="nil"/>
        </w:pBdr>
        <w:tabs>
          <w:tab w:val="left" w:pos="9214"/>
        </w:tabs>
        <w:spacing w:line="240" w:lineRule="exact"/>
        <w:jc w:val="both"/>
        <w:rPr>
          <w:rFonts w:asciiTheme="majorHAnsi" w:hAnsiTheme="majorHAnsi"/>
          <w:color w:val="000000"/>
          <w:sz w:val="20"/>
          <w:szCs w:val="20"/>
        </w:rPr>
      </w:pPr>
    </w:p>
    <w:p w14:paraId="4409A721" w14:textId="1A2764D2" w:rsidR="00FB5A81" w:rsidRPr="002501D4" w:rsidRDefault="00FB5A81" w:rsidP="004D46FE">
      <w:pPr>
        <w:widowControl/>
        <w:pBdr>
          <w:top w:val="nil"/>
          <w:left w:val="nil"/>
          <w:bottom w:val="nil"/>
          <w:right w:val="nil"/>
          <w:between w:val="nil"/>
        </w:pBdr>
        <w:tabs>
          <w:tab w:val="left" w:pos="9214"/>
        </w:tabs>
        <w:spacing w:line="240" w:lineRule="exact"/>
        <w:jc w:val="both"/>
        <w:rPr>
          <w:rFonts w:asciiTheme="majorHAnsi" w:hAnsiTheme="majorHAnsi"/>
          <w:color w:val="000000"/>
          <w:sz w:val="20"/>
          <w:szCs w:val="20"/>
        </w:rPr>
      </w:pPr>
      <w:r w:rsidRPr="002501D4">
        <w:rPr>
          <w:rFonts w:asciiTheme="majorHAnsi" w:hAnsiTheme="majorHAnsi"/>
          <w:color w:val="000000"/>
          <w:sz w:val="20"/>
          <w:szCs w:val="20"/>
        </w:rPr>
        <w:t>En 2025, la presentación de los informes anuales mostró un ligero deterioro en comparación con años anteriores. Se debió principalmente al aumento del número de CPC que aún no habían presentado sus informes anuales. Por otra parte, en el caso de las CPC que sí presentaron los informes, la situación mejoró en comparación con años anteriores, ya que se requirieron menos intervenciones de la Secretaría. Esto indica una mejor comprensión por parte de las CPC del uso del sistema y de los requisitos de información.</w:t>
      </w:r>
    </w:p>
    <w:p w14:paraId="0E798E82" w14:textId="77777777" w:rsidR="00AE13BB" w:rsidRPr="002501D4" w:rsidRDefault="00AE13BB" w:rsidP="004D46FE">
      <w:pPr>
        <w:widowControl/>
        <w:pBdr>
          <w:top w:val="nil"/>
          <w:left w:val="nil"/>
          <w:bottom w:val="nil"/>
          <w:right w:val="nil"/>
          <w:between w:val="nil"/>
        </w:pBdr>
        <w:tabs>
          <w:tab w:val="left" w:pos="9214"/>
        </w:tabs>
        <w:spacing w:line="240" w:lineRule="exact"/>
        <w:jc w:val="both"/>
        <w:rPr>
          <w:rFonts w:asciiTheme="majorHAnsi" w:hAnsiTheme="majorHAnsi"/>
          <w:color w:val="000000"/>
          <w:sz w:val="20"/>
          <w:szCs w:val="20"/>
        </w:rPr>
      </w:pPr>
    </w:p>
    <w:p w14:paraId="3D70E67C" w14:textId="0F19978F" w:rsidR="008A419C" w:rsidRPr="002501D4" w:rsidRDefault="00325EF2" w:rsidP="004D46FE">
      <w:pPr>
        <w:pBdr>
          <w:top w:val="nil"/>
          <w:left w:val="nil"/>
          <w:bottom w:val="nil"/>
          <w:right w:val="nil"/>
          <w:between w:val="nil"/>
        </w:pBdr>
        <w:tabs>
          <w:tab w:val="left" w:pos="9214"/>
        </w:tabs>
        <w:spacing w:line="240" w:lineRule="exact"/>
        <w:jc w:val="both"/>
        <w:rPr>
          <w:rFonts w:asciiTheme="majorHAnsi" w:hAnsiTheme="majorHAnsi"/>
          <w:color w:val="000000"/>
          <w:sz w:val="20"/>
          <w:szCs w:val="20"/>
        </w:rPr>
      </w:pPr>
      <w:r w:rsidRPr="002501D4">
        <w:rPr>
          <w:rFonts w:asciiTheme="majorHAnsi" w:hAnsiTheme="majorHAnsi"/>
          <w:color w:val="000000"/>
          <w:sz w:val="20"/>
          <w:szCs w:val="20"/>
        </w:rPr>
        <w:t xml:space="preserve">En línea con el párrafo 1 de </w:t>
      </w:r>
      <w:r w:rsidRPr="002501D4">
        <w:rPr>
          <w:rFonts w:asciiTheme="majorHAnsi" w:hAnsiTheme="majorHAnsi"/>
          <w:sz w:val="20"/>
          <w:szCs w:val="20"/>
        </w:rPr>
        <w:t xml:space="preserve">la </w:t>
      </w:r>
      <w:hyperlink r:id="rId18" w:history="1">
        <w:r w:rsidRPr="002501D4">
          <w:rPr>
            <w:rStyle w:val="Hyperlink"/>
            <w:rFonts w:asciiTheme="majorHAnsi" w:hAnsiTheme="majorHAnsi"/>
            <w:sz w:val="20"/>
            <w:szCs w:val="20"/>
            <w:u w:val="none"/>
          </w:rPr>
          <w:t>Rec. 22-17</w:t>
        </w:r>
      </w:hyperlink>
      <w:r w:rsidRPr="002501D4">
        <w:rPr>
          <w:rFonts w:asciiTheme="majorHAnsi" w:hAnsiTheme="majorHAnsi"/>
          <w:color w:val="000000"/>
          <w:sz w:val="20"/>
          <w:szCs w:val="20"/>
        </w:rPr>
        <w:t>, todas las CPC de ICCAT tienen al menos un usuario del IOMS registrado desde la reunión anual de 2024. Estos y otros indicadores estadísticos también están disponibles para los usuarios registrados del IOMS (ambos roles de CPC: administradores y funcionarios) en el portal en línea de IOMS (</w:t>
      </w:r>
      <w:hyperlink r:id="rId19">
        <w:r w:rsidRPr="002501D4">
          <w:rPr>
            <w:rFonts w:asciiTheme="majorHAnsi" w:hAnsiTheme="majorHAnsi"/>
            <w:color w:val="0000FF"/>
            <w:sz w:val="20"/>
            <w:szCs w:val="20"/>
          </w:rPr>
          <w:t>https://ioms</w:t>
        </w:r>
        <w:r w:rsidRPr="002501D4">
          <w:rPr>
            <w:rFonts w:asciiTheme="majorHAnsi" w:hAnsiTheme="majorHAnsi"/>
            <w:color w:val="0000FF"/>
            <w:sz w:val="20"/>
            <w:szCs w:val="20"/>
          </w:rPr>
          <w:t>.</w:t>
        </w:r>
        <w:r w:rsidRPr="002501D4">
          <w:rPr>
            <w:rFonts w:asciiTheme="majorHAnsi" w:hAnsiTheme="majorHAnsi"/>
            <w:color w:val="0000FF"/>
            <w:sz w:val="20"/>
            <w:szCs w:val="20"/>
          </w:rPr>
          <w:t>iccat.int</w:t>
        </w:r>
      </w:hyperlink>
      <w:r w:rsidRPr="002501D4">
        <w:rPr>
          <w:rFonts w:asciiTheme="majorHAnsi" w:hAnsiTheme="majorHAnsi"/>
          <w:color w:val="000000"/>
          <w:sz w:val="20"/>
          <w:szCs w:val="20"/>
        </w:rPr>
        <w:t>).</w:t>
      </w:r>
    </w:p>
    <w:p w14:paraId="7AC9072E" w14:textId="76D8209B" w:rsidR="00AE13BB" w:rsidRPr="002501D4" w:rsidRDefault="00AE13BB" w:rsidP="004D46FE">
      <w:pPr>
        <w:pBdr>
          <w:top w:val="nil"/>
          <w:left w:val="nil"/>
          <w:bottom w:val="nil"/>
          <w:right w:val="nil"/>
          <w:between w:val="nil"/>
        </w:pBdr>
        <w:tabs>
          <w:tab w:val="left" w:pos="9214"/>
        </w:tabs>
        <w:spacing w:line="240" w:lineRule="exact"/>
        <w:jc w:val="both"/>
        <w:rPr>
          <w:rFonts w:asciiTheme="majorHAnsi" w:hAnsiTheme="majorHAnsi"/>
          <w:color w:val="000000"/>
          <w:sz w:val="20"/>
          <w:szCs w:val="20"/>
        </w:rPr>
      </w:pPr>
    </w:p>
    <w:p w14:paraId="52071AA3" w14:textId="22445FF5" w:rsidR="008A419C" w:rsidRPr="002501D4" w:rsidRDefault="00504F8E" w:rsidP="004D46FE">
      <w:pPr>
        <w:pBdr>
          <w:top w:val="nil"/>
          <w:left w:val="nil"/>
          <w:bottom w:val="nil"/>
          <w:right w:val="nil"/>
          <w:between w:val="nil"/>
        </w:pBdr>
        <w:tabs>
          <w:tab w:val="left" w:pos="9214"/>
        </w:tabs>
        <w:spacing w:line="240" w:lineRule="exact"/>
        <w:jc w:val="both"/>
        <w:rPr>
          <w:rFonts w:asciiTheme="majorHAnsi" w:hAnsiTheme="majorHAnsi"/>
          <w:color w:val="000000"/>
          <w:sz w:val="20"/>
          <w:szCs w:val="20"/>
        </w:rPr>
      </w:pPr>
      <w:r w:rsidRPr="002501D4">
        <w:rPr>
          <w:rFonts w:asciiTheme="majorHAnsi" w:hAnsiTheme="majorHAnsi"/>
          <w:color w:val="000000"/>
          <w:sz w:val="20"/>
          <w:szCs w:val="20"/>
        </w:rPr>
        <w:t xml:space="preserve">Sección 2 - Parte 2.2 del Informe anual de 2025 invitaba a las CPC a informar a la Comisión de las principales dificultades encontradas en la implementación y cumplimiento de las medidas de conservación y ordenación de ICCAT. </w:t>
      </w:r>
    </w:p>
    <w:p w14:paraId="6663077A" w14:textId="36E534F7" w:rsidR="00650797" w:rsidRPr="002501D4" w:rsidRDefault="00650797" w:rsidP="004D46FE">
      <w:pPr>
        <w:spacing w:line="240" w:lineRule="exact"/>
        <w:rPr>
          <w:rFonts w:asciiTheme="majorHAnsi" w:hAnsiTheme="majorHAnsi"/>
          <w:b/>
          <w:sz w:val="20"/>
          <w:szCs w:val="20"/>
        </w:rPr>
      </w:pPr>
    </w:p>
    <w:p w14:paraId="3F1E4040" w14:textId="547D3FA3" w:rsidR="0035272A" w:rsidRPr="002501D4" w:rsidRDefault="008A419C" w:rsidP="004D46FE">
      <w:pPr>
        <w:spacing w:line="240" w:lineRule="exact"/>
        <w:jc w:val="both"/>
        <w:rPr>
          <w:rFonts w:asciiTheme="majorHAnsi" w:hAnsiTheme="majorHAnsi"/>
          <w:sz w:val="20"/>
          <w:szCs w:val="20"/>
        </w:rPr>
      </w:pPr>
      <w:r w:rsidRPr="002501D4">
        <w:rPr>
          <w:rFonts w:asciiTheme="majorHAnsi" w:hAnsiTheme="majorHAnsi"/>
          <w:b/>
          <w:bCs/>
          <w:sz w:val="20"/>
          <w:szCs w:val="20"/>
        </w:rPr>
        <w:t>Tabla 1.</w:t>
      </w:r>
      <w:r w:rsidRPr="002501D4">
        <w:rPr>
          <w:rFonts w:asciiTheme="majorHAnsi" w:hAnsiTheme="majorHAnsi"/>
          <w:sz w:val="20"/>
          <w:szCs w:val="20"/>
        </w:rPr>
        <w:t xml:space="preserve"> Número de informes anuales (y ratios relativas) disponibles en el IOMS para 2021, 2022, 2023</w:t>
      </w:r>
      <w:r w:rsidR="004D46FE" w:rsidRPr="002501D4">
        <w:rPr>
          <w:rFonts w:asciiTheme="majorHAnsi" w:hAnsiTheme="majorHAnsi"/>
          <w:sz w:val="20"/>
          <w:szCs w:val="20"/>
        </w:rPr>
        <w:t>, 2024</w:t>
      </w:r>
      <w:r w:rsidRPr="002501D4">
        <w:rPr>
          <w:rFonts w:asciiTheme="majorHAnsi" w:hAnsiTheme="majorHAnsi"/>
          <w:sz w:val="20"/>
          <w:szCs w:val="20"/>
        </w:rPr>
        <w:t xml:space="preserve"> y 2025, por sección, estado de finalización y modo de </w:t>
      </w:r>
      <w:r w:rsidR="004D46FE" w:rsidRPr="002501D4">
        <w:rPr>
          <w:rFonts w:asciiTheme="majorHAnsi" w:hAnsiTheme="majorHAnsi"/>
          <w:sz w:val="20"/>
          <w:szCs w:val="20"/>
        </w:rPr>
        <w:t>cumplimentación</w:t>
      </w:r>
      <w:r w:rsidRPr="002501D4">
        <w:rPr>
          <w:rFonts w:asciiTheme="majorHAnsi" w:hAnsiTheme="majorHAnsi"/>
          <w:sz w:val="20"/>
          <w:szCs w:val="20"/>
        </w:rPr>
        <w:t xml:space="preserve"> (con/sin apoyo de la Secretaría). Los valores en "rojo" indican el número de secciones pendientes que deben ser completadas por varias CPC lo antes posible. </w:t>
      </w:r>
    </w:p>
    <w:p w14:paraId="6A4D0807" w14:textId="4AAAA841" w:rsidR="00F6127E" w:rsidRPr="009372FF" w:rsidRDefault="002501D4" w:rsidP="004D46FE">
      <w:pPr>
        <w:keepNext/>
        <w:pBdr>
          <w:top w:val="nil"/>
          <w:left w:val="nil"/>
          <w:bottom w:val="nil"/>
          <w:right w:val="nil"/>
          <w:between w:val="nil"/>
        </w:pBdr>
        <w:tabs>
          <w:tab w:val="left" w:pos="9214"/>
        </w:tabs>
        <w:spacing w:line="240" w:lineRule="exact"/>
        <w:jc w:val="both"/>
        <w:rPr>
          <w:rFonts w:asciiTheme="majorHAnsi" w:hAnsiTheme="majorHAnsi"/>
          <w:color w:val="000000"/>
          <w:sz w:val="20"/>
          <w:szCs w:val="20"/>
        </w:rPr>
      </w:pPr>
      <w:r w:rsidRPr="002501D4">
        <w:rPr>
          <w:rFonts w:asciiTheme="majorHAnsi" w:hAnsiTheme="majorHAnsi"/>
          <w:noProof/>
          <w:sz w:val="20"/>
          <w:szCs w:val="20"/>
        </w:rPr>
        <w:drawing>
          <wp:anchor distT="0" distB="0" distL="114300" distR="114300" simplePos="0" relativeHeight="251658240" behindDoc="0" locked="0" layoutInCell="1" allowOverlap="1" wp14:anchorId="14F54508" wp14:editId="2B49CF69">
            <wp:simplePos x="0" y="0"/>
            <wp:positionH relativeFrom="column">
              <wp:posOffset>0</wp:posOffset>
            </wp:positionH>
            <wp:positionV relativeFrom="paragraph">
              <wp:posOffset>128872</wp:posOffset>
            </wp:positionV>
            <wp:extent cx="5759450" cy="2453640"/>
            <wp:effectExtent l="0" t="0" r="0" b="3810"/>
            <wp:wrapNone/>
            <wp:docPr id="16807997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2453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2DD29F" w14:textId="351D935A" w:rsidR="00B87678" w:rsidRPr="009372FF" w:rsidRDefault="00B87678" w:rsidP="004D46FE">
      <w:pPr>
        <w:keepNext/>
        <w:pBdr>
          <w:top w:val="nil"/>
          <w:left w:val="nil"/>
          <w:bottom w:val="nil"/>
          <w:right w:val="nil"/>
          <w:between w:val="nil"/>
        </w:pBdr>
        <w:tabs>
          <w:tab w:val="left" w:pos="9214"/>
        </w:tabs>
        <w:spacing w:line="240" w:lineRule="exact"/>
        <w:jc w:val="both"/>
        <w:rPr>
          <w:rFonts w:asciiTheme="majorHAnsi" w:hAnsiTheme="majorHAnsi"/>
          <w:color w:val="000000"/>
          <w:sz w:val="20"/>
          <w:szCs w:val="20"/>
        </w:rPr>
      </w:pPr>
    </w:p>
    <w:sectPr w:rsidR="00B87678" w:rsidRPr="009372FF" w:rsidSect="002D6946">
      <w:headerReference w:type="default" r:id="rId21"/>
      <w:footerReference w:type="default" r:id="rId22"/>
      <w:pgSz w:w="11906" w:h="16838" w:code="9"/>
      <w:pgMar w:top="1418" w:right="1418" w:bottom="1418" w:left="1418"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BC4D" w14:textId="77777777" w:rsidR="00C7162E" w:rsidRDefault="00C7162E">
      <w:r>
        <w:separator/>
      </w:r>
    </w:p>
  </w:endnote>
  <w:endnote w:type="continuationSeparator" w:id="0">
    <w:p w14:paraId="0CF388E2" w14:textId="77777777" w:rsidR="00C7162E" w:rsidRDefault="00C7162E">
      <w:r>
        <w:continuationSeparator/>
      </w:r>
    </w:p>
  </w:endnote>
  <w:endnote w:type="continuationNotice" w:id="1">
    <w:p w14:paraId="536AF1DA" w14:textId="77777777" w:rsidR="00C7162E" w:rsidRDefault="00C71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540F" w14:textId="77777777" w:rsidR="0018551C" w:rsidRDefault="0018551C" w:rsidP="0018551C">
    <w:pPr>
      <w:pStyle w:val="Footer"/>
      <w:jc w:val="cente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8</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8503" w14:textId="77777777" w:rsidR="00C7162E" w:rsidRDefault="00C7162E">
      <w:r>
        <w:separator/>
      </w:r>
    </w:p>
  </w:footnote>
  <w:footnote w:type="continuationSeparator" w:id="0">
    <w:p w14:paraId="4EB7E98C" w14:textId="77777777" w:rsidR="00C7162E" w:rsidRDefault="00C7162E">
      <w:r>
        <w:continuationSeparator/>
      </w:r>
    </w:p>
  </w:footnote>
  <w:footnote w:type="continuationNotice" w:id="1">
    <w:p w14:paraId="674385FC" w14:textId="77777777" w:rsidR="00C7162E" w:rsidRDefault="00C716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4AB3" w14:textId="417AD9F4" w:rsidR="00A36158" w:rsidRPr="0018551C" w:rsidRDefault="00A36158" w:rsidP="00A36158">
    <w:pPr>
      <w:tabs>
        <w:tab w:val="center" w:pos="4680"/>
        <w:tab w:val="left" w:pos="6520"/>
        <w:tab w:val="right" w:pos="9360"/>
        <w:tab w:val="right" w:pos="14240"/>
      </w:tabs>
      <w:jc w:val="right"/>
      <w:rPr>
        <w:rFonts w:eastAsia="Calibri"/>
        <w:b/>
        <w:bCs/>
        <w:sz w:val="20"/>
        <w:szCs w:val="20"/>
      </w:rPr>
    </w:pPr>
    <w:bookmarkStart w:id="1" w:name="_Hlk107908354"/>
    <w:bookmarkStart w:id="2" w:name="_Hlk107908355"/>
    <w:bookmarkStart w:id="3" w:name="_Hlk107908359"/>
    <w:bookmarkStart w:id="4" w:name="_Hlk107908360"/>
    <w:bookmarkStart w:id="5" w:name="_Hlk107908361"/>
    <w:bookmarkStart w:id="6" w:name="_Hlk107908362"/>
    <w:bookmarkStart w:id="7" w:name="_Hlk119054413"/>
    <w:bookmarkStart w:id="8" w:name="_Hlk119054414"/>
    <w:r>
      <w:rPr>
        <w:b/>
        <w:sz w:val="20"/>
      </w:rPr>
      <w:t>COC_316/2025</w:t>
    </w:r>
  </w:p>
  <w:p w14:paraId="26B96B2A" w14:textId="78D8B927" w:rsidR="005A18DD" w:rsidRPr="0018551C" w:rsidRDefault="00A36158" w:rsidP="00F92FAD">
    <w:pPr>
      <w:tabs>
        <w:tab w:val="left" w:pos="7320"/>
      </w:tabs>
      <w:spacing w:line="240" w:lineRule="exact"/>
      <w:jc w:val="right"/>
      <w:rPr>
        <w:color w:val="000000"/>
        <w:sz w:val="20"/>
        <w:szCs w:val="20"/>
      </w:rPr>
    </w:pPr>
    <w:r w:rsidRPr="0018551C">
      <w:rPr>
        <w:rFonts w:eastAsia="Calibri"/>
        <w:b/>
        <w:sz w:val="20"/>
      </w:rPr>
      <w:fldChar w:fldCharType="begin"/>
    </w:r>
    <w:r w:rsidRPr="0018551C">
      <w:rPr>
        <w:rFonts w:eastAsia="Calibri"/>
        <w:b/>
        <w:sz w:val="20"/>
      </w:rPr>
      <w:instrText xml:space="preserve"> TIME \@ "dd/MM/yyyy H:mm" </w:instrText>
    </w:r>
    <w:r w:rsidRPr="0018551C">
      <w:rPr>
        <w:rFonts w:eastAsia="Calibri"/>
        <w:b/>
        <w:sz w:val="20"/>
      </w:rPr>
      <w:fldChar w:fldCharType="separate"/>
    </w:r>
    <w:r w:rsidR="00BA1C6B">
      <w:rPr>
        <w:rFonts w:eastAsia="Calibri"/>
        <w:b/>
        <w:noProof/>
        <w:sz w:val="20"/>
      </w:rPr>
      <w:t>15/11/2025 9:02</w:t>
    </w:r>
    <w:r w:rsidRPr="0018551C">
      <w:rPr>
        <w:rFonts w:eastAsia="Calibri"/>
        <w:b/>
        <w:bCs/>
        <w:sz w:val="20"/>
        <w:szCs w:val="20"/>
        <w:lang w:val="es-ES_tradnl"/>
      </w:rPr>
      <w:fldChar w:fldCharType="end"/>
    </w:r>
    <w:bookmarkEnd w:id="1"/>
    <w:bookmarkEnd w:id="2"/>
    <w:bookmarkEnd w:id="3"/>
    <w:bookmarkEnd w:id="4"/>
    <w:bookmarkEnd w:id="5"/>
    <w:bookmarkEnd w:id="6"/>
    <w:bookmarkEnd w:id="7"/>
    <w:bookmarkEnd w:id="8"/>
    <w:r>
      <w:rPr>
        <w:noProof/>
        <w:sz w:val="20"/>
      </w:rPr>
      <mc:AlternateContent>
        <mc:Choice Requires="wps">
          <w:drawing>
            <wp:anchor distT="0" distB="0" distL="4294967295" distR="4294967295" simplePos="0" relativeHeight="251658240" behindDoc="1" locked="0" layoutInCell="1" allowOverlap="1" wp14:anchorId="7B996B82" wp14:editId="0F2C265A">
              <wp:simplePos x="0" y="0"/>
              <wp:positionH relativeFrom="page">
                <wp:posOffset>900429</wp:posOffset>
              </wp:positionH>
              <wp:positionV relativeFrom="page">
                <wp:posOffset>857885</wp:posOffset>
              </wp:positionV>
              <wp:extent cx="0" cy="12700"/>
              <wp:effectExtent l="0" t="0" r="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D310E53" id="_x0000_t32" coordsize="21600,21600" o:spt="32" o:oned="t" path="m,l21600,21600e" filled="f">
              <v:path arrowok="t" fillok="f" o:connecttype="none"/>
              <o:lock v:ext="edit" shapetype="t"/>
            </v:shapetype>
            <v:shape id="Straight Arrow Connector 1" o:spid="_x0000_s1026" type="#_x0000_t32" style="position:absolute;margin-left:70.9pt;margin-top:67.55pt;width:0;height:1pt;z-index:-251658240;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81G4wEAANADAAAOAAAAZHJzL2Uyb0RvYy54bWysU9uOEzEMfUfiH6K802krLZdRpyvUsrys&#10;oNIuH+AmmZmI3GRnO+3f46TdwsILQuQhiuPb8bG9uj16Jw4GycbQycVsLoUJKmobhk5+e7x7814K&#10;yhA0uBhMJ0+G5O369avVlFqzjGN02qDgIIHaKXVyzDm1TUNqNB5oFpMJrOwjesgs4tBohImje9cs&#10;5/O3zRRRJ4zKEPHv9qyU6xq/743KX/ueTBauk4wt1xvrvS93s15BOyCk0aoLDPgHFB5s4KTXUFvI&#10;IJ7Q/hHKW4WRYp9nKvom9r1VptbA1Szmv1XzMEIytRYmh9KVJvp/YdWXww6F1dw7KQJ4btFDRrDD&#10;mMVHxDiJTQyBaYwoFoWtKVHLTpuww1KvOoaHdB/Vd2Jd80JZBEpns2OPvphzweJY2T9d2TfHLNT5&#10;U/HvYvluXvvSQPvslpDyZxO9KI9O0gXhFdqicg+He8oFBrTPDiVniHfWudpoF8TUyQ83yxspFPC4&#10;9Q4yP31iAigMNQxFZ3VxKc6Ew37jUBygDFA9hQVO8cKs5NsCjWe7qjqPFsanoGvu0YD+FLTIp8Qk&#10;B94GWcB4o6VwhpenvKplBuv+xpJBuHBh/Ux0oXwf9WmHBWOReGwq2suIl7n8Va5WPxdx/QMAAP//&#10;AwBQSwMEFAAGAAgAAAAhAMGBSlveAAAACwEAAA8AAABkcnMvZG93bnJldi54bWxMj0tPwzAQhO9I&#10;/Adrkbgg6ri0PNI4VYXEgWMfElc3XpLQeB3FThP669lwgdvO7Gj222w9ukacsQu1Jw1qloBAKryt&#10;qdRw2L/dP4MI0ZA1jSfU8I0B1vn1VWZS6wfa4nkXS8ElFFKjoYqxTaUMRYXOhJlvkXj36TtnIsuu&#10;lLYzA5e7Rs6T5FE6UxNfqEyLrxUWp13vNGDolyrZvLjy8H4Z7j7ml6+h3Wt9ezNuViAijvEvDBM+&#10;o0POTEffkw2iYb1QjB55eFgqEFPi1zlOzpMCmWfy/w/5DwAAAP//AwBQSwECLQAUAAYACAAAACEA&#10;toM4kv4AAADhAQAAEwAAAAAAAAAAAAAAAAAAAAAAW0NvbnRlbnRfVHlwZXNdLnhtbFBLAQItABQA&#10;BgAIAAAAIQA4/SH/1gAAAJQBAAALAAAAAAAAAAAAAAAAAC8BAABfcmVscy8ucmVsc1BLAQItABQA&#10;BgAIAAAAIQBdX81G4wEAANADAAAOAAAAAAAAAAAAAAAAAC4CAABkcnMvZTJvRG9jLnhtbFBLAQIt&#10;ABQABgAIAAAAIQDBgUpb3gAAAAsBAAAPAAAAAAAAAAAAAAAAAD0EAABkcnMvZG93bnJldi54bWxQ&#10;SwUGAAAAAAQABADzAAAASAUAAAAA&#10;">
              <o:lock v:ext="edit" shapetype="f"/>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228"/>
    <w:multiLevelType w:val="multilevel"/>
    <w:tmpl w:val="0A70D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D03391"/>
    <w:multiLevelType w:val="hybridMultilevel"/>
    <w:tmpl w:val="E702F57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D1491"/>
    <w:multiLevelType w:val="multilevel"/>
    <w:tmpl w:val="4C7A5214"/>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DFF0182"/>
    <w:multiLevelType w:val="multilevel"/>
    <w:tmpl w:val="17AEC9A8"/>
    <w:lvl w:ilvl="0">
      <w:start w:val="1"/>
      <w:numFmt w:val="decimal"/>
      <w:lvlText w:val="%1."/>
      <w:lvlJc w:val="left"/>
      <w:pPr>
        <w:ind w:left="6258" w:hanging="360"/>
      </w:pPr>
    </w:lvl>
    <w:lvl w:ilvl="1">
      <w:start w:val="1"/>
      <w:numFmt w:val="decimal"/>
      <w:lvlText w:val="%2."/>
      <w:lvlJc w:val="left"/>
      <w:pPr>
        <w:ind w:left="6978" w:hanging="360"/>
      </w:pPr>
    </w:lvl>
    <w:lvl w:ilvl="2">
      <w:start w:val="1"/>
      <w:numFmt w:val="bullet"/>
      <w:lvlText w:val="▪"/>
      <w:lvlJc w:val="left"/>
      <w:pPr>
        <w:ind w:left="7698" w:hanging="360"/>
      </w:pPr>
      <w:rPr>
        <w:rFonts w:ascii="Noto Sans Symbols" w:eastAsia="Noto Sans Symbols" w:hAnsi="Noto Sans Symbols" w:cs="Noto Sans Symbols"/>
      </w:rPr>
    </w:lvl>
    <w:lvl w:ilvl="3">
      <w:start w:val="1"/>
      <w:numFmt w:val="bullet"/>
      <w:lvlText w:val="●"/>
      <w:lvlJc w:val="left"/>
      <w:pPr>
        <w:ind w:left="8418" w:hanging="360"/>
      </w:pPr>
      <w:rPr>
        <w:rFonts w:ascii="Noto Sans Symbols" w:eastAsia="Noto Sans Symbols" w:hAnsi="Noto Sans Symbols" w:cs="Noto Sans Symbols"/>
      </w:rPr>
    </w:lvl>
    <w:lvl w:ilvl="4">
      <w:start w:val="1"/>
      <w:numFmt w:val="bullet"/>
      <w:lvlText w:val="o"/>
      <w:lvlJc w:val="left"/>
      <w:pPr>
        <w:ind w:left="9138" w:hanging="360"/>
      </w:pPr>
      <w:rPr>
        <w:rFonts w:ascii="Courier New" w:eastAsia="Courier New" w:hAnsi="Courier New" w:cs="Courier New"/>
      </w:rPr>
    </w:lvl>
    <w:lvl w:ilvl="5">
      <w:start w:val="1"/>
      <w:numFmt w:val="bullet"/>
      <w:lvlText w:val="▪"/>
      <w:lvlJc w:val="left"/>
      <w:pPr>
        <w:ind w:left="9858" w:hanging="360"/>
      </w:pPr>
      <w:rPr>
        <w:rFonts w:ascii="Noto Sans Symbols" w:eastAsia="Noto Sans Symbols" w:hAnsi="Noto Sans Symbols" w:cs="Noto Sans Symbols"/>
      </w:rPr>
    </w:lvl>
    <w:lvl w:ilvl="6">
      <w:start w:val="1"/>
      <w:numFmt w:val="bullet"/>
      <w:lvlText w:val="●"/>
      <w:lvlJc w:val="left"/>
      <w:pPr>
        <w:ind w:left="10578" w:hanging="360"/>
      </w:pPr>
      <w:rPr>
        <w:rFonts w:ascii="Noto Sans Symbols" w:eastAsia="Noto Sans Symbols" w:hAnsi="Noto Sans Symbols" w:cs="Noto Sans Symbols"/>
      </w:rPr>
    </w:lvl>
    <w:lvl w:ilvl="7">
      <w:start w:val="1"/>
      <w:numFmt w:val="bullet"/>
      <w:lvlText w:val="o"/>
      <w:lvlJc w:val="left"/>
      <w:pPr>
        <w:ind w:left="11298" w:hanging="360"/>
      </w:pPr>
      <w:rPr>
        <w:rFonts w:ascii="Courier New" w:eastAsia="Courier New" w:hAnsi="Courier New" w:cs="Courier New"/>
      </w:rPr>
    </w:lvl>
    <w:lvl w:ilvl="8">
      <w:start w:val="1"/>
      <w:numFmt w:val="bullet"/>
      <w:lvlText w:val="▪"/>
      <w:lvlJc w:val="left"/>
      <w:pPr>
        <w:ind w:left="12018" w:hanging="360"/>
      </w:pPr>
      <w:rPr>
        <w:rFonts w:ascii="Noto Sans Symbols" w:eastAsia="Noto Sans Symbols" w:hAnsi="Noto Sans Symbols" w:cs="Noto Sans Symbols"/>
      </w:rPr>
    </w:lvl>
  </w:abstractNum>
  <w:abstractNum w:abstractNumId="4" w15:restartNumberingAfterBreak="0">
    <w:nsid w:val="220550FA"/>
    <w:multiLevelType w:val="hybridMultilevel"/>
    <w:tmpl w:val="BC8AA3EE"/>
    <w:lvl w:ilvl="0" w:tplc="002AA744">
      <w:start w:val="5"/>
      <w:numFmt w:val="bullet"/>
      <w:lvlText w:val="-"/>
      <w:lvlJc w:val="left"/>
      <w:pPr>
        <w:ind w:left="720" w:hanging="36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445BA"/>
    <w:multiLevelType w:val="hybridMultilevel"/>
    <w:tmpl w:val="46140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1684A"/>
    <w:multiLevelType w:val="hybridMultilevel"/>
    <w:tmpl w:val="E076C3F4"/>
    <w:lvl w:ilvl="0" w:tplc="DA56A542">
      <w:start w:val="1"/>
      <w:numFmt w:val="decimal"/>
      <w:lvlText w:val="%1."/>
      <w:lvlJc w:val="left"/>
      <w:pPr>
        <w:ind w:left="720" w:hanging="360"/>
      </w:pPr>
      <w:rPr>
        <w:b w:val="0"/>
        <w:bCs w:val="0"/>
      </w:rPr>
    </w:lvl>
    <w:lvl w:ilvl="1" w:tplc="4588D794">
      <w:numFmt w:val="bullet"/>
      <w:lvlText w:val=""/>
      <w:lvlJc w:val="left"/>
      <w:pPr>
        <w:ind w:left="1440" w:hanging="360"/>
      </w:pPr>
      <w:rPr>
        <w:rFonts w:ascii="Cambria" w:eastAsiaTheme="minorHAnsi" w:hAnsi="Cambria" w:cs="Apto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697AD9"/>
    <w:multiLevelType w:val="multilevel"/>
    <w:tmpl w:val="52725D9C"/>
    <w:lvl w:ilvl="0">
      <w:numFmt w:val="bullet"/>
      <w:lvlText w:val="-"/>
      <w:lvlJc w:val="left"/>
      <w:pPr>
        <w:ind w:left="558" w:hanging="340"/>
      </w:pPr>
      <w:rPr>
        <w:rFonts w:ascii="Times New Roman" w:eastAsia="Times New Roman" w:hAnsi="Times New Roman" w:cs="Times New Roman"/>
        <w:b w:val="0"/>
        <w:i w:val="0"/>
        <w:sz w:val="20"/>
        <w:szCs w:val="20"/>
      </w:rPr>
    </w:lvl>
    <w:lvl w:ilvl="1">
      <w:numFmt w:val="bullet"/>
      <w:lvlText w:val="•"/>
      <w:lvlJc w:val="left"/>
      <w:pPr>
        <w:ind w:left="1454" w:hanging="340"/>
      </w:pPr>
    </w:lvl>
    <w:lvl w:ilvl="2">
      <w:numFmt w:val="bullet"/>
      <w:lvlText w:val="•"/>
      <w:lvlJc w:val="left"/>
      <w:pPr>
        <w:ind w:left="2349" w:hanging="340"/>
      </w:pPr>
    </w:lvl>
    <w:lvl w:ilvl="3">
      <w:numFmt w:val="bullet"/>
      <w:lvlText w:val="•"/>
      <w:lvlJc w:val="left"/>
      <w:pPr>
        <w:ind w:left="3243" w:hanging="340"/>
      </w:pPr>
    </w:lvl>
    <w:lvl w:ilvl="4">
      <w:numFmt w:val="bullet"/>
      <w:lvlText w:val="•"/>
      <w:lvlJc w:val="left"/>
      <w:pPr>
        <w:ind w:left="4138" w:hanging="340"/>
      </w:pPr>
    </w:lvl>
    <w:lvl w:ilvl="5">
      <w:numFmt w:val="bullet"/>
      <w:lvlText w:val="•"/>
      <w:lvlJc w:val="left"/>
      <w:pPr>
        <w:ind w:left="5033" w:hanging="340"/>
      </w:pPr>
    </w:lvl>
    <w:lvl w:ilvl="6">
      <w:numFmt w:val="bullet"/>
      <w:lvlText w:val="•"/>
      <w:lvlJc w:val="left"/>
      <w:pPr>
        <w:ind w:left="5927" w:hanging="340"/>
      </w:pPr>
    </w:lvl>
    <w:lvl w:ilvl="7">
      <w:numFmt w:val="bullet"/>
      <w:lvlText w:val="•"/>
      <w:lvlJc w:val="left"/>
      <w:pPr>
        <w:ind w:left="6822" w:hanging="340"/>
      </w:pPr>
    </w:lvl>
    <w:lvl w:ilvl="8">
      <w:numFmt w:val="bullet"/>
      <w:lvlText w:val="•"/>
      <w:lvlJc w:val="left"/>
      <w:pPr>
        <w:ind w:left="7717" w:hanging="340"/>
      </w:pPr>
    </w:lvl>
  </w:abstractNum>
  <w:abstractNum w:abstractNumId="8" w15:restartNumberingAfterBreak="0">
    <w:nsid w:val="3F427C46"/>
    <w:multiLevelType w:val="hybridMultilevel"/>
    <w:tmpl w:val="E826843C"/>
    <w:lvl w:ilvl="0" w:tplc="08090017">
      <w:start w:val="1"/>
      <w:numFmt w:val="lowerLetter"/>
      <w:lvlText w:val="%1)"/>
      <w:lvlJc w:val="left"/>
      <w:pPr>
        <w:ind w:left="918" w:hanging="360"/>
      </w:pPr>
      <w:rPr>
        <w:rFonts w:hint="default"/>
      </w:rPr>
    </w:lvl>
    <w:lvl w:ilvl="1" w:tplc="08090019" w:tentative="1">
      <w:start w:val="1"/>
      <w:numFmt w:val="lowerLetter"/>
      <w:lvlText w:val="%2."/>
      <w:lvlJc w:val="left"/>
      <w:pPr>
        <w:ind w:left="1638" w:hanging="360"/>
      </w:pPr>
    </w:lvl>
    <w:lvl w:ilvl="2" w:tplc="0809001B" w:tentative="1">
      <w:start w:val="1"/>
      <w:numFmt w:val="lowerRoman"/>
      <w:lvlText w:val="%3."/>
      <w:lvlJc w:val="right"/>
      <w:pPr>
        <w:ind w:left="2358" w:hanging="180"/>
      </w:pPr>
    </w:lvl>
    <w:lvl w:ilvl="3" w:tplc="0809000F" w:tentative="1">
      <w:start w:val="1"/>
      <w:numFmt w:val="decimal"/>
      <w:lvlText w:val="%4."/>
      <w:lvlJc w:val="left"/>
      <w:pPr>
        <w:ind w:left="3078" w:hanging="360"/>
      </w:pPr>
    </w:lvl>
    <w:lvl w:ilvl="4" w:tplc="08090019" w:tentative="1">
      <w:start w:val="1"/>
      <w:numFmt w:val="lowerLetter"/>
      <w:lvlText w:val="%5."/>
      <w:lvlJc w:val="left"/>
      <w:pPr>
        <w:ind w:left="3798" w:hanging="360"/>
      </w:pPr>
    </w:lvl>
    <w:lvl w:ilvl="5" w:tplc="0809001B" w:tentative="1">
      <w:start w:val="1"/>
      <w:numFmt w:val="lowerRoman"/>
      <w:lvlText w:val="%6."/>
      <w:lvlJc w:val="right"/>
      <w:pPr>
        <w:ind w:left="4518" w:hanging="180"/>
      </w:pPr>
    </w:lvl>
    <w:lvl w:ilvl="6" w:tplc="0809000F" w:tentative="1">
      <w:start w:val="1"/>
      <w:numFmt w:val="decimal"/>
      <w:lvlText w:val="%7."/>
      <w:lvlJc w:val="left"/>
      <w:pPr>
        <w:ind w:left="5238" w:hanging="360"/>
      </w:pPr>
    </w:lvl>
    <w:lvl w:ilvl="7" w:tplc="08090019" w:tentative="1">
      <w:start w:val="1"/>
      <w:numFmt w:val="lowerLetter"/>
      <w:lvlText w:val="%8."/>
      <w:lvlJc w:val="left"/>
      <w:pPr>
        <w:ind w:left="5958" w:hanging="360"/>
      </w:pPr>
    </w:lvl>
    <w:lvl w:ilvl="8" w:tplc="0809001B" w:tentative="1">
      <w:start w:val="1"/>
      <w:numFmt w:val="lowerRoman"/>
      <w:lvlText w:val="%9."/>
      <w:lvlJc w:val="right"/>
      <w:pPr>
        <w:ind w:left="6678" w:hanging="180"/>
      </w:pPr>
    </w:lvl>
  </w:abstractNum>
  <w:abstractNum w:abstractNumId="9" w15:restartNumberingAfterBreak="0">
    <w:nsid w:val="47DD2C5D"/>
    <w:multiLevelType w:val="hybridMultilevel"/>
    <w:tmpl w:val="3C701F2C"/>
    <w:lvl w:ilvl="0" w:tplc="04090005">
      <w:start w:val="1"/>
      <w:numFmt w:val="bullet"/>
      <w:lvlText w:val=""/>
      <w:lvlJc w:val="left"/>
      <w:pPr>
        <w:ind w:left="360" w:hanging="360"/>
      </w:pPr>
      <w:rPr>
        <w:rFonts w:ascii="Wingdings" w:hAnsi="Wingdings" w:hint="default"/>
      </w:rPr>
    </w:lvl>
    <w:lvl w:ilvl="1" w:tplc="443E856E">
      <w:start w:val="1"/>
      <w:numFmt w:val="bullet"/>
      <w:lvlText w:val="-"/>
      <w:lvlJc w:val="left"/>
      <w:pPr>
        <w:ind w:left="1080" w:hanging="360"/>
      </w:pPr>
      <w:rPr>
        <w:rFonts w:ascii="Cambria" w:eastAsia="Cambria" w:hAnsi="Cambria" w:cs="Cambria" w:hint="default"/>
        <w:b w:val="0"/>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5E3720"/>
    <w:multiLevelType w:val="multilevel"/>
    <w:tmpl w:val="17AEC9A8"/>
    <w:lvl w:ilvl="0">
      <w:start w:val="1"/>
      <w:numFmt w:val="decimal"/>
      <w:lvlText w:val="%1."/>
      <w:lvlJc w:val="left"/>
      <w:pPr>
        <w:ind w:left="6258" w:hanging="360"/>
      </w:pPr>
    </w:lvl>
    <w:lvl w:ilvl="1">
      <w:start w:val="1"/>
      <w:numFmt w:val="decimal"/>
      <w:lvlText w:val="%2."/>
      <w:lvlJc w:val="left"/>
      <w:pPr>
        <w:ind w:left="6978" w:hanging="360"/>
      </w:pPr>
    </w:lvl>
    <w:lvl w:ilvl="2">
      <w:start w:val="1"/>
      <w:numFmt w:val="bullet"/>
      <w:lvlText w:val="▪"/>
      <w:lvlJc w:val="left"/>
      <w:pPr>
        <w:ind w:left="7698" w:hanging="360"/>
      </w:pPr>
      <w:rPr>
        <w:rFonts w:ascii="Noto Sans Symbols" w:eastAsia="Noto Sans Symbols" w:hAnsi="Noto Sans Symbols" w:cs="Noto Sans Symbols"/>
      </w:rPr>
    </w:lvl>
    <w:lvl w:ilvl="3">
      <w:start w:val="1"/>
      <w:numFmt w:val="bullet"/>
      <w:lvlText w:val="●"/>
      <w:lvlJc w:val="left"/>
      <w:pPr>
        <w:ind w:left="8418" w:hanging="360"/>
      </w:pPr>
      <w:rPr>
        <w:rFonts w:ascii="Noto Sans Symbols" w:eastAsia="Noto Sans Symbols" w:hAnsi="Noto Sans Symbols" w:cs="Noto Sans Symbols"/>
      </w:rPr>
    </w:lvl>
    <w:lvl w:ilvl="4">
      <w:start w:val="1"/>
      <w:numFmt w:val="bullet"/>
      <w:lvlText w:val="o"/>
      <w:lvlJc w:val="left"/>
      <w:pPr>
        <w:ind w:left="9138" w:hanging="360"/>
      </w:pPr>
      <w:rPr>
        <w:rFonts w:ascii="Courier New" w:eastAsia="Courier New" w:hAnsi="Courier New" w:cs="Courier New"/>
      </w:rPr>
    </w:lvl>
    <w:lvl w:ilvl="5">
      <w:start w:val="1"/>
      <w:numFmt w:val="bullet"/>
      <w:lvlText w:val="▪"/>
      <w:lvlJc w:val="left"/>
      <w:pPr>
        <w:ind w:left="9858" w:hanging="360"/>
      </w:pPr>
      <w:rPr>
        <w:rFonts w:ascii="Noto Sans Symbols" w:eastAsia="Noto Sans Symbols" w:hAnsi="Noto Sans Symbols" w:cs="Noto Sans Symbols"/>
      </w:rPr>
    </w:lvl>
    <w:lvl w:ilvl="6">
      <w:start w:val="1"/>
      <w:numFmt w:val="bullet"/>
      <w:lvlText w:val="●"/>
      <w:lvlJc w:val="left"/>
      <w:pPr>
        <w:ind w:left="10578" w:hanging="360"/>
      </w:pPr>
      <w:rPr>
        <w:rFonts w:ascii="Noto Sans Symbols" w:eastAsia="Noto Sans Symbols" w:hAnsi="Noto Sans Symbols" w:cs="Noto Sans Symbols"/>
      </w:rPr>
    </w:lvl>
    <w:lvl w:ilvl="7">
      <w:start w:val="1"/>
      <w:numFmt w:val="bullet"/>
      <w:lvlText w:val="o"/>
      <w:lvlJc w:val="left"/>
      <w:pPr>
        <w:ind w:left="11298" w:hanging="360"/>
      </w:pPr>
      <w:rPr>
        <w:rFonts w:ascii="Courier New" w:eastAsia="Courier New" w:hAnsi="Courier New" w:cs="Courier New"/>
      </w:rPr>
    </w:lvl>
    <w:lvl w:ilvl="8">
      <w:start w:val="1"/>
      <w:numFmt w:val="bullet"/>
      <w:lvlText w:val="▪"/>
      <w:lvlJc w:val="left"/>
      <w:pPr>
        <w:ind w:left="12018" w:hanging="360"/>
      </w:pPr>
      <w:rPr>
        <w:rFonts w:ascii="Noto Sans Symbols" w:eastAsia="Noto Sans Symbols" w:hAnsi="Noto Sans Symbols" w:cs="Noto Sans Symbols"/>
      </w:rPr>
    </w:lvl>
  </w:abstractNum>
  <w:abstractNum w:abstractNumId="11" w15:restartNumberingAfterBreak="0">
    <w:nsid w:val="5CF26F3E"/>
    <w:multiLevelType w:val="hybridMultilevel"/>
    <w:tmpl w:val="FA10DE4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153698"/>
    <w:multiLevelType w:val="hybridMultilevel"/>
    <w:tmpl w:val="67A2088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543848"/>
    <w:multiLevelType w:val="hybridMultilevel"/>
    <w:tmpl w:val="4796C05E"/>
    <w:lvl w:ilvl="0" w:tplc="98022E1C">
      <w:start w:val="2023"/>
      <w:numFmt w:val="bullet"/>
      <w:lvlText w:val="-"/>
      <w:lvlJc w:val="left"/>
      <w:pPr>
        <w:ind w:left="720" w:hanging="36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0665DC"/>
    <w:multiLevelType w:val="hybridMultilevel"/>
    <w:tmpl w:val="021C27BA"/>
    <w:lvl w:ilvl="0" w:tplc="973EACC8">
      <w:start w:val="1"/>
      <w:numFmt w:val="bullet"/>
      <w:lvlText w:val="-"/>
      <w:lvlJc w:val="left"/>
      <w:pPr>
        <w:ind w:left="720" w:hanging="36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F002A7"/>
    <w:multiLevelType w:val="hybridMultilevel"/>
    <w:tmpl w:val="3FD0A318"/>
    <w:lvl w:ilvl="0" w:tplc="D7C65BAC">
      <w:start w:val="1"/>
      <w:numFmt w:val="bullet"/>
      <w:lvlText w:val="-"/>
      <w:lvlJc w:val="left"/>
      <w:pPr>
        <w:ind w:left="720" w:hanging="36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605A05"/>
    <w:multiLevelType w:val="hybridMultilevel"/>
    <w:tmpl w:val="679AF8AC"/>
    <w:lvl w:ilvl="0" w:tplc="443E856E">
      <w:start w:val="1"/>
      <w:numFmt w:val="bullet"/>
      <w:lvlText w:val="-"/>
      <w:lvlJc w:val="left"/>
      <w:pPr>
        <w:ind w:left="720" w:hanging="360"/>
      </w:pPr>
      <w:rPr>
        <w:rFonts w:ascii="Cambria" w:eastAsia="Cambria" w:hAnsi="Cambria" w:cs="Cambria"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CE6BA3"/>
    <w:multiLevelType w:val="hybridMultilevel"/>
    <w:tmpl w:val="387C441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1875430">
    <w:abstractNumId w:val="7"/>
  </w:num>
  <w:num w:numId="2" w16cid:durableId="1152064843">
    <w:abstractNumId w:val="10"/>
  </w:num>
  <w:num w:numId="3" w16cid:durableId="893346120">
    <w:abstractNumId w:val="3"/>
  </w:num>
  <w:num w:numId="4" w16cid:durableId="1450467431">
    <w:abstractNumId w:val="13"/>
  </w:num>
  <w:num w:numId="5" w16cid:durableId="21128796">
    <w:abstractNumId w:val="8"/>
  </w:num>
  <w:num w:numId="6" w16cid:durableId="592737962">
    <w:abstractNumId w:val="1"/>
  </w:num>
  <w:num w:numId="7" w16cid:durableId="278338372">
    <w:abstractNumId w:val="11"/>
  </w:num>
  <w:num w:numId="8" w16cid:durableId="346756602">
    <w:abstractNumId w:val="16"/>
  </w:num>
  <w:num w:numId="9" w16cid:durableId="305479931">
    <w:abstractNumId w:val="14"/>
  </w:num>
  <w:num w:numId="10" w16cid:durableId="1406683848">
    <w:abstractNumId w:val="15"/>
  </w:num>
  <w:num w:numId="11" w16cid:durableId="1315261206">
    <w:abstractNumId w:val="12"/>
  </w:num>
  <w:num w:numId="12" w16cid:durableId="1612979283">
    <w:abstractNumId w:val="5"/>
  </w:num>
  <w:num w:numId="13" w16cid:durableId="1347514751">
    <w:abstractNumId w:val="17"/>
  </w:num>
  <w:num w:numId="14" w16cid:durableId="87242238">
    <w:abstractNumId w:val="9"/>
  </w:num>
  <w:num w:numId="15" w16cid:durableId="81151993">
    <w:abstractNumId w:val="2"/>
  </w:num>
  <w:num w:numId="16" w16cid:durableId="43912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250957">
    <w:abstractNumId w:val="4"/>
  </w:num>
  <w:num w:numId="18" w16cid:durableId="1712416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DD"/>
    <w:rsid w:val="00001684"/>
    <w:rsid w:val="00004F4F"/>
    <w:rsid w:val="00006CC0"/>
    <w:rsid w:val="000076BA"/>
    <w:rsid w:val="00011B83"/>
    <w:rsid w:val="00012D05"/>
    <w:rsid w:val="00013709"/>
    <w:rsid w:val="000137BE"/>
    <w:rsid w:val="0002268B"/>
    <w:rsid w:val="000268A2"/>
    <w:rsid w:val="000332D9"/>
    <w:rsid w:val="00051833"/>
    <w:rsid w:val="00053442"/>
    <w:rsid w:val="00060C45"/>
    <w:rsid w:val="000610BD"/>
    <w:rsid w:val="000617C3"/>
    <w:rsid w:val="00062ED2"/>
    <w:rsid w:val="00065C93"/>
    <w:rsid w:val="00066A6F"/>
    <w:rsid w:val="00070246"/>
    <w:rsid w:val="00080FF0"/>
    <w:rsid w:val="00092AA5"/>
    <w:rsid w:val="000961FD"/>
    <w:rsid w:val="000969C0"/>
    <w:rsid w:val="000A2470"/>
    <w:rsid w:val="000A5570"/>
    <w:rsid w:val="000B2800"/>
    <w:rsid w:val="000B77BB"/>
    <w:rsid w:val="000B7D7D"/>
    <w:rsid w:val="000B7E5A"/>
    <w:rsid w:val="000C7BA9"/>
    <w:rsid w:val="000D142C"/>
    <w:rsid w:val="000D1A01"/>
    <w:rsid w:val="000D38F7"/>
    <w:rsid w:val="000D736D"/>
    <w:rsid w:val="000E0392"/>
    <w:rsid w:val="000E242A"/>
    <w:rsid w:val="000E2655"/>
    <w:rsid w:val="000F0295"/>
    <w:rsid w:val="000F2317"/>
    <w:rsid w:val="00101211"/>
    <w:rsid w:val="00105D28"/>
    <w:rsid w:val="001105AE"/>
    <w:rsid w:val="00110CCB"/>
    <w:rsid w:val="00114765"/>
    <w:rsid w:val="001167C3"/>
    <w:rsid w:val="00125827"/>
    <w:rsid w:val="0013543F"/>
    <w:rsid w:val="00140D9D"/>
    <w:rsid w:val="00160278"/>
    <w:rsid w:val="00161426"/>
    <w:rsid w:val="00164B5F"/>
    <w:rsid w:val="00167B6B"/>
    <w:rsid w:val="00175EF1"/>
    <w:rsid w:val="00180007"/>
    <w:rsid w:val="00180800"/>
    <w:rsid w:val="0018540F"/>
    <w:rsid w:val="0018551C"/>
    <w:rsid w:val="00185C7A"/>
    <w:rsid w:val="00190C01"/>
    <w:rsid w:val="0019384B"/>
    <w:rsid w:val="0019409C"/>
    <w:rsid w:val="001A0F9A"/>
    <w:rsid w:val="001A5272"/>
    <w:rsid w:val="001B00B7"/>
    <w:rsid w:val="001B31EB"/>
    <w:rsid w:val="001B4F08"/>
    <w:rsid w:val="001B7E8B"/>
    <w:rsid w:val="001C2D01"/>
    <w:rsid w:val="001D6054"/>
    <w:rsid w:val="001E790C"/>
    <w:rsid w:val="001F1F9A"/>
    <w:rsid w:val="001F35DC"/>
    <w:rsid w:val="001F553D"/>
    <w:rsid w:val="001F5F07"/>
    <w:rsid w:val="00202B62"/>
    <w:rsid w:val="002049CF"/>
    <w:rsid w:val="002101D4"/>
    <w:rsid w:val="00216B2E"/>
    <w:rsid w:val="002218A0"/>
    <w:rsid w:val="0022533F"/>
    <w:rsid w:val="00226BFB"/>
    <w:rsid w:val="00230114"/>
    <w:rsid w:val="00232064"/>
    <w:rsid w:val="00232AD9"/>
    <w:rsid w:val="00245437"/>
    <w:rsid w:val="00246433"/>
    <w:rsid w:val="00246616"/>
    <w:rsid w:val="002501D4"/>
    <w:rsid w:val="0025570B"/>
    <w:rsid w:val="0026049C"/>
    <w:rsid w:val="00260EB6"/>
    <w:rsid w:val="00262116"/>
    <w:rsid w:val="00267D1A"/>
    <w:rsid w:val="00270750"/>
    <w:rsid w:val="002726EC"/>
    <w:rsid w:val="00291D93"/>
    <w:rsid w:val="002927B4"/>
    <w:rsid w:val="00294016"/>
    <w:rsid w:val="002A0C55"/>
    <w:rsid w:val="002A50C1"/>
    <w:rsid w:val="002B517A"/>
    <w:rsid w:val="002C72FE"/>
    <w:rsid w:val="002C7336"/>
    <w:rsid w:val="002D0044"/>
    <w:rsid w:val="002D14B0"/>
    <w:rsid w:val="002D18AB"/>
    <w:rsid w:val="002D1C50"/>
    <w:rsid w:val="002D1D32"/>
    <w:rsid w:val="002D4C04"/>
    <w:rsid w:val="002D6946"/>
    <w:rsid w:val="002D69A0"/>
    <w:rsid w:val="002F09E1"/>
    <w:rsid w:val="002F0E2F"/>
    <w:rsid w:val="002F11D3"/>
    <w:rsid w:val="002F3071"/>
    <w:rsid w:val="002F5C79"/>
    <w:rsid w:val="002F7124"/>
    <w:rsid w:val="002F749B"/>
    <w:rsid w:val="002F7F2F"/>
    <w:rsid w:val="00300A86"/>
    <w:rsid w:val="003018B3"/>
    <w:rsid w:val="00301BAF"/>
    <w:rsid w:val="00306014"/>
    <w:rsid w:val="003130C2"/>
    <w:rsid w:val="0031380E"/>
    <w:rsid w:val="00316690"/>
    <w:rsid w:val="003256AC"/>
    <w:rsid w:val="00325EF2"/>
    <w:rsid w:val="00330756"/>
    <w:rsid w:val="003344D6"/>
    <w:rsid w:val="00334CC9"/>
    <w:rsid w:val="00340069"/>
    <w:rsid w:val="00340F5A"/>
    <w:rsid w:val="00343FE7"/>
    <w:rsid w:val="00346771"/>
    <w:rsid w:val="00350AF3"/>
    <w:rsid w:val="00350C0A"/>
    <w:rsid w:val="0035272A"/>
    <w:rsid w:val="00360959"/>
    <w:rsid w:val="00383062"/>
    <w:rsid w:val="00386F45"/>
    <w:rsid w:val="0039534C"/>
    <w:rsid w:val="003A5CD1"/>
    <w:rsid w:val="003B2491"/>
    <w:rsid w:val="003B27EB"/>
    <w:rsid w:val="003B6D5F"/>
    <w:rsid w:val="003C1459"/>
    <w:rsid w:val="003C5FAF"/>
    <w:rsid w:val="003E33B2"/>
    <w:rsid w:val="003E39D1"/>
    <w:rsid w:val="003F1ABD"/>
    <w:rsid w:val="003F295C"/>
    <w:rsid w:val="00404876"/>
    <w:rsid w:val="00404B52"/>
    <w:rsid w:val="00407B0D"/>
    <w:rsid w:val="0041138B"/>
    <w:rsid w:val="004118A2"/>
    <w:rsid w:val="0041484C"/>
    <w:rsid w:val="004157D3"/>
    <w:rsid w:val="00416C74"/>
    <w:rsid w:val="00423896"/>
    <w:rsid w:val="00433A1C"/>
    <w:rsid w:val="00433D31"/>
    <w:rsid w:val="00435713"/>
    <w:rsid w:val="0043666E"/>
    <w:rsid w:val="004369F5"/>
    <w:rsid w:val="004416F6"/>
    <w:rsid w:val="00443866"/>
    <w:rsid w:val="00445F9D"/>
    <w:rsid w:val="00453CE4"/>
    <w:rsid w:val="004552FC"/>
    <w:rsid w:val="00465452"/>
    <w:rsid w:val="00466D5E"/>
    <w:rsid w:val="004670C9"/>
    <w:rsid w:val="0046759D"/>
    <w:rsid w:val="00471945"/>
    <w:rsid w:val="00473062"/>
    <w:rsid w:val="004829C8"/>
    <w:rsid w:val="0049500F"/>
    <w:rsid w:val="00496FC2"/>
    <w:rsid w:val="00497E53"/>
    <w:rsid w:val="004A3333"/>
    <w:rsid w:val="004A5724"/>
    <w:rsid w:val="004B0775"/>
    <w:rsid w:val="004B26EC"/>
    <w:rsid w:val="004B73AE"/>
    <w:rsid w:val="004B7A3D"/>
    <w:rsid w:val="004B7E8B"/>
    <w:rsid w:val="004C320E"/>
    <w:rsid w:val="004C7E5C"/>
    <w:rsid w:val="004D16D4"/>
    <w:rsid w:val="004D46FE"/>
    <w:rsid w:val="004E155B"/>
    <w:rsid w:val="004E2361"/>
    <w:rsid w:val="004E33CC"/>
    <w:rsid w:val="004F5A04"/>
    <w:rsid w:val="005004BB"/>
    <w:rsid w:val="00504F78"/>
    <w:rsid w:val="00504F8E"/>
    <w:rsid w:val="0050786F"/>
    <w:rsid w:val="00510C9F"/>
    <w:rsid w:val="0051583E"/>
    <w:rsid w:val="0052408A"/>
    <w:rsid w:val="005249CE"/>
    <w:rsid w:val="0052629F"/>
    <w:rsid w:val="00530055"/>
    <w:rsid w:val="00534610"/>
    <w:rsid w:val="00534AAF"/>
    <w:rsid w:val="00540EE4"/>
    <w:rsid w:val="00542F85"/>
    <w:rsid w:val="00543698"/>
    <w:rsid w:val="0054384D"/>
    <w:rsid w:val="005539FC"/>
    <w:rsid w:val="005613BF"/>
    <w:rsid w:val="005619DB"/>
    <w:rsid w:val="00561CAA"/>
    <w:rsid w:val="00565BC3"/>
    <w:rsid w:val="0056647E"/>
    <w:rsid w:val="0056730F"/>
    <w:rsid w:val="0056773B"/>
    <w:rsid w:val="00567EDA"/>
    <w:rsid w:val="00581EAC"/>
    <w:rsid w:val="00582FB2"/>
    <w:rsid w:val="00587804"/>
    <w:rsid w:val="005A18DD"/>
    <w:rsid w:val="005A2334"/>
    <w:rsid w:val="005A60DA"/>
    <w:rsid w:val="005B44AC"/>
    <w:rsid w:val="005B72E4"/>
    <w:rsid w:val="005B7CE3"/>
    <w:rsid w:val="005C0B9A"/>
    <w:rsid w:val="005C7273"/>
    <w:rsid w:val="005D1141"/>
    <w:rsid w:val="005D1DA7"/>
    <w:rsid w:val="005D4205"/>
    <w:rsid w:val="005D65A9"/>
    <w:rsid w:val="005D77A5"/>
    <w:rsid w:val="005E56DA"/>
    <w:rsid w:val="005F328D"/>
    <w:rsid w:val="005F6DEF"/>
    <w:rsid w:val="00600A3B"/>
    <w:rsid w:val="006151B8"/>
    <w:rsid w:val="006152E8"/>
    <w:rsid w:val="00627E3A"/>
    <w:rsid w:val="00636882"/>
    <w:rsid w:val="006370DE"/>
    <w:rsid w:val="00637EEA"/>
    <w:rsid w:val="00650797"/>
    <w:rsid w:val="00653B6F"/>
    <w:rsid w:val="00657025"/>
    <w:rsid w:val="00666A7B"/>
    <w:rsid w:val="0067502C"/>
    <w:rsid w:val="00675951"/>
    <w:rsid w:val="006765C2"/>
    <w:rsid w:val="006765E4"/>
    <w:rsid w:val="006766E5"/>
    <w:rsid w:val="00683352"/>
    <w:rsid w:val="00685D5E"/>
    <w:rsid w:val="006879D2"/>
    <w:rsid w:val="00687B41"/>
    <w:rsid w:val="00691807"/>
    <w:rsid w:val="00692CA5"/>
    <w:rsid w:val="00695F96"/>
    <w:rsid w:val="006B142F"/>
    <w:rsid w:val="006B20E2"/>
    <w:rsid w:val="006B2145"/>
    <w:rsid w:val="006B2F02"/>
    <w:rsid w:val="006C2B95"/>
    <w:rsid w:val="006C30BA"/>
    <w:rsid w:val="006C39AD"/>
    <w:rsid w:val="006D1E92"/>
    <w:rsid w:val="006D3229"/>
    <w:rsid w:val="006E19C9"/>
    <w:rsid w:val="006E2001"/>
    <w:rsid w:val="006E2A73"/>
    <w:rsid w:val="006E5136"/>
    <w:rsid w:val="006E74D9"/>
    <w:rsid w:val="006F4987"/>
    <w:rsid w:val="006F5ADA"/>
    <w:rsid w:val="006F6913"/>
    <w:rsid w:val="00702322"/>
    <w:rsid w:val="0071484F"/>
    <w:rsid w:val="00716934"/>
    <w:rsid w:val="007221B9"/>
    <w:rsid w:val="00722215"/>
    <w:rsid w:val="00726E2E"/>
    <w:rsid w:val="00732537"/>
    <w:rsid w:val="00732E6B"/>
    <w:rsid w:val="007336B6"/>
    <w:rsid w:val="00736CFD"/>
    <w:rsid w:val="00740DCB"/>
    <w:rsid w:val="00740FC0"/>
    <w:rsid w:val="00744CE1"/>
    <w:rsid w:val="007512BB"/>
    <w:rsid w:val="00760BAD"/>
    <w:rsid w:val="00766D15"/>
    <w:rsid w:val="00771680"/>
    <w:rsid w:val="00775570"/>
    <w:rsid w:val="00775ED2"/>
    <w:rsid w:val="00782549"/>
    <w:rsid w:val="007840EC"/>
    <w:rsid w:val="00786C29"/>
    <w:rsid w:val="00787075"/>
    <w:rsid w:val="0078741B"/>
    <w:rsid w:val="00792F23"/>
    <w:rsid w:val="00796219"/>
    <w:rsid w:val="007A24C7"/>
    <w:rsid w:val="007A3109"/>
    <w:rsid w:val="007A6432"/>
    <w:rsid w:val="007A79FD"/>
    <w:rsid w:val="007A7C3A"/>
    <w:rsid w:val="007B161C"/>
    <w:rsid w:val="007B7598"/>
    <w:rsid w:val="007D17CF"/>
    <w:rsid w:val="007D2EAE"/>
    <w:rsid w:val="007D763E"/>
    <w:rsid w:val="007E5605"/>
    <w:rsid w:val="007E71A3"/>
    <w:rsid w:val="007F0E97"/>
    <w:rsid w:val="007F305C"/>
    <w:rsid w:val="007F4743"/>
    <w:rsid w:val="007F5D2A"/>
    <w:rsid w:val="007F66BC"/>
    <w:rsid w:val="007F7337"/>
    <w:rsid w:val="007F7E17"/>
    <w:rsid w:val="00802CB7"/>
    <w:rsid w:val="00803938"/>
    <w:rsid w:val="00807028"/>
    <w:rsid w:val="00807413"/>
    <w:rsid w:val="008109F1"/>
    <w:rsid w:val="00811443"/>
    <w:rsid w:val="008159E4"/>
    <w:rsid w:val="00821A9F"/>
    <w:rsid w:val="00822182"/>
    <w:rsid w:val="008362F6"/>
    <w:rsid w:val="00836DBC"/>
    <w:rsid w:val="008409DE"/>
    <w:rsid w:val="00840AE9"/>
    <w:rsid w:val="00840E45"/>
    <w:rsid w:val="00842B3A"/>
    <w:rsid w:val="00846F2C"/>
    <w:rsid w:val="00847A09"/>
    <w:rsid w:val="008514C1"/>
    <w:rsid w:val="00852716"/>
    <w:rsid w:val="0085324D"/>
    <w:rsid w:val="0085390B"/>
    <w:rsid w:val="00860FCA"/>
    <w:rsid w:val="00861EFD"/>
    <w:rsid w:val="00864545"/>
    <w:rsid w:val="00864F7C"/>
    <w:rsid w:val="008670DA"/>
    <w:rsid w:val="00870AE8"/>
    <w:rsid w:val="008720F2"/>
    <w:rsid w:val="00872266"/>
    <w:rsid w:val="0087518F"/>
    <w:rsid w:val="0088109F"/>
    <w:rsid w:val="008844BE"/>
    <w:rsid w:val="0088519F"/>
    <w:rsid w:val="008958C0"/>
    <w:rsid w:val="008A419C"/>
    <w:rsid w:val="008B71C9"/>
    <w:rsid w:val="008C0DF6"/>
    <w:rsid w:val="008C33E6"/>
    <w:rsid w:val="008C618F"/>
    <w:rsid w:val="008D2F87"/>
    <w:rsid w:val="008D573B"/>
    <w:rsid w:val="008E47DA"/>
    <w:rsid w:val="008E4860"/>
    <w:rsid w:val="008F014F"/>
    <w:rsid w:val="008F07D1"/>
    <w:rsid w:val="00903BE7"/>
    <w:rsid w:val="009101B4"/>
    <w:rsid w:val="009109B0"/>
    <w:rsid w:val="00917E6F"/>
    <w:rsid w:val="00920E88"/>
    <w:rsid w:val="00926CB3"/>
    <w:rsid w:val="009275FF"/>
    <w:rsid w:val="0093059B"/>
    <w:rsid w:val="00931966"/>
    <w:rsid w:val="0093307D"/>
    <w:rsid w:val="00933870"/>
    <w:rsid w:val="00934246"/>
    <w:rsid w:val="009372FF"/>
    <w:rsid w:val="00940C2C"/>
    <w:rsid w:val="00943852"/>
    <w:rsid w:val="009452ED"/>
    <w:rsid w:val="009531AA"/>
    <w:rsid w:val="009568B6"/>
    <w:rsid w:val="00960AD5"/>
    <w:rsid w:val="0097029A"/>
    <w:rsid w:val="00970ADF"/>
    <w:rsid w:val="0097573F"/>
    <w:rsid w:val="00977B08"/>
    <w:rsid w:val="00980D31"/>
    <w:rsid w:val="00982970"/>
    <w:rsid w:val="009879A9"/>
    <w:rsid w:val="00987D1A"/>
    <w:rsid w:val="00991E05"/>
    <w:rsid w:val="00993635"/>
    <w:rsid w:val="009A6F21"/>
    <w:rsid w:val="009C6A83"/>
    <w:rsid w:val="009C7DA3"/>
    <w:rsid w:val="009E54CC"/>
    <w:rsid w:val="00A03405"/>
    <w:rsid w:val="00A03636"/>
    <w:rsid w:val="00A03ADF"/>
    <w:rsid w:val="00A0779F"/>
    <w:rsid w:val="00A107EC"/>
    <w:rsid w:val="00A22D7F"/>
    <w:rsid w:val="00A23E70"/>
    <w:rsid w:val="00A24E4A"/>
    <w:rsid w:val="00A25097"/>
    <w:rsid w:val="00A25B9D"/>
    <w:rsid w:val="00A300AA"/>
    <w:rsid w:val="00A35F73"/>
    <w:rsid w:val="00A36158"/>
    <w:rsid w:val="00A37BF9"/>
    <w:rsid w:val="00A41F7D"/>
    <w:rsid w:val="00A47485"/>
    <w:rsid w:val="00A57C89"/>
    <w:rsid w:val="00A653CD"/>
    <w:rsid w:val="00A6608D"/>
    <w:rsid w:val="00A72E72"/>
    <w:rsid w:val="00A73C29"/>
    <w:rsid w:val="00A74B1C"/>
    <w:rsid w:val="00A7547E"/>
    <w:rsid w:val="00A8101E"/>
    <w:rsid w:val="00A82FB5"/>
    <w:rsid w:val="00A84581"/>
    <w:rsid w:val="00A84E73"/>
    <w:rsid w:val="00A86367"/>
    <w:rsid w:val="00A93C70"/>
    <w:rsid w:val="00A9471F"/>
    <w:rsid w:val="00AA28B3"/>
    <w:rsid w:val="00AA68B2"/>
    <w:rsid w:val="00AA77A8"/>
    <w:rsid w:val="00AB1F79"/>
    <w:rsid w:val="00AB2521"/>
    <w:rsid w:val="00AB6B5E"/>
    <w:rsid w:val="00AC00C7"/>
    <w:rsid w:val="00AC0FBF"/>
    <w:rsid w:val="00AC2F1E"/>
    <w:rsid w:val="00AD1080"/>
    <w:rsid w:val="00AD6B0E"/>
    <w:rsid w:val="00AD7749"/>
    <w:rsid w:val="00AD7AA6"/>
    <w:rsid w:val="00AE0D41"/>
    <w:rsid w:val="00AE13BB"/>
    <w:rsid w:val="00AE21A7"/>
    <w:rsid w:val="00AE23D1"/>
    <w:rsid w:val="00AE2D98"/>
    <w:rsid w:val="00AE3FCB"/>
    <w:rsid w:val="00AE62E8"/>
    <w:rsid w:val="00AF1064"/>
    <w:rsid w:val="00AF543C"/>
    <w:rsid w:val="00AF6E93"/>
    <w:rsid w:val="00B00056"/>
    <w:rsid w:val="00B01D20"/>
    <w:rsid w:val="00B0246F"/>
    <w:rsid w:val="00B02813"/>
    <w:rsid w:val="00B12987"/>
    <w:rsid w:val="00B31EDD"/>
    <w:rsid w:val="00B34CAA"/>
    <w:rsid w:val="00B37BDC"/>
    <w:rsid w:val="00B4409A"/>
    <w:rsid w:val="00B44CC1"/>
    <w:rsid w:val="00B44DB6"/>
    <w:rsid w:val="00B46536"/>
    <w:rsid w:val="00B56B11"/>
    <w:rsid w:val="00B60C43"/>
    <w:rsid w:val="00B623FC"/>
    <w:rsid w:val="00B63F0B"/>
    <w:rsid w:val="00B70B71"/>
    <w:rsid w:val="00B70D67"/>
    <w:rsid w:val="00B723C8"/>
    <w:rsid w:val="00B72DDD"/>
    <w:rsid w:val="00B73392"/>
    <w:rsid w:val="00B76DAC"/>
    <w:rsid w:val="00B809C5"/>
    <w:rsid w:val="00B82235"/>
    <w:rsid w:val="00B83722"/>
    <w:rsid w:val="00B87678"/>
    <w:rsid w:val="00B87B8D"/>
    <w:rsid w:val="00B925C9"/>
    <w:rsid w:val="00B9343D"/>
    <w:rsid w:val="00B9531C"/>
    <w:rsid w:val="00B972B0"/>
    <w:rsid w:val="00BA1C6B"/>
    <w:rsid w:val="00BA443F"/>
    <w:rsid w:val="00BB277B"/>
    <w:rsid w:val="00BB4A5D"/>
    <w:rsid w:val="00BB6007"/>
    <w:rsid w:val="00BD067D"/>
    <w:rsid w:val="00BE5133"/>
    <w:rsid w:val="00BF097D"/>
    <w:rsid w:val="00BF22E6"/>
    <w:rsid w:val="00BF697A"/>
    <w:rsid w:val="00C11A2F"/>
    <w:rsid w:val="00C125A0"/>
    <w:rsid w:val="00C31F61"/>
    <w:rsid w:val="00C32EA5"/>
    <w:rsid w:val="00C423DA"/>
    <w:rsid w:val="00C44D45"/>
    <w:rsid w:val="00C5011A"/>
    <w:rsid w:val="00C50ABC"/>
    <w:rsid w:val="00C51ACA"/>
    <w:rsid w:val="00C52352"/>
    <w:rsid w:val="00C60E3C"/>
    <w:rsid w:val="00C66E9F"/>
    <w:rsid w:val="00C7162E"/>
    <w:rsid w:val="00C71C57"/>
    <w:rsid w:val="00C729AA"/>
    <w:rsid w:val="00C80AF7"/>
    <w:rsid w:val="00C83A39"/>
    <w:rsid w:val="00C977CA"/>
    <w:rsid w:val="00CA028B"/>
    <w:rsid w:val="00CA14F7"/>
    <w:rsid w:val="00CA23F7"/>
    <w:rsid w:val="00CB1A6F"/>
    <w:rsid w:val="00CB1B79"/>
    <w:rsid w:val="00CB2939"/>
    <w:rsid w:val="00CB4563"/>
    <w:rsid w:val="00CB6C59"/>
    <w:rsid w:val="00CC4A1A"/>
    <w:rsid w:val="00CD1DF1"/>
    <w:rsid w:val="00CF0091"/>
    <w:rsid w:val="00CF5FAA"/>
    <w:rsid w:val="00CF6C3C"/>
    <w:rsid w:val="00D013F3"/>
    <w:rsid w:val="00D03365"/>
    <w:rsid w:val="00D06ADC"/>
    <w:rsid w:val="00D079A3"/>
    <w:rsid w:val="00D16961"/>
    <w:rsid w:val="00D20048"/>
    <w:rsid w:val="00D20E88"/>
    <w:rsid w:val="00D21B99"/>
    <w:rsid w:val="00D2238D"/>
    <w:rsid w:val="00D2360E"/>
    <w:rsid w:val="00D2428E"/>
    <w:rsid w:val="00D2535E"/>
    <w:rsid w:val="00D33A38"/>
    <w:rsid w:val="00D40819"/>
    <w:rsid w:val="00D41473"/>
    <w:rsid w:val="00D41D45"/>
    <w:rsid w:val="00D42B35"/>
    <w:rsid w:val="00D42BC4"/>
    <w:rsid w:val="00D440E9"/>
    <w:rsid w:val="00D46C19"/>
    <w:rsid w:val="00D5013E"/>
    <w:rsid w:val="00D52D09"/>
    <w:rsid w:val="00D535FF"/>
    <w:rsid w:val="00D53C3C"/>
    <w:rsid w:val="00D70D49"/>
    <w:rsid w:val="00D711DE"/>
    <w:rsid w:val="00D74B33"/>
    <w:rsid w:val="00D76F58"/>
    <w:rsid w:val="00D77DBF"/>
    <w:rsid w:val="00D80D7A"/>
    <w:rsid w:val="00D81B16"/>
    <w:rsid w:val="00D83278"/>
    <w:rsid w:val="00D84C8D"/>
    <w:rsid w:val="00D861FA"/>
    <w:rsid w:val="00D93A18"/>
    <w:rsid w:val="00D948DF"/>
    <w:rsid w:val="00D9580C"/>
    <w:rsid w:val="00DA2D2F"/>
    <w:rsid w:val="00DB0B90"/>
    <w:rsid w:val="00DB1888"/>
    <w:rsid w:val="00DB3D0A"/>
    <w:rsid w:val="00DC19BF"/>
    <w:rsid w:val="00DC55B7"/>
    <w:rsid w:val="00DC5B43"/>
    <w:rsid w:val="00DC6A1A"/>
    <w:rsid w:val="00DD5DC2"/>
    <w:rsid w:val="00DE1800"/>
    <w:rsid w:val="00DE1B0D"/>
    <w:rsid w:val="00DE4856"/>
    <w:rsid w:val="00DE749B"/>
    <w:rsid w:val="00DF14F5"/>
    <w:rsid w:val="00DF3F44"/>
    <w:rsid w:val="00DF6533"/>
    <w:rsid w:val="00DF66C8"/>
    <w:rsid w:val="00DF7D29"/>
    <w:rsid w:val="00E0383D"/>
    <w:rsid w:val="00E0614E"/>
    <w:rsid w:val="00E11C5B"/>
    <w:rsid w:val="00E132EA"/>
    <w:rsid w:val="00E15A3E"/>
    <w:rsid w:val="00E202E9"/>
    <w:rsid w:val="00E20635"/>
    <w:rsid w:val="00E242E7"/>
    <w:rsid w:val="00E43B14"/>
    <w:rsid w:val="00E46175"/>
    <w:rsid w:val="00E478F3"/>
    <w:rsid w:val="00E503F1"/>
    <w:rsid w:val="00E54EA2"/>
    <w:rsid w:val="00E56444"/>
    <w:rsid w:val="00E67E58"/>
    <w:rsid w:val="00E70320"/>
    <w:rsid w:val="00E73667"/>
    <w:rsid w:val="00E87212"/>
    <w:rsid w:val="00EA0A0C"/>
    <w:rsid w:val="00EA5074"/>
    <w:rsid w:val="00EA62A2"/>
    <w:rsid w:val="00EB5F8D"/>
    <w:rsid w:val="00EC000A"/>
    <w:rsid w:val="00EC3B5B"/>
    <w:rsid w:val="00EC677D"/>
    <w:rsid w:val="00EC72FB"/>
    <w:rsid w:val="00ED395D"/>
    <w:rsid w:val="00ED5B0D"/>
    <w:rsid w:val="00EE2BDD"/>
    <w:rsid w:val="00EE45F3"/>
    <w:rsid w:val="00EF1462"/>
    <w:rsid w:val="00EF169C"/>
    <w:rsid w:val="00EF4361"/>
    <w:rsid w:val="00EF7F92"/>
    <w:rsid w:val="00F009BF"/>
    <w:rsid w:val="00F02849"/>
    <w:rsid w:val="00F070C9"/>
    <w:rsid w:val="00F135D8"/>
    <w:rsid w:val="00F15DDA"/>
    <w:rsid w:val="00F16191"/>
    <w:rsid w:val="00F204D0"/>
    <w:rsid w:val="00F21024"/>
    <w:rsid w:val="00F22C2F"/>
    <w:rsid w:val="00F2357A"/>
    <w:rsid w:val="00F24ADF"/>
    <w:rsid w:val="00F325D4"/>
    <w:rsid w:val="00F33FD9"/>
    <w:rsid w:val="00F34461"/>
    <w:rsid w:val="00F37A55"/>
    <w:rsid w:val="00F418D1"/>
    <w:rsid w:val="00F419A5"/>
    <w:rsid w:val="00F42386"/>
    <w:rsid w:val="00F43F86"/>
    <w:rsid w:val="00F46B7D"/>
    <w:rsid w:val="00F51D42"/>
    <w:rsid w:val="00F54EDC"/>
    <w:rsid w:val="00F5546F"/>
    <w:rsid w:val="00F56284"/>
    <w:rsid w:val="00F6093E"/>
    <w:rsid w:val="00F6127E"/>
    <w:rsid w:val="00F64865"/>
    <w:rsid w:val="00F6667E"/>
    <w:rsid w:val="00F670A1"/>
    <w:rsid w:val="00F674B6"/>
    <w:rsid w:val="00F70C99"/>
    <w:rsid w:val="00F75333"/>
    <w:rsid w:val="00F80B9B"/>
    <w:rsid w:val="00F810F4"/>
    <w:rsid w:val="00F825AC"/>
    <w:rsid w:val="00F83AA7"/>
    <w:rsid w:val="00F85435"/>
    <w:rsid w:val="00F85BBF"/>
    <w:rsid w:val="00F8748A"/>
    <w:rsid w:val="00F87BD1"/>
    <w:rsid w:val="00F90541"/>
    <w:rsid w:val="00F91182"/>
    <w:rsid w:val="00F92867"/>
    <w:rsid w:val="00F92FAD"/>
    <w:rsid w:val="00F952CD"/>
    <w:rsid w:val="00F95ACD"/>
    <w:rsid w:val="00F97CE8"/>
    <w:rsid w:val="00FA0133"/>
    <w:rsid w:val="00FA258C"/>
    <w:rsid w:val="00FB06B9"/>
    <w:rsid w:val="00FB46A2"/>
    <w:rsid w:val="00FB5A81"/>
    <w:rsid w:val="00FC4EE4"/>
    <w:rsid w:val="00FC6607"/>
    <w:rsid w:val="00FC6EF0"/>
    <w:rsid w:val="00FD0F42"/>
    <w:rsid w:val="00FD1997"/>
    <w:rsid w:val="00FD4BDD"/>
    <w:rsid w:val="00FE4D22"/>
    <w:rsid w:val="00FF5A6D"/>
    <w:rsid w:val="00FF5BF5"/>
    <w:rsid w:val="00FF6030"/>
    <w:rsid w:val="00FF6DD2"/>
    <w:rsid w:val="00FF72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88E07"/>
  <w15:docId w15:val="{041B3A42-B715-44B6-A88F-CB2A2607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pPr>
      <w:spacing w:before="19"/>
      <w:ind w:left="20"/>
    </w:pPr>
    <w:rPr>
      <w:b/>
      <w:bCs/>
      <w:sz w:val="28"/>
      <w:szCs w:val="28"/>
    </w:rPr>
  </w:style>
  <w:style w:type="paragraph" w:styleId="BodyText">
    <w:name w:val="Body Text"/>
    <w:basedOn w:val="Normal"/>
    <w:uiPriority w:val="1"/>
    <w:qFormat/>
    <w:rsid w:val="00F91182"/>
    <w:pPr>
      <w:jc w:val="both"/>
    </w:pPr>
    <w:rPr>
      <w:sz w:val="20"/>
      <w:szCs w:val="20"/>
    </w:rPr>
  </w:style>
  <w:style w:type="paragraph" w:styleId="ListParagraph">
    <w:name w:val="List Paragraph"/>
    <w:basedOn w:val="Normal"/>
    <w:uiPriority w:val="34"/>
    <w:qFormat/>
    <w:pPr>
      <w:spacing w:line="234" w:lineRule="exact"/>
      <w:ind w:left="558" w:hanging="341"/>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F1319B"/>
    <w:pPr>
      <w:tabs>
        <w:tab w:val="center" w:pos="4680"/>
        <w:tab w:val="right" w:pos="9360"/>
      </w:tabs>
    </w:pPr>
  </w:style>
  <w:style w:type="character" w:customStyle="1" w:styleId="HeaderChar">
    <w:name w:val="Header Char"/>
    <w:basedOn w:val="DefaultParagraphFont"/>
    <w:link w:val="Header"/>
    <w:uiPriority w:val="99"/>
    <w:rsid w:val="00F1319B"/>
    <w:rPr>
      <w:rFonts w:ascii="Cambria" w:eastAsia="Cambria" w:hAnsi="Cambria" w:cs="Cambria"/>
    </w:rPr>
  </w:style>
  <w:style w:type="paragraph" w:styleId="Footer">
    <w:name w:val="footer"/>
    <w:basedOn w:val="Normal"/>
    <w:link w:val="FooterChar"/>
    <w:uiPriority w:val="99"/>
    <w:unhideWhenUsed/>
    <w:rsid w:val="00F1319B"/>
    <w:pPr>
      <w:tabs>
        <w:tab w:val="center" w:pos="4680"/>
        <w:tab w:val="right" w:pos="9360"/>
      </w:tabs>
    </w:pPr>
  </w:style>
  <w:style w:type="character" w:customStyle="1" w:styleId="FooterChar">
    <w:name w:val="Footer Char"/>
    <w:basedOn w:val="DefaultParagraphFont"/>
    <w:link w:val="Footer"/>
    <w:uiPriority w:val="99"/>
    <w:rsid w:val="00F1319B"/>
    <w:rPr>
      <w:rFonts w:ascii="Cambria" w:eastAsia="Cambria" w:hAnsi="Cambria" w:cs="Cambria"/>
    </w:rPr>
  </w:style>
  <w:style w:type="character" w:styleId="CommentReference">
    <w:name w:val="annotation reference"/>
    <w:basedOn w:val="DefaultParagraphFont"/>
    <w:uiPriority w:val="99"/>
    <w:semiHidden/>
    <w:unhideWhenUsed/>
    <w:rsid w:val="00DB01D7"/>
    <w:rPr>
      <w:sz w:val="16"/>
      <w:szCs w:val="16"/>
    </w:rPr>
  </w:style>
  <w:style w:type="paragraph" w:styleId="CommentText">
    <w:name w:val="annotation text"/>
    <w:basedOn w:val="Normal"/>
    <w:link w:val="CommentTextChar"/>
    <w:uiPriority w:val="99"/>
    <w:unhideWhenUsed/>
    <w:rsid w:val="00DB01D7"/>
    <w:rPr>
      <w:sz w:val="20"/>
      <w:szCs w:val="20"/>
    </w:rPr>
  </w:style>
  <w:style w:type="character" w:customStyle="1" w:styleId="CommentTextChar">
    <w:name w:val="Comment Text Char"/>
    <w:basedOn w:val="DefaultParagraphFont"/>
    <w:link w:val="CommentText"/>
    <w:uiPriority w:val="99"/>
    <w:rsid w:val="00DB01D7"/>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DB01D7"/>
    <w:rPr>
      <w:b/>
      <w:bCs/>
    </w:rPr>
  </w:style>
  <w:style w:type="character" w:customStyle="1" w:styleId="CommentSubjectChar">
    <w:name w:val="Comment Subject Char"/>
    <w:basedOn w:val="CommentTextChar"/>
    <w:link w:val="CommentSubject"/>
    <w:uiPriority w:val="99"/>
    <w:semiHidden/>
    <w:rsid w:val="00DB01D7"/>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DB01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1D7"/>
    <w:rPr>
      <w:rFonts w:ascii="Segoe UI" w:eastAsia="Cambria" w:hAnsi="Segoe UI" w:cs="Segoe UI"/>
      <w:sz w:val="18"/>
      <w:szCs w:val="18"/>
    </w:rPr>
  </w:style>
  <w:style w:type="paragraph" w:customStyle="1" w:styleId="Default">
    <w:name w:val="Default"/>
    <w:rsid w:val="00C65A54"/>
    <w:pPr>
      <w:widowControl/>
      <w:adjustRightInd w:val="0"/>
    </w:pPr>
    <w:rPr>
      <w:color w:val="000000"/>
      <w:sz w:val="24"/>
      <w:szCs w:val="24"/>
    </w:rPr>
  </w:style>
  <w:style w:type="paragraph" w:styleId="Revision">
    <w:name w:val="Revision"/>
    <w:hidden/>
    <w:uiPriority w:val="99"/>
    <w:semiHidden/>
    <w:rsid w:val="005F61DB"/>
    <w:pPr>
      <w:widowControl/>
    </w:pPr>
  </w:style>
  <w:style w:type="character" w:styleId="Hyperlink">
    <w:name w:val="Hyperlink"/>
    <w:basedOn w:val="DefaultParagraphFont"/>
    <w:uiPriority w:val="99"/>
    <w:unhideWhenUsed/>
    <w:rsid w:val="00B66EF6"/>
    <w:rPr>
      <w:color w:val="0000FF" w:themeColor="hyperlink"/>
      <w:u w:val="single"/>
    </w:rPr>
  </w:style>
  <w:style w:type="character" w:customStyle="1" w:styleId="UnresolvedMention1">
    <w:name w:val="Unresolved Mention1"/>
    <w:basedOn w:val="DefaultParagraphFont"/>
    <w:uiPriority w:val="99"/>
    <w:semiHidden/>
    <w:unhideWhenUsed/>
    <w:rsid w:val="00B66EF6"/>
    <w:rPr>
      <w:color w:val="605E5C"/>
      <w:shd w:val="clear" w:color="auto" w:fill="E1DFDD"/>
    </w:rPr>
  </w:style>
  <w:style w:type="paragraph" w:styleId="Caption">
    <w:name w:val="caption"/>
    <w:basedOn w:val="Normal"/>
    <w:next w:val="Normal"/>
    <w:uiPriority w:val="35"/>
    <w:unhideWhenUsed/>
    <w:qFormat/>
    <w:rsid w:val="008007B0"/>
    <w:pPr>
      <w:spacing w:after="200"/>
    </w:pPr>
    <w:rPr>
      <w:i/>
      <w:iCs/>
      <w:color w:val="1F497D" w:themeColor="text2"/>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character" w:customStyle="1" w:styleId="UnresolvedMention2">
    <w:name w:val="Unresolved Mention2"/>
    <w:basedOn w:val="DefaultParagraphFont"/>
    <w:uiPriority w:val="99"/>
    <w:semiHidden/>
    <w:unhideWhenUsed/>
    <w:rsid w:val="00782549"/>
    <w:rPr>
      <w:color w:val="605E5C"/>
      <w:shd w:val="clear" w:color="auto" w:fill="E1DFDD"/>
    </w:rPr>
  </w:style>
  <w:style w:type="character" w:styleId="FollowedHyperlink">
    <w:name w:val="FollowedHyperlink"/>
    <w:basedOn w:val="DefaultParagraphFont"/>
    <w:uiPriority w:val="99"/>
    <w:semiHidden/>
    <w:unhideWhenUsed/>
    <w:rsid w:val="00782549"/>
    <w:rPr>
      <w:color w:val="800080" w:themeColor="followedHyperlink"/>
      <w:u w:val="single"/>
    </w:rPr>
  </w:style>
  <w:style w:type="paragraph" w:styleId="FootnoteText">
    <w:name w:val="footnote text"/>
    <w:basedOn w:val="Normal"/>
    <w:link w:val="FootnoteTextChar"/>
    <w:uiPriority w:val="99"/>
    <w:semiHidden/>
    <w:unhideWhenUsed/>
    <w:rsid w:val="00D20048"/>
    <w:pPr>
      <w:widowControl/>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D20048"/>
    <w:rPr>
      <w:rFonts w:ascii="Calibri" w:eastAsia="Calibri" w:hAnsi="Calibri" w:cs="Calibri"/>
      <w:sz w:val="20"/>
      <w:szCs w:val="20"/>
      <w:lang w:val="es-ES"/>
    </w:rPr>
  </w:style>
  <w:style w:type="character" w:styleId="FootnoteReference">
    <w:name w:val="footnote reference"/>
    <w:basedOn w:val="DefaultParagraphFont"/>
    <w:uiPriority w:val="99"/>
    <w:semiHidden/>
    <w:unhideWhenUsed/>
    <w:rsid w:val="00D20048"/>
    <w:rPr>
      <w:vertAlign w:val="superscript"/>
    </w:rPr>
  </w:style>
  <w:style w:type="character" w:customStyle="1" w:styleId="UnresolvedMention3">
    <w:name w:val="Unresolved Mention3"/>
    <w:basedOn w:val="DefaultParagraphFont"/>
    <w:uiPriority w:val="99"/>
    <w:semiHidden/>
    <w:unhideWhenUsed/>
    <w:rsid w:val="00A72E72"/>
    <w:rPr>
      <w:color w:val="605E5C"/>
      <w:shd w:val="clear" w:color="auto" w:fill="E1DFDD"/>
    </w:rPr>
  </w:style>
  <w:style w:type="paragraph" w:styleId="NormalWeb">
    <w:name w:val="Normal (Web)"/>
    <w:basedOn w:val="Normal"/>
    <w:uiPriority w:val="99"/>
    <w:semiHidden/>
    <w:unhideWhenUsed/>
    <w:rsid w:val="00C5011A"/>
    <w:pPr>
      <w:widowControl/>
      <w:spacing w:before="100" w:beforeAutospacing="1" w:after="100" w:afterAutospacing="1"/>
    </w:pPr>
    <w:rPr>
      <w:rFonts w:ascii="Aptos" w:eastAsiaTheme="minorHAnsi" w:hAnsi="Aptos" w:cs="Aptos"/>
      <w:sz w:val="24"/>
      <w:szCs w:val="24"/>
      <w:lang w:eastAsia="en-GB"/>
    </w:rPr>
  </w:style>
  <w:style w:type="character" w:styleId="UnresolvedMention">
    <w:name w:val="Unresolved Mention"/>
    <w:basedOn w:val="DefaultParagraphFont"/>
    <w:uiPriority w:val="99"/>
    <w:semiHidden/>
    <w:unhideWhenUsed/>
    <w:rsid w:val="00EE45F3"/>
    <w:rPr>
      <w:color w:val="605E5C"/>
      <w:shd w:val="clear" w:color="auto" w:fill="E1DFDD"/>
    </w:rPr>
  </w:style>
  <w:style w:type="paragraph" w:styleId="NoSpacing">
    <w:name w:val="No Spacing"/>
    <w:uiPriority w:val="1"/>
    <w:qFormat/>
    <w:rsid w:val="00F6127E"/>
    <w:pPr>
      <w:widowControl/>
    </w:pPr>
    <w:rPr>
      <w:rFonts w:ascii="Calibri" w:eastAsia="Calibri" w:hAnsi="Calibri" w:cs="Calibri"/>
    </w:rPr>
  </w:style>
  <w:style w:type="character" w:styleId="Strong">
    <w:name w:val="Strong"/>
    <w:basedOn w:val="DefaultParagraphFont"/>
    <w:uiPriority w:val="22"/>
    <w:qFormat/>
    <w:rsid w:val="007221B9"/>
    <w:rPr>
      <w:b/>
      <w:bCs/>
    </w:rPr>
  </w:style>
  <w:style w:type="character" w:styleId="Emphasis">
    <w:name w:val="Emphasis"/>
    <w:basedOn w:val="DefaultParagraphFont"/>
    <w:uiPriority w:val="20"/>
    <w:qFormat/>
    <w:rsid w:val="00722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11">
      <w:bodyDiv w:val="1"/>
      <w:marLeft w:val="0"/>
      <w:marRight w:val="0"/>
      <w:marTop w:val="0"/>
      <w:marBottom w:val="0"/>
      <w:divBdr>
        <w:top w:val="none" w:sz="0" w:space="0" w:color="auto"/>
        <w:left w:val="none" w:sz="0" w:space="0" w:color="auto"/>
        <w:bottom w:val="none" w:sz="0" w:space="0" w:color="auto"/>
        <w:right w:val="none" w:sz="0" w:space="0" w:color="auto"/>
      </w:divBdr>
    </w:div>
    <w:div w:id="982585677">
      <w:bodyDiv w:val="1"/>
      <w:marLeft w:val="0"/>
      <w:marRight w:val="0"/>
      <w:marTop w:val="0"/>
      <w:marBottom w:val="0"/>
      <w:divBdr>
        <w:top w:val="none" w:sz="0" w:space="0" w:color="auto"/>
        <w:left w:val="none" w:sz="0" w:space="0" w:color="auto"/>
        <w:bottom w:val="none" w:sz="0" w:space="0" w:color="auto"/>
        <w:right w:val="none" w:sz="0" w:space="0" w:color="auto"/>
      </w:divBdr>
    </w:div>
    <w:div w:id="1477837950">
      <w:bodyDiv w:val="1"/>
      <w:marLeft w:val="0"/>
      <w:marRight w:val="0"/>
      <w:marTop w:val="0"/>
      <w:marBottom w:val="0"/>
      <w:divBdr>
        <w:top w:val="none" w:sz="0" w:space="0" w:color="auto"/>
        <w:left w:val="none" w:sz="0" w:space="0" w:color="auto"/>
        <w:bottom w:val="none" w:sz="0" w:space="0" w:color="auto"/>
        <w:right w:val="none" w:sz="0" w:space="0" w:color="auto"/>
      </w:divBdr>
    </w:div>
    <w:div w:id="1622416705">
      <w:bodyDiv w:val="1"/>
      <w:marLeft w:val="0"/>
      <w:marRight w:val="0"/>
      <w:marTop w:val="0"/>
      <w:marBottom w:val="0"/>
      <w:divBdr>
        <w:top w:val="none" w:sz="0" w:space="0" w:color="auto"/>
        <w:left w:val="none" w:sz="0" w:space="0" w:color="auto"/>
        <w:bottom w:val="none" w:sz="0" w:space="0" w:color="auto"/>
        <w:right w:val="none" w:sz="0" w:space="0" w:color="auto"/>
      </w:divBdr>
    </w:div>
    <w:div w:id="1825585136">
      <w:bodyDiv w:val="1"/>
      <w:marLeft w:val="0"/>
      <w:marRight w:val="0"/>
      <w:marTop w:val="0"/>
      <w:marBottom w:val="0"/>
      <w:divBdr>
        <w:top w:val="none" w:sz="0" w:space="0" w:color="auto"/>
        <w:left w:val="none" w:sz="0" w:space="0" w:color="auto"/>
        <w:bottom w:val="none" w:sz="0" w:space="0" w:color="auto"/>
        <w:right w:val="none" w:sz="0" w:space="0" w:color="auto"/>
      </w:divBdr>
    </w:div>
    <w:div w:id="1843158550">
      <w:bodyDiv w:val="1"/>
      <w:marLeft w:val="0"/>
      <w:marRight w:val="0"/>
      <w:marTop w:val="0"/>
      <w:marBottom w:val="0"/>
      <w:divBdr>
        <w:top w:val="none" w:sz="0" w:space="0" w:color="auto"/>
        <w:left w:val="none" w:sz="0" w:space="0" w:color="auto"/>
        <w:bottom w:val="none" w:sz="0" w:space="0" w:color="auto"/>
        <w:right w:val="none" w:sz="0" w:space="0" w:color="auto"/>
      </w:divBdr>
    </w:div>
    <w:div w:id="1872061995">
      <w:bodyDiv w:val="1"/>
      <w:marLeft w:val="0"/>
      <w:marRight w:val="0"/>
      <w:marTop w:val="0"/>
      <w:marBottom w:val="0"/>
      <w:divBdr>
        <w:top w:val="none" w:sz="0" w:space="0" w:color="auto"/>
        <w:left w:val="none" w:sz="0" w:space="0" w:color="auto"/>
        <w:bottom w:val="none" w:sz="0" w:space="0" w:color="auto"/>
        <w:right w:val="none" w:sz="0" w:space="0" w:color="auto"/>
      </w:divBdr>
    </w:div>
    <w:div w:id="2100057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cat.int/DocsComm/uploads/COC_302_SPA_20251021103014.pdf" TargetMode="External"/><Relationship Id="rId18" Type="http://schemas.openxmlformats.org/officeDocument/2006/relationships/hyperlink" Target="https://www.iccat.int/Documents/Recs/compendiopdf-s/2022-17-s.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ccat.int/com2021/SPA/COC_306_SPA.pdf" TargetMode="External"/><Relationship Id="rId17" Type="http://schemas.openxmlformats.org/officeDocument/2006/relationships/hyperlink" Target="https://www.iccat.int/Documents/Recs/compendiopdf-s/2022-17-s.pdf" TargetMode="External"/><Relationship Id="rId2" Type="http://schemas.openxmlformats.org/officeDocument/2006/relationships/customXml" Target="../customXml/item2.xml"/><Relationship Id="rId16" Type="http://schemas.openxmlformats.org/officeDocument/2006/relationships/hyperlink" Target="https://www.iccat.int/DocsComm/uploads/COC_302_SPA_20251021103014.pdf"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sComm/uploads/COC_302_SPA_20251021103014.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ccat.int/DocsComm/uploads/COC_302_SPA_20251021103014.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ms.iccat.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at.int/DocsComm/uploads/COC_302_SPA_20251021103014.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1F282-C40F-479A-AE15-03CAD1DAA933}">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2.xml><?xml version="1.0" encoding="utf-8"?>
<ds:datastoreItem xmlns:ds="http://schemas.openxmlformats.org/officeDocument/2006/customXml" ds:itemID="{ADE27A44-F4D6-4D72-B799-BE31BA67D65B}">
  <ds:schemaRefs>
    <ds:schemaRef ds:uri="http://schemas.openxmlformats.org/officeDocument/2006/bibliography"/>
  </ds:schemaRefs>
</ds:datastoreItem>
</file>

<file path=customXml/itemProps3.xml><?xml version="1.0" encoding="utf-8"?>
<ds:datastoreItem xmlns:ds="http://schemas.openxmlformats.org/officeDocument/2006/customXml" ds:itemID="{EF9ACC25-15BB-4264-B24F-3B34F52A5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0CDA71-7334-4D17-9C36-32859FC70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2404</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Mayor</dc:creator>
  <cp:keywords/>
  <dc:description/>
  <cp:lastModifiedBy>Author</cp:lastModifiedBy>
  <cp:revision>13</cp:revision>
  <dcterms:created xsi:type="dcterms:W3CDTF">2025-11-14T16:04:00Z</dcterms:created>
  <dcterms:modified xsi:type="dcterms:W3CDTF">2025-11-15T08:45:00Z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