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D099" w14:textId="77777777" w:rsidR="005A18DD" w:rsidRPr="004E3668" w:rsidRDefault="00A84E73" w:rsidP="00F92FAD">
      <w:pPr>
        <w:tabs>
          <w:tab w:val="left" w:pos="9214"/>
        </w:tabs>
        <w:spacing w:before="92"/>
        <w:ind w:right="2"/>
        <w:jc w:val="right"/>
        <w:rPr>
          <w:rFonts w:asciiTheme="majorHAnsi" w:hAnsiTheme="majorHAnsi"/>
          <w:b/>
          <w:sz w:val="20"/>
          <w:szCs w:val="20"/>
        </w:rPr>
      </w:pPr>
      <w:r w:rsidRPr="004E3668">
        <w:rPr>
          <w:rFonts w:asciiTheme="majorHAnsi" w:hAnsiTheme="majorHAnsi"/>
          <w:b/>
          <w:sz w:val="20"/>
          <w:szCs w:val="20"/>
        </w:rPr>
        <w:t>Original : anglais/français</w:t>
      </w:r>
    </w:p>
    <w:p w14:paraId="69C94EA7" w14:textId="77777777" w:rsidR="005A18DD" w:rsidRPr="0074650B" w:rsidRDefault="005A18DD" w:rsidP="00F92FAD">
      <w:pPr>
        <w:pBdr>
          <w:top w:val="nil"/>
          <w:left w:val="nil"/>
          <w:bottom w:val="nil"/>
          <w:right w:val="nil"/>
          <w:between w:val="nil"/>
        </w:pBdr>
        <w:tabs>
          <w:tab w:val="left" w:pos="9072"/>
        </w:tabs>
        <w:jc w:val="right"/>
        <w:rPr>
          <w:rFonts w:asciiTheme="majorHAnsi" w:hAnsiTheme="majorHAnsi"/>
          <w:b/>
          <w:color w:val="000000"/>
          <w:sz w:val="20"/>
          <w:szCs w:val="20"/>
        </w:rPr>
      </w:pPr>
    </w:p>
    <w:p w14:paraId="5A4BCCF8" w14:textId="77777777" w:rsidR="0018551C" w:rsidRPr="004E3668" w:rsidRDefault="0018551C" w:rsidP="0018551C">
      <w:pPr>
        <w:jc w:val="center"/>
        <w:rPr>
          <w:rFonts w:asciiTheme="majorHAnsi" w:hAnsiTheme="majorHAnsi"/>
          <w:b/>
          <w:sz w:val="20"/>
          <w:szCs w:val="20"/>
        </w:rPr>
      </w:pPr>
      <w:r w:rsidRPr="004E3668">
        <w:rPr>
          <w:rFonts w:asciiTheme="majorHAnsi" w:hAnsiTheme="majorHAnsi"/>
          <w:b/>
          <w:sz w:val="20"/>
          <w:szCs w:val="20"/>
        </w:rPr>
        <w:t>Groupe de travail sur les technologies de déclaration en ligne (WG-ORT)</w:t>
      </w:r>
    </w:p>
    <w:p w14:paraId="290321BC" w14:textId="6F4DAE74" w:rsidR="0018551C" w:rsidRPr="0074650B" w:rsidRDefault="0018551C" w:rsidP="0018551C">
      <w:pPr>
        <w:jc w:val="center"/>
        <w:rPr>
          <w:rFonts w:asciiTheme="majorHAnsi" w:hAnsiTheme="majorHAnsi"/>
          <w:b/>
          <w:sz w:val="20"/>
          <w:szCs w:val="20"/>
        </w:rPr>
      </w:pPr>
    </w:p>
    <w:p w14:paraId="7831E264" w14:textId="4E9698BA" w:rsidR="0018551C" w:rsidRPr="004E3668" w:rsidRDefault="0018551C" w:rsidP="0018551C">
      <w:pPr>
        <w:jc w:val="center"/>
        <w:rPr>
          <w:rFonts w:asciiTheme="majorHAnsi" w:hAnsiTheme="majorHAnsi"/>
          <w:b/>
          <w:sz w:val="20"/>
          <w:szCs w:val="20"/>
        </w:rPr>
      </w:pPr>
      <w:r w:rsidRPr="004E3668">
        <w:rPr>
          <w:rFonts w:asciiTheme="majorHAnsi" w:hAnsiTheme="majorHAnsi"/>
          <w:b/>
          <w:sz w:val="20"/>
          <w:szCs w:val="20"/>
        </w:rPr>
        <w:t>Rapport de situation de 2025</w:t>
      </w:r>
    </w:p>
    <w:p w14:paraId="2CC6FFE7" w14:textId="77777777" w:rsidR="0018551C" w:rsidRPr="0074650B" w:rsidRDefault="0018551C" w:rsidP="0018551C">
      <w:pPr>
        <w:jc w:val="center"/>
        <w:rPr>
          <w:rFonts w:asciiTheme="majorHAnsi" w:hAnsiTheme="majorHAnsi"/>
          <w:b/>
          <w:sz w:val="20"/>
          <w:szCs w:val="20"/>
        </w:rPr>
      </w:pPr>
    </w:p>
    <w:p w14:paraId="69541835" w14:textId="3B3A4551" w:rsidR="0018551C" w:rsidRPr="004E3668" w:rsidRDefault="0018551C" w:rsidP="0018551C">
      <w:pPr>
        <w:jc w:val="center"/>
        <w:rPr>
          <w:rFonts w:asciiTheme="majorHAnsi" w:hAnsiTheme="majorHAnsi"/>
          <w:bCs/>
          <w:i/>
          <w:iCs/>
          <w:sz w:val="20"/>
          <w:szCs w:val="20"/>
        </w:rPr>
      </w:pPr>
      <w:r w:rsidRPr="004E3668">
        <w:rPr>
          <w:rFonts w:asciiTheme="majorHAnsi" w:hAnsiTheme="majorHAnsi"/>
          <w:bCs/>
          <w:i/>
          <w:iCs/>
          <w:sz w:val="20"/>
          <w:szCs w:val="20"/>
        </w:rPr>
        <w:t>(Document préparé par le Secrétariat).</w:t>
      </w:r>
    </w:p>
    <w:p w14:paraId="4F8BA8FC" w14:textId="77777777" w:rsidR="005A18DD" w:rsidRPr="0074650B" w:rsidRDefault="005A18DD" w:rsidP="00F92FAD">
      <w:pPr>
        <w:pBdr>
          <w:top w:val="nil"/>
          <w:left w:val="nil"/>
          <w:bottom w:val="nil"/>
          <w:right w:val="nil"/>
          <w:between w:val="nil"/>
        </w:pBdr>
        <w:tabs>
          <w:tab w:val="left" w:pos="9214"/>
        </w:tabs>
        <w:spacing w:before="8"/>
        <w:rPr>
          <w:rFonts w:asciiTheme="majorHAnsi" w:hAnsiTheme="majorHAnsi"/>
          <w:b/>
          <w:color w:val="000000"/>
          <w:sz w:val="20"/>
          <w:szCs w:val="20"/>
        </w:rPr>
      </w:pPr>
    </w:p>
    <w:p w14:paraId="770EED33" w14:textId="530CBB46" w:rsidR="008A419C" w:rsidRPr="004E3668" w:rsidRDefault="008A419C" w:rsidP="008A419C">
      <w:pPr>
        <w:tabs>
          <w:tab w:val="left" w:pos="9214"/>
        </w:tabs>
        <w:rPr>
          <w:rFonts w:asciiTheme="majorHAnsi" w:hAnsiTheme="majorHAnsi"/>
          <w:b/>
          <w:sz w:val="20"/>
          <w:szCs w:val="20"/>
        </w:rPr>
      </w:pPr>
      <w:r w:rsidRPr="004E3668">
        <w:rPr>
          <w:rFonts w:asciiTheme="majorHAnsi" w:hAnsiTheme="majorHAnsi"/>
          <w:b/>
          <w:sz w:val="20"/>
          <w:szCs w:val="20"/>
        </w:rPr>
        <w:t>Résumé des activités du Groupe de travail en 2025</w:t>
      </w:r>
    </w:p>
    <w:p w14:paraId="12AEAD40" w14:textId="77777777" w:rsidR="008A419C" w:rsidRPr="0074650B" w:rsidRDefault="008A419C" w:rsidP="004E33CC">
      <w:pPr>
        <w:pBdr>
          <w:top w:val="nil"/>
          <w:left w:val="nil"/>
          <w:bottom w:val="nil"/>
          <w:right w:val="nil"/>
          <w:between w:val="nil"/>
        </w:pBdr>
        <w:tabs>
          <w:tab w:val="left" w:pos="9214"/>
        </w:tabs>
        <w:rPr>
          <w:rFonts w:asciiTheme="majorHAnsi" w:hAnsiTheme="majorHAnsi"/>
          <w:b/>
          <w:color w:val="000000"/>
          <w:sz w:val="20"/>
          <w:szCs w:val="20"/>
        </w:rPr>
      </w:pPr>
    </w:p>
    <w:p w14:paraId="2F9DD399" w14:textId="7ACB2C9F" w:rsidR="004829C8" w:rsidRPr="004E3668" w:rsidRDefault="00E43B14" w:rsidP="008A419C">
      <w:pPr>
        <w:tabs>
          <w:tab w:val="left" w:pos="558"/>
          <w:tab w:val="left" w:pos="559"/>
          <w:tab w:val="left" w:pos="9214"/>
        </w:tabs>
        <w:jc w:val="both"/>
        <w:rPr>
          <w:rFonts w:asciiTheme="majorHAnsi" w:hAnsiTheme="majorHAnsi"/>
          <w:color w:val="000000"/>
          <w:sz w:val="20"/>
          <w:szCs w:val="20"/>
        </w:rPr>
      </w:pPr>
      <w:r w:rsidRPr="004E3668">
        <w:rPr>
          <w:rFonts w:asciiTheme="majorHAnsi" w:hAnsiTheme="majorHAnsi"/>
          <w:sz w:val="20"/>
          <w:szCs w:val="20"/>
        </w:rPr>
        <w:t>Les activités annuelles du WG-ORT sont planifiées tous les ans au début du mois de février de chaque année afin de tenir compte des délibérations de la réunion annuelle précédente de la Commission. Le WG-ORT s’est réuni sous forme virtuelle les 11 et 12 février 2025 afin d’examiner les avancées dans le développement du Système intégré de gestion en ligne (IOMS) de l’ICCAT et de planifier les activités futures.</w:t>
      </w:r>
      <w:r w:rsidRPr="004E3668">
        <w:rPr>
          <w:rFonts w:asciiTheme="majorHAnsi" w:hAnsiTheme="majorHAnsi"/>
          <w:color w:val="000000"/>
          <w:sz w:val="20"/>
          <w:szCs w:val="20"/>
        </w:rPr>
        <w:t xml:space="preserve"> Le rapport de la réunion, disponible sous la référence </w:t>
      </w:r>
      <w:hyperlink r:id="rId11">
        <w:r w:rsidRPr="004E3668">
          <w:rPr>
            <w:rFonts w:asciiTheme="majorHAnsi" w:hAnsiTheme="majorHAnsi"/>
            <w:color w:val="0000FF"/>
            <w:sz w:val="20"/>
            <w:szCs w:val="20"/>
          </w:rPr>
          <w:t>COC_302/2025</w:t>
        </w:r>
      </w:hyperlink>
      <w:hyperlink r:id="rId12">
        <w:r w:rsidRPr="008307C7">
          <w:rPr>
            <w:rFonts w:asciiTheme="majorHAnsi" w:hAnsiTheme="majorHAnsi"/>
            <w:color w:val="000000"/>
            <w:sz w:val="20"/>
            <w:szCs w:val="20"/>
          </w:rPr>
          <w:t>,</w:t>
        </w:r>
      </w:hyperlink>
      <w:r w:rsidRPr="008307C7">
        <w:rPr>
          <w:rFonts w:asciiTheme="majorHAnsi" w:hAnsiTheme="majorHAnsi"/>
          <w:sz w:val="20"/>
          <w:szCs w:val="20"/>
        </w:rPr>
        <w:t xml:space="preserve"> fournit plus de détails sur les activités résumées dans le présent rapport.</w:t>
      </w:r>
    </w:p>
    <w:p w14:paraId="29C52BF4" w14:textId="77777777" w:rsidR="004829C8" w:rsidRPr="0074650B" w:rsidRDefault="004829C8" w:rsidP="008A419C">
      <w:pPr>
        <w:tabs>
          <w:tab w:val="left" w:pos="558"/>
          <w:tab w:val="left" w:pos="559"/>
          <w:tab w:val="left" w:pos="9214"/>
        </w:tabs>
        <w:jc w:val="both"/>
        <w:rPr>
          <w:rFonts w:asciiTheme="majorHAnsi" w:hAnsiTheme="majorHAnsi"/>
          <w:color w:val="000000"/>
          <w:sz w:val="20"/>
          <w:szCs w:val="20"/>
        </w:rPr>
      </w:pPr>
    </w:p>
    <w:p w14:paraId="192982A3" w14:textId="33914F7F" w:rsidR="00775ED2" w:rsidRPr="004E3668" w:rsidRDefault="008A419C" w:rsidP="00775ED2">
      <w:pPr>
        <w:tabs>
          <w:tab w:val="left" w:pos="558"/>
          <w:tab w:val="left" w:pos="559"/>
          <w:tab w:val="left" w:pos="9214"/>
        </w:tabs>
        <w:jc w:val="both"/>
        <w:rPr>
          <w:rFonts w:asciiTheme="majorHAnsi" w:hAnsiTheme="majorHAnsi"/>
          <w:sz w:val="20"/>
          <w:szCs w:val="20"/>
        </w:rPr>
      </w:pPr>
      <w:r w:rsidRPr="004E3668">
        <w:rPr>
          <w:rFonts w:asciiTheme="majorHAnsi" w:hAnsiTheme="majorHAnsi"/>
          <w:sz w:val="20"/>
          <w:szCs w:val="20"/>
        </w:rPr>
        <w:t xml:space="preserve">En 2025, le Secrétariat a poursuivi ses avancées dans le développement de l’IOMS, qui se trouve actuellement dans la phase 4 (2 ans : du 1er juin 2024 au 31 mai 2026). Toutes les phases de développement de l'IOMS sont présentées dans le plan de travail du WG-ORT (tableau 3 du </w:t>
      </w:r>
      <w:hyperlink r:id="rId13" w:history="1">
        <w:r w:rsidRPr="004E3668">
          <w:rPr>
            <w:rStyle w:val="Hyperlink"/>
            <w:rFonts w:asciiTheme="majorHAnsi" w:hAnsiTheme="majorHAnsi"/>
            <w:sz w:val="20"/>
            <w:szCs w:val="20"/>
            <w:u w:val="none"/>
          </w:rPr>
          <w:t>COC_302/2025</w:t>
        </w:r>
      </w:hyperlink>
      <w:r w:rsidRPr="004E3668">
        <w:rPr>
          <w:rFonts w:asciiTheme="majorHAnsi" w:hAnsiTheme="majorHAnsi"/>
          <w:sz w:val="20"/>
          <w:szCs w:val="20"/>
        </w:rPr>
        <w:t>).</w:t>
      </w:r>
      <w:r w:rsidRPr="004E3668">
        <w:rPr>
          <w:rFonts w:asciiTheme="majorHAnsi" w:hAnsiTheme="majorHAnsi"/>
          <w:color w:val="0000FF"/>
          <w:sz w:val="20"/>
          <w:szCs w:val="20"/>
        </w:rPr>
        <w:t xml:space="preserve"> </w:t>
      </w:r>
      <w:r w:rsidRPr="004E3668">
        <w:rPr>
          <w:rFonts w:asciiTheme="majorHAnsi" w:hAnsiTheme="majorHAnsi"/>
          <w:sz w:val="20"/>
          <w:szCs w:val="20"/>
        </w:rPr>
        <w:t xml:space="preserve">Le 1er août 2025, les modules de gestionnaire de formulaires et de gestionnaire de navires ont été mis en production, faisant suite à </w:t>
      </w:r>
      <w:r w:rsidR="003C5523" w:rsidRPr="004E3668">
        <w:rPr>
          <w:rFonts w:asciiTheme="majorHAnsi" w:hAnsiTheme="majorHAnsi"/>
          <w:sz w:val="20"/>
          <w:szCs w:val="20"/>
        </w:rPr>
        <w:t>une planification minutieuse</w:t>
      </w:r>
      <w:r w:rsidRPr="004E3668">
        <w:rPr>
          <w:rFonts w:asciiTheme="majorHAnsi" w:hAnsiTheme="majorHAnsi"/>
          <w:sz w:val="20"/>
          <w:szCs w:val="20"/>
        </w:rPr>
        <w:t xml:space="preserve"> par le WG-ORT, laquelle a comporté deux sessions de formation associées et plusieurs améliorations convenues à l’avance. Le module de gestionnaire de navire n’inclut pas encore la composante FLUX, qui est toujours </w:t>
      </w:r>
      <w:r w:rsidR="00E51811">
        <w:rPr>
          <w:rFonts w:asciiTheme="majorHAnsi" w:hAnsiTheme="majorHAnsi"/>
          <w:sz w:val="20"/>
          <w:szCs w:val="20"/>
        </w:rPr>
        <w:t xml:space="preserve">en </w:t>
      </w:r>
      <w:r w:rsidRPr="004E3668">
        <w:rPr>
          <w:rFonts w:asciiTheme="majorHAnsi" w:hAnsiTheme="majorHAnsi"/>
          <w:sz w:val="20"/>
          <w:szCs w:val="20"/>
        </w:rPr>
        <w:t xml:space="preserve">développement et nécessite du temps supplémentaire. En outre, conformément à la stratégie d'amélioration permanente de l'IOMS, des améliorations ont été constamment apportées à plusieurs outils administratifs et fonctionnalités de l'IOMS (détails dans le tableau 2 du </w:t>
      </w:r>
      <w:hyperlink r:id="rId14" w:history="1">
        <w:r w:rsidRPr="004E3668">
          <w:rPr>
            <w:rStyle w:val="Hyperlink"/>
            <w:rFonts w:asciiTheme="majorHAnsi" w:hAnsiTheme="majorHAnsi"/>
            <w:sz w:val="20"/>
            <w:szCs w:val="20"/>
            <w:u w:val="none"/>
          </w:rPr>
          <w:t>COC_302/2025</w:t>
        </w:r>
      </w:hyperlink>
      <w:r w:rsidRPr="004E3668">
        <w:rPr>
          <w:rFonts w:asciiTheme="majorHAnsi" w:hAnsiTheme="majorHAnsi"/>
          <w:sz w:val="20"/>
          <w:szCs w:val="20"/>
        </w:rPr>
        <w:t>).</w:t>
      </w:r>
    </w:p>
    <w:p w14:paraId="1FEE49A8" w14:textId="77777777" w:rsidR="00534610" w:rsidRDefault="00534610" w:rsidP="00775ED2">
      <w:pPr>
        <w:tabs>
          <w:tab w:val="left" w:pos="558"/>
          <w:tab w:val="left" w:pos="559"/>
          <w:tab w:val="left" w:pos="9214"/>
        </w:tabs>
        <w:jc w:val="both"/>
        <w:rPr>
          <w:rFonts w:asciiTheme="majorHAnsi" w:hAnsiTheme="majorHAnsi"/>
          <w:sz w:val="20"/>
          <w:szCs w:val="20"/>
        </w:rPr>
      </w:pPr>
    </w:p>
    <w:p w14:paraId="5CFD7762" w14:textId="1A122F95" w:rsidR="00CB4563" w:rsidRPr="004E3668" w:rsidRDefault="00CB4563" w:rsidP="00653B6F">
      <w:pPr>
        <w:pBdr>
          <w:top w:val="nil"/>
          <w:left w:val="nil"/>
          <w:bottom w:val="nil"/>
          <w:right w:val="nil"/>
          <w:between w:val="nil"/>
        </w:pBdr>
        <w:jc w:val="both"/>
        <w:rPr>
          <w:rFonts w:asciiTheme="majorHAnsi" w:hAnsiTheme="majorHAnsi"/>
          <w:b/>
          <w:bCs/>
          <w:i/>
          <w:iCs/>
          <w:color w:val="000000"/>
          <w:sz w:val="20"/>
          <w:szCs w:val="20"/>
        </w:rPr>
      </w:pPr>
      <w:r w:rsidRPr="004E3668">
        <w:rPr>
          <w:rFonts w:asciiTheme="majorHAnsi" w:hAnsiTheme="majorHAnsi"/>
          <w:b/>
          <w:bCs/>
          <w:i/>
          <w:iCs/>
          <w:color w:val="000000"/>
          <w:sz w:val="20"/>
          <w:szCs w:val="20"/>
        </w:rPr>
        <w:t>Module de gestionnaire des navires</w:t>
      </w:r>
    </w:p>
    <w:p w14:paraId="7F563DC9" w14:textId="77777777" w:rsidR="00CB4563" w:rsidRPr="0074650B" w:rsidRDefault="00CB4563" w:rsidP="00653B6F">
      <w:pPr>
        <w:pBdr>
          <w:top w:val="nil"/>
          <w:left w:val="nil"/>
          <w:bottom w:val="nil"/>
          <w:right w:val="nil"/>
          <w:between w:val="nil"/>
        </w:pBdr>
        <w:jc w:val="both"/>
        <w:rPr>
          <w:rFonts w:asciiTheme="majorHAnsi" w:hAnsiTheme="majorHAnsi"/>
          <w:color w:val="000000"/>
          <w:sz w:val="20"/>
          <w:szCs w:val="20"/>
        </w:rPr>
      </w:pPr>
    </w:p>
    <w:p w14:paraId="26425772" w14:textId="6B63F517" w:rsidR="00D5013E" w:rsidRPr="004E3668" w:rsidRDefault="00D5013E" w:rsidP="00D5013E">
      <w:pPr>
        <w:pBdr>
          <w:top w:val="nil"/>
          <w:left w:val="nil"/>
          <w:bottom w:val="nil"/>
          <w:right w:val="nil"/>
          <w:between w:val="nil"/>
        </w:pBdr>
        <w:jc w:val="both"/>
        <w:rPr>
          <w:rFonts w:asciiTheme="majorHAnsi" w:hAnsiTheme="majorHAnsi"/>
          <w:color w:val="000000"/>
          <w:sz w:val="20"/>
          <w:szCs w:val="20"/>
        </w:rPr>
      </w:pPr>
      <w:r w:rsidRPr="004E3668">
        <w:rPr>
          <w:rFonts w:asciiTheme="majorHAnsi" w:hAnsiTheme="majorHAnsi"/>
          <w:color w:val="000000"/>
          <w:sz w:val="20"/>
          <w:szCs w:val="20"/>
        </w:rPr>
        <w:t>Le module de gestionnaire de navires, y compris ses modalités de travail en ligne et hors ligne, est entré en production le 1er août 2025. Ce module contient également les composantes d'autorisations des transbordements et des accords d’affrètement. Au cours des premiers mois de fonctionnement, aucun problème majeur n’a été relevé. Des bugs mineurs identifiés par les utilisateurs de l’IOMS ont été promptement corrigés et l’IOMS a été maintenu totalement stable. Une session de formation spécifique a été organisée en 2025 afin de familiariser les utilisateurs avec les nouvelles fonctionnalités. Cette session a fourni des commentaires utiles qui ont contribué au perfectionnement de certains processus et à l’amélioration de l’expérience utilisateur globale. La composante FLUX (UN/FLUX) du gestionnaire de navires, qui permettra l’échange automatique d’informations sur les navires entre l’IOMS et les CPC intéressées est toujours en développement et sera achevée ultérieurement.</w:t>
      </w:r>
    </w:p>
    <w:p w14:paraId="26BBD1F5" w14:textId="77777777" w:rsidR="000E0392" w:rsidRPr="004E3668" w:rsidRDefault="000E0392" w:rsidP="00653B6F">
      <w:pPr>
        <w:pBdr>
          <w:top w:val="nil"/>
          <w:left w:val="nil"/>
          <w:bottom w:val="nil"/>
          <w:right w:val="nil"/>
          <w:between w:val="nil"/>
        </w:pBdr>
        <w:jc w:val="both"/>
        <w:rPr>
          <w:rFonts w:asciiTheme="majorHAnsi" w:hAnsiTheme="majorHAnsi"/>
          <w:color w:val="000000"/>
          <w:sz w:val="20"/>
          <w:szCs w:val="20"/>
        </w:rPr>
      </w:pPr>
    </w:p>
    <w:p w14:paraId="0268D431" w14:textId="223E2C0D" w:rsidR="00653B6F" w:rsidRPr="004E3668" w:rsidRDefault="00FB46A2" w:rsidP="00653B6F">
      <w:pPr>
        <w:pBdr>
          <w:top w:val="nil"/>
          <w:left w:val="nil"/>
          <w:bottom w:val="nil"/>
          <w:right w:val="nil"/>
          <w:between w:val="nil"/>
        </w:pBdr>
        <w:jc w:val="both"/>
        <w:rPr>
          <w:rFonts w:asciiTheme="majorHAnsi" w:hAnsiTheme="majorHAnsi"/>
          <w:color w:val="000000"/>
          <w:sz w:val="20"/>
          <w:szCs w:val="20"/>
        </w:rPr>
      </w:pPr>
      <w:r w:rsidRPr="004E3668">
        <w:rPr>
          <w:rFonts w:asciiTheme="majorHAnsi" w:hAnsiTheme="majorHAnsi"/>
          <w:color w:val="000000"/>
          <w:sz w:val="20"/>
          <w:szCs w:val="20"/>
        </w:rPr>
        <w:t>La page web publique du registre de navires de l’ICCAT est désormais directement reliée au gestionnaire de navires par le biais de services web publics (les informations sur les navires étant publiées en temps réel), ce qui démontre les capacités d’interopérabilité de l’architecture de l’IOMS et son potentiel pour les futures intégrations de systèmes.</w:t>
      </w:r>
    </w:p>
    <w:p w14:paraId="564E262D" w14:textId="77777777" w:rsidR="00653B6F" w:rsidRPr="0074650B" w:rsidRDefault="00653B6F" w:rsidP="008A419C">
      <w:pPr>
        <w:tabs>
          <w:tab w:val="left" w:pos="558"/>
          <w:tab w:val="left" w:pos="559"/>
          <w:tab w:val="left" w:pos="9214"/>
        </w:tabs>
        <w:jc w:val="both"/>
        <w:rPr>
          <w:rFonts w:asciiTheme="majorHAnsi" w:hAnsiTheme="majorHAnsi"/>
          <w:b/>
          <w:bCs/>
          <w:sz w:val="20"/>
          <w:szCs w:val="20"/>
        </w:rPr>
      </w:pPr>
    </w:p>
    <w:p w14:paraId="3BF21379" w14:textId="51C9F25B" w:rsidR="00CB4563" w:rsidRPr="004E3668" w:rsidRDefault="00CB4563" w:rsidP="008D573B">
      <w:pPr>
        <w:pBdr>
          <w:top w:val="nil"/>
          <w:left w:val="nil"/>
          <w:bottom w:val="nil"/>
          <w:right w:val="nil"/>
          <w:between w:val="nil"/>
        </w:pBdr>
        <w:jc w:val="both"/>
        <w:rPr>
          <w:rFonts w:asciiTheme="majorHAnsi" w:hAnsiTheme="majorHAnsi"/>
          <w:b/>
          <w:bCs/>
          <w:i/>
          <w:iCs/>
          <w:color w:val="000000"/>
          <w:sz w:val="20"/>
          <w:szCs w:val="20"/>
        </w:rPr>
      </w:pPr>
      <w:r w:rsidRPr="004E3668">
        <w:rPr>
          <w:rFonts w:asciiTheme="majorHAnsi" w:hAnsiTheme="majorHAnsi"/>
          <w:b/>
          <w:bCs/>
          <w:i/>
          <w:iCs/>
          <w:color w:val="000000"/>
          <w:sz w:val="20"/>
          <w:szCs w:val="20"/>
        </w:rPr>
        <w:t>Module de gestionnaire de formulaires</w:t>
      </w:r>
    </w:p>
    <w:p w14:paraId="0ED536C9" w14:textId="77777777" w:rsidR="00CB4563" w:rsidRPr="004E3668" w:rsidRDefault="00CB4563" w:rsidP="008D573B">
      <w:pPr>
        <w:pBdr>
          <w:top w:val="nil"/>
          <w:left w:val="nil"/>
          <w:bottom w:val="nil"/>
          <w:right w:val="nil"/>
          <w:between w:val="nil"/>
        </w:pBdr>
        <w:jc w:val="both"/>
        <w:rPr>
          <w:rFonts w:asciiTheme="majorHAnsi" w:hAnsiTheme="majorHAnsi"/>
          <w:color w:val="000000"/>
          <w:sz w:val="20"/>
          <w:szCs w:val="20"/>
        </w:rPr>
      </w:pPr>
    </w:p>
    <w:p w14:paraId="712D907B" w14:textId="2E82A030" w:rsidR="00B44DB6" w:rsidRPr="004E3668" w:rsidRDefault="00B44DB6" w:rsidP="00B44DB6">
      <w:pPr>
        <w:pBdr>
          <w:top w:val="nil"/>
          <w:left w:val="nil"/>
          <w:bottom w:val="nil"/>
          <w:right w:val="nil"/>
          <w:between w:val="nil"/>
        </w:pBdr>
        <w:jc w:val="both"/>
        <w:rPr>
          <w:rFonts w:asciiTheme="majorHAnsi" w:hAnsiTheme="majorHAnsi"/>
          <w:color w:val="000000"/>
          <w:sz w:val="20"/>
          <w:szCs w:val="20"/>
        </w:rPr>
      </w:pPr>
      <w:r w:rsidRPr="004E3668">
        <w:rPr>
          <w:rFonts w:asciiTheme="majorHAnsi" w:hAnsiTheme="majorHAnsi"/>
          <w:color w:val="000000"/>
          <w:sz w:val="20"/>
          <w:szCs w:val="20"/>
        </w:rPr>
        <w:t xml:space="preserve">Le module de gestionnaire de formulaires a été mis en production le 1er août 2025. Tout comme le gestionnaire de navires, le système a déjà reçu les commentaires des utilisateurs à la suite de ses premiers mois de fonctionnement, et aucun problème majeur n’a été signalé. Des suggestions et observations ont été utilisées pour perfectionner et stabiliser le module. Actuellement, ce module gère (lecture, pré-validation et inventaire) 15 formulaires standards de l’ICCAT sur un total de 50 formulaires environ. Cela inclut l’ensemble des 10 formulaires statistiques (ST01, ST02, ST03, ST04, ST05, ST06, ST07, ST08, ST09 et ST10), 2 formulaires de marquage (TG01 et TG02) et 3 formulaires en lien avec l’application (CP01, CP46 et CP53). Les trois derniers formulaires sont gérés par le module de gestionnaire de navires (CP01: caractéristiques et autorisations des navires ; CP46: opérations de transbordement ; CP53: accords d’affrètement), le gestionnaire de formulaires acheminant automatiquement  le formulaire (en relayant la responsabilité du traitement) au sous-module de gestionnaire de navires correspondant pour les travaux de validation et de </w:t>
      </w:r>
      <w:r w:rsidRPr="004E3668">
        <w:rPr>
          <w:rFonts w:asciiTheme="majorHAnsi" w:hAnsiTheme="majorHAnsi"/>
          <w:color w:val="000000"/>
          <w:sz w:val="20"/>
          <w:szCs w:val="20"/>
        </w:rPr>
        <w:lastRenderedPageBreak/>
        <w:t>traitement. Une session de formation spécifique axée exclusivement sur l’utilisation du gestionnaire de formulaires a été tenue en 2025, permettant aux utilisateurs de se familiariser avec les fonctionnalités du système et de soumettre des commentaires utiles pour améliorer sa facilité d’utilisation.</w:t>
      </w:r>
    </w:p>
    <w:p w14:paraId="71736940" w14:textId="77777777" w:rsidR="00B44DB6" w:rsidRPr="004E3668" w:rsidRDefault="00B44DB6" w:rsidP="00B44DB6">
      <w:pPr>
        <w:pBdr>
          <w:top w:val="nil"/>
          <w:left w:val="nil"/>
          <w:bottom w:val="nil"/>
          <w:right w:val="nil"/>
          <w:between w:val="nil"/>
        </w:pBdr>
        <w:jc w:val="both"/>
        <w:rPr>
          <w:rFonts w:asciiTheme="majorHAnsi" w:hAnsiTheme="majorHAnsi"/>
          <w:color w:val="000000"/>
          <w:sz w:val="20"/>
          <w:szCs w:val="20"/>
        </w:rPr>
      </w:pPr>
    </w:p>
    <w:p w14:paraId="7C0CBEBC" w14:textId="3E0077BE" w:rsidR="00B44DB6" w:rsidRPr="004E3668" w:rsidRDefault="00B44DB6" w:rsidP="00B44DB6">
      <w:pPr>
        <w:pBdr>
          <w:top w:val="nil"/>
          <w:left w:val="nil"/>
          <w:bottom w:val="nil"/>
          <w:right w:val="nil"/>
          <w:between w:val="nil"/>
        </w:pBdr>
        <w:jc w:val="both"/>
        <w:rPr>
          <w:rFonts w:asciiTheme="majorHAnsi" w:hAnsiTheme="majorHAnsi"/>
          <w:color w:val="000000"/>
          <w:sz w:val="20"/>
          <w:szCs w:val="20"/>
        </w:rPr>
      </w:pPr>
      <w:r w:rsidRPr="004E3668">
        <w:rPr>
          <w:rFonts w:asciiTheme="majorHAnsi" w:hAnsiTheme="majorHAnsi"/>
          <w:color w:val="000000"/>
          <w:sz w:val="20"/>
          <w:szCs w:val="20"/>
        </w:rPr>
        <w:t xml:space="preserve">Le gestionnaire de formulaires opère actuellement dans le cadre d’une période transitoire, étant exécuté en parallèle avec le système de déclaration par e-mail traditionnel. La phase de coexistence devrait rester en place jusqu’au 1er novembre 2025, garantissant une migration harmonieuse pour les CPC et du temps suffisant pour que les utilisateurs s’y adapte. </w:t>
      </w:r>
      <w:r w:rsidRPr="008451B7">
        <w:rPr>
          <w:rFonts w:asciiTheme="majorHAnsi" w:hAnsiTheme="majorHAnsi"/>
          <w:color w:val="000000"/>
          <w:sz w:val="20"/>
          <w:szCs w:val="20"/>
        </w:rPr>
        <w:t>Comme indiqué dans la circulaire n°07010/2025, après le 1er novembre 2025, le module de gestionnaire de navires et les formulaires énumérés ci-dessus pour le module de gestionnaire de formulaires doivent être soumis à travers l’IOMS ; les formulaires traditionnels ne seront plus acceptés.</w:t>
      </w:r>
    </w:p>
    <w:p w14:paraId="0BA6F390" w14:textId="77777777" w:rsidR="00633AE0" w:rsidRPr="004E3668" w:rsidRDefault="00633AE0" w:rsidP="00B44DB6">
      <w:pPr>
        <w:pBdr>
          <w:top w:val="nil"/>
          <w:left w:val="nil"/>
          <w:bottom w:val="nil"/>
          <w:right w:val="nil"/>
          <w:between w:val="nil"/>
        </w:pBdr>
        <w:jc w:val="both"/>
        <w:rPr>
          <w:rFonts w:asciiTheme="majorHAnsi" w:hAnsiTheme="majorHAnsi"/>
          <w:color w:val="000000"/>
          <w:sz w:val="20"/>
          <w:szCs w:val="20"/>
        </w:rPr>
      </w:pPr>
    </w:p>
    <w:p w14:paraId="0FFE1C79" w14:textId="77777777" w:rsidR="00B44DB6" w:rsidRPr="004E3668" w:rsidRDefault="00B44DB6" w:rsidP="00B44DB6">
      <w:pPr>
        <w:pBdr>
          <w:top w:val="nil"/>
          <w:left w:val="nil"/>
          <w:bottom w:val="nil"/>
          <w:right w:val="nil"/>
          <w:between w:val="nil"/>
        </w:pBdr>
        <w:jc w:val="both"/>
        <w:rPr>
          <w:rFonts w:asciiTheme="majorHAnsi" w:hAnsiTheme="majorHAnsi"/>
          <w:color w:val="000000"/>
          <w:sz w:val="20"/>
          <w:szCs w:val="20"/>
        </w:rPr>
      </w:pPr>
      <w:r w:rsidRPr="004E3668">
        <w:rPr>
          <w:rFonts w:asciiTheme="majorHAnsi" w:hAnsiTheme="majorHAnsi"/>
          <w:color w:val="000000"/>
          <w:sz w:val="20"/>
          <w:szCs w:val="20"/>
        </w:rPr>
        <w:t>Le nombre de formulaires pris en charge par le système continuera d’augmenter progressivement, au fur et à mesure que chaque formulaire de l’ICCAT restant est standardisé et intégré dans le système. Ce processus de standardisation continu accroîtra encore davantage la pertinence du gestionnaire de formulaires en permettant aux CPC de soumettre, gérer et récupérer un ensemble croissant d’informations systématiquement à travers l’IOMS.</w:t>
      </w:r>
    </w:p>
    <w:p w14:paraId="2480DB77" w14:textId="77777777" w:rsidR="00F85435" w:rsidRPr="004E3668" w:rsidRDefault="00F85435" w:rsidP="008D573B">
      <w:pPr>
        <w:pBdr>
          <w:top w:val="nil"/>
          <w:left w:val="nil"/>
          <w:bottom w:val="nil"/>
          <w:right w:val="nil"/>
          <w:between w:val="nil"/>
        </w:pBdr>
        <w:jc w:val="both"/>
        <w:rPr>
          <w:rFonts w:asciiTheme="majorHAnsi" w:hAnsiTheme="majorHAnsi"/>
          <w:color w:val="000000"/>
          <w:sz w:val="20"/>
          <w:szCs w:val="20"/>
        </w:rPr>
      </w:pPr>
    </w:p>
    <w:p w14:paraId="40AB482D" w14:textId="543E36DD" w:rsidR="006765C2" w:rsidRPr="004E3668" w:rsidRDefault="003018B3" w:rsidP="008D573B">
      <w:pPr>
        <w:pBdr>
          <w:top w:val="nil"/>
          <w:left w:val="nil"/>
          <w:bottom w:val="nil"/>
          <w:right w:val="nil"/>
          <w:between w:val="nil"/>
        </w:pBdr>
        <w:jc w:val="both"/>
        <w:rPr>
          <w:rFonts w:asciiTheme="majorHAnsi" w:hAnsiTheme="majorHAnsi"/>
          <w:b/>
          <w:bCs/>
          <w:i/>
          <w:iCs/>
          <w:sz w:val="20"/>
          <w:szCs w:val="20"/>
        </w:rPr>
      </w:pPr>
      <w:r w:rsidRPr="004E3668">
        <w:rPr>
          <w:rFonts w:asciiTheme="majorHAnsi" w:hAnsiTheme="majorHAnsi"/>
          <w:b/>
          <w:bCs/>
          <w:i/>
          <w:iCs/>
          <w:sz w:val="20"/>
          <w:szCs w:val="20"/>
        </w:rPr>
        <w:t xml:space="preserve">Autres activités pertinentes </w:t>
      </w:r>
    </w:p>
    <w:p w14:paraId="646391C1" w14:textId="77777777" w:rsidR="0018551C" w:rsidRPr="004E3668" w:rsidRDefault="0018551C" w:rsidP="000076BA">
      <w:pPr>
        <w:pBdr>
          <w:top w:val="nil"/>
          <w:left w:val="nil"/>
          <w:bottom w:val="nil"/>
          <w:right w:val="nil"/>
          <w:between w:val="nil"/>
        </w:pBdr>
        <w:jc w:val="both"/>
        <w:rPr>
          <w:rFonts w:asciiTheme="majorHAnsi" w:hAnsiTheme="majorHAnsi"/>
          <w:sz w:val="20"/>
          <w:szCs w:val="20"/>
        </w:rPr>
      </w:pPr>
    </w:p>
    <w:p w14:paraId="578D96A0" w14:textId="0124AC15" w:rsidR="000076BA" w:rsidRPr="004E3668" w:rsidRDefault="000076BA" w:rsidP="000076BA">
      <w:pPr>
        <w:pBdr>
          <w:top w:val="nil"/>
          <w:left w:val="nil"/>
          <w:bottom w:val="nil"/>
          <w:right w:val="nil"/>
          <w:between w:val="nil"/>
        </w:pBdr>
        <w:jc w:val="both"/>
        <w:rPr>
          <w:rFonts w:asciiTheme="majorHAnsi" w:hAnsiTheme="majorHAnsi"/>
          <w:sz w:val="20"/>
          <w:szCs w:val="20"/>
        </w:rPr>
      </w:pPr>
      <w:r w:rsidRPr="004E3668">
        <w:rPr>
          <w:rFonts w:asciiTheme="majorHAnsi" w:hAnsiTheme="majorHAnsi"/>
          <w:sz w:val="20"/>
          <w:szCs w:val="20"/>
        </w:rPr>
        <w:t xml:space="preserve">En 2025, le Secrétariat a procédé à une amélioration majeure de l’architecture du système IOMS, réalisée en parallèle avec le développement de nouveaux modules et en pleine transparence pour </w:t>
      </w:r>
      <w:r w:rsidR="00054846">
        <w:rPr>
          <w:rFonts w:asciiTheme="majorHAnsi" w:hAnsiTheme="majorHAnsi"/>
          <w:sz w:val="20"/>
          <w:szCs w:val="20"/>
        </w:rPr>
        <w:t xml:space="preserve">les </w:t>
      </w:r>
      <w:r w:rsidRPr="004E3668">
        <w:rPr>
          <w:rFonts w:asciiTheme="majorHAnsi" w:hAnsiTheme="majorHAnsi"/>
          <w:sz w:val="20"/>
          <w:szCs w:val="20"/>
        </w:rPr>
        <w:t>utilisateurs. Cette mise à niveau garantit que l’IOMS reste évolutif, efficace et aligné sur les développements actuels des services et de l’infrastructure en nuage tout en maintenant un fonctionnement normal du service et en s’inscrivant dans le budget approuvé de l’IOMS.</w:t>
      </w:r>
    </w:p>
    <w:p w14:paraId="187218CF" w14:textId="77777777" w:rsidR="000076BA" w:rsidRPr="004E3668" w:rsidRDefault="000076BA" w:rsidP="000076BA">
      <w:pPr>
        <w:pBdr>
          <w:top w:val="nil"/>
          <w:left w:val="nil"/>
          <w:bottom w:val="nil"/>
          <w:right w:val="nil"/>
          <w:between w:val="nil"/>
        </w:pBdr>
        <w:jc w:val="both"/>
        <w:rPr>
          <w:rFonts w:asciiTheme="majorHAnsi" w:hAnsiTheme="majorHAnsi"/>
          <w:sz w:val="20"/>
          <w:szCs w:val="20"/>
        </w:rPr>
      </w:pPr>
    </w:p>
    <w:p w14:paraId="6DD849A5" w14:textId="2236B77C" w:rsidR="000076BA" w:rsidRPr="004E3668" w:rsidRDefault="000076BA" w:rsidP="000076BA">
      <w:pPr>
        <w:pBdr>
          <w:top w:val="nil"/>
          <w:left w:val="nil"/>
          <w:bottom w:val="nil"/>
          <w:right w:val="nil"/>
          <w:between w:val="nil"/>
        </w:pBdr>
        <w:jc w:val="both"/>
        <w:rPr>
          <w:rFonts w:asciiTheme="majorHAnsi" w:hAnsiTheme="majorHAnsi"/>
          <w:sz w:val="20"/>
          <w:szCs w:val="20"/>
        </w:rPr>
      </w:pPr>
      <w:r w:rsidRPr="004E3668">
        <w:rPr>
          <w:rFonts w:asciiTheme="majorHAnsi" w:hAnsiTheme="majorHAnsi"/>
          <w:sz w:val="20"/>
          <w:szCs w:val="20"/>
        </w:rPr>
        <w:t>Parallèlement, le groupe ad hoc chargé de traiter la redondance des exigences en matière de déclaration du WG-ORT a poursuivi ses travaux visant à simplifier les exigences de déclaration et de gestion de l’ICCAT, en s’appuyant sur le rapport provisoire de 2024 [PA4_807/2024] et le document du Secrétariat « Simplification des mesures de conservation et de gestion de l’ICCAT » [PLE_103/2024]. Cette initiative, soutenue par plusieurs CPC et en adéquation avec une prochaine subvention de l’UE, vise à réduire les redondances et à améliorer l’efficacité de la déclaration. En outre, le glossaire des termes et des définitions de l’IOMS, développé conjointement avec le Groupe de travail chargé d’élaborer des mesures de contrôle intégré (IMM), continue à évoluer et sera intégré dans le système d'aide de l'IOMS pour garantir la cohérence dans la terminologie employée dans l’ensemble de l’IOMS.</w:t>
      </w:r>
    </w:p>
    <w:p w14:paraId="1951CF7C" w14:textId="77777777" w:rsidR="007F7E17" w:rsidRDefault="007F7E17" w:rsidP="00987D1A">
      <w:pPr>
        <w:tabs>
          <w:tab w:val="left" w:pos="558"/>
          <w:tab w:val="left" w:pos="559"/>
          <w:tab w:val="left" w:pos="9214"/>
        </w:tabs>
        <w:jc w:val="both"/>
        <w:rPr>
          <w:rFonts w:asciiTheme="majorHAnsi" w:hAnsiTheme="majorHAnsi"/>
          <w:sz w:val="20"/>
          <w:szCs w:val="20"/>
        </w:rPr>
      </w:pPr>
    </w:p>
    <w:p w14:paraId="160BAE7D" w14:textId="77777777" w:rsidR="00D86734" w:rsidRPr="0074650B" w:rsidRDefault="00D86734" w:rsidP="00987D1A">
      <w:pPr>
        <w:tabs>
          <w:tab w:val="left" w:pos="558"/>
          <w:tab w:val="left" w:pos="559"/>
          <w:tab w:val="left" w:pos="9214"/>
        </w:tabs>
        <w:jc w:val="both"/>
        <w:rPr>
          <w:rFonts w:asciiTheme="majorHAnsi" w:hAnsiTheme="majorHAnsi"/>
          <w:sz w:val="20"/>
          <w:szCs w:val="20"/>
        </w:rPr>
      </w:pPr>
    </w:p>
    <w:p w14:paraId="5F949C7E" w14:textId="49D9185D" w:rsidR="006C30BA" w:rsidRPr="004E3668" w:rsidRDefault="00C125A0" w:rsidP="006C30BA">
      <w:pPr>
        <w:tabs>
          <w:tab w:val="left" w:pos="558"/>
          <w:tab w:val="left" w:pos="559"/>
          <w:tab w:val="left" w:pos="9214"/>
        </w:tabs>
        <w:jc w:val="both"/>
        <w:rPr>
          <w:rFonts w:asciiTheme="majorHAnsi" w:hAnsiTheme="majorHAnsi"/>
          <w:b/>
          <w:bCs/>
          <w:sz w:val="20"/>
          <w:szCs w:val="20"/>
        </w:rPr>
      </w:pPr>
      <w:r w:rsidRPr="004E3668">
        <w:rPr>
          <w:rFonts w:asciiTheme="majorHAnsi" w:hAnsiTheme="majorHAnsi"/>
          <w:b/>
          <w:bCs/>
          <w:sz w:val="20"/>
          <w:szCs w:val="20"/>
        </w:rPr>
        <w:t>Mises à jour du plan de travail du WG-ORT</w:t>
      </w:r>
    </w:p>
    <w:p w14:paraId="2A3E4AEA" w14:textId="77777777" w:rsidR="006C30BA" w:rsidRPr="004E3668" w:rsidRDefault="006C30BA" w:rsidP="006C30BA">
      <w:pPr>
        <w:tabs>
          <w:tab w:val="left" w:pos="558"/>
          <w:tab w:val="left" w:pos="559"/>
          <w:tab w:val="left" w:pos="9214"/>
        </w:tabs>
        <w:jc w:val="both"/>
        <w:rPr>
          <w:rFonts w:asciiTheme="majorHAnsi" w:hAnsiTheme="majorHAnsi"/>
          <w:b/>
          <w:bCs/>
          <w:sz w:val="20"/>
          <w:szCs w:val="20"/>
        </w:rPr>
      </w:pPr>
    </w:p>
    <w:p w14:paraId="21BAF763" w14:textId="2778952D" w:rsidR="00180007" w:rsidRPr="004E3668" w:rsidRDefault="00180007" w:rsidP="00180007">
      <w:pPr>
        <w:tabs>
          <w:tab w:val="left" w:pos="558"/>
          <w:tab w:val="left" w:pos="559"/>
          <w:tab w:val="left" w:pos="9214"/>
        </w:tabs>
        <w:jc w:val="both"/>
        <w:rPr>
          <w:rFonts w:asciiTheme="majorHAnsi" w:hAnsiTheme="majorHAnsi"/>
          <w:sz w:val="20"/>
          <w:szCs w:val="20"/>
        </w:rPr>
      </w:pPr>
      <w:r w:rsidRPr="004E3668">
        <w:rPr>
          <w:rFonts w:asciiTheme="majorHAnsi" w:hAnsiTheme="majorHAnsi"/>
          <w:sz w:val="20"/>
          <w:szCs w:val="20"/>
        </w:rPr>
        <w:t>Le WG-ORT a révisé et convenu de ne pas inclure de nouveaux modules ou des phases supplémentaires dans le plan de travail de l'IOMS en raison de la charge de travail déjà importante de l'équipe de l'IOMS et du Secrétariat pour 2025 et 2026. Le plan actuel couvre les activités prévues jusqu’à la fin de la Phase 5 (mai 2028).</w:t>
      </w:r>
    </w:p>
    <w:p w14:paraId="06C6372D" w14:textId="77777777" w:rsidR="00180007" w:rsidRPr="004E3668" w:rsidRDefault="00180007" w:rsidP="00180007">
      <w:pPr>
        <w:tabs>
          <w:tab w:val="left" w:pos="558"/>
          <w:tab w:val="left" w:pos="559"/>
          <w:tab w:val="left" w:pos="9214"/>
        </w:tabs>
        <w:jc w:val="both"/>
        <w:rPr>
          <w:rFonts w:asciiTheme="majorHAnsi" w:hAnsiTheme="majorHAnsi"/>
          <w:sz w:val="20"/>
          <w:szCs w:val="20"/>
        </w:rPr>
      </w:pPr>
    </w:p>
    <w:p w14:paraId="1CB1457E" w14:textId="62F941B2" w:rsidR="00180007" w:rsidRPr="006B3B3D" w:rsidRDefault="00180007" w:rsidP="00180007">
      <w:pPr>
        <w:tabs>
          <w:tab w:val="left" w:pos="558"/>
          <w:tab w:val="left" w:pos="559"/>
          <w:tab w:val="left" w:pos="9214"/>
        </w:tabs>
        <w:jc w:val="both"/>
        <w:rPr>
          <w:rFonts w:asciiTheme="majorHAnsi" w:hAnsiTheme="majorHAnsi"/>
          <w:sz w:val="20"/>
          <w:szCs w:val="20"/>
        </w:rPr>
      </w:pPr>
      <w:r w:rsidRPr="004E3668">
        <w:rPr>
          <w:rFonts w:asciiTheme="majorHAnsi" w:hAnsiTheme="majorHAnsi"/>
          <w:sz w:val="20"/>
          <w:szCs w:val="20"/>
        </w:rPr>
        <w:t>La mise en production des deux modules de gestionnaire de navires et de gestionnaire de formulaires a été achevée le 1er août 2025, suivi</w:t>
      </w:r>
      <w:r w:rsidR="006B3B3D">
        <w:rPr>
          <w:rFonts w:asciiTheme="majorHAnsi" w:hAnsiTheme="majorHAnsi"/>
          <w:sz w:val="20"/>
          <w:szCs w:val="20"/>
        </w:rPr>
        <w:t>e</w:t>
      </w:r>
      <w:r w:rsidRPr="004E3668">
        <w:rPr>
          <w:rFonts w:asciiTheme="majorHAnsi" w:hAnsiTheme="majorHAnsi"/>
          <w:sz w:val="20"/>
          <w:szCs w:val="20"/>
        </w:rPr>
        <w:t xml:space="preserve"> d’une période de transition de trois mois, jusqu’au 1er novembre 2025, au cours de laquelle les deux systèmes coexisteront avec la méthode de déclaration traditionnelle (par e-mail). Après cette </w:t>
      </w:r>
      <w:r w:rsidRPr="006B3B3D">
        <w:rPr>
          <w:rFonts w:asciiTheme="majorHAnsi" w:hAnsiTheme="majorHAnsi"/>
          <w:sz w:val="20"/>
          <w:szCs w:val="20"/>
        </w:rPr>
        <w:t>date, l’utilisation de ces modules deviendra obligatoire. La composante FLUX (UN/FLUX) du gestionnaire de navires continue à être développée en étroite collaboration avec l’UE.</w:t>
      </w:r>
    </w:p>
    <w:p w14:paraId="22E11276" w14:textId="77777777" w:rsidR="00180007" w:rsidRPr="006B3B3D" w:rsidRDefault="00180007" w:rsidP="00180007">
      <w:pPr>
        <w:tabs>
          <w:tab w:val="left" w:pos="558"/>
          <w:tab w:val="left" w:pos="559"/>
          <w:tab w:val="left" w:pos="9214"/>
        </w:tabs>
        <w:jc w:val="both"/>
        <w:rPr>
          <w:rFonts w:asciiTheme="majorHAnsi" w:hAnsiTheme="majorHAnsi"/>
          <w:sz w:val="20"/>
          <w:szCs w:val="20"/>
        </w:rPr>
      </w:pPr>
    </w:p>
    <w:p w14:paraId="57C3B2E9" w14:textId="393E8DCE" w:rsidR="00180007" w:rsidRPr="004E3668" w:rsidRDefault="00180007" w:rsidP="00180007">
      <w:pPr>
        <w:tabs>
          <w:tab w:val="left" w:pos="558"/>
          <w:tab w:val="left" w:pos="559"/>
          <w:tab w:val="left" w:pos="9214"/>
        </w:tabs>
        <w:jc w:val="both"/>
        <w:rPr>
          <w:rFonts w:asciiTheme="majorHAnsi" w:hAnsiTheme="majorHAnsi"/>
          <w:sz w:val="20"/>
          <w:szCs w:val="20"/>
        </w:rPr>
      </w:pPr>
      <w:r w:rsidRPr="006B3B3D">
        <w:rPr>
          <w:rFonts w:asciiTheme="majorHAnsi" w:hAnsiTheme="majorHAnsi"/>
          <w:sz w:val="20"/>
          <w:szCs w:val="20"/>
        </w:rPr>
        <w:t>Le WG-ORT a soutenu les priorités révisées pour les phases 4 et 5, qui accordent la première priorité aux modules de gestionnaire</w:t>
      </w:r>
      <w:r w:rsidRPr="004E3668">
        <w:rPr>
          <w:rFonts w:asciiTheme="majorHAnsi" w:hAnsiTheme="majorHAnsi"/>
          <w:sz w:val="20"/>
          <w:szCs w:val="20"/>
        </w:rPr>
        <w:t xml:space="preserve"> de T1NC, de gestionnaire de COCT et de gestionnaire de T2CE, tandis que le gestionnaire des feuilles de contrôle pour les requins/istiophoridés, le gestionnaire des SDP (SWO/BET) et le gestionnaire des rapports périodiques de BFT ont été reprogrammés et passent à des niveaux de moindre priorité. Le développement du gestionnaire des feuilles de contrôle pour les requins/istiophoridés sera retardé dans l’attente de la révision de leurs modèles par la Sous-commission 4, en coordination avec le Comité d’application et la Commission. Le document COC_321/2025 comporte des orientations additionnelles visant à simplifier les feuilles de contrôle pour les requins et les istiophoridés. </w:t>
      </w:r>
    </w:p>
    <w:p w14:paraId="4CAB5F98" w14:textId="77777777" w:rsidR="00951079" w:rsidRDefault="00951079">
      <w:pPr>
        <w:rPr>
          <w:rFonts w:asciiTheme="majorHAnsi" w:hAnsiTheme="majorHAnsi"/>
          <w:sz w:val="20"/>
          <w:szCs w:val="20"/>
        </w:rPr>
      </w:pPr>
      <w:r>
        <w:rPr>
          <w:rFonts w:asciiTheme="majorHAnsi" w:hAnsiTheme="majorHAnsi"/>
          <w:sz w:val="20"/>
          <w:szCs w:val="20"/>
        </w:rPr>
        <w:br w:type="page"/>
      </w:r>
    </w:p>
    <w:p w14:paraId="03C1DA47" w14:textId="11962345" w:rsidR="006C30BA" w:rsidRPr="004E3668" w:rsidRDefault="00180007" w:rsidP="006C30BA">
      <w:pPr>
        <w:tabs>
          <w:tab w:val="left" w:pos="558"/>
          <w:tab w:val="left" w:pos="559"/>
          <w:tab w:val="left" w:pos="9214"/>
        </w:tabs>
        <w:jc w:val="both"/>
        <w:rPr>
          <w:rFonts w:asciiTheme="majorHAnsi" w:hAnsiTheme="majorHAnsi"/>
          <w:sz w:val="20"/>
          <w:szCs w:val="20"/>
        </w:rPr>
      </w:pPr>
      <w:r w:rsidRPr="004E3668">
        <w:rPr>
          <w:rFonts w:asciiTheme="majorHAnsi" w:hAnsiTheme="majorHAnsi"/>
          <w:sz w:val="20"/>
          <w:szCs w:val="20"/>
        </w:rPr>
        <w:lastRenderedPageBreak/>
        <w:t xml:space="preserve">Le plan de travail actualisé (résumé au tableau 3 </w:t>
      </w:r>
      <w:r w:rsidR="009913D7" w:rsidRPr="004E3668">
        <w:rPr>
          <w:rFonts w:asciiTheme="majorHAnsi" w:hAnsiTheme="majorHAnsi"/>
          <w:sz w:val="20"/>
          <w:szCs w:val="20"/>
        </w:rPr>
        <w:t xml:space="preserve">du </w:t>
      </w:r>
      <w:hyperlink r:id="rId15" w:history="1">
        <w:r w:rsidR="009913D7" w:rsidRPr="004E3668">
          <w:rPr>
            <w:rStyle w:val="Hyperlink"/>
            <w:rFonts w:asciiTheme="majorHAnsi" w:hAnsiTheme="majorHAnsi"/>
            <w:sz w:val="20"/>
            <w:szCs w:val="20"/>
            <w:u w:val="none"/>
          </w:rPr>
          <w:t>COC_302/2025</w:t>
        </w:r>
      </w:hyperlink>
      <w:r w:rsidRPr="004E3668">
        <w:rPr>
          <w:rFonts w:asciiTheme="majorHAnsi" w:hAnsiTheme="majorHAnsi"/>
          <w:sz w:val="20"/>
          <w:szCs w:val="20"/>
        </w:rPr>
        <w:t>) fournit une feuille de route réaliste pour le développement de l’IOMS jusqu’en 2028, maintenant un équilibre entre la charge de travail du Secrétariat, la phase de consolidation du système et les priorités fixées par la Commission.</w:t>
      </w:r>
    </w:p>
    <w:p w14:paraId="3FB39939" w14:textId="17D71AD9" w:rsidR="0046759D" w:rsidRDefault="0046759D" w:rsidP="002D1D32">
      <w:pPr>
        <w:pStyle w:val="BodyText"/>
        <w:rPr>
          <w:rFonts w:asciiTheme="majorHAnsi" w:hAnsiTheme="majorHAnsi"/>
        </w:rPr>
      </w:pPr>
      <w:bookmarkStart w:id="0" w:name="_heading=h.gjdgxs"/>
      <w:bookmarkEnd w:id="0"/>
    </w:p>
    <w:p w14:paraId="0690095F" w14:textId="77777777" w:rsidR="00D86734" w:rsidRPr="004E3668" w:rsidRDefault="00D86734" w:rsidP="002D1D32">
      <w:pPr>
        <w:pStyle w:val="BodyText"/>
        <w:rPr>
          <w:rFonts w:asciiTheme="majorHAnsi" w:hAnsiTheme="majorHAnsi"/>
        </w:rPr>
      </w:pPr>
    </w:p>
    <w:p w14:paraId="295AD6A7" w14:textId="322DBE9D" w:rsidR="008A419C" w:rsidRPr="004E3668" w:rsidRDefault="008A419C" w:rsidP="008A419C">
      <w:pPr>
        <w:pBdr>
          <w:top w:val="nil"/>
          <w:left w:val="nil"/>
          <w:bottom w:val="nil"/>
          <w:right w:val="nil"/>
          <w:between w:val="nil"/>
        </w:pBdr>
        <w:tabs>
          <w:tab w:val="left" w:pos="9214"/>
        </w:tabs>
        <w:ind w:right="214"/>
        <w:jc w:val="both"/>
        <w:rPr>
          <w:rFonts w:asciiTheme="majorHAnsi" w:hAnsiTheme="majorHAnsi"/>
          <w:b/>
          <w:color w:val="000000"/>
          <w:sz w:val="20"/>
          <w:szCs w:val="20"/>
        </w:rPr>
      </w:pPr>
      <w:r w:rsidRPr="004E3668">
        <w:rPr>
          <w:rFonts w:asciiTheme="majorHAnsi" w:hAnsiTheme="majorHAnsi"/>
          <w:b/>
          <w:color w:val="000000"/>
          <w:sz w:val="20"/>
          <w:szCs w:val="20"/>
        </w:rPr>
        <w:t>Travaux intersessions de 2025</w:t>
      </w:r>
    </w:p>
    <w:p w14:paraId="1CE98050" w14:textId="77777777" w:rsidR="008A419C" w:rsidRPr="0074650B" w:rsidRDefault="008A419C" w:rsidP="008A419C">
      <w:pPr>
        <w:pBdr>
          <w:top w:val="nil"/>
          <w:left w:val="nil"/>
          <w:bottom w:val="nil"/>
          <w:right w:val="nil"/>
          <w:between w:val="nil"/>
        </w:pBdr>
        <w:tabs>
          <w:tab w:val="left" w:pos="9214"/>
        </w:tabs>
        <w:ind w:right="214"/>
        <w:jc w:val="both"/>
        <w:rPr>
          <w:rFonts w:asciiTheme="majorHAnsi" w:hAnsiTheme="majorHAnsi"/>
          <w:b/>
          <w:color w:val="000000"/>
          <w:sz w:val="20"/>
          <w:szCs w:val="20"/>
          <w:u w:val="single"/>
        </w:rPr>
      </w:pPr>
    </w:p>
    <w:p w14:paraId="34BDF683" w14:textId="6DBCAFFA" w:rsidR="00C5011A" w:rsidRPr="004E3668" w:rsidRDefault="00C5011A" w:rsidP="00C5011A">
      <w:pPr>
        <w:pBdr>
          <w:top w:val="nil"/>
          <w:left w:val="nil"/>
          <w:bottom w:val="nil"/>
          <w:right w:val="nil"/>
          <w:between w:val="nil"/>
        </w:pBdr>
        <w:jc w:val="both"/>
        <w:rPr>
          <w:rFonts w:asciiTheme="majorHAnsi" w:hAnsiTheme="majorHAnsi"/>
          <w:color w:val="000000"/>
          <w:sz w:val="20"/>
          <w:szCs w:val="20"/>
        </w:rPr>
      </w:pPr>
      <w:r w:rsidRPr="004E3668">
        <w:rPr>
          <w:rFonts w:asciiTheme="majorHAnsi" w:hAnsiTheme="majorHAnsi"/>
          <w:sz w:val="20"/>
          <w:szCs w:val="20"/>
        </w:rPr>
        <w:t xml:space="preserve">En plus des diverses améliorations de l'IOMS discutées/adoptées (tableau 2 </w:t>
      </w:r>
      <w:r w:rsidR="009913D7" w:rsidRPr="004E3668">
        <w:rPr>
          <w:rFonts w:asciiTheme="majorHAnsi" w:hAnsiTheme="majorHAnsi"/>
          <w:sz w:val="20"/>
          <w:szCs w:val="20"/>
        </w:rPr>
        <w:t xml:space="preserve">du </w:t>
      </w:r>
      <w:hyperlink r:id="rId16" w:history="1">
        <w:r w:rsidR="009913D7" w:rsidRPr="004E3668">
          <w:rPr>
            <w:rStyle w:val="Hyperlink"/>
            <w:rFonts w:asciiTheme="majorHAnsi" w:hAnsiTheme="majorHAnsi"/>
            <w:sz w:val="20"/>
            <w:szCs w:val="20"/>
            <w:u w:val="none"/>
          </w:rPr>
          <w:t>COC_302/2025</w:t>
        </w:r>
      </w:hyperlink>
      <w:r w:rsidRPr="004E3668">
        <w:rPr>
          <w:rFonts w:asciiTheme="majorHAnsi" w:hAnsiTheme="majorHAnsi"/>
          <w:sz w:val="20"/>
          <w:szCs w:val="20"/>
        </w:rPr>
        <w:t>), le WG-ORT, en collaboration avec le Secrétariat, a planifié la liste suivante de travaux intersessions :</w:t>
      </w:r>
    </w:p>
    <w:p w14:paraId="76A6DD52" w14:textId="77777777" w:rsidR="00C5011A" w:rsidRPr="004E3668" w:rsidRDefault="00C5011A" w:rsidP="00C5011A">
      <w:pPr>
        <w:pBdr>
          <w:top w:val="nil"/>
          <w:left w:val="nil"/>
          <w:bottom w:val="nil"/>
          <w:right w:val="nil"/>
          <w:between w:val="nil"/>
        </w:pBdr>
        <w:rPr>
          <w:rFonts w:asciiTheme="majorHAnsi" w:hAnsiTheme="majorHAnsi"/>
          <w:color w:val="000000"/>
          <w:sz w:val="20"/>
          <w:szCs w:val="20"/>
        </w:rPr>
      </w:pPr>
    </w:p>
    <w:p w14:paraId="7A859BE8" w14:textId="77777777" w:rsidR="00C5011A" w:rsidRPr="004E3668" w:rsidRDefault="00C5011A" w:rsidP="00011B83">
      <w:pPr>
        <w:pStyle w:val="NormalWeb"/>
        <w:spacing w:before="0" w:beforeAutospacing="0" w:after="60" w:afterAutospacing="0"/>
        <w:rPr>
          <w:rFonts w:asciiTheme="majorHAnsi" w:hAnsiTheme="majorHAnsi"/>
          <w:color w:val="FF0000"/>
          <w:sz w:val="20"/>
          <w:szCs w:val="20"/>
        </w:rPr>
      </w:pPr>
      <w:r w:rsidRPr="004E3668">
        <w:rPr>
          <w:rFonts w:asciiTheme="majorHAnsi" w:hAnsiTheme="majorHAnsi"/>
          <w:sz w:val="20"/>
          <w:szCs w:val="20"/>
        </w:rPr>
        <w:t>Actions de suivi et tâches intersessions du WG-ORT :</w:t>
      </w:r>
      <w:r w:rsidRPr="004E3668">
        <w:rPr>
          <w:rFonts w:asciiTheme="majorHAnsi" w:hAnsiTheme="majorHAnsi"/>
          <w:color w:val="FF0000"/>
          <w:sz w:val="20"/>
          <w:szCs w:val="20"/>
        </w:rPr>
        <w:t> </w:t>
      </w:r>
    </w:p>
    <w:p w14:paraId="22582259" w14:textId="77777777" w:rsidR="00BD067D" w:rsidRPr="004E3668" w:rsidRDefault="00BD067D" w:rsidP="00011B83">
      <w:pPr>
        <w:pStyle w:val="NormalWeb"/>
        <w:spacing w:before="0" w:beforeAutospacing="0" w:after="60" w:afterAutospacing="0"/>
        <w:rPr>
          <w:rFonts w:asciiTheme="majorHAnsi" w:hAnsiTheme="majorHAnsi"/>
          <w:color w:val="FF0000"/>
          <w:sz w:val="20"/>
          <w:szCs w:val="20"/>
        </w:rPr>
      </w:pPr>
    </w:p>
    <w:p w14:paraId="0A7D751D" w14:textId="4AE6B045" w:rsidR="00C5011A" w:rsidRPr="004E3668" w:rsidRDefault="00C5011A" w:rsidP="0018551C">
      <w:pPr>
        <w:pStyle w:val="NormalWeb"/>
        <w:numPr>
          <w:ilvl w:val="0"/>
          <w:numId w:val="18"/>
        </w:numPr>
        <w:spacing w:before="0" w:beforeAutospacing="0" w:after="60" w:afterAutospacing="0"/>
        <w:ind w:left="851" w:hanging="425"/>
        <w:jc w:val="both"/>
        <w:textAlignment w:val="baseline"/>
        <w:rPr>
          <w:rFonts w:asciiTheme="majorHAnsi" w:hAnsiTheme="majorHAnsi"/>
          <w:b/>
          <w:bCs/>
          <w:color w:val="000000"/>
          <w:sz w:val="20"/>
          <w:szCs w:val="20"/>
        </w:rPr>
      </w:pPr>
      <w:r w:rsidRPr="004E3668">
        <w:rPr>
          <w:rFonts w:asciiTheme="majorHAnsi" w:hAnsiTheme="majorHAnsi"/>
          <w:color w:val="000000"/>
          <w:sz w:val="20"/>
          <w:szCs w:val="20"/>
        </w:rPr>
        <w:t xml:space="preserve">Examiner et adopter le rapport de la réunion de février 2025, y compris les modifications du plan de travail. </w:t>
      </w:r>
      <w:r w:rsidRPr="004E3668">
        <w:rPr>
          <w:rFonts w:asciiTheme="majorHAnsi" w:hAnsiTheme="majorHAnsi"/>
          <w:b/>
          <w:bCs/>
          <w:color w:val="000000"/>
          <w:sz w:val="20"/>
          <w:szCs w:val="20"/>
        </w:rPr>
        <w:t>Le WG-ORT a adopté son rapport. </w:t>
      </w:r>
    </w:p>
    <w:p w14:paraId="43934CC4" w14:textId="77777777" w:rsidR="00800967" w:rsidRPr="004E3668" w:rsidRDefault="00800967" w:rsidP="00800967">
      <w:pPr>
        <w:pStyle w:val="NormalWeb"/>
        <w:spacing w:before="0" w:beforeAutospacing="0" w:after="0" w:afterAutospacing="0"/>
        <w:ind w:left="851"/>
        <w:jc w:val="both"/>
        <w:textAlignment w:val="baseline"/>
        <w:rPr>
          <w:rFonts w:asciiTheme="majorHAnsi" w:hAnsiTheme="majorHAnsi"/>
          <w:b/>
          <w:bCs/>
          <w:color w:val="000000"/>
          <w:sz w:val="20"/>
          <w:szCs w:val="20"/>
          <w:lang w:val="es-ES"/>
        </w:rPr>
      </w:pPr>
    </w:p>
    <w:p w14:paraId="30DBA7BB" w14:textId="57E8F45F" w:rsidR="007221B9" w:rsidRPr="004E3668" w:rsidRDefault="007221B9" w:rsidP="00FB06B9">
      <w:pPr>
        <w:pStyle w:val="ListParagraph"/>
        <w:widowControl/>
        <w:numPr>
          <w:ilvl w:val="0"/>
          <w:numId w:val="18"/>
        </w:numPr>
        <w:spacing w:line="240" w:lineRule="auto"/>
        <w:ind w:left="851" w:hanging="425"/>
        <w:jc w:val="both"/>
        <w:rPr>
          <w:rFonts w:asciiTheme="majorHAnsi" w:eastAsiaTheme="minorHAnsi" w:hAnsiTheme="majorHAnsi" w:cs="Aptos"/>
          <w:b/>
          <w:bCs/>
          <w:color w:val="000000"/>
          <w:sz w:val="20"/>
          <w:szCs w:val="20"/>
        </w:rPr>
      </w:pPr>
      <w:r w:rsidRPr="004E3668">
        <w:rPr>
          <w:rFonts w:asciiTheme="majorHAnsi" w:hAnsiTheme="majorHAnsi"/>
          <w:color w:val="000000"/>
          <w:sz w:val="20"/>
          <w:szCs w:val="20"/>
        </w:rPr>
        <w:t xml:space="preserve">En ce qui concerne le rapport annuel : le Secrétariat de l’ICCAT travaillera tout au long de la période intersessions de 2025, en consultation avec l'équipe de développement de l'IOMS et les Présidents du STACFAD, du Comité d'application et du WG-ORT, afin de déterminer les coûts associés à la traduction proposée. Des détails complets figurent dans le « Document d’information: Traduction des données et des documents du Système intégré de gestion en ligne (IOMS) » [COC_317/2024]. Un rapport sera présenté au STACFAD lors de la 29e réunion ordinaire de la Commission pour examen dans le cadre du budget biennal 2026-2027. Le Président du WG-ORT présentera également une mise à jour au Comité d’application au cours de la même réunion. </w:t>
      </w:r>
      <w:r w:rsidRPr="004E3668">
        <w:rPr>
          <w:rFonts w:asciiTheme="majorHAnsi" w:hAnsiTheme="majorHAnsi"/>
          <w:b/>
          <w:color w:val="000000"/>
          <w:sz w:val="20"/>
          <w:szCs w:val="20"/>
        </w:rPr>
        <w:t xml:space="preserve">Cette tâche a été effectuée pendant la période intersessions et est présentée au Comité dans le </w:t>
      </w:r>
      <w:r w:rsidRPr="004E3668">
        <w:rPr>
          <w:rFonts w:asciiTheme="majorHAnsi" w:hAnsiTheme="majorHAnsi"/>
          <w:b/>
          <w:bCs/>
          <w:color w:val="000000"/>
          <w:sz w:val="20"/>
          <w:szCs w:val="20"/>
        </w:rPr>
        <w:t>document COC_319/2025.</w:t>
      </w:r>
    </w:p>
    <w:p w14:paraId="163E50D5" w14:textId="77777777" w:rsidR="00FB06B9" w:rsidRPr="004E3668" w:rsidRDefault="00FB06B9" w:rsidP="00FB06B9">
      <w:pPr>
        <w:pStyle w:val="ListParagraph"/>
        <w:widowControl/>
        <w:spacing w:line="240" w:lineRule="auto"/>
        <w:ind w:left="851" w:firstLine="0"/>
        <w:jc w:val="both"/>
        <w:rPr>
          <w:rFonts w:asciiTheme="majorHAnsi" w:eastAsiaTheme="minorHAnsi" w:hAnsiTheme="majorHAnsi" w:cs="Aptos"/>
          <w:b/>
          <w:bCs/>
          <w:color w:val="000000"/>
          <w:sz w:val="20"/>
          <w:szCs w:val="20"/>
          <w:lang w:eastAsia="en-GB"/>
        </w:rPr>
      </w:pPr>
    </w:p>
    <w:p w14:paraId="655236EB" w14:textId="0D06AC5B" w:rsidR="007221B9" w:rsidRPr="004E3668" w:rsidRDefault="007221B9" w:rsidP="00FB06B9">
      <w:pPr>
        <w:pStyle w:val="ListParagraph"/>
        <w:widowControl/>
        <w:numPr>
          <w:ilvl w:val="0"/>
          <w:numId w:val="18"/>
        </w:numPr>
        <w:spacing w:line="240" w:lineRule="auto"/>
        <w:ind w:left="851" w:hanging="425"/>
        <w:jc w:val="both"/>
        <w:rPr>
          <w:rFonts w:asciiTheme="majorHAnsi" w:eastAsiaTheme="minorHAnsi" w:hAnsiTheme="majorHAnsi" w:cs="Aptos"/>
          <w:b/>
          <w:bCs/>
          <w:color w:val="000000"/>
          <w:sz w:val="20"/>
          <w:szCs w:val="20"/>
        </w:rPr>
      </w:pPr>
      <w:r w:rsidRPr="004E3668">
        <w:rPr>
          <w:rFonts w:asciiTheme="majorHAnsi" w:hAnsiTheme="majorHAnsi"/>
          <w:color w:val="000000"/>
          <w:sz w:val="20"/>
          <w:szCs w:val="20"/>
        </w:rPr>
        <w:t xml:space="preserve">Accessibilité et fonctionnalités de recherche au sein de l'IOMS: L'équipe de développement de l'IOMS étudiera les mesures à prendre pour permettre aux CPC de consulter, trier, filtrer et rechercher les documents de déclaration complétés (section 3 du rapport annuel) d'autres CPC dans l’environnement de l'IOMS. </w:t>
      </w:r>
      <w:r w:rsidRPr="004E3668">
        <w:rPr>
          <w:rFonts w:asciiTheme="majorHAnsi" w:hAnsiTheme="majorHAnsi"/>
          <w:b/>
          <w:color w:val="000000"/>
          <w:sz w:val="20"/>
          <w:szCs w:val="20"/>
        </w:rPr>
        <w:t>L’équipe de développement de l’</w:t>
      </w:r>
      <w:r w:rsidRPr="004E3668">
        <w:rPr>
          <w:rFonts w:asciiTheme="majorHAnsi" w:hAnsiTheme="majorHAnsi"/>
          <w:b/>
          <w:bCs/>
          <w:color w:val="000000"/>
          <w:sz w:val="20"/>
          <w:szCs w:val="20"/>
        </w:rPr>
        <w:t>IOMS poursuit ses travaux sur cette tâche</w:t>
      </w:r>
      <w:r w:rsidR="004E10E5">
        <w:rPr>
          <w:rFonts w:asciiTheme="majorHAnsi" w:hAnsiTheme="majorHAnsi"/>
          <w:b/>
          <w:bCs/>
          <w:color w:val="000000"/>
          <w:sz w:val="20"/>
          <w:szCs w:val="20"/>
        </w:rPr>
        <w:t>.</w:t>
      </w:r>
    </w:p>
    <w:p w14:paraId="2D10E0E9" w14:textId="77777777" w:rsidR="00846F2C" w:rsidRPr="004E3668" w:rsidRDefault="00846F2C" w:rsidP="00846F2C">
      <w:pPr>
        <w:pStyle w:val="ListParagraph"/>
        <w:rPr>
          <w:rFonts w:asciiTheme="majorHAnsi" w:eastAsiaTheme="minorHAnsi" w:hAnsiTheme="majorHAnsi" w:cs="Aptos"/>
          <w:color w:val="000000"/>
          <w:sz w:val="20"/>
          <w:szCs w:val="20"/>
          <w:lang w:eastAsia="en-GB"/>
        </w:rPr>
      </w:pPr>
    </w:p>
    <w:p w14:paraId="2BF3C78A" w14:textId="77777777" w:rsidR="00DE308C" w:rsidRPr="00DE308C" w:rsidRDefault="00DE308C" w:rsidP="00DE308C">
      <w:pPr>
        <w:pStyle w:val="ListParagraph"/>
        <w:widowControl/>
        <w:numPr>
          <w:ilvl w:val="0"/>
          <w:numId w:val="18"/>
        </w:numPr>
        <w:spacing w:line="240" w:lineRule="auto"/>
        <w:ind w:left="851" w:hanging="425"/>
        <w:jc w:val="both"/>
        <w:rPr>
          <w:rFonts w:eastAsia="Calibri" w:cs="Aptos"/>
          <w:b/>
          <w:bCs/>
          <w:color w:val="000000"/>
          <w:sz w:val="20"/>
          <w:szCs w:val="20"/>
        </w:rPr>
      </w:pPr>
      <w:r w:rsidRPr="00DE308C">
        <w:rPr>
          <w:rFonts w:asciiTheme="majorHAnsi" w:hAnsiTheme="majorHAnsi"/>
          <w:color w:val="000000"/>
          <w:sz w:val="20"/>
          <w:szCs w:val="20"/>
        </w:rPr>
        <w:t>Formats</w:t>
      </w:r>
      <w:r w:rsidRPr="00DE308C">
        <w:rPr>
          <w:rFonts w:eastAsia="Aptos" w:cs="Times New Roman"/>
          <w:color w:val="000000"/>
          <w:kern w:val="2"/>
          <w:sz w:val="20"/>
          <w:szCs w:val="24"/>
          <w14:ligatures w14:val="standardContextual"/>
        </w:rPr>
        <w:t xml:space="preserve"> de soumission des données : l'équipe de développement de l'IOMS évaluera la faisabilité d'utiliser des formats ouverts et non propriétaires pour la soumission des formulaires standardisés de l’ICCAT gérés par le gestionnaire de formulaires. </w:t>
      </w:r>
      <w:r w:rsidRPr="00DE308C">
        <w:rPr>
          <w:rFonts w:eastAsia="Aptos" w:cs="Times New Roman"/>
          <w:b/>
          <w:color w:val="000000"/>
          <w:kern w:val="2"/>
          <w:sz w:val="20"/>
          <w:szCs w:val="24"/>
          <w14:ligatures w14:val="standardContextual"/>
        </w:rPr>
        <w:t>L'équipe de développement de l'IOMS travaille sur cette tâche, qui est en voie d'achèvement.</w:t>
      </w:r>
    </w:p>
    <w:p w14:paraId="423AD658" w14:textId="77777777" w:rsidR="00DE308C" w:rsidRPr="00DE308C" w:rsidRDefault="00DE308C" w:rsidP="00DE308C">
      <w:pPr>
        <w:ind w:left="558" w:hanging="341"/>
        <w:rPr>
          <w:rFonts w:eastAsia="Calibri" w:cs="Aptos"/>
          <w:color w:val="000000"/>
          <w:sz w:val="20"/>
          <w:szCs w:val="20"/>
          <w:lang w:eastAsia="en-GB"/>
        </w:rPr>
      </w:pPr>
    </w:p>
    <w:p w14:paraId="663DC64F" w14:textId="77777777" w:rsidR="00DE308C" w:rsidRPr="00DE308C" w:rsidRDefault="00DE308C" w:rsidP="00DE308C">
      <w:pPr>
        <w:pStyle w:val="ListParagraph"/>
        <w:widowControl/>
        <w:numPr>
          <w:ilvl w:val="0"/>
          <w:numId w:val="18"/>
        </w:numPr>
        <w:spacing w:line="240" w:lineRule="auto"/>
        <w:ind w:left="851" w:hanging="425"/>
        <w:jc w:val="both"/>
        <w:rPr>
          <w:rFonts w:eastAsia="Calibri" w:cs="Aptos"/>
          <w:b/>
          <w:bCs/>
          <w:color w:val="000000"/>
          <w:sz w:val="20"/>
          <w:szCs w:val="20"/>
        </w:rPr>
      </w:pPr>
      <w:r w:rsidRPr="00DE308C">
        <w:rPr>
          <w:rFonts w:eastAsia="Aptos" w:cs="Times New Roman"/>
          <w:color w:val="000000"/>
          <w:kern w:val="2"/>
          <w:sz w:val="20"/>
          <w:szCs w:val="24"/>
          <w14:ligatures w14:val="standardContextual"/>
        </w:rPr>
        <w:t xml:space="preserve">Accès public à certaines données de l’IOMS: le Secrétariat préparera une proposition pour la </w:t>
      </w:r>
      <w:r w:rsidRPr="00DE308C">
        <w:rPr>
          <w:rFonts w:asciiTheme="majorHAnsi" w:hAnsiTheme="majorHAnsi"/>
          <w:color w:val="000000"/>
          <w:sz w:val="20"/>
          <w:szCs w:val="20"/>
        </w:rPr>
        <w:t>prochaine</w:t>
      </w:r>
      <w:r w:rsidRPr="00DE308C">
        <w:rPr>
          <w:rFonts w:eastAsia="Aptos" w:cs="Times New Roman"/>
          <w:color w:val="000000"/>
          <w:kern w:val="2"/>
          <w:sz w:val="20"/>
          <w:szCs w:val="24"/>
          <w14:ligatures w14:val="standardContextual"/>
        </w:rPr>
        <w:t xml:space="preserve"> réunion du WG-ORT sur la manière de rendre publiques les données appropriées de l’IOMS, conformément à la politique de confidentialité des données de l'ICCAT. </w:t>
      </w:r>
      <w:r w:rsidRPr="00DE308C">
        <w:rPr>
          <w:rFonts w:eastAsia="Aptos" w:cs="Times New Roman"/>
          <w:b/>
          <w:color w:val="000000"/>
          <w:kern w:val="2"/>
          <w:sz w:val="20"/>
          <w:szCs w:val="24"/>
          <w14:ligatures w14:val="standardContextual"/>
        </w:rPr>
        <w:t>Le Secrétariat travaille toujours sur cette tâche.</w:t>
      </w:r>
    </w:p>
    <w:p w14:paraId="6AEDA475" w14:textId="77777777" w:rsidR="00DE308C" w:rsidRPr="00DE308C" w:rsidRDefault="00DE308C" w:rsidP="00DE308C">
      <w:pPr>
        <w:ind w:left="558" w:hanging="341"/>
        <w:rPr>
          <w:rFonts w:eastAsia="Calibri" w:cs="Aptos"/>
          <w:b/>
          <w:bCs/>
          <w:color w:val="000000"/>
          <w:sz w:val="20"/>
          <w:szCs w:val="20"/>
          <w:lang w:val="en-GB" w:eastAsia="en-GB"/>
        </w:rPr>
      </w:pPr>
    </w:p>
    <w:p w14:paraId="39CAFB97" w14:textId="77777777" w:rsidR="00DE308C" w:rsidRPr="00DE308C" w:rsidRDefault="00DE308C" w:rsidP="00DE308C">
      <w:pPr>
        <w:pStyle w:val="ListParagraph"/>
        <w:widowControl/>
        <w:numPr>
          <w:ilvl w:val="0"/>
          <w:numId w:val="18"/>
        </w:numPr>
        <w:spacing w:line="240" w:lineRule="auto"/>
        <w:ind w:left="851" w:hanging="425"/>
        <w:jc w:val="both"/>
        <w:rPr>
          <w:rFonts w:eastAsia="Calibri" w:cs="Aptos"/>
          <w:b/>
          <w:bCs/>
          <w:color w:val="000000"/>
          <w:sz w:val="20"/>
          <w:szCs w:val="20"/>
        </w:rPr>
      </w:pPr>
      <w:r w:rsidRPr="00DE308C">
        <w:rPr>
          <w:rFonts w:eastAsia="Aptos" w:cs="Times New Roman"/>
          <w:color w:val="000000"/>
          <w:kern w:val="2"/>
          <w:sz w:val="20"/>
          <w:szCs w:val="24"/>
          <w14:ligatures w14:val="standardContextual"/>
        </w:rPr>
        <w:t xml:space="preserve">Simplification des feuilles de contrôle pour les requins et les istiophoridés: le Président et le Secrétariat élaboreront une proposition, en consultation avec les Présidents du COC et de la Sous-commission 4, afin de simplifier la structure de ces modèles et de réduire les redondances. </w:t>
      </w:r>
      <w:r w:rsidRPr="00DE308C">
        <w:rPr>
          <w:rFonts w:eastAsia="Aptos" w:cs="Times New Roman"/>
          <w:b/>
          <w:color w:val="000000"/>
          <w:kern w:val="2"/>
          <w:sz w:val="20"/>
          <w:szCs w:val="24"/>
          <w14:ligatures w14:val="standardContextual"/>
        </w:rPr>
        <w:t>Cette tâche a été effectuée pendant la période intersessions et est présentée au Comité dans le document COC_320/2025.</w:t>
      </w:r>
    </w:p>
    <w:p w14:paraId="3B2296AA" w14:textId="77777777" w:rsidR="00DE308C" w:rsidRPr="00DE308C" w:rsidRDefault="00DE308C" w:rsidP="00DE308C">
      <w:pPr>
        <w:ind w:left="558" w:hanging="341"/>
        <w:rPr>
          <w:rFonts w:eastAsia="Calibri" w:cs="Aptos"/>
          <w:color w:val="000000"/>
          <w:sz w:val="20"/>
          <w:szCs w:val="20"/>
          <w:lang w:eastAsia="en-GB"/>
        </w:rPr>
      </w:pPr>
    </w:p>
    <w:p w14:paraId="38FAC42F" w14:textId="097788C0" w:rsidR="00DE308C" w:rsidRPr="00DE308C" w:rsidRDefault="00DE308C" w:rsidP="00DE308C">
      <w:pPr>
        <w:pStyle w:val="ListParagraph"/>
        <w:widowControl/>
        <w:numPr>
          <w:ilvl w:val="0"/>
          <w:numId w:val="18"/>
        </w:numPr>
        <w:spacing w:line="240" w:lineRule="auto"/>
        <w:ind w:left="851" w:hanging="425"/>
        <w:jc w:val="both"/>
        <w:rPr>
          <w:rFonts w:eastAsia="Calibri" w:cs="Aptos"/>
          <w:b/>
          <w:bCs/>
          <w:color w:val="000000"/>
          <w:sz w:val="20"/>
          <w:szCs w:val="20"/>
        </w:rPr>
      </w:pPr>
      <w:r w:rsidRPr="00DE308C">
        <w:rPr>
          <w:rFonts w:eastAsia="Aptos" w:cs="Times New Roman"/>
          <w:color w:val="000000"/>
          <w:kern w:val="2"/>
          <w:sz w:val="20"/>
          <w:szCs w:val="24"/>
          <w14:ligatures w14:val="standardContextual"/>
        </w:rPr>
        <w:t xml:space="preserve">Élimination des redondances : le groupe de travail ad hoc chargé d'examiner les redondances dans les exigences en matière de déclaration </w:t>
      </w:r>
      <w:r w:rsidR="00D86734">
        <w:rPr>
          <w:rFonts w:eastAsia="Aptos" w:cs="Times New Roman"/>
          <w:color w:val="000000"/>
          <w:kern w:val="2"/>
          <w:sz w:val="20"/>
          <w:szCs w:val="24"/>
          <w14:ligatures w14:val="standardContextual"/>
        </w:rPr>
        <w:t xml:space="preserve">du </w:t>
      </w:r>
      <w:r w:rsidR="00D86734" w:rsidRPr="00DE308C">
        <w:rPr>
          <w:rFonts w:eastAsia="Aptos" w:cs="Times New Roman"/>
          <w:color w:val="000000"/>
          <w:kern w:val="2"/>
          <w:sz w:val="20"/>
          <w:szCs w:val="24"/>
          <w14:ligatures w14:val="standardContextual"/>
        </w:rPr>
        <w:t xml:space="preserve">WG-ORT </w:t>
      </w:r>
      <w:r w:rsidRPr="00DE308C">
        <w:rPr>
          <w:rFonts w:eastAsia="Aptos" w:cs="Times New Roman"/>
          <w:color w:val="000000"/>
          <w:kern w:val="2"/>
          <w:sz w:val="20"/>
          <w:szCs w:val="24"/>
          <w14:ligatures w14:val="standardContextual"/>
        </w:rPr>
        <w:t xml:space="preserve">aidera à élaborer des lignes directrices à l'intention d'un consultant afin de soutenir ce processus. </w:t>
      </w:r>
      <w:r w:rsidRPr="00DE308C">
        <w:rPr>
          <w:rFonts w:eastAsia="Aptos" w:cs="Times New Roman"/>
          <w:b/>
          <w:color w:val="000000"/>
          <w:kern w:val="2"/>
          <w:sz w:val="20"/>
          <w:szCs w:val="24"/>
          <w14:ligatures w14:val="standardContextual"/>
        </w:rPr>
        <w:t>Cette tâche est toujours en cours.</w:t>
      </w:r>
    </w:p>
    <w:p w14:paraId="36DA4F52" w14:textId="77777777" w:rsidR="007F7E17" w:rsidRDefault="007F7E17" w:rsidP="0054384D">
      <w:pPr>
        <w:pBdr>
          <w:top w:val="nil"/>
          <w:left w:val="nil"/>
          <w:bottom w:val="nil"/>
          <w:right w:val="nil"/>
          <w:between w:val="nil"/>
        </w:pBdr>
        <w:tabs>
          <w:tab w:val="left" w:pos="9214"/>
        </w:tabs>
        <w:rPr>
          <w:rFonts w:asciiTheme="majorHAnsi" w:hAnsiTheme="majorHAnsi"/>
          <w:b/>
          <w:color w:val="000000"/>
          <w:sz w:val="20"/>
          <w:szCs w:val="20"/>
          <w:highlight w:val="magenta"/>
          <w:u w:val="single"/>
        </w:rPr>
      </w:pPr>
    </w:p>
    <w:p w14:paraId="2B173E38" w14:textId="77777777" w:rsidR="00D86734" w:rsidRPr="00D86734" w:rsidRDefault="00D86734" w:rsidP="0054384D">
      <w:pPr>
        <w:pBdr>
          <w:top w:val="nil"/>
          <w:left w:val="nil"/>
          <w:bottom w:val="nil"/>
          <w:right w:val="nil"/>
          <w:between w:val="nil"/>
        </w:pBdr>
        <w:tabs>
          <w:tab w:val="left" w:pos="9214"/>
        </w:tabs>
        <w:rPr>
          <w:rFonts w:asciiTheme="majorHAnsi" w:hAnsiTheme="majorHAnsi"/>
          <w:b/>
          <w:color w:val="000000"/>
          <w:sz w:val="20"/>
          <w:szCs w:val="20"/>
          <w:highlight w:val="magenta"/>
          <w:u w:val="single"/>
        </w:rPr>
      </w:pPr>
    </w:p>
    <w:p w14:paraId="5E8616B6" w14:textId="77777777" w:rsidR="005E2D41" w:rsidRPr="005E2D41" w:rsidRDefault="005E2D41" w:rsidP="005E2D41">
      <w:pPr>
        <w:tabs>
          <w:tab w:val="left" w:pos="9214"/>
        </w:tabs>
        <w:rPr>
          <w:rFonts w:asciiTheme="majorHAnsi" w:hAnsiTheme="majorHAnsi"/>
          <w:b/>
          <w:color w:val="000000"/>
          <w:sz w:val="20"/>
          <w:szCs w:val="20"/>
        </w:rPr>
      </w:pPr>
      <w:r w:rsidRPr="005E2D41">
        <w:rPr>
          <w:rFonts w:asciiTheme="majorHAnsi" w:eastAsia="Aptos" w:hAnsiTheme="majorHAnsi" w:cs="Times New Roman"/>
          <w:b/>
          <w:color w:val="000000"/>
          <w:kern w:val="2"/>
          <w:sz w:val="20"/>
          <w:szCs w:val="20"/>
          <w14:ligatures w14:val="standardContextual"/>
        </w:rPr>
        <w:t>Sessions de formation à l’IOMS</w:t>
      </w:r>
    </w:p>
    <w:p w14:paraId="592229F2" w14:textId="77777777" w:rsidR="005E2D41" w:rsidRPr="005E2D41" w:rsidRDefault="005E2D41" w:rsidP="005E2D41">
      <w:pPr>
        <w:tabs>
          <w:tab w:val="left" w:pos="9214"/>
        </w:tabs>
        <w:rPr>
          <w:rFonts w:asciiTheme="majorHAnsi" w:hAnsiTheme="majorHAnsi"/>
          <w:b/>
          <w:color w:val="000000"/>
          <w:sz w:val="20"/>
          <w:szCs w:val="20"/>
        </w:rPr>
      </w:pPr>
    </w:p>
    <w:p w14:paraId="0EAFFCFD" w14:textId="2BEBE92D" w:rsidR="005E2D41" w:rsidRPr="005E2D41" w:rsidRDefault="005E2D41" w:rsidP="005E2D41">
      <w:pPr>
        <w:tabs>
          <w:tab w:val="left" w:pos="9214"/>
        </w:tabs>
        <w:jc w:val="both"/>
        <w:rPr>
          <w:rFonts w:asciiTheme="majorHAnsi" w:hAnsiTheme="majorHAnsi"/>
          <w:color w:val="000000"/>
          <w:sz w:val="20"/>
          <w:szCs w:val="20"/>
        </w:rPr>
      </w:pPr>
      <w:r w:rsidRPr="005E2D41">
        <w:rPr>
          <w:rFonts w:asciiTheme="majorHAnsi" w:eastAsia="Aptos" w:hAnsiTheme="majorHAnsi" w:cs="Times New Roman"/>
          <w:color w:val="000000"/>
          <w:kern w:val="2"/>
          <w:sz w:val="20"/>
          <w:szCs w:val="20"/>
          <w14:ligatures w14:val="standardContextual"/>
        </w:rPr>
        <w:t xml:space="preserve">Le WG-ORT a convenu d'organiser deux sessions de formation à l'IOMS en 2025, chacune étant exclusivement consacrée à l'un des deux modules afin de garantir que tous les utilisateurs de l'IOMS soient parfaitement préparés à son utilisation opérationnelle. La première session (session de formation </w:t>
      </w:r>
      <w:r w:rsidR="00B427C7" w:rsidRPr="005E2D41">
        <w:rPr>
          <w:rFonts w:asciiTheme="majorHAnsi" w:eastAsia="Aptos" w:hAnsiTheme="majorHAnsi" w:cs="Times New Roman"/>
          <w:color w:val="000000"/>
          <w:kern w:val="2"/>
          <w:sz w:val="20"/>
          <w:szCs w:val="20"/>
          <w14:ligatures w14:val="standardContextual"/>
        </w:rPr>
        <w:t>n°2</w:t>
      </w:r>
      <w:r w:rsidR="00B427C7">
        <w:rPr>
          <w:rFonts w:asciiTheme="majorHAnsi" w:eastAsia="Aptos" w:hAnsiTheme="majorHAnsi" w:cs="Times New Roman"/>
          <w:color w:val="000000"/>
          <w:kern w:val="2"/>
          <w:sz w:val="20"/>
          <w:szCs w:val="20"/>
          <w14:ligatures w14:val="standardContextual"/>
        </w:rPr>
        <w:t xml:space="preserve"> </w:t>
      </w:r>
      <w:r w:rsidRPr="005E2D41">
        <w:rPr>
          <w:rFonts w:asciiTheme="majorHAnsi" w:eastAsia="Aptos" w:hAnsiTheme="majorHAnsi" w:cs="Times New Roman"/>
          <w:color w:val="000000"/>
          <w:kern w:val="2"/>
          <w:sz w:val="20"/>
          <w:szCs w:val="20"/>
          <w14:ligatures w14:val="standardContextual"/>
        </w:rPr>
        <w:lastRenderedPageBreak/>
        <w:t xml:space="preserve">destinée aux gestionnaires de formulaires) s'est tenue le 6 mai 2025, et la deuxième session (session de formation </w:t>
      </w:r>
      <w:r w:rsidR="00B427C7" w:rsidRPr="005E2D41">
        <w:rPr>
          <w:rFonts w:asciiTheme="majorHAnsi" w:eastAsia="Aptos" w:hAnsiTheme="majorHAnsi" w:cs="Times New Roman"/>
          <w:color w:val="000000"/>
          <w:kern w:val="2"/>
          <w:sz w:val="20"/>
          <w:szCs w:val="20"/>
          <w14:ligatures w14:val="standardContextual"/>
        </w:rPr>
        <w:t>n°3</w:t>
      </w:r>
      <w:r w:rsidR="00FD08C8">
        <w:rPr>
          <w:rFonts w:asciiTheme="majorHAnsi" w:eastAsia="Aptos" w:hAnsiTheme="majorHAnsi" w:cs="Times New Roman"/>
          <w:color w:val="000000"/>
          <w:kern w:val="2"/>
          <w:sz w:val="20"/>
          <w:szCs w:val="20"/>
          <w14:ligatures w14:val="standardContextual"/>
        </w:rPr>
        <w:t xml:space="preserve"> </w:t>
      </w:r>
      <w:r w:rsidRPr="005E2D41">
        <w:rPr>
          <w:rFonts w:asciiTheme="majorHAnsi" w:eastAsia="Aptos" w:hAnsiTheme="majorHAnsi" w:cs="Times New Roman"/>
          <w:color w:val="000000"/>
          <w:kern w:val="2"/>
          <w:sz w:val="20"/>
          <w:szCs w:val="20"/>
          <w14:ligatures w14:val="standardContextual"/>
        </w:rPr>
        <w:t>destinée aux gestionnaires de navires) le 30 juin 2025. Les deux sessions ont utilisé l'environnement sandbox IOMS, permettant aux participants d'apprendre et de mettre en pratique les fonctionnalités de chaque module en détail. Les vidéos enregistrées lors de ces sessions de formation IOMS et des précédentes sont disponibles dans le dossier partagé NextCloud réservé au WG-ORT, et tous les participants sont encouragés à les visionner.</w:t>
      </w:r>
    </w:p>
    <w:p w14:paraId="108921BF" w14:textId="77777777" w:rsidR="005E2D41" w:rsidRPr="005E2D41" w:rsidRDefault="005E2D41" w:rsidP="005E2D41">
      <w:pPr>
        <w:tabs>
          <w:tab w:val="left" w:pos="9214"/>
        </w:tabs>
        <w:rPr>
          <w:rFonts w:asciiTheme="majorHAnsi" w:hAnsiTheme="majorHAnsi"/>
          <w:color w:val="000000"/>
          <w:sz w:val="20"/>
          <w:szCs w:val="20"/>
        </w:rPr>
      </w:pPr>
    </w:p>
    <w:p w14:paraId="77E059D3" w14:textId="77777777" w:rsidR="005E2D41" w:rsidRPr="005E2D41" w:rsidRDefault="005E2D41" w:rsidP="005E2D41">
      <w:pPr>
        <w:rPr>
          <w:rFonts w:asciiTheme="majorHAnsi" w:hAnsiTheme="majorHAnsi"/>
          <w:color w:val="000000"/>
          <w:sz w:val="20"/>
          <w:szCs w:val="20"/>
        </w:rPr>
      </w:pPr>
    </w:p>
    <w:p w14:paraId="74E2F1C1" w14:textId="77777777" w:rsidR="005E2D41" w:rsidRPr="005E2D41" w:rsidRDefault="005E2D41" w:rsidP="005E2D41">
      <w:pPr>
        <w:rPr>
          <w:rFonts w:asciiTheme="majorHAnsi" w:hAnsiTheme="majorHAnsi"/>
          <w:b/>
          <w:color w:val="000000"/>
          <w:sz w:val="20"/>
          <w:szCs w:val="20"/>
        </w:rPr>
      </w:pPr>
      <w:r w:rsidRPr="005E2D41">
        <w:rPr>
          <w:rFonts w:asciiTheme="majorHAnsi" w:eastAsia="Aptos" w:hAnsiTheme="majorHAnsi" w:cs="Times New Roman"/>
          <w:b/>
          <w:color w:val="000000"/>
          <w:kern w:val="2"/>
          <w:sz w:val="20"/>
          <w:szCs w:val="20"/>
          <w14:ligatures w14:val="standardContextual"/>
        </w:rPr>
        <w:t>Déclaration annuelle de 2025</w:t>
      </w:r>
    </w:p>
    <w:p w14:paraId="41616DED" w14:textId="77777777" w:rsidR="005E2D41" w:rsidRPr="005E2D41" w:rsidRDefault="005E2D41" w:rsidP="005E2D41">
      <w:pPr>
        <w:rPr>
          <w:rFonts w:asciiTheme="majorHAnsi" w:hAnsiTheme="majorHAnsi"/>
          <w:b/>
          <w:color w:val="000000"/>
          <w:sz w:val="20"/>
          <w:szCs w:val="20"/>
        </w:rPr>
      </w:pPr>
    </w:p>
    <w:p w14:paraId="474147BE" w14:textId="3DBDCB4E" w:rsidR="00031DAB" w:rsidRPr="00031DAB" w:rsidRDefault="005E2D41" w:rsidP="00031DAB">
      <w:pPr>
        <w:tabs>
          <w:tab w:val="left" w:pos="558"/>
          <w:tab w:val="left" w:pos="559"/>
          <w:tab w:val="left" w:pos="9214"/>
        </w:tabs>
        <w:jc w:val="both"/>
        <w:rPr>
          <w:sz w:val="20"/>
          <w:szCs w:val="20"/>
        </w:rPr>
      </w:pPr>
      <w:r w:rsidRPr="005E2D41">
        <w:rPr>
          <w:rFonts w:asciiTheme="majorHAnsi" w:eastAsia="Aptos" w:hAnsiTheme="majorHAnsi" w:cs="Times New Roman"/>
          <w:kern w:val="2"/>
          <w:sz w:val="20"/>
          <w:szCs w:val="20"/>
          <w14:ligatures w14:val="standardContextual"/>
        </w:rPr>
        <w:t>L’IOMS de l’ICCAT est en production depuis le 1er août 2021, le module de Rapport annuel (section 3/Partie I et section 3/Partie 2) étant disponible en ligne depuis ces trois dernières années. La soumission des rapports annuels par le biais de l’IOMS pour 2021 (année expérimentale) et 2022 (recommandée pour le remplissage en ligne) a essentiellement servi à des fins de formation, tandis que la soumission du rapport annuel (</w:t>
      </w:r>
      <w:r w:rsidR="00833238">
        <w:rPr>
          <w:rFonts w:asciiTheme="majorHAnsi" w:eastAsia="Aptos" w:hAnsiTheme="majorHAnsi" w:cs="Times New Roman"/>
          <w:kern w:val="2"/>
          <w:sz w:val="20"/>
          <w:szCs w:val="20"/>
          <w14:ligatures w14:val="standardContextual"/>
        </w:rPr>
        <w:t>section 3/</w:t>
      </w:r>
      <w:r w:rsidRPr="005E2D41">
        <w:rPr>
          <w:rFonts w:asciiTheme="majorHAnsi" w:eastAsia="Aptos" w:hAnsiTheme="majorHAnsi" w:cs="Times New Roman"/>
          <w:kern w:val="2"/>
          <w:sz w:val="20"/>
          <w:szCs w:val="20"/>
          <w14:ligatures w14:val="standardContextual"/>
        </w:rPr>
        <w:t xml:space="preserve">Partie 1 et </w:t>
      </w:r>
      <w:r w:rsidR="00833238">
        <w:rPr>
          <w:rFonts w:asciiTheme="majorHAnsi" w:eastAsia="Aptos" w:hAnsiTheme="majorHAnsi" w:cs="Times New Roman"/>
          <w:kern w:val="2"/>
          <w:sz w:val="20"/>
          <w:szCs w:val="20"/>
          <w14:ligatures w14:val="standardContextual"/>
        </w:rPr>
        <w:t>section 3/</w:t>
      </w:r>
      <w:r w:rsidRPr="005E2D41">
        <w:rPr>
          <w:rFonts w:asciiTheme="majorHAnsi" w:eastAsia="Aptos" w:hAnsiTheme="majorHAnsi" w:cs="Times New Roman"/>
          <w:kern w:val="2"/>
          <w:sz w:val="20"/>
          <w:szCs w:val="20"/>
          <w14:ligatures w14:val="standardContextual"/>
        </w:rPr>
        <w:t xml:space="preserve">Partie 2) par le biais de l’IOMS a été une exigence </w:t>
      </w:r>
      <w:r w:rsidR="00061337">
        <w:rPr>
          <w:rFonts w:asciiTheme="majorHAnsi" w:eastAsia="Aptos" w:hAnsiTheme="majorHAnsi" w:cs="Times New Roman"/>
          <w:kern w:val="2"/>
          <w:sz w:val="20"/>
          <w:szCs w:val="20"/>
          <w14:ligatures w14:val="standardContextual"/>
        </w:rPr>
        <w:t>à partir de</w:t>
      </w:r>
      <w:r w:rsidRPr="005E2D41">
        <w:rPr>
          <w:rFonts w:asciiTheme="majorHAnsi" w:eastAsia="Aptos" w:hAnsiTheme="majorHAnsi" w:cs="Times New Roman"/>
          <w:kern w:val="2"/>
          <w:sz w:val="20"/>
          <w:szCs w:val="20"/>
          <w14:ligatures w14:val="standardContextual"/>
        </w:rPr>
        <w:t xml:space="preserve"> 2023 (paragraphe 2 de la </w:t>
      </w:r>
      <w:r w:rsidRPr="005E2D41">
        <w:rPr>
          <w:rFonts w:asciiTheme="majorHAnsi" w:eastAsia="Aptos" w:hAnsiTheme="majorHAnsi" w:cs="Times New Roman"/>
          <w:kern w:val="2"/>
          <w:sz w:val="20"/>
          <w:szCs w:val="20"/>
          <w:highlight w:val="yellow"/>
          <w14:ligatures w14:val="standardContextual"/>
        </w:rPr>
        <w:fldChar w:fldCharType="begin"/>
      </w:r>
      <w:r w:rsidRPr="005E2D41">
        <w:rPr>
          <w:rFonts w:asciiTheme="majorHAnsi" w:eastAsia="Aptos" w:hAnsiTheme="majorHAnsi" w:cs="Times New Roman"/>
          <w:kern w:val="2"/>
          <w:sz w:val="20"/>
          <w:szCs w:val="20"/>
          <w:highlight w:val="yellow"/>
          <w14:ligatures w14:val="standardContextual"/>
        </w:rPr>
        <w:instrText>HYPERLINK "https://www.iccat.int/Documents/Recs/compendiopdf-f/2022-17-f.pdf"</w:instrText>
      </w:r>
      <w:r w:rsidRPr="005E2D41">
        <w:rPr>
          <w:rFonts w:asciiTheme="majorHAnsi" w:eastAsia="Aptos" w:hAnsiTheme="majorHAnsi" w:cs="Times New Roman"/>
          <w:kern w:val="2"/>
          <w:sz w:val="20"/>
          <w:szCs w:val="20"/>
          <w:highlight w:val="yellow"/>
          <w14:ligatures w14:val="standardContextual"/>
        </w:rPr>
      </w:r>
      <w:r w:rsidRPr="005E2D41">
        <w:rPr>
          <w:rFonts w:asciiTheme="majorHAnsi" w:eastAsia="Aptos" w:hAnsiTheme="majorHAnsi" w:cs="Times New Roman"/>
          <w:kern w:val="2"/>
          <w:sz w:val="20"/>
          <w:szCs w:val="20"/>
          <w:highlight w:val="yellow"/>
          <w14:ligatures w14:val="standardContextual"/>
        </w:rPr>
        <w:fldChar w:fldCharType="separate"/>
      </w:r>
      <w:hyperlink r:id="rId17" w:history="1">
        <w:r w:rsidR="00031DAB" w:rsidRPr="00031DAB">
          <w:rPr>
            <w:rStyle w:val="Hyperlink"/>
            <w:sz w:val="20"/>
            <w:szCs w:val="20"/>
            <w:u w:val="none"/>
          </w:rPr>
          <w:t>Rec. 22-17</w:t>
        </w:r>
      </w:hyperlink>
      <w:r w:rsidR="00031DAB" w:rsidRPr="00031DAB">
        <w:rPr>
          <w:sz w:val="20"/>
          <w:szCs w:val="20"/>
        </w:rPr>
        <w:t>).</w:t>
      </w:r>
    </w:p>
    <w:p w14:paraId="40909AF6" w14:textId="0EB6D460" w:rsidR="005E2D41" w:rsidRPr="005E2D41" w:rsidRDefault="005E2D41" w:rsidP="005E2D41">
      <w:pPr>
        <w:tabs>
          <w:tab w:val="left" w:pos="559"/>
          <w:tab w:val="left" w:pos="9214"/>
        </w:tabs>
        <w:jc w:val="both"/>
        <w:rPr>
          <w:rFonts w:asciiTheme="majorHAnsi" w:hAnsiTheme="majorHAnsi"/>
          <w:sz w:val="20"/>
          <w:szCs w:val="20"/>
        </w:rPr>
      </w:pPr>
      <w:r w:rsidRPr="005E2D41">
        <w:rPr>
          <w:rFonts w:asciiTheme="majorHAnsi" w:eastAsia="Aptos" w:hAnsiTheme="majorHAnsi" w:cs="Times New Roman"/>
          <w:kern w:val="2"/>
          <w:sz w:val="20"/>
          <w:szCs w:val="20"/>
          <w:highlight w:val="yellow"/>
          <w14:ligatures w14:val="standardContextual"/>
        </w:rPr>
        <w:fldChar w:fldCharType="end"/>
      </w:r>
    </w:p>
    <w:p w14:paraId="0695AD42" w14:textId="77777777" w:rsidR="005E2D41" w:rsidRPr="005E2D41" w:rsidRDefault="005E2D41" w:rsidP="005E2D41">
      <w:pPr>
        <w:tabs>
          <w:tab w:val="left" w:pos="559"/>
          <w:tab w:val="left" w:pos="9214"/>
        </w:tabs>
        <w:jc w:val="both"/>
        <w:rPr>
          <w:rFonts w:asciiTheme="majorHAnsi" w:hAnsiTheme="majorHAnsi"/>
          <w:color w:val="000000"/>
          <w:sz w:val="20"/>
          <w:szCs w:val="20"/>
        </w:rPr>
      </w:pPr>
      <w:r w:rsidRPr="005E2D41">
        <w:rPr>
          <w:rFonts w:asciiTheme="majorHAnsi" w:eastAsia="Aptos" w:hAnsiTheme="majorHAnsi" w:cs="Times New Roman"/>
          <w:kern w:val="2"/>
          <w:sz w:val="20"/>
          <w:szCs w:val="20"/>
          <w14:ligatures w14:val="standardContextual"/>
        </w:rPr>
        <w:t xml:space="preserve">Comme les années précédentes, le Secrétariat a aidé toutes les CPC de l'ICCAT à remplir les Rapports annuels de 2025 dans l'IOMS, tel que recommandé par le WG-ORT. </w:t>
      </w:r>
      <w:r w:rsidRPr="005E2D41">
        <w:rPr>
          <w:rFonts w:asciiTheme="majorHAnsi" w:eastAsia="Aptos" w:hAnsiTheme="majorHAnsi" w:cs="Times New Roman"/>
          <w:color w:val="000000"/>
          <w:kern w:val="2"/>
          <w:sz w:val="20"/>
          <w:szCs w:val="20"/>
          <w14:ligatures w14:val="standardContextual"/>
        </w:rPr>
        <w:t xml:space="preserve">Un résumé des indicateurs statistiques concernant la soumission des rapports annuels au moyen de l'IOMS pour les années 2021, 2022, 2023, 2024 et 2025 est présenté au </w:t>
      </w:r>
      <w:r w:rsidRPr="005E2D41">
        <w:rPr>
          <w:rFonts w:asciiTheme="majorHAnsi" w:eastAsia="Aptos" w:hAnsiTheme="majorHAnsi" w:cs="Times New Roman"/>
          <w:b/>
          <w:bCs/>
          <w:color w:val="000000"/>
          <w:kern w:val="2"/>
          <w:sz w:val="20"/>
          <w:szCs w:val="20"/>
          <w14:ligatures w14:val="standardContextual"/>
        </w:rPr>
        <w:t>tableau 1.</w:t>
      </w:r>
      <w:r w:rsidRPr="005E2D41">
        <w:rPr>
          <w:rFonts w:asciiTheme="majorHAnsi" w:eastAsia="Aptos" w:hAnsiTheme="majorHAnsi" w:cs="Times New Roman"/>
          <w:color w:val="000000"/>
          <w:kern w:val="2"/>
          <w:sz w:val="20"/>
          <w:szCs w:val="20"/>
          <w14:ligatures w14:val="standardContextual"/>
        </w:rPr>
        <w:t xml:space="preserve"> Les rapports annuels pour 2021 et 2022 (années probatoires) ont été inclus à des fins de comparaison, principalement pour observer les progrès réalisés par les CPC de l'ICCAT dans l'utilisation de l'IOMS.</w:t>
      </w:r>
    </w:p>
    <w:p w14:paraId="372460F1" w14:textId="77777777" w:rsidR="005E2D41" w:rsidRPr="005E2D41" w:rsidRDefault="005E2D41" w:rsidP="005E2D41">
      <w:pPr>
        <w:widowControl/>
        <w:tabs>
          <w:tab w:val="left" w:pos="9214"/>
        </w:tabs>
        <w:jc w:val="both"/>
        <w:rPr>
          <w:rFonts w:asciiTheme="majorHAnsi" w:hAnsiTheme="majorHAnsi"/>
          <w:color w:val="000000"/>
          <w:sz w:val="20"/>
          <w:szCs w:val="20"/>
        </w:rPr>
      </w:pPr>
    </w:p>
    <w:p w14:paraId="09A7DE96" w14:textId="77777777" w:rsidR="005E2D41" w:rsidRPr="005E2D41" w:rsidRDefault="005E2D41" w:rsidP="005E2D41">
      <w:pPr>
        <w:widowControl/>
        <w:tabs>
          <w:tab w:val="left" w:pos="9214"/>
        </w:tabs>
        <w:jc w:val="both"/>
        <w:rPr>
          <w:rFonts w:asciiTheme="majorHAnsi" w:hAnsiTheme="majorHAnsi"/>
          <w:color w:val="000000"/>
          <w:sz w:val="20"/>
          <w:szCs w:val="20"/>
        </w:rPr>
      </w:pPr>
      <w:r w:rsidRPr="005E2D41">
        <w:rPr>
          <w:rFonts w:asciiTheme="majorHAnsi" w:eastAsia="Aptos" w:hAnsiTheme="majorHAnsi" w:cs="Times New Roman"/>
          <w:color w:val="000000"/>
          <w:kern w:val="2"/>
          <w:sz w:val="20"/>
          <w:szCs w:val="20"/>
          <w14:ligatures w14:val="standardContextual"/>
        </w:rPr>
        <w:t>En 2025, la déclaration des rapports annuels a montré une légère détérioration par rapport aux années précédentes. Cela s'explique principalement par une augmentation du nombre de CPC qui n'avaient pas encore soumis leur rapport annuel. En revanche, pour les CPC qui ont soumis leurs rapports, la situation s'est améliorée par rapport aux années précédentes, car le Secrétariat a dû intervenir moins souvent. Cela indique que ces CPC comprennent mieux l'utilisation du système et les exigences en matière de déclaration.</w:t>
      </w:r>
    </w:p>
    <w:p w14:paraId="0812DC97" w14:textId="77777777" w:rsidR="005E2D41" w:rsidRPr="005E2D41" w:rsidRDefault="005E2D41" w:rsidP="005E2D41">
      <w:pPr>
        <w:widowControl/>
        <w:tabs>
          <w:tab w:val="left" w:pos="9214"/>
        </w:tabs>
        <w:jc w:val="both"/>
        <w:rPr>
          <w:rFonts w:asciiTheme="majorHAnsi" w:hAnsiTheme="majorHAnsi"/>
          <w:color w:val="000000"/>
          <w:sz w:val="20"/>
          <w:szCs w:val="20"/>
        </w:rPr>
      </w:pPr>
    </w:p>
    <w:p w14:paraId="56A533E4" w14:textId="77777777" w:rsidR="005E2D41" w:rsidRPr="005E2D41" w:rsidRDefault="005E2D41" w:rsidP="005E2D41">
      <w:pPr>
        <w:tabs>
          <w:tab w:val="left" w:pos="9214"/>
        </w:tabs>
        <w:jc w:val="both"/>
        <w:rPr>
          <w:rFonts w:asciiTheme="majorHAnsi" w:hAnsiTheme="majorHAnsi"/>
          <w:color w:val="000000"/>
          <w:sz w:val="20"/>
          <w:szCs w:val="20"/>
        </w:rPr>
      </w:pPr>
      <w:r w:rsidRPr="005E2D41">
        <w:rPr>
          <w:rFonts w:asciiTheme="majorHAnsi" w:eastAsia="Aptos" w:hAnsiTheme="majorHAnsi" w:cs="Times New Roman"/>
          <w:kern w:val="2"/>
          <w:sz w:val="20"/>
          <w:szCs w:val="20"/>
          <w14:ligatures w14:val="standardContextual"/>
        </w:rPr>
        <w:t xml:space="preserve">Conformément au paragraphe 1 de la </w:t>
      </w:r>
      <w:hyperlink r:id="rId18" w:history="1">
        <w:r w:rsidRPr="005E2D41">
          <w:rPr>
            <w:rFonts w:asciiTheme="majorHAnsi" w:eastAsia="Aptos" w:hAnsiTheme="majorHAnsi" w:cs="Times New Roman"/>
            <w:color w:val="0000FF"/>
            <w:kern w:val="2"/>
            <w:sz w:val="20"/>
            <w:szCs w:val="20"/>
            <w14:ligatures w14:val="standardContextual"/>
          </w:rPr>
          <w:t>Rec.</w:t>
        </w:r>
      </w:hyperlink>
      <w:hyperlink r:id="rId19" w:history="1">
        <w:r w:rsidRPr="005E2D41">
          <w:rPr>
            <w:rFonts w:asciiTheme="majorHAnsi" w:eastAsia="Aptos" w:hAnsiTheme="majorHAnsi" w:cs="Times New Roman"/>
            <w:color w:val="0000FF"/>
            <w:kern w:val="2"/>
            <w:sz w:val="20"/>
            <w:szCs w:val="20"/>
            <w14:ligatures w14:val="standardContextual"/>
          </w:rPr>
          <w:t xml:space="preserve"> 22-17</w:t>
        </w:r>
      </w:hyperlink>
      <w:r w:rsidRPr="005E2D41">
        <w:rPr>
          <w:rFonts w:asciiTheme="majorHAnsi" w:eastAsia="Aptos" w:hAnsiTheme="majorHAnsi" w:cs="Times New Roman"/>
          <w:color w:val="000000"/>
          <w:kern w:val="2"/>
          <w:sz w:val="20"/>
          <w:szCs w:val="20"/>
          <w14:ligatures w14:val="standardContextual"/>
        </w:rPr>
        <w:t>,</w:t>
      </w:r>
      <w:r w:rsidRPr="005E2D41">
        <w:rPr>
          <w:rFonts w:asciiTheme="majorHAnsi" w:eastAsia="Aptos" w:hAnsiTheme="majorHAnsi" w:cs="Times New Roman"/>
          <w:kern w:val="2"/>
          <w:sz w:val="20"/>
          <w:szCs w:val="20"/>
          <w14:ligatures w14:val="standardContextual"/>
        </w:rPr>
        <w:t>, toutes les CPC de l’ICCAT comptent au moins un utilisateur IOMS enregistré depuis la réunion annuelle de 2024.</w:t>
      </w:r>
      <w:r w:rsidRPr="005E2D41">
        <w:rPr>
          <w:rFonts w:asciiTheme="majorHAnsi" w:eastAsia="Aptos" w:hAnsiTheme="majorHAnsi" w:cs="Times New Roman"/>
          <w:color w:val="000000"/>
          <w:kern w:val="2"/>
          <w:sz w:val="20"/>
          <w:szCs w:val="20"/>
          <w14:ligatures w14:val="standardContextual"/>
        </w:rPr>
        <w:t xml:space="preserve"> </w:t>
      </w:r>
      <w:r w:rsidRPr="005E2D41">
        <w:rPr>
          <w:rFonts w:asciiTheme="majorHAnsi" w:eastAsia="Aptos" w:hAnsiTheme="majorHAnsi" w:cs="Times New Roman"/>
          <w:kern w:val="2"/>
          <w:sz w:val="20"/>
          <w:szCs w:val="20"/>
          <w14:ligatures w14:val="standardContextual"/>
        </w:rPr>
        <w:t>Ces indicateurs statistiques, ainsi que d'autres, sont également disponibles pour les utilisateurs enregistrés de l'IOMS (les deux rôles des CPC : administrateurs et fonctionnaires) sur le portail en ligne de l'IOMS (</w:t>
      </w:r>
      <w:hyperlink r:id="rId20" w:history="1">
        <w:hyperlink r:id="rId21">
          <w:r w:rsidRPr="005E2D41">
            <w:rPr>
              <w:rFonts w:asciiTheme="majorHAnsi" w:eastAsia="Aptos" w:hAnsiTheme="majorHAnsi" w:cs="Times New Roman"/>
              <w:color w:val="0000FF"/>
              <w:kern w:val="2"/>
              <w:sz w:val="20"/>
              <w:szCs w:val="20"/>
              <w14:ligatures w14:val="standardContextual"/>
            </w:rPr>
            <w:t>https://ioms.iccat.int</w:t>
          </w:r>
        </w:hyperlink>
      </w:hyperlink>
      <w:r w:rsidRPr="005E2D41">
        <w:rPr>
          <w:rFonts w:asciiTheme="majorHAnsi" w:eastAsia="Aptos" w:hAnsiTheme="majorHAnsi" w:cs="Times New Roman"/>
          <w:color w:val="000000"/>
          <w:kern w:val="2"/>
          <w:sz w:val="20"/>
          <w:szCs w:val="20"/>
          <w14:ligatures w14:val="standardContextual"/>
        </w:rPr>
        <w:t>).</w:t>
      </w:r>
    </w:p>
    <w:p w14:paraId="003CE39B" w14:textId="77777777" w:rsidR="005E2D41" w:rsidRPr="005E2D41" w:rsidRDefault="005E2D41" w:rsidP="005E2D41">
      <w:pPr>
        <w:rPr>
          <w:rFonts w:asciiTheme="majorHAnsi" w:hAnsiTheme="majorHAnsi"/>
          <w:b/>
          <w:sz w:val="20"/>
          <w:szCs w:val="20"/>
        </w:rPr>
      </w:pPr>
    </w:p>
    <w:p w14:paraId="3AF45FD7" w14:textId="17E2E324" w:rsidR="005E2D41" w:rsidRPr="005E2D41" w:rsidRDefault="005E2D41" w:rsidP="005E2D41">
      <w:pPr>
        <w:jc w:val="both"/>
        <w:rPr>
          <w:rFonts w:asciiTheme="majorHAnsi" w:hAnsiTheme="majorHAnsi"/>
          <w:sz w:val="20"/>
          <w:szCs w:val="20"/>
        </w:rPr>
      </w:pPr>
      <w:r w:rsidRPr="005E2D41">
        <w:rPr>
          <w:rFonts w:asciiTheme="majorHAnsi" w:eastAsia="Aptos" w:hAnsiTheme="majorHAnsi" w:cs="Times New Roman"/>
          <w:b/>
          <w:kern w:val="2"/>
          <w:sz w:val="20"/>
          <w:szCs w:val="20"/>
          <w14:ligatures w14:val="standardContextual"/>
        </w:rPr>
        <w:t>Tableau 1</w:t>
      </w:r>
      <w:r w:rsidRPr="005E2D41">
        <w:rPr>
          <w:rFonts w:asciiTheme="majorHAnsi" w:eastAsia="Aptos" w:hAnsiTheme="majorHAnsi" w:cs="Times New Roman"/>
          <w:kern w:val="2"/>
          <w:sz w:val="20"/>
          <w:szCs w:val="20"/>
          <w14:ligatures w14:val="standardContextual"/>
        </w:rPr>
        <w:t>. Nombre de Rapports annuels (et ratios relatifs) disponibles dans l’IOMS pour 2021, 2022, 2023, 2024 et 2025, par section, état d’achèvement et mode de remplissage (avec/sans l’assistance du Secrétariat). Les valeurs en « rouge » indiquent le nombre de sections en attente qui doivent être complétées par les différent</w:t>
      </w:r>
      <w:r w:rsidR="0032590D">
        <w:rPr>
          <w:rFonts w:asciiTheme="majorHAnsi" w:eastAsia="Aptos" w:hAnsiTheme="majorHAnsi" w:cs="Times New Roman"/>
          <w:kern w:val="2"/>
          <w:sz w:val="20"/>
          <w:szCs w:val="20"/>
          <w14:ligatures w14:val="standardContextual"/>
        </w:rPr>
        <w:t>e</w:t>
      </w:r>
      <w:r w:rsidRPr="005E2D41">
        <w:rPr>
          <w:rFonts w:asciiTheme="majorHAnsi" w:eastAsia="Aptos" w:hAnsiTheme="majorHAnsi" w:cs="Times New Roman"/>
          <w:kern w:val="2"/>
          <w:sz w:val="20"/>
          <w:szCs w:val="20"/>
          <w14:ligatures w14:val="standardContextual"/>
        </w:rPr>
        <w:t xml:space="preserve">s CPC dans les plus brefs délais. </w:t>
      </w:r>
    </w:p>
    <w:p w14:paraId="6A4D0807" w14:textId="5E3CAFC3" w:rsidR="00F6127E" w:rsidRPr="005E2D41" w:rsidRDefault="00F6127E" w:rsidP="002D6946">
      <w:pPr>
        <w:keepNext/>
        <w:pBdr>
          <w:top w:val="nil"/>
          <w:left w:val="nil"/>
          <w:bottom w:val="nil"/>
          <w:right w:val="nil"/>
          <w:between w:val="nil"/>
        </w:pBdr>
        <w:tabs>
          <w:tab w:val="left" w:pos="9214"/>
        </w:tabs>
        <w:jc w:val="both"/>
        <w:rPr>
          <w:rFonts w:asciiTheme="majorHAnsi" w:hAnsiTheme="majorHAnsi"/>
          <w:color w:val="000000"/>
          <w:sz w:val="20"/>
          <w:szCs w:val="20"/>
        </w:rPr>
      </w:pPr>
    </w:p>
    <w:p w14:paraId="032DD29F" w14:textId="79FF8CB6" w:rsidR="00B87678" w:rsidRPr="004E3668" w:rsidRDefault="00B87678" w:rsidP="002D6946">
      <w:pPr>
        <w:keepNext/>
        <w:pBdr>
          <w:top w:val="nil"/>
          <w:left w:val="nil"/>
          <w:bottom w:val="nil"/>
          <w:right w:val="nil"/>
          <w:between w:val="nil"/>
        </w:pBdr>
        <w:tabs>
          <w:tab w:val="left" w:pos="9214"/>
        </w:tabs>
        <w:jc w:val="both"/>
        <w:rPr>
          <w:rFonts w:asciiTheme="majorHAnsi" w:hAnsiTheme="majorHAnsi"/>
          <w:color w:val="000000"/>
          <w:sz w:val="20"/>
          <w:szCs w:val="20"/>
        </w:rPr>
      </w:pPr>
      <w:r w:rsidRPr="004E3668">
        <w:rPr>
          <w:rFonts w:asciiTheme="majorHAnsi" w:hAnsiTheme="majorHAnsi"/>
          <w:noProof/>
          <w:sz w:val="20"/>
          <w:szCs w:val="20"/>
        </w:rPr>
        <w:drawing>
          <wp:inline distT="0" distB="0" distL="0" distR="0" wp14:anchorId="14F54508" wp14:editId="08E53730">
            <wp:extent cx="5759450" cy="2453640"/>
            <wp:effectExtent l="0" t="0" r="0" b="3810"/>
            <wp:docPr id="16807997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2453640"/>
                    </a:xfrm>
                    <a:prstGeom prst="rect">
                      <a:avLst/>
                    </a:prstGeom>
                    <a:noFill/>
                    <a:ln>
                      <a:noFill/>
                    </a:ln>
                  </pic:spPr>
                </pic:pic>
              </a:graphicData>
            </a:graphic>
          </wp:inline>
        </w:drawing>
      </w:r>
    </w:p>
    <w:sectPr w:rsidR="00B87678" w:rsidRPr="004E3668" w:rsidSect="002D6946">
      <w:headerReference w:type="default" r:id="rId23"/>
      <w:footerReference w:type="default" r:id="rId24"/>
      <w:pgSz w:w="11906" w:h="16838" w:code="9"/>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2915" w14:textId="77777777" w:rsidR="005C57CE" w:rsidRDefault="005C57CE">
      <w:r>
        <w:separator/>
      </w:r>
    </w:p>
  </w:endnote>
  <w:endnote w:type="continuationSeparator" w:id="0">
    <w:p w14:paraId="53839B43" w14:textId="77777777" w:rsidR="005C57CE" w:rsidRDefault="005C57CE">
      <w:r>
        <w:continuationSeparator/>
      </w:r>
    </w:p>
  </w:endnote>
  <w:endnote w:type="continuationNotice" w:id="1">
    <w:p w14:paraId="3CCEB18B" w14:textId="77777777" w:rsidR="005C57CE" w:rsidRDefault="005C5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540F" w14:textId="77777777" w:rsidR="0018551C" w:rsidRDefault="0018551C" w:rsidP="0018551C">
    <w:pPr>
      <w:pStyle w:val="Footer"/>
      <w:jc w:val="cente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8</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2A77" w14:textId="77777777" w:rsidR="005C57CE" w:rsidRDefault="005C57CE">
      <w:r>
        <w:separator/>
      </w:r>
    </w:p>
  </w:footnote>
  <w:footnote w:type="continuationSeparator" w:id="0">
    <w:p w14:paraId="5E0CEADF" w14:textId="77777777" w:rsidR="005C57CE" w:rsidRDefault="005C57CE">
      <w:r>
        <w:continuationSeparator/>
      </w:r>
    </w:p>
  </w:footnote>
  <w:footnote w:type="continuationNotice" w:id="1">
    <w:p w14:paraId="54245AE3" w14:textId="77777777" w:rsidR="005C57CE" w:rsidRDefault="005C5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4AB3" w14:textId="417AD9F4" w:rsidR="00A36158" w:rsidRPr="0018551C" w:rsidRDefault="00A36158" w:rsidP="00A36158">
    <w:pPr>
      <w:tabs>
        <w:tab w:val="center" w:pos="4680"/>
        <w:tab w:val="left" w:pos="6520"/>
        <w:tab w:val="right" w:pos="9360"/>
        <w:tab w:val="right" w:pos="14240"/>
      </w:tabs>
      <w:jc w:val="right"/>
      <w:rPr>
        <w:rFonts w:eastAsia="Calibri"/>
        <w:b/>
        <w:bCs/>
        <w:sz w:val="20"/>
        <w:szCs w:val="20"/>
      </w:rPr>
    </w:pPr>
    <w:bookmarkStart w:id="1" w:name="_Hlk107908354"/>
    <w:bookmarkStart w:id="2" w:name="_Hlk107908355"/>
    <w:bookmarkStart w:id="3" w:name="_Hlk107908359"/>
    <w:bookmarkStart w:id="4" w:name="_Hlk107908360"/>
    <w:bookmarkStart w:id="5" w:name="_Hlk107908361"/>
    <w:bookmarkStart w:id="6" w:name="_Hlk107908362"/>
    <w:bookmarkStart w:id="7" w:name="_Hlk119054413"/>
    <w:bookmarkStart w:id="8" w:name="_Hlk119054414"/>
    <w:r>
      <w:rPr>
        <w:b/>
        <w:bCs/>
        <w:sz w:val="20"/>
        <w:szCs w:val="20"/>
      </w:rPr>
      <w:t>COC_316/2025</w:t>
    </w:r>
  </w:p>
  <w:bookmarkEnd w:id="1"/>
  <w:bookmarkEnd w:id="2"/>
  <w:bookmarkEnd w:id="3"/>
  <w:bookmarkEnd w:id="4"/>
  <w:bookmarkEnd w:id="5"/>
  <w:bookmarkEnd w:id="6"/>
  <w:bookmarkEnd w:id="7"/>
  <w:bookmarkEnd w:id="8"/>
  <w:p w14:paraId="26B96B2A" w14:textId="0895F28B" w:rsidR="005A18DD" w:rsidRPr="0018551C" w:rsidRDefault="004E3668" w:rsidP="00F92FAD">
    <w:pPr>
      <w:tabs>
        <w:tab w:val="left" w:pos="7320"/>
      </w:tabs>
      <w:spacing w:line="240" w:lineRule="exact"/>
      <w:jc w:val="right"/>
      <w:rPr>
        <w:color w:val="000000"/>
        <w:sz w:val="20"/>
        <w:szCs w:val="20"/>
      </w:rPr>
    </w:pPr>
    <w:r>
      <w:rPr>
        <w:rFonts w:eastAsia="Calibri"/>
        <w:b/>
        <w:bCs/>
        <w:sz w:val="20"/>
        <w:szCs w:val="20"/>
      </w:rPr>
      <w:fldChar w:fldCharType="begin"/>
    </w:r>
    <w:r>
      <w:rPr>
        <w:rFonts w:eastAsia="Calibri"/>
        <w:b/>
        <w:bCs/>
        <w:sz w:val="20"/>
        <w:szCs w:val="20"/>
      </w:rPr>
      <w:instrText xml:space="preserve"> TIME  \@ "dd/MM/yyyy HH:mm" </w:instrText>
    </w:r>
    <w:r>
      <w:rPr>
        <w:rFonts w:eastAsia="Calibri"/>
        <w:b/>
        <w:bCs/>
        <w:sz w:val="20"/>
        <w:szCs w:val="20"/>
      </w:rPr>
      <w:fldChar w:fldCharType="separate"/>
    </w:r>
    <w:r w:rsidR="008451B7">
      <w:rPr>
        <w:rFonts w:eastAsia="Calibri"/>
        <w:b/>
        <w:bCs/>
        <w:noProof/>
        <w:sz w:val="20"/>
        <w:szCs w:val="20"/>
      </w:rPr>
      <w:t>15/11/2025 09:08</w:t>
    </w:r>
    <w:r>
      <w:rPr>
        <w:rFonts w:eastAsia="Calibri"/>
        <w:b/>
        <w:bCs/>
        <w:sz w:val="20"/>
        <w:szCs w:val="20"/>
      </w:rPr>
      <w:fldChar w:fldCharType="end"/>
    </w:r>
    <w:r w:rsidR="00FD4BDD" w:rsidRPr="0018551C">
      <w:rPr>
        <w:noProof/>
        <w:sz w:val="20"/>
        <w:szCs w:val="20"/>
      </w:rPr>
      <mc:AlternateContent>
        <mc:Choice Requires="wps">
          <w:drawing>
            <wp:anchor distT="0" distB="0" distL="4294967295" distR="4294967295" simplePos="0" relativeHeight="251658240" behindDoc="1" locked="0" layoutInCell="1" allowOverlap="1" wp14:anchorId="7B996B82" wp14:editId="0F2C265A">
              <wp:simplePos x="0" y="0"/>
              <wp:positionH relativeFrom="page">
                <wp:posOffset>900429</wp:posOffset>
              </wp:positionH>
              <wp:positionV relativeFrom="page">
                <wp:posOffset>857885</wp:posOffset>
              </wp:positionV>
              <wp:extent cx="0" cy="12700"/>
              <wp:effectExtent l="0" t="0" r="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A7CEAA0" id="_x0000_t32" coordsize="21600,21600" o:spt="32" o:oned="t" path="m,l21600,21600e" filled="f">
              <v:path arrowok="t" fillok="f" o:connecttype="none"/>
              <o:lock v:ext="edit" shapetype="t"/>
            </v:shapetype>
            <v:shape id="Straight Arrow Connector 1" o:spid="_x0000_s1026" type="#_x0000_t32" style="position:absolute;margin-left:70.9pt;margin-top:67.55pt;width:0;height:1pt;z-index:-251658240;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">
              <o:lock v:ext="edit" shapetype="f"/>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228"/>
    <w:multiLevelType w:val="multilevel"/>
    <w:tmpl w:val="0A70D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D03391"/>
    <w:multiLevelType w:val="hybridMultilevel"/>
    <w:tmpl w:val="E702F5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D1491"/>
    <w:multiLevelType w:val="multilevel"/>
    <w:tmpl w:val="4C7A521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DFF0182"/>
    <w:multiLevelType w:val="multilevel"/>
    <w:tmpl w:val="17AEC9A8"/>
    <w:lvl w:ilvl="0">
      <w:start w:val="1"/>
      <w:numFmt w:val="decimal"/>
      <w:lvlText w:val="%1."/>
      <w:lvlJc w:val="left"/>
      <w:pPr>
        <w:ind w:left="6258" w:hanging="360"/>
      </w:pPr>
    </w:lvl>
    <w:lvl w:ilvl="1">
      <w:start w:val="1"/>
      <w:numFmt w:val="decimal"/>
      <w:lvlText w:val="%2."/>
      <w:lvlJc w:val="left"/>
      <w:pPr>
        <w:ind w:left="6978" w:hanging="360"/>
      </w:pPr>
    </w:lvl>
    <w:lvl w:ilvl="2">
      <w:start w:val="1"/>
      <w:numFmt w:val="bullet"/>
      <w:lvlText w:val="▪"/>
      <w:lvlJc w:val="left"/>
      <w:pPr>
        <w:ind w:left="7698" w:hanging="360"/>
      </w:pPr>
      <w:rPr>
        <w:rFonts w:ascii="Noto Sans Symbols" w:eastAsia="Noto Sans Symbols" w:hAnsi="Noto Sans Symbols" w:cs="Noto Sans Symbols"/>
      </w:rPr>
    </w:lvl>
    <w:lvl w:ilvl="3">
      <w:start w:val="1"/>
      <w:numFmt w:val="bullet"/>
      <w:lvlText w:val="●"/>
      <w:lvlJc w:val="left"/>
      <w:pPr>
        <w:ind w:left="8418" w:hanging="360"/>
      </w:pPr>
      <w:rPr>
        <w:rFonts w:ascii="Noto Sans Symbols" w:eastAsia="Noto Sans Symbols" w:hAnsi="Noto Sans Symbols" w:cs="Noto Sans Symbols"/>
      </w:rPr>
    </w:lvl>
    <w:lvl w:ilvl="4">
      <w:start w:val="1"/>
      <w:numFmt w:val="bullet"/>
      <w:lvlText w:val="o"/>
      <w:lvlJc w:val="left"/>
      <w:pPr>
        <w:ind w:left="9138" w:hanging="360"/>
      </w:pPr>
      <w:rPr>
        <w:rFonts w:ascii="Courier New" w:eastAsia="Courier New" w:hAnsi="Courier New" w:cs="Courier New"/>
      </w:rPr>
    </w:lvl>
    <w:lvl w:ilvl="5">
      <w:start w:val="1"/>
      <w:numFmt w:val="bullet"/>
      <w:lvlText w:val="▪"/>
      <w:lvlJc w:val="left"/>
      <w:pPr>
        <w:ind w:left="9858" w:hanging="360"/>
      </w:pPr>
      <w:rPr>
        <w:rFonts w:ascii="Noto Sans Symbols" w:eastAsia="Noto Sans Symbols" w:hAnsi="Noto Sans Symbols" w:cs="Noto Sans Symbols"/>
      </w:rPr>
    </w:lvl>
    <w:lvl w:ilvl="6">
      <w:start w:val="1"/>
      <w:numFmt w:val="bullet"/>
      <w:lvlText w:val="●"/>
      <w:lvlJc w:val="left"/>
      <w:pPr>
        <w:ind w:left="10578" w:hanging="360"/>
      </w:pPr>
      <w:rPr>
        <w:rFonts w:ascii="Noto Sans Symbols" w:eastAsia="Noto Sans Symbols" w:hAnsi="Noto Sans Symbols" w:cs="Noto Sans Symbols"/>
      </w:rPr>
    </w:lvl>
    <w:lvl w:ilvl="7">
      <w:start w:val="1"/>
      <w:numFmt w:val="bullet"/>
      <w:lvlText w:val="o"/>
      <w:lvlJc w:val="left"/>
      <w:pPr>
        <w:ind w:left="11298" w:hanging="360"/>
      </w:pPr>
      <w:rPr>
        <w:rFonts w:ascii="Courier New" w:eastAsia="Courier New" w:hAnsi="Courier New" w:cs="Courier New"/>
      </w:rPr>
    </w:lvl>
    <w:lvl w:ilvl="8">
      <w:start w:val="1"/>
      <w:numFmt w:val="bullet"/>
      <w:lvlText w:val="▪"/>
      <w:lvlJc w:val="left"/>
      <w:pPr>
        <w:ind w:left="12018" w:hanging="360"/>
      </w:pPr>
      <w:rPr>
        <w:rFonts w:ascii="Noto Sans Symbols" w:eastAsia="Noto Sans Symbols" w:hAnsi="Noto Sans Symbols" w:cs="Noto Sans Symbols"/>
      </w:rPr>
    </w:lvl>
  </w:abstractNum>
  <w:abstractNum w:abstractNumId="4" w15:restartNumberingAfterBreak="0">
    <w:nsid w:val="220550FA"/>
    <w:multiLevelType w:val="hybridMultilevel"/>
    <w:tmpl w:val="BC8AA3EE"/>
    <w:lvl w:ilvl="0" w:tplc="002AA744">
      <w:start w:val="5"/>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445BA"/>
    <w:multiLevelType w:val="hybridMultilevel"/>
    <w:tmpl w:val="4614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1684A"/>
    <w:multiLevelType w:val="hybridMultilevel"/>
    <w:tmpl w:val="E076C3F4"/>
    <w:lvl w:ilvl="0" w:tplc="DA56A542">
      <w:start w:val="1"/>
      <w:numFmt w:val="decimal"/>
      <w:lvlText w:val="%1."/>
      <w:lvlJc w:val="left"/>
      <w:pPr>
        <w:ind w:left="720" w:hanging="360"/>
      </w:pPr>
      <w:rPr>
        <w:b w:val="0"/>
        <w:bCs w:val="0"/>
      </w:rPr>
    </w:lvl>
    <w:lvl w:ilvl="1" w:tplc="4588D794">
      <w:numFmt w:val="bullet"/>
      <w:lvlText w:val=""/>
      <w:lvlJc w:val="left"/>
      <w:pPr>
        <w:ind w:left="1440" w:hanging="360"/>
      </w:pPr>
      <w:rPr>
        <w:rFonts w:ascii="Cambria" w:eastAsiaTheme="minorHAnsi" w:hAnsi="Cambria" w:cs="Apto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697AD9"/>
    <w:multiLevelType w:val="multilevel"/>
    <w:tmpl w:val="52725D9C"/>
    <w:lvl w:ilvl="0">
      <w:numFmt w:val="bullet"/>
      <w:lvlText w:val="-"/>
      <w:lvlJc w:val="left"/>
      <w:pPr>
        <w:ind w:left="558" w:hanging="340"/>
      </w:pPr>
      <w:rPr>
        <w:rFonts w:ascii="Times New Roman" w:eastAsia="Times New Roman" w:hAnsi="Times New Roman" w:cs="Times New Roman"/>
        <w:b w:val="0"/>
        <w:i w:val="0"/>
        <w:sz w:val="20"/>
        <w:szCs w:val="20"/>
      </w:rPr>
    </w:lvl>
    <w:lvl w:ilvl="1">
      <w:numFmt w:val="bullet"/>
      <w:lvlText w:val="•"/>
      <w:lvlJc w:val="left"/>
      <w:pPr>
        <w:ind w:left="1454" w:hanging="340"/>
      </w:pPr>
    </w:lvl>
    <w:lvl w:ilvl="2">
      <w:numFmt w:val="bullet"/>
      <w:lvlText w:val="•"/>
      <w:lvlJc w:val="left"/>
      <w:pPr>
        <w:ind w:left="2349" w:hanging="340"/>
      </w:pPr>
    </w:lvl>
    <w:lvl w:ilvl="3">
      <w:numFmt w:val="bullet"/>
      <w:lvlText w:val="•"/>
      <w:lvlJc w:val="left"/>
      <w:pPr>
        <w:ind w:left="3243" w:hanging="340"/>
      </w:pPr>
    </w:lvl>
    <w:lvl w:ilvl="4">
      <w:numFmt w:val="bullet"/>
      <w:lvlText w:val="•"/>
      <w:lvlJc w:val="left"/>
      <w:pPr>
        <w:ind w:left="4138" w:hanging="340"/>
      </w:pPr>
    </w:lvl>
    <w:lvl w:ilvl="5">
      <w:numFmt w:val="bullet"/>
      <w:lvlText w:val="•"/>
      <w:lvlJc w:val="left"/>
      <w:pPr>
        <w:ind w:left="5033" w:hanging="340"/>
      </w:pPr>
    </w:lvl>
    <w:lvl w:ilvl="6">
      <w:numFmt w:val="bullet"/>
      <w:lvlText w:val="•"/>
      <w:lvlJc w:val="left"/>
      <w:pPr>
        <w:ind w:left="5927" w:hanging="340"/>
      </w:pPr>
    </w:lvl>
    <w:lvl w:ilvl="7">
      <w:numFmt w:val="bullet"/>
      <w:lvlText w:val="•"/>
      <w:lvlJc w:val="left"/>
      <w:pPr>
        <w:ind w:left="6822" w:hanging="340"/>
      </w:pPr>
    </w:lvl>
    <w:lvl w:ilvl="8">
      <w:numFmt w:val="bullet"/>
      <w:lvlText w:val="•"/>
      <w:lvlJc w:val="left"/>
      <w:pPr>
        <w:ind w:left="7717" w:hanging="340"/>
      </w:pPr>
    </w:lvl>
  </w:abstractNum>
  <w:abstractNum w:abstractNumId="8" w15:restartNumberingAfterBreak="0">
    <w:nsid w:val="3F427C46"/>
    <w:multiLevelType w:val="hybridMultilevel"/>
    <w:tmpl w:val="E826843C"/>
    <w:lvl w:ilvl="0" w:tplc="08090017">
      <w:start w:val="1"/>
      <w:numFmt w:val="lowerLetter"/>
      <w:lvlText w:val="%1)"/>
      <w:lvlJc w:val="left"/>
      <w:pPr>
        <w:ind w:left="918" w:hanging="360"/>
      </w:pPr>
      <w:rPr>
        <w:rFonts w:hint="default"/>
      </w:rPr>
    </w:lvl>
    <w:lvl w:ilvl="1" w:tplc="08090019" w:tentative="1">
      <w:start w:val="1"/>
      <w:numFmt w:val="lowerLetter"/>
      <w:lvlText w:val="%2."/>
      <w:lvlJc w:val="left"/>
      <w:pPr>
        <w:ind w:left="1638" w:hanging="360"/>
      </w:pPr>
    </w:lvl>
    <w:lvl w:ilvl="2" w:tplc="0809001B" w:tentative="1">
      <w:start w:val="1"/>
      <w:numFmt w:val="lowerRoman"/>
      <w:lvlText w:val="%3."/>
      <w:lvlJc w:val="right"/>
      <w:pPr>
        <w:ind w:left="2358" w:hanging="180"/>
      </w:pPr>
    </w:lvl>
    <w:lvl w:ilvl="3" w:tplc="0809000F" w:tentative="1">
      <w:start w:val="1"/>
      <w:numFmt w:val="decimal"/>
      <w:lvlText w:val="%4."/>
      <w:lvlJc w:val="left"/>
      <w:pPr>
        <w:ind w:left="3078" w:hanging="360"/>
      </w:pPr>
    </w:lvl>
    <w:lvl w:ilvl="4" w:tplc="08090019" w:tentative="1">
      <w:start w:val="1"/>
      <w:numFmt w:val="lowerLetter"/>
      <w:lvlText w:val="%5."/>
      <w:lvlJc w:val="left"/>
      <w:pPr>
        <w:ind w:left="3798" w:hanging="360"/>
      </w:pPr>
    </w:lvl>
    <w:lvl w:ilvl="5" w:tplc="0809001B" w:tentative="1">
      <w:start w:val="1"/>
      <w:numFmt w:val="lowerRoman"/>
      <w:lvlText w:val="%6."/>
      <w:lvlJc w:val="right"/>
      <w:pPr>
        <w:ind w:left="4518" w:hanging="180"/>
      </w:pPr>
    </w:lvl>
    <w:lvl w:ilvl="6" w:tplc="0809000F" w:tentative="1">
      <w:start w:val="1"/>
      <w:numFmt w:val="decimal"/>
      <w:lvlText w:val="%7."/>
      <w:lvlJc w:val="left"/>
      <w:pPr>
        <w:ind w:left="5238" w:hanging="360"/>
      </w:pPr>
    </w:lvl>
    <w:lvl w:ilvl="7" w:tplc="08090019" w:tentative="1">
      <w:start w:val="1"/>
      <w:numFmt w:val="lowerLetter"/>
      <w:lvlText w:val="%8."/>
      <w:lvlJc w:val="left"/>
      <w:pPr>
        <w:ind w:left="5958" w:hanging="360"/>
      </w:pPr>
    </w:lvl>
    <w:lvl w:ilvl="8" w:tplc="0809001B" w:tentative="1">
      <w:start w:val="1"/>
      <w:numFmt w:val="lowerRoman"/>
      <w:lvlText w:val="%9."/>
      <w:lvlJc w:val="right"/>
      <w:pPr>
        <w:ind w:left="6678" w:hanging="180"/>
      </w:pPr>
    </w:lvl>
  </w:abstractNum>
  <w:abstractNum w:abstractNumId="9" w15:restartNumberingAfterBreak="0">
    <w:nsid w:val="47DD2C5D"/>
    <w:multiLevelType w:val="hybridMultilevel"/>
    <w:tmpl w:val="3C701F2C"/>
    <w:lvl w:ilvl="0" w:tplc="04090005">
      <w:start w:val="1"/>
      <w:numFmt w:val="bullet"/>
      <w:lvlText w:val=""/>
      <w:lvlJc w:val="left"/>
      <w:pPr>
        <w:ind w:left="360" w:hanging="360"/>
      </w:pPr>
      <w:rPr>
        <w:rFonts w:ascii="Wingdings" w:hAnsi="Wingdings" w:hint="default"/>
      </w:rPr>
    </w:lvl>
    <w:lvl w:ilvl="1" w:tplc="443E856E">
      <w:start w:val="1"/>
      <w:numFmt w:val="bullet"/>
      <w:lvlText w:val="-"/>
      <w:lvlJc w:val="left"/>
      <w:pPr>
        <w:ind w:left="1080" w:hanging="360"/>
      </w:pPr>
      <w:rPr>
        <w:rFonts w:ascii="Cambria" w:eastAsia="Cambria" w:hAnsi="Cambria" w:cs="Cambria" w:hint="default"/>
        <w:b w:val="0"/>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5E3720"/>
    <w:multiLevelType w:val="multilevel"/>
    <w:tmpl w:val="17AEC9A8"/>
    <w:lvl w:ilvl="0">
      <w:start w:val="1"/>
      <w:numFmt w:val="decimal"/>
      <w:lvlText w:val="%1."/>
      <w:lvlJc w:val="left"/>
      <w:pPr>
        <w:ind w:left="6258" w:hanging="360"/>
      </w:pPr>
    </w:lvl>
    <w:lvl w:ilvl="1">
      <w:start w:val="1"/>
      <w:numFmt w:val="decimal"/>
      <w:lvlText w:val="%2."/>
      <w:lvlJc w:val="left"/>
      <w:pPr>
        <w:ind w:left="6978" w:hanging="360"/>
      </w:pPr>
    </w:lvl>
    <w:lvl w:ilvl="2">
      <w:start w:val="1"/>
      <w:numFmt w:val="bullet"/>
      <w:lvlText w:val="▪"/>
      <w:lvlJc w:val="left"/>
      <w:pPr>
        <w:ind w:left="7698" w:hanging="360"/>
      </w:pPr>
      <w:rPr>
        <w:rFonts w:ascii="Noto Sans Symbols" w:eastAsia="Noto Sans Symbols" w:hAnsi="Noto Sans Symbols" w:cs="Noto Sans Symbols"/>
      </w:rPr>
    </w:lvl>
    <w:lvl w:ilvl="3">
      <w:start w:val="1"/>
      <w:numFmt w:val="bullet"/>
      <w:lvlText w:val="●"/>
      <w:lvlJc w:val="left"/>
      <w:pPr>
        <w:ind w:left="8418" w:hanging="360"/>
      </w:pPr>
      <w:rPr>
        <w:rFonts w:ascii="Noto Sans Symbols" w:eastAsia="Noto Sans Symbols" w:hAnsi="Noto Sans Symbols" w:cs="Noto Sans Symbols"/>
      </w:rPr>
    </w:lvl>
    <w:lvl w:ilvl="4">
      <w:start w:val="1"/>
      <w:numFmt w:val="bullet"/>
      <w:lvlText w:val="o"/>
      <w:lvlJc w:val="left"/>
      <w:pPr>
        <w:ind w:left="9138" w:hanging="360"/>
      </w:pPr>
      <w:rPr>
        <w:rFonts w:ascii="Courier New" w:eastAsia="Courier New" w:hAnsi="Courier New" w:cs="Courier New"/>
      </w:rPr>
    </w:lvl>
    <w:lvl w:ilvl="5">
      <w:start w:val="1"/>
      <w:numFmt w:val="bullet"/>
      <w:lvlText w:val="▪"/>
      <w:lvlJc w:val="left"/>
      <w:pPr>
        <w:ind w:left="9858" w:hanging="360"/>
      </w:pPr>
      <w:rPr>
        <w:rFonts w:ascii="Noto Sans Symbols" w:eastAsia="Noto Sans Symbols" w:hAnsi="Noto Sans Symbols" w:cs="Noto Sans Symbols"/>
      </w:rPr>
    </w:lvl>
    <w:lvl w:ilvl="6">
      <w:start w:val="1"/>
      <w:numFmt w:val="bullet"/>
      <w:lvlText w:val="●"/>
      <w:lvlJc w:val="left"/>
      <w:pPr>
        <w:ind w:left="10578" w:hanging="360"/>
      </w:pPr>
      <w:rPr>
        <w:rFonts w:ascii="Noto Sans Symbols" w:eastAsia="Noto Sans Symbols" w:hAnsi="Noto Sans Symbols" w:cs="Noto Sans Symbols"/>
      </w:rPr>
    </w:lvl>
    <w:lvl w:ilvl="7">
      <w:start w:val="1"/>
      <w:numFmt w:val="bullet"/>
      <w:lvlText w:val="o"/>
      <w:lvlJc w:val="left"/>
      <w:pPr>
        <w:ind w:left="11298" w:hanging="360"/>
      </w:pPr>
      <w:rPr>
        <w:rFonts w:ascii="Courier New" w:eastAsia="Courier New" w:hAnsi="Courier New" w:cs="Courier New"/>
      </w:rPr>
    </w:lvl>
    <w:lvl w:ilvl="8">
      <w:start w:val="1"/>
      <w:numFmt w:val="bullet"/>
      <w:lvlText w:val="▪"/>
      <w:lvlJc w:val="left"/>
      <w:pPr>
        <w:ind w:left="12018" w:hanging="360"/>
      </w:pPr>
      <w:rPr>
        <w:rFonts w:ascii="Noto Sans Symbols" w:eastAsia="Noto Sans Symbols" w:hAnsi="Noto Sans Symbols" w:cs="Noto Sans Symbols"/>
      </w:rPr>
    </w:lvl>
  </w:abstractNum>
  <w:abstractNum w:abstractNumId="11" w15:restartNumberingAfterBreak="0">
    <w:nsid w:val="5CF26F3E"/>
    <w:multiLevelType w:val="hybridMultilevel"/>
    <w:tmpl w:val="FA10DE4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53698"/>
    <w:multiLevelType w:val="hybridMultilevel"/>
    <w:tmpl w:val="67A2088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43848"/>
    <w:multiLevelType w:val="hybridMultilevel"/>
    <w:tmpl w:val="4796C05E"/>
    <w:lvl w:ilvl="0" w:tplc="98022E1C">
      <w:start w:val="2023"/>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665DC"/>
    <w:multiLevelType w:val="hybridMultilevel"/>
    <w:tmpl w:val="021C27BA"/>
    <w:lvl w:ilvl="0" w:tplc="973EACC8">
      <w:start w:val="1"/>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002A7"/>
    <w:multiLevelType w:val="hybridMultilevel"/>
    <w:tmpl w:val="3FD0A318"/>
    <w:lvl w:ilvl="0" w:tplc="D7C65BAC">
      <w:start w:val="1"/>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05A05"/>
    <w:multiLevelType w:val="hybridMultilevel"/>
    <w:tmpl w:val="679AF8AC"/>
    <w:lvl w:ilvl="0" w:tplc="443E856E">
      <w:start w:val="1"/>
      <w:numFmt w:val="bullet"/>
      <w:lvlText w:val="-"/>
      <w:lvlJc w:val="left"/>
      <w:pPr>
        <w:ind w:left="720" w:hanging="360"/>
      </w:pPr>
      <w:rPr>
        <w:rFonts w:ascii="Cambria" w:eastAsia="Cambria" w:hAnsi="Cambria" w:cs="Cambria"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E6BA3"/>
    <w:multiLevelType w:val="hybridMultilevel"/>
    <w:tmpl w:val="387C441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875430">
    <w:abstractNumId w:val="7"/>
  </w:num>
  <w:num w:numId="2" w16cid:durableId="1152064843">
    <w:abstractNumId w:val="10"/>
  </w:num>
  <w:num w:numId="3" w16cid:durableId="893346120">
    <w:abstractNumId w:val="3"/>
  </w:num>
  <w:num w:numId="4" w16cid:durableId="1450467431">
    <w:abstractNumId w:val="13"/>
  </w:num>
  <w:num w:numId="5" w16cid:durableId="21128796">
    <w:abstractNumId w:val="8"/>
  </w:num>
  <w:num w:numId="6" w16cid:durableId="592737962">
    <w:abstractNumId w:val="1"/>
  </w:num>
  <w:num w:numId="7" w16cid:durableId="278338372">
    <w:abstractNumId w:val="11"/>
  </w:num>
  <w:num w:numId="8" w16cid:durableId="346756602">
    <w:abstractNumId w:val="16"/>
  </w:num>
  <w:num w:numId="9" w16cid:durableId="305479931">
    <w:abstractNumId w:val="14"/>
  </w:num>
  <w:num w:numId="10" w16cid:durableId="1406683848">
    <w:abstractNumId w:val="15"/>
  </w:num>
  <w:num w:numId="11" w16cid:durableId="1315261206">
    <w:abstractNumId w:val="12"/>
  </w:num>
  <w:num w:numId="12" w16cid:durableId="1612979283">
    <w:abstractNumId w:val="5"/>
  </w:num>
  <w:num w:numId="13" w16cid:durableId="1347514751">
    <w:abstractNumId w:val="17"/>
  </w:num>
  <w:num w:numId="14" w16cid:durableId="87242238">
    <w:abstractNumId w:val="9"/>
  </w:num>
  <w:num w:numId="15" w16cid:durableId="81151993">
    <w:abstractNumId w:val="2"/>
  </w:num>
  <w:num w:numId="16" w16cid:durableId="43912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50957">
    <w:abstractNumId w:val="4"/>
  </w:num>
  <w:num w:numId="18" w16cid:durableId="1712416418">
    <w:abstractNumId w:val="6"/>
  </w:num>
  <w:num w:numId="19" w16cid:durableId="13547664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DD"/>
    <w:rsid w:val="00001684"/>
    <w:rsid w:val="00004F4F"/>
    <w:rsid w:val="00006CC0"/>
    <w:rsid w:val="000076BA"/>
    <w:rsid w:val="00011B83"/>
    <w:rsid w:val="00012D05"/>
    <w:rsid w:val="00013709"/>
    <w:rsid w:val="000137BE"/>
    <w:rsid w:val="0002268B"/>
    <w:rsid w:val="000268A2"/>
    <w:rsid w:val="00031DAB"/>
    <w:rsid w:val="000332D9"/>
    <w:rsid w:val="00037F51"/>
    <w:rsid w:val="00051833"/>
    <w:rsid w:val="00053442"/>
    <w:rsid w:val="00054846"/>
    <w:rsid w:val="00060C45"/>
    <w:rsid w:val="000610BD"/>
    <w:rsid w:val="00061337"/>
    <w:rsid w:val="000617C3"/>
    <w:rsid w:val="00062ED2"/>
    <w:rsid w:val="00065C93"/>
    <w:rsid w:val="00066A6F"/>
    <w:rsid w:val="00070246"/>
    <w:rsid w:val="00080FF0"/>
    <w:rsid w:val="0008696D"/>
    <w:rsid w:val="00092AA5"/>
    <w:rsid w:val="000961FD"/>
    <w:rsid w:val="000969C0"/>
    <w:rsid w:val="000A2470"/>
    <w:rsid w:val="000A5570"/>
    <w:rsid w:val="000B2800"/>
    <w:rsid w:val="000B77BB"/>
    <w:rsid w:val="000B7D7D"/>
    <w:rsid w:val="000B7E5A"/>
    <w:rsid w:val="000C6281"/>
    <w:rsid w:val="000C7BA9"/>
    <w:rsid w:val="000D142C"/>
    <w:rsid w:val="000D1A01"/>
    <w:rsid w:val="000D38F7"/>
    <w:rsid w:val="000D736D"/>
    <w:rsid w:val="000E0392"/>
    <w:rsid w:val="000E242A"/>
    <w:rsid w:val="000E2655"/>
    <w:rsid w:val="000F0295"/>
    <w:rsid w:val="000F2317"/>
    <w:rsid w:val="00101211"/>
    <w:rsid w:val="00105D28"/>
    <w:rsid w:val="001105AE"/>
    <w:rsid w:val="00110CCB"/>
    <w:rsid w:val="00114765"/>
    <w:rsid w:val="001167C3"/>
    <w:rsid w:val="00125827"/>
    <w:rsid w:val="0013543F"/>
    <w:rsid w:val="0013602C"/>
    <w:rsid w:val="00140D9D"/>
    <w:rsid w:val="00160278"/>
    <w:rsid w:val="00161426"/>
    <w:rsid w:val="00164B5F"/>
    <w:rsid w:val="00167B6B"/>
    <w:rsid w:val="00175EF1"/>
    <w:rsid w:val="00180007"/>
    <w:rsid w:val="00180800"/>
    <w:rsid w:val="0018540F"/>
    <w:rsid w:val="0018551C"/>
    <w:rsid w:val="00185C7A"/>
    <w:rsid w:val="00190C01"/>
    <w:rsid w:val="0019384B"/>
    <w:rsid w:val="0019409C"/>
    <w:rsid w:val="001A0F9A"/>
    <w:rsid w:val="001A5272"/>
    <w:rsid w:val="001B00B7"/>
    <w:rsid w:val="001B31EB"/>
    <w:rsid w:val="001B4F08"/>
    <w:rsid w:val="001C2D01"/>
    <w:rsid w:val="001D6054"/>
    <w:rsid w:val="001F1F9A"/>
    <w:rsid w:val="001F35DC"/>
    <w:rsid w:val="001F553D"/>
    <w:rsid w:val="001F5F07"/>
    <w:rsid w:val="00202B62"/>
    <w:rsid w:val="002049CF"/>
    <w:rsid w:val="002101D4"/>
    <w:rsid w:val="00216B2E"/>
    <w:rsid w:val="002218A0"/>
    <w:rsid w:val="0022533F"/>
    <w:rsid w:val="00226BFB"/>
    <w:rsid w:val="00230114"/>
    <w:rsid w:val="00232064"/>
    <w:rsid w:val="00232AD9"/>
    <w:rsid w:val="00245437"/>
    <w:rsid w:val="00246433"/>
    <w:rsid w:val="00246616"/>
    <w:rsid w:val="0025570B"/>
    <w:rsid w:val="0026049C"/>
    <w:rsid w:val="00260EB6"/>
    <w:rsid w:val="00262116"/>
    <w:rsid w:val="00267D1A"/>
    <w:rsid w:val="00270750"/>
    <w:rsid w:val="002726EC"/>
    <w:rsid w:val="00291D93"/>
    <w:rsid w:val="00294016"/>
    <w:rsid w:val="002A0C55"/>
    <w:rsid w:val="002A50C1"/>
    <w:rsid w:val="002B517A"/>
    <w:rsid w:val="002C72FE"/>
    <w:rsid w:val="002C7336"/>
    <w:rsid w:val="002D0044"/>
    <w:rsid w:val="002D14B0"/>
    <w:rsid w:val="002D18AB"/>
    <w:rsid w:val="002D1C50"/>
    <w:rsid w:val="002D1D32"/>
    <w:rsid w:val="002D4C04"/>
    <w:rsid w:val="002D6946"/>
    <w:rsid w:val="002D69A0"/>
    <w:rsid w:val="002F09E1"/>
    <w:rsid w:val="002F0E2F"/>
    <w:rsid w:val="002F11D3"/>
    <w:rsid w:val="002F3071"/>
    <w:rsid w:val="002F5C79"/>
    <w:rsid w:val="002F7124"/>
    <w:rsid w:val="002F749B"/>
    <w:rsid w:val="002F7F2F"/>
    <w:rsid w:val="00300A86"/>
    <w:rsid w:val="003018B3"/>
    <w:rsid w:val="00301BAF"/>
    <w:rsid w:val="00306014"/>
    <w:rsid w:val="00310499"/>
    <w:rsid w:val="003130C2"/>
    <w:rsid w:val="0031380E"/>
    <w:rsid w:val="003153D9"/>
    <w:rsid w:val="00316690"/>
    <w:rsid w:val="003256AC"/>
    <w:rsid w:val="0032590D"/>
    <w:rsid w:val="00325EF2"/>
    <w:rsid w:val="00330756"/>
    <w:rsid w:val="00330FBB"/>
    <w:rsid w:val="003344D6"/>
    <w:rsid w:val="00334CC9"/>
    <w:rsid w:val="00340069"/>
    <w:rsid w:val="00340F5A"/>
    <w:rsid w:val="00343FE7"/>
    <w:rsid w:val="00346771"/>
    <w:rsid w:val="00350AF3"/>
    <w:rsid w:val="00350C0A"/>
    <w:rsid w:val="0035272A"/>
    <w:rsid w:val="00352B6C"/>
    <w:rsid w:val="00360959"/>
    <w:rsid w:val="00383062"/>
    <w:rsid w:val="00386F45"/>
    <w:rsid w:val="0039534C"/>
    <w:rsid w:val="003A5CD1"/>
    <w:rsid w:val="003B2491"/>
    <w:rsid w:val="003B27EB"/>
    <w:rsid w:val="003B6D5F"/>
    <w:rsid w:val="003C1459"/>
    <w:rsid w:val="003C5523"/>
    <w:rsid w:val="003C5FAF"/>
    <w:rsid w:val="003D5ABD"/>
    <w:rsid w:val="003E33B2"/>
    <w:rsid w:val="003E39D1"/>
    <w:rsid w:val="003F1ABD"/>
    <w:rsid w:val="003F295C"/>
    <w:rsid w:val="00404876"/>
    <w:rsid w:val="00404B52"/>
    <w:rsid w:val="00407B0D"/>
    <w:rsid w:val="0041138B"/>
    <w:rsid w:val="004118A2"/>
    <w:rsid w:val="0041484C"/>
    <w:rsid w:val="004157D3"/>
    <w:rsid w:val="00416C74"/>
    <w:rsid w:val="00423896"/>
    <w:rsid w:val="00433A1C"/>
    <w:rsid w:val="00433D31"/>
    <w:rsid w:val="00435713"/>
    <w:rsid w:val="0043666E"/>
    <w:rsid w:val="004369F5"/>
    <w:rsid w:val="004416F6"/>
    <w:rsid w:val="00443866"/>
    <w:rsid w:val="00445F9D"/>
    <w:rsid w:val="00453CE4"/>
    <w:rsid w:val="004552FC"/>
    <w:rsid w:val="00465452"/>
    <w:rsid w:val="00466D5E"/>
    <w:rsid w:val="004670C9"/>
    <w:rsid w:val="0046759D"/>
    <w:rsid w:val="00471945"/>
    <w:rsid w:val="00473062"/>
    <w:rsid w:val="004829C8"/>
    <w:rsid w:val="0049500F"/>
    <w:rsid w:val="00496FC2"/>
    <w:rsid w:val="00497E53"/>
    <w:rsid w:val="004A3333"/>
    <w:rsid w:val="004A5724"/>
    <w:rsid w:val="004B0775"/>
    <w:rsid w:val="004B26EC"/>
    <w:rsid w:val="004B73AE"/>
    <w:rsid w:val="004B7A3D"/>
    <w:rsid w:val="004B7E8B"/>
    <w:rsid w:val="004C320E"/>
    <w:rsid w:val="004C7E5C"/>
    <w:rsid w:val="004D16D4"/>
    <w:rsid w:val="004E10E5"/>
    <w:rsid w:val="004E155B"/>
    <w:rsid w:val="004E33CC"/>
    <w:rsid w:val="004E3668"/>
    <w:rsid w:val="004E6B31"/>
    <w:rsid w:val="004F5A04"/>
    <w:rsid w:val="004F6EE4"/>
    <w:rsid w:val="005004BB"/>
    <w:rsid w:val="00502306"/>
    <w:rsid w:val="00504F78"/>
    <w:rsid w:val="00504F8E"/>
    <w:rsid w:val="0050786F"/>
    <w:rsid w:val="00510C9F"/>
    <w:rsid w:val="0051583E"/>
    <w:rsid w:val="0052408A"/>
    <w:rsid w:val="005249CE"/>
    <w:rsid w:val="0052629F"/>
    <w:rsid w:val="00530055"/>
    <w:rsid w:val="00534610"/>
    <w:rsid w:val="00534AAF"/>
    <w:rsid w:val="00540EE4"/>
    <w:rsid w:val="00542F85"/>
    <w:rsid w:val="0054384D"/>
    <w:rsid w:val="005539FC"/>
    <w:rsid w:val="005613BF"/>
    <w:rsid w:val="005619DB"/>
    <w:rsid w:val="00561CAA"/>
    <w:rsid w:val="00565BC3"/>
    <w:rsid w:val="0056647E"/>
    <w:rsid w:val="0056730F"/>
    <w:rsid w:val="0056773B"/>
    <w:rsid w:val="00567EDA"/>
    <w:rsid w:val="00571881"/>
    <w:rsid w:val="00581EAC"/>
    <w:rsid w:val="00582FB2"/>
    <w:rsid w:val="00587804"/>
    <w:rsid w:val="005A18DD"/>
    <w:rsid w:val="005A2334"/>
    <w:rsid w:val="005A60DA"/>
    <w:rsid w:val="005B44AC"/>
    <w:rsid w:val="005B72E4"/>
    <w:rsid w:val="005B7CE3"/>
    <w:rsid w:val="005C0B9A"/>
    <w:rsid w:val="005C57CE"/>
    <w:rsid w:val="005C7273"/>
    <w:rsid w:val="005D1141"/>
    <w:rsid w:val="005D4205"/>
    <w:rsid w:val="005D65A9"/>
    <w:rsid w:val="005D77A5"/>
    <w:rsid w:val="005E2D41"/>
    <w:rsid w:val="005E56DA"/>
    <w:rsid w:val="005F1939"/>
    <w:rsid w:val="005F328D"/>
    <w:rsid w:val="005F6DEF"/>
    <w:rsid w:val="00600A3B"/>
    <w:rsid w:val="006151B8"/>
    <w:rsid w:val="006152E8"/>
    <w:rsid w:val="00627E3A"/>
    <w:rsid w:val="00633AE0"/>
    <w:rsid w:val="00636882"/>
    <w:rsid w:val="006370DE"/>
    <w:rsid w:val="00637EEA"/>
    <w:rsid w:val="00650797"/>
    <w:rsid w:val="00653B6F"/>
    <w:rsid w:val="00657025"/>
    <w:rsid w:val="00666A7B"/>
    <w:rsid w:val="00671C62"/>
    <w:rsid w:val="0067502C"/>
    <w:rsid w:val="00675951"/>
    <w:rsid w:val="006765C2"/>
    <w:rsid w:val="006765E4"/>
    <w:rsid w:val="006766E5"/>
    <w:rsid w:val="00683352"/>
    <w:rsid w:val="006879D2"/>
    <w:rsid w:val="00687B41"/>
    <w:rsid w:val="00691807"/>
    <w:rsid w:val="00692CA5"/>
    <w:rsid w:val="00695F96"/>
    <w:rsid w:val="006B142F"/>
    <w:rsid w:val="006B20E2"/>
    <w:rsid w:val="006B2145"/>
    <w:rsid w:val="006B2F02"/>
    <w:rsid w:val="006B3B3D"/>
    <w:rsid w:val="006C2B95"/>
    <w:rsid w:val="006C30BA"/>
    <w:rsid w:val="006C39AD"/>
    <w:rsid w:val="006D1E92"/>
    <w:rsid w:val="006D3229"/>
    <w:rsid w:val="006E19C9"/>
    <w:rsid w:val="006E2001"/>
    <w:rsid w:val="006E2A73"/>
    <w:rsid w:val="006E5136"/>
    <w:rsid w:val="006E74D9"/>
    <w:rsid w:val="006F4987"/>
    <w:rsid w:val="006F5ADA"/>
    <w:rsid w:val="006F6913"/>
    <w:rsid w:val="00702322"/>
    <w:rsid w:val="0071484F"/>
    <w:rsid w:val="00716934"/>
    <w:rsid w:val="007221B9"/>
    <w:rsid w:val="00722215"/>
    <w:rsid w:val="00726E2E"/>
    <w:rsid w:val="00732537"/>
    <w:rsid w:val="00732E6B"/>
    <w:rsid w:val="007336B6"/>
    <w:rsid w:val="00736CFD"/>
    <w:rsid w:val="00740DCB"/>
    <w:rsid w:val="00740FC0"/>
    <w:rsid w:val="00744CE1"/>
    <w:rsid w:val="0074650B"/>
    <w:rsid w:val="00760BAD"/>
    <w:rsid w:val="00766D15"/>
    <w:rsid w:val="00771680"/>
    <w:rsid w:val="00775570"/>
    <w:rsid w:val="00775ED2"/>
    <w:rsid w:val="00782549"/>
    <w:rsid w:val="007840EC"/>
    <w:rsid w:val="00786C29"/>
    <w:rsid w:val="00787075"/>
    <w:rsid w:val="0078741B"/>
    <w:rsid w:val="00792F23"/>
    <w:rsid w:val="00796219"/>
    <w:rsid w:val="007A24C7"/>
    <w:rsid w:val="007A3109"/>
    <w:rsid w:val="007A6432"/>
    <w:rsid w:val="007A79FD"/>
    <w:rsid w:val="007A7C3A"/>
    <w:rsid w:val="007B161C"/>
    <w:rsid w:val="007B7598"/>
    <w:rsid w:val="007D17CF"/>
    <w:rsid w:val="007D2EAE"/>
    <w:rsid w:val="007D763E"/>
    <w:rsid w:val="007E5605"/>
    <w:rsid w:val="007E71A3"/>
    <w:rsid w:val="007F0E97"/>
    <w:rsid w:val="007F305C"/>
    <w:rsid w:val="007F4743"/>
    <w:rsid w:val="007F5D2A"/>
    <w:rsid w:val="007F66BC"/>
    <w:rsid w:val="007F7337"/>
    <w:rsid w:val="007F7E17"/>
    <w:rsid w:val="00800967"/>
    <w:rsid w:val="00802CB7"/>
    <w:rsid w:val="00803938"/>
    <w:rsid w:val="00807028"/>
    <w:rsid w:val="00807413"/>
    <w:rsid w:val="008109F1"/>
    <w:rsid w:val="00811443"/>
    <w:rsid w:val="008159E4"/>
    <w:rsid w:val="00821A9F"/>
    <w:rsid w:val="00822182"/>
    <w:rsid w:val="008307C7"/>
    <w:rsid w:val="00833238"/>
    <w:rsid w:val="008362F6"/>
    <w:rsid w:val="00836DBC"/>
    <w:rsid w:val="008409DE"/>
    <w:rsid w:val="00840AE9"/>
    <w:rsid w:val="00840E45"/>
    <w:rsid w:val="00842B3A"/>
    <w:rsid w:val="008451B7"/>
    <w:rsid w:val="00846F2C"/>
    <w:rsid w:val="00847A09"/>
    <w:rsid w:val="008514C1"/>
    <w:rsid w:val="00852716"/>
    <w:rsid w:val="0085324D"/>
    <w:rsid w:val="0085390B"/>
    <w:rsid w:val="00860FCA"/>
    <w:rsid w:val="00861EFD"/>
    <w:rsid w:val="00864545"/>
    <w:rsid w:val="00864F7C"/>
    <w:rsid w:val="008670DA"/>
    <w:rsid w:val="00870AE8"/>
    <w:rsid w:val="008716D1"/>
    <w:rsid w:val="008720F2"/>
    <w:rsid w:val="00872266"/>
    <w:rsid w:val="0087518F"/>
    <w:rsid w:val="0088109F"/>
    <w:rsid w:val="008844BE"/>
    <w:rsid w:val="0088519F"/>
    <w:rsid w:val="008958C0"/>
    <w:rsid w:val="008A419C"/>
    <w:rsid w:val="008B67BC"/>
    <w:rsid w:val="008B71C9"/>
    <w:rsid w:val="008C0DF6"/>
    <w:rsid w:val="008C33E6"/>
    <w:rsid w:val="008C618F"/>
    <w:rsid w:val="008D573B"/>
    <w:rsid w:val="008E47DA"/>
    <w:rsid w:val="008E4860"/>
    <w:rsid w:val="008F014F"/>
    <w:rsid w:val="008F07D1"/>
    <w:rsid w:val="00903BE7"/>
    <w:rsid w:val="009101B4"/>
    <w:rsid w:val="009109B0"/>
    <w:rsid w:val="00917E6F"/>
    <w:rsid w:val="00920E88"/>
    <w:rsid w:val="00926CB3"/>
    <w:rsid w:val="009275FF"/>
    <w:rsid w:val="0093059B"/>
    <w:rsid w:val="00931966"/>
    <w:rsid w:val="0093307D"/>
    <w:rsid w:val="00933870"/>
    <w:rsid w:val="00934246"/>
    <w:rsid w:val="00940C2C"/>
    <w:rsid w:val="00943852"/>
    <w:rsid w:val="009452ED"/>
    <w:rsid w:val="00951079"/>
    <w:rsid w:val="009531AA"/>
    <w:rsid w:val="009568B6"/>
    <w:rsid w:val="00960AD5"/>
    <w:rsid w:val="0097029A"/>
    <w:rsid w:val="00970ADF"/>
    <w:rsid w:val="0097573F"/>
    <w:rsid w:val="00977B08"/>
    <w:rsid w:val="00980D31"/>
    <w:rsid w:val="00982970"/>
    <w:rsid w:val="009879A9"/>
    <w:rsid w:val="00987D1A"/>
    <w:rsid w:val="009913D7"/>
    <w:rsid w:val="00991E05"/>
    <w:rsid w:val="00993635"/>
    <w:rsid w:val="009A6F21"/>
    <w:rsid w:val="009C6A83"/>
    <w:rsid w:val="009C7DA3"/>
    <w:rsid w:val="009E54CC"/>
    <w:rsid w:val="00A03405"/>
    <w:rsid w:val="00A03636"/>
    <w:rsid w:val="00A03ADF"/>
    <w:rsid w:val="00A0779F"/>
    <w:rsid w:val="00A107EC"/>
    <w:rsid w:val="00A15034"/>
    <w:rsid w:val="00A22D7F"/>
    <w:rsid w:val="00A23E70"/>
    <w:rsid w:val="00A24E4A"/>
    <w:rsid w:val="00A25097"/>
    <w:rsid w:val="00A25B9D"/>
    <w:rsid w:val="00A300AA"/>
    <w:rsid w:val="00A35F73"/>
    <w:rsid w:val="00A36158"/>
    <w:rsid w:val="00A37BF9"/>
    <w:rsid w:val="00A41F7D"/>
    <w:rsid w:val="00A47485"/>
    <w:rsid w:val="00A57C89"/>
    <w:rsid w:val="00A653CD"/>
    <w:rsid w:val="00A6608D"/>
    <w:rsid w:val="00A703B2"/>
    <w:rsid w:val="00A72E72"/>
    <w:rsid w:val="00A73C29"/>
    <w:rsid w:val="00A74B1C"/>
    <w:rsid w:val="00A7547E"/>
    <w:rsid w:val="00A8101E"/>
    <w:rsid w:val="00A82FB5"/>
    <w:rsid w:val="00A84581"/>
    <w:rsid w:val="00A84E73"/>
    <w:rsid w:val="00A86367"/>
    <w:rsid w:val="00A93C70"/>
    <w:rsid w:val="00A9471F"/>
    <w:rsid w:val="00AA28B3"/>
    <w:rsid w:val="00AA68B2"/>
    <w:rsid w:val="00AA77A8"/>
    <w:rsid w:val="00AB1F79"/>
    <w:rsid w:val="00AB2521"/>
    <w:rsid w:val="00AB6B5E"/>
    <w:rsid w:val="00AC00C7"/>
    <w:rsid w:val="00AC0FBF"/>
    <w:rsid w:val="00AC2F1E"/>
    <w:rsid w:val="00AD1080"/>
    <w:rsid w:val="00AD6B0E"/>
    <w:rsid w:val="00AD7749"/>
    <w:rsid w:val="00AD7AA6"/>
    <w:rsid w:val="00AE0D41"/>
    <w:rsid w:val="00AE13BB"/>
    <w:rsid w:val="00AE21A7"/>
    <w:rsid w:val="00AE23D1"/>
    <w:rsid w:val="00AE2D98"/>
    <w:rsid w:val="00AE3FCB"/>
    <w:rsid w:val="00AE62E8"/>
    <w:rsid w:val="00AF1064"/>
    <w:rsid w:val="00AF543C"/>
    <w:rsid w:val="00AF6E93"/>
    <w:rsid w:val="00B00056"/>
    <w:rsid w:val="00B0246F"/>
    <w:rsid w:val="00B02813"/>
    <w:rsid w:val="00B12987"/>
    <w:rsid w:val="00B31EDD"/>
    <w:rsid w:val="00B34CAA"/>
    <w:rsid w:val="00B37BDC"/>
    <w:rsid w:val="00B427C7"/>
    <w:rsid w:val="00B4409A"/>
    <w:rsid w:val="00B44CC1"/>
    <w:rsid w:val="00B44DB6"/>
    <w:rsid w:val="00B46536"/>
    <w:rsid w:val="00B56B11"/>
    <w:rsid w:val="00B60C43"/>
    <w:rsid w:val="00B623FC"/>
    <w:rsid w:val="00B63F0B"/>
    <w:rsid w:val="00B70B71"/>
    <w:rsid w:val="00B70D67"/>
    <w:rsid w:val="00B723C8"/>
    <w:rsid w:val="00B72DDD"/>
    <w:rsid w:val="00B73392"/>
    <w:rsid w:val="00B76DAC"/>
    <w:rsid w:val="00B809C5"/>
    <w:rsid w:val="00B82235"/>
    <w:rsid w:val="00B83722"/>
    <w:rsid w:val="00B87678"/>
    <w:rsid w:val="00B87B8D"/>
    <w:rsid w:val="00B925C9"/>
    <w:rsid w:val="00B9343D"/>
    <w:rsid w:val="00B9531C"/>
    <w:rsid w:val="00B972B0"/>
    <w:rsid w:val="00BA2C74"/>
    <w:rsid w:val="00BA443F"/>
    <w:rsid w:val="00BB277B"/>
    <w:rsid w:val="00BB4A5D"/>
    <w:rsid w:val="00BB6007"/>
    <w:rsid w:val="00BD067D"/>
    <w:rsid w:val="00BD6211"/>
    <w:rsid w:val="00BD6ABC"/>
    <w:rsid w:val="00BE5133"/>
    <w:rsid w:val="00BF097D"/>
    <w:rsid w:val="00BF22E6"/>
    <w:rsid w:val="00BF697A"/>
    <w:rsid w:val="00C11A2F"/>
    <w:rsid w:val="00C125A0"/>
    <w:rsid w:val="00C31F61"/>
    <w:rsid w:val="00C32EA5"/>
    <w:rsid w:val="00C44D45"/>
    <w:rsid w:val="00C5011A"/>
    <w:rsid w:val="00C50ABC"/>
    <w:rsid w:val="00C51ACA"/>
    <w:rsid w:val="00C52352"/>
    <w:rsid w:val="00C60E3C"/>
    <w:rsid w:val="00C66E9F"/>
    <w:rsid w:val="00C71C57"/>
    <w:rsid w:val="00C729AA"/>
    <w:rsid w:val="00C80AF7"/>
    <w:rsid w:val="00C83A39"/>
    <w:rsid w:val="00C977CA"/>
    <w:rsid w:val="00CA028B"/>
    <w:rsid w:val="00CA14F7"/>
    <w:rsid w:val="00CA23F7"/>
    <w:rsid w:val="00CB1A6F"/>
    <w:rsid w:val="00CB1B79"/>
    <w:rsid w:val="00CB2939"/>
    <w:rsid w:val="00CB4563"/>
    <w:rsid w:val="00CB6C59"/>
    <w:rsid w:val="00CC4A1A"/>
    <w:rsid w:val="00CD1DF1"/>
    <w:rsid w:val="00CE0B17"/>
    <w:rsid w:val="00CF0091"/>
    <w:rsid w:val="00CF5FAA"/>
    <w:rsid w:val="00CF6C3C"/>
    <w:rsid w:val="00D013F3"/>
    <w:rsid w:val="00D03365"/>
    <w:rsid w:val="00D05851"/>
    <w:rsid w:val="00D06ADC"/>
    <w:rsid w:val="00D079A3"/>
    <w:rsid w:val="00D16961"/>
    <w:rsid w:val="00D20048"/>
    <w:rsid w:val="00D20E88"/>
    <w:rsid w:val="00D21B99"/>
    <w:rsid w:val="00D2238D"/>
    <w:rsid w:val="00D2360E"/>
    <w:rsid w:val="00D2428E"/>
    <w:rsid w:val="00D2535E"/>
    <w:rsid w:val="00D33A38"/>
    <w:rsid w:val="00D40819"/>
    <w:rsid w:val="00D41473"/>
    <w:rsid w:val="00D41D45"/>
    <w:rsid w:val="00D42B35"/>
    <w:rsid w:val="00D42BC4"/>
    <w:rsid w:val="00D440E9"/>
    <w:rsid w:val="00D46C19"/>
    <w:rsid w:val="00D5013E"/>
    <w:rsid w:val="00D52D09"/>
    <w:rsid w:val="00D535FF"/>
    <w:rsid w:val="00D53C3C"/>
    <w:rsid w:val="00D70D49"/>
    <w:rsid w:val="00D74B33"/>
    <w:rsid w:val="00D76F58"/>
    <w:rsid w:val="00D77DBF"/>
    <w:rsid w:val="00D80D7A"/>
    <w:rsid w:val="00D81B16"/>
    <w:rsid w:val="00D83278"/>
    <w:rsid w:val="00D84C8D"/>
    <w:rsid w:val="00D861FA"/>
    <w:rsid w:val="00D86734"/>
    <w:rsid w:val="00D93A18"/>
    <w:rsid w:val="00D948DF"/>
    <w:rsid w:val="00D9580C"/>
    <w:rsid w:val="00DA2D2F"/>
    <w:rsid w:val="00DB0B90"/>
    <w:rsid w:val="00DB1888"/>
    <w:rsid w:val="00DB3D0A"/>
    <w:rsid w:val="00DC19BF"/>
    <w:rsid w:val="00DC55B7"/>
    <w:rsid w:val="00DC5B43"/>
    <w:rsid w:val="00DC6A1A"/>
    <w:rsid w:val="00DD5DC2"/>
    <w:rsid w:val="00DE1800"/>
    <w:rsid w:val="00DE1B0D"/>
    <w:rsid w:val="00DE308C"/>
    <w:rsid w:val="00DE4856"/>
    <w:rsid w:val="00DE749B"/>
    <w:rsid w:val="00DF14F5"/>
    <w:rsid w:val="00DF3F44"/>
    <w:rsid w:val="00DF6533"/>
    <w:rsid w:val="00DF66C8"/>
    <w:rsid w:val="00DF7D29"/>
    <w:rsid w:val="00E0383D"/>
    <w:rsid w:val="00E0614E"/>
    <w:rsid w:val="00E11C5B"/>
    <w:rsid w:val="00E132EA"/>
    <w:rsid w:val="00E15A3E"/>
    <w:rsid w:val="00E202E9"/>
    <w:rsid w:val="00E20635"/>
    <w:rsid w:val="00E242E7"/>
    <w:rsid w:val="00E43B14"/>
    <w:rsid w:val="00E46175"/>
    <w:rsid w:val="00E478F3"/>
    <w:rsid w:val="00E503F1"/>
    <w:rsid w:val="00E51811"/>
    <w:rsid w:val="00E54EA2"/>
    <w:rsid w:val="00E56444"/>
    <w:rsid w:val="00E67E58"/>
    <w:rsid w:val="00E70320"/>
    <w:rsid w:val="00E73667"/>
    <w:rsid w:val="00E87212"/>
    <w:rsid w:val="00EA0A0C"/>
    <w:rsid w:val="00EA5074"/>
    <w:rsid w:val="00EB5F8D"/>
    <w:rsid w:val="00EC000A"/>
    <w:rsid w:val="00EC3B5B"/>
    <w:rsid w:val="00EC677D"/>
    <w:rsid w:val="00EC72FB"/>
    <w:rsid w:val="00ED395D"/>
    <w:rsid w:val="00ED5B0D"/>
    <w:rsid w:val="00EE2BDD"/>
    <w:rsid w:val="00EE45F3"/>
    <w:rsid w:val="00EF1462"/>
    <w:rsid w:val="00EF169C"/>
    <w:rsid w:val="00EF4361"/>
    <w:rsid w:val="00EF7F92"/>
    <w:rsid w:val="00F009BF"/>
    <w:rsid w:val="00F02849"/>
    <w:rsid w:val="00F070C9"/>
    <w:rsid w:val="00F135D8"/>
    <w:rsid w:val="00F15DDA"/>
    <w:rsid w:val="00F16191"/>
    <w:rsid w:val="00F204D0"/>
    <w:rsid w:val="00F21024"/>
    <w:rsid w:val="00F22C2F"/>
    <w:rsid w:val="00F2357A"/>
    <w:rsid w:val="00F24ADF"/>
    <w:rsid w:val="00F325D4"/>
    <w:rsid w:val="00F33FD9"/>
    <w:rsid w:val="00F34461"/>
    <w:rsid w:val="00F37A55"/>
    <w:rsid w:val="00F418D1"/>
    <w:rsid w:val="00F419A5"/>
    <w:rsid w:val="00F42386"/>
    <w:rsid w:val="00F43F86"/>
    <w:rsid w:val="00F46B7D"/>
    <w:rsid w:val="00F51D42"/>
    <w:rsid w:val="00F54EDC"/>
    <w:rsid w:val="00F5546F"/>
    <w:rsid w:val="00F56284"/>
    <w:rsid w:val="00F6093E"/>
    <w:rsid w:val="00F6127E"/>
    <w:rsid w:val="00F64865"/>
    <w:rsid w:val="00F6667E"/>
    <w:rsid w:val="00F670A1"/>
    <w:rsid w:val="00F674B6"/>
    <w:rsid w:val="00F70C99"/>
    <w:rsid w:val="00F75333"/>
    <w:rsid w:val="00F80B9B"/>
    <w:rsid w:val="00F810F4"/>
    <w:rsid w:val="00F825AC"/>
    <w:rsid w:val="00F83AA7"/>
    <w:rsid w:val="00F85435"/>
    <w:rsid w:val="00F85BBF"/>
    <w:rsid w:val="00F8748A"/>
    <w:rsid w:val="00F87BD1"/>
    <w:rsid w:val="00F90541"/>
    <w:rsid w:val="00F91182"/>
    <w:rsid w:val="00F92867"/>
    <w:rsid w:val="00F92FAD"/>
    <w:rsid w:val="00F952CD"/>
    <w:rsid w:val="00F95ACD"/>
    <w:rsid w:val="00F97CE8"/>
    <w:rsid w:val="00FA0133"/>
    <w:rsid w:val="00FA258C"/>
    <w:rsid w:val="00FB06B9"/>
    <w:rsid w:val="00FB46A2"/>
    <w:rsid w:val="00FB5A81"/>
    <w:rsid w:val="00FC4EE4"/>
    <w:rsid w:val="00FC6607"/>
    <w:rsid w:val="00FC6EF0"/>
    <w:rsid w:val="00FD08C8"/>
    <w:rsid w:val="00FD0F42"/>
    <w:rsid w:val="00FD1997"/>
    <w:rsid w:val="00FD4BDD"/>
    <w:rsid w:val="00FE4D22"/>
    <w:rsid w:val="00FF5A6D"/>
    <w:rsid w:val="00FF5BF5"/>
    <w:rsid w:val="00FF6030"/>
    <w:rsid w:val="00FF6DD2"/>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88E07"/>
  <w15:docId w15:val="{041B3A42-B715-44B6-A88F-CB2A2607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19"/>
      <w:ind w:left="20"/>
    </w:pPr>
    <w:rPr>
      <w:b/>
      <w:bCs/>
      <w:sz w:val="28"/>
      <w:szCs w:val="28"/>
    </w:rPr>
  </w:style>
  <w:style w:type="paragraph" w:styleId="BodyText">
    <w:name w:val="Body Text"/>
    <w:basedOn w:val="Normal"/>
    <w:uiPriority w:val="1"/>
    <w:qFormat/>
    <w:rsid w:val="00F91182"/>
    <w:pPr>
      <w:jc w:val="both"/>
    </w:pPr>
    <w:rPr>
      <w:sz w:val="20"/>
      <w:szCs w:val="20"/>
    </w:rPr>
  </w:style>
  <w:style w:type="paragraph" w:styleId="ListParagraph">
    <w:name w:val="List Paragraph"/>
    <w:basedOn w:val="Normal"/>
    <w:uiPriority w:val="34"/>
    <w:qFormat/>
    <w:pPr>
      <w:spacing w:line="234" w:lineRule="exact"/>
      <w:ind w:left="558" w:hanging="34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F1319B"/>
    <w:pPr>
      <w:tabs>
        <w:tab w:val="center" w:pos="4680"/>
        <w:tab w:val="right" w:pos="9360"/>
      </w:tabs>
    </w:pPr>
  </w:style>
  <w:style w:type="character" w:customStyle="1" w:styleId="HeaderChar">
    <w:name w:val="Header Char"/>
    <w:basedOn w:val="DefaultParagraphFont"/>
    <w:link w:val="Header"/>
    <w:uiPriority w:val="99"/>
    <w:rsid w:val="00F1319B"/>
    <w:rPr>
      <w:rFonts w:ascii="Cambria" w:eastAsia="Cambria" w:hAnsi="Cambria" w:cs="Cambria"/>
    </w:rPr>
  </w:style>
  <w:style w:type="paragraph" w:styleId="Footer">
    <w:name w:val="footer"/>
    <w:basedOn w:val="Normal"/>
    <w:link w:val="FooterChar"/>
    <w:uiPriority w:val="99"/>
    <w:unhideWhenUsed/>
    <w:rsid w:val="00F1319B"/>
    <w:pPr>
      <w:tabs>
        <w:tab w:val="center" w:pos="4680"/>
        <w:tab w:val="right" w:pos="9360"/>
      </w:tabs>
    </w:pPr>
  </w:style>
  <w:style w:type="character" w:customStyle="1" w:styleId="FooterChar">
    <w:name w:val="Footer Char"/>
    <w:basedOn w:val="DefaultParagraphFont"/>
    <w:link w:val="Footer"/>
    <w:uiPriority w:val="99"/>
    <w:rsid w:val="00F1319B"/>
    <w:rPr>
      <w:rFonts w:ascii="Cambria" w:eastAsia="Cambria" w:hAnsi="Cambria" w:cs="Cambria"/>
    </w:rPr>
  </w:style>
  <w:style w:type="character" w:styleId="CommentReference">
    <w:name w:val="annotation reference"/>
    <w:basedOn w:val="DefaultParagraphFont"/>
    <w:uiPriority w:val="99"/>
    <w:semiHidden/>
    <w:unhideWhenUsed/>
    <w:rsid w:val="00DB01D7"/>
    <w:rPr>
      <w:sz w:val="16"/>
      <w:szCs w:val="16"/>
    </w:rPr>
  </w:style>
  <w:style w:type="paragraph" w:styleId="CommentText">
    <w:name w:val="annotation text"/>
    <w:basedOn w:val="Normal"/>
    <w:link w:val="CommentTextChar"/>
    <w:uiPriority w:val="99"/>
    <w:unhideWhenUsed/>
    <w:rsid w:val="00DB01D7"/>
    <w:rPr>
      <w:sz w:val="20"/>
      <w:szCs w:val="20"/>
    </w:rPr>
  </w:style>
  <w:style w:type="character" w:customStyle="1" w:styleId="CommentTextChar">
    <w:name w:val="Comment Text Char"/>
    <w:basedOn w:val="DefaultParagraphFont"/>
    <w:link w:val="CommentText"/>
    <w:uiPriority w:val="99"/>
    <w:rsid w:val="00DB01D7"/>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DB01D7"/>
    <w:rPr>
      <w:b/>
      <w:bCs/>
    </w:rPr>
  </w:style>
  <w:style w:type="character" w:customStyle="1" w:styleId="CommentSubjectChar">
    <w:name w:val="Comment Subject Char"/>
    <w:basedOn w:val="CommentTextChar"/>
    <w:link w:val="CommentSubject"/>
    <w:uiPriority w:val="99"/>
    <w:semiHidden/>
    <w:rsid w:val="00DB01D7"/>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DB0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1D7"/>
    <w:rPr>
      <w:rFonts w:ascii="Segoe UI" w:eastAsia="Cambria" w:hAnsi="Segoe UI" w:cs="Segoe UI"/>
      <w:sz w:val="18"/>
      <w:szCs w:val="18"/>
    </w:rPr>
  </w:style>
  <w:style w:type="paragraph" w:customStyle="1" w:styleId="Default">
    <w:name w:val="Default"/>
    <w:rsid w:val="00C65A54"/>
    <w:pPr>
      <w:widowControl/>
      <w:adjustRightInd w:val="0"/>
    </w:pPr>
    <w:rPr>
      <w:color w:val="000000"/>
      <w:sz w:val="24"/>
      <w:szCs w:val="24"/>
    </w:rPr>
  </w:style>
  <w:style w:type="paragraph" w:styleId="Revision">
    <w:name w:val="Revision"/>
    <w:hidden/>
    <w:uiPriority w:val="99"/>
    <w:semiHidden/>
    <w:rsid w:val="005F61DB"/>
    <w:pPr>
      <w:widowControl/>
    </w:pPr>
  </w:style>
  <w:style w:type="character" w:styleId="Hyperlink">
    <w:name w:val="Hyperlink"/>
    <w:basedOn w:val="DefaultParagraphFont"/>
    <w:uiPriority w:val="99"/>
    <w:unhideWhenUsed/>
    <w:rsid w:val="00B66EF6"/>
    <w:rPr>
      <w:color w:val="0000FF" w:themeColor="hyperlink"/>
      <w:u w:val="single"/>
    </w:rPr>
  </w:style>
  <w:style w:type="character" w:customStyle="1" w:styleId="UnresolvedMention1">
    <w:name w:val="Unresolved Mention1"/>
    <w:basedOn w:val="DefaultParagraphFont"/>
    <w:uiPriority w:val="99"/>
    <w:semiHidden/>
    <w:unhideWhenUsed/>
    <w:rsid w:val="00B66EF6"/>
    <w:rPr>
      <w:color w:val="605E5C"/>
      <w:shd w:val="clear" w:color="auto" w:fill="E1DFDD"/>
    </w:rPr>
  </w:style>
  <w:style w:type="paragraph" w:styleId="Caption">
    <w:name w:val="caption"/>
    <w:basedOn w:val="Normal"/>
    <w:next w:val="Normal"/>
    <w:uiPriority w:val="35"/>
    <w:unhideWhenUsed/>
    <w:qFormat/>
    <w:rsid w:val="008007B0"/>
    <w:pPr>
      <w:spacing w:after="200"/>
    </w:pPr>
    <w:rPr>
      <w:i/>
      <w:iCs/>
      <w:color w:val="1F497D"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UnresolvedMention2">
    <w:name w:val="Unresolved Mention2"/>
    <w:basedOn w:val="DefaultParagraphFont"/>
    <w:uiPriority w:val="99"/>
    <w:semiHidden/>
    <w:unhideWhenUsed/>
    <w:rsid w:val="00782549"/>
    <w:rPr>
      <w:color w:val="605E5C"/>
      <w:shd w:val="clear" w:color="auto" w:fill="E1DFDD"/>
    </w:rPr>
  </w:style>
  <w:style w:type="character" w:styleId="FollowedHyperlink">
    <w:name w:val="FollowedHyperlink"/>
    <w:basedOn w:val="DefaultParagraphFont"/>
    <w:uiPriority w:val="99"/>
    <w:semiHidden/>
    <w:unhideWhenUsed/>
    <w:rsid w:val="00782549"/>
    <w:rPr>
      <w:color w:val="800080" w:themeColor="followedHyperlink"/>
      <w:u w:val="single"/>
    </w:rPr>
  </w:style>
  <w:style w:type="paragraph" w:styleId="FootnoteText">
    <w:name w:val="footnote text"/>
    <w:basedOn w:val="Normal"/>
    <w:link w:val="FootnoteTextChar"/>
    <w:uiPriority w:val="99"/>
    <w:semiHidden/>
    <w:unhideWhenUsed/>
    <w:rsid w:val="00D20048"/>
    <w:pPr>
      <w:widowControl/>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D20048"/>
    <w:rPr>
      <w:rFonts w:ascii="Calibri" w:eastAsia="Calibri" w:hAnsi="Calibri" w:cs="Calibri"/>
      <w:sz w:val="20"/>
      <w:szCs w:val="20"/>
      <w:lang w:val="fr-FR"/>
    </w:rPr>
  </w:style>
  <w:style w:type="character" w:styleId="FootnoteReference">
    <w:name w:val="footnote reference"/>
    <w:basedOn w:val="DefaultParagraphFont"/>
    <w:uiPriority w:val="99"/>
    <w:semiHidden/>
    <w:unhideWhenUsed/>
    <w:rsid w:val="00D20048"/>
    <w:rPr>
      <w:vertAlign w:val="superscript"/>
    </w:rPr>
  </w:style>
  <w:style w:type="character" w:customStyle="1" w:styleId="UnresolvedMention3">
    <w:name w:val="Unresolved Mention3"/>
    <w:basedOn w:val="DefaultParagraphFont"/>
    <w:uiPriority w:val="99"/>
    <w:semiHidden/>
    <w:unhideWhenUsed/>
    <w:rsid w:val="00A72E72"/>
    <w:rPr>
      <w:color w:val="605E5C"/>
      <w:shd w:val="clear" w:color="auto" w:fill="E1DFDD"/>
    </w:rPr>
  </w:style>
  <w:style w:type="paragraph" w:styleId="NormalWeb">
    <w:name w:val="Normal (Web)"/>
    <w:basedOn w:val="Normal"/>
    <w:uiPriority w:val="99"/>
    <w:semiHidden/>
    <w:unhideWhenUsed/>
    <w:rsid w:val="00C5011A"/>
    <w:pPr>
      <w:widowControl/>
      <w:spacing w:before="100" w:beforeAutospacing="1" w:after="100" w:afterAutospacing="1"/>
    </w:pPr>
    <w:rPr>
      <w:rFonts w:ascii="Aptos" w:eastAsiaTheme="minorHAnsi" w:hAnsi="Aptos" w:cs="Aptos"/>
      <w:sz w:val="24"/>
      <w:szCs w:val="24"/>
      <w:lang w:eastAsia="en-GB"/>
    </w:rPr>
  </w:style>
  <w:style w:type="character" w:styleId="UnresolvedMention">
    <w:name w:val="Unresolved Mention"/>
    <w:basedOn w:val="DefaultParagraphFont"/>
    <w:uiPriority w:val="99"/>
    <w:semiHidden/>
    <w:unhideWhenUsed/>
    <w:rsid w:val="00EE45F3"/>
    <w:rPr>
      <w:color w:val="605E5C"/>
      <w:shd w:val="clear" w:color="auto" w:fill="E1DFDD"/>
    </w:rPr>
  </w:style>
  <w:style w:type="paragraph" w:styleId="NoSpacing">
    <w:name w:val="No Spacing"/>
    <w:uiPriority w:val="1"/>
    <w:qFormat/>
    <w:rsid w:val="00F6127E"/>
    <w:pPr>
      <w:widowControl/>
    </w:pPr>
    <w:rPr>
      <w:rFonts w:ascii="Calibri" w:eastAsia="Calibri" w:hAnsi="Calibri" w:cs="Calibri"/>
    </w:rPr>
  </w:style>
  <w:style w:type="character" w:styleId="Strong">
    <w:name w:val="Strong"/>
    <w:basedOn w:val="DefaultParagraphFont"/>
    <w:uiPriority w:val="22"/>
    <w:qFormat/>
    <w:rsid w:val="007221B9"/>
    <w:rPr>
      <w:b/>
      <w:bCs/>
    </w:rPr>
  </w:style>
  <w:style w:type="character" w:styleId="Emphasis">
    <w:name w:val="Emphasis"/>
    <w:basedOn w:val="DefaultParagraphFont"/>
    <w:uiPriority w:val="20"/>
    <w:qFormat/>
    <w:rsid w:val="00722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11">
      <w:bodyDiv w:val="1"/>
      <w:marLeft w:val="0"/>
      <w:marRight w:val="0"/>
      <w:marTop w:val="0"/>
      <w:marBottom w:val="0"/>
      <w:divBdr>
        <w:top w:val="none" w:sz="0" w:space="0" w:color="auto"/>
        <w:left w:val="none" w:sz="0" w:space="0" w:color="auto"/>
        <w:bottom w:val="none" w:sz="0" w:space="0" w:color="auto"/>
        <w:right w:val="none" w:sz="0" w:space="0" w:color="auto"/>
      </w:divBdr>
    </w:div>
    <w:div w:id="982585677">
      <w:bodyDiv w:val="1"/>
      <w:marLeft w:val="0"/>
      <w:marRight w:val="0"/>
      <w:marTop w:val="0"/>
      <w:marBottom w:val="0"/>
      <w:divBdr>
        <w:top w:val="none" w:sz="0" w:space="0" w:color="auto"/>
        <w:left w:val="none" w:sz="0" w:space="0" w:color="auto"/>
        <w:bottom w:val="none" w:sz="0" w:space="0" w:color="auto"/>
        <w:right w:val="none" w:sz="0" w:space="0" w:color="auto"/>
      </w:divBdr>
    </w:div>
    <w:div w:id="1477837950">
      <w:bodyDiv w:val="1"/>
      <w:marLeft w:val="0"/>
      <w:marRight w:val="0"/>
      <w:marTop w:val="0"/>
      <w:marBottom w:val="0"/>
      <w:divBdr>
        <w:top w:val="none" w:sz="0" w:space="0" w:color="auto"/>
        <w:left w:val="none" w:sz="0" w:space="0" w:color="auto"/>
        <w:bottom w:val="none" w:sz="0" w:space="0" w:color="auto"/>
        <w:right w:val="none" w:sz="0" w:space="0" w:color="auto"/>
      </w:divBdr>
    </w:div>
    <w:div w:id="1622416705">
      <w:bodyDiv w:val="1"/>
      <w:marLeft w:val="0"/>
      <w:marRight w:val="0"/>
      <w:marTop w:val="0"/>
      <w:marBottom w:val="0"/>
      <w:divBdr>
        <w:top w:val="none" w:sz="0" w:space="0" w:color="auto"/>
        <w:left w:val="none" w:sz="0" w:space="0" w:color="auto"/>
        <w:bottom w:val="none" w:sz="0" w:space="0" w:color="auto"/>
        <w:right w:val="none" w:sz="0" w:space="0" w:color="auto"/>
      </w:divBdr>
    </w:div>
    <w:div w:id="1825585136">
      <w:bodyDiv w:val="1"/>
      <w:marLeft w:val="0"/>
      <w:marRight w:val="0"/>
      <w:marTop w:val="0"/>
      <w:marBottom w:val="0"/>
      <w:divBdr>
        <w:top w:val="none" w:sz="0" w:space="0" w:color="auto"/>
        <w:left w:val="none" w:sz="0" w:space="0" w:color="auto"/>
        <w:bottom w:val="none" w:sz="0" w:space="0" w:color="auto"/>
        <w:right w:val="none" w:sz="0" w:space="0" w:color="auto"/>
      </w:divBdr>
    </w:div>
    <w:div w:id="1843158550">
      <w:bodyDiv w:val="1"/>
      <w:marLeft w:val="0"/>
      <w:marRight w:val="0"/>
      <w:marTop w:val="0"/>
      <w:marBottom w:val="0"/>
      <w:divBdr>
        <w:top w:val="none" w:sz="0" w:space="0" w:color="auto"/>
        <w:left w:val="none" w:sz="0" w:space="0" w:color="auto"/>
        <w:bottom w:val="none" w:sz="0" w:space="0" w:color="auto"/>
        <w:right w:val="none" w:sz="0" w:space="0" w:color="auto"/>
      </w:divBdr>
    </w:div>
    <w:div w:id="1872061995">
      <w:bodyDiv w:val="1"/>
      <w:marLeft w:val="0"/>
      <w:marRight w:val="0"/>
      <w:marTop w:val="0"/>
      <w:marBottom w:val="0"/>
      <w:divBdr>
        <w:top w:val="none" w:sz="0" w:space="0" w:color="auto"/>
        <w:left w:val="none" w:sz="0" w:space="0" w:color="auto"/>
        <w:bottom w:val="none" w:sz="0" w:space="0" w:color="auto"/>
        <w:right w:val="none" w:sz="0" w:space="0" w:color="auto"/>
      </w:divBdr>
    </w:div>
    <w:div w:id="210005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sComm/uploads/COC_302_FRA_20251021103028.pdf" TargetMode="External"/><Relationship Id="rId18" Type="http://schemas.openxmlformats.org/officeDocument/2006/relationships/hyperlink" Target="https://www.iccat.int/Documents/Recs/compendiopdf-f/2022-17-f.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oms.iccat.int" TargetMode="External"/><Relationship Id="rId7" Type="http://schemas.openxmlformats.org/officeDocument/2006/relationships/settings" Target="settings.xml"/><Relationship Id="rId12" Type="http://schemas.openxmlformats.org/officeDocument/2006/relationships/hyperlink" Target="https://www.iccat.int/com2021/FRA/COC_306_FRA.pdf" TargetMode="External"/><Relationship Id="rId17" Type="http://schemas.openxmlformats.org/officeDocument/2006/relationships/hyperlink" Target="https://www.iccat.int/Documents/Recs/compendiopdf-f/2022-17-f.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ccat.int/DocsComm/uploads/COC_302_FRA_20251021103014.pdf" TargetMode="External"/><Relationship Id="rId20" Type="http://schemas.openxmlformats.org/officeDocument/2006/relationships/hyperlink" Target="https://ioms.iccat.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sComm/uploads/COC_302_FRA_20251021103014.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ccat.int/DocsComm/uploads/COC_302_FRA_20251021103014.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ccat.int/Documents/Recs/compendiopdf-f/2022-17-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sComm/uploads/COC_302_FRA_20251021103014.pdf"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a38256-9035-4c83-a88e-6b3ee2b9dbf8" xsi:nil="true"/>
    <lcf76f155ced4ddcb4097134ff3c332f xmlns="234e81f3-a66e-4c83-8385-0857ddfca1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D94236401CF449774E54927DAF70F" ma:contentTypeVersion="11" ma:contentTypeDescription="Create a new document." ma:contentTypeScope="" ma:versionID="64907b9a7faa034d9a08f475e6a4581d">
  <xsd:schema xmlns:xsd="http://www.w3.org/2001/XMLSchema" xmlns:xs="http://www.w3.org/2001/XMLSchema" xmlns:p="http://schemas.microsoft.com/office/2006/metadata/properties" xmlns:ns2="234e81f3-a66e-4c83-8385-0857ddfca1a0" xmlns:ns3="49a38256-9035-4c83-a88e-6b3ee2b9dbf8" targetNamespace="http://schemas.microsoft.com/office/2006/metadata/properties" ma:root="true" ma:fieldsID="c71abd724f0b6df144d3a0229e4390ea" ns2:_="" ns3:_="">
    <xsd:import namespace="234e81f3-a66e-4c83-8385-0857ddfca1a0"/>
    <xsd:import namespace="49a38256-9035-4c83-a88e-6b3ee2b9d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e81f3-a66e-4c83-8385-0857ddfca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38256-9035-4c83-a88e-6b3ee2b9d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3a7584-af19-44d7-9542-44c169cb98e9}" ma:internalName="TaxCatchAll" ma:showField="CatchAllData" ma:web="49a38256-9035-4c83-a88e-6b3ee2b9d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1F282-C40F-479A-AE15-03CAD1DAA933}">
  <ds:schemaRefs>
    <ds:schemaRef ds:uri="http://schemas.microsoft.com/office/2006/metadata/properties"/>
    <ds:schemaRef ds:uri="http://schemas.microsoft.com/office/infopath/2007/PartnerControls"/>
    <ds:schemaRef ds:uri="49a38256-9035-4c83-a88e-6b3ee2b9dbf8"/>
    <ds:schemaRef ds:uri="234e81f3-a66e-4c83-8385-0857ddfca1a0"/>
  </ds:schemaRefs>
</ds:datastoreItem>
</file>

<file path=customXml/itemProps2.xml><?xml version="1.0" encoding="utf-8"?>
<ds:datastoreItem xmlns:ds="http://schemas.openxmlformats.org/officeDocument/2006/customXml" ds:itemID="{DA0CDA71-7334-4D17-9C36-32859FC70B9F}">
  <ds:schemaRefs>
    <ds:schemaRef ds:uri="http://schemas.microsoft.com/sharepoint/v3/contenttype/forms"/>
  </ds:schemaRefs>
</ds:datastoreItem>
</file>

<file path=customXml/itemProps3.xml><?xml version="1.0" encoding="utf-8"?>
<ds:datastoreItem xmlns:ds="http://schemas.openxmlformats.org/officeDocument/2006/customXml" ds:itemID="{6C4B8A53-EC69-4A1F-869B-EFA5E3BA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e81f3-a66e-4c83-8385-0857ddfca1a0"/>
    <ds:schemaRef ds:uri="49a38256-9035-4c83-a88e-6b3ee2b9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27A44-F4D6-4D72-B799-BE31BA67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Mayor</dc:creator>
  <cp:keywords/>
  <dc:description/>
  <cp:lastModifiedBy>Christine Peyre</cp:lastModifiedBy>
  <cp:revision>28</cp:revision>
  <dcterms:created xsi:type="dcterms:W3CDTF">2025-11-14T17:11:00Z</dcterms:created>
  <dcterms:modified xsi:type="dcterms:W3CDTF">2025-11-15T08:41:00Z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0x010100434D94236401CF449774E54927DAF70F</vt:lpwstr>
  </property>
  <property fmtid="{D5CDD505-2E9C-101B-9397-08002B2CF9AE}" pid="3" name="MediaServiceImageTags">
    <vt:lpwstr/>
  </property>
</Properties>
</file>