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D099" w14:textId="16D1F6EA" w:rsidR="005A18DD" w:rsidRPr="00B37D60" w:rsidRDefault="00A84E73" w:rsidP="00F92FAD">
      <w:pPr>
        <w:tabs>
          <w:tab w:val="left" w:pos="9214"/>
        </w:tabs>
        <w:spacing w:before="92"/>
        <w:ind w:right="2"/>
        <w:jc w:val="right"/>
        <w:rPr>
          <w:b/>
          <w:sz w:val="20"/>
          <w:szCs w:val="20"/>
          <w:lang w:val="en-GB"/>
        </w:rPr>
      </w:pPr>
      <w:r w:rsidRPr="00B37D60">
        <w:rPr>
          <w:b/>
          <w:sz w:val="20"/>
          <w:szCs w:val="20"/>
          <w:lang w:val="en-GB"/>
        </w:rPr>
        <w:t>Original: English</w:t>
      </w:r>
      <w:r w:rsidR="00A32B2E" w:rsidRPr="00B37D60">
        <w:rPr>
          <w:b/>
          <w:sz w:val="20"/>
          <w:szCs w:val="20"/>
          <w:lang w:val="en-GB"/>
        </w:rPr>
        <w:t xml:space="preserve"> / French</w:t>
      </w:r>
    </w:p>
    <w:p w14:paraId="69C94EA7" w14:textId="77777777" w:rsidR="005A18DD" w:rsidRPr="00B37D60" w:rsidRDefault="005A18DD" w:rsidP="00F92FAD">
      <w:pPr>
        <w:pBdr>
          <w:top w:val="nil"/>
          <w:left w:val="nil"/>
          <w:bottom w:val="nil"/>
          <w:right w:val="nil"/>
          <w:between w:val="nil"/>
        </w:pBdr>
        <w:tabs>
          <w:tab w:val="left" w:pos="9072"/>
        </w:tabs>
        <w:jc w:val="right"/>
        <w:rPr>
          <w:b/>
          <w:color w:val="000000"/>
          <w:sz w:val="20"/>
          <w:szCs w:val="20"/>
          <w:lang w:val="en-GB"/>
        </w:rPr>
      </w:pPr>
    </w:p>
    <w:p w14:paraId="5A4BCCF8" w14:textId="77777777" w:rsidR="0018551C" w:rsidRPr="00B37D60" w:rsidRDefault="0018551C" w:rsidP="0018551C">
      <w:pPr>
        <w:jc w:val="center"/>
        <w:rPr>
          <w:rFonts w:asciiTheme="majorHAnsi" w:hAnsiTheme="majorHAnsi"/>
          <w:b/>
          <w:sz w:val="20"/>
          <w:szCs w:val="20"/>
          <w:lang w:val="en-GB"/>
        </w:rPr>
      </w:pPr>
      <w:r w:rsidRPr="00B37D60">
        <w:rPr>
          <w:rFonts w:asciiTheme="majorHAnsi" w:hAnsiTheme="majorHAnsi"/>
          <w:b/>
          <w:sz w:val="20"/>
          <w:szCs w:val="20"/>
          <w:lang w:val="en-GB"/>
        </w:rPr>
        <w:t>Online Reporting Technology Working Group (WG-ORT)</w:t>
      </w:r>
    </w:p>
    <w:p w14:paraId="290321BC" w14:textId="6F4DAE74" w:rsidR="0018551C" w:rsidRPr="00B37D60" w:rsidRDefault="0018551C" w:rsidP="0018551C">
      <w:pPr>
        <w:jc w:val="center"/>
        <w:rPr>
          <w:rFonts w:asciiTheme="majorHAnsi" w:hAnsiTheme="majorHAnsi"/>
          <w:b/>
          <w:sz w:val="20"/>
          <w:szCs w:val="20"/>
          <w:lang w:val="en-GB"/>
        </w:rPr>
      </w:pPr>
    </w:p>
    <w:p w14:paraId="7831E264" w14:textId="4E9698BA" w:rsidR="0018551C" w:rsidRPr="00B37D60" w:rsidRDefault="0018551C" w:rsidP="0018551C">
      <w:pPr>
        <w:jc w:val="center"/>
        <w:rPr>
          <w:rFonts w:asciiTheme="majorHAnsi" w:hAnsiTheme="majorHAnsi"/>
          <w:b/>
          <w:sz w:val="20"/>
          <w:szCs w:val="20"/>
          <w:lang w:val="en-GB"/>
        </w:rPr>
      </w:pPr>
      <w:r w:rsidRPr="00B37D60">
        <w:rPr>
          <w:rFonts w:asciiTheme="majorHAnsi" w:hAnsiTheme="majorHAnsi"/>
          <w:b/>
          <w:sz w:val="20"/>
          <w:szCs w:val="20"/>
          <w:lang w:val="en-GB"/>
        </w:rPr>
        <w:t>202</w:t>
      </w:r>
      <w:r w:rsidR="0054384D" w:rsidRPr="00B37D60">
        <w:rPr>
          <w:rFonts w:asciiTheme="majorHAnsi" w:hAnsiTheme="majorHAnsi"/>
          <w:b/>
          <w:sz w:val="20"/>
          <w:szCs w:val="20"/>
          <w:lang w:val="en-GB"/>
        </w:rPr>
        <w:t>5</w:t>
      </w:r>
      <w:r w:rsidRPr="00B37D60">
        <w:rPr>
          <w:rFonts w:asciiTheme="majorHAnsi" w:hAnsiTheme="majorHAnsi"/>
          <w:b/>
          <w:sz w:val="20"/>
          <w:szCs w:val="20"/>
          <w:lang w:val="en-GB"/>
        </w:rPr>
        <w:t xml:space="preserve"> Status report</w:t>
      </w:r>
    </w:p>
    <w:p w14:paraId="2CC6FFE7" w14:textId="77777777" w:rsidR="0018551C" w:rsidRPr="00B37D60" w:rsidRDefault="0018551C" w:rsidP="0018551C">
      <w:pPr>
        <w:jc w:val="center"/>
        <w:rPr>
          <w:rFonts w:asciiTheme="majorHAnsi" w:hAnsiTheme="majorHAnsi"/>
          <w:b/>
          <w:sz w:val="20"/>
          <w:szCs w:val="20"/>
          <w:lang w:val="en-GB"/>
        </w:rPr>
      </w:pPr>
    </w:p>
    <w:p w14:paraId="69541835" w14:textId="1288C088" w:rsidR="0018551C" w:rsidRPr="00B37D60" w:rsidRDefault="0018551C" w:rsidP="0018551C">
      <w:pPr>
        <w:jc w:val="center"/>
        <w:rPr>
          <w:rFonts w:asciiTheme="majorHAnsi" w:hAnsiTheme="majorHAnsi"/>
          <w:bCs/>
          <w:i/>
          <w:iCs/>
          <w:sz w:val="20"/>
          <w:szCs w:val="20"/>
          <w:lang w:val="en-GB"/>
        </w:rPr>
      </w:pPr>
      <w:r w:rsidRPr="00B37D60">
        <w:rPr>
          <w:rFonts w:asciiTheme="majorHAnsi" w:hAnsiTheme="majorHAnsi"/>
          <w:bCs/>
          <w:i/>
          <w:iCs/>
          <w:sz w:val="20"/>
          <w:szCs w:val="20"/>
          <w:lang w:val="en-GB"/>
        </w:rPr>
        <w:t>(</w:t>
      </w:r>
      <w:r w:rsidR="002B083F" w:rsidRPr="00B37D60">
        <w:rPr>
          <w:rFonts w:asciiTheme="majorHAnsi" w:hAnsiTheme="majorHAnsi"/>
          <w:bCs/>
          <w:i/>
          <w:iCs/>
          <w:sz w:val="20"/>
          <w:szCs w:val="20"/>
          <w:lang w:val="en-GB"/>
        </w:rPr>
        <w:t>p</w:t>
      </w:r>
      <w:r w:rsidRPr="00B37D60">
        <w:rPr>
          <w:rFonts w:asciiTheme="majorHAnsi" w:hAnsiTheme="majorHAnsi"/>
          <w:bCs/>
          <w:i/>
          <w:iCs/>
          <w:sz w:val="20"/>
          <w:szCs w:val="20"/>
          <w:lang w:val="en-GB"/>
        </w:rPr>
        <w:t>repared by the Secretariat)</w:t>
      </w:r>
    </w:p>
    <w:p w14:paraId="4F8BA8FC" w14:textId="77777777" w:rsidR="005A18DD" w:rsidRPr="00B37D60" w:rsidRDefault="005A18DD" w:rsidP="00F92FAD">
      <w:pPr>
        <w:pBdr>
          <w:top w:val="nil"/>
          <w:left w:val="nil"/>
          <w:bottom w:val="nil"/>
          <w:right w:val="nil"/>
          <w:between w:val="nil"/>
        </w:pBdr>
        <w:tabs>
          <w:tab w:val="left" w:pos="9214"/>
        </w:tabs>
        <w:spacing w:before="8"/>
        <w:rPr>
          <w:b/>
          <w:color w:val="000000"/>
          <w:sz w:val="20"/>
          <w:szCs w:val="20"/>
          <w:lang w:val="en-GB"/>
        </w:rPr>
      </w:pPr>
    </w:p>
    <w:p w14:paraId="770EED33" w14:textId="530CBB46" w:rsidR="008A419C" w:rsidRPr="00B37D60" w:rsidRDefault="008A419C" w:rsidP="008A419C">
      <w:pPr>
        <w:tabs>
          <w:tab w:val="left" w:pos="9214"/>
        </w:tabs>
        <w:rPr>
          <w:b/>
          <w:sz w:val="20"/>
          <w:szCs w:val="20"/>
          <w:lang w:val="en-GB"/>
        </w:rPr>
      </w:pPr>
      <w:r w:rsidRPr="00B37D60">
        <w:rPr>
          <w:b/>
          <w:sz w:val="20"/>
          <w:szCs w:val="20"/>
          <w:lang w:val="en-GB"/>
        </w:rPr>
        <w:t xml:space="preserve">Summary of </w:t>
      </w:r>
      <w:r w:rsidR="00226BFB" w:rsidRPr="00B37D60">
        <w:rPr>
          <w:b/>
          <w:sz w:val="20"/>
          <w:szCs w:val="20"/>
          <w:lang w:val="en-GB"/>
        </w:rPr>
        <w:t>202</w:t>
      </w:r>
      <w:r w:rsidR="006B2F02" w:rsidRPr="00B37D60">
        <w:rPr>
          <w:b/>
          <w:sz w:val="20"/>
          <w:szCs w:val="20"/>
          <w:lang w:val="en-GB"/>
        </w:rPr>
        <w:t>5</w:t>
      </w:r>
      <w:r w:rsidR="00226BFB" w:rsidRPr="00B37D60">
        <w:rPr>
          <w:b/>
          <w:sz w:val="20"/>
          <w:szCs w:val="20"/>
          <w:lang w:val="en-GB"/>
        </w:rPr>
        <w:t xml:space="preserve"> </w:t>
      </w:r>
      <w:r w:rsidRPr="00B37D60">
        <w:rPr>
          <w:b/>
          <w:sz w:val="20"/>
          <w:szCs w:val="20"/>
          <w:lang w:val="en-GB"/>
        </w:rPr>
        <w:t>Working Group activities</w:t>
      </w:r>
    </w:p>
    <w:p w14:paraId="12AEAD40" w14:textId="77777777" w:rsidR="008A419C" w:rsidRPr="00B37D60" w:rsidRDefault="008A419C" w:rsidP="004E33CC">
      <w:pPr>
        <w:pBdr>
          <w:top w:val="nil"/>
          <w:left w:val="nil"/>
          <w:bottom w:val="nil"/>
          <w:right w:val="nil"/>
          <w:between w:val="nil"/>
        </w:pBdr>
        <w:tabs>
          <w:tab w:val="left" w:pos="9214"/>
        </w:tabs>
        <w:rPr>
          <w:b/>
          <w:color w:val="000000"/>
          <w:sz w:val="20"/>
          <w:szCs w:val="20"/>
          <w:lang w:val="en-GB"/>
        </w:rPr>
      </w:pPr>
    </w:p>
    <w:p w14:paraId="2F9DD399" w14:textId="312C1D78" w:rsidR="004829C8" w:rsidRPr="00B37D60" w:rsidRDefault="00E43B14" w:rsidP="008A419C">
      <w:pPr>
        <w:tabs>
          <w:tab w:val="left" w:pos="558"/>
          <w:tab w:val="left" w:pos="559"/>
          <w:tab w:val="left" w:pos="9214"/>
        </w:tabs>
        <w:jc w:val="both"/>
        <w:rPr>
          <w:color w:val="000000"/>
          <w:sz w:val="20"/>
          <w:szCs w:val="20"/>
          <w:lang w:val="en-GB"/>
        </w:rPr>
      </w:pPr>
      <w:r w:rsidRPr="00B37D60">
        <w:rPr>
          <w:sz w:val="20"/>
          <w:szCs w:val="20"/>
          <w:lang w:val="en-GB"/>
        </w:rPr>
        <w:t>T</w:t>
      </w:r>
      <w:r w:rsidR="00B72DDD" w:rsidRPr="00B37D60">
        <w:rPr>
          <w:sz w:val="20"/>
          <w:szCs w:val="20"/>
          <w:lang w:val="en-GB"/>
        </w:rPr>
        <w:t xml:space="preserve">he </w:t>
      </w:r>
      <w:r w:rsidR="005539FC" w:rsidRPr="00B37D60">
        <w:rPr>
          <w:sz w:val="20"/>
          <w:szCs w:val="20"/>
          <w:lang w:val="en-GB"/>
        </w:rPr>
        <w:t>WG-ORT</w:t>
      </w:r>
      <w:r w:rsidR="0018551C" w:rsidRPr="00B37D60">
        <w:rPr>
          <w:sz w:val="20"/>
          <w:szCs w:val="20"/>
          <w:lang w:val="en-GB"/>
        </w:rPr>
        <w:t>’s</w:t>
      </w:r>
      <w:r w:rsidR="005539FC" w:rsidRPr="00B37D60">
        <w:rPr>
          <w:sz w:val="20"/>
          <w:szCs w:val="20"/>
          <w:lang w:val="en-GB"/>
        </w:rPr>
        <w:t xml:space="preserve"> yearly activities are </w:t>
      </w:r>
      <w:r w:rsidR="0041484C" w:rsidRPr="00B37D60">
        <w:rPr>
          <w:sz w:val="20"/>
          <w:szCs w:val="20"/>
          <w:lang w:val="en-GB"/>
        </w:rPr>
        <w:t xml:space="preserve">planned </w:t>
      </w:r>
      <w:r w:rsidR="0018551C" w:rsidRPr="00B37D60">
        <w:rPr>
          <w:sz w:val="20"/>
          <w:szCs w:val="20"/>
          <w:lang w:val="en-GB"/>
        </w:rPr>
        <w:t xml:space="preserve">annually </w:t>
      </w:r>
      <w:r w:rsidR="0041484C" w:rsidRPr="00B37D60">
        <w:rPr>
          <w:sz w:val="20"/>
          <w:szCs w:val="20"/>
          <w:lang w:val="en-GB"/>
        </w:rPr>
        <w:t xml:space="preserve">at the beginning of </w:t>
      </w:r>
      <w:r w:rsidR="00E73667" w:rsidRPr="00B37D60">
        <w:rPr>
          <w:sz w:val="20"/>
          <w:szCs w:val="20"/>
          <w:lang w:val="en-GB"/>
        </w:rPr>
        <w:t>February</w:t>
      </w:r>
      <w:r w:rsidR="009275FF" w:rsidRPr="00B37D60">
        <w:rPr>
          <w:sz w:val="20"/>
          <w:szCs w:val="20"/>
          <w:lang w:val="en-GB"/>
        </w:rPr>
        <w:t xml:space="preserve"> each year</w:t>
      </w:r>
      <w:r w:rsidR="00E54EA2" w:rsidRPr="00B37D60">
        <w:rPr>
          <w:sz w:val="20"/>
          <w:szCs w:val="20"/>
          <w:lang w:val="en-GB"/>
        </w:rPr>
        <w:t xml:space="preserve"> to </w:t>
      </w:r>
      <w:r w:rsidR="00B723C8" w:rsidRPr="00B37D60">
        <w:rPr>
          <w:sz w:val="20"/>
          <w:szCs w:val="20"/>
          <w:lang w:val="en-GB"/>
        </w:rPr>
        <w:t xml:space="preserve">accommodate </w:t>
      </w:r>
      <w:r w:rsidR="00E54EA2" w:rsidRPr="00B37D60">
        <w:rPr>
          <w:sz w:val="20"/>
          <w:szCs w:val="20"/>
          <w:lang w:val="en-GB"/>
        </w:rPr>
        <w:t xml:space="preserve">the </w:t>
      </w:r>
      <w:r w:rsidR="00A25097" w:rsidRPr="00B37D60">
        <w:rPr>
          <w:sz w:val="20"/>
          <w:szCs w:val="20"/>
          <w:lang w:val="en-GB"/>
        </w:rPr>
        <w:t xml:space="preserve">deliberations of the </w:t>
      </w:r>
      <w:r w:rsidR="00D53C3C" w:rsidRPr="00B37D60">
        <w:rPr>
          <w:sz w:val="20"/>
          <w:szCs w:val="20"/>
          <w:lang w:val="en-GB"/>
        </w:rPr>
        <w:t xml:space="preserve">preceding </w:t>
      </w:r>
      <w:r w:rsidR="00E73667" w:rsidRPr="00B37D60">
        <w:rPr>
          <w:sz w:val="20"/>
          <w:szCs w:val="20"/>
          <w:lang w:val="en-GB"/>
        </w:rPr>
        <w:t xml:space="preserve">Commission </w:t>
      </w:r>
      <w:r w:rsidR="0018551C" w:rsidRPr="00B37D60">
        <w:rPr>
          <w:sz w:val="20"/>
          <w:szCs w:val="20"/>
          <w:lang w:val="en-GB"/>
        </w:rPr>
        <w:t>Annual Meeting</w:t>
      </w:r>
      <w:r w:rsidR="00B723C8" w:rsidRPr="00B37D60">
        <w:rPr>
          <w:sz w:val="20"/>
          <w:szCs w:val="20"/>
          <w:lang w:val="en-GB"/>
        </w:rPr>
        <w:t xml:space="preserve">. </w:t>
      </w:r>
      <w:r w:rsidR="00AC2F1E" w:rsidRPr="00B37D60">
        <w:rPr>
          <w:color w:val="000000"/>
          <w:sz w:val="20"/>
          <w:szCs w:val="20"/>
          <w:lang w:val="en-GB"/>
        </w:rPr>
        <w:t xml:space="preserve">The WG-ORT met virtually </w:t>
      </w:r>
      <w:r w:rsidR="0018551C" w:rsidRPr="00B37D60">
        <w:rPr>
          <w:color w:val="000000"/>
          <w:sz w:val="20"/>
          <w:szCs w:val="20"/>
          <w:lang w:val="en-GB"/>
        </w:rPr>
        <w:t xml:space="preserve">on </w:t>
      </w:r>
      <w:r w:rsidR="006B2F02" w:rsidRPr="00B37D60">
        <w:rPr>
          <w:color w:val="000000"/>
          <w:sz w:val="20"/>
          <w:szCs w:val="20"/>
          <w:lang w:val="en-GB"/>
        </w:rPr>
        <w:t>11</w:t>
      </w:r>
      <w:r w:rsidR="00AC2F1E" w:rsidRPr="00B37D60">
        <w:rPr>
          <w:color w:val="000000"/>
          <w:sz w:val="20"/>
          <w:szCs w:val="20"/>
          <w:lang w:val="en-GB"/>
        </w:rPr>
        <w:t>-</w:t>
      </w:r>
      <w:r w:rsidR="006B2F02" w:rsidRPr="00B37D60">
        <w:rPr>
          <w:color w:val="000000"/>
          <w:sz w:val="20"/>
          <w:szCs w:val="20"/>
          <w:lang w:val="en-GB"/>
        </w:rPr>
        <w:t>12</w:t>
      </w:r>
      <w:r w:rsidR="00AC2F1E" w:rsidRPr="00B37D60">
        <w:rPr>
          <w:color w:val="000000"/>
          <w:sz w:val="20"/>
          <w:szCs w:val="20"/>
          <w:lang w:val="en-GB"/>
        </w:rPr>
        <w:t xml:space="preserve"> February 202</w:t>
      </w:r>
      <w:r w:rsidR="006B2F02" w:rsidRPr="00B37D60">
        <w:rPr>
          <w:color w:val="000000"/>
          <w:sz w:val="20"/>
          <w:szCs w:val="20"/>
          <w:lang w:val="en-GB"/>
        </w:rPr>
        <w:t>5</w:t>
      </w:r>
      <w:r w:rsidR="00AC2F1E" w:rsidRPr="00B37D60">
        <w:rPr>
          <w:color w:val="000000"/>
          <w:sz w:val="20"/>
          <w:szCs w:val="20"/>
          <w:lang w:val="en-GB"/>
        </w:rPr>
        <w:t xml:space="preserve"> to review progress on the development of the </w:t>
      </w:r>
      <w:r w:rsidR="007F66BC" w:rsidRPr="00B37D60">
        <w:rPr>
          <w:sz w:val="20"/>
          <w:szCs w:val="20"/>
          <w:lang w:val="en-GB"/>
        </w:rPr>
        <w:t xml:space="preserve">ICCAT Integrated Online Management System (IOMS) </w:t>
      </w:r>
      <w:r w:rsidR="00AC2F1E" w:rsidRPr="00B37D60">
        <w:rPr>
          <w:color w:val="000000"/>
          <w:sz w:val="20"/>
          <w:szCs w:val="20"/>
          <w:lang w:val="en-GB"/>
        </w:rPr>
        <w:t xml:space="preserve">and </w:t>
      </w:r>
      <w:r w:rsidR="002F09E1" w:rsidRPr="00B37D60">
        <w:rPr>
          <w:color w:val="000000"/>
          <w:sz w:val="20"/>
          <w:szCs w:val="20"/>
          <w:lang w:val="en-GB"/>
        </w:rPr>
        <w:t xml:space="preserve">to </w:t>
      </w:r>
      <w:r w:rsidR="002101D4" w:rsidRPr="00B37D60">
        <w:rPr>
          <w:color w:val="000000"/>
          <w:sz w:val="20"/>
          <w:szCs w:val="20"/>
          <w:lang w:val="en-GB"/>
        </w:rPr>
        <w:t>plan future activities</w:t>
      </w:r>
      <w:r w:rsidR="00AC2F1E" w:rsidRPr="00B37D60">
        <w:rPr>
          <w:color w:val="000000"/>
          <w:sz w:val="20"/>
          <w:szCs w:val="20"/>
          <w:lang w:val="en-GB"/>
        </w:rPr>
        <w:t>.</w:t>
      </w:r>
      <w:r w:rsidR="006F4987" w:rsidRPr="00B37D60">
        <w:rPr>
          <w:color w:val="000000"/>
          <w:sz w:val="20"/>
          <w:szCs w:val="20"/>
          <w:lang w:val="en-GB"/>
        </w:rPr>
        <w:t xml:space="preserve"> </w:t>
      </w:r>
      <w:r w:rsidR="00AC2F1E" w:rsidRPr="00B37D60">
        <w:rPr>
          <w:color w:val="000000"/>
          <w:sz w:val="20"/>
          <w:szCs w:val="20"/>
          <w:lang w:val="en-GB"/>
        </w:rPr>
        <w:t>The report from the meeting</w:t>
      </w:r>
      <w:r w:rsidR="00A41F7D" w:rsidRPr="00B37D60">
        <w:rPr>
          <w:color w:val="000000"/>
          <w:sz w:val="20"/>
          <w:szCs w:val="20"/>
          <w:lang w:val="en-GB"/>
        </w:rPr>
        <w:t xml:space="preserve">, </w:t>
      </w:r>
      <w:r w:rsidR="00AC2F1E" w:rsidRPr="00B37D60">
        <w:rPr>
          <w:color w:val="000000"/>
          <w:sz w:val="20"/>
          <w:szCs w:val="20"/>
          <w:lang w:val="en-GB"/>
        </w:rPr>
        <w:t xml:space="preserve">available as document </w:t>
      </w:r>
      <w:hyperlink r:id="rId11">
        <w:r w:rsidR="00AC2F1E" w:rsidRPr="00B37D60">
          <w:rPr>
            <w:color w:val="0000FF"/>
            <w:sz w:val="20"/>
            <w:szCs w:val="20"/>
            <w:lang w:val="en-GB"/>
          </w:rPr>
          <w:t>COC_302/20</w:t>
        </w:r>
        <w:r w:rsidR="006B2F02" w:rsidRPr="00B37D60">
          <w:rPr>
            <w:color w:val="0000FF"/>
            <w:sz w:val="20"/>
            <w:szCs w:val="20"/>
            <w:lang w:val="en-GB"/>
          </w:rPr>
          <w:t>25</w:t>
        </w:r>
      </w:hyperlink>
      <w:hyperlink r:id="rId12">
        <w:r w:rsidR="00A41F7D" w:rsidRPr="00B37D60">
          <w:rPr>
            <w:color w:val="000000"/>
            <w:sz w:val="20"/>
            <w:szCs w:val="20"/>
            <w:lang w:val="en-GB"/>
          </w:rPr>
          <w:t>,</w:t>
        </w:r>
      </w:hyperlink>
      <w:r w:rsidR="00A41F7D" w:rsidRPr="00B37D60">
        <w:rPr>
          <w:color w:val="000000"/>
          <w:sz w:val="20"/>
          <w:szCs w:val="20"/>
          <w:lang w:val="en-GB"/>
        </w:rPr>
        <w:t xml:space="preserve"> </w:t>
      </w:r>
      <w:r w:rsidR="0018551C" w:rsidRPr="00B37D60">
        <w:rPr>
          <w:color w:val="000000"/>
          <w:sz w:val="20"/>
          <w:szCs w:val="20"/>
          <w:lang w:val="en-GB"/>
        </w:rPr>
        <w:t>provides further details on the</w:t>
      </w:r>
      <w:r w:rsidR="004829C8" w:rsidRPr="00B37D60">
        <w:rPr>
          <w:color w:val="000000"/>
          <w:sz w:val="20"/>
          <w:szCs w:val="20"/>
          <w:lang w:val="en-GB"/>
        </w:rPr>
        <w:t xml:space="preserve"> </w:t>
      </w:r>
      <w:r w:rsidR="00B46536" w:rsidRPr="00B37D60">
        <w:rPr>
          <w:color w:val="000000"/>
          <w:sz w:val="20"/>
          <w:szCs w:val="20"/>
          <w:lang w:val="en-GB"/>
        </w:rPr>
        <w:t xml:space="preserve">activities </w:t>
      </w:r>
      <w:r w:rsidR="00F22C2F" w:rsidRPr="00B37D60">
        <w:rPr>
          <w:color w:val="000000"/>
          <w:sz w:val="20"/>
          <w:szCs w:val="20"/>
          <w:lang w:val="en-GB"/>
        </w:rPr>
        <w:t>summarised</w:t>
      </w:r>
      <w:r w:rsidR="0018551C" w:rsidRPr="00B37D60">
        <w:rPr>
          <w:color w:val="000000"/>
          <w:sz w:val="20"/>
          <w:szCs w:val="20"/>
          <w:lang w:val="en-GB"/>
        </w:rPr>
        <w:t xml:space="preserve"> </w:t>
      </w:r>
      <w:r w:rsidR="004829C8" w:rsidRPr="00B37D60">
        <w:rPr>
          <w:color w:val="000000"/>
          <w:sz w:val="20"/>
          <w:szCs w:val="20"/>
          <w:lang w:val="en-GB"/>
        </w:rPr>
        <w:t>in this report.</w:t>
      </w:r>
    </w:p>
    <w:p w14:paraId="29C52BF4" w14:textId="77777777" w:rsidR="004829C8" w:rsidRPr="00B37D60" w:rsidRDefault="004829C8" w:rsidP="008A419C">
      <w:pPr>
        <w:tabs>
          <w:tab w:val="left" w:pos="558"/>
          <w:tab w:val="left" w:pos="559"/>
          <w:tab w:val="left" w:pos="9214"/>
        </w:tabs>
        <w:jc w:val="both"/>
        <w:rPr>
          <w:color w:val="000000"/>
          <w:sz w:val="20"/>
          <w:szCs w:val="20"/>
          <w:lang w:val="en-GB"/>
        </w:rPr>
      </w:pPr>
    </w:p>
    <w:p w14:paraId="192982A3" w14:textId="06AA0C8C" w:rsidR="00775ED2" w:rsidRPr="00B37D60" w:rsidRDefault="008A419C" w:rsidP="00775ED2">
      <w:pPr>
        <w:tabs>
          <w:tab w:val="left" w:pos="558"/>
          <w:tab w:val="left" w:pos="559"/>
          <w:tab w:val="left" w:pos="9214"/>
        </w:tabs>
        <w:jc w:val="both"/>
        <w:rPr>
          <w:sz w:val="20"/>
          <w:szCs w:val="20"/>
          <w:lang w:val="en-GB"/>
        </w:rPr>
      </w:pPr>
      <w:r w:rsidRPr="00B37D60">
        <w:rPr>
          <w:sz w:val="20"/>
          <w:szCs w:val="20"/>
          <w:lang w:val="en-GB"/>
        </w:rPr>
        <w:t>During 202</w:t>
      </w:r>
      <w:r w:rsidR="00744CE1" w:rsidRPr="00B37D60">
        <w:rPr>
          <w:sz w:val="20"/>
          <w:szCs w:val="20"/>
          <w:lang w:val="en-GB"/>
        </w:rPr>
        <w:t>5</w:t>
      </w:r>
      <w:r w:rsidRPr="00B37D60">
        <w:rPr>
          <w:sz w:val="20"/>
          <w:szCs w:val="20"/>
          <w:lang w:val="en-GB"/>
        </w:rPr>
        <w:t xml:space="preserve">, the Secretariat continued </w:t>
      </w:r>
      <w:r w:rsidR="00FE4D22" w:rsidRPr="00B37D60">
        <w:rPr>
          <w:sz w:val="20"/>
          <w:szCs w:val="20"/>
          <w:lang w:val="en-GB"/>
        </w:rPr>
        <w:t xml:space="preserve">its </w:t>
      </w:r>
      <w:r w:rsidRPr="00B37D60">
        <w:rPr>
          <w:sz w:val="20"/>
          <w:szCs w:val="20"/>
          <w:lang w:val="en-GB"/>
        </w:rPr>
        <w:t>progress</w:t>
      </w:r>
      <w:r w:rsidR="004E33CC" w:rsidRPr="00B37D60">
        <w:rPr>
          <w:sz w:val="20"/>
          <w:szCs w:val="20"/>
          <w:lang w:val="en-GB"/>
        </w:rPr>
        <w:t xml:space="preserve"> </w:t>
      </w:r>
      <w:r w:rsidR="00F674B6" w:rsidRPr="00B37D60">
        <w:rPr>
          <w:sz w:val="20"/>
          <w:szCs w:val="20"/>
          <w:lang w:val="en-GB"/>
        </w:rPr>
        <w:t>in the development of the</w:t>
      </w:r>
      <w:r w:rsidR="007F66BC" w:rsidRPr="00B37D60">
        <w:rPr>
          <w:sz w:val="20"/>
          <w:szCs w:val="20"/>
          <w:lang w:val="en-GB"/>
        </w:rPr>
        <w:t xml:space="preserve"> IOMS</w:t>
      </w:r>
      <w:r w:rsidR="00F674B6" w:rsidRPr="00B37D60">
        <w:rPr>
          <w:sz w:val="20"/>
          <w:szCs w:val="20"/>
          <w:lang w:val="en-GB"/>
        </w:rPr>
        <w:t xml:space="preserve">, </w:t>
      </w:r>
      <w:r w:rsidR="005619DB" w:rsidRPr="00B37D60">
        <w:rPr>
          <w:sz w:val="20"/>
          <w:szCs w:val="20"/>
          <w:lang w:val="en-GB"/>
        </w:rPr>
        <w:t>which is</w:t>
      </w:r>
      <w:r w:rsidR="00744CE1" w:rsidRPr="00B37D60">
        <w:rPr>
          <w:sz w:val="20"/>
          <w:szCs w:val="20"/>
          <w:lang w:val="en-GB"/>
        </w:rPr>
        <w:t xml:space="preserve"> currently in Phase 4</w:t>
      </w:r>
      <w:r w:rsidR="004E33CC" w:rsidRPr="00B37D60">
        <w:rPr>
          <w:sz w:val="20"/>
          <w:szCs w:val="20"/>
          <w:lang w:val="en-GB"/>
        </w:rPr>
        <w:t xml:space="preserve"> (2 years: 1 June 202</w:t>
      </w:r>
      <w:r w:rsidR="00744CE1" w:rsidRPr="00B37D60">
        <w:rPr>
          <w:sz w:val="20"/>
          <w:szCs w:val="20"/>
          <w:lang w:val="en-GB"/>
        </w:rPr>
        <w:t>4</w:t>
      </w:r>
      <w:r w:rsidR="004E33CC" w:rsidRPr="00B37D60">
        <w:rPr>
          <w:sz w:val="20"/>
          <w:szCs w:val="20"/>
          <w:lang w:val="en-GB"/>
        </w:rPr>
        <w:t xml:space="preserve"> to 31 May 202</w:t>
      </w:r>
      <w:r w:rsidR="00744CE1" w:rsidRPr="00B37D60">
        <w:rPr>
          <w:sz w:val="20"/>
          <w:szCs w:val="20"/>
          <w:lang w:val="en-GB"/>
        </w:rPr>
        <w:t>6</w:t>
      </w:r>
      <w:r w:rsidR="004E33CC" w:rsidRPr="00B37D60">
        <w:rPr>
          <w:sz w:val="20"/>
          <w:szCs w:val="20"/>
          <w:lang w:val="en-GB"/>
        </w:rPr>
        <w:t>).</w:t>
      </w:r>
      <w:r w:rsidR="00861EFD" w:rsidRPr="00B37D60">
        <w:rPr>
          <w:sz w:val="20"/>
          <w:szCs w:val="20"/>
          <w:lang w:val="en-GB"/>
        </w:rPr>
        <w:t xml:space="preserve"> All IOMS development phases are </w:t>
      </w:r>
      <w:r w:rsidR="00DC5B43" w:rsidRPr="00B37D60">
        <w:rPr>
          <w:sz w:val="20"/>
          <w:szCs w:val="20"/>
          <w:lang w:val="en-GB"/>
        </w:rPr>
        <w:t xml:space="preserve">presented in </w:t>
      </w:r>
      <w:r w:rsidR="00982970" w:rsidRPr="00B37D60">
        <w:rPr>
          <w:sz w:val="20"/>
          <w:szCs w:val="20"/>
          <w:lang w:val="en-GB"/>
        </w:rPr>
        <w:t>the WG-ORT workplan (</w:t>
      </w:r>
      <w:r w:rsidR="00DC5B43" w:rsidRPr="00B37D60">
        <w:rPr>
          <w:sz w:val="20"/>
          <w:szCs w:val="20"/>
          <w:lang w:val="en-GB"/>
        </w:rPr>
        <w:t xml:space="preserve">Table </w:t>
      </w:r>
      <w:r w:rsidR="00744CE1" w:rsidRPr="00B37D60">
        <w:rPr>
          <w:sz w:val="20"/>
          <w:szCs w:val="20"/>
          <w:lang w:val="en-GB"/>
        </w:rPr>
        <w:t>3</w:t>
      </w:r>
      <w:r w:rsidR="00DC5B43" w:rsidRPr="00B37D60">
        <w:rPr>
          <w:sz w:val="20"/>
          <w:szCs w:val="20"/>
          <w:lang w:val="en-GB"/>
        </w:rPr>
        <w:t xml:space="preserve"> of </w:t>
      </w:r>
      <w:hyperlink r:id="rId13" w:history="1">
        <w:r w:rsidR="00DC5B43" w:rsidRPr="00B37D60">
          <w:rPr>
            <w:rStyle w:val="Hyperlink"/>
            <w:sz w:val="20"/>
            <w:szCs w:val="20"/>
            <w:u w:val="none"/>
            <w:lang w:val="en-GB"/>
          </w:rPr>
          <w:t>COC_302/202</w:t>
        </w:r>
        <w:r w:rsidR="00744CE1" w:rsidRPr="00B37D60">
          <w:rPr>
            <w:rStyle w:val="Hyperlink"/>
            <w:sz w:val="20"/>
            <w:szCs w:val="20"/>
            <w:u w:val="none"/>
            <w:lang w:val="en-GB"/>
          </w:rPr>
          <w:t>5</w:t>
        </w:r>
      </w:hyperlink>
      <w:r w:rsidR="00982970" w:rsidRPr="00B37D60">
        <w:rPr>
          <w:sz w:val="20"/>
          <w:szCs w:val="20"/>
          <w:lang w:val="en-GB"/>
        </w:rPr>
        <w:t>)</w:t>
      </w:r>
      <w:r w:rsidR="00DC5B43" w:rsidRPr="00B37D60">
        <w:rPr>
          <w:sz w:val="20"/>
          <w:szCs w:val="20"/>
          <w:lang w:val="en-GB"/>
        </w:rPr>
        <w:t>.</w:t>
      </w:r>
      <w:r w:rsidR="00DC5B43" w:rsidRPr="00B37D60">
        <w:rPr>
          <w:color w:val="0000FF"/>
          <w:sz w:val="20"/>
          <w:szCs w:val="20"/>
          <w:lang w:val="en-GB"/>
        </w:rPr>
        <w:t xml:space="preserve"> </w:t>
      </w:r>
      <w:r w:rsidR="00744CE1" w:rsidRPr="00B37D60">
        <w:rPr>
          <w:sz w:val="20"/>
          <w:szCs w:val="20"/>
          <w:lang w:val="en-GB"/>
        </w:rPr>
        <w:t>On 1 August 2025, the Form Manager and the Vessel Manager modules were released into production</w:t>
      </w:r>
      <w:r w:rsidR="00A24E4A" w:rsidRPr="00B37D60">
        <w:rPr>
          <w:sz w:val="20"/>
          <w:szCs w:val="20"/>
          <w:lang w:val="en-GB"/>
        </w:rPr>
        <w:t xml:space="preserve">, </w:t>
      </w:r>
      <w:r w:rsidR="00A24E4A" w:rsidRPr="00B37D60">
        <w:rPr>
          <w:sz w:val="20"/>
          <w:szCs w:val="20"/>
        </w:rPr>
        <w:t>following careful planning</w:t>
      </w:r>
      <w:r w:rsidR="00F80B9B" w:rsidRPr="00B37D60">
        <w:rPr>
          <w:sz w:val="20"/>
          <w:szCs w:val="20"/>
        </w:rPr>
        <w:t xml:space="preserve"> by the WG-ORT</w:t>
      </w:r>
      <w:r w:rsidR="00A24E4A" w:rsidRPr="00B37D60">
        <w:rPr>
          <w:sz w:val="20"/>
          <w:szCs w:val="20"/>
        </w:rPr>
        <w:t xml:space="preserve"> that included two associated training sessions and </w:t>
      </w:r>
      <w:r w:rsidR="00F80B9B" w:rsidRPr="00B37D60">
        <w:rPr>
          <w:sz w:val="20"/>
          <w:szCs w:val="20"/>
        </w:rPr>
        <w:t>several</w:t>
      </w:r>
      <w:r w:rsidR="00A24E4A" w:rsidRPr="00B37D60">
        <w:rPr>
          <w:sz w:val="20"/>
          <w:szCs w:val="20"/>
        </w:rPr>
        <w:t xml:space="preserve"> improvements agreed in advance</w:t>
      </w:r>
      <w:r w:rsidR="00744CE1" w:rsidRPr="00B37D60">
        <w:rPr>
          <w:sz w:val="18"/>
          <w:szCs w:val="18"/>
          <w:lang w:val="en-GB"/>
        </w:rPr>
        <w:t xml:space="preserve">. </w:t>
      </w:r>
      <w:r w:rsidR="00744CE1" w:rsidRPr="00B37D60">
        <w:rPr>
          <w:sz w:val="20"/>
          <w:szCs w:val="20"/>
          <w:lang w:val="en-GB"/>
        </w:rPr>
        <w:t xml:space="preserve">The Vessel Manager </w:t>
      </w:r>
      <w:r w:rsidR="00B87678" w:rsidRPr="00B37D60">
        <w:rPr>
          <w:sz w:val="20"/>
          <w:szCs w:val="20"/>
          <w:lang w:val="en-GB"/>
        </w:rPr>
        <w:t>module does</w:t>
      </w:r>
      <w:r w:rsidR="00744CE1" w:rsidRPr="00B37D60">
        <w:rPr>
          <w:sz w:val="20"/>
          <w:szCs w:val="20"/>
          <w:lang w:val="en-GB"/>
        </w:rPr>
        <w:t xml:space="preserve"> not yet include the FLUX component, which remains under development</w:t>
      </w:r>
      <w:r w:rsidR="00A24E4A" w:rsidRPr="00B37D60">
        <w:rPr>
          <w:sz w:val="20"/>
          <w:szCs w:val="20"/>
          <w:lang w:val="en-GB"/>
        </w:rPr>
        <w:t xml:space="preserve"> and requires additional time</w:t>
      </w:r>
      <w:r w:rsidR="00744CE1" w:rsidRPr="00B37D60">
        <w:rPr>
          <w:sz w:val="20"/>
          <w:szCs w:val="20"/>
          <w:lang w:val="en-GB"/>
        </w:rPr>
        <w:t>.</w:t>
      </w:r>
      <w:r w:rsidR="00982970" w:rsidRPr="00B37D60">
        <w:rPr>
          <w:sz w:val="20"/>
          <w:szCs w:val="20"/>
          <w:lang w:val="en-GB"/>
        </w:rPr>
        <w:t xml:space="preserve"> </w:t>
      </w:r>
      <w:r w:rsidR="004B7E8B" w:rsidRPr="00B37D60">
        <w:rPr>
          <w:sz w:val="20"/>
          <w:szCs w:val="20"/>
          <w:lang w:val="en-GB"/>
        </w:rPr>
        <w:t>Also, i</w:t>
      </w:r>
      <w:r w:rsidR="001B00B7" w:rsidRPr="00B37D60">
        <w:rPr>
          <w:sz w:val="20"/>
          <w:szCs w:val="20"/>
          <w:lang w:val="en-GB"/>
        </w:rPr>
        <w:t xml:space="preserve">n line with the </w:t>
      </w:r>
      <w:r w:rsidR="001F5F07" w:rsidRPr="00B37D60">
        <w:rPr>
          <w:sz w:val="20"/>
          <w:szCs w:val="20"/>
          <w:lang w:val="en-GB"/>
        </w:rPr>
        <w:t>permanent</w:t>
      </w:r>
      <w:r w:rsidR="00775ED2" w:rsidRPr="00B37D60">
        <w:rPr>
          <w:sz w:val="20"/>
          <w:szCs w:val="20"/>
          <w:lang w:val="en-GB"/>
        </w:rPr>
        <w:t xml:space="preserve"> </w:t>
      </w:r>
      <w:r w:rsidR="00E67E58" w:rsidRPr="00B37D60">
        <w:rPr>
          <w:sz w:val="20"/>
          <w:szCs w:val="20"/>
          <w:lang w:val="en-GB"/>
        </w:rPr>
        <w:t xml:space="preserve">IOMS enhancement </w:t>
      </w:r>
      <w:r w:rsidR="001F5F07" w:rsidRPr="00B37D60">
        <w:rPr>
          <w:sz w:val="20"/>
          <w:szCs w:val="20"/>
          <w:lang w:val="en-GB"/>
        </w:rPr>
        <w:t>strategy</w:t>
      </w:r>
      <w:r w:rsidR="004B7E8B" w:rsidRPr="00B37D60">
        <w:rPr>
          <w:sz w:val="20"/>
          <w:szCs w:val="20"/>
          <w:lang w:val="en-GB"/>
        </w:rPr>
        <w:t xml:space="preserve">, </w:t>
      </w:r>
      <w:r w:rsidR="00775ED2" w:rsidRPr="00B37D60">
        <w:rPr>
          <w:sz w:val="20"/>
          <w:szCs w:val="20"/>
          <w:lang w:val="en-GB"/>
        </w:rPr>
        <w:t>improvements have been constantly made to several IOMS administrative tools and functionalities (</w:t>
      </w:r>
      <w:r w:rsidR="00931966" w:rsidRPr="00B37D60">
        <w:rPr>
          <w:sz w:val="20"/>
          <w:szCs w:val="20"/>
          <w:lang w:val="en-GB"/>
        </w:rPr>
        <w:t xml:space="preserve">details in Table </w:t>
      </w:r>
      <w:r w:rsidR="000332D9" w:rsidRPr="00B37D60">
        <w:rPr>
          <w:sz w:val="20"/>
          <w:szCs w:val="20"/>
          <w:lang w:val="en-GB"/>
        </w:rPr>
        <w:t>2</w:t>
      </w:r>
      <w:r w:rsidR="00931966" w:rsidRPr="00B37D60">
        <w:rPr>
          <w:sz w:val="20"/>
          <w:szCs w:val="20"/>
          <w:lang w:val="en-GB"/>
        </w:rPr>
        <w:t xml:space="preserve"> of </w:t>
      </w:r>
      <w:hyperlink r:id="rId14" w:history="1">
        <w:r w:rsidR="00931966" w:rsidRPr="00B37D60">
          <w:rPr>
            <w:rStyle w:val="Hyperlink"/>
            <w:sz w:val="20"/>
            <w:szCs w:val="20"/>
            <w:u w:val="none"/>
            <w:lang w:val="en-GB"/>
          </w:rPr>
          <w:t>COC_302/202</w:t>
        </w:r>
        <w:r w:rsidR="00744CE1" w:rsidRPr="00B37D60">
          <w:rPr>
            <w:rStyle w:val="Hyperlink"/>
            <w:sz w:val="20"/>
            <w:szCs w:val="20"/>
            <w:u w:val="none"/>
            <w:lang w:val="en-GB"/>
          </w:rPr>
          <w:t>5</w:t>
        </w:r>
      </w:hyperlink>
      <w:r w:rsidR="00931966" w:rsidRPr="00B37D60">
        <w:rPr>
          <w:sz w:val="20"/>
          <w:szCs w:val="20"/>
          <w:lang w:val="en-GB"/>
        </w:rPr>
        <w:t>)</w:t>
      </w:r>
      <w:r w:rsidR="004B7E8B" w:rsidRPr="00B37D60">
        <w:rPr>
          <w:sz w:val="20"/>
          <w:szCs w:val="20"/>
          <w:lang w:val="en-GB"/>
        </w:rPr>
        <w:t>.</w:t>
      </w:r>
    </w:p>
    <w:p w14:paraId="1FEE49A8" w14:textId="77777777" w:rsidR="00534610" w:rsidRPr="00B37D60" w:rsidRDefault="00534610" w:rsidP="00775ED2">
      <w:pPr>
        <w:tabs>
          <w:tab w:val="left" w:pos="558"/>
          <w:tab w:val="left" w:pos="559"/>
          <w:tab w:val="left" w:pos="9214"/>
        </w:tabs>
        <w:jc w:val="both"/>
        <w:rPr>
          <w:sz w:val="20"/>
          <w:szCs w:val="20"/>
          <w:lang w:val="en-GB"/>
        </w:rPr>
      </w:pPr>
    </w:p>
    <w:p w14:paraId="5CFD7762" w14:textId="1A122F95" w:rsidR="00CB4563" w:rsidRPr="00B37D60" w:rsidRDefault="00CB4563" w:rsidP="00653B6F">
      <w:pPr>
        <w:pBdr>
          <w:top w:val="nil"/>
          <w:left w:val="nil"/>
          <w:bottom w:val="nil"/>
          <w:right w:val="nil"/>
          <w:between w:val="nil"/>
        </w:pBdr>
        <w:jc w:val="both"/>
        <w:rPr>
          <w:b/>
          <w:bCs/>
          <w:i/>
          <w:iCs/>
          <w:color w:val="000000"/>
          <w:sz w:val="20"/>
          <w:szCs w:val="20"/>
          <w:lang w:val="en-GB"/>
        </w:rPr>
      </w:pPr>
      <w:r w:rsidRPr="00B37D60">
        <w:rPr>
          <w:b/>
          <w:bCs/>
          <w:i/>
          <w:iCs/>
          <w:color w:val="000000"/>
          <w:sz w:val="20"/>
          <w:szCs w:val="20"/>
          <w:lang w:val="en-GB"/>
        </w:rPr>
        <w:t xml:space="preserve">Vessel </w:t>
      </w:r>
      <w:r w:rsidR="0018551C" w:rsidRPr="00B37D60">
        <w:rPr>
          <w:b/>
          <w:bCs/>
          <w:i/>
          <w:iCs/>
          <w:color w:val="000000"/>
          <w:sz w:val="20"/>
          <w:szCs w:val="20"/>
          <w:lang w:val="en-GB"/>
        </w:rPr>
        <w:t>M</w:t>
      </w:r>
      <w:r w:rsidRPr="00B37D60">
        <w:rPr>
          <w:b/>
          <w:bCs/>
          <w:i/>
          <w:iCs/>
          <w:color w:val="000000"/>
          <w:sz w:val="20"/>
          <w:szCs w:val="20"/>
          <w:lang w:val="en-GB"/>
        </w:rPr>
        <w:t>anager module</w:t>
      </w:r>
    </w:p>
    <w:p w14:paraId="7F563DC9" w14:textId="77777777" w:rsidR="00CB4563" w:rsidRPr="00B37D60" w:rsidRDefault="00CB4563" w:rsidP="00653B6F">
      <w:pPr>
        <w:pBdr>
          <w:top w:val="nil"/>
          <w:left w:val="nil"/>
          <w:bottom w:val="nil"/>
          <w:right w:val="nil"/>
          <w:between w:val="nil"/>
        </w:pBdr>
        <w:jc w:val="both"/>
        <w:rPr>
          <w:color w:val="000000"/>
          <w:sz w:val="20"/>
          <w:szCs w:val="20"/>
          <w:lang w:val="en-GB"/>
        </w:rPr>
      </w:pPr>
    </w:p>
    <w:p w14:paraId="26425772" w14:textId="6B63F517" w:rsidR="00D5013E" w:rsidRPr="00B37D60" w:rsidRDefault="00D5013E" w:rsidP="00D5013E">
      <w:pPr>
        <w:pBdr>
          <w:top w:val="nil"/>
          <w:left w:val="nil"/>
          <w:bottom w:val="nil"/>
          <w:right w:val="nil"/>
          <w:between w:val="nil"/>
        </w:pBdr>
        <w:jc w:val="both"/>
        <w:rPr>
          <w:color w:val="000000"/>
          <w:sz w:val="20"/>
          <w:szCs w:val="20"/>
        </w:rPr>
      </w:pPr>
      <w:r w:rsidRPr="00B37D60">
        <w:rPr>
          <w:color w:val="000000"/>
          <w:sz w:val="20"/>
          <w:szCs w:val="20"/>
        </w:rPr>
        <w:t>The Vessel Manager module, including its online and offline working modes</w:t>
      </w:r>
      <w:r w:rsidR="00FC4EE4" w:rsidRPr="00B37D60">
        <w:rPr>
          <w:color w:val="000000"/>
          <w:sz w:val="20"/>
          <w:szCs w:val="20"/>
        </w:rPr>
        <w:t>,</w:t>
      </w:r>
      <w:r w:rsidRPr="00B37D60">
        <w:rPr>
          <w:color w:val="000000"/>
          <w:sz w:val="20"/>
          <w:szCs w:val="20"/>
        </w:rPr>
        <w:t xml:space="preserve"> </w:t>
      </w:r>
      <w:proofErr w:type="gramStart"/>
      <w:r w:rsidR="00352B6C" w:rsidRPr="00B37D60">
        <w:rPr>
          <w:color w:val="000000"/>
          <w:sz w:val="20"/>
          <w:szCs w:val="20"/>
        </w:rPr>
        <w:t>entered</w:t>
      </w:r>
      <w:r w:rsidRPr="00B37D60">
        <w:rPr>
          <w:color w:val="000000"/>
          <w:sz w:val="20"/>
          <w:szCs w:val="20"/>
        </w:rPr>
        <w:t xml:space="preserve"> into</w:t>
      </w:r>
      <w:proofErr w:type="gramEnd"/>
      <w:r w:rsidRPr="00B37D60">
        <w:rPr>
          <w:color w:val="000000"/>
          <w:sz w:val="20"/>
          <w:szCs w:val="20"/>
        </w:rPr>
        <w:t xml:space="preserve"> production on 1</w:t>
      </w:r>
      <w:r w:rsidR="00352B6C" w:rsidRPr="00B37D60">
        <w:rPr>
          <w:color w:val="000000"/>
          <w:sz w:val="20"/>
          <w:szCs w:val="20"/>
        </w:rPr>
        <w:t> </w:t>
      </w:r>
      <w:r w:rsidRPr="00B37D60">
        <w:rPr>
          <w:color w:val="000000"/>
          <w:sz w:val="20"/>
          <w:szCs w:val="20"/>
        </w:rPr>
        <w:t>August 2025.</w:t>
      </w:r>
      <w:r w:rsidR="00FC4EE4" w:rsidRPr="00B37D60">
        <w:rPr>
          <w:color w:val="000000"/>
          <w:sz w:val="20"/>
          <w:szCs w:val="20"/>
        </w:rPr>
        <w:t xml:space="preserve"> This module also contains the Transshipment Authorizations and Chartering Arrangements components. </w:t>
      </w:r>
      <w:r w:rsidRPr="00B37D60">
        <w:rPr>
          <w:color w:val="000000"/>
          <w:sz w:val="20"/>
          <w:szCs w:val="20"/>
        </w:rPr>
        <w:t xml:space="preserve">During the first months </w:t>
      </w:r>
      <w:r w:rsidR="00F80B9B" w:rsidRPr="00B37D60">
        <w:rPr>
          <w:color w:val="000000"/>
          <w:sz w:val="20"/>
          <w:szCs w:val="20"/>
        </w:rPr>
        <w:t>of</w:t>
      </w:r>
      <w:r w:rsidR="000E0392" w:rsidRPr="00B37D60">
        <w:rPr>
          <w:color w:val="000000"/>
          <w:sz w:val="20"/>
          <w:szCs w:val="20"/>
        </w:rPr>
        <w:t xml:space="preserve"> operation</w:t>
      </w:r>
      <w:r w:rsidRPr="00B37D60">
        <w:rPr>
          <w:color w:val="000000"/>
          <w:sz w:val="20"/>
          <w:szCs w:val="20"/>
        </w:rPr>
        <w:t xml:space="preserve">, no major issues were reported. </w:t>
      </w:r>
      <w:r w:rsidR="000E0392" w:rsidRPr="00B37D60">
        <w:rPr>
          <w:color w:val="000000"/>
          <w:sz w:val="20"/>
          <w:szCs w:val="20"/>
        </w:rPr>
        <w:t>M</w:t>
      </w:r>
      <w:r w:rsidRPr="00B37D60">
        <w:rPr>
          <w:color w:val="000000"/>
          <w:sz w:val="20"/>
          <w:szCs w:val="20"/>
        </w:rPr>
        <w:t xml:space="preserve">inor </w:t>
      </w:r>
      <w:r w:rsidR="000E0392" w:rsidRPr="00B37D60">
        <w:rPr>
          <w:color w:val="000000"/>
          <w:sz w:val="20"/>
          <w:szCs w:val="20"/>
        </w:rPr>
        <w:t xml:space="preserve">bugs identified </w:t>
      </w:r>
      <w:r w:rsidRPr="00B37D60">
        <w:rPr>
          <w:color w:val="000000"/>
          <w:sz w:val="20"/>
          <w:szCs w:val="20"/>
        </w:rPr>
        <w:t xml:space="preserve">by </w:t>
      </w:r>
      <w:r w:rsidR="000E0392" w:rsidRPr="00B37D60">
        <w:rPr>
          <w:color w:val="000000"/>
          <w:sz w:val="20"/>
          <w:szCs w:val="20"/>
        </w:rPr>
        <w:t xml:space="preserve">IOMS </w:t>
      </w:r>
      <w:r w:rsidRPr="00B37D60">
        <w:rPr>
          <w:color w:val="000000"/>
          <w:sz w:val="20"/>
          <w:szCs w:val="20"/>
        </w:rPr>
        <w:t xml:space="preserve">users were </w:t>
      </w:r>
      <w:r w:rsidR="000E0392" w:rsidRPr="00B37D60">
        <w:rPr>
          <w:color w:val="000000"/>
          <w:sz w:val="20"/>
          <w:szCs w:val="20"/>
        </w:rPr>
        <w:t xml:space="preserve">promptly corrected </w:t>
      </w:r>
      <w:r w:rsidRPr="00B37D60">
        <w:rPr>
          <w:color w:val="000000"/>
          <w:sz w:val="20"/>
          <w:szCs w:val="20"/>
        </w:rPr>
        <w:t xml:space="preserve">and </w:t>
      </w:r>
      <w:r w:rsidR="000E0392" w:rsidRPr="00B37D60">
        <w:rPr>
          <w:color w:val="000000"/>
          <w:sz w:val="20"/>
          <w:szCs w:val="20"/>
        </w:rPr>
        <w:t xml:space="preserve">kept the IOMS fully </w:t>
      </w:r>
      <w:r w:rsidRPr="00B37D60">
        <w:rPr>
          <w:color w:val="000000"/>
          <w:sz w:val="20"/>
          <w:szCs w:val="20"/>
        </w:rPr>
        <w:t>stabl</w:t>
      </w:r>
      <w:r w:rsidR="000E0392" w:rsidRPr="00B37D60">
        <w:rPr>
          <w:color w:val="000000"/>
          <w:sz w:val="20"/>
          <w:szCs w:val="20"/>
        </w:rPr>
        <w:t>e</w:t>
      </w:r>
      <w:r w:rsidRPr="00B37D60">
        <w:rPr>
          <w:color w:val="000000"/>
          <w:sz w:val="20"/>
          <w:szCs w:val="20"/>
        </w:rPr>
        <w:t>.</w:t>
      </w:r>
      <w:r w:rsidR="000E0392" w:rsidRPr="00B37D60">
        <w:rPr>
          <w:color w:val="000000"/>
          <w:sz w:val="20"/>
          <w:szCs w:val="20"/>
        </w:rPr>
        <w:t xml:space="preserve"> </w:t>
      </w:r>
      <w:r w:rsidRPr="00B37D60">
        <w:rPr>
          <w:color w:val="000000"/>
          <w:sz w:val="20"/>
          <w:szCs w:val="20"/>
        </w:rPr>
        <w:t>A dedicated training session was organized in 2025 to familiarize users with the new functionalities. This session provided valuable feedback that contributed to fine-tuning certain processes and improving the overall user experience.</w:t>
      </w:r>
      <w:r w:rsidR="000E0392" w:rsidRPr="00B37D60">
        <w:rPr>
          <w:color w:val="000000"/>
          <w:sz w:val="20"/>
          <w:szCs w:val="20"/>
        </w:rPr>
        <w:t xml:space="preserve"> </w:t>
      </w:r>
      <w:r w:rsidRPr="00B37D60">
        <w:rPr>
          <w:color w:val="000000"/>
          <w:sz w:val="20"/>
          <w:szCs w:val="20"/>
        </w:rPr>
        <w:t>The FLUX (UN/FLUX) component of the Vessel Manager</w:t>
      </w:r>
      <w:r w:rsidR="000D142C" w:rsidRPr="00B37D60">
        <w:rPr>
          <w:color w:val="000000"/>
          <w:sz w:val="20"/>
          <w:szCs w:val="20"/>
        </w:rPr>
        <w:t xml:space="preserve">, </w:t>
      </w:r>
      <w:r w:rsidRPr="00B37D60">
        <w:rPr>
          <w:color w:val="000000"/>
          <w:sz w:val="20"/>
          <w:szCs w:val="20"/>
        </w:rPr>
        <w:t>which will enable the automatic exchange of vessel information between the IOMS and interested CPCs</w:t>
      </w:r>
      <w:r w:rsidR="000D142C" w:rsidRPr="00B37D60">
        <w:rPr>
          <w:color w:val="000000"/>
          <w:sz w:val="20"/>
          <w:szCs w:val="20"/>
        </w:rPr>
        <w:t xml:space="preserve">, </w:t>
      </w:r>
      <w:r w:rsidRPr="00B37D60">
        <w:rPr>
          <w:color w:val="000000"/>
          <w:sz w:val="20"/>
          <w:szCs w:val="20"/>
        </w:rPr>
        <w:t>remains under development and will be finalized at a later stage.</w:t>
      </w:r>
    </w:p>
    <w:p w14:paraId="26BBD1F5" w14:textId="77777777" w:rsidR="000E0392" w:rsidRPr="00B37D60" w:rsidRDefault="000E0392" w:rsidP="00653B6F">
      <w:pPr>
        <w:pBdr>
          <w:top w:val="nil"/>
          <w:left w:val="nil"/>
          <w:bottom w:val="nil"/>
          <w:right w:val="nil"/>
          <w:between w:val="nil"/>
        </w:pBdr>
        <w:jc w:val="both"/>
        <w:rPr>
          <w:color w:val="000000"/>
          <w:sz w:val="20"/>
          <w:szCs w:val="20"/>
        </w:rPr>
      </w:pPr>
    </w:p>
    <w:p w14:paraId="0268D431" w14:textId="223E2C0D" w:rsidR="00653B6F" w:rsidRPr="00B37D60" w:rsidRDefault="00FB46A2" w:rsidP="00653B6F">
      <w:pPr>
        <w:pBdr>
          <w:top w:val="nil"/>
          <w:left w:val="nil"/>
          <w:bottom w:val="nil"/>
          <w:right w:val="nil"/>
          <w:between w:val="nil"/>
        </w:pBdr>
        <w:jc w:val="both"/>
        <w:rPr>
          <w:color w:val="000000"/>
          <w:sz w:val="20"/>
          <w:szCs w:val="20"/>
          <w:lang w:val="en-GB"/>
        </w:rPr>
      </w:pPr>
      <w:r w:rsidRPr="00B37D60">
        <w:rPr>
          <w:color w:val="000000"/>
          <w:sz w:val="20"/>
          <w:szCs w:val="20"/>
        </w:rPr>
        <w:t>T</w:t>
      </w:r>
      <w:r w:rsidR="00D5013E" w:rsidRPr="00B37D60">
        <w:rPr>
          <w:color w:val="000000"/>
          <w:sz w:val="20"/>
          <w:szCs w:val="20"/>
        </w:rPr>
        <w:t xml:space="preserve">he public ICCAT vessel registry webpage is now directly connected to the Vessel Manager through </w:t>
      </w:r>
      <w:r w:rsidRPr="00B37D60">
        <w:rPr>
          <w:color w:val="000000"/>
          <w:sz w:val="20"/>
          <w:szCs w:val="20"/>
        </w:rPr>
        <w:t xml:space="preserve">public </w:t>
      </w:r>
      <w:r w:rsidR="00D5013E" w:rsidRPr="00B37D60">
        <w:rPr>
          <w:color w:val="000000"/>
          <w:sz w:val="20"/>
          <w:szCs w:val="20"/>
        </w:rPr>
        <w:t>web services</w:t>
      </w:r>
      <w:r w:rsidRPr="00B37D60">
        <w:rPr>
          <w:color w:val="000000"/>
          <w:sz w:val="20"/>
          <w:szCs w:val="20"/>
        </w:rPr>
        <w:t xml:space="preserve"> (with vessel information </w:t>
      </w:r>
      <w:r w:rsidR="00B87678" w:rsidRPr="00B37D60">
        <w:rPr>
          <w:color w:val="000000"/>
          <w:sz w:val="20"/>
          <w:szCs w:val="20"/>
        </w:rPr>
        <w:t>published</w:t>
      </w:r>
      <w:r w:rsidRPr="00B37D60">
        <w:rPr>
          <w:color w:val="000000"/>
          <w:sz w:val="20"/>
          <w:szCs w:val="20"/>
        </w:rPr>
        <w:t xml:space="preserve"> in real time)</w:t>
      </w:r>
      <w:r w:rsidR="00D5013E" w:rsidRPr="00B37D60">
        <w:rPr>
          <w:color w:val="000000"/>
          <w:sz w:val="20"/>
          <w:szCs w:val="20"/>
        </w:rPr>
        <w:t>, demonstrating the interoperability capabilities of the IOMS architecture and its potential for future system integrations.</w:t>
      </w:r>
    </w:p>
    <w:p w14:paraId="564E262D" w14:textId="77777777" w:rsidR="00653B6F" w:rsidRPr="00B37D60" w:rsidRDefault="00653B6F" w:rsidP="008A419C">
      <w:pPr>
        <w:tabs>
          <w:tab w:val="left" w:pos="558"/>
          <w:tab w:val="left" w:pos="559"/>
          <w:tab w:val="left" w:pos="9214"/>
        </w:tabs>
        <w:jc w:val="both"/>
        <w:rPr>
          <w:b/>
          <w:bCs/>
          <w:sz w:val="20"/>
          <w:szCs w:val="20"/>
          <w:lang w:val="en-GB"/>
        </w:rPr>
      </w:pPr>
    </w:p>
    <w:p w14:paraId="3BF21379" w14:textId="51C9F25B" w:rsidR="00CB4563" w:rsidRPr="00B37D60" w:rsidRDefault="00CB4563" w:rsidP="008D573B">
      <w:pPr>
        <w:pBdr>
          <w:top w:val="nil"/>
          <w:left w:val="nil"/>
          <w:bottom w:val="nil"/>
          <w:right w:val="nil"/>
          <w:between w:val="nil"/>
        </w:pBdr>
        <w:jc w:val="both"/>
        <w:rPr>
          <w:b/>
          <w:bCs/>
          <w:i/>
          <w:iCs/>
          <w:color w:val="000000"/>
          <w:sz w:val="20"/>
          <w:szCs w:val="20"/>
        </w:rPr>
      </w:pPr>
      <w:r w:rsidRPr="00B37D60">
        <w:rPr>
          <w:b/>
          <w:bCs/>
          <w:i/>
          <w:iCs/>
          <w:color w:val="000000"/>
          <w:sz w:val="20"/>
          <w:szCs w:val="20"/>
        </w:rPr>
        <w:t>Form Manager module</w:t>
      </w:r>
    </w:p>
    <w:p w14:paraId="0ED536C9" w14:textId="77777777" w:rsidR="00CB4563" w:rsidRPr="00B37D60" w:rsidRDefault="00CB4563" w:rsidP="008D573B">
      <w:pPr>
        <w:pBdr>
          <w:top w:val="nil"/>
          <w:left w:val="nil"/>
          <w:bottom w:val="nil"/>
          <w:right w:val="nil"/>
          <w:between w:val="nil"/>
        </w:pBdr>
        <w:jc w:val="both"/>
        <w:rPr>
          <w:color w:val="000000"/>
          <w:sz w:val="20"/>
          <w:szCs w:val="20"/>
        </w:rPr>
      </w:pPr>
    </w:p>
    <w:p w14:paraId="712D907B" w14:textId="2E82A030" w:rsidR="00B44DB6" w:rsidRPr="00B37D60" w:rsidRDefault="00B44DB6" w:rsidP="00B44DB6">
      <w:pPr>
        <w:pBdr>
          <w:top w:val="nil"/>
          <w:left w:val="nil"/>
          <w:bottom w:val="nil"/>
          <w:right w:val="nil"/>
          <w:between w:val="nil"/>
        </w:pBdr>
        <w:jc w:val="both"/>
        <w:rPr>
          <w:color w:val="000000"/>
          <w:sz w:val="20"/>
          <w:szCs w:val="20"/>
        </w:rPr>
      </w:pPr>
      <w:r w:rsidRPr="00B37D60">
        <w:rPr>
          <w:color w:val="000000"/>
          <w:sz w:val="20"/>
          <w:szCs w:val="20"/>
        </w:rPr>
        <w:t xml:space="preserve">The Form Manager module was released into production on 1 August 2025. As with the Vessel Manager, the system has already received user feedback from its first months of operation, with no major issues reported. </w:t>
      </w:r>
      <w:r w:rsidR="00FB46A2" w:rsidRPr="00B37D60">
        <w:rPr>
          <w:color w:val="000000"/>
          <w:sz w:val="20"/>
          <w:szCs w:val="20"/>
        </w:rPr>
        <w:t xml:space="preserve">Some suggestions </w:t>
      </w:r>
      <w:r w:rsidRPr="00B37D60">
        <w:rPr>
          <w:color w:val="000000"/>
          <w:sz w:val="20"/>
          <w:szCs w:val="20"/>
        </w:rPr>
        <w:t>and observations have been used to further refine and stabilize the module.</w:t>
      </w:r>
      <w:r w:rsidR="00FB46A2" w:rsidRPr="00B37D60">
        <w:rPr>
          <w:color w:val="000000"/>
          <w:sz w:val="20"/>
          <w:szCs w:val="20"/>
        </w:rPr>
        <w:t xml:space="preserve"> At present, t</w:t>
      </w:r>
      <w:r w:rsidRPr="00B37D60">
        <w:rPr>
          <w:color w:val="000000"/>
          <w:sz w:val="20"/>
          <w:szCs w:val="20"/>
        </w:rPr>
        <w:t>h</w:t>
      </w:r>
      <w:r w:rsidR="00FB46A2" w:rsidRPr="00B37D60">
        <w:rPr>
          <w:color w:val="000000"/>
          <w:sz w:val="20"/>
          <w:szCs w:val="20"/>
        </w:rPr>
        <w:t>is module handles (read, pre-validate, inventory) 1</w:t>
      </w:r>
      <w:r w:rsidR="00E46175" w:rsidRPr="00B37D60">
        <w:rPr>
          <w:color w:val="000000"/>
          <w:sz w:val="20"/>
          <w:szCs w:val="20"/>
        </w:rPr>
        <w:t>5</w:t>
      </w:r>
      <w:r w:rsidR="00001684" w:rsidRPr="00B37D60">
        <w:rPr>
          <w:color w:val="000000"/>
          <w:sz w:val="20"/>
          <w:szCs w:val="20"/>
        </w:rPr>
        <w:t xml:space="preserve"> standard ICCAT forms</w:t>
      </w:r>
      <w:r w:rsidR="00F22C2F" w:rsidRPr="00B37D60">
        <w:rPr>
          <w:color w:val="000000"/>
          <w:sz w:val="20"/>
          <w:szCs w:val="20"/>
        </w:rPr>
        <w:t xml:space="preserve"> out</w:t>
      </w:r>
      <w:r w:rsidR="00FB46A2" w:rsidRPr="00B37D60">
        <w:rPr>
          <w:color w:val="000000"/>
          <w:sz w:val="20"/>
          <w:szCs w:val="20"/>
        </w:rPr>
        <w:t xml:space="preserve"> </w:t>
      </w:r>
      <w:r w:rsidR="00E46175" w:rsidRPr="00B37D60">
        <w:rPr>
          <w:color w:val="000000"/>
          <w:sz w:val="20"/>
          <w:szCs w:val="20"/>
        </w:rPr>
        <w:t xml:space="preserve">of a total of </w:t>
      </w:r>
      <w:r w:rsidR="00260EB6" w:rsidRPr="00B37D60">
        <w:rPr>
          <w:color w:val="000000"/>
          <w:sz w:val="20"/>
          <w:szCs w:val="20"/>
        </w:rPr>
        <w:t>about</w:t>
      </w:r>
      <w:r w:rsidR="00F22C2F" w:rsidRPr="00B37D60">
        <w:rPr>
          <w:color w:val="000000"/>
          <w:sz w:val="20"/>
          <w:szCs w:val="20"/>
        </w:rPr>
        <w:t xml:space="preserve"> </w:t>
      </w:r>
      <w:r w:rsidR="00E46175" w:rsidRPr="00B37D60">
        <w:rPr>
          <w:color w:val="000000"/>
          <w:sz w:val="20"/>
          <w:szCs w:val="20"/>
        </w:rPr>
        <w:t>50</w:t>
      </w:r>
      <w:r w:rsidR="00001684" w:rsidRPr="00B37D60">
        <w:rPr>
          <w:color w:val="000000"/>
          <w:sz w:val="20"/>
          <w:szCs w:val="20"/>
        </w:rPr>
        <w:t xml:space="preserve"> forms</w:t>
      </w:r>
      <w:r w:rsidR="00E46175" w:rsidRPr="00B37D60">
        <w:rPr>
          <w:color w:val="000000"/>
          <w:sz w:val="20"/>
          <w:szCs w:val="20"/>
        </w:rPr>
        <w:t>. Th</w:t>
      </w:r>
      <w:r w:rsidR="00F22C2F" w:rsidRPr="00B37D60">
        <w:rPr>
          <w:color w:val="000000"/>
          <w:sz w:val="20"/>
          <w:szCs w:val="20"/>
        </w:rPr>
        <w:t xml:space="preserve">is includes all </w:t>
      </w:r>
      <w:r w:rsidR="00E46175" w:rsidRPr="00B37D60">
        <w:rPr>
          <w:color w:val="000000"/>
          <w:sz w:val="20"/>
          <w:szCs w:val="20"/>
        </w:rPr>
        <w:t xml:space="preserve">10 </w:t>
      </w:r>
      <w:r w:rsidRPr="00B37D60">
        <w:rPr>
          <w:color w:val="000000"/>
          <w:sz w:val="20"/>
          <w:szCs w:val="20"/>
        </w:rPr>
        <w:t>statistic</w:t>
      </w:r>
      <w:r w:rsidR="00E46175" w:rsidRPr="00B37D60">
        <w:rPr>
          <w:color w:val="000000"/>
          <w:sz w:val="20"/>
          <w:szCs w:val="20"/>
        </w:rPr>
        <w:t xml:space="preserve">al </w:t>
      </w:r>
      <w:r w:rsidRPr="00B37D60">
        <w:rPr>
          <w:color w:val="000000"/>
          <w:sz w:val="20"/>
          <w:szCs w:val="20"/>
        </w:rPr>
        <w:t>forms</w:t>
      </w:r>
      <w:r w:rsidR="00E46175" w:rsidRPr="00B37D60">
        <w:rPr>
          <w:color w:val="000000"/>
          <w:sz w:val="20"/>
          <w:szCs w:val="20"/>
        </w:rPr>
        <w:t xml:space="preserve"> (</w:t>
      </w:r>
      <w:r w:rsidRPr="00B37D60">
        <w:rPr>
          <w:color w:val="000000"/>
          <w:sz w:val="20"/>
          <w:szCs w:val="20"/>
        </w:rPr>
        <w:t>ST01</w:t>
      </w:r>
      <w:r w:rsidR="00E46175" w:rsidRPr="00B37D60">
        <w:rPr>
          <w:color w:val="000000"/>
          <w:sz w:val="20"/>
          <w:szCs w:val="20"/>
        </w:rPr>
        <w:t xml:space="preserve">, </w:t>
      </w:r>
      <w:r w:rsidRPr="00B37D60">
        <w:rPr>
          <w:color w:val="000000"/>
          <w:sz w:val="20"/>
          <w:szCs w:val="20"/>
        </w:rPr>
        <w:t>ST02, ST03, ST04, ST05, ST06, ST07, ST08, ST09, and ST10</w:t>
      </w:r>
      <w:r w:rsidR="00E46175" w:rsidRPr="00B37D60">
        <w:rPr>
          <w:color w:val="000000"/>
          <w:sz w:val="20"/>
          <w:szCs w:val="20"/>
        </w:rPr>
        <w:t xml:space="preserve">), 2 </w:t>
      </w:r>
      <w:r w:rsidRPr="00B37D60">
        <w:rPr>
          <w:color w:val="000000"/>
          <w:sz w:val="20"/>
          <w:szCs w:val="20"/>
        </w:rPr>
        <w:t xml:space="preserve">tagging forms </w:t>
      </w:r>
      <w:r w:rsidR="00E46175" w:rsidRPr="00B37D60">
        <w:rPr>
          <w:color w:val="000000"/>
          <w:sz w:val="20"/>
          <w:szCs w:val="20"/>
        </w:rPr>
        <w:t>(</w:t>
      </w:r>
      <w:r w:rsidRPr="00B37D60">
        <w:rPr>
          <w:color w:val="000000"/>
          <w:sz w:val="20"/>
          <w:szCs w:val="20"/>
        </w:rPr>
        <w:t>TG01 and TG02</w:t>
      </w:r>
      <w:r w:rsidR="00E46175" w:rsidRPr="00B37D60">
        <w:rPr>
          <w:color w:val="000000"/>
          <w:sz w:val="20"/>
          <w:szCs w:val="20"/>
        </w:rPr>
        <w:t xml:space="preserve">), and </w:t>
      </w:r>
      <w:r w:rsidR="00F22C2F" w:rsidRPr="00B37D60">
        <w:rPr>
          <w:color w:val="000000"/>
          <w:sz w:val="20"/>
          <w:szCs w:val="20"/>
        </w:rPr>
        <w:t>3</w:t>
      </w:r>
      <w:r w:rsidR="00E46175" w:rsidRPr="00B37D60">
        <w:rPr>
          <w:color w:val="000000"/>
          <w:sz w:val="20"/>
          <w:szCs w:val="20"/>
        </w:rPr>
        <w:t xml:space="preserve"> compliance related forms (CP01, CP46 and CP53)</w:t>
      </w:r>
      <w:r w:rsidRPr="00B37D60">
        <w:rPr>
          <w:color w:val="000000"/>
          <w:sz w:val="20"/>
          <w:szCs w:val="20"/>
        </w:rPr>
        <w:t xml:space="preserve">. </w:t>
      </w:r>
      <w:r w:rsidR="00306014" w:rsidRPr="00B37D60">
        <w:rPr>
          <w:color w:val="000000"/>
          <w:sz w:val="20"/>
          <w:szCs w:val="20"/>
        </w:rPr>
        <w:t>T</w:t>
      </w:r>
      <w:r w:rsidR="00E15A3E" w:rsidRPr="00B37D60">
        <w:rPr>
          <w:color w:val="000000"/>
          <w:sz w:val="20"/>
          <w:szCs w:val="20"/>
        </w:rPr>
        <w:t xml:space="preserve">he last three forms are managed by the Vessel Manager module (CP01: </w:t>
      </w:r>
      <w:r w:rsidRPr="00B37D60">
        <w:rPr>
          <w:color w:val="000000"/>
          <w:sz w:val="20"/>
          <w:szCs w:val="20"/>
        </w:rPr>
        <w:t>vessel characteristics</w:t>
      </w:r>
      <w:r w:rsidR="00E15A3E" w:rsidRPr="00B37D60">
        <w:rPr>
          <w:color w:val="000000"/>
          <w:sz w:val="20"/>
          <w:szCs w:val="20"/>
        </w:rPr>
        <w:t xml:space="preserve"> </w:t>
      </w:r>
      <w:r w:rsidRPr="00B37D60">
        <w:rPr>
          <w:color w:val="000000"/>
          <w:sz w:val="20"/>
          <w:szCs w:val="20"/>
        </w:rPr>
        <w:t>and authorizations</w:t>
      </w:r>
      <w:r w:rsidR="00E15A3E" w:rsidRPr="00B37D60">
        <w:rPr>
          <w:color w:val="000000"/>
          <w:sz w:val="20"/>
          <w:szCs w:val="20"/>
        </w:rPr>
        <w:t xml:space="preserve">; CP46: </w:t>
      </w:r>
      <w:r w:rsidRPr="00B37D60">
        <w:rPr>
          <w:color w:val="000000"/>
          <w:sz w:val="20"/>
          <w:szCs w:val="20"/>
        </w:rPr>
        <w:t>transshipment operations</w:t>
      </w:r>
      <w:r w:rsidR="00E15A3E" w:rsidRPr="00B37D60">
        <w:rPr>
          <w:color w:val="000000"/>
          <w:sz w:val="20"/>
          <w:szCs w:val="20"/>
        </w:rPr>
        <w:t xml:space="preserve">; CP53: </w:t>
      </w:r>
      <w:r w:rsidRPr="00B37D60">
        <w:rPr>
          <w:color w:val="000000"/>
          <w:sz w:val="20"/>
          <w:szCs w:val="20"/>
        </w:rPr>
        <w:t xml:space="preserve">chartering arrangements), </w:t>
      </w:r>
      <w:r w:rsidR="00306014" w:rsidRPr="00B37D60">
        <w:rPr>
          <w:color w:val="000000"/>
          <w:sz w:val="20"/>
          <w:szCs w:val="20"/>
        </w:rPr>
        <w:t xml:space="preserve">with </w:t>
      </w:r>
      <w:r w:rsidR="00E15A3E" w:rsidRPr="00B37D60">
        <w:rPr>
          <w:color w:val="000000"/>
          <w:sz w:val="20"/>
          <w:szCs w:val="20"/>
        </w:rPr>
        <w:t xml:space="preserve">the Form Manager </w:t>
      </w:r>
      <w:r w:rsidRPr="00B37D60">
        <w:rPr>
          <w:color w:val="000000"/>
          <w:sz w:val="20"/>
          <w:szCs w:val="20"/>
        </w:rPr>
        <w:t>automatically rout</w:t>
      </w:r>
      <w:r w:rsidR="00306014" w:rsidRPr="00B37D60">
        <w:rPr>
          <w:color w:val="000000"/>
          <w:sz w:val="20"/>
          <w:szCs w:val="20"/>
        </w:rPr>
        <w:t>ing (</w:t>
      </w:r>
      <w:r w:rsidR="00F22C2F" w:rsidRPr="00B37D60">
        <w:rPr>
          <w:color w:val="000000"/>
          <w:sz w:val="20"/>
          <w:szCs w:val="20"/>
        </w:rPr>
        <w:t>relaying</w:t>
      </w:r>
      <w:r w:rsidR="00306014" w:rsidRPr="00B37D60">
        <w:rPr>
          <w:color w:val="000000"/>
          <w:sz w:val="20"/>
          <w:szCs w:val="20"/>
        </w:rPr>
        <w:t xml:space="preserve"> the responsibility of treatment) the form </w:t>
      </w:r>
      <w:r w:rsidRPr="00B37D60">
        <w:rPr>
          <w:color w:val="000000"/>
          <w:sz w:val="20"/>
          <w:szCs w:val="20"/>
        </w:rPr>
        <w:t xml:space="preserve">to the corresponding Vessel Manager </w:t>
      </w:r>
      <w:r w:rsidR="00306014" w:rsidRPr="00B37D60">
        <w:rPr>
          <w:color w:val="000000"/>
          <w:sz w:val="20"/>
          <w:szCs w:val="20"/>
        </w:rPr>
        <w:t>sub</w:t>
      </w:r>
      <w:r w:rsidRPr="00B37D60">
        <w:rPr>
          <w:color w:val="000000"/>
          <w:sz w:val="20"/>
          <w:szCs w:val="20"/>
        </w:rPr>
        <w:t xml:space="preserve">module </w:t>
      </w:r>
      <w:r w:rsidR="00C32EA5" w:rsidRPr="00B37D60">
        <w:rPr>
          <w:color w:val="000000"/>
          <w:sz w:val="20"/>
          <w:szCs w:val="20"/>
        </w:rPr>
        <w:t>for</w:t>
      </w:r>
      <w:r w:rsidR="00F22C2F" w:rsidRPr="00B37D60">
        <w:rPr>
          <w:color w:val="000000"/>
          <w:sz w:val="20"/>
          <w:szCs w:val="20"/>
        </w:rPr>
        <w:t xml:space="preserve"> </w:t>
      </w:r>
      <w:r w:rsidR="00306014" w:rsidRPr="00B37D60">
        <w:rPr>
          <w:color w:val="000000"/>
          <w:sz w:val="20"/>
          <w:szCs w:val="20"/>
        </w:rPr>
        <w:t xml:space="preserve">the </w:t>
      </w:r>
      <w:r w:rsidRPr="00B37D60">
        <w:rPr>
          <w:color w:val="000000"/>
          <w:sz w:val="20"/>
          <w:szCs w:val="20"/>
        </w:rPr>
        <w:t>validation and processing</w:t>
      </w:r>
      <w:r w:rsidR="00306014" w:rsidRPr="00B37D60">
        <w:rPr>
          <w:color w:val="000000"/>
          <w:sz w:val="20"/>
          <w:szCs w:val="20"/>
        </w:rPr>
        <w:t xml:space="preserve"> work</w:t>
      </w:r>
      <w:r w:rsidRPr="00B37D60">
        <w:rPr>
          <w:color w:val="000000"/>
          <w:sz w:val="20"/>
          <w:szCs w:val="20"/>
        </w:rPr>
        <w:t>.</w:t>
      </w:r>
      <w:r w:rsidR="00306014" w:rsidRPr="00B37D60">
        <w:rPr>
          <w:color w:val="000000"/>
          <w:sz w:val="20"/>
          <w:szCs w:val="20"/>
        </w:rPr>
        <w:t xml:space="preserve"> </w:t>
      </w:r>
      <w:r w:rsidRPr="00B37D60">
        <w:rPr>
          <w:color w:val="000000"/>
          <w:sz w:val="20"/>
          <w:szCs w:val="20"/>
        </w:rPr>
        <w:t>A dedicated training session focused exclusively on the use of the Form Manager was held in 2025, allowing users to become familiar with the system’s functionalities and providing valuable feedback to improve its usability.</w:t>
      </w:r>
    </w:p>
    <w:p w14:paraId="71736940" w14:textId="77777777" w:rsidR="00B44DB6" w:rsidRPr="00B37D60" w:rsidRDefault="00B44DB6" w:rsidP="00B44DB6">
      <w:pPr>
        <w:pBdr>
          <w:top w:val="nil"/>
          <w:left w:val="nil"/>
          <w:bottom w:val="nil"/>
          <w:right w:val="nil"/>
          <w:between w:val="nil"/>
        </w:pBdr>
        <w:jc w:val="both"/>
        <w:rPr>
          <w:color w:val="000000"/>
          <w:sz w:val="20"/>
          <w:szCs w:val="20"/>
        </w:rPr>
      </w:pPr>
    </w:p>
    <w:p w14:paraId="7C0CBEBC" w14:textId="3E0077BE" w:rsidR="00B44DB6" w:rsidRPr="00B37D60" w:rsidRDefault="00B44DB6" w:rsidP="00B44DB6">
      <w:pPr>
        <w:pBdr>
          <w:top w:val="nil"/>
          <w:left w:val="nil"/>
          <w:bottom w:val="nil"/>
          <w:right w:val="nil"/>
          <w:between w:val="nil"/>
        </w:pBdr>
        <w:jc w:val="both"/>
        <w:rPr>
          <w:color w:val="000000"/>
          <w:sz w:val="20"/>
          <w:szCs w:val="20"/>
        </w:rPr>
      </w:pPr>
      <w:r w:rsidRPr="00B37D60">
        <w:rPr>
          <w:color w:val="000000"/>
          <w:sz w:val="20"/>
          <w:szCs w:val="20"/>
        </w:rPr>
        <w:t xml:space="preserve">The Form Manager is currently operating under a transitional period, running in parallel with the traditional email reporting system. This coexistence phase is expected to remain in place until </w:t>
      </w:r>
      <w:r w:rsidR="00C125A0" w:rsidRPr="00B37D60">
        <w:rPr>
          <w:color w:val="000000"/>
          <w:sz w:val="20"/>
          <w:szCs w:val="20"/>
        </w:rPr>
        <w:t>1</w:t>
      </w:r>
      <w:r w:rsidRPr="00B37D60">
        <w:rPr>
          <w:color w:val="000000"/>
          <w:sz w:val="20"/>
          <w:szCs w:val="20"/>
        </w:rPr>
        <w:t xml:space="preserve"> November 2025, ensuring a smooth migration for CPCs and sufficient time for user adaptation.</w:t>
      </w:r>
      <w:r w:rsidR="00BD6ABC" w:rsidRPr="00B37D60">
        <w:rPr>
          <w:color w:val="000000"/>
          <w:sz w:val="20"/>
          <w:szCs w:val="20"/>
        </w:rPr>
        <w:t xml:space="preserve"> As announced in </w:t>
      </w:r>
      <w:r w:rsidR="00BD6ABC" w:rsidRPr="00B37D60">
        <w:rPr>
          <w:color w:val="000000"/>
          <w:sz w:val="20"/>
          <w:szCs w:val="20"/>
        </w:rPr>
        <w:lastRenderedPageBreak/>
        <w:t>Circular #07010/2025, after 1 November 2025, the vessel manager module and the forms listed above for the form manager module must be submitted through IOMS; the traditional forms will no longer be accepted.</w:t>
      </w:r>
    </w:p>
    <w:p w14:paraId="0BA6F390" w14:textId="77777777" w:rsidR="00633AE0" w:rsidRPr="00B37D60" w:rsidRDefault="00633AE0" w:rsidP="00B44DB6">
      <w:pPr>
        <w:pBdr>
          <w:top w:val="nil"/>
          <w:left w:val="nil"/>
          <w:bottom w:val="nil"/>
          <w:right w:val="nil"/>
          <w:between w:val="nil"/>
        </w:pBdr>
        <w:jc w:val="both"/>
        <w:rPr>
          <w:color w:val="000000"/>
          <w:sz w:val="20"/>
          <w:szCs w:val="20"/>
        </w:rPr>
      </w:pPr>
    </w:p>
    <w:p w14:paraId="0FFE1C79" w14:textId="77777777" w:rsidR="00B44DB6" w:rsidRPr="00B37D60" w:rsidRDefault="00B44DB6" w:rsidP="00B44DB6">
      <w:pPr>
        <w:pBdr>
          <w:top w:val="nil"/>
          <w:left w:val="nil"/>
          <w:bottom w:val="nil"/>
          <w:right w:val="nil"/>
          <w:between w:val="nil"/>
        </w:pBdr>
        <w:jc w:val="both"/>
        <w:rPr>
          <w:color w:val="000000"/>
          <w:sz w:val="20"/>
          <w:szCs w:val="20"/>
        </w:rPr>
      </w:pPr>
      <w:r w:rsidRPr="00B37D60">
        <w:rPr>
          <w:color w:val="000000"/>
          <w:sz w:val="20"/>
          <w:szCs w:val="20"/>
        </w:rPr>
        <w:t xml:space="preserve">The number of forms supported by the system will continue to increase progressively as each remaining ICCAT form is standardized and incorporated into the system. This continuous standardization process will further enhance the relevance of the Form Manager by enabling CPCs to submit, manage, and retrieve an expanding range of information consistently through </w:t>
      </w:r>
      <w:proofErr w:type="gramStart"/>
      <w:r w:rsidRPr="00B37D60">
        <w:rPr>
          <w:color w:val="000000"/>
          <w:sz w:val="20"/>
          <w:szCs w:val="20"/>
        </w:rPr>
        <w:t>the IOMS</w:t>
      </w:r>
      <w:proofErr w:type="gramEnd"/>
      <w:r w:rsidRPr="00B37D60">
        <w:rPr>
          <w:color w:val="000000"/>
          <w:sz w:val="20"/>
          <w:szCs w:val="20"/>
        </w:rPr>
        <w:t>.</w:t>
      </w:r>
    </w:p>
    <w:p w14:paraId="2480DB77" w14:textId="77777777" w:rsidR="00F85435" w:rsidRPr="00B37D60" w:rsidRDefault="00F85435" w:rsidP="008D573B">
      <w:pPr>
        <w:pBdr>
          <w:top w:val="nil"/>
          <w:left w:val="nil"/>
          <w:bottom w:val="nil"/>
          <w:right w:val="nil"/>
          <w:between w:val="nil"/>
        </w:pBdr>
        <w:jc w:val="both"/>
        <w:rPr>
          <w:color w:val="000000"/>
          <w:sz w:val="20"/>
          <w:szCs w:val="20"/>
        </w:rPr>
      </w:pPr>
    </w:p>
    <w:p w14:paraId="40AB482D" w14:textId="543E36DD" w:rsidR="006765C2" w:rsidRPr="00B37D60" w:rsidRDefault="003018B3" w:rsidP="008D573B">
      <w:pPr>
        <w:pBdr>
          <w:top w:val="nil"/>
          <w:left w:val="nil"/>
          <w:bottom w:val="nil"/>
          <w:right w:val="nil"/>
          <w:between w:val="nil"/>
        </w:pBdr>
        <w:jc w:val="both"/>
        <w:rPr>
          <w:b/>
          <w:bCs/>
          <w:i/>
          <w:iCs/>
          <w:sz w:val="20"/>
          <w:szCs w:val="20"/>
        </w:rPr>
      </w:pPr>
      <w:r w:rsidRPr="00B37D60">
        <w:rPr>
          <w:b/>
          <w:bCs/>
          <w:i/>
          <w:iCs/>
          <w:sz w:val="20"/>
          <w:szCs w:val="20"/>
        </w:rPr>
        <w:t xml:space="preserve">Other </w:t>
      </w:r>
      <w:r w:rsidR="006765C2" w:rsidRPr="00B37D60">
        <w:rPr>
          <w:b/>
          <w:bCs/>
          <w:i/>
          <w:iCs/>
          <w:sz w:val="20"/>
          <w:szCs w:val="20"/>
        </w:rPr>
        <w:t xml:space="preserve">relevant activities </w:t>
      </w:r>
    </w:p>
    <w:p w14:paraId="646391C1" w14:textId="77777777" w:rsidR="0018551C" w:rsidRPr="00B37D60" w:rsidRDefault="0018551C" w:rsidP="000076BA">
      <w:pPr>
        <w:pBdr>
          <w:top w:val="nil"/>
          <w:left w:val="nil"/>
          <w:bottom w:val="nil"/>
          <w:right w:val="nil"/>
          <w:between w:val="nil"/>
        </w:pBdr>
        <w:jc w:val="both"/>
        <w:rPr>
          <w:sz w:val="20"/>
          <w:szCs w:val="20"/>
        </w:rPr>
      </w:pPr>
    </w:p>
    <w:p w14:paraId="578D96A0" w14:textId="57FFAD59" w:rsidR="000076BA" w:rsidRPr="00B37D60" w:rsidRDefault="000076BA" w:rsidP="000076BA">
      <w:pPr>
        <w:pBdr>
          <w:top w:val="nil"/>
          <w:left w:val="nil"/>
          <w:bottom w:val="nil"/>
          <w:right w:val="nil"/>
          <w:between w:val="nil"/>
        </w:pBdr>
        <w:jc w:val="both"/>
        <w:rPr>
          <w:sz w:val="20"/>
          <w:szCs w:val="20"/>
        </w:rPr>
      </w:pPr>
      <w:r w:rsidRPr="00B37D60">
        <w:rPr>
          <w:sz w:val="20"/>
          <w:szCs w:val="20"/>
        </w:rPr>
        <w:t>During 2025, the Secretariat completed a major enhancement of the IOMS system architecture, carried out in parallel with the development of the new modules and in a way that was fully transparent to users. This upgrade ensures that the IOMS remains scalable, efficient, and aligned with current developments in cloud infrastructure and services while maintaining normal system operation and staying within the approved IOMS budget.</w:t>
      </w:r>
    </w:p>
    <w:p w14:paraId="187218CF" w14:textId="77777777" w:rsidR="000076BA" w:rsidRPr="00B37D60" w:rsidRDefault="000076BA" w:rsidP="000076BA">
      <w:pPr>
        <w:pBdr>
          <w:top w:val="nil"/>
          <w:left w:val="nil"/>
          <w:bottom w:val="nil"/>
          <w:right w:val="nil"/>
          <w:between w:val="nil"/>
        </w:pBdr>
        <w:jc w:val="both"/>
        <w:rPr>
          <w:sz w:val="20"/>
          <w:szCs w:val="20"/>
        </w:rPr>
      </w:pPr>
    </w:p>
    <w:p w14:paraId="6DD849A5" w14:textId="2236B77C" w:rsidR="000076BA" w:rsidRPr="00B37D60" w:rsidRDefault="000076BA" w:rsidP="000076BA">
      <w:pPr>
        <w:pBdr>
          <w:top w:val="nil"/>
          <w:left w:val="nil"/>
          <w:bottom w:val="nil"/>
          <w:right w:val="nil"/>
          <w:between w:val="nil"/>
        </w:pBdr>
        <w:jc w:val="both"/>
        <w:rPr>
          <w:sz w:val="20"/>
          <w:szCs w:val="20"/>
        </w:rPr>
      </w:pPr>
      <w:r w:rsidRPr="00B37D60">
        <w:rPr>
          <w:sz w:val="20"/>
          <w:szCs w:val="20"/>
        </w:rPr>
        <w:t>In parallel, the WG-ORT ad hoc</w:t>
      </w:r>
      <w:r w:rsidR="00977B08" w:rsidRPr="00B37D60">
        <w:rPr>
          <w:sz w:val="20"/>
          <w:szCs w:val="20"/>
        </w:rPr>
        <w:t xml:space="preserve"> working</w:t>
      </w:r>
      <w:r w:rsidRPr="00B37D60">
        <w:rPr>
          <w:sz w:val="20"/>
          <w:szCs w:val="20"/>
        </w:rPr>
        <w:t xml:space="preserve"> group</w:t>
      </w:r>
      <w:r w:rsidR="00977B08" w:rsidRPr="00B37D60">
        <w:rPr>
          <w:sz w:val="20"/>
          <w:szCs w:val="20"/>
        </w:rPr>
        <w:t xml:space="preserve"> to address</w:t>
      </w:r>
      <w:r w:rsidRPr="00B37D60">
        <w:rPr>
          <w:sz w:val="20"/>
          <w:szCs w:val="20"/>
        </w:rPr>
        <w:t xml:space="preserve"> redundancy</w:t>
      </w:r>
      <w:r w:rsidR="00013709" w:rsidRPr="00B37D60">
        <w:rPr>
          <w:sz w:val="20"/>
          <w:szCs w:val="20"/>
        </w:rPr>
        <w:t xml:space="preserve"> in reporting requirements</w:t>
      </w:r>
      <w:r w:rsidRPr="00B37D60">
        <w:rPr>
          <w:sz w:val="20"/>
          <w:szCs w:val="20"/>
        </w:rPr>
        <w:t xml:space="preserve"> continued its work to streamline ICCAT reporting and management requirements, building upon the 2024 interim report </w:t>
      </w:r>
      <w:r w:rsidR="00F22C2F" w:rsidRPr="00B37D60">
        <w:rPr>
          <w:sz w:val="20"/>
          <w:szCs w:val="20"/>
        </w:rPr>
        <w:t>[</w:t>
      </w:r>
      <w:r w:rsidRPr="00B37D60">
        <w:rPr>
          <w:sz w:val="20"/>
          <w:szCs w:val="20"/>
        </w:rPr>
        <w:t>PA4_807/2024</w:t>
      </w:r>
      <w:r w:rsidR="00F22C2F" w:rsidRPr="00B37D60">
        <w:rPr>
          <w:sz w:val="20"/>
          <w:szCs w:val="20"/>
        </w:rPr>
        <w:t>]</w:t>
      </w:r>
      <w:r w:rsidRPr="00B37D60">
        <w:rPr>
          <w:sz w:val="20"/>
          <w:szCs w:val="20"/>
        </w:rPr>
        <w:t xml:space="preserve"> and the Secretariat’s document “Streamlining of ICCAT conservation and management measures</w:t>
      </w:r>
      <w:r w:rsidRPr="00B37D60">
        <w:rPr>
          <w:i/>
          <w:iCs/>
          <w:sz w:val="20"/>
          <w:szCs w:val="20"/>
        </w:rPr>
        <w:t>”</w:t>
      </w:r>
      <w:r w:rsidRPr="00B37D60">
        <w:rPr>
          <w:sz w:val="20"/>
          <w:szCs w:val="20"/>
        </w:rPr>
        <w:t xml:space="preserve"> </w:t>
      </w:r>
      <w:r w:rsidR="00F22C2F" w:rsidRPr="00B37D60">
        <w:rPr>
          <w:sz w:val="20"/>
          <w:szCs w:val="20"/>
        </w:rPr>
        <w:t>[</w:t>
      </w:r>
      <w:r w:rsidRPr="00B37D60">
        <w:rPr>
          <w:sz w:val="20"/>
          <w:szCs w:val="20"/>
        </w:rPr>
        <w:t>PLE_103/2024</w:t>
      </w:r>
      <w:r w:rsidR="00F22C2F" w:rsidRPr="00B37D60">
        <w:rPr>
          <w:sz w:val="20"/>
          <w:szCs w:val="20"/>
        </w:rPr>
        <w:t>]</w:t>
      </w:r>
      <w:r w:rsidRPr="00B37D60">
        <w:rPr>
          <w:sz w:val="20"/>
          <w:szCs w:val="20"/>
        </w:rPr>
        <w:t>. This initiative, supported by several CPCs and aligned with a forthcoming EU grant, aims to reduce duplication and improve reporting efficiency. Additionally, the IOMS glossary of terms and definitions, developed jointly with the</w:t>
      </w:r>
      <w:r w:rsidR="0054384D" w:rsidRPr="00B37D60">
        <w:rPr>
          <w:sz w:val="20"/>
          <w:szCs w:val="20"/>
        </w:rPr>
        <w:t xml:space="preserve"> Working Group on Integrated Monitoring Measures (IMM) </w:t>
      </w:r>
      <w:r w:rsidRPr="00B37D60">
        <w:rPr>
          <w:sz w:val="20"/>
          <w:szCs w:val="20"/>
        </w:rPr>
        <w:t xml:space="preserve">continues to evolve and will be integrated into the IOMS Help System to ensure consistency in the terminology used across all </w:t>
      </w:r>
      <w:r w:rsidR="00306014" w:rsidRPr="00B37D60">
        <w:rPr>
          <w:sz w:val="20"/>
          <w:szCs w:val="20"/>
        </w:rPr>
        <w:t>the IOMS</w:t>
      </w:r>
      <w:r w:rsidRPr="00B37D60">
        <w:rPr>
          <w:sz w:val="20"/>
          <w:szCs w:val="20"/>
        </w:rPr>
        <w:t>.</w:t>
      </w:r>
    </w:p>
    <w:p w14:paraId="1951CF7C" w14:textId="77777777" w:rsidR="007F7E17" w:rsidRPr="00B37D60" w:rsidRDefault="007F7E17" w:rsidP="00987D1A">
      <w:pPr>
        <w:tabs>
          <w:tab w:val="left" w:pos="558"/>
          <w:tab w:val="left" w:pos="559"/>
          <w:tab w:val="left" w:pos="9214"/>
        </w:tabs>
        <w:jc w:val="both"/>
        <w:rPr>
          <w:sz w:val="20"/>
          <w:szCs w:val="20"/>
          <w:lang w:val="en-GB"/>
        </w:rPr>
      </w:pPr>
    </w:p>
    <w:p w14:paraId="1EB8BA05" w14:textId="77777777" w:rsidR="00987D1A" w:rsidRPr="00B37D60" w:rsidRDefault="00987D1A" w:rsidP="00542F85">
      <w:pPr>
        <w:tabs>
          <w:tab w:val="left" w:pos="558"/>
          <w:tab w:val="left" w:pos="559"/>
          <w:tab w:val="left" w:pos="9214"/>
        </w:tabs>
        <w:jc w:val="both"/>
        <w:rPr>
          <w:sz w:val="20"/>
          <w:szCs w:val="20"/>
          <w:lang w:val="en-GB"/>
        </w:rPr>
      </w:pPr>
    </w:p>
    <w:p w14:paraId="5F949C7E" w14:textId="49D9185D" w:rsidR="006C30BA" w:rsidRPr="00B37D60" w:rsidRDefault="00C125A0" w:rsidP="006C30BA">
      <w:pPr>
        <w:tabs>
          <w:tab w:val="left" w:pos="558"/>
          <w:tab w:val="left" w:pos="559"/>
          <w:tab w:val="left" w:pos="9214"/>
        </w:tabs>
        <w:jc w:val="both"/>
        <w:rPr>
          <w:b/>
          <w:bCs/>
          <w:sz w:val="20"/>
          <w:szCs w:val="20"/>
        </w:rPr>
      </w:pPr>
      <w:r w:rsidRPr="00B37D60">
        <w:rPr>
          <w:b/>
          <w:bCs/>
          <w:sz w:val="20"/>
          <w:szCs w:val="20"/>
        </w:rPr>
        <w:t>U</w:t>
      </w:r>
      <w:r w:rsidR="006C30BA" w:rsidRPr="00B37D60">
        <w:rPr>
          <w:b/>
          <w:bCs/>
          <w:sz w:val="20"/>
          <w:szCs w:val="20"/>
        </w:rPr>
        <w:t xml:space="preserve">pdates to the WG-ORT </w:t>
      </w:r>
      <w:r w:rsidR="0018551C" w:rsidRPr="00B37D60">
        <w:rPr>
          <w:b/>
          <w:bCs/>
          <w:sz w:val="20"/>
          <w:szCs w:val="20"/>
        </w:rPr>
        <w:t>w</w:t>
      </w:r>
      <w:r w:rsidR="006C30BA" w:rsidRPr="00B37D60">
        <w:rPr>
          <w:b/>
          <w:bCs/>
          <w:sz w:val="20"/>
          <w:szCs w:val="20"/>
        </w:rPr>
        <w:t>ork</w:t>
      </w:r>
      <w:r w:rsidR="0018551C" w:rsidRPr="00B37D60">
        <w:rPr>
          <w:b/>
          <w:bCs/>
          <w:sz w:val="20"/>
          <w:szCs w:val="20"/>
        </w:rPr>
        <w:t>p</w:t>
      </w:r>
      <w:r w:rsidR="006C30BA" w:rsidRPr="00B37D60">
        <w:rPr>
          <w:b/>
          <w:bCs/>
          <w:sz w:val="20"/>
          <w:szCs w:val="20"/>
        </w:rPr>
        <w:t>lan</w:t>
      </w:r>
    </w:p>
    <w:p w14:paraId="2A3E4AEA" w14:textId="77777777" w:rsidR="006C30BA" w:rsidRPr="00B37D60" w:rsidRDefault="006C30BA" w:rsidP="006C30BA">
      <w:pPr>
        <w:tabs>
          <w:tab w:val="left" w:pos="558"/>
          <w:tab w:val="left" w:pos="559"/>
          <w:tab w:val="left" w:pos="9214"/>
        </w:tabs>
        <w:jc w:val="both"/>
        <w:rPr>
          <w:b/>
          <w:bCs/>
          <w:sz w:val="20"/>
          <w:szCs w:val="20"/>
        </w:rPr>
      </w:pPr>
    </w:p>
    <w:p w14:paraId="21BAF763" w14:textId="2778952D" w:rsidR="00180007" w:rsidRPr="00B37D60" w:rsidRDefault="00180007" w:rsidP="00180007">
      <w:pPr>
        <w:tabs>
          <w:tab w:val="left" w:pos="558"/>
          <w:tab w:val="left" w:pos="559"/>
          <w:tab w:val="left" w:pos="9214"/>
        </w:tabs>
        <w:jc w:val="both"/>
        <w:rPr>
          <w:sz w:val="20"/>
          <w:szCs w:val="20"/>
        </w:rPr>
      </w:pPr>
      <w:proofErr w:type="gramStart"/>
      <w:r w:rsidRPr="00B37D60">
        <w:rPr>
          <w:sz w:val="20"/>
          <w:szCs w:val="20"/>
        </w:rPr>
        <w:t>The WG</w:t>
      </w:r>
      <w:proofErr w:type="gramEnd"/>
      <w:r w:rsidRPr="00B37D60">
        <w:rPr>
          <w:sz w:val="20"/>
          <w:szCs w:val="20"/>
        </w:rPr>
        <w:t>-ORT reviewed and agreed not to include new modules or additional phases in the IOMS workplan, given the already heavy workload of the IOMS team and the Secretariat for 2025</w:t>
      </w:r>
      <w:r w:rsidR="00306014" w:rsidRPr="00B37D60">
        <w:rPr>
          <w:sz w:val="20"/>
          <w:szCs w:val="20"/>
        </w:rPr>
        <w:t xml:space="preserve"> and 2026</w:t>
      </w:r>
      <w:r w:rsidRPr="00B37D60">
        <w:rPr>
          <w:sz w:val="20"/>
          <w:szCs w:val="20"/>
        </w:rPr>
        <w:t>. The current plan already covers the activities foreseen up to the end of Phase 5 (May 2028).</w:t>
      </w:r>
    </w:p>
    <w:p w14:paraId="06C6372D" w14:textId="77777777" w:rsidR="00180007" w:rsidRPr="00B37D60" w:rsidRDefault="00180007" w:rsidP="00180007">
      <w:pPr>
        <w:tabs>
          <w:tab w:val="left" w:pos="558"/>
          <w:tab w:val="left" w:pos="559"/>
          <w:tab w:val="left" w:pos="9214"/>
        </w:tabs>
        <w:jc w:val="both"/>
        <w:rPr>
          <w:sz w:val="20"/>
          <w:szCs w:val="20"/>
        </w:rPr>
      </w:pPr>
    </w:p>
    <w:p w14:paraId="1CB1457E" w14:textId="099A703B" w:rsidR="00180007" w:rsidRPr="00B37D60" w:rsidRDefault="00180007" w:rsidP="00180007">
      <w:pPr>
        <w:tabs>
          <w:tab w:val="left" w:pos="558"/>
          <w:tab w:val="left" w:pos="559"/>
          <w:tab w:val="left" w:pos="9214"/>
        </w:tabs>
        <w:jc w:val="both"/>
        <w:rPr>
          <w:sz w:val="20"/>
          <w:szCs w:val="20"/>
        </w:rPr>
      </w:pPr>
      <w:r w:rsidRPr="00B37D60">
        <w:rPr>
          <w:sz w:val="20"/>
          <w:szCs w:val="20"/>
        </w:rPr>
        <w:t>The release into production of both the Vessel Manager and Form Manager modules was achieved on 1</w:t>
      </w:r>
      <w:r w:rsidR="0054384D" w:rsidRPr="00B37D60">
        <w:rPr>
          <w:sz w:val="20"/>
          <w:szCs w:val="20"/>
        </w:rPr>
        <w:t> </w:t>
      </w:r>
      <w:r w:rsidRPr="00B37D60">
        <w:rPr>
          <w:sz w:val="20"/>
          <w:szCs w:val="20"/>
        </w:rPr>
        <w:t>August 2025, followed by a three-month transition period, until 1 November 2025, during which both systems will coexist with the traditional reporting method (via email). After this date, the use of these modules will become mandatory. The FLUX (UN/FLUX) component of the Vessel Manager continues to be developed in close collaboration with the EU.</w:t>
      </w:r>
    </w:p>
    <w:p w14:paraId="22E11276" w14:textId="77777777" w:rsidR="00180007" w:rsidRPr="00B37D60" w:rsidRDefault="00180007" w:rsidP="00180007">
      <w:pPr>
        <w:tabs>
          <w:tab w:val="left" w:pos="558"/>
          <w:tab w:val="left" w:pos="559"/>
          <w:tab w:val="left" w:pos="9214"/>
        </w:tabs>
        <w:jc w:val="both"/>
        <w:rPr>
          <w:sz w:val="20"/>
          <w:szCs w:val="20"/>
        </w:rPr>
      </w:pPr>
    </w:p>
    <w:p w14:paraId="57C3B2E9" w14:textId="393E8DCE" w:rsidR="00180007" w:rsidRPr="00B37D60" w:rsidRDefault="00180007" w:rsidP="00180007">
      <w:pPr>
        <w:tabs>
          <w:tab w:val="left" w:pos="558"/>
          <w:tab w:val="left" w:pos="559"/>
          <w:tab w:val="left" w:pos="9214"/>
        </w:tabs>
        <w:jc w:val="both"/>
        <w:rPr>
          <w:sz w:val="20"/>
          <w:szCs w:val="20"/>
        </w:rPr>
      </w:pPr>
      <w:r w:rsidRPr="00B37D60">
        <w:rPr>
          <w:sz w:val="20"/>
          <w:szCs w:val="20"/>
        </w:rPr>
        <w:t xml:space="preserve">The </w:t>
      </w:r>
      <w:r w:rsidR="0054384D" w:rsidRPr="00B37D60">
        <w:rPr>
          <w:sz w:val="20"/>
          <w:szCs w:val="20"/>
        </w:rPr>
        <w:t>WG-ORT</w:t>
      </w:r>
      <w:r w:rsidRPr="00B37D60">
        <w:rPr>
          <w:sz w:val="20"/>
          <w:szCs w:val="20"/>
        </w:rPr>
        <w:t xml:space="preserve"> supported the revised priorities for Phases 4 and 5, which now promote the T1NC Manager, COCT Manager, and T2CE Manager modules to priority 1, while the Shark/Billfish Check Sheets Manager, SDP (SWO/BET) Manager, and BFT Periodic Reports Manager modules were rescheduled and assigned lower priority levels. Development of the Shark/Billfish Check Sheets Manager will be delayed pending the review of its templates by Panel 4, in coordination with the Compliance Committee and the Commission.</w:t>
      </w:r>
      <w:r w:rsidR="005B44AC" w:rsidRPr="00B37D60">
        <w:rPr>
          <w:sz w:val="20"/>
          <w:szCs w:val="20"/>
        </w:rPr>
        <w:t xml:space="preserve"> Document COC_321/2025 provides additional guidance aimed at streamlining the </w:t>
      </w:r>
      <w:r w:rsidR="0054384D" w:rsidRPr="00B37D60">
        <w:rPr>
          <w:sz w:val="20"/>
          <w:szCs w:val="20"/>
        </w:rPr>
        <w:t>Shark and Billfish Check Sheets</w:t>
      </w:r>
      <w:r w:rsidR="005B44AC" w:rsidRPr="00B37D60">
        <w:rPr>
          <w:sz w:val="20"/>
          <w:szCs w:val="20"/>
        </w:rPr>
        <w:t xml:space="preserve">. </w:t>
      </w:r>
    </w:p>
    <w:p w14:paraId="450A66DA" w14:textId="77777777" w:rsidR="00180007" w:rsidRPr="00B37D60" w:rsidRDefault="00180007" w:rsidP="00180007">
      <w:pPr>
        <w:tabs>
          <w:tab w:val="left" w:pos="558"/>
          <w:tab w:val="left" w:pos="559"/>
          <w:tab w:val="left" w:pos="9214"/>
        </w:tabs>
        <w:jc w:val="both"/>
        <w:rPr>
          <w:sz w:val="20"/>
          <w:szCs w:val="20"/>
        </w:rPr>
      </w:pPr>
    </w:p>
    <w:p w14:paraId="03C1DA47" w14:textId="31626990" w:rsidR="006C30BA" w:rsidRPr="00B37D60" w:rsidRDefault="00180007" w:rsidP="006C30BA">
      <w:pPr>
        <w:tabs>
          <w:tab w:val="left" w:pos="558"/>
          <w:tab w:val="left" w:pos="559"/>
          <w:tab w:val="left" w:pos="9214"/>
        </w:tabs>
        <w:jc w:val="both"/>
        <w:rPr>
          <w:sz w:val="20"/>
          <w:szCs w:val="20"/>
        </w:rPr>
      </w:pPr>
      <w:r w:rsidRPr="00B37D60">
        <w:rPr>
          <w:sz w:val="20"/>
          <w:szCs w:val="20"/>
        </w:rPr>
        <w:t xml:space="preserve">The updated workplan (summarized in </w:t>
      </w:r>
      <w:r w:rsidR="00FB5A81" w:rsidRPr="00B37D60">
        <w:rPr>
          <w:sz w:val="20"/>
          <w:szCs w:val="20"/>
          <w:lang w:val="en-GB"/>
        </w:rPr>
        <w:t xml:space="preserve">Table 3 of </w:t>
      </w:r>
      <w:hyperlink r:id="rId15">
        <w:r w:rsidR="00FB5A81" w:rsidRPr="00B37D60">
          <w:rPr>
            <w:color w:val="0000FF"/>
            <w:sz w:val="20"/>
            <w:szCs w:val="20"/>
            <w:lang w:val="en-GB"/>
          </w:rPr>
          <w:t>COC_302/2025</w:t>
        </w:r>
      </w:hyperlink>
      <w:r w:rsidRPr="00B37D60">
        <w:rPr>
          <w:sz w:val="20"/>
          <w:szCs w:val="20"/>
        </w:rPr>
        <w:t>) provides a realistic roadmap for IOMS development until 2028, maintaining a balance between the Secretariat’s workload, the system’s consolidation phase, and the priorities established by the Commission.</w:t>
      </w:r>
    </w:p>
    <w:p w14:paraId="3FB39939" w14:textId="17D71AD9" w:rsidR="0046759D" w:rsidRPr="00B37D60" w:rsidRDefault="0046759D" w:rsidP="002D1D32">
      <w:pPr>
        <w:pStyle w:val="BodyText"/>
        <w:rPr>
          <w:lang w:val="en-GB"/>
        </w:rPr>
      </w:pPr>
      <w:bookmarkStart w:id="0" w:name="_heading=h.gjdgxs" w:colFirst="0" w:colLast="0"/>
      <w:bookmarkEnd w:id="0"/>
    </w:p>
    <w:p w14:paraId="0498EA10" w14:textId="77777777" w:rsidR="007F7E17" w:rsidRPr="00B37D60" w:rsidRDefault="007F7E17" w:rsidP="002D1D32">
      <w:pPr>
        <w:pStyle w:val="BodyText"/>
        <w:rPr>
          <w:lang w:val="en-GB"/>
        </w:rPr>
      </w:pPr>
    </w:p>
    <w:p w14:paraId="295AD6A7" w14:textId="322DBE9D" w:rsidR="008A419C" w:rsidRPr="00B37D60" w:rsidRDefault="008A419C" w:rsidP="008A419C">
      <w:pPr>
        <w:pBdr>
          <w:top w:val="nil"/>
          <w:left w:val="nil"/>
          <w:bottom w:val="nil"/>
          <w:right w:val="nil"/>
          <w:between w:val="nil"/>
        </w:pBdr>
        <w:tabs>
          <w:tab w:val="left" w:pos="9214"/>
        </w:tabs>
        <w:ind w:right="214"/>
        <w:jc w:val="both"/>
        <w:rPr>
          <w:b/>
          <w:color w:val="000000"/>
          <w:sz w:val="20"/>
          <w:szCs w:val="20"/>
          <w:lang w:val="en-GB"/>
        </w:rPr>
      </w:pPr>
      <w:r w:rsidRPr="00B37D60">
        <w:rPr>
          <w:b/>
          <w:color w:val="000000"/>
          <w:sz w:val="20"/>
          <w:szCs w:val="20"/>
          <w:lang w:val="en-GB"/>
        </w:rPr>
        <w:t>202</w:t>
      </w:r>
      <w:r w:rsidR="00FB5A81" w:rsidRPr="00B37D60">
        <w:rPr>
          <w:b/>
          <w:color w:val="000000"/>
          <w:sz w:val="20"/>
          <w:szCs w:val="20"/>
          <w:lang w:val="en-GB"/>
        </w:rPr>
        <w:t>5</w:t>
      </w:r>
      <w:r w:rsidRPr="00B37D60">
        <w:rPr>
          <w:b/>
          <w:color w:val="000000"/>
          <w:sz w:val="20"/>
          <w:szCs w:val="20"/>
          <w:lang w:val="en-GB"/>
        </w:rPr>
        <w:t xml:space="preserve"> intersessional tasks</w:t>
      </w:r>
    </w:p>
    <w:p w14:paraId="1CE98050" w14:textId="77777777" w:rsidR="008A419C" w:rsidRPr="00B37D60" w:rsidRDefault="008A419C" w:rsidP="008A419C">
      <w:pPr>
        <w:pBdr>
          <w:top w:val="nil"/>
          <w:left w:val="nil"/>
          <w:bottom w:val="nil"/>
          <w:right w:val="nil"/>
          <w:between w:val="nil"/>
        </w:pBdr>
        <w:tabs>
          <w:tab w:val="left" w:pos="9214"/>
        </w:tabs>
        <w:ind w:right="214"/>
        <w:jc w:val="both"/>
        <w:rPr>
          <w:b/>
          <w:color w:val="000000"/>
          <w:sz w:val="20"/>
          <w:szCs w:val="20"/>
          <w:u w:val="single"/>
          <w:lang w:val="en-GB"/>
        </w:rPr>
      </w:pPr>
    </w:p>
    <w:p w14:paraId="34BDF683" w14:textId="44B008D6" w:rsidR="00C5011A" w:rsidRPr="00B37D60" w:rsidRDefault="00C5011A" w:rsidP="00C5011A">
      <w:pPr>
        <w:pBdr>
          <w:top w:val="nil"/>
          <w:left w:val="nil"/>
          <w:bottom w:val="nil"/>
          <w:right w:val="nil"/>
          <w:between w:val="nil"/>
        </w:pBdr>
        <w:jc w:val="both"/>
        <w:rPr>
          <w:rFonts w:asciiTheme="majorHAnsi" w:hAnsiTheme="majorHAnsi"/>
          <w:color w:val="000000"/>
          <w:sz w:val="20"/>
          <w:szCs w:val="20"/>
        </w:rPr>
      </w:pPr>
      <w:r w:rsidRPr="00B37D60">
        <w:rPr>
          <w:rFonts w:asciiTheme="majorHAnsi" w:hAnsiTheme="majorHAnsi"/>
          <w:color w:val="000000"/>
          <w:sz w:val="20"/>
          <w:szCs w:val="20"/>
        </w:rPr>
        <w:t>In addition to the various IOMS enhancements discussed/adopted (</w:t>
      </w:r>
      <w:r w:rsidRPr="00B37D60">
        <w:rPr>
          <w:rFonts w:asciiTheme="majorHAnsi" w:hAnsiTheme="majorHAnsi"/>
          <w:bCs/>
          <w:color w:val="000000"/>
          <w:sz w:val="20"/>
          <w:szCs w:val="20"/>
        </w:rPr>
        <w:t>Table 2</w:t>
      </w:r>
      <w:r w:rsidR="00006CC0" w:rsidRPr="00B37D60">
        <w:rPr>
          <w:rFonts w:asciiTheme="majorHAnsi" w:hAnsiTheme="majorHAnsi"/>
          <w:b/>
          <w:color w:val="000000"/>
          <w:sz w:val="20"/>
          <w:szCs w:val="20"/>
        </w:rPr>
        <w:t xml:space="preserve"> </w:t>
      </w:r>
      <w:r w:rsidR="00006CC0" w:rsidRPr="00B37D60">
        <w:rPr>
          <w:rFonts w:asciiTheme="majorHAnsi" w:hAnsiTheme="majorHAnsi"/>
          <w:bCs/>
          <w:color w:val="000000"/>
          <w:sz w:val="20"/>
          <w:szCs w:val="20"/>
        </w:rPr>
        <w:t>of</w:t>
      </w:r>
      <w:r w:rsidR="00006CC0" w:rsidRPr="00B37D60">
        <w:rPr>
          <w:rFonts w:asciiTheme="majorHAnsi" w:hAnsiTheme="majorHAnsi"/>
          <w:b/>
          <w:color w:val="000000"/>
          <w:sz w:val="20"/>
          <w:szCs w:val="20"/>
        </w:rPr>
        <w:t xml:space="preserve"> </w:t>
      </w:r>
      <w:hyperlink r:id="rId16">
        <w:r w:rsidR="00847A09" w:rsidRPr="00B37D60">
          <w:rPr>
            <w:color w:val="0000FF"/>
            <w:sz w:val="20"/>
            <w:szCs w:val="20"/>
            <w:lang w:val="en-GB"/>
          </w:rPr>
          <w:t>COC_302/20</w:t>
        </w:r>
        <w:r w:rsidR="007221B9" w:rsidRPr="00B37D60">
          <w:rPr>
            <w:color w:val="0000FF"/>
            <w:sz w:val="20"/>
            <w:szCs w:val="20"/>
            <w:lang w:val="en-GB"/>
          </w:rPr>
          <w:t>25</w:t>
        </w:r>
      </w:hyperlink>
      <w:r w:rsidRPr="00B37D60">
        <w:rPr>
          <w:rFonts w:asciiTheme="majorHAnsi" w:hAnsiTheme="majorHAnsi"/>
          <w:color w:val="000000"/>
          <w:sz w:val="20"/>
          <w:szCs w:val="20"/>
        </w:rPr>
        <w:t>) the WG-ORT together with the Secretariat has planned the following list of intersessional work:</w:t>
      </w:r>
    </w:p>
    <w:p w14:paraId="76A6DD52" w14:textId="77777777" w:rsidR="00C5011A" w:rsidRPr="00B37D60" w:rsidRDefault="00C5011A" w:rsidP="00C5011A">
      <w:pPr>
        <w:pBdr>
          <w:top w:val="nil"/>
          <w:left w:val="nil"/>
          <w:bottom w:val="nil"/>
          <w:right w:val="nil"/>
          <w:between w:val="nil"/>
        </w:pBdr>
        <w:rPr>
          <w:rFonts w:asciiTheme="majorHAnsi" w:hAnsiTheme="majorHAnsi"/>
          <w:color w:val="000000"/>
          <w:sz w:val="20"/>
          <w:szCs w:val="20"/>
        </w:rPr>
      </w:pPr>
    </w:p>
    <w:p w14:paraId="7A859BE8" w14:textId="77777777" w:rsidR="00C5011A" w:rsidRPr="00B37D60" w:rsidRDefault="00C5011A" w:rsidP="00011B83">
      <w:pPr>
        <w:pStyle w:val="NormalWeb"/>
        <w:spacing w:before="0" w:beforeAutospacing="0" w:after="60" w:afterAutospacing="0"/>
        <w:rPr>
          <w:rFonts w:asciiTheme="majorHAnsi" w:hAnsiTheme="majorHAnsi"/>
          <w:color w:val="FF0000"/>
          <w:sz w:val="20"/>
          <w:szCs w:val="20"/>
        </w:rPr>
      </w:pPr>
      <w:r w:rsidRPr="00B37D60">
        <w:rPr>
          <w:rFonts w:asciiTheme="majorHAnsi" w:hAnsiTheme="majorHAnsi"/>
          <w:color w:val="000000"/>
          <w:sz w:val="20"/>
          <w:szCs w:val="20"/>
        </w:rPr>
        <w:t>Follow up actions and intersessional WG-ORT tasks:</w:t>
      </w:r>
      <w:r w:rsidRPr="00B37D60">
        <w:rPr>
          <w:rFonts w:asciiTheme="majorHAnsi" w:hAnsiTheme="majorHAnsi"/>
          <w:color w:val="FF0000"/>
          <w:sz w:val="20"/>
          <w:szCs w:val="20"/>
        </w:rPr>
        <w:t> </w:t>
      </w:r>
    </w:p>
    <w:p w14:paraId="22582259" w14:textId="77777777" w:rsidR="00BD067D" w:rsidRPr="00B37D60" w:rsidRDefault="00BD067D" w:rsidP="00011B83">
      <w:pPr>
        <w:pStyle w:val="NormalWeb"/>
        <w:spacing w:before="0" w:beforeAutospacing="0" w:after="60" w:afterAutospacing="0"/>
        <w:rPr>
          <w:rFonts w:asciiTheme="majorHAnsi" w:hAnsiTheme="majorHAnsi"/>
          <w:color w:val="FF0000"/>
          <w:sz w:val="20"/>
          <w:szCs w:val="20"/>
        </w:rPr>
      </w:pPr>
    </w:p>
    <w:p w14:paraId="0A7D751D" w14:textId="4AE6B045" w:rsidR="00C5011A" w:rsidRPr="00B37D60" w:rsidRDefault="00C5011A" w:rsidP="00A73629">
      <w:pPr>
        <w:pStyle w:val="NormalWeb"/>
        <w:numPr>
          <w:ilvl w:val="0"/>
          <w:numId w:val="18"/>
        </w:numPr>
        <w:spacing w:before="0" w:beforeAutospacing="0" w:after="0" w:afterAutospacing="0"/>
        <w:ind w:left="851" w:hanging="425"/>
        <w:jc w:val="both"/>
        <w:textAlignment w:val="baseline"/>
        <w:rPr>
          <w:rFonts w:asciiTheme="majorHAnsi" w:hAnsiTheme="majorHAnsi"/>
          <w:b/>
          <w:bCs/>
          <w:color w:val="000000"/>
          <w:sz w:val="20"/>
          <w:szCs w:val="20"/>
          <w:lang w:val="es-ES"/>
        </w:rPr>
      </w:pPr>
      <w:r w:rsidRPr="00B37D60">
        <w:rPr>
          <w:rFonts w:asciiTheme="majorHAnsi" w:hAnsiTheme="majorHAnsi"/>
          <w:color w:val="000000"/>
          <w:sz w:val="20"/>
          <w:szCs w:val="20"/>
        </w:rPr>
        <w:lastRenderedPageBreak/>
        <w:t>To review and adopt February 202</w:t>
      </w:r>
      <w:r w:rsidR="00C125A0" w:rsidRPr="00B37D60">
        <w:rPr>
          <w:rFonts w:asciiTheme="majorHAnsi" w:hAnsiTheme="majorHAnsi"/>
          <w:color w:val="000000"/>
          <w:sz w:val="20"/>
          <w:szCs w:val="20"/>
        </w:rPr>
        <w:t>5</w:t>
      </w:r>
      <w:r w:rsidRPr="00B37D60">
        <w:rPr>
          <w:rFonts w:asciiTheme="majorHAnsi" w:hAnsiTheme="majorHAnsi"/>
          <w:color w:val="000000"/>
          <w:sz w:val="20"/>
          <w:szCs w:val="20"/>
        </w:rPr>
        <w:t xml:space="preserve"> meeting report, including modifications to the workplan.</w:t>
      </w:r>
      <w:r w:rsidR="006B20E2" w:rsidRPr="00B37D60">
        <w:rPr>
          <w:rFonts w:asciiTheme="majorHAnsi" w:hAnsiTheme="majorHAnsi"/>
          <w:color w:val="000000"/>
          <w:sz w:val="20"/>
          <w:szCs w:val="20"/>
        </w:rPr>
        <w:t xml:space="preserve"> </w:t>
      </w:r>
      <w:r w:rsidR="006B20E2" w:rsidRPr="00B37D60">
        <w:rPr>
          <w:rFonts w:asciiTheme="majorHAnsi" w:hAnsiTheme="majorHAnsi"/>
          <w:b/>
          <w:bCs/>
          <w:color w:val="000000"/>
          <w:sz w:val="20"/>
          <w:szCs w:val="20"/>
          <w:lang w:val="en-US"/>
        </w:rPr>
        <w:t>The WG-ORT adopted its report.</w:t>
      </w:r>
      <w:r w:rsidRPr="00B37D60">
        <w:rPr>
          <w:rFonts w:asciiTheme="majorHAnsi" w:hAnsiTheme="majorHAnsi"/>
          <w:b/>
          <w:bCs/>
          <w:color w:val="000000"/>
          <w:sz w:val="20"/>
          <w:szCs w:val="20"/>
          <w:lang w:val="es-ES"/>
        </w:rPr>
        <w:t> </w:t>
      </w:r>
    </w:p>
    <w:p w14:paraId="43934CC4" w14:textId="77777777" w:rsidR="00800967" w:rsidRPr="00B37D60" w:rsidRDefault="00800967" w:rsidP="00A73629">
      <w:pPr>
        <w:pStyle w:val="NormalWeb"/>
        <w:spacing w:before="0" w:beforeAutospacing="0" w:after="0" w:afterAutospacing="0"/>
        <w:ind w:left="851"/>
        <w:jc w:val="both"/>
        <w:textAlignment w:val="baseline"/>
        <w:rPr>
          <w:rFonts w:asciiTheme="majorHAnsi" w:hAnsiTheme="majorHAnsi"/>
          <w:b/>
          <w:bCs/>
          <w:color w:val="000000"/>
          <w:sz w:val="20"/>
          <w:szCs w:val="20"/>
          <w:lang w:val="es-ES"/>
        </w:rPr>
      </w:pPr>
    </w:p>
    <w:p w14:paraId="30DBA7BB" w14:textId="67784BC9" w:rsidR="007221B9" w:rsidRPr="00B37D60" w:rsidRDefault="007221B9" w:rsidP="00A73629">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eastAsia="en-GB"/>
        </w:rPr>
      </w:pPr>
      <w:r w:rsidRPr="00B37D60">
        <w:rPr>
          <w:rFonts w:asciiTheme="majorHAnsi" w:eastAsiaTheme="minorHAnsi" w:hAnsiTheme="majorHAnsi" w:cs="Aptos"/>
          <w:color w:val="000000"/>
          <w:sz w:val="20"/>
          <w:szCs w:val="20"/>
          <w:lang w:val="en-GB" w:eastAsia="en-GB"/>
        </w:rPr>
        <w:t xml:space="preserve">Concerning the Annual Report: the ICCAT Secretariat will work throughout the 2025 intersessional period, in consultation with the IOMS development team and the Chairs of STACFAD, the Compliance Committee, and the WG-ORT, to determine the costs associated with the proposed translation. Complete details are provided in </w:t>
      </w:r>
      <w:r w:rsidR="00AE13BB" w:rsidRPr="00B37D60">
        <w:rPr>
          <w:rFonts w:asciiTheme="majorHAnsi" w:eastAsiaTheme="minorHAnsi" w:hAnsiTheme="majorHAnsi" w:cs="Aptos"/>
          <w:color w:val="000000"/>
          <w:sz w:val="20"/>
          <w:szCs w:val="20"/>
          <w:lang w:val="en-GB" w:eastAsia="en-GB"/>
        </w:rPr>
        <w:t>“</w:t>
      </w:r>
      <w:r w:rsidRPr="00B37D60">
        <w:rPr>
          <w:rFonts w:asciiTheme="majorHAnsi" w:eastAsiaTheme="minorHAnsi" w:hAnsiTheme="majorHAnsi" w:cs="Aptos"/>
          <w:color w:val="000000"/>
          <w:sz w:val="20"/>
          <w:szCs w:val="20"/>
          <w:lang w:val="en-GB" w:eastAsia="en-GB"/>
        </w:rPr>
        <w:t>Information paper: Translation of Integrated Online Management System (IOMS) data and documents</w:t>
      </w:r>
      <w:r w:rsidR="00AE13BB" w:rsidRPr="00B37D60">
        <w:rPr>
          <w:rFonts w:asciiTheme="majorHAnsi" w:eastAsiaTheme="minorHAnsi" w:hAnsiTheme="majorHAnsi" w:cs="Aptos"/>
          <w:color w:val="000000"/>
          <w:sz w:val="20"/>
          <w:szCs w:val="20"/>
          <w:lang w:val="en-GB" w:eastAsia="en-GB"/>
        </w:rPr>
        <w:t>”</w:t>
      </w:r>
      <w:r w:rsidRPr="00B37D60">
        <w:rPr>
          <w:rFonts w:asciiTheme="majorHAnsi" w:eastAsiaTheme="minorHAnsi" w:hAnsiTheme="majorHAnsi" w:cs="Aptos"/>
          <w:color w:val="000000"/>
          <w:sz w:val="20"/>
          <w:szCs w:val="20"/>
          <w:lang w:val="en-GB" w:eastAsia="en-GB"/>
        </w:rPr>
        <w:t xml:space="preserve"> </w:t>
      </w:r>
      <w:r w:rsidR="00AE13BB" w:rsidRPr="00B37D60">
        <w:rPr>
          <w:rFonts w:asciiTheme="majorHAnsi" w:eastAsiaTheme="minorHAnsi" w:hAnsiTheme="majorHAnsi" w:cs="Aptos"/>
          <w:color w:val="000000"/>
          <w:sz w:val="20"/>
          <w:szCs w:val="20"/>
          <w:lang w:val="en-GB" w:eastAsia="en-GB"/>
        </w:rPr>
        <w:t>[</w:t>
      </w:r>
      <w:r w:rsidRPr="00B37D60">
        <w:rPr>
          <w:rFonts w:asciiTheme="majorHAnsi" w:eastAsiaTheme="minorHAnsi" w:hAnsiTheme="majorHAnsi" w:cs="Aptos"/>
          <w:color w:val="000000"/>
          <w:sz w:val="20"/>
          <w:szCs w:val="20"/>
          <w:lang w:val="en-GB" w:eastAsia="en-GB"/>
        </w:rPr>
        <w:t>COC_317/202</w:t>
      </w:r>
      <w:r w:rsidR="00C0211A" w:rsidRPr="00B37D60">
        <w:rPr>
          <w:rFonts w:asciiTheme="majorHAnsi" w:eastAsiaTheme="minorHAnsi" w:hAnsiTheme="majorHAnsi" w:cs="Aptos"/>
          <w:color w:val="000000"/>
          <w:sz w:val="20"/>
          <w:szCs w:val="20"/>
          <w:lang w:val="en-GB" w:eastAsia="en-GB"/>
        </w:rPr>
        <w:t>4</w:t>
      </w:r>
      <w:r w:rsidR="00AE13BB" w:rsidRPr="00B37D60">
        <w:rPr>
          <w:rFonts w:asciiTheme="majorHAnsi" w:eastAsiaTheme="minorHAnsi" w:hAnsiTheme="majorHAnsi" w:cs="Aptos"/>
          <w:color w:val="000000"/>
          <w:sz w:val="20"/>
          <w:szCs w:val="20"/>
          <w:lang w:val="en-GB" w:eastAsia="en-GB"/>
        </w:rPr>
        <w:t>]</w:t>
      </w:r>
      <w:r w:rsidRPr="00B37D60">
        <w:rPr>
          <w:rFonts w:asciiTheme="majorHAnsi" w:eastAsiaTheme="minorHAnsi" w:hAnsiTheme="majorHAnsi" w:cs="Aptos"/>
          <w:color w:val="000000"/>
          <w:sz w:val="20"/>
          <w:szCs w:val="20"/>
          <w:lang w:val="en-GB" w:eastAsia="en-GB"/>
        </w:rPr>
        <w:t>. A report will be presented to STACFAD at the 29th Regular Meeting of the Commission for consideration in the 2026-27 biennial budget. The WG-ORT Chair will also present an update to the Compliance Committee at that same meeting.</w:t>
      </w:r>
      <w:r w:rsidR="00C125A0" w:rsidRPr="00B37D60">
        <w:rPr>
          <w:rFonts w:asciiTheme="majorHAnsi" w:eastAsiaTheme="minorHAnsi" w:hAnsiTheme="majorHAnsi" w:cs="Aptos"/>
          <w:color w:val="000000"/>
          <w:sz w:val="20"/>
          <w:szCs w:val="20"/>
          <w:lang w:val="en-GB" w:eastAsia="en-GB"/>
        </w:rPr>
        <w:t xml:space="preserve"> </w:t>
      </w:r>
      <w:r w:rsidR="00C125A0" w:rsidRPr="00B37D60">
        <w:rPr>
          <w:rFonts w:asciiTheme="majorHAnsi" w:eastAsiaTheme="minorHAnsi" w:hAnsiTheme="majorHAnsi" w:cs="Aptos"/>
          <w:b/>
          <w:bCs/>
          <w:color w:val="000000"/>
          <w:sz w:val="20"/>
          <w:szCs w:val="20"/>
          <w:lang w:eastAsia="en-GB"/>
        </w:rPr>
        <w:t>This task was carried out during the intersessional period and is presented to the Committee through document COC</w:t>
      </w:r>
      <w:r w:rsidR="00846F2C" w:rsidRPr="00B37D60">
        <w:rPr>
          <w:rFonts w:asciiTheme="majorHAnsi" w:eastAsiaTheme="minorHAnsi" w:hAnsiTheme="majorHAnsi" w:cs="Aptos"/>
          <w:b/>
          <w:bCs/>
          <w:color w:val="000000"/>
          <w:sz w:val="20"/>
          <w:szCs w:val="20"/>
          <w:lang w:eastAsia="en-GB"/>
        </w:rPr>
        <w:t>_</w:t>
      </w:r>
      <w:r w:rsidR="00C125A0" w:rsidRPr="00B37D60">
        <w:rPr>
          <w:rFonts w:asciiTheme="majorHAnsi" w:eastAsiaTheme="minorHAnsi" w:hAnsiTheme="majorHAnsi" w:cs="Aptos"/>
          <w:b/>
          <w:bCs/>
          <w:color w:val="000000"/>
          <w:sz w:val="20"/>
          <w:szCs w:val="20"/>
          <w:lang w:eastAsia="en-GB"/>
        </w:rPr>
        <w:t>319/2025.</w:t>
      </w:r>
    </w:p>
    <w:p w14:paraId="163E50D5" w14:textId="77777777" w:rsidR="00FB06B9" w:rsidRPr="00B37D60" w:rsidRDefault="00FB06B9" w:rsidP="00FB06B9">
      <w:pPr>
        <w:pStyle w:val="ListParagraph"/>
        <w:widowControl/>
        <w:spacing w:line="240" w:lineRule="auto"/>
        <w:ind w:left="851" w:firstLine="0"/>
        <w:jc w:val="both"/>
        <w:rPr>
          <w:rFonts w:asciiTheme="majorHAnsi" w:eastAsiaTheme="minorHAnsi" w:hAnsiTheme="majorHAnsi" w:cs="Aptos"/>
          <w:b/>
          <w:bCs/>
          <w:color w:val="000000"/>
          <w:sz w:val="20"/>
          <w:szCs w:val="20"/>
          <w:lang w:eastAsia="en-GB"/>
        </w:rPr>
      </w:pPr>
    </w:p>
    <w:p w14:paraId="655236EB" w14:textId="7CA7751C" w:rsidR="007221B9" w:rsidRPr="00B37D60" w:rsidRDefault="007221B9" w:rsidP="00FB06B9">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eastAsia="en-GB"/>
        </w:rPr>
      </w:pPr>
      <w:r w:rsidRPr="00B37D60">
        <w:rPr>
          <w:rFonts w:asciiTheme="majorHAnsi" w:eastAsiaTheme="minorHAnsi" w:hAnsiTheme="majorHAnsi" w:cs="Aptos"/>
          <w:color w:val="000000"/>
          <w:sz w:val="20"/>
          <w:szCs w:val="20"/>
          <w:lang w:val="en-GB" w:eastAsia="en-GB"/>
        </w:rPr>
        <w:t>Accessibility and search functionalities within IOMS: the IOMS development team will investigate the steps required to enable CPCs to view, sort, filter, and search completed reporting documents (Annual Report Section 3) of other CPCs within the IOMS environment.</w:t>
      </w:r>
      <w:r w:rsidR="006B20E2" w:rsidRPr="00B37D60">
        <w:rPr>
          <w:rFonts w:asciiTheme="majorHAnsi" w:eastAsiaTheme="minorHAnsi" w:hAnsiTheme="majorHAnsi" w:cs="Aptos"/>
          <w:color w:val="000000"/>
          <w:sz w:val="20"/>
          <w:szCs w:val="20"/>
          <w:lang w:val="en-GB" w:eastAsia="en-GB"/>
        </w:rPr>
        <w:t xml:space="preserve"> </w:t>
      </w:r>
      <w:r w:rsidR="006B20E2" w:rsidRPr="00B37D60">
        <w:rPr>
          <w:rFonts w:asciiTheme="majorHAnsi" w:eastAsiaTheme="minorHAnsi" w:hAnsiTheme="majorHAnsi" w:cs="Aptos"/>
          <w:b/>
          <w:bCs/>
          <w:color w:val="000000"/>
          <w:sz w:val="20"/>
          <w:szCs w:val="20"/>
          <w:lang w:eastAsia="en-GB"/>
        </w:rPr>
        <w:t xml:space="preserve">The IOMS development team continues </w:t>
      </w:r>
      <w:r w:rsidR="00DB0B90" w:rsidRPr="00B37D60">
        <w:rPr>
          <w:rFonts w:asciiTheme="majorHAnsi" w:eastAsiaTheme="minorHAnsi" w:hAnsiTheme="majorHAnsi" w:cs="Aptos"/>
          <w:b/>
          <w:bCs/>
          <w:color w:val="000000"/>
          <w:sz w:val="20"/>
          <w:szCs w:val="20"/>
          <w:lang w:eastAsia="en-GB"/>
        </w:rPr>
        <w:t>to work on</w:t>
      </w:r>
      <w:r w:rsidR="006B20E2" w:rsidRPr="00B37D60">
        <w:rPr>
          <w:rFonts w:asciiTheme="majorHAnsi" w:eastAsiaTheme="minorHAnsi" w:hAnsiTheme="majorHAnsi" w:cs="Aptos"/>
          <w:b/>
          <w:bCs/>
          <w:color w:val="000000"/>
          <w:sz w:val="20"/>
          <w:szCs w:val="20"/>
          <w:lang w:eastAsia="en-GB"/>
        </w:rPr>
        <w:t xml:space="preserve"> this task.</w:t>
      </w:r>
    </w:p>
    <w:p w14:paraId="2D10E0E9" w14:textId="77777777" w:rsidR="00846F2C" w:rsidRPr="00B37D60" w:rsidRDefault="00846F2C" w:rsidP="00846F2C">
      <w:pPr>
        <w:pStyle w:val="ListParagraph"/>
        <w:rPr>
          <w:rFonts w:asciiTheme="majorHAnsi" w:eastAsiaTheme="minorHAnsi" w:hAnsiTheme="majorHAnsi" w:cs="Aptos"/>
          <w:color w:val="000000"/>
          <w:sz w:val="20"/>
          <w:szCs w:val="20"/>
          <w:lang w:eastAsia="en-GB"/>
        </w:rPr>
      </w:pPr>
    </w:p>
    <w:p w14:paraId="6AC2654A" w14:textId="06555BF1" w:rsidR="007221B9" w:rsidRPr="00B37D60" w:rsidRDefault="007221B9" w:rsidP="005C0B9A">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val="en-GB" w:eastAsia="en-GB"/>
        </w:rPr>
      </w:pPr>
      <w:r w:rsidRPr="00B37D60">
        <w:rPr>
          <w:rFonts w:asciiTheme="majorHAnsi" w:eastAsiaTheme="minorHAnsi" w:hAnsiTheme="majorHAnsi" w:cs="Aptos"/>
          <w:color w:val="000000"/>
          <w:sz w:val="20"/>
          <w:szCs w:val="20"/>
          <w:lang w:val="en-GB" w:eastAsia="en-GB"/>
        </w:rPr>
        <w:t>Data submission formats: the IOMS development team will assess the feasibility of using open, non-proprietary formats for the submission of ICCAT standardized forms managed through the Form Manager.</w:t>
      </w:r>
      <w:r w:rsidR="006B20E2" w:rsidRPr="00B37D60">
        <w:rPr>
          <w:rFonts w:asciiTheme="majorHAnsi" w:eastAsiaTheme="minorHAnsi" w:hAnsiTheme="majorHAnsi" w:cs="Aptos"/>
          <w:color w:val="000000"/>
          <w:sz w:val="20"/>
          <w:szCs w:val="20"/>
          <w:lang w:val="en-GB" w:eastAsia="en-GB"/>
        </w:rPr>
        <w:t xml:space="preserve"> </w:t>
      </w:r>
      <w:r w:rsidR="00DB0B90" w:rsidRPr="00B37D60">
        <w:rPr>
          <w:rFonts w:asciiTheme="majorHAnsi" w:eastAsiaTheme="minorHAnsi" w:hAnsiTheme="majorHAnsi" w:cs="Aptos"/>
          <w:b/>
          <w:bCs/>
          <w:color w:val="000000"/>
          <w:sz w:val="20"/>
          <w:szCs w:val="20"/>
          <w:lang w:eastAsia="en-GB"/>
        </w:rPr>
        <w:t>The IOMS development team has been working on this task, which is nearing completion.</w:t>
      </w:r>
    </w:p>
    <w:p w14:paraId="29B6B9A7" w14:textId="77777777" w:rsidR="00F070C9" w:rsidRPr="00B37D60" w:rsidRDefault="00F070C9" w:rsidP="005C0B9A">
      <w:pPr>
        <w:pStyle w:val="ListParagraph"/>
        <w:spacing w:line="240" w:lineRule="auto"/>
        <w:rPr>
          <w:rFonts w:asciiTheme="majorHAnsi" w:eastAsiaTheme="minorHAnsi" w:hAnsiTheme="majorHAnsi" w:cs="Aptos"/>
          <w:color w:val="000000"/>
          <w:sz w:val="20"/>
          <w:szCs w:val="20"/>
          <w:lang w:val="en-GB" w:eastAsia="en-GB"/>
        </w:rPr>
      </w:pPr>
    </w:p>
    <w:p w14:paraId="05127819" w14:textId="029B7A15" w:rsidR="007221B9" w:rsidRPr="00B37D60" w:rsidRDefault="00F070C9" w:rsidP="005C0B9A">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val="en-GB" w:eastAsia="en-GB"/>
        </w:rPr>
      </w:pPr>
      <w:r w:rsidRPr="00B37D60">
        <w:rPr>
          <w:rFonts w:asciiTheme="majorHAnsi" w:eastAsiaTheme="minorHAnsi" w:hAnsiTheme="majorHAnsi" w:cs="Aptos"/>
          <w:color w:val="000000"/>
          <w:sz w:val="20"/>
          <w:szCs w:val="20"/>
          <w:lang w:val="en-GB" w:eastAsia="en-GB"/>
        </w:rPr>
        <w:t>P</w:t>
      </w:r>
      <w:r w:rsidR="007221B9" w:rsidRPr="00B37D60">
        <w:rPr>
          <w:rFonts w:asciiTheme="majorHAnsi" w:eastAsiaTheme="minorHAnsi" w:hAnsiTheme="majorHAnsi" w:cs="Aptos"/>
          <w:color w:val="000000"/>
          <w:sz w:val="20"/>
          <w:szCs w:val="20"/>
          <w:lang w:val="en-GB" w:eastAsia="en-GB"/>
        </w:rPr>
        <w:t>ublic access to selected IOMS data: the Secretariat will prepare a proposal for the next WG-ORT meeting on how to make appropriate IOMS data publicly available, in line with ICCAT’s data confidentiality policy.</w:t>
      </w:r>
      <w:r w:rsidR="006B20E2" w:rsidRPr="00B37D60">
        <w:rPr>
          <w:rFonts w:asciiTheme="majorHAnsi" w:eastAsiaTheme="minorHAnsi" w:hAnsiTheme="majorHAnsi" w:cs="Aptos"/>
          <w:color w:val="000000"/>
          <w:sz w:val="20"/>
          <w:szCs w:val="20"/>
          <w:lang w:val="en-GB" w:eastAsia="en-GB"/>
        </w:rPr>
        <w:t xml:space="preserve"> </w:t>
      </w:r>
      <w:r w:rsidR="006B20E2" w:rsidRPr="00B37D60">
        <w:rPr>
          <w:rFonts w:asciiTheme="majorHAnsi" w:eastAsiaTheme="minorHAnsi" w:hAnsiTheme="majorHAnsi" w:cs="Aptos"/>
          <w:b/>
          <w:bCs/>
          <w:color w:val="000000"/>
          <w:sz w:val="20"/>
          <w:szCs w:val="20"/>
          <w:lang w:val="en-GB" w:eastAsia="en-GB"/>
        </w:rPr>
        <w:t>The Secretariat is still working on this task.</w:t>
      </w:r>
    </w:p>
    <w:p w14:paraId="2A22819E" w14:textId="77777777" w:rsidR="005C0B9A" w:rsidRPr="00B37D60" w:rsidRDefault="005C0B9A" w:rsidP="005C0B9A">
      <w:pPr>
        <w:pStyle w:val="ListParagraph"/>
        <w:spacing w:line="240" w:lineRule="auto"/>
        <w:rPr>
          <w:rFonts w:asciiTheme="majorHAnsi" w:eastAsiaTheme="minorHAnsi" w:hAnsiTheme="majorHAnsi" w:cs="Aptos"/>
          <w:b/>
          <w:bCs/>
          <w:color w:val="000000"/>
          <w:sz w:val="20"/>
          <w:szCs w:val="20"/>
          <w:lang w:val="en-GB" w:eastAsia="en-GB"/>
        </w:rPr>
      </w:pPr>
    </w:p>
    <w:p w14:paraId="5884AC18" w14:textId="1D531012" w:rsidR="007221B9" w:rsidRPr="00B37D60" w:rsidRDefault="007221B9" w:rsidP="005C0B9A">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val="en-GB" w:eastAsia="en-GB"/>
        </w:rPr>
      </w:pPr>
      <w:r w:rsidRPr="00B37D60">
        <w:rPr>
          <w:rFonts w:asciiTheme="majorHAnsi" w:eastAsiaTheme="minorHAnsi" w:hAnsiTheme="majorHAnsi" w:cs="Aptos"/>
          <w:color w:val="000000"/>
          <w:sz w:val="20"/>
          <w:szCs w:val="20"/>
          <w:lang w:val="en-GB" w:eastAsia="en-GB"/>
        </w:rPr>
        <w:t xml:space="preserve">Simplification of </w:t>
      </w:r>
      <w:r w:rsidR="00AE13BB" w:rsidRPr="00B37D60">
        <w:rPr>
          <w:rFonts w:asciiTheme="majorHAnsi" w:eastAsiaTheme="minorHAnsi" w:hAnsiTheme="majorHAnsi" w:cs="Aptos"/>
          <w:color w:val="000000"/>
          <w:sz w:val="20"/>
          <w:szCs w:val="20"/>
          <w:lang w:val="en-GB" w:eastAsia="en-GB"/>
        </w:rPr>
        <w:t>Shark and Billfish Check Sheets</w:t>
      </w:r>
      <w:r w:rsidRPr="00B37D60">
        <w:rPr>
          <w:rFonts w:asciiTheme="majorHAnsi" w:eastAsiaTheme="minorHAnsi" w:hAnsiTheme="majorHAnsi" w:cs="Aptos"/>
          <w:color w:val="000000"/>
          <w:sz w:val="20"/>
          <w:szCs w:val="20"/>
          <w:lang w:val="en-GB" w:eastAsia="en-GB"/>
        </w:rPr>
        <w:t xml:space="preserve">: </w:t>
      </w:r>
      <w:proofErr w:type="gramStart"/>
      <w:r w:rsidRPr="00B37D60">
        <w:rPr>
          <w:rFonts w:asciiTheme="majorHAnsi" w:eastAsiaTheme="minorHAnsi" w:hAnsiTheme="majorHAnsi" w:cs="Aptos"/>
          <w:color w:val="000000"/>
          <w:sz w:val="20"/>
          <w:szCs w:val="20"/>
          <w:lang w:val="en-GB" w:eastAsia="en-GB"/>
        </w:rPr>
        <w:t>the</w:t>
      </w:r>
      <w:proofErr w:type="gramEnd"/>
      <w:r w:rsidRPr="00B37D60">
        <w:rPr>
          <w:rFonts w:asciiTheme="majorHAnsi" w:eastAsiaTheme="minorHAnsi" w:hAnsiTheme="majorHAnsi" w:cs="Aptos"/>
          <w:color w:val="000000"/>
          <w:sz w:val="20"/>
          <w:szCs w:val="20"/>
          <w:lang w:val="en-GB" w:eastAsia="en-GB"/>
        </w:rPr>
        <w:t xml:space="preserve"> Chair and the Secretariat will develop a proposal, in consultation with the Chairs of COC and Panel 4, to simplify the structure of these templates and reduce redundancy.</w:t>
      </w:r>
      <w:r w:rsidR="006B20E2" w:rsidRPr="00B37D60">
        <w:rPr>
          <w:rFonts w:asciiTheme="majorHAnsi" w:eastAsiaTheme="minorHAnsi" w:hAnsiTheme="majorHAnsi" w:cs="Aptos"/>
          <w:color w:val="000000"/>
          <w:sz w:val="20"/>
          <w:szCs w:val="20"/>
          <w:lang w:eastAsia="en-GB"/>
        </w:rPr>
        <w:t xml:space="preserve"> </w:t>
      </w:r>
      <w:r w:rsidR="006B20E2" w:rsidRPr="00B37D60">
        <w:rPr>
          <w:rFonts w:asciiTheme="majorHAnsi" w:eastAsiaTheme="minorHAnsi" w:hAnsiTheme="majorHAnsi" w:cs="Aptos"/>
          <w:b/>
          <w:bCs/>
          <w:color w:val="000000"/>
          <w:sz w:val="20"/>
          <w:szCs w:val="20"/>
          <w:lang w:eastAsia="en-GB"/>
        </w:rPr>
        <w:t>This task was carried out during the intersessional period and is presented to the Committee through document COC</w:t>
      </w:r>
      <w:r w:rsidR="0025570B" w:rsidRPr="00B37D60">
        <w:rPr>
          <w:rFonts w:asciiTheme="majorHAnsi" w:eastAsiaTheme="minorHAnsi" w:hAnsiTheme="majorHAnsi" w:cs="Aptos"/>
          <w:b/>
          <w:bCs/>
          <w:color w:val="000000"/>
          <w:sz w:val="20"/>
          <w:szCs w:val="20"/>
          <w:lang w:eastAsia="en-GB"/>
        </w:rPr>
        <w:t>_</w:t>
      </w:r>
      <w:r w:rsidR="006B20E2" w:rsidRPr="00B37D60">
        <w:rPr>
          <w:rFonts w:asciiTheme="majorHAnsi" w:eastAsiaTheme="minorHAnsi" w:hAnsiTheme="majorHAnsi" w:cs="Aptos"/>
          <w:b/>
          <w:bCs/>
          <w:color w:val="000000"/>
          <w:sz w:val="20"/>
          <w:szCs w:val="20"/>
          <w:lang w:eastAsia="en-GB"/>
        </w:rPr>
        <w:t>320/2025</w:t>
      </w:r>
      <w:r w:rsidR="00AE13BB" w:rsidRPr="00B37D60">
        <w:rPr>
          <w:rFonts w:asciiTheme="majorHAnsi" w:eastAsiaTheme="minorHAnsi" w:hAnsiTheme="majorHAnsi" w:cs="Aptos"/>
          <w:b/>
          <w:bCs/>
          <w:color w:val="000000"/>
          <w:sz w:val="20"/>
          <w:szCs w:val="20"/>
          <w:lang w:eastAsia="en-GB"/>
        </w:rPr>
        <w:t>.</w:t>
      </w:r>
    </w:p>
    <w:p w14:paraId="34898FC2" w14:textId="77777777" w:rsidR="005C0B9A" w:rsidRPr="00B37D60" w:rsidRDefault="005C0B9A" w:rsidP="005C0B9A">
      <w:pPr>
        <w:pStyle w:val="ListParagraph"/>
        <w:spacing w:line="240" w:lineRule="auto"/>
        <w:rPr>
          <w:rFonts w:asciiTheme="majorHAnsi" w:eastAsiaTheme="minorHAnsi" w:hAnsiTheme="majorHAnsi" w:cs="Aptos"/>
          <w:color w:val="000000"/>
          <w:sz w:val="20"/>
          <w:szCs w:val="20"/>
          <w:lang w:val="en-GB" w:eastAsia="en-GB"/>
        </w:rPr>
      </w:pPr>
    </w:p>
    <w:p w14:paraId="78BC7C5E" w14:textId="5C46825C" w:rsidR="007221B9" w:rsidRPr="00B37D60" w:rsidRDefault="007221B9" w:rsidP="005C0B9A">
      <w:pPr>
        <w:pStyle w:val="ListParagraph"/>
        <w:widowControl/>
        <w:numPr>
          <w:ilvl w:val="0"/>
          <w:numId w:val="18"/>
        </w:numPr>
        <w:spacing w:line="240" w:lineRule="auto"/>
        <w:ind w:left="851" w:hanging="425"/>
        <w:jc w:val="both"/>
        <w:rPr>
          <w:rFonts w:asciiTheme="majorHAnsi" w:eastAsiaTheme="minorHAnsi" w:hAnsiTheme="majorHAnsi" w:cs="Aptos"/>
          <w:b/>
          <w:bCs/>
          <w:color w:val="000000"/>
          <w:sz w:val="20"/>
          <w:szCs w:val="20"/>
          <w:lang w:val="en-GB" w:eastAsia="en-GB"/>
        </w:rPr>
      </w:pPr>
      <w:r w:rsidRPr="00B37D60">
        <w:rPr>
          <w:rFonts w:asciiTheme="majorHAnsi" w:eastAsiaTheme="minorHAnsi" w:hAnsiTheme="majorHAnsi" w:cs="Aptos"/>
          <w:color w:val="000000"/>
          <w:sz w:val="20"/>
          <w:szCs w:val="20"/>
          <w:lang w:val="en-GB" w:eastAsia="en-GB"/>
        </w:rPr>
        <w:t>Redundancy elimination: the WG-ORT ad hoc</w:t>
      </w:r>
      <w:r w:rsidR="004F5A04" w:rsidRPr="00B37D60">
        <w:rPr>
          <w:rFonts w:asciiTheme="majorHAnsi" w:eastAsiaTheme="minorHAnsi" w:hAnsiTheme="majorHAnsi" w:cs="Aptos"/>
          <w:color w:val="000000"/>
          <w:sz w:val="20"/>
          <w:szCs w:val="20"/>
          <w:lang w:val="en-GB" w:eastAsia="en-GB"/>
        </w:rPr>
        <w:t xml:space="preserve"> working</w:t>
      </w:r>
      <w:r w:rsidRPr="00B37D60">
        <w:rPr>
          <w:rFonts w:asciiTheme="majorHAnsi" w:eastAsiaTheme="minorHAnsi" w:hAnsiTheme="majorHAnsi" w:cs="Aptos"/>
          <w:color w:val="000000"/>
          <w:sz w:val="20"/>
          <w:szCs w:val="20"/>
          <w:lang w:val="en-GB" w:eastAsia="en-GB"/>
        </w:rPr>
        <w:t xml:space="preserve"> group</w:t>
      </w:r>
      <w:r w:rsidR="004F5A04" w:rsidRPr="00B37D60">
        <w:rPr>
          <w:rFonts w:asciiTheme="majorHAnsi" w:eastAsiaTheme="minorHAnsi" w:hAnsiTheme="majorHAnsi" w:cs="Aptos"/>
          <w:color w:val="000000"/>
          <w:sz w:val="20"/>
          <w:szCs w:val="20"/>
          <w:lang w:val="en-GB" w:eastAsia="en-GB"/>
        </w:rPr>
        <w:t xml:space="preserve"> to</w:t>
      </w:r>
      <w:r w:rsidRPr="00B37D60">
        <w:rPr>
          <w:rFonts w:asciiTheme="majorHAnsi" w:eastAsiaTheme="minorHAnsi" w:hAnsiTheme="majorHAnsi" w:cs="Aptos"/>
          <w:color w:val="000000"/>
          <w:sz w:val="20"/>
          <w:szCs w:val="20"/>
          <w:lang w:val="en-GB" w:eastAsia="en-GB"/>
        </w:rPr>
        <w:t xml:space="preserve"> address redundancy in reporting requirements will assist in developing guidelines for a consultant to support this process.</w:t>
      </w:r>
      <w:r w:rsidR="00DB0B90" w:rsidRPr="00B37D60">
        <w:rPr>
          <w:rFonts w:asciiTheme="majorHAnsi" w:eastAsiaTheme="minorHAnsi" w:hAnsiTheme="majorHAnsi" w:cs="Aptos"/>
          <w:color w:val="000000"/>
          <w:sz w:val="20"/>
          <w:szCs w:val="20"/>
          <w:lang w:val="en-GB" w:eastAsia="en-GB"/>
        </w:rPr>
        <w:t xml:space="preserve"> </w:t>
      </w:r>
      <w:r w:rsidR="00DB0B90" w:rsidRPr="00B37D60">
        <w:rPr>
          <w:rFonts w:asciiTheme="majorHAnsi" w:eastAsiaTheme="minorHAnsi" w:hAnsiTheme="majorHAnsi" w:cs="Aptos"/>
          <w:b/>
          <w:bCs/>
          <w:color w:val="000000"/>
          <w:sz w:val="20"/>
          <w:szCs w:val="20"/>
          <w:lang w:val="en-GB" w:eastAsia="en-GB"/>
        </w:rPr>
        <w:t>This task is still ongoing.</w:t>
      </w:r>
    </w:p>
    <w:p w14:paraId="36DA4F52" w14:textId="77777777" w:rsidR="007F7E17" w:rsidRPr="00B37D60" w:rsidRDefault="007F7E17" w:rsidP="0054384D">
      <w:pPr>
        <w:pBdr>
          <w:top w:val="nil"/>
          <w:left w:val="nil"/>
          <w:bottom w:val="nil"/>
          <w:right w:val="nil"/>
          <w:between w:val="nil"/>
        </w:pBdr>
        <w:tabs>
          <w:tab w:val="left" w:pos="9214"/>
        </w:tabs>
        <w:rPr>
          <w:b/>
          <w:color w:val="000000"/>
          <w:sz w:val="20"/>
          <w:szCs w:val="20"/>
          <w:u w:val="single"/>
          <w:lang w:val="en-GB"/>
        </w:rPr>
      </w:pPr>
    </w:p>
    <w:p w14:paraId="263C3AAE" w14:textId="77777777" w:rsidR="0054384D" w:rsidRPr="00B37D60" w:rsidRDefault="0054384D" w:rsidP="0054384D">
      <w:pPr>
        <w:pBdr>
          <w:top w:val="nil"/>
          <w:left w:val="nil"/>
          <w:bottom w:val="nil"/>
          <w:right w:val="nil"/>
          <w:between w:val="nil"/>
        </w:pBdr>
        <w:tabs>
          <w:tab w:val="left" w:pos="9214"/>
        </w:tabs>
        <w:rPr>
          <w:b/>
          <w:color w:val="000000"/>
          <w:sz w:val="20"/>
          <w:szCs w:val="20"/>
          <w:u w:val="single"/>
          <w:lang w:val="en-GB"/>
        </w:rPr>
      </w:pPr>
    </w:p>
    <w:p w14:paraId="7592D57F" w14:textId="77777777" w:rsidR="008A419C" w:rsidRPr="00B37D60" w:rsidRDefault="008A419C" w:rsidP="0054384D">
      <w:pPr>
        <w:pBdr>
          <w:top w:val="nil"/>
          <w:left w:val="nil"/>
          <w:bottom w:val="nil"/>
          <w:right w:val="nil"/>
          <w:between w:val="nil"/>
        </w:pBdr>
        <w:tabs>
          <w:tab w:val="left" w:pos="9214"/>
        </w:tabs>
        <w:rPr>
          <w:b/>
          <w:color w:val="000000"/>
          <w:sz w:val="20"/>
          <w:szCs w:val="20"/>
          <w:lang w:val="en-GB"/>
        </w:rPr>
      </w:pPr>
      <w:r w:rsidRPr="00B37D60">
        <w:rPr>
          <w:b/>
          <w:color w:val="000000"/>
          <w:sz w:val="20"/>
          <w:szCs w:val="20"/>
          <w:lang w:val="en-GB"/>
        </w:rPr>
        <w:t>IOMS training sessions</w:t>
      </w:r>
    </w:p>
    <w:p w14:paraId="1D156FDC" w14:textId="77777777" w:rsidR="008A419C" w:rsidRPr="00B37D60" w:rsidRDefault="008A419C" w:rsidP="008A419C">
      <w:pPr>
        <w:pBdr>
          <w:top w:val="nil"/>
          <w:left w:val="nil"/>
          <w:bottom w:val="nil"/>
          <w:right w:val="nil"/>
          <w:between w:val="nil"/>
        </w:pBdr>
        <w:tabs>
          <w:tab w:val="left" w:pos="9214"/>
        </w:tabs>
        <w:rPr>
          <w:b/>
          <w:color w:val="000000"/>
          <w:sz w:val="20"/>
          <w:szCs w:val="20"/>
          <w:lang w:val="en-GB"/>
        </w:rPr>
      </w:pPr>
    </w:p>
    <w:p w14:paraId="78DC44B0" w14:textId="786F5A5F" w:rsidR="00F70C99" w:rsidRPr="00B37D60" w:rsidRDefault="00F70C99" w:rsidP="00B87678">
      <w:pPr>
        <w:pBdr>
          <w:top w:val="nil"/>
          <w:left w:val="nil"/>
          <w:bottom w:val="nil"/>
          <w:right w:val="nil"/>
          <w:between w:val="nil"/>
        </w:pBdr>
        <w:tabs>
          <w:tab w:val="left" w:pos="9214"/>
        </w:tabs>
        <w:jc w:val="both"/>
        <w:rPr>
          <w:color w:val="000000"/>
          <w:sz w:val="20"/>
          <w:szCs w:val="20"/>
        </w:rPr>
      </w:pPr>
      <w:r w:rsidRPr="00B37D60">
        <w:rPr>
          <w:color w:val="000000"/>
          <w:sz w:val="20"/>
          <w:szCs w:val="20"/>
        </w:rPr>
        <w:t>The WG-ORT agreed to hold two IOMS training sessions in 2025</w:t>
      </w:r>
      <w:r w:rsidR="00B44CC1" w:rsidRPr="00B37D60">
        <w:rPr>
          <w:color w:val="000000"/>
          <w:sz w:val="20"/>
          <w:szCs w:val="20"/>
        </w:rPr>
        <w:t xml:space="preserve">, with </w:t>
      </w:r>
      <w:r w:rsidRPr="00B37D60">
        <w:rPr>
          <w:color w:val="000000"/>
          <w:sz w:val="20"/>
          <w:szCs w:val="20"/>
        </w:rPr>
        <w:t>each session focus</w:t>
      </w:r>
      <w:r w:rsidR="00B44CC1" w:rsidRPr="00B37D60">
        <w:rPr>
          <w:color w:val="000000"/>
          <w:sz w:val="20"/>
          <w:szCs w:val="20"/>
        </w:rPr>
        <w:t xml:space="preserve">ing </w:t>
      </w:r>
      <w:r w:rsidRPr="00B37D60">
        <w:rPr>
          <w:color w:val="000000"/>
          <w:sz w:val="20"/>
          <w:szCs w:val="20"/>
        </w:rPr>
        <w:t>exclusively on one of the two modules to ensure that all IOMS users are fully prepared for their operational use.</w:t>
      </w:r>
      <w:r w:rsidR="00B44CC1" w:rsidRPr="00B37D60">
        <w:rPr>
          <w:color w:val="000000"/>
          <w:sz w:val="20"/>
          <w:szCs w:val="20"/>
        </w:rPr>
        <w:t xml:space="preserve"> </w:t>
      </w:r>
      <w:r w:rsidRPr="00B37D60">
        <w:rPr>
          <w:color w:val="000000"/>
          <w:sz w:val="20"/>
          <w:szCs w:val="20"/>
        </w:rPr>
        <w:t>The first session (Form Manager training session #2) was held on 6 May 2025, and the second session (Vessel Manager training session #3) on 30 June 2025. Both sessions used the IOMS sandbox environment, allowing participants to learn and practice the functionalities of each module in detail.</w:t>
      </w:r>
      <w:r w:rsidR="00B44CC1" w:rsidRPr="00B37D60">
        <w:rPr>
          <w:color w:val="000000"/>
          <w:sz w:val="20"/>
          <w:szCs w:val="20"/>
        </w:rPr>
        <w:t xml:space="preserve"> </w:t>
      </w:r>
      <w:r w:rsidRPr="00B37D60">
        <w:rPr>
          <w:color w:val="000000"/>
          <w:sz w:val="20"/>
          <w:szCs w:val="20"/>
        </w:rPr>
        <w:t xml:space="preserve">The recorded videos from </w:t>
      </w:r>
      <w:r w:rsidR="00B44CC1" w:rsidRPr="00B37D60">
        <w:rPr>
          <w:color w:val="000000"/>
          <w:sz w:val="20"/>
          <w:szCs w:val="20"/>
        </w:rPr>
        <w:t xml:space="preserve">these and the </w:t>
      </w:r>
      <w:r w:rsidRPr="00B37D60">
        <w:rPr>
          <w:color w:val="000000"/>
          <w:sz w:val="20"/>
          <w:szCs w:val="20"/>
        </w:rPr>
        <w:t>previous IOMS training sessions</w:t>
      </w:r>
      <w:r w:rsidR="00AE13BB" w:rsidRPr="00B37D60">
        <w:rPr>
          <w:color w:val="000000"/>
          <w:sz w:val="20"/>
          <w:szCs w:val="20"/>
        </w:rPr>
        <w:t xml:space="preserve"> </w:t>
      </w:r>
      <w:r w:rsidR="00B44CC1" w:rsidRPr="00B37D60">
        <w:rPr>
          <w:color w:val="000000"/>
          <w:sz w:val="20"/>
          <w:szCs w:val="20"/>
        </w:rPr>
        <w:t xml:space="preserve">are </w:t>
      </w:r>
      <w:r w:rsidRPr="00B37D60">
        <w:rPr>
          <w:color w:val="000000"/>
          <w:sz w:val="20"/>
          <w:szCs w:val="20"/>
        </w:rPr>
        <w:t>available in the NextCloud shared folder reserved for the WG-ORT, and all participants are encouraged to review them.</w:t>
      </w:r>
    </w:p>
    <w:p w14:paraId="041BDAE9" w14:textId="6FA3E1FA" w:rsidR="007F7E17" w:rsidRPr="00B37D60" w:rsidRDefault="007F7E17" w:rsidP="0018551C">
      <w:pPr>
        <w:pBdr>
          <w:top w:val="nil"/>
          <w:left w:val="nil"/>
          <w:bottom w:val="nil"/>
          <w:right w:val="nil"/>
          <w:between w:val="nil"/>
        </w:pBdr>
        <w:tabs>
          <w:tab w:val="left" w:pos="9214"/>
        </w:tabs>
        <w:rPr>
          <w:color w:val="000000"/>
          <w:sz w:val="20"/>
          <w:szCs w:val="20"/>
        </w:rPr>
      </w:pPr>
    </w:p>
    <w:p w14:paraId="3930CA84" w14:textId="77777777" w:rsidR="001F35DC" w:rsidRPr="00B37D60" w:rsidRDefault="001F35DC" w:rsidP="001F35DC">
      <w:pPr>
        <w:rPr>
          <w:color w:val="000000"/>
          <w:sz w:val="20"/>
          <w:szCs w:val="20"/>
          <w:lang w:val="en-GB"/>
        </w:rPr>
      </w:pPr>
    </w:p>
    <w:p w14:paraId="3A00268A" w14:textId="02023D41" w:rsidR="008A419C" w:rsidRPr="00B37D60" w:rsidRDefault="008A419C" w:rsidP="001F35DC">
      <w:pPr>
        <w:rPr>
          <w:b/>
          <w:color w:val="000000"/>
          <w:sz w:val="20"/>
          <w:szCs w:val="20"/>
          <w:lang w:val="en-GB"/>
        </w:rPr>
      </w:pPr>
      <w:r w:rsidRPr="00B37D60">
        <w:rPr>
          <w:b/>
          <w:color w:val="000000"/>
          <w:sz w:val="20"/>
          <w:szCs w:val="20"/>
          <w:lang w:val="en-GB"/>
        </w:rPr>
        <w:t>202</w:t>
      </w:r>
      <w:r w:rsidR="00F70C99" w:rsidRPr="00B37D60">
        <w:rPr>
          <w:b/>
          <w:color w:val="000000"/>
          <w:sz w:val="20"/>
          <w:szCs w:val="20"/>
          <w:lang w:val="en-GB"/>
        </w:rPr>
        <w:t>5</w:t>
      </w:r>
      <w:r w:rsidRPr="00B37D60">
        <w:rPr>
          <w:b/>
          <w:color w:val="000000"/>
          <w:sz w:val="20"/>
          <w:szCs w:val="20"/>
          <w:lang w:val="en-GB"/>
        </w:rPr>
        <w:t xml:space="preserve"> annual reporting</w:t>
      </w:r>
    </w:p>
    <w:p w14:paraId="47F550D6" w14:textId="77777777" w:rsidR="00860FCA" w:rsidRPr="00B37D60" w:rsidRDefault="00860FCA" w:rsidP="001F35DC">
      <w:pPr>
        <w:rPr>
          <w:b/>
          <w:color w:val="000000"/>
          <w:sz w:val="20"/>
          <w:szCs w:val="20"/>
          <w:lang w:val="en-GB"/>
        </w:rPr>
      </w:pPr>
    </w:p>
    <w:p w14:paraId="024540DD" w14:textId="6F98906A" w:rsidR="00760BAD" w:rsidRPr="00B37D60" w:rsidRDefault="00CB1A6F" w:rsidP="00CB1A6F">
      <w:pPr>
        <w:tabs>
          <w:tab w:val="left" w:pos="558"/>
          <w:tab w:val="left" w:pos="559"/>
          <w:tab w:val="left" w:pos="9214"/>
        </w:tabs>
        <w:jc w:val="both"/>
        <w:rPr>
          <w:sz w:val="20"/>
          <w:szCs w:val="20"/>
          <w:lang w:val="en-GB"/>
        </w:rPr>
      </w:pPr>
      <w:r w:rsidRPr="00B37D60">
        <w:rPr>
          <w:sz w:val="20"/>
          <w:szCs w:val="20"/>
          <w:lang w:val="en-GB"/>
        </w:rPr>
        <w:t xml:space="preserve">The ICCAT IOMS has been in production since 1 August 2021, with the </w:t>
      </w:r>
      <w:r w:rsidR="00AE13BB" w:rsidRPr="00B37D60">
        <w:rPr>
          <w:sz w:val="20"/>
          <w:szCs w:val="20"/>
          <w:lang w:val="en-GB"/>
        </w:rPr>
        <w:t xml:space="preserve">Annual Report </w:t>
      </w:r>
      <w:r w:rsidR="004552FC" w:rsidRPr="00B37D60">
        <w:rPr>
          <w:sz w:val="20"/>
          <w:szCs w:val="20"/>
          <w:lang w:val="en-GB"/>
        </w:rPr>
        <w:t>module</w:t>
      </w:r>
      <w:r w:rsidR="001F35DC" w:rsidRPr="00B37D60">
        <w:rPr>
          <w:sz w:val="20"/>
          <w:szCs w:val="20"/>
          <w:lang w:val="en-GB"/>
        </w:rPr>
        <w:t xml:space="preserve"> </w:t>
      </w:r>
      <w:r w:rsidRPr="00B37D60">
        <w:rPr>
          <w:sz w:val="20"/>
          <w:szCs w:val="20"/>
          <w:lang w:val="en-GB"/>
        </w:rPr>
        <w:t>(</w:t>
      </w:r>
      <w:r w:rsidR="00D03365" w:rsidRPr="00B37D60">
        <w:rPr>
          <w:sz w:val="20"/>
          <w:szCs w:val="20"/>
          <w:lang w:val="en-GB"/>
        </w:rPr>
        <w:t>Section</w:t>
      </w:r>
      <w:r w:rsidR="00AB1F79" w:rsidRPr="00B37D60">
        <w:rPr>
          <w:sz w:val="20"/>
          <w:szCs w:val="20"/>
          <w:lang w:val="en-GB"/>
        </w:rPr>
        <w:t> </w:t>
      </w:r>
      <w:r w:rsidR="00D03365" w:rsidRPr="00B37D60">
        <w:rPr>
          <w:sz w:val="20"/>
          <w:szCs w:val="20"/>
          <w:lang w:val="en-GB"/>
        </w:rPr>
        <w:t>3/</w:t>
      </w:r>
      <w:r w:rsidRPr="00B37D60">
        <w:rPr>
          <w:sz w:val="20"/>
          <w:szCs w:val="20"/>
          <w:lang w:val="en-GB"/>
        </w:rPr>
        <w:t>Part</w:t>
      </w:r>
      <w:r w:rsidR="00A73C29" w:rsidRPr="00B37D60">
        <w:rPr>
          <w:sz w:val="20"/>
          <w:szCs w:val="20"/>
          <w:lang w:val="en-GB"/>
        </w:rPr>
        <w:t> </w:t>
      </w:r>
      <w:r w:rsidR="00D03365" w:rsidRPr="00B37D60">
        <w:rPr>
          <w:sz w:val="20"/>
          <w:szCs w:val="20"/>
          <w:lang w:val="en-GB"/>
        </w:rPr>
        <w:t xml:space="preserve">1 </w:t>
      </w:r>
      <w:r w:rsidRPr="00B37D60">
        <w:rPr>
          <w:sz w:val="20"/>
          <w:szCs w:val="20"/>
          <w:lang w:val="en-GB"/>
        </w:rPr>
        <w:t xml:space="preserve">and </w:t>
      </w:r>
      <w:r w:rsidR="00A73C29" w:rsidRPr="00B37D60">
        <w:rPr>
          <w:sz w:val="20"/>
          <w:szCs w:val="20"/>
          <w:lang w:val="en-GB"/>
        </w:rPr>
        <w:t>Section 3/</w:t>
      </w:r>
      <w:r w:rsidRPr="00B37D60">
        <w:rPr>
          <w:sz w:val="20"/>
          <w:szCs w:val="20"/>
          <w:lang w:val="en-GB"/>
        </w:rPr>
        <w:t xml:space="preserve">Part </w:t>
      </w:r>
      <w:r w:rsidR="00A73C29" w:rsidRPr="00B37D60">
        <w:rPr>
          <w:sz w:val="20"/>
          <w:szCs w:val="20"/>
          <w:lang w:val="en-GB"/>
        </w:rPr>
        <w:t>2</w:t>
      </w:r>
      <w:r w:rsidRPr="00B37D60">
        <w:rPr>
          <w:sz w:val="20"/>
          <w:szCs w:val="20"/>
          <w:lang w:val="en-GB"/>
        </w:rPr>
        <w:t xml:space="preserve">) </w:t>
      </w:r>
      <w:r w:rsidR="004552FC" w:rsidRPr="00B37D60">
        <w:rPr>
          <w:sz w:val="20"/>
          <w:szCs w:val="20"/>
          <w:lang w:val="en-GB"/>
        </w:rPr>
        <w:t xml:space="preserve">available online for </w:t>
      </w:r>
      <w:r w:rsidRPr="00B37D60">
        <w:rPr>
          <w:sz w:val="20"/>
          <w:szCs w:val="20"/>
          <w:lang w:val="en-GB"/>
        </w:rPr>
        <w:t xml:space="preserve">the last three years. The </w:t>
      </w:r>
      <w:r w:rsidR="00216B2E" w:rsidRPr="00B37D60">
        <w:rPr>
          <w:sz w:val="20"/>
          <w:szCs w:val="20"/>
          <w:lang w:val="en-GB"/>
        </w:rPr>
        <w:t xml:space="preserve">submission of </w:t>
      </w:r>
      <w:r w:rsidR="00AE13BB" w:rsidRPr="00B37D60">
        <w:rPr>
          <w:sz w:val="20"/>
          <w:szCs w:val="20"/>
          <w:lang w:val="en-GB"/>
        </w:rPr>
        <w:t xml:space="preserve">Annual Reports </w:t>
      </w:r>
      <w:r w:rsidR="00216B2E" w:rsidRPr="00B37D60">
        <w:rPr>
          <w:sz w:val="20"/>
          <w:szCs w:val="20"/>
          <w:lang w:val="en-GB"/>
        </w:rPr>
        <w:t>via IOMS for</w:t>
      </w:r>
      <w:r w:rsidRPr="00B37D60">
        <w:rPr>
          <w:sz w:val="20"/>
          <w:szCs w:val="20"/>
          <w:lang w:val="en-GB"/>
        </w:rPr>
        <w:t xml:space="preserve"> 2021 (experimental year) and 2022 (recommended </w:t>
      </w:r>
      <w:r w:rsidR="004552FC" w:rsidRPr="00B37D60">
        <w:rPr>
          <w:sz w:val="20"/>
          <w:szCs w:val="20"/>
          <w:lang w:val="en-GB"/>
        </w:rPr>
        <w:t xml:space="preserve">for </w:t>
      </w:r>
      <w:r w:rsidRPr="00B37D60">
        <w:rPr>
          <w:sz w:val="20"/>
          <w:szCs w:val="20"/>
          <w:lang w:val="en-GB"/>
        </w:rPr>
        <w:t>online completion) served mostly for training purposes,</w:t>
      </w:r>
      <w:r w:rsidR="007B7598" w:rsidRPr="00B37D60">
        <w:rPr>
          <w:sz w:val="20"/>
          <w:szCs w:val="20"/>
          <w:lang w:val="en-GB"/>
        </w:rPr>
        <w:t xml:space="preserve"> </w:t>
      </w:r>
      <w:r w:rsidR="00465452" w:rsidRPr="00B37D60">
        <w:rPr>
          <w:sz w:val="20"/>
          <w:szCs w:val="20"/>
          <w:lang w:val="en-GB"/>
        </w:rPr>
        <w:t xml:space="preserve">whereas submission of </w:t>
      </w:r>
      <w:r w:rsidR="007B7598" w:rsidRPr="00B37D60">
        <w:rPr>
          <w:sz w:val="20"/>
          <w:szCs w:val="20"/>
          <w:lang w:val="en-GB"/>
        </w:rPr>
        <w:t>t</w:t>
      </w:r>
      <w:r w:rsidRPr="00B37D60">
        <w:rPr>
          <w:sz w:val="20"/>
          <w:szCs w:val="20"/>
          <w:lang w:val="en-GB"/>
        </w:rPr>
        <w:t xml:space="preserve">he </w:t>
      </w:r>
      <w:r w:rsidR="00AE13BB" w:rsidRPr="00B37D60">
        <w:rPr>
          <w:sz w:val="20"/>
          <w:szCs w:val="20"/>
          <w:lang w:val="en-GB"/>
        </w:rPr>
        <w:t xml:space="preserve">Annual Report </w:t>
      </w:r>
      <w:r w:rsidR="007B7598" w:rsidRPr="00B37D60">
        <w:rPr>
          <w:sz w:val="20"/>
          <w:szCs w:val="20"/>
          <w:lang w:val="en-GB"/>
        </w:rPr>
        <w:t>(</w:t>
      </w:r>
      <w:r w:rsidR="00300A86" w:rsidRPr="00B37D60">
        <w:rPr>
          <w:sz w:val="20"/>
          <w:szCs w:val="20"/>
          <w:lang w:val="en-GB"/>
        </w:rPr>
        <w:t>Section 3/Part 1 and Section 3/Part 2</w:t>
      </w:r>
      <w:r w:rsidR="007B7598" w:rsidRPr="00B37D60">
        <w:rPr>
          <w:sz w:val="20"/>
          <w:szCs w:val="20"/>
          <w:lang w:val="en-GB"/>
        </w:rPr>
        <w:t>)</w:t>
      </w:r>
      <w:r w:rsidRPr="00B37D60">
        <w:rPr>
          <w:sz w:val="20"/>
          <w:szCs w:val="20"/>
          <w:lang w:val="en-GB"/>
        </w:rPr>
        <w:t xml:space="preserve"> </w:t>
      </w:r>
      <w:r w:rsidR="00465452" w:rsidRPr="00B37D60">
        <w:rPr>
          <w:sz w:val="20"/>
          <w:szCs w:val="20"/>
          <w:lang w:val="en-GB"/>
        </w:rPr>
        <w:t xml:space="preserve">via IOMS was a requirement </w:t>
      </w:r>
      <w:r w:rsidR="00300A86" w:rsidRPr="00B37D60">
        <w:rPr>
          <w:sz w:val="20"/>
          <w:szCs w:val="20"/>
          <w:lang w:val="en-GB"/>
        </w:rPr>
        <w:t xml:space="preserve">from </w:t>
      </w:r>
      <w:r w:rsidRPr="00B37D60">
        <w:rPr>
          <w:sz w:val="20"/>
          <w:szCs w:val="20"/>
          <w:lang w:val="en-GB"/>
        </w:rPr>
        <w:t xml:space="preserve">2023 </w:t>
      </w:r>
      <w:r w:rsidR="00300A86" w:rsidRPr="00B37D60">
        <w:rPr>
          <w:sz w:val="20"/>
          <w:szCs w:val="20"/>
          <w:lang w:val="en-GB"/>
        </w:rPr>
        <w:t xml:space="preserve">onwards </w:t>
      </w:r>
      <w:r w:rsidRPr="00B37D60">
        <w:rPr>
          <w:sz w:val="20"/>
          <w:szCs w:val="20"/>
          <w:lang w:val="en-GB"/>
        </w:rPr>
        <w:t xml:space="preserve">(paragraph 2 of </w:t>
      </w:r>
      <w:hyperlink r:id="rId17" w:history="1">
        <w:r w:rsidRPr="00B37D60">
          <w:rPr>
            <w:rStyle w:val="Hyperlink"/>
            <w:sz w:val="20"/>
            <w:szCs w:val="20"/>
            <w:u w:val="none"/>
            <w:lang w:val="en-GB"/>
          </w:rPr>
          <w:t>Rec. 22-17</w:t>
        </w:r>
      </w:hyperlink>
      <w:r w:rsidRPr="00B37D60">
        <w:rPr>
          <w:sz w:val="20"/>
          <w:szCs w:val="20"/>
          <w:lang w:val="en-GB"/>
        </w:rPr>
        <w:t>).</w:t>
      </w:r>
    </w:p>
    <w:p w14:paraId="46DE3C70" w14:textId="77777777" w:rsidR="00760BAD" w:rsidRPr="00B37D60" w:rsidRDefault="00760BAD" w:rsidP="00CB1A6F">
      <w:pPr>
        <w:tabs>
          <w:tab w:val="left" w:pos="558"/>
          <w:tab w:val="left" w:pos="559"/>
          <w:tab w:val="left" w:pos="9214"/>
        </w:tabs>
        <w:jc w:val="both"/>
        <w:rPr>
          <w:sz w:val="20"/>
          <w:szCs w:val="20"/>
          <w:lang w:val="en-GB"/>
        </w:rPr>
      </w:pPr>
    </w:p>
    <w:p w14:paraId="0177C1E8" w14:textId="77777777" w:rsidR="008B67BC" w:rsidRPr="00B37D60" w:rsidRDefault="008B67BC" w:rsidP="00CB1A6F">
      <w:pPr>
        <w:tabs>
          <w:tab w:val="left" w:pos="558"/>
          <w:tab w:val="left" w:pos="559"/>
          <w:tab w:val="left" w:pos="9214"/>
        </w:tabs>
        <w:jc w:val="both"/>
        <w:rPr>
          <w:sz w:val="20"/>
          <w:szCs w:val="20"/>
          <w:lang w:val="en-GB"/>
        </w:rPr>
      </w:pPr>
    </w:p>
    <w:p w14:paraId="136DEC7E" w14:textId="77777777" w:rsidR="008B67BC" w:rsidRPr="00B37D60" w:rsidRDefault="008B67BC" w:rsidP="00CB1A6F">
      <w:pPr>
        <w:tabs>
          <w:tab w:val="left" w:pos="558"/>
          <w:tab w:val="left" w:pos="559"/>
          <w:tab w:val="left" w:pos="9214"/>
        </w:tabs>
        <w:jc w:val="both"/>
        <w:rPr>
          <w:sz w:val="20"/>
          <w:szCs w:val="20"/>
          <w:lang w:val="en-GB"/>
        </w:rPr>
      </w:pPr>
    </w:p>
    <w:p w14:paraId="24EF76A1" w14:textId="77777777" w:rsidR="008B67BC" w:rsidRPr="00B37D60" w:rsidRDefault="008B67BC" w:rsidP="00CB1A6F">
      <w:pPr>
        <w:tabs>
          <w:tab w:val="left" w:pos="558"/>
          <w:tab w:val="left" w:pos="559"/>
          <w:tab w:val="left" w:pos="9214"/>
        </w:tabs>
        <w:jc w:val="both"/>
        <w:rPr>
          <w:sz w:val="20"/>
          <w:szCs w:val="20"/>
          <w:lang w:val="en-GB"/>
        </w:rPr>
      </w:pPr>
    </w:p>
    <w:p w14:paraId="18E7F467" w14:textId="47877508" w:rsidR="00993635" w:rsidRPr="00B37D60" w:rsidRDefault="00864545" w:rsidP="00D079A3">
      <w:pPr>
        <w:tabs>
          <w:tab w:val="left" w:pos="558"/>
          <w:tab w:val="left" w:pos="559"/>
          <w:tab w:val="left" w:pos="9214"/>
        </w:tabs>
        <w:jc w:val="both"/>
        <w:rPr>
          <w:color w:val="000000"/>
          <w:sz w:val="20"/>
          <w:szCs w:val="20"/>
          <w:lang w:val="en-GB"/>
        </w:rPr>
      </w:pPr>
      <w:r w:rsidRPr="00B37D60">
        <w:rPr>
          <w:sz w:val="20"/>
          <w:szCs w:val="20"/>
          <w:lang w:val="en-GB"/>
        </w:rPr>
        <w:lastRenderedPageBreak/>
        <w:t>As in previous years, the Secretariat assisted all ICCAT CPCs with the completion of the 202</w:t>
      </w:r>
      <w:r w:rsidR="007A7C3A" w:rsidRPr="00B37D60">
        <w:rPr>
          <w:sz w:val="20"/>
          <w:szCs w:val="20"/>
          <w:lang w:val="en-GB"/>
        </w:rPr>
        <w:t>5</w:t>
      </w:r>
      <w:r w:rsidRPr="00B37D60">
        <w:rPr>
          <w:sz w:val="20"/>
          <w:szCs w:val="20"/>
          <w:lang w:val="en-GB"/>
        </w:rPr>
        <w:t xml:space="preserve"> Annual Reports in IOMS, as recommended by the WG-ORT. </w:t>
      </w:r>
      <w:r w:rsidR="008A419C" w:rsidRPr="00B37D60">
        <w:rPr>
          <w:color w:val="000000"/>
          <w:sz w:val="20"/>
          <w:szCs w:val="20"/>
          <w:lang w:val="en-GB"/>
        </w:rPr>
        <w:t xml:space="preserve">A summary of statistical indicators </w:t>
      </w:r>
      <w:r w:rsidR="008F07D1" w:rsidRPr="00B37D60">
        <w:rPr>
          <w:color w:val="000000"/>
          <w:sz w:val="20"/>
          <w:szCs w:val="20"/>
          <w:lang w:val="en-GB"/>
        </w:rPr>
        <w:t xml:space="preserve">regarding submission of annual reports via </w:t>
      </w:r>
      <w:r w:rsidR="00993635" w:rsidRPr="00B37D60">
        <w:rPr>
          <w:color w:val="000000"/>
          <w:sz w:val="20"/>
          <w:szCs w:val="20"/>
          <w:lang w:val="en-GB"/>
        </w:rPr>
        <w:t xml:space="preserve">IOMS </w:t>
      </w:r>
      <w:r w:rsidR="00760BAD" w:rsidRPr="00B37D60">
        <w:rPr>
          <w:color w:val="000000"/>
          <w:sz w:val="20"/>
          <w:szCs w:val="20"/>
          <w:lang w:val="en-GB"/>
        </w:rPr>
        <w:t>for the years 2021, 2022</w:t>
      </w:r>
      <w:r w:rsidR="00BB4A5D" w:rsidRPr="00B37D60">
        <w:rPr>
          <w:color w:val="000000"/>
          <w:sz w:val="20"/>
          <w:szCs w:val="20"/>
          <w:lang w:val="en-GB"/>
        </w:rPr>
        <w:t xml:space="preserve">, </w:t>
      </w:r>
      <w:r w:rsidR="00760BAD" w:rsidRPr="00B37D60">
        <w:rPr>
          <w:color w:val="000000"/>
          <w:sz w:val="20"/>
          <w:szCs w:val="20"/>
          <w:lang w:val="en-GB"/>
        </w:rPr>
        <w:t>2023</w:t>
      </w:r>
      <w:r w:rsidR="007A7C3A" w:rsidRPr="00B37D60">
        <w:rPr>
          <w:color w:val="000000"/>
          <w:sz w:val="20"/>
          <w:szCs w:val="20"/>
          <w:lang w:val="en-GB"/>
        </w:rPr>
        <w:t>, 2024</w:t>
      </w:r>
      <w:r w:rsidR="00AE13BB" w:rsidRPr="00B37D60">
        <w:rPr>
          <w:color w:val="000000"/>
          <w:sz w:val="20"/>
          <w:szCs w:val="20"/>
          <w:lang w:val="en-GB"/>
        </w:rPr>
        <w:t>,</w:t>
      </w:r>
      <w:r w:rsidR="00760BAD" w:rsidRPr="00B37D60">
        <w:rPr>
          <w:color w:val="000000"/>
          <w:sz w:val="20"/>
          <w:szCs w:val="20"/>
          <w:lang w:val="en-GB"/>
        </w:rPr>
        <w:t xml:space="preserve"> </w:t>
      </w:r>
      <w:r w:rsidR="00BB4A5D" w:rsidRPr="00B37D60">
        <w:rPr>
          <w:color w:val="000000"/>
          <w:sz w:val="20"/>
          <w:szCs w:val="20"/>
          <w:lang w:val="en-GB"/>
        </w:rPr>
        <w:t>and 202</w:t>
      </w:r>
      <w:r w:rsidR="007A7C3A" w:rsidRPr="00B37D60">
        <w:rPr>
          <w:color w:val="000000"/>
          <w:sz w:val="20"/>
          <w:szCs w:val="20"/>
          <w:lang w:val="en-GB"/>
        </w:rPr>
        <w:t>5</w:t>
      </w:r>
      <w:r w:rsidR="00BB4A5D" w:rsidRPr="00B37D60">
        <w:rPr>
          <w:color w:val="000000"/>
          <w:sz w:val="20"/>
          <w:szCs w:val="20"/>
          <w:lang w:val="en-GB"/>
        </w:rPr>
        <w:t xml:space="preserve"> </w:t>
      </w:r>
      <w:r w:rsidR="00C51ACA" w:rsidRPr="00B37D60">
        <w:rPr>
          <w:color w:val="000000"/>
          <w:sz w:val="20"/>
          <w:szCs w:val="20"/>
          <w:lang w:val="en-GB"/>
        </w:rPr>
        <w:t xml:space="preserve">are </w:t>
      </w:r>
      <w:r w:rsidR="00760BAD" w:rsidRPr="00B37D60">
        <w:rPr>
          <w:color w:val="000000"/>
          <w:sz w:val="20"/>
          <w:szCs w:val="20"/>
          <w:lang w:val="en-GB"/>
        </w:rPr>
        <w:t xml:space="preserve">presented </w:t>
      </w:r>
      <w:r w:rsidR="008A419C" w:rsidRPr="00B37D60">
        <w:rPr>
          <w:color w:val="000000"/>
          <w:sz w:val="20"/>
          <w:szCs w:val="20"/>
          <w:lang w:val="en-GB"/>
        </w:rPr>
        <w:t xml:space="preserve">in </w:t>
      </w:r>
      <w:r w:rsidR="008A419C" w:rsidRPr="00B37D60">
        <w:rPr>
          <w:b/>
          <w:color w:val="000000"/>
          <w:sz w:val="20"/>
          <w:szCs w:val="20"/>
          <w:lang w:val="en-GB"/>
        </w:rPr>
        <w:t>Table</w:t>
      </w:r>
      <w:r w:rsidR="00807028" w:rsidRPr="00B37D60">
        <w:rPr>
          <w:b/>
          <w:color w:val="000000"/>
          <w:sz w:val="20"/>
          <w:szCs w:val="20"/>
          <w:lang w:val="en-GB"/>
        </w:rPr>
        <w:t> </w:t>
      </w:r>
      <w:r w:rsidR="008A419C" w:rsidRPr="00B37D60">
        <w:rPr>
          <w:b/>
          <w:color w:val="000000"/>
          <w:sz w:val="20"/>
          <w:szCs w:val="20"/>
          <w:lang w:val="en-GB"/>
        </w:rPr>
        <w:t>1</w:t>
      </w:r>
      <w:r w:rsidR="008A419C" w:rsidRPr="00B37D60">
        <w:rPr>
          <w:color w:val="000000"/>
          <w:sz w:val="20"/>
          <w:szCs w:val="20"/>
          <w:lang w:val="en-GB"/>
        </w:rPr>
        <w:t xml:space="preserve">. </w:t>
      </w:r>
      <w:r w:rsidR="00F15DDA" w:rsidRPr="00B37D60">
        <w:rPr>
          <w:color w:val="000000"/>
          <w:sz w:val="20"/>
          <w:szCs w:val="20"/>
          <w:lang w:val="en-GB"/>
        </w:rPr>
        <w:t xml:space="preserve">Annual </w:t>
      </w:r>
      <w:r w:rsidR="00AE13BB" w:rsidRPr="00B37D60">
        <w:rPr>
          <w:color w:val="000000"/>
          <w:sz w:val="20"/>
          <w:szCs w:val="20"/>
          <w:lang w:val="en-GB"/>
        </w:rPr>
        <w:t>R</w:t>
      </w:r>
      <w:r w:rsidR="00F15DDA" w:rsidRPr="00B37D60">
        <w:rPr>
          <w:color w:val="000000"/>
          <w:sz w:val="20"/>
          <w:szCs w:val="20"/>
          <w:lang w:val="en-GB"/>
        </w:rPr>
        <w:t xml:space="preserve">eports </w:t>
      </w:r>
      <w:r w:rsidR="009C6A83" w:rsidRPr="00B37D60">
        <w:rPr>
          <w:color w:val="000000"/>
          <w:sz w:val="20"/>
          <w:szCs w:val="20"/>
          <w:lang w:val="en-GB"/>
        </w:rPr>
        <w:t>for</w:t>
      </w:r>
      <w:r w:rsidR="00F15DDA" w:rsidRPr="00B37D60">
        <w:rPr>
          <w:color w:val="000000"/>
          <w:sz w:val="20"/>
          <w:szCs w:val="20"/>
          <w:lang w:val="en-GB"/>
        </w:rPr>
        <w:t xml:space="preserve"> </w:t>
      </w:r>
      <w:r w:rsidR="00C51ACA" w:rsidRPr="00B37D60">
        <w:rPr>
          <w:color w:val="000000"/>
          <w:sz w:val="20"/>
          <w:szCs w:val="20"/>
          <w:lang w:val="en-GB"/>
        </w:rPr>
        <w:t xml:space="preserve">2021 and 2022 </w:t>
      </w:r>
      <w:r w:rsidR="008A419C" w:rsidRPr="00B37D60">
        <w:rPr>
          <w:color w:val="000000"/>
          <w:sz w:val="20"/>
          <w:szCs w:val="20"/>
          <w:lang w:val="en-GB"/>
        </w:rPr>
        <w:t>(</w:t>
      </w:r>
      <w:r w:rsidR="00C51ACA" w:rsidRPr="00B37D60">
        <w:rPr>
          <w:color w:val="000000"/>
          <w:sz w:val="20"/>
          <w:szCs w:val="20"/>
          <w:lang w:val="en-GB"/>
        </w:rPr>
        <w:t xml:space="preserve">probation </w:t>
      </w:r>
      <w:r w:rsidR="008A419C" w:rsidRPr="00B37D60">
        <w:rPr>
          <w:color w:val="000000"/>
          <w:sz w:val="20"/>
          <w:szCs w:val="20"/>
          <w:lang w:val="en-GB"/>
        </w:rPr>
        <w:t>year</w:t>
      </w:r>
      <w:r w:rsidR="00C51ACA" w:rsidRPr="00B37D60">
        <w:rPr>
          <w:color w:val="000000"/>
          <w:sz w:val="20"/>
          <w:szCs w:val="20"/>
          <w:lang w:val="en-GB"/>
        </w:rPr>
        <w:t>s</w:t>
      </w:r>
      <w:r w:rsidR="008A419C" w:rsidRPr="00B37D60">
        <w:rPr>
          <w:color w:val="000000"/>
          <w:sz w:val="20"/>
          <w:szCs w:val="20"/>
          <w:lang w:val="en-GB"/>
        </w:rPr>
        <w:t xml:space="preserve">) were </w:t>
      </w:r>
      <w:r w:rsidR="008F07D1" w:rsidRPr="00B37D60">
        <w:rPr>
          <w:color w:val="000000"/>
          <w:sz w:val="20"/>
          <w:szCs w:val="20"/>
          <w:lang w:val="en-GB"/>
        </w:rPr>
        <w:t>included</w:t>
      </w:r>
      <w:r w:rsidR="008A419C" w:rsidRPr="00B37D60">
        <w:rPr>
          <w:color w:val="000000"/>
          <w:sz w:val="20"/>
          <w:szCs w:val="20"/>
          <w:lang w:val="en-GB"/>
        </w:rPr>
        <w:t xml:space="preserve"> for comparative purposes</w:t>
      </w:r>
      <w:r w:rsidR="00F75333" w:rsidRPr="00B37D60">
        <w:rPr>
          <w:color w:val="000000"/>
          <w:sz w:val="20"/>
          <w:szCs w:val="20"/>
          <w:lang w:val="en-GB"/>
        </w:rPr>
        <w:t xml:space="preserve">, </w:t>
      </w:r>
      <w:r w:rsidR="00CC4A1A" w:rsidRPr="00B37D60">
        <w:rPr>
          <w:color w:val="000000"/>
          <w:sz w:val="20"/>
          <w:szCs w:val="20"/>
          <w:lang w:val="en-GB"/>
        </w:rPr>
        <w:t xml:space="preserve">mainly to </w:t>
      </w:r>
      <w:r w:rsidR="00F75333" w:rsidRPr="00B37D60">
        <w:rPr>
          <w:color w:val="000000"/>
          <w:sz w:val="20"/>
          <w:szCs w:val="20"/>
          <w:lang w:val="en-GB"/>
        </w:rPr>
        <w:t xml:space="preserve">observe the progress made by the </w:t>
      </w:r>
      <w:r w:rsidR="00CC4A1A" w:rsidRPr="00B37D60">
        <w:rPr>
          <w:color w:val="000000"/>
          <w:sz w:val="20"/>
          <w:szCs w:val="20"/>
          <w:lang w:val="en-GB"/>
        </w:rPr>
        <w:t xml:space="preserve">ICCAT </w:t>
      </w:r>
      <w:r w:rsidR="00C80AF7" w:rsidRPr="00B37D60">
        <w:rPr>
          <w:color w:val="000000"/>
          <w:sz w:val="20"/>
          <w:szCs w:val="20"/>
          <w:lang w:val="en-GB"/>
        </w:rPr>
        <w:t>CPCs in using the IOMS</w:t>
      </w:r>
      <w:r w:rsidR="008A419C" w:rsidRPr="00B37D60">
        <w:rPr>
          <w:color w:val="000000"/>
          <w:sz w:val="20"/>
          <w:szCs w:val="20"/>
          <w:lang w:val="en-GB"/>
        </w:rPr>
        <w:t>.</w:t>
      </w:r>
    </w:p>
    <w:p w14:paraId="7EA1FDA2" w14:textId="77777777" w:rsidR="00993635" w:rsidRPr="00B37D60" w:rsidRDefault="00993635" w:rsidP="00760BAD">
      <w:pPr>
        <w:widowControl/>
        <w:pBdr>
          <w:top w:val="nil"/>
          <w:left w:val="nil"/>
          <w:bottom w:val="nil"/>
          <w:right w:val="nil"/>
          <w:between w:val="nil"/>
        </w:pBdr>
        <w:tabs>
          <w:tab w:val="left" w:pos="9214"/>
        </w:tabs>
        <w:jc w:val="both"/>
        <w:rPr>
          <w:color w:val="000000"/>
          <w:sz w:val="20"/>
          <w:szCs w:val="20"/>
          <w:lang w:val="en-GB"/>
        </w:rPr>
      </w:pPr>
    </w:p>
    <w:p w14:paraId="4409A721" w14:textId="1A2764D2" w:rsidR="00FB5A81" w:rsidRPr="00B37D60" w:rsidRDefault="00FB5A81" w:rsidP="00FB5A81">
      <w:pPr>
        <w:widowControl/>
        <w:pBdr>
          <w:top w:val="nil"/>
          <w:left w:val="nil"/>
          <w:bottom w:val="nil"/>
          <w:right w:val="nil"/>
          <w:between w:val="nil"/>
        </w:pBdr>
        <w:tabs>
          <w:tab w:val="left" w:pos="9214"/>
        </w:tabs>
        <w:jc w:val="both"/>
        <w:rPr>
          <w:color w:val="000000"/>
          <w:sz w:val="20"/>
          <w:szCs w:val="20"/>
        </w:rPr>
      </w:pPr>
      <w:r w:rsidRPr="00B37D60">
        <w:rPr>
          <w:color w:val="000000"/>
          <w:sz w:val="20"/>
          <w:szCs w:val="20"/>
        </w:rPr>
        <w:t xml:space="preserve">In 2025, the reporting of Annual Reports showed a slight deterioration compared to previous years. This was mainly due to an increase in the number of CPCs that had not yet submitted their Annual Reports. On the other hand, for those CPCs that did submit their reports, the situation improved compared to past years, as fewer interventions from the Secretariat were required. This indicates a better understanding </w:t>
      </w:r>
      <w:proofErr w:type="gramStart"/>
      <w:r w:rsidRPr="00B37D60">
        <w:rPr>
          <w:color w:val="000000"/>
          <w:sz w:val="20"/>
          <w:szCs w:val="20"/>
        </w:rPr>
        <w:t>by</w:t>
      </w:r>
      <w:proofErr w:type="gramEnd"/>
      <w:r w:rsidRPr="00B37D60">
        <w:rPr>
          <w:color w:val="000000"/>
          <w:sz w:val="20"/>
          <w:szCs w:val="20"/>
        </w:rPr>
        <w:t xml:space="preserve"> those CPCs of the system’s use and of the reporting requirements.</w:t>
      </w:r>
    </w:p>
    <w:p w14:paraId="0E798E82" w14:textId="77777777" w:rsidR="00AE13BB" w:rsidRPr="00B37D60" w:rsidRDefault="00AE13BB" w:rsidP="00FB5A81">
      <w:pPr>
        <w:widowControl/>
        <w:pBdr>
          <w:top w:val="nil"/>
          <w:left w:val="nil"/>
          <w:bottom w:val="nil"/>
          <w:right w:val="nil"/>
          <w:between w:val="nil"/>
        </w:pBdr>
        <w:tabs>
          <w:tab w:val="left" w:pos="9214"/>
        </w:tabs>
        <w:jc w:val="both"/>
        <w:rPr>
          <w:color w:val="000000"/>
          <w:sz w:val="20"/>
          <w:szCs w:val="20"/>
        </w:rPr>
      </w:pPr>
    </w:p>
    <w:p w14:paraId="3D70E67C" w14:textId="6408BDFF" w:rsidR="008A419C" w:rsidRPr="00B37D60" w:rsidRDefault="00325EF2" w:rsidP="00840E45">
      <w:pPr>
        <w:pBdr>
          <w:top w:val="nil"/>
          <w:left w:val="nil"/>
          <w:bottom w:val="nil"/>
          <w:right w:val="nil"/>
          <w:between w:val="nil"/>
        </w:pBdr>
        <w:tabs>
          <w:tab w:val="left" w:pos="9214"/>
        </w:tabs>
        <w:jc w:val="both"/>
        <w:rPr>
          <w:color w:val="000000"/>
          <w:sz w:val="20"/>
          <w:szCs w:val="20"/>
          <w:lang w:val="en-GB"/>
        </w:rPr>
      </w:pPr>
      <w:r w:rsidRPr="00B37D60">
        <w:rPr>
          <w:color w:val="000000"/>
          <w:sz w:val="20"/>
          <w:szCs w:val="20"/>
          <w:lang w:val="en-GB"/>
        </w:rPr>
        <w:t xml:space="preserve">In line with paragraph 1 of </w:t>
      </w:r>
      <w:hyperlink r:id="rId18" w:history="1">
        <w:r w:rsidRPr="00B37D60">
          <w:rPr>
            <w:rStyle w:val="Hyperlink"/>
            <w:sz w:val="20"/>
            <w:szCs w:val="20"/>
            <w:u w:val="none"/>
            <w:lang w:val="en-GB"/>
          </w:rPr>
          <w:t>Rec. 22-17</w:t>
        </w:r>
      </w:hyperlink>
      <w:r w:rsidRPr="00B37D60">
        <w:rPr>
          <w:color w:val="000000"/>
          <w:sz w:val="20"/>
          <w:szCs w:val="20"/>
          <w:lang w:val="en-GB"/>
        </w:rPr>
        <w:t xml:space="preserve">, all the ICCAT CPCs have at least one IOMS user registered </w:t>
      </w:r>
      <w:r w:rsidR="00D42BC4" w:rsidRPr="00B37D60">
        <w:rPr>
          <w:color w:val="000000"/>
          <w:sz w:val="20"/>
          <w:szCs w:val="20"/>
          <w:lang w:val="en-GB"/>
        </w:rPr>
        <w:t xml:space="preserve">since </w:t>
      </w:r>
      <w:r w:rsidR="0052629F" w:rsidRPr="00B37D60">
        <w:rPr>
          <w:color w:val="000000"/>
          <w:sz w:val="20"/>
          <w:szCs w:val="20"/>
          <w:lang w:val="en-GB"/>
        </w:rPr>
        <w:t>the 202</w:t>
      </w:r>
      <w:r w:rsidR="00BF22E6" w:rsidRPr="00B37D60">
        <w:rPr>
          <w:color w:val="000000"/>
          <w:sz w:val="20"/>
          <w:szCs w:val="20"/>
          <w:lang w:val="en-GB"/>
        </w:rPr>
        <w:t>4</w:t>
      </w:r>
      <w:r w:rsidR="0052629F" w:rsidRPr="00B37D60">
        <w:rPr>
          <w:color w:val="000000"/>
          <w:sz w:val="20"/>
          <w:szCs w:val="20"/>
          <w:lang w:val="en-GB"/>
        </w:rPr>
        <w:t xml:space="preserve"> Annual Meeting</w:t>
      </w:r>
      <w:r w:rsidRPr="00B37D60">
        <w:rPr>
          <w:color w:val="000000"/>
          <w:sz w:val="20"/>
          <w:szCs w:val="20"/>
          <w:lang w:val="en-GB"/>
        </w:rPr>
        <w:t xml:space="preserve">. </w:t>
      </w:r>
      <w:r w:rsidR="00840E45" w:rsidRPr="00B37D60">
        <w:rPr>
          <w:color w:val="000000"/>
          <w:sz w:val="20"/>
          <w:szCs w:val="20"/>
          <w:lang w:val="en-GB"/>
        </w:rPr>
        <w:t>T</w:t>
      </w:r>
      <w:r w:rsidR="008A419C" w:rsidRPr="00B37D60">
        <w:rPr>
          <w:color w:val="000000"/>
          <w:sz w:val="20"/>
          <w:szCs w:val="20"/>
          <w:lang w:val="en-GB"/>
        </w:rPr>
        <w:t xml:space="preserve">hese </w:t>
      </w:r>
      <w:r w:rsidR="00960AD5" w:rsidRPr="00B37D60">
        <w:rPr>
          <w:color w:val="000000"/>
          <w:sz w:val="20"/>
          <w:szCs w:val="20"/>
          <w:lang w:val="en-GB"/>
        </w:rPr>
        <w:t xml:space="preserve">and other </w:t>
      </w:r>
      <w:r w:rsidR="008A419C" w:rsidRPr="00B37D60">
        <w:rPr>
          <w:color w:val="000000"/>
          <w:sz w:val="20"/>
          <w:szCs w:val="20"/>
          <w:lang w:val="en-GB"/>
        </w:rPr>
        <w:t>statistic</w:t>
      </w:r>
      <w:r w:rsidR="006F6913" w:rsidRPr="00B37D60">
        <w:rPr>
          <w:color w:val="000000"/>
          <w:sz w:val="20"/>
          <w:szCs w:val="20"/>
          <w:lang w:val="en-GB"/>
        </w:rPr>
        <w:t xml:space="preserve">al indicators </w:t>
      </w:r>
      <w:r w:rsidR="008A419C" w:rsidRPr="00B37D60">
        <w:rPr>
          <w:color w:val="000000"/>
          <w:sz w:val="20"/>
          <w:szCs w:val="20"/>
          <w:lang w:val="en-GB"/>
        </w:rPr>
        <w:t xml:space="preserve">are also available to the IOMS registered users (both CPC roles: administrators and officers) in the </w:t>
      </w:r>
      <w:r w:rsidR="00245437" w:rsidRPr="00B37D60">
        <w:rPr>
          <w:color w:val="000000"/>
          <w:sz w:val="20"/>
          <w:szCs w:val="20"/>
          <w:lang w:val="en-GB"/>
        </w:rPr>
        <w:t>IOMS online portal (</w:t>
      </w:r>
      <w:hyperlink r:id="rId19">
        <w:r w:rsidR="00245437" w:rsidRPr="00B37D60">
          <w:rPr>
            <w:color w:val="0000FF"/>
            <w:sz w:val="20"/>
            <w:szCs w:val="20"/>
            <w:lang w:val="en-GB"/>
          </w:rPr>
          <w:t>https://ioms.iccat.int</w:t>
        </w:r>
      </w:hyperlink>
      <w:r w:rsidR="00245437" w:rsidRPr="00B37D60">
        <w:rPr>
          <w:color w:val="000000"/>
          <w:sz w:val="20"/>
          <w:szCs w:val="20"/>
          <w:lang w:val="en-GB"/>
        </w:rPr>
        <w:t>).</w:t>
      </w:r>
    </w:p>
    <w:p w14:paraId="7AC9072E" w14:textId="77777777" w:rsidR="00AE13BB" w:rsidRPr="00B37D60" w:rsidRDefault="00AE13BB" w:rsidP="00840E45">
      <w:pPr>
        <w:pBdr>
          <w:top w:val="nil"/>
          <w:left w:val="nil"/>
          <w:bottom w:val="nil"/>
          <w:right w:val="nil"/>
          <w:between w:val="nil"/>
        </w:pBdr>
        <w:tabs>
          <w:tab w:val="left" w:pos="9214"/>
        </w:tabs>
        <w:jc w:val="both"/>
        <w:rPr>
          <w:color w:val="000000"/>
          <w:sz w:val="20"/>
          <w:szCs w:val="20"/>
          <w:lang w:val="en-GB"/>
        </w:rPr>
      </w:pPr>
    </w:p>
    <w:p w14:paraId="7595AFC3" w14:textId="77777777" w:rsidR="008A419C" w:rsidRPr="00B37D60" w:rsidRDefault="008A419C" w:rsidP="008A419C">
      <w:pPr>
        <w:pBdr>
          <w:top w:val="nil"/>
          <w:left w:val="nil"/>
          <w:bottom w:val="nil"/>
          <w:right w:val="nil"/>
          <w:between w:val="nil"/>
        </w:pBdr>
        <w:tabs>
          <w:tab w:val="left" w:pos="9214"/>
        </w:tabs>
        <w:jc w:val="both"/>
        <w:rPr>
          <w:color w:val="000000"/>
          <w:sz w:val="20"/>
          <w:szCs w:val="20"/>
          <w:lang w:val="en-GB"/>
        </w:rPr>
      </w:pPr>
    </w:p>
    <w:p w14:paraId="6663077A" w14:textId="18FB2463" w:rsidR="00650797" w:rsidRPr="00B37D60" w:rsidRDefault="00650797">
      <w:pPr>
        <w:rPr>
          <w:b/>
          <w:sz w:val="20"/>
          <w:szCs w:val="20"/>
          <w:lang w:val="en-GB"/>
        </w:rPr>
      </w:pPr>
    </w:p>
    <w:p w14:paraId="3F1E4040" w14:textId="20423942" w:rsidR="0035272A" w:rsidRPr="00B37D60" w:rsidRDefault="008A419C" w:rsidP="00B87678">
      <w:pPr>
        <w:jc w:val="both"/>
        <w:rPr>
          <w:szCs w:val="20"/>
          <w:lang w:val="en-GB"/>
        </w:rPr>
      </w:pPr>
      <w:r w:rsidRPr="00B37D60">
        <w:rPr>
          <w:b/>
          <w:sz w:val="20"/>
          <w:szCs w:val="20"/>
          <w:lang w:val="en-GB"/>
        </w:rPr>
        <w:t>Table 1</w:t>
      </w:r>
      <w:r w:rsidRPr="00B37D60">
        <w:rPr>
          <w:sz w:val="20"/>
          <w:szCs w:val="20"/>
          <w:lang w:val="en-GB"/>
        </w:rPr>
        <w:t xml:space="preserve">. Number of annual reports (and relative ratios) </w:t>
      </w:r>
      <w:r w:rsidR="004A3333" w:rsidRPr="00B37D60">
        <w:rPr>
          <w:sz w:val="20"/>
          <w:szCs w:val="20"/>
          <w:lang w:val="en-GB"/>
        </w:rPr>
        <w:t xml:space="preserve">available </w:t>
      </w:r>
      <w:r w:rsidRPr="00B37D60">
        <w:rPr>
          <w:sz w:val="20"/>
          <w:szCs w:val="20"/>
          <w:lang w:val="en-GB"/>
        </w:rPr>
        <w:t>in the IOMS for 2021</w:t>
      </w:r>
      <w:r w:rsidR="00180800" w:rsidRPr="00B37D60">
        <w:rPr>
          <w:sz w:val="20"/>
          <w:szCs w:val="20"/>
          <w:lang w:val="en-GB"/>
        </w:rPr>
        <w:t xml:space="preserve">, </w:t>
      </w:r>
      <w:r w:rsidRPr="00B37D60">
        <w:rPr>
          <w:sz w:val="20"/>
          <w:szCs w:val="20"/>
          <w:lang w:val="en-GB"/>
        </w:rPr>
        <w:t>2022,</w:t>
      </w:r>
      <w:r w:rsidR="00180800" w:rsidRPr="00B37D60">
        <w:rPr>
          <w:sz w:val="20"/>
          <w:szCs w:val="20"/>
          <w:lang w:val="en-GB"/>
        </w:rPr>
        <w:t xml:space="preserve"> 2023</w:t>
      </w:r>
      <w:r w:rsidR="008159E4" w:rsidRPr="00B37D60">
        <w:rPr>
          <w:sz w:val="20"/>
          <w:szCs w:val="20"/>
          <w:lang w:val="en-GB"/>
        </w:rPr>
        <w:t>, 2024</w:t>
      </w:r>
      <w:r w:rsidR="00180800" w:rsidRPr="00B37D60">
        <w:rPr>
          <w:sz w:val="20"/>
          <w:szCs w:val="20"/>
          <w:lang w:val="en-GB"/>
        </w:rPr>
        <w:t xml:space="preserve">, </w:t>
      </w:r>
      <w:r w:rsidR="00202B62" w:rsidRPr="00B37D60">
        <w:rPr>
          <w:sz w:val="20"/>
          <w:szCs w:val="20"/>
          <w:lang w:val="en-GB"/>
        </w:rPr>
        <w:t>and 202</w:t>
      </w:r>
      <w:r w:rsidR="008159E4" w:rsidRPr="00B37D60">
        <w:rPr>
          <w:sz w:val="20"/>
          <w:szCs w:val="20"/>
          <w:lang w:val="en-GB"/>
        </w:rPr>
        <w:t>5</w:t>
      </w:r>
      <w:r w:rsidR="00202B62" w:rsidRPr="00B37D60">
        <w:rPr>
          <w:sz w:val="20"/>
          <w:szCs w:val="20"/>
          <w:lang w:val="en-GB"/>
        </w:rPr>
        <w:t xml:space="preserve">, </w:t>
      </w:r>
      <w:r w:rsidRPr="00B37D60">
        <w:rPr>
          <w:sz w:val="20"/>
          <w:szCs w:val="20"/>
          <w:lang w:val="en-GB"/>
        </w:rPr>
        <w:t xml:space="preserve">by section, completion status, and completion mode (with/without Secretariat support). Values in “red” indicate the number of pending sections that </w:t>
      </w:r>
      <w:r w:rsidR="00A37BF9" w:rsidRPr="00B37D60">
        <w:rPr>
          <w:sz w:val="20"/>
          <w:szCs w:val="20"/>
          <w:lang w:val="en-GB"/>
        </w:rPr>
        <w:t>must</w:t>
      </w:r>
      <w:r w:rsidRPr="00B37D60">
        <w:rPr>
          <w:sz w:val="20"/>
          <w:szCs w:val="20"/>
          <w:lang w:val="en-GB"/>
        </w:rPr>
        <w:t xml:space="preserve"> be completed by various CPCs </w:t>
      </w:r>
      <w:r w:rsidR="00A37BF9" w:rsidRPr="00B37D60">
        <w:rPr>
          <w:sz w:val="20"/>
          <w:szCs w:val="20"/>
          <w:lang w:val="en-GB"/>
        </w:rPr>
        <w:t>as soon as possible</w:t>
      </w:r>
      <w:r w:rsidR="00AE2D98" w:rsidRPr="00B37D60">
        <w:rPr>
          <w:sz w:val="20"/>
          <w:szCs w:val="20"/>
          <w:lang w:val="en-GB"/>
        </w:rPr>
        <w:t>.</w:t>
      </w:r>
      <w:r w:rsidR="00DF66C8" w:rsidRPr="00B37D60">
        <w:rPr>
          <w:sz w:val="20"/>
          <w:szCs w:val="20"/>
          <w:lang w:val="en-GB"/>
        </w:rPr>
        <w:t xml:space="preserve"> </w:t>
      </w:r>
    </w:p>
    <w:p w14:paraId="6A4D0807" w14:textId="5E3CAFC3" w:rsidR="00F6127E" w:rsidRPr="00B37D60" w:rsidRDefault="00F6127E" w:rsidP="002D6946">
      <w:pPr>
        <w:keepNext/>
        <w:pBdr>
          <w:top w:val="nil"/>
          <w:left w:val="nil"/>
          <w:bottom w:val="nil"/>
          <w:right w:val="nil"/>
          <w:between w:val="nil"/>
        </w:pBdr>
        <w:tabs>
          <w:tab w:val="left" w:pos="9214"/>
        </w:tabs>
        <w:jc w:val="both"/>
        <w:rPr>
          <w:color w:val="000000"/>
          <w:lang w:val="en-GB"/>
        </w:rPr>
      </w:pPr>
    </w:p>
    <w:p w14:paraId="032DD29F" w14:textId="79FF8CB6" w:rsidR="00B87678" w:rsidRPr="00FC6607" w:rsidRDefault="00B87678" w:rsidP="002D6946">
      <w:pPr>
        <w:keepNext/>
        <w:pBdr>
          <w:top w:val="nil"/>
          <w:left w:val="nil"/>
          <w:bottom w:val="nil"/>
          <w:right w:val="nil"/>
          <w:between w:val="nil"/>
        </w:pBdr>
        <w:tabs>
          <w:tab w:val="left" w:pos="9214"/>
        </w:tabs>
        <w:jc w:val="both"/>
        <w:rPr>
          <w:color w:val="000000"/>
          <w:lang w:val="en-GB"/>
        </w:rPr>
      </w:pPr>
      <w:r w:rsidRPr="00B37D60">
        <w:rPr>
          <w:noProof/>
        </w:rPr>
        <w:drawing>
          <wp:inline distT="0" distB="0" distL="0" distR="0" wp14:anchorId="14F54508" wp14:editId="08E53730">
            <wp:extent cx="5759450" cy="2453640"/>
            <wp:effectExtent l="0" t="0" r="0" b="3810"/>
            <wp:docPr id="16807997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2453640"/>
                    </a:xfrm>
                    <a:prstGeom prst="rect">
                      <a:avLst/>
                    </a:prstGeom>
                    <a:noFill/>
                    <a:ln>
                      <a:noFill/>
                    </a:ln>
                  </pic:spPr>
                </pic:pic>
              </a:graphicData>
            </a:graphic>
          </wp:inline>
        </w:drawing>
      </w:r>
    </w:p>
    <w:sectPr w:rsidR="00B87678" w:rsidRPr="00FC6607" w:rsidSect="002D6946">
      <w:headerReference w:type="default" r:id="rId21"/>
      <w:footerReference w:type="default" r:id="rId22"/>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9C83" w14:textId="77777777" w:rsidR="00ED4F28" w:rsidRDefault="00ED4F28">
      <w:r>
        <w:separator/>
      </w:r>
    </w:p>
  </w:endnote>
  <w:endnote w:type="continuationSeparator" w:id="0">
    <w:p w14:paraId="7B4BE488" w14:textId="77777777" w:rsidR="00ED4F28" w:rsidRDefault="00ED4F28">
      <w:r>
        <w:continuationSeparator/>
      </w:r>
    </w:p>
  </w:endnote>
  <w:endnote w:type="continuationNotice" w:id="1">
    <w:p w14:paraId="59333A6B" w14:textId="77777777" w:rsidR="00ED4F28" w:rsidRDefault="00ED4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540F" w14:textId="77777777" w:rsidR="0018551C" w:rsidRDefault="0018551C" w:rsidP="0018551C">
    <w:pPr>
      <w:pStyle w:val="Footer"/>
      <w:jc w:val="cente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A6EC" w14:textId="77777777" w:rsidR="00ED4F28" w:rsidRDefault="00ED4F28">
      <w:r>
        <w:separator/>
      </w:r>
    </w:p>
  </w:footnote>
  <w:footnote w:type="continuationSeparator" w:id="0">
    <w:p w14:paraId="259C1EE7" w14:textId="77777777" w:rsidR="00ED4F28" w:rsidRDefault="00ED4F28">
      <w:r>
        <w:continuationSeparator/>
      </w:r>
    </w:p>
  </w:footnote>
  <w:footnote w:type="continuationNotice" w:id="1">
    <w:p w14:paraId="2F2582AF" w14:textId="77777777" w:rsidR="00ED4F28" w:rsidRDefault="00ED4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4AB3" w14:textId="417AD9F4" w:rsidR="00A36158" w:rsidRPr="0018551C" w:rsidRDefault="00A36158" w:rsidP="00A36158">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bookmarkStart w:id="7" w:name="_Hlk119054413"/>
    <w:bookmarkStart w:id="8" w:name="_Hlk119054414"/>
    <w:r w:rsidRPr="0018551C">
      <w:rPr>
        <w:rFonts w:eastAsia="Calibri"/>
        <w:b/>
        <w:bCs/>
        <w:sz w:val="20"/>
        <w:szCs w:val="20"/>
      </w:rPr>
      <w:t>COC_</w:t>
    </w:r>
    <w:r w:rsidR="005619DB" w:rsidRPr="0018551C">
      <w:rPr>
        <w:rFonts w:eastAsia="Calibri"/>
        <w:b/>
        <w:bCs/>
        <w:sz w:val="20"/>
        <w:szCs w:val="20"/>
      </w:rPr>
      <w:t>316</w:t>
    </w:r>
    <w:r w:rsidRPr="0018551C">
      <w:rPr>
        <w:rFonts w:eastAsia="Calibri"/>
        <w:b/>
        <w:bCs/>
        <w:sz w:val="20"/>
        <w:szCs w:val="20"/>
      </w:rPr>
      <w:t>/202</w:t>
    </w:r>
    <w:r w:rsidR="005619DB" w:rsidRPr="0018551C">
      <w:rPr>
        <w:rFonts w:eastAsia="Calibri"/>
        <w:b/>
        <w:bCs/>
        <w:sz w:val="20"/>
        <w:szCs w:val="20"/>
      </w:rPr>
      <w:t>5</w:t>
    </w:r>
  </w:p>
  <w:p w14:paraId="26B96B2A" w14:textId="1CD52924" w:rsidR="005A18DD" w:rsidRPr="0018551C" w:rsidRDefault="00A36158" w:rsidP="00F92FAD">
    <w:pPr>
      <w:tabs>
        <w:tab w:val="left" w:pos="7320"/>
      </w:tabs>
      <w:spacing w:line="240" w:lineRule="exact"/>
      <w:jc w:val="right"/>
      <w:rPr>
        <w:color w:val="000000"/>
        <w:sz w:val="20"/>
        <w:szCs w:val="20"/>
      </w:rPr>
    </w:pPr>
    <w:r w:rsidRPr="0018551C">
      <w:rPr>
        <w:rFonts w:eastAsia="Calibri"/>
        <w:b/>
        <w:bCs/>
        <w:sz w:val="20"/>
        <w:szCs w:val="20"/>
        <w:lang w:val="es-ES_tradnl"/>
      </w:rPr>
      <w:fldChar w:fldCharType="begin"/>
    </w:r>
    <w:r w:rsidRPr="0018551C">
      <w:rPr>
        <w:rFonts w:eastAsia="Calibri"/>
        <w:b/>
        <w:bCs/>
        <w:sz w:val="20"/>
        <w:szCs w:val="20"/>
        <w:lang w:val="es-ES_tradnl"/>
      </w:rPr>
      <w:instrText xml:space="preserve"> TIME \@ "dd/MM/yyyy H:mm" </w:instrText>
    </w:r>
    <w:r w:rsidRPr="0018551C">
      <w:rPr>
        <w:rFonts w:eastAsia="Calibri"/>
        <w:b/>
        <w:bCs/>
        <w:sz w:val="20"/>
        <w:szCs w:val="20"/>
        <w:lang w:val="es-ES_tradnl"/>
      </w:rPr>
      <w:fldChar w:fldCharType="separate"/>
    </w:r>
    <w:r w:rsidR="00A32B2E">
      <w:rPr>
        <w:rFonts w:eastAsia="Calibri"/>
        <w:b/>
        <w:bCs/>
        <w:noProof/>
        <w:sz w:val="20"/>
        <w:szCs w:val="20"/>
        <w:lang w:val="es-ES_tradnl"/>
      </w:rPr>
      <w:t>15/11/2025 8:56</w:t>
    </w:r>
    <w:r w:rsidRPr="0018551C">
      <w:rPr>
        <w:rFonts w:eastAsia="Calibri"/>
        <w:b/>
        <w:bCs/>
        <w:sz w:val="20"/>
        <w:szCs w:val="20"/>
        <w:lang w:val="es-ES_tradnl"/>
      </w:rPr>
      <w:fldChar w:fldCharType="end"/>
    </w:r>
    <w:bookmarkEnd w:id="1"/>
    <w:bookmarkEnd w:id="2"/>
    <w:bookmarkEnd w:id="3"/>
    <w:bookmarkEnd w:id="4"/>
    <w:bookmarkEnd w:id="5"/>
    <w:bookmarkEnd w:id="6"/>
    <w:bookmarkEnd w:id="7"/>
    <w:bookmarkEnd w:id="8"/>
    <w:r w:rsidR="00FD4BDD" w:rsidRPr="0018551C">
      <w:rPr>
        <w:noProof/>
        <w:sz w:val="20"/>
        <w:szCs w:val="20"/>
      </w:rPr>
      <mc:AlternateContent>
        <mc:Choice Requires="wps">
          <w:drawing>
            <wp:anchor distT="0" distB="0" distL="4294967295" distR="4294967295" simplePos="0" relativeHeight="251658240" behindDoc="1" locked="0" layoutInCell="1" allowOverlap="1" wp14:anchorId="7B996B82" wp14:editId="0F2C265A">
              <wp:simplePos x="0" y="0"/>
              <wp:positionH relativeFrom="page">
                <wp:posOffset>900429</wp:posOffset>
              </wp:positionH>
              <wp:positionV relativeFrom="page">
                <wp:posOffset>857885</wp:posOffset>
              </wp:positionV>
              <wp:extent cx="0" cy="12700"/>
              <wp:effectExtent l="0" t="0" r="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D310E53" id="_x0000_t32" coordsize="21600,21600" o:spt="32" o:oned="t" path="m,l21600,21600e" filled="f">
              <v:path arrowok="t" fillok="f" o:connecttype="none"/>
              <o:lock v:ext="edit" shapetype="t"/>
            </v:shapetype>
            <v:shape id="Straight Arrow Connector 1" o:spid="_x0000_s1026" type="#_x0000_t32" style="position:absolute;margin-left:70.9pt;margin-top:67.55pt;width:0;height:1pt;z-index:-25165824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">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228"/>
    <w:multiLevelType w:val="multilevel"/>
    <w:tmpl w:val="0A70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03391"/>
    <w:multiLevelType w:val="hybridMultilevel"/>
    <w:tmpl w:val="E702F5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D1491"/>
    <w:multiLevelType w:val="multilevel"/>
    <w:tmpl w:val="4C7A521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DFF0182"/>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4" w15:restartNumberingAfterBreak="0">
    <w:nsid w:val="220550FA"/>
    <w:multiLevelType w:val="hybridMultilevel"/>
    <w:tmpl w:val="BC8AA3EE"/>
    <w:lvl w:ilvl="0" w:tplc="002AA744">
      <w:start w:val="5"/>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445BA"/>
    <w:multiLevelType w:val="hybridMultilevel"/>
    <w:tmpl w:val="4614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1684A"/>
    <w:multiLevelType w:val="hybridMultilevel"/>
    <w:tmpl w:val="E076C3F4"/>
    <w:lvl w:ilvl="0" w:tplc="DA56A542">
      <w:start w:val="1"/>
      <w:numFmt w:val="decimal"/>
      <w:lvlText w:val="%1."/>
      <w:lvlJc w:val="left"/>
      <w:pPr>
        <w:ind w:left="720" w:hanging="360"/>
      </w:pPr>
      <w:rPr>
        <w:b w:val="0"/>
        <w:bCs w:val="0"/>
      </w:rPr>
    </w:lvl>
    <w:lvl w:ilvl="1" w:tplc="4588D794">
      <w:numFmt w:val="bullet"/>
      <w:lvlText w:val=""/>
      <w:lvlJc w:val="left"/>
      <w:pPr>
        <w:ind w:left="1440" w:hanging="360"/>
      </w:pPr>
      <w:rPr>
        <w:rFonts w:ascii="Cambria" w:eastAsiaTheme="minorHAnsi" w:hAnsi="Cambria" w:cs="Apto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697AD9"/>
    <w:multiLevelType w:val="multilevel"/>
    <w:tmpl w:val="52725D9C"/>
    <w:lvl w:ilvl="0">
      <w:numFmt w:val="bullet"/>
      <w:lvlText w:val="-"/>
      <w:lvlJc w:val="left"/>
      <w:pPr>
        <w:ind w:left="558" w:hanging="340"/>
      </w:pPr>
      <w:rPr>
        <w:rFonts w:ascii="Times New Roman" w:eastAsia="Times New Roman" w:hAnsi="Times New Roman" w:cs="Times New Roman"/>
        <w:b w:val="0"/>
        <w:i w:val="0"/>
        <w:sz w:val="20"/>
        <w:szCs w:val="20"/>
      </w:rPr>
    </w:lvl>
    <w:lvl w:ilvl="1">
      <w:numFmt w:val="bullet"/>
      <w:lvlText w:val="•"/>
      <w:lvlJc w:val="left"/>
      <w:pPr>
        <w:ind w:left="1454" w:hanging="340"/>
      </w:pPr>
    </w:lvl>
    <w:lvl w:ilvl="2">
      <w:numFmt w:val="bullet"/>
      <w:lvlText w:val="•"/>
      <w:lvlJc w:val="left"/>
      <w:pPr>
        <w:ind w:left="2349" w:hanging="340"/>
      </w:pPr>
    </w:lvl>
    <w:lvl w:ilvl="3">
      <w:numFmt w:val="bullet"/>
      <w:lvlText w:val="•"/>
      <w:lvlJc w:val="left"/>
      <w:pPr>
        <w:ind w:left="3243" w:hanging="340"/>
      </w:pPr>
    </w:lvl>
    <w:lvl w:ilvl="4">
      <w:numFmt w:val="bullet"/>
      <w:lvlText w:val="•"/>
      <w:lvlJc w:val="left"/>
      <w:pPr>
        <w:ind w:left="4138" w:hanging="340"/>
      </w:pPr>
    </w:lvl>
    <w:lvl w:ilvl="5">
      <w:numFmt w:val="bullet"/>
      <w:lvlText w:val="•"/>
      <w:lvlJc w:val="left"/>
      <w:pPr>
        <w:ind w:left="5033" w:hanging="340"/>
      </w:pPr>
    </w:lvl>
    <w:lvl w:ilvl="6">
      <w:numFmt w:val="bullet"/>
      <w:lvlText w:val="•"/>
      <w:lvlJc w:val="left"/>
      <w:pPr>
        <w:ind w:left="5927" w:hanging="340"/>
      </w:pPr>
    </w:lvl>
    <w:lvl w:ilvl="7">
      <w:numFmt w:val="bullet"/>
      <w:lvlText w:val="•"/>
      <w:lvlJc w:val="left"/>
      <w:pPr>
        <w:ind w:left="6822" w:hanging="340"/>
      </w:pPr>
    </w:lvl>
    <w:lvl w:ilvl="8">
      <w:numFmt w:val="bullet"/>
      <w:lvlText w:val="•"/>
      <w:lvlJc w:val="left"/>
      <w:pPr>
        <w:ind w:left="7717" w:hanging="340"/>
      </w:pPr>
    </w:lvl>
  </w:abstractNum>
  <w:abstractNum w:abstractNumId="8" w15:restartNumberingAfterBreak="0">
    <w:nsid w:val="3F427C46"/>
    <w:multiLevelType w:val="hybridMultilevel"/>
    <w:tmpl w:val="E826843C"/>
    <w:lvl w:ilvl="0" w:tplc="08090017">
      <w:start w:val="1"/>
      <w:numFmt w:val="lowerLetter"/>
      <w:lvlText w:val="%1)"/>
      <w:lvlJc w:val="left"/>
      <w:pPr>
        <w:ind w:left="918" w:hanging="360"/>
      </w:pPr>
      <w:rPr>
        <w:rFonts w:hint="default"/>
      </w:r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9" w15:restartNumberingAfterBreak="0">
    <w:nsid w:val="47DD2C5D"/>
    <w:multiLevelType w:val="hybridMultilevel"/>
    <w:tmpl w:val="3C701F2C"/>
    <w:lvl w:ilvl="0" w:tplc="04090005">
      <w:start w:val="1"/>
      <w:numFmt w:val="bullet"/>
      <w:lvlText w:val=""/>
      <w:lvlJc w:val="left"/>
      <w:pPr>
        <w:ind w:left="360" w:hanging="360"/>
      </w:pPr>
      <w:rPr>
        <w:rFonts w:ascii="Wingdings" w:hAnsi="Wingdings" w:hint="default"/>
      </w:rPr>
    </w:lvl>
    <w:lvl w:ilvl="1" w:tplc="443E856E">
      <w:start w:val="1"/>
      <w:numFmt w:val="bullet"/>
      <w:lvlText w:val="-"/>
      <w:lvlJc w:val="left"/>
      <w:pPr>
        <w:ind w:left="1080" w:hanging="360"/>
      </w:pPr>
      <w:rPr>
        <w:rFonts w:ascii="Cambria" w:eastAsia="Cambria" w:hAnsi="Cambria" w:cs="Cambria" w:hint="default"/>
        <w:b w:val="0"/>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E3720"/>
    <w:multiLevelType w:val="multilevel"/>
    <w:tmpl w:val="17AEC9A8"/>
    <w:lvl w:ilvl="0">
      <w:start w:val="1"/>
      <w:numFmt w:val="decimal"/>
      <w:lvlText w:val="%1."/>
      <w:lvlJc w:val="left"/>
      <w:pPr>
        <w:ind w:left="6258" w:hanging="360"/>
      </w:pPr>
    </w:lvl>
    <w:lvl w:ilvl="1">
      <w:start w:val="1"/>
      <w:numFmt w:val="decimal"/>
      <w:lvlText w:val="%2."/>
      <w:lvlJc w:val="left"/>
      <w:pPr>
        <w:ind w:left="6978" w:hanging="360"/>
      </w:pPr>
    </w:lvl>
    <w:lvl w:ilvl="2">
      <w:start w:val="1"/>
      <w:numFmt w:val="bullet"/>
      <w:lvlText w:val="▪"/>
      <w:lvlJc w:val="left"/>
      <w:pPr>
        <w:ind w:left="7698" w:hanging="360"/>
      </w:pPr>
      <w:rPr>
        <w:rFonts w:ascii="Noto Sans Symbols" w:eastAsia="Noto Sans Symbols" w:hAnsi="Noto Sans Symbols" w:cs="Noto Sans Symbols"/>
      </w:rPr>
    </w:lvl>
    <w:lvl w:ilvl="3">
      <w:start w:val="1"/>
      <w:numFmt w:val="bullet"/>
      <w:lvlText w:val="●"/>
      <w:lvlJc w:val="left"/>
      <w:pPr>
        <w:ind w:left="8418" w:hanging="360"/>
      </w:pPr>
      <w:rPr>
        <w:rFonts w:ascii="Noto Sans Symbols" w:eastAsia="Noto Sans Symbols" w:hAnsi="Noto Sans Symbols" w:cs="Noto Sans Symbols"/>
      </w:rPr>
    </w:lvl>
    <w:lvl w:ilvl="4">
      <w:start w:val="1"/>
      <w:numFmt w:val="bullet"/>
      <w:lvlText w:val="o"/>
      <w:lvlJc w:val="left"/>
      <w:pPr>
        <w:ind w:left="9138" w:hanging="360"/>
      </w:pPr>
      <w:rPr>
        <w:rFonts w:ascii="Courier New" w:eastAsia="Courier New" w:hAnsi="Courier New" w:cs="Courier New"/>
      </w:rPr>
    </w:lvl>
    <w:lvl w:ilvl="5">
      <w:start w:val="1"/>
      <w:numFmt w:val="bullet"/>
      <w:lvlText w:val="▪"/>
      <w:lvlJc w:val="left"/>
      <w:pPr>
        <w:ind w:left="9858" w:hanging="360"/>
      </w:pPr>
      <w:rPr>
        <w:rFonts w:ascii="Noto Sans Symbols" w:eastAsia="Noto Sans Symbols" w:hAnsi="Noto Sans Symbols" w:cs="Noto Sans Symbols"/>
      </w:rPr>
    </w:lvl>
    <w:lvl w:ilvl="6">
      <w:start w:val="1"/>
      <w:numFmt w:val="bullet"/>
      <w:lvlText w:val="●"/>
      <w:lvlJc w:val="left"/>
      <w:pPr>
        <w:ind w:left="10578" w:hanging="360"/>
      </w:pPr>
      <w:rPr>
        <w:rFonts w:ascii="Noto Sans Symbols" w:eastAsia="Noto Sans Symbols" w:hAnsi="Noto Sans Symbols" w:cs="Noto Sans Symbols"/>
      </w:rPr>
    </w:lvl>
    <w:lvl w:ilvl="7">
      <w:start w:val="1"/>
      <w:numFmt w:val="bullet"/>
      <w:lvlText w:val="o"/>
      <w:lvlJc w:val="left"/>
      <w:pPr>
        <w:ind w:left="11298" w:hanging="360"/>
      </w:pPr>
      <w:rPr>
        <w:rFonts w:ascii="Courier New" w:eastAsia="Courier New" w:hAnsi="Courier New" w:cs="Courier New"/>
      </w:rPr>
    </w:lvl>
    <w:lvl w:ilvl="8">
      <w:start w:val="1"/>
      <w:numFmt w:val="bullet"/>
      <w:lvlText w:val="▪"/>
      <w:lvlJc w:val="left"/>
      <w:pPr>
        <w:ind w:left="12018" w:hanging="360"/>
      </w:pPr>
      <w:rPr>
        <w:rFonts w:ascii="Noto Sans Symbols" w:eastAsia="Noto Sans Symbols" w:hAnsi="Noto Sans Symbols" w:cs="Noto Sans Symbols"/>
      </w:rPr>
    </w:lvl>
  </w:abstractNum>
  <w:abstractNum w:abstractNumId="11" w15:restartNumberingAfterBreak="0">
    <w:nsid w:val="5CF26F3E"/>
    <w:multiLevelType w:val="hybridMultilevel"/>
    <w:tmpl w:val="FA10DE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53698"/>
    <w:multiLevelType w:val="hybridMultilevel"/>
    <w:tmpl w:val="67A2088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43848"/>
    <w:multiLevelType w:val="hybridMultilevel"/>
    <w:tmpl w:val="4796C05E"/>
    <w:lvl w:ilvl="0" w:tplc="98022E1C">
      <w:start w:val="2023"/>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665DC"/>
    <w:multiLevelType w:val="hybridMultilevel"/>
    <w:tmpl w:val="021C27BA"/>
    <w:lvl w:ilvl="0" w:tplc="973EACC8">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002A7"/>
    <w:multiLevelType w:val="hybridMultilevel"/>
    <w:tmpl w:val="3FD0A318"/>
    <w:lvl w:ilvl="0" w:tplc="D7C65BAC">
      <w:start w:val="1"/>
      <w:numFmt w:val="bullet"/>
      <w:lvlText w:val="-"/>
      <w:lvlJc w:val="left"/>
      <w:pPr>
        <w:ind w:left="720" w:hanging="360"/>
      </w:pPr>
      <w:rPr>
        <w:rFonts w:ascii="Cambria" w:eastAsia="Cambr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05A05"/>
    <w:multiLevelType w:val="hybridMultilevel"/>
    <w:tmpl w:val="679AF8AC"/>
    <w:lvl w:ilvl="0" w:tplc="443E856E">
      <w:start w:val="1"/>
      <w:numFmt w:val="bullet"/>
      <w:lvlText w:val="-"/>
      <w:lvlJc w:val="left"/>
      <w:pPr>
        <w:ind w:left="720" w:hanging="360"/>
      </w:pPr>
      <w:rPr>
        <w:rFonts w:ascii="Cambria" w:eastAsia="Cambria" w:hAnsi="Cambria" w:cs="Cambria"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E6BA3"/>
    <w:multiLevelType w:val="hybridMultilevel"/>
    <w:tmpl w:val="387C44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875430">
    <w:abstractNumId w:val="7"/>
  </w:num>
  <w:num w:numId="2" w16cid:durableId="1152064843">
    <w:abstractNumId w:val="10"/>
  </w:num>
  <w:num w:numId="3" w16cid:durableId="893346120">
    <w:abstractNumId w:val="3"/>
  </w:num>
  <w:num w:numId="4" w16cid:durableId="1450467431">
    <w:abstractNumId w:val="13"/>
  </w:num>
  <w:num w:numId="5" w16cid:durableId="21128796">
    <w:abstractNumId w:val="8"/>
  </w:num>
  <w:num w:numId="6" w16cid:durableId="592737962">
    <w:abstractNumId w:val="1"/>
  </w:num>
  <w:num w:numId="7" w16cid:durableId="278338372">
    <w:abstractNumId w:val="11"/>
  </w:num>
  <w:num w:numId="8" w16cid:durableId="346756602">
    <w:abstractNumId w:val="16"/>
  </w:num>
  <w:num w:numId="9" w16cid:durableId="305479931">
    <w:abstractNumId w:val="14"/>
  </w:num>
  <w:num w:numId="10" w16cid:durableId="1406683848">
    <w:abstractNumId w:val="15"/>
  </w:num>
  <w:num w:numId="11" w16cid:durableId="1315261206">
    <w:abstractNumId w:val="12"/>
  </w:num>
  <w:num w:numId="12" w16cid:durableId="1612979283">
    <w:abstractNumId w:val="5"/>
  </w:num>
  <w:num w:numId="13" w16cid:durableId="1347514751">
    <w:abstractNumId w:val="17"/>
  </w:num>
  <w:num w:numId="14" w16cid:durableId="87242238">
    <w:abstractNumId w:val="9"/>
  </w:num>
  <w:num w:numId="15" w16cid:durableId="81151993">
    <w:abstractNumId w:val="2"/>
  </w:num>
  <w:num w:numId="16" w16cid:durableId="43912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50957">
    <w:abstractNumId w:val="4"/>
  </w:num>
  <w:num w:numId="18" w16cid:durableId="1712416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DD"/>
    <w:rsid w:val="00001684"/>
    <w:rsid w:val="00004F4F"/>
    <w:rsid w:val="00006CC0"/>
    <w:rsid w:val="000076BA"/>
    <w:rsid w:val="00011B83"/>
    <w:rsid w:val="00012D05"/>
    <w:rsid w:val="00013709"/>
    <w:rsid w:val="000137BE"/>
    <w:rsid w:val="0002268B"/>
    <w:rsid w:val="000268A2"/>
    <w:rsid w:val="000332D9"/>
    <w:rsid w:val="00051833"/>
    <w:rsid w:val="00053442"/>
    <w:rsid w:val="00060C45"/>
    <w:rsid w:val="000610BD"/>
    <w:rsid w:val="000617C3"/>
    <w:rsid w:val="00062ED2"/>
    <w:rsid w:val="00065C93"/>
    <w:rsid w:val="00066A6F"/>
    <w:rsid w:val="00070246"/>
    <w:rsid w:val="00080FF0"/>
    <w:rsid w:val="00092AA5"/>
    <w:rsid w:val="000961FD"/>
    <w:rsid w:val="000969C0"/>
    <w:rsid w:val="000A2470"/>
    <w:rsid w:val="000A5570"/>
    <w:rsid w:val="000B2800"/>
    <w:rsid w:val="000B77BB"/>
    <w:rsid w:val="000B7D7D"/>
    <w:rsid w:val="000B7E5A"/>
    <w:rsid w:val="000C7BA9"/>
    <w:rsid w:val="000D142C"/>
    <w:rsid w:val="000D1A01"/>
    <w:rsid w:val="000D38F7"/>
    <w:rsid w:val="000D736D"/>
    <w:rsid w:val="000E0392"/>
    <w:rsid w:val="000E242A"/>
    <w:rsid w:val="000E2655"/>
    <w:rsid w:val="000F0295"/>
    <w:rsid w:val="000F2317"/>
    <w:rsid w:val="00101211"/>
    <w:rsid w:val="00105D28"/>
    <w:rsid w:val="001105AE"/>
    <w:rsid w:val="00110CCB"/>
    <w:rsid w:val="00114765"/>
    <w:rsid w:val="001167C3"/>
    <w:rsid w:val="00125827"/>
    <w:rsid w:val="0013543F"/>
    <w:rsid w:val="00140D9D"/>
    <w:rsid w:val="00160278"/>
    <w:rsid w:val="00161426"/>
    <w:rsid w:val="00164B5F"/>
    <w:rsid w:val="00167B6B"/>
    <w:rsid w:val="00175EF1"/>
    <w:rsid w:val="00180007"/>
    <w:rsid w:val="00180800"/>
    <w:rsid w:val="0018540F"/>
    <w:rsid w:val="0018551C"/>
    <w:rsid w:val="00185C7A"/>
    <w:rsid w:val="00190C01"/>
    <w:rsid w:val="0019384B"/>
    <w:rsid w:val="0019409C"/>
    <w:rsid w:val="001A0F9A"/>
    <w:rsid w:val="001A5272"/>
    <w:rsid w:val="001B00B7"/>
    <w:rsid w:val="001B31EB"/>
    <w:rsid w:val="001B4F08"/>
    <w:rsid w:val="001C2D01"/>
    <w:rsid w:val="001D6054"/>
    <w:rsid w:val="001F1F9A"/>
    <w:rsid w:val="001F35DC"/>
    <w:rsid w:val="001F553D"/>
    <w:rsid w:val="001F5F07"/>
    <w:rsid w:val="00202B62"/>
    <w:rsid w:val="002049CF"/>
    <w:rsid w:val="002101D4"/>
    <w:rsid w:val="00216B2E"/>
    <w:rsid w:val="002218A0"/>
    <w:rsid w:val="0022533F"/>
    <w:rsid w:val="00226BFB"/>
    <w:rsid w:val="00230114"/>
    <w:rsid w:val="00232064"/>
    <w:rsid w:val="00232AD9"/>
    <w:rsid w:val="00245437"/>
    <w:rsid w:val="00246433"/>
    <w:rsid w:val="00246616"/>
    <w:rsid w:val="0025570B"/>
    <w:rsid w:val="0026049C"/>
    <w:rsid w:val="00260EB6"/>
    <w:rsid w:val="00262116"/>
    <w:rsid w:val="00267D1A"/>
    <w:rsid w:val="00270750"/>
    <w:rsid w:val="002726EC"/>
    <w:rsid w:val="00291D93"/>
    <w:rsid w:val="00294016"/>
    <w:rsid w:val="002A0C55"/>
    <w:rsid w:val="002A50C1"/>
    <w:rsid w:val="002B083F"/>
    <w:rsid w:val="002B517A"/>
    <w:rsid w:val="002C72FE"/>
    <w:rsid w:val="002C7336"/>
    <w:rsid w:val="002D0044"/>
    <w:rsid w:val="002D14B0"/>
    <w:rsid w:val="002D18AB"/>
    <w:rsid w:val="002D1C50"/>
    <w:rsid w:val="002D1D32"/>
    <w:rsid w:val="002D4C04"/>
    <w:rsid w:val="002D6946"/>
    <w:rsid w:val="002D69A0"/>
    <w:rsid w:val="002F09E1"/>
    <w:rsid w:val="002F0E2F"/>
    <w:rsid w:val="002F11D3"/>
    <w:rsid w:val="002F3071"/>
    <w:rsid w:val="002F5C79"/>
    <w:rsid w:val="002F7124"/>
    <w:rsid w:val="002F749B"/>
    <w:rsid w:val="002F7F2F"/>
    <w:rsid w:val="00300A86"/>
    <w:rsid w:val="003018B3"/>
    <w:rsid w:val="00301BAF"/>
    <w:rsid w:val="00302A81"/>
    <w:rsid w:val="00306014"/>
    <w:rsid w:val="003130C2"/>
    <w:rsid w:val="0031380E"/>
    <w:rsid w:val="00316690"/>
    <w:rsid w:val="003256AC"/>
    <w:rsid w:val="00325EF2"/>
    <w:rsid w:val="00330756"/>
    <w:rsid w:val="003344D6"/>
    <w:rsid w:val="00334CC9"/>
    <w:rsid w:val="00340069"/>
    <w:rsid w:val="00340F5A"/>
    <w:rsid w:val="00343FE7"/>
    <w:rsid w:val="00346771"/>
    <w:rsid w:val="00350AF3"/>
    <w:rsid w:val="00350C0A"/>
    <w:rsid w:val="0035272A"/>
    <w:rsid w:val="00352B6C"/>
    <w:rsid w:val="00360959"/>
    <w:rsid w:val="00383062"/>
    <w:rsid w:val="00386F45"/>
    <w:rsid w:val="0039534C"/>
    <w:rsid w:val="003A5CD1"/>
    <w:rsid w:val="003B2491"/>
    <w:rsid w:val="003B27EB"/>
    <w:rsid w:val="003B6D5F"/>
    <w:rsid w:val="003C1459"/>
    <w:rsid w:val="003C5FAF"/>
    <w:rsid w:val="003E33B2"/>
    <w:rsid w:val="003E39D1"/>
    <w:rsid w:val="003F1ABD"/>
    <w:rsid w:val="003F295C"/>
    <w:rsid w:val="00404876"/>
    <w:rsid w:val="00404B52"/>
    <w:rsid w:val="00407B0D"/>
    <w:rsid w:val="0041138B"/>
    <w:rsid w:val="004118A2"/>
    <w:rsid w:val="0041484C"/>
    <w:rsid w:val="004157D3"/>
    <w:rsid w:val="00416C74"/>
    <w:rsid w:val="00423896"/>
    <w:rsid w:val="00433A1C"/>
    <w:rsid w:val="00433D31"/>
    <w:rsid w:val="00435713"/>
    <w:rsid w:val="0043666E"/>
    <w:rsid w:val="004369F5"/>
    <w:rsid w:val="004416F6"/>
    <w:rsid w:val="00443866"/>
    <w:rsid w:val="00445F9D"/>
    <w:rsid w:val="00453CE4"/>
    <w:rsid w:val="004552FC"/>
    <w:rsid w:val="00465452"/>
    <w:rsid w:val="00466D5E"/>
    <w:rsid w:val="004670C9"/>
    <w:rsid w:val="0046759D"/>
    <w:rsid w:val="00471945"/>
    <w:rsid w:val="00473062"/>
    <w:rsid w:val="004829C8"/>
    <w:rsid w:val="0049500F"/>
    <w:rsid w:val="00496FC2"/>
    <w:rsid w:val="00497E53"/>
    <w:rsid w:val="004A3333"/>
    <w:rsid w:val="004A5724"/>
    <w:rsid w:val="004B0775"/>
    <w:rsid w:val="004B26EC"/>
    <w:rsid w:val="004B73AE"/>
    <w:rsid w:val="004B7A3D"/>
    <w:rsid w:val="004B7E8B"/>
    <w:rsid w:val="004C320E"/>
    <w:rsid w:val="004C7E5C"/>
    <w:rsid w:val="004D16D4"/>
    <w:rsid w:val="004E155B"/>
    <w:rsid w:val="004E33CC"/>
    <w:rsid w:val="004F5A04"/>
    <w:rsid w:val="005004BB"/>
    <w:rsid w:val="00504F78"/>
    <w:rsid w:val="00504F8E"/>
    <w:rsid w:val="0050786F"/>
    <w:rsid w:val="00510C9F"/>
    <w:rsid w:val="0051583E"/>
    <w:rsid w:val="00515FB5"/>
    <w:rsid w:val="0052408A"/>
    <w:rsid w:val="005249CE"/>
    <w:rsid w:val="0052629F"/>
    <w:rsid w:val="00530055"/>
    <w:rsid w:val="00534610"/>
    <w:rsid w:val="00534AAF"/>
    <w:rsid w:val="00540EE4"/>
    <w:rsid w:val="00542F85"/>
    <w:rsid w:val="0054384D"/>
    <w:rsid w:val="005539FC"/>
    <w:rsid w:val="005613BF"/>
    <w:rsid w:val="005619DB"/>
    <w:rsid w:val="00561CAA"/>
    <w:rsid w:val="00565BC3"/>
    <w:rsid w:val="0056647E"/>
    <w:rsid w:val="0056730F"/>
    <w:rsid w:val="0056773B"/>
    <w:rsid w:val="00567EDA"/>
    <w:rsid w:val="00571881"/>
    <w:rsid w:val="00581EAC"/>
    <w:rsid w:val="00582FB2"/>
    <w:rsid w:val="005875A1"/>
    <w:rsid w:val="00587804"/>
    <w:rsid w:val="005A18DD"/>
    <w:rsid w:val="005A2334"/>
    <w:rsid w:val="005A60DA"/>
    <w:rsid w:val="005B44AC"/>
    <w:rsid w:val="005B72E4"/>
    <w:rsid w:val="005B7CE3"/>
    <w:rsid w:val="005C0B9A"/>
    <w:rsid w:val="005C7273"/>
    <w:rsid w:val="005D1141"/>
    <w:rsid w:val="005D4205"/>
    <w:rsid w:val="005D65A9"/>
    <w:rsid w:val="005D77A5"/>
    <w:rsid w:val="005E56DA"/>
    <w:rsid w:val="005F328D"/>
    <w:rsid w:val="005F6DEF"/>
    <w:rsid w:val="00600A3B"/>
    <w:rsid w:val="006151B8"/>
    <w:rsid w:val="006152E8"/>
    <w:rsid w:val="00627E3A"/>
    <w:rsid w:val="00633AE0"/>
    <w:rsid w:val="00636882"/>
    <w:rsid w:val="006370DE"/>
    <w:rsid w:val="00637EEA"/>
    <w:rsid w:val="00650797"/>
    <w:rsid w:val="00653B6F"/>
    <w:rsid w:val="00657025"/>
    <w:rsid w:val="00666A7B"/>
    <w:rsid w:val="00671C62"/>
    <w:rsid w:val="0067502C"/>
    <w:rsid w:val="00675951"/>
    <w:rsid w:val="006765C2"/>
    <w:rsid w:val="006765E4"/>
    <w:rsid w:val="006766E5"/>
    <w:rsid w:val="00683352"/>
    <w:rsid w:val="006879D2"/>
    <w:rsid w:val="00687B41"/>
    <w:rsid w:val="00691807"/>
    <w:rsid w:val="00692CA5"/>
    <w:rsid w:val="00695F96"/>
    <w:rsid w:val="006B142F"/>
    <w:rsid w:val="006B20E2"/>
    <w:rsid w:val="006B2145"/>
    <w:rsid w:val="006B2F02"/>
    <w:rsid w:val="006C2B95"/>
    <w:rsid w:val="006C30BA"/>
    <w:rsid w:val="006C39AD"/>
    <w:rsid w:val="006D1E92"/>
    <w:rsid w:val="006D3229"/>
    <w:rsid w:val="006E19C9"/>
    <w:rsid w:val="006E2001"/>
    <w:rsid w:val="006E2A73"/>
    <w:rsid w:val="006E5136"/>
    <w:rsid w:val="006E74D9"/>
    <w:rsid w:val="006F4987"/>
    <w:rsid w:val="006F5ADA"/>
    <w:rsid w:val="006F6913"/>
    <w:rsid w:val="00702322"/>
    <w:rsid w:val="0071484F"/>
    <w:rsid w:val="00716934"/>
    <w:rsid w:val="007221B9"/>
    <w:rsid w:val="00722215"/>
    <w:rsid w:val="00726E2E"/>
    <w:rsid w:val="00732537"/>
    <w:rsid w:val="00732E6B"/>
    <w:rsid w:val="007336B6"/>
    <w:rsid w:val="00736CFD"/>
    <w:rsid w:val="00740DCB"/>
    <w:rsid w:val="00740FC0"/>
    <w:rsid w:val="00744CE1"/>
    <w:rsid w:val="00760BAD"/>
    <w:rsid w:val="00766D15"/>
    <w:rsid w:val="00771680"/>
    <w:rsid w:val="00775570"/>
    <w:rsid w:val="00775ED2"/>
    <w:rsid w:val="00782549"/>
    <w:rsid w:val="007840EC"/>
    <w:rsid w:val="00786C29"/>
    <w:rsid w:val="00787075"/>
    <w:rsid w:val="0078741B"/>
    <w:rsid w:val="00792F23"/>
    <w:rsid w:val="00796219"/>
    <w:rsid w:val="007A24C7"/>
    <w:rsid w:val="007A3109"/>
    <w:rsid w:val="007A6432"/>
    <w:rsid w:val="007A79FD"/>
    <w:rsid w:val="007A7C3A"/>
    <w:rsid w:val="007B161C"/>
    <w:rsid w:val="007B7598"/>
    <w:rsid w:val="007D17CF"/>
    <w:rsid w:val="007D2EAE"/>
    <w:rsid w:val="007D763E"/>
    <w:rsid w:val="007E5605"/>
    <w:rsid w:val="007E71A3"/>
    <w:rsid w:val="007F0E97"/>
    <w:rsid w:val="007F305C"/>
    <w:rsid w:val="007F4743"/>
    <w:rsid w:val="007F5D2A"/>
    <w:rsid w:val="007F66BC"/>
    <w:rsid w:val="007F7337"/>
    <w:rsid w:val="007F7E17"/>
    <w:rsid w:val="00800967"/>
    <w:rsid w:val="00802CB7"/>
    <w:rsid w:val="00803938"/>
    <w:rsid w:val="00807028"/>
    <w:rsid w:val="00807413"/>
    <w:rsid w:val="008109F1"/>
    <w:rsid w:val="00811443"/>
    <w:rsid w:val="008159E4"/>
    <w:rsid w:val="00821A9F"/>
    <w:rsid w:val="00822182"/>
    <w:rsid w:val="008362F6"/>
    <w:rsid w:val="00836DBC"/>
    <w:rsid w:val="008409DE"/>
    <w:rsid w:val="00840AE9"/>
    <w:rsid w:val="00840E45"/>
    <w:rsid w:val="00842B3A"/>
    <w:rsid w:val="00846F2C"/>
    <w:rsid w:val="00847A09"/>
    <w:rsid w:val="008514C1"/>
    <w:rsid w:val="00852716"/>
    <w:rsid w:val="0085324D"/>
    <w:rsid w:val="0085390B"/>
    <w:rsid w:val="00860FCA"/>
    <w:rsid w:val="00861EFD"/>
    <w:rsid w:val="00864545"/>
    <w:rsid w:val="00864F7C"/>
    <w:rsid w:val="008670DA"/>
    <w:rsid w:val="00870AE8"/>
    <w:rsid w:val="008720F2"/>
    <w:rsid w:val="00872266"/>
    <w:rsid w:val="0087518F"/>
    <w:rsid w:val="0088109F"/>
    <w:rsid w:val="008844BE"/>
    <w:rsid w:val="0088519F"/>
    <w:rsid w:val="008958C0"/>
    <w:rsid w:val="008A419C"/>
    <w:rsid w:val="008B67BC"/>
    <w:rsid w:val="008B71C9"/>
    <w:rsid w:val="008C0DF6"/>
    <w:rsid w:val="008C33E6"/>
    <w:rsid w:val="008C618F"/>
    <w:rsid w:val="008D573B"/>
    <w:rsid w:val="008E47DA"/>
    <w:rsid w:val="008E4860"/>
    <w:rsid w:val="008F014F"/>
    <w:rsid w:val="008F07D1"/>
    <w:rsid w:val="00903BE7"/>
    <w:rsid w:val="009101B4"/>
    <w:rsid w:val="009109B0"/>
    <w:rsid w:val="00917E6F"/>
    <w:rsid w:val="00920E88"/>
    <w:rsid w:val="00926CB3"/>
    <w:rsid w:val="009275FF"/>
    <w:rsid w:val="0093059B"/>
    <w:rsid w:val="00931966"/>
    <w:rsid w:val="0093307D"/>
    <w:rsid w:val="00933870"/>
    <w:rsid w:val="00934246"/>
    <w:rsid w:val="00940C2C"/>
    <w:rsid w:val="00943852"/>
    <w:rsid w:val="009452ED"/>
    <w:rsid w:val="009531AA"/>
    <w:rsid w:val="009568B6"/>
    <w:rsid w:val="00960AD5"/>
    <w:rsid w:val="0097029A"/>
    <w:rsid w:val="00970ADF"/>
    <w:rsid w:val="0097573F"/>
    <w:rsid w:val="00977B08"/>
    <w:rsid w:val="00980D31"/>
    <w:rsid w:val="00982970"/>
    <w:rsid w:val="009879A9"/>
    <w:rsid w:val="00987D1A"/>
    <w:rsid w:val="00991E05"/>
    <w:rsid w:val="00993635"/>
    <w:rsid w:val="009A6F21"/>
    <w:rsid w:val="009C6A83"/>
    <w:rsid w:val="009C7DA3"/>
    <w:rsid w:val="009E54CC"/>
    <w:rsid w:val="00A03405"/>
    <w:rsid w:val="00A03636"/>
    <w:rsid w:val="00A03ADF"/>
    <w:rsid w:val="00A0779F"/>
    <w:rsid w:val="00A107EC"/>
    <w:rsid w:val="00A22D7F"/>
    <w:rsid w:val="00A23E70"/>
    <w:rsid w:val="00A24E4A"/>
    <w:rsid w:val="00A25097"/>
    <w:rsid w:val="00A25B9D"/>
    <w:rsid w:val="00A300AA"/>
    <w:rsid w:val="00A32B2E"/>
    <w:rsid w:val="00A35F73"/>
    <w:rsid w:val="00A36158"/>
    <w:rsid w:val="00A37BF9"/>
    <w:rsid w:val="00A41F7D"/>
    <w:rsid w:val="00A47485"/>
    <w:rsid w:val="00A57C89"/>
    <w:rsid w:val="00A653CD"/>
    <w:rsid w:val="00A6608D"/>
    <w:rsid w:val="00A703B2"/>
    <w:rsid w:val="00A72E72"/>
    <w:rsid w:val="00A73629"/>
    <w:rsid w:val="00A73C29"/>
    <w:rsid w:val="00A74B1C"/>
    <w:rsid w:val="00A7547E"/>
    <w:rsid w:val="00A8101E"/>
    <w:rsid w:val="00A82FB5"/>
    <w:rsid w:val="00A84581"/>
    <w:rsid w:val="00A84E73"/>
    <w:rsid w:val="00A86367"/>
    <w:rsid w:val="00A93C70"/>
    <w:rsid w:val="00A9471F"/>
    <w:rsid w:val="00AA28B3"/>
    <w:rsid w:val="00AA68B2"/>
    <w:rsid w:val="00AA77A8"/>
    <w:rsid w:val="00AB1F79"/>
    <w:rsid w:val="00AB2521"/>
    <w:rsid w:val="00AB6B5E"/>
    <w:rsid w:val="00AC00C7"/>
    <w:rsid w:val="00AC0FBF"/>
    <w:rsid w:val="00AC2F1E"/>
    <w:rsid w:val="00AD1080"/>
    <w:rsid w:val="00AD6B0E"/>
    <w:rsid w:val="00AD7749"/>
    <w:rsid w:val="00AD7AA6"/>
    <w:rsid w:val="00AE0D41"/>
    <w:rsid w:val="00AE13BB"/>
    <w:rsid w:val="00AE21A7"/>
    <w:rsid w:val="00AE23D1"/>
    <w:rsid w:val="00AE2D98"/>
    <w:rsid w:val="00AE3FCB"/>
    <w:rsid w:val="00AE62E8"/>
    <w:rsid w:val="00AF1064"/>
    <w:rsid w:val="00AF543C"/>
    <w:rsid w:val="00AF6E93"/>
    <w:rsid w:val="00B00056"/>
    <w:rsid w:val="00B0246F"/>
    <w:rsid w:val="00B02813"/>
    <w:rsid w:val="00B12987"/>
    <w:rsid w:val="00B31EDD"/>
    <w:rsid w:val="00B34CAA"/>
    <w:rsid w:val="00B37BDC"/>
    <w:rsid w:val="00B37D60"/>
    <w:rsid w:val="00B4409A"/>
    <w:rsid w:val="00B44CC1"/>
    <w:rsid w:val="00B44DB6"/>
    <w:rsid w:val="00B46536"/>
    <w:rsid w:val="00B56B11"/>
    <w:rsid w:val="00B60C43"/>
    <w:rsid w:val="00B623FC"/>
    <w:rsid w:val="00B63F0B"/>
    <w:rsid w:val="00B70B71"/>
    <w:rsid w:val="00B70D67"/>
    <w:rsid w:val="00B723C8"/>
    <w:rsid w:val="00B72DDD"/>
    <w:rsid w:val="00B73392"/>
    <w:rsid w:val="00B76DAC"/>
    <w:rsid w:val="00B809C5"/>
    <w:rsid w:val="00B82235"/>
    <w:rsid w:val="00B83722"/>
    <w:rsid w:val="00B87678"/>
    <w:rsid w:val="00B87B8D"/>
    <w:rsid w:val="00B925C9"/>
    <w:rsid w:val="00B9343D"/>
    <w:rsid w:val="00B9531C"/>
    <w:rsid w:val="00B972B0"/>
    <w:rsid w:val="00BA443F"/>
    <w:rsid w:val="00BB277B"/>
    <w:rsid w:val="00BB4A5D"/>
    <w:rsid w:val="00BB6007"/>
    <w:rsid w:val="00BD067D"/>
    <w:rsid w:val="00BD6ABC"/>
    <w:rsid w:val="00BE5133"/>
    <w:rsid w:val="00BF097D"/>
    <w:rsid w:val="00BF22E6"/>
    <w:rsid w:val="00BF697A"/>
    <w:rsid w:val="00C0211A"/>
    <w:rsid w:val="00C11A2F"/>
    <w:rsid w:val="00C125A0"/>
    <w:rsid w:val="00C31F61"/>
    <w:rsid w:val="00C32EA5"/>
    <w:rsid w:val="00C44D45"/>
    <w:rsid w:val="00C5011A"/>
    <w:rsid w:val="00C50449"/>
    <w:rsid w:val="00C50ABC"/>
    <w:rsid w:val="00C51ACA"/>
    <w:rsid w:val="00C52352"/>
    <w:rsid w:val="00C60E3C"/>
    <w:rsid w:val="00C66E9F"/>
    <w:rsid w:val="00C71C57"/>
    <w:rsid w:val="00C729AA"/>
    <w:rsid w:val="00C80AF7"/>
    <w:rsid w:val="00C83A39"/>
    <w:rsid w:val="00C977CA"/>
    <w:rsid w:val="00CA028B"/>
    <w:rsid w:val="00CA14F7"/>
    <w:rsid w:val="00CA23F7"/>
    <w:rsid w:val="00CB1A6F"/>
    <w:rsid w:val="00CB1B79"/>
    <w:rsid w:val="00CB2939"/>
    <w:rsid w:val="00CB4563"/>
    <w:rsid w:val="00CB6C59"/>
    <w:rsid w:val="00CC4A1A"/>
    <w:rsid w:val="00CD1DF1"/>
    <w:rsid w:val="00CE0B17"/>
    <w:rsid w:val="00CF0091"/>
    <w:rsid w:val="00CF5FAA"/>
    <w:rsid w:val="00CF6C3C"/>
    <w:rsid w:val="00D013F3"/>
    <w:rsid w:val="00D03365"/>
    <w:rsid w:val="00D06ADC"/>
    <w:rsid w:val="00D079A3"/>
    <w:rsid w:val="00D16961"/>
    <w:rsid w:val="00D20048"/>
    <w:rsid w:val="00D20E88"/>
    <w:rsid w:val="00D21B99"/>
    <w:rsid w:val="00D2238D"/>
    <w:rsid w:val="00D2360E"/>
    <w:rsid w:val="00D2428E"/>
    <w:rsid w:val="00D2535E"/>
    <w:rsid w:val="00D33A38"/>
    <w:rsid w:val="00D40819"/>
    <w:rsid w:val="00D41473"/>
    <w:rsid w:val="00D41D45"/>
    <w:rsid w:val="00D42B35"/>
    <w:rsid w:val="00D42BC4"/>
    <w:rsid w:val="00D440E9"/>
    <w:rsid w:val="00D46C19"/>
    <w:rsid w:val="00D5013E"/>
    <w:rsid w:val="00D52D09"/>
    <w:rsid w:val="00D535FF"/>
    <w:rsid w:val="00D53C3C"/>
    <w:rsid w:val="00D70D49"/>
    <w:rsid w:val="00D74B33"/>
    <w:rsid w:val="00D76F58"/>
    <w:rsid w:val="00D77DBF"/>
    <w:rsid w:val="00D80D7A"/>
    <w:rsid w:val="00D81B16"/>
    <w:rsid w:val="00D83278"/>
    <w:rsid w:val="00D84C8D"/>
    <w:rsid w:val="00D861FA"/>
    <w:rsid w:val="00D93A18"/>
    <w:rsid w:val="00D948DF"/>
    <w:rsid w:val="00D9580C"/>
    <w:rsid w:val="00DA2D2F"/>
    <w:rsid w:val="00DB0B90"/>
    <w:rsid w:val="00DB1888"/>
    <w:rsid w:val="00DB3D0A"/>
    <w:rsid w:val="00DC19BF"/>
    <w:rsid w:val="00DC55B7"/>
    <w:rsid w:val="00DC5B43"/>
    <w:rsid w:val="00DC6A1A"/>
    <w:rsid w:val="00DD5DC2"/>
    <w:rsid w:val="00DE1800"/>
    <w:rsid w:val="00DE1B0D"/>
    <w:rsid w:val="00DE4856"/>
    <w:rsid w:val="00DE749B"/>
    <w:rsid w:val="00DF14F5"/>
    <w:rsid w:val="00DF3F44"/>
    <w:rsid w:val="00DF6533"/>
    <w:rsid w:val="00DF66C8"/>
    <w:rsid w:val="00DF7D29"/>
    <w:rsid w:val="00E0383D"/>
    <w:rsid w:val="00E0614E"/>
    <w:rsid w:val="00E11C5B"/>
    <w:rsid w:val="00E132EA"/>
    <w:rsid w:val="00E15A3E"/>
    <w:rsid w:val="00E202E9"/>
    <w:rsid w:val="00E20635"/>
    <w:rsid w:val="00E242E7"/>
    <w:rsid w:val="00E43B14"/>
    <w:rsid w:val="00E46175"/>
    <w:rsid w:val="00E478F3"/>
    <w:rsid w:val="00E503F1"/>
    <w:rsid w:val="00E54EA2"/>
    <w:rsid w:val="00E56444"/>
    <w:rsid w:val="00E67E58"/>
    <w:rsid w:val="00E70320"/>
    <w:rsid w:val="00E73667"/>
    <w:rsid w:val="00E87212"/>
    <w:rsid w:val="00EA0A0C"/>
    <w:rsid w:val="00EA5074"/>
    <w:rsid w:val="00EB5F8D"/>
    <w:rsid w:val="00EC000A"/>
    <w:rsid w:val="00EC3B5B"/>
    <w:rsid w:val="00EC677D"/>
    <w:rsid w:val="00EC72FB"/>
    <w:rsid w:val="00ED395D"/>
    <w:rsid w:val="00ED4F28"/>
    <w:rsid w:val="00ED5B0D"/>
    <w:rsid w:val="00EE2BDD"/>
    <w:rsid w:val="00EE45F3"/>
    <w:rsid w:val="00EF1462"/>
    <w:rsid w:val="00EF169C"/>
    <w:rsid w:val="00EF4361"/>
    <w:rsid w:val="00EF7F92"/>
    <w:rsid w:val="00F009BF"/>
    <w:rsid w:val="00F02849"/>
    <w:rsid w:val="00F070C9"/>
    <w:rsid w:val="00F135D8"/>
    <w:rsid w:val="00F15DDA"/>
    <w:rsid w:val="00F16191"/>
    <w:rsid w:val="00F204D0"/>
    <w:rsid w:val="00F21024"/>
    <w:rsid w:val="00F22C2F"/>
    <w:rsid w:val="00F2357A"/>
    <w:rsid w:val="00F24ADF"/>
    <w:rsid w:val="00F325D4"/>
    <w:rsid w:val="00F33FD9"/>
    <w:rsid w:val="00F34461"/>
    <w:rsid w:val="00F37A55"/>
    <w:rsid w:val="00F418D1"/>
    <w:rsid w:val="00F419A5"/>
    <w:rsid w:val="00F42386"/>
    <w:rsid w:val="00F43F86"/>
    <w:rsid w:val="00F46B7D"/>
    <w:rsid w:val="00F51D42"/>
    <w:rsid w:val="00F54EDC"/>
    <w:rsid w:val="00F5546F"/>
    <w:rsid w:val="00F56284"/>
    <w:rsid w:val="00F6093E"/>
    <w:rsid w:val="00F6127E"/>
    <w:rsid w:val="00F64865"/>
    <w:rsid w:val="00F6667E"/>
    <w:rsid w:val="00F670A1"/>
    <w:rsid w:val="00F674B6"/>
    <w:rsid w:val="00F70C99"/>
    <w:rsid w:val="00F75333"/>
    <w:rsid w:val="00F80B9B"/>
    <w:rsid w:val="00F810F4"/>
    <w:rsid w:val="00F825AC"/>
    <w:rsid w:val="00F83AA7"/>
    <w:rsid w:val="00F85435"/>
    <w:rsid w:val="00F85BBF"/>
    <w:rsid w:val="00F8748A"/>
    <w:rsid w:val="00F87BD1"/>
    <w:rsid w:val="00F90541"/>
    <w:rsid w:val="00F91182"/>
    <w:rsid w:val="00F92867"/>
    <w:rsid w:val="00F92FAD"/>
    <w:rsid w:val="00F952CD"/>
    <w:rsid w:val="00F95ACD"/>
    <w:rsid w:val="00F97CE8"/>
    <w:rsid w:val="00FA0133"/>
    <w:rsid w:val="00FA258C"/>
    <w:rsid w:val="00FB06B9"/>
    <w:rsid w:val="00FB46A2"/>
    <w:rsid w:val="00FB5A81"/>
    <w:rsid w:val="00FC4EE4"/>
    <w:rsid w:val="00FC6607"/>
    <w:rsid w:val="00FC6EF0"/>
    <w:rsid w:val="00FD0F42"/>
    <w:rsid w:val="00FD1997"/>
    <w:rsid w:val="00FD4BDD"/>
    <w:rsid w:val="00FE4D22"/>
    <w:rsid w:val="00FF5A6D"/>
    <w:rsid w:val="00FF5BF5"/>
    <w:rsid w:val="00FF6030"/>
    <w:rsid w:val="00FF6DD2"/>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E07"/>
  <w15:docId w15:val="{041B3A42-B715-44B6-A88F-CB2A260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19"/>
      <w:ind w:left="20"/>
    </w:pPr>
    <w:rPr>
      <w:b/>
      <w:bCs/>
      <w:sz w:val="28"/>
      <w:szCs w:val="28"/>
    </w:rPr>
  </w:style>
  <w:style w:type="paragraph" w:styleId="BodyText">
    <w:name w:val="Body Text"/>
    <w:basedOn w:val="Normal"/>
    <w:uiPriority w:val="1"/>
    <w:qFormat/>
    <w:rsid w:val="00F91182"/>
    <w:pPr>
      <w:jc w:val="both"/>
    </w:pPr>
    <w:rPr>
      <w:sz w:val="20"/>
      <w:szCs w:val="20"/>
    </w:rPr>
  </w:style>
  <w:style w:type="paragraph" w:styleId="ListParagraph">
    <w:name w:val="List Paragraph"/>
    <w:basedOn w:val="Normal"/>
    <w:uiPriority w:val="34"/>
    <w:qFormat/>
    <w:pPr>
      <w:spacing w:line="234" w:lineRule="exact"/>
      <w:ind w:left="558" w:hanging="34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F1319B"/>
    <w:pPr>
      <w:tabs>
        <w:tab w:val="center" w:pos="4680"/>
        <w:tab w:val="right" w:pos="9360"/>
      </w:tabs>
    </w:pPr>
  </w:style>
  <w:style w:type="character" w:customStyle="1" w:styleId="HeaderChar">
    <w:name w:val="Header Char"/>
    <w:basedOn w:val="DefaultParagraphFont"/>
    <w:link w:val="Header"/>
    <w:uiPriority w:val="99"/>
    <w:rsid w:val="00F1319B"/>
    <w:rPr>
      <w:rFonts w:ascii="Cambria" w:eastAsia="Cambria" w:hAnsi="Cambria" w:cs="Cambria"/>
    </w:rPr>
  </w:style>
  <w:style w:type="paragraph" w:styleId="Footer">
    <w:name w:val="footer"/>
    <w:basedOn w:val="Normal"/>
    <w:link w:val="FooterChar"/>
    <w:uiPriority w:val="99"/>
    <w:unhideWhenUsed/>
    <w:rsid w:val="00F1319B"/>
    <w:pPr>
      <w:tabs>
        <w:tab w:val="center" w:pos="4680"/>
        <w:tab w:val="right" w:pos="9360"/>
      </w:tabs>
    </w:pPr>
  </w:style>
  <w:style w:type="character" w:customStyle="1" w:styleId="FooterChar">
    <w:name w:val="Footer Char"/>
    <w:basedOn w:val="DefaultParagraphFont"/>
    <w:link w:val="Footer"/>
    <w:uiPriority w:val="99"/>
    <w:rsid w:val="00F1319B"/>
    <w:rPr>
      <w:rFonts w:ascii="Cambria" w:eastAsia="Cambria" w:hAnsi="Cambria" w:cs="Cambria"/>
    </w:rPr>
  </w:style>
  <w:style w:type="character" w:styleId="CommentReference">
    <w:name w:val="annotation reference"/>
    <w:basedOn w:val="DefaultParagraphFont"/>
    <w:uiPriority w:val="99"/>
    <w:semiHidden/>
    <w:unhideWhenUsed/>
    <w:rsid w:val="00DB01D7"/>
    <w:rPr>
      <w:sz w:val="16"/>
      <w:szCs w:val="16"/>
    </w:rPr>
  </w:style>
  <w:style w:type="paragraph" w:styleId="CommentText">
    <w:name w:val="annotation text"/>
    <w:basedOn w:val="Normal"/>
    <w:link w:val="CommentTextChar"/>
    <w:uiPriority w:val="99"/>
    <w:unhideWhenUsed/>
    <w:rsid w:val="00DB01D7"/>
    <w:rPr>
      <w:sz w:val="20"/>
      <w:szCs w:val="20"/>
    </w:rPr>
  </w:style>
  <w:style w:type="character" w:customStyle="1" w:styleId="CommentTextChar">
    <w:name w:val="Comment Text Char"/>
    <w:basedOn w:val="DefaultParagraphFont"/>
    <w:link w:val="CommentText"/>
    <w:uiPriority w:val="99"/>
    <w:rsid w:val="00DB01D7"/>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DB01D7"/>
    <w:rPr>
      <w:b/>
      <w:bCs/>
    </w:rPr>
  </w:style>
  <w:style w:type="character" w:customStyle="1" w:styleId="CommentSubjectChar">
    <w:name w:val="Comment Subject Char"/>
    <w:basedOn w:val="CommentTextChar"/>
    <w:link w:val="CommentSubject"/>
    <w:uiPriority w:val="99"/>
    <w:semiHidden/>
    <w:rsid w:val="00DB01D7"/>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DB0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D7"/>
    <w:rPr>
      <w:rFonts w:ascii="Segoe UI" w:eastAsia="Cambria" w:hAnsi="Segoe UI" w:cs="Segoe UI"/>
      <w:sz w:val="18"/>
      <w:szCs w:val="18"/>
    </w:rPr>
  </w:style>
  <w:style w:type="paragraph" w:customStyle="1" w:styleId="Default">
    <w:name w:val="Default"/>
    <w:rsid w:val="00C65A54"/>
    <w:pPr>
      <w:widowControl/>
      <w:adjustRightInd w:val="0"/>
    </w:pPr>
    <w:rPr>
      <w:color w:val="000000"/>
      <w:sz w:val="24"/>
      <w:szCs w:val="24"/>
    </w:rPr>
  </w:style>
  <w:style w:type="paragraph" w:styleId="Revision">
    <w:name w:val="Revision"/>
    <w:hidden/>
    <w:uiPriority w:val="99"/>
    <w:semiHidden/>
    <w:rsid w:val="005F61DB"/>
    <w:pPr>
      <w:widowControl/>
    </w:pPr>
  </w:style>
  <w:style w:type="character" w:styleId="Hyperlink">
    <w:name w:val="Hyperlink"/>
    <w:basedOn w:val="DefaultParagraphFont"/>
    <w:uiPriority w:val="99"/>
    <w:unhideWhenUsed/>
    <w:rsid w:val="00B66EF6"/>
    <w:rPr>
      <w:color w:val="0000FF" w:themeColor="hyperlink"/>
      <w:u w:val="single"/>
    </w:rPr>
  </w:style>
  <w:style w:type="character" w:customStyle="1" w:styleId="UnresolvedMention1">
    <w:name w:val="Unresolved Mention1"/>
    <w:basedOn w:val="DefaultParagraphFont"/>
    <w:uiPriority w:val="99"/>
    <w:semiHidden/>
    <w:unhideWhenUsed/>
    <w:rsid w:val="00B66EF6"/>
    <w:rPr>
      <w:color w:val="605E5C"/>
      <w:shd w:val="clear" w:color="auto" w:fill="E1DFDD"/>
    </w:rPr>
  </w:style>
  <w:style w:type="paragraph" w:styleId="Caption">
    <w:name w:val="caption"/>
    <w:basedOn w:val="Normal"/>
    <w:next w:val="Normal"/>
    <w:uiPriority w:val="35"/>
    <w:unhideWhenUsed/>
    <w:qFormat/>
    <w:rsid w:val="008007B0"/>
    <w:pPr>
      <w:spacing w:after="200"/>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2">
    <w:name w:val="Unresolved Mention2"/>
    <w:basedOn w:val="DefaultParagraphFont"/>
    <w:uiPriority w:val="99"/>
    <w:semiHidden/>
    <w:unhideWhenUsed/>
    <w:rsid w:val="00782549"/>
    <w:rPr>
      <w:color w:val="605E5C"/>
      <w:shd w:val="clear" w:color="auto" w:fill="E1DFDD"/>
    </w:rPr>
  </w:style>
  <w:style w:type="character" w:styleId="FollowedHyperlink">
    <w:name w:val="FollowedHyperlink"/>
    <w:basedOn w:val="DefaultParagraphFont"/>
    <w:uiPriority w:val="99"/>
    <w:semiHidden/>
    <w:unhideWhenUsed/>
    <w:rsid w:val="00782549"/>
    <w:rPr>
      <w:color w:val="800080" w:themeColor="followedHyperlink"/>
      <w:u w:val="single"/>
    </w:rPr>
  </w:style>
  <w:style w:type="paragraph" w:styleId="FootnoteText">
    <w:name w:val="footnote text"/>
    <w:basedOn w:val="Normal"/>
    <w:link w:val="FootnoteTextChar"/>
    <w:uiPriority w:val="99"/>
    <w:semiHidden/>
    <w:unhideWhenUsed/>
    <w:rsid w:val="00D20048"/>
    <w:pPr>
      <w:widowControl/>
    </w:pPr>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semiHidden/>
    <w:rsid w:val="00D20048"/>
    <w:rPr>
      <w:rFonts w:ascii="Calibri" w:eastAsia="Calibri" w:hAnsi="Calibri" w:cs="Calibri"/>
      <w:sz w:val="20"/>
      <w:szCs w:val="20"/>
      <w:lang w:val="en-GB"/>
    </w:rPr>
  </w:style>
  <w:style w:type="character" w:styleId="FootnoteReference">
    <w:name w:val="footnote reference"/>
    <w:basedOn w:val="DefaultParagraphFont"/>
    <w:uiPriority w:val="99"/>
    <w:semiHidden/>
    <w:unhideWhenUsed/>
    <w:rsid w:val="00D20048"/>
    <w:rPr>
      <w:vertAlign w:val="superscript"/>
    </w:rPr>
  </w:style>
  <w:style w:type="character" w:customStyle="1" w:styleId="UnresolvedMention3">
    <w:name w:val="Unresolved Mention3"/>
    <w:basedOn w:val="DefaultParagraphFont"/>
    <w:uiPriority w:val="99"/>
    <w:semiHidden/>
    <w:unhideWhenUsed/>
    <w:rsid w:val="00A72E72"/>
    <w:rPr>
      <w:color w:val="605E5C"/>
      <w:shd w:val="clear" w:color="auto" w:fill="E1DFDD"/>
    </w:rPr>
  </w:style>
  <w:style w:type="paragraph" w:styleId="NormalWeb">
    <w:name w:val="Normal (Web)"/>
    <w:basedOn w:val="Normal"/>
    <w:uiPriority w:val="99"/>
    <w:semiHidden/>
    <w:unhideWhenUsed/>
    <w:rsid w:val="00C5011A"/>
    <w:pPr>
      <w:widowControl/>
      <w:spacing w:before="100" w:beforeAutospacing="1" w:after="100" w:afterAutospacing="1"/>
    </w:pPr>
    <w:rPr>
      <w:rFonts w:ascii="Aptos" w:eastAsiaTheme="minorHAnsi" w:hAnsi="Aptos" w:cs="Aptos"/>
      <w:sz w:val="24"/>
      <w:szCs w:val="24"/>
      <w:lang w:val="en-GB" w:eastAsia="en-GB"/>
    </w:rPr>
  </w:style>
  <w:style w:type="character" w:styleId="UnresolvedMention">
    <w:name w:val="Unresolved Mention"/>
    <w:basedOn w:val="DefaultParagraphFont"/>
    <w:uiPriority w:val="99"/>
    <w:semiHidden/>
    <w:unhideWhenUsed/>
    <w:rsid w:val="00EE45F3"/>
    <w:rPr>
      <w:color w:val="605E5C"/>
      <w:shd w:val="clear" w:color="auto" w:fill="E1DFDD"/>
    </w:rPr>
  </w:style>
  <w:style w:type="paragraph" w:styleId="NoSpacing">
    <w:name w:val="No Spacing"/>
    <w:uiPriority w:val="1"/>
    <w:qFormat/>
    <w:rsid w:val="00F6127E"/>
    <w:pPr>
      <w:widowControl/>
    </w:pPr>
    <w:rPr>
      <w:rFonts w:ascii="Calibri" w:eastAsia="Calibri" w:hAnsi="Calibri" w:cs="Calibri"/>
      <w:lang w:val="en-GB"/>
    </w:rPr>
  </w:style>
  <w:style w:type="character" w:styleId="Strong">
    <w:name w:val="Strong"/>
    <w:basedOn w:val="DefaultParagraphFont"/>
    <w:uiPriority w:val="22"/>
    <w:qFormat/>
    <w:rsid w:val="007221B9"/>
    <w:rPr>
      <w:b/>
      <w:bCs/>
    </w:rPr>
  </w:style>
  <w:style w:type="character" w:styleId="Emphasis">
    <w:name w:val="Emphasis"/>
    <w:basedOn w:val="DefaultParagraphFont"/>
    <w:uiPriority w:val="20"/>
    <w:qFormat/>
    <w:rsid w:val="00722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11">
      <w:bodyDiv w:val="1"/>
      <w:marLeft w:val="0"/>
      <w:marRight w:val="0"/>
      <w:marTop w:val="0"/>
      <w:marBottom w:val="0"/>
      <w:divBdr>
        <w:top w:val="none" w:sz="0" w:space="0" w:color="auto"/>
        <w:left w:val="none" w:sz="0" w:space="0" w:color="auto"/>
        <w:bottom w:val="none" w:sz="0" w:space="0" w:color="auto"/>
        <w:right w:val="none" w:sz="0" w:space="0" w:color="auto"/>
      </w:divBdr>
    </w:div>
    <w:div w:id="982585677">
      <w:bodyDiv w:val="1"/>
      <w:marLeft w:val="0"/>
      <w:marRight w:val="0"/>
      <w:marTop w:val="0"/>
      <w:marBottom w:val="0"/>
      <w:divBdr>
        <w:top w:val="none" w:sz="0" w:space="0" w:color="auto"/>
        <w:left w:val="none" w:sz="0" w:space="0" w:color="auto"/>
        <w:bottom w:val="none" w:sz="0" w:space="0" w:color="auto"/>
        <w:right w:val="none" w:sz="0" w:space="0" w:color="auto"/>
      </w:divBdr>
    </w:div>
    <w:div w:id="1477837950">
      <w:bodyDiv w:val="1"/>
      <w:marLeft w:val="0"/>
      <w:marRight w:val="0"/>
      <w:marTop w:val="0"/>
      <w:marBottom w:val="0"/>
      <w:divBdr>
        <w:top w:val="none" w:sz="0" w:space="0" w:color="auto"/>
        <w:left w:val="none" w:sz="0" w:space="0" w:color="auto"/>
        <w:bottom w:val="none" w:sz="0" w:space="0" w:color="auto"/>
        <w:right w:val="none" w:sz="0" w:space="0" w:color="auto"/>
      </w:divBdr>
    </w:div>
    <w:div w:id="1622416705">
      <w:bodyDiv w:val="1"/>
      <w:marLeft w:val="0"/>
      <w:marRight w:val="0"/>
      <w:marTop w:val="0"/>
      <w:marBottom w:val="0"/>
      <w:divBdr>
        <w:top w:val="none" w:sz="0" w:space="0" w:color="auto"/>
        <w:left w:val="none" w:sz="0" w:space="0" w:color="auto"/>
        <w:bottom w:val="none" w:sz="0" w:space="0" w:color="auto"/>
        <w:right w:val="none" w:sz="0" w:space="0" w:color="auto"/>
      </w:divBdr>
    </w:div>
    <w:div w:id="1825585136">
      <w:bodyDiv w:val="1"/>
      <w:marLeft w:val="0"/>
      <w:marRight w:val="0"/>
      <w:marTop w:val="0"/>
      <w:marBottom w:val="0"/>
      <w:divBdr>
        <w:top w:val="none" w:sz="0" w:space="0" w:color="auto"/>
        <w:left w:val="none" w:sz="0" w:space="0" w:color="auto"/>
        <w:bottom w:val="none" w:sz="0" w:space="0" w:color="auto"/>
        <w:right w:val="none" w:sz="0" w:space="0" w:color="auto"/>
      </w:divBdr>
    </w:div>
    <w:div w:id="1843158550">
      <w:bodyDiv w:val="1"/>
      <w:marLeft w:val="0"/>
      <w:marRight w:val="0"/>
      <w:marTop w:val="0"/>
      <w:marBottom w:val="0"/>
      <w:divBdr>
        <w:top w:val="none" w:sz="0" w:space="0" w:color="auto"/>
        <w:left w:val="none" w:sz="0" w:space="0" w:color="auto"/>
        <w:bottom w:val="none" w:sz="0" w:space="0" w:color="auto"/>
        <w:right w:val="none" w:sz="0" w:space="0" w:color="auto"/>
      </w:divBdr>
    </w:div>
    <w:div w:id="1872061995">
      <w:bodyDiv w:val="1"/>
      <w:marLeft w:val="0"/>
      <w:marRight w:val="0"/>
      <w:marTop w:val="0"/>
      <w:marBottom w:val="0"/>
      <w:divBdr>
        <w:top w:val="none" w:sz="0" w:space="0" w:color="auto"/>
        <w:left w:val="none" w:sz="0" w:space="0" w:color="auto"/>
        <w:bottom w:val="none" w:sz="0" w:space="0" w:color="auto"/>
        <w:right w:val="none" w:sz="0" w:space="0" w:color="auto"/>
      </w:divBdr>
    </w:div>
    <w:div w:id="210005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sComm/uploads/COC_302_ENG_20251021103028.pdf" TargetMode="External"/><Relationship Id="rId18" Type="http://schemas.openxmlformats.org/officeDocument/2006/relationships/hyperlink" Target="https://www.iccat.int/Documents/Recs/compendiopdf-e/2022-17-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com2021/ENG/COC_306_ENG.pdf" TargetMode="External"/><Relationship Id="rId17" Type="http://schemas.openxmlformats.org/officeDocument/2006/relationships/hyperlink" Target="https://www.iccat.int/Documents/Recs/compendiopdf-e/2022-17-e.pdf" TargetMode="External"/><Relationship Id="rId2" Type="http://schemas.openxmlformats.org/officeDocument/2006/relationships/customXml" Target="../customXml/item2.xml"/><Relationship Id="rId16" Type="http://schemas.openxmlformats.org/officeDocument/2006/relationships/hyperlink" Target="https://www.iccat.int/DocsComm/uploads/COC_302_ENG_20251021103028.pdf"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sComm/uploads/COC_302_ENG_20251021103028.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at.int/DocsComm/uploads/COC_302_ENG_20251021103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ms.iccat.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sComm/uploads/COC_302_ENG_20251021103028.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8A53-EC69-4A1F-869B-EFA5E3BA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CDA71-7334-4D17-9C36-32859FC70B9F}">
  <ds:schemaRefs>
    <ds:schemaRef ds:uri="http://schemas.microsoft.com/sharepoint/v3/contenttype/forms"/>
  </ds:schemaRefs>
</ds:datastoreItem>
</file>

<file path=customXml/itemProps3.xml><?xml version="1.0" encoding="utf-8"?>
<ds:datastoreItem xmlns:ds="http://schemas.openxmlformats.org/officeDocument/2006/customXml" ds:itemID="{A1D1F282-C40F-479A-AE15-03CAD1DAA933}">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customXml/itemProps4.xml><?xml version="1.0" encoding="utf-8"?>
<ds:datastoreItem xmlns:ds="http://schemas.openxmlformats.org/officeDocument/2006/customXml" ds:itemID="{ADE27A44-F4D6-4D72-B799-BE31BA67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c:description/>
  <cp:lastModifiedBy>Karen Donovan</cp:lastModifiedBy>
  <cp:revision>45</cp:revision>
  <dcterms:created xsi:type="dcterms:W3CDTF">2025-11-10T08:38:00Z</dcterms:created>
  <dcterms:modified xsi:type="dcterms:W3CDTF">2025-11-15T08:42:00Z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