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F7A9" w14:textId="77777777" w:rsidR="00DB2307" w:rsidRPr="00DB2307" w:rsidRDefault="00DB2307" w:rsidP="00DB2307">
      <w:pPr>
        <w:jc w:val="center"/>
      </w:pPr>
    </w:p>
    <w:p w14:paraId="7B4ED5DF" w14:textId="51440A33" w:rsidR="00DB2307" w:rsidRPr="00DB2307" w:rsidRDefault="00DB2307" w:rsidP="00DB2307">
      <w:pPr>
        <w:jc w:val="center"/>
        <w:rPr>
          <w:rFonts w:ascii="Cambria" w:hAnsi="Cambria"/>
          <w:sz w:val="20"/>
          <w:szCs w:val="20"/>
        </w:rPr>
      </w:pPr>
      <w:r w:rsidRPr="00DB2307">
        <w:rPr>
          <w:rFonts w:ascii="Cambria" w:hAnsi="Cambria"/>
          <w:b/>
          <w:bCs/>
          <w:i/>
          <w:iCs/>
          <w:sz w:val="20"/>
          <w:szCs w:val="20"/>
        </w:rPr>
        <w:t xml:space="preserve">ADDENDUM </w:t>
      </w:r>
      <w:r w:rsidR="00940D66">
        <w:rPr>
          <w:rFonts w:ascii="Cambria" w:hAnsi="Cambria"/>
          <w:b/>
          <w:bCs/>
          <w:sz w:val="20"/>
          <w:szCs w:val="20"/>
        </w:rPr>
        <w:t>2</w:t>
      </w:r>
      <w:r w:rsidRPr="00DB2307">
        <w:rPr>
          <w:rFonts w:ascii="Cambria" w:hAnsi="Cambria"/>
          <w:b/>
          <w:bCs/>
          <w:sz w:val="20"/>
          <w:szCs w:val="20"/>
        </w:rPr>
        <w:t xml:space="preserve"> to COC-31</w:t>
      </w:r>
      <w:r w:rsidR="00060DCE">
        <w:rPr>
          <w:rFonts w:ascii="Cambria" w:hAnsi="Cambria"/>
          <w:b/>
          <w:bCs/>
          <w:sz w:val="20"/>
          <w:szCs w:val="20"/>
        </w:rPr>
        <w:t>5</w:t>
      </w:r>
    </w:p>
    <w:p w14:paraId="1A6FD728" w14:textId="7E6D0C87" w:rsidR="00DB2307" w:rsidRPr="00E73CA1" w:rsidRDefault="00DB2307" w:rsidP="00DB2307">
      <w:pPr>
        <w:jc w:val="center"/>
        <w:rPr>
          <w:rFonts w:ascii="Cambria" w:hAnsi="Cambria"/>
          <w:sz w:val="20"/>
          <w:szCs w:val="20"/>
        </w:rPr>
      </w:pPr>
      <w:r w:rsidRPr="00E73CA1">
        <w:rPr>
          <w:rFonts w:ascii="Cambria" w:hAnsi="Cambria"/>
          <w:b/>
          <w:bCs/>
          <w:i/>
          <w:iCs/>
          <w:sz w:val="20"/>
          <w:szCs w:val="20"/>
        </w:rPr>
        <w:t xml:space="preserve">ADDENDUM </w:t>
      </w:r>
      <w:r w:rsidR="00940D66">
        <w:rPr>
          <w:rFonts w:ascii="Cambria" w:hAnsi="Cambria"/>
          <w:b/>
          <w:bCs/>
          <w:sz w:val="20"/>
          <w:szCs w:val="20"/>
        </w:rPr>
        <w:t>2</w:t>
      </w:r>
      <w:r w:rsidRPr="00E73CA1">
        <w:rPr>
          <w:rFonts w:ascii="Cambria" w:hAnsi="Cambria"/>
          <w:b/>
          <w:bCs/>
          <w:sz w:val="20"/>
          <w:szCs w:val="20"/>
        </w:rPr>
        <w:t xml:space="preserve"> au COC-31</w:t>
      </w:r>
      <w:r w:rsidR="00060DCE" w:rsidRPr="00E73CA1">
        <w:rPr>
          <w:rFonts w:ascii="Cambria" w:hAnsi="Cambria"/>
          <w:b/>
          <w:bCs/>
          <w:sz w:val="20"/>
          <w:szCs w:val="20"/>
        </w:rPr>
        <w:t>5</w:t>
      </w:r>
    </w:p>
    <w:p w14:paraId="4F9DD8D8" w14:textId="203F6839" w:rsidR="00DB2307" w:rsidRPr="00E73CA1" w:rsidRDefault="00DB2307" w:rsidP="00DB2307">
      <w:pPr>
        <w:jc w:val="center"/>
        <w:rPr>
          <w:rFonts w:ascii="Cambria" w:hAnsi="Cambria"/>
          <w:sz w:val="20"/>
          <w:szCs w:val="20"/>
        </w:rPr>
      </w:pPr>
      <w:r w:rsidRPr="00E73CA1">
        <w:rPr>
          <w:rFonts w:ascii="Cambria" w:hAnsi="Cambria"/>
          <w:b/>
          <w:bCs/>
          <w:i/>
          <w:iCs/>
          <w:sz w:val="20"/>
          <w:szCs w:val="20"/>
        </w:rPr>
        <w:t xml:space="preserve">ADENDA </w:t>
      </w:r>
      <w:r w:rsidR="00940D66">
        <w:rPr>
          <w:rFonts w:ascii="Cambria" w:hAnsi="Cambria"/>
          <w:b/>
          <w:bCs/>
          <w:sz w:val="20"/>
          <w:szCs w:val="20"/>
        </w:rPr>
        <w:t>2</w:t>
      </w:r>
      <w:r w:rsidRPr="00E73CA1">
        <w:rPr>
          <w:rFonts w:ascii="Cambria" w:hAnsi="Cambria"/>
          <w:b/>
          <w:bCs/>
          <w:sz w:val="20"/>
          <w:szCs w:val="20"/>
        </w:rPr>
        <w:t xml:space="preserve"> al COC-31</w:t>
      </w:r>
      <w:r w:rsidR="00060DCE" w:rsidRPr="00E73CA1">
        <w:rPr>
          <w:rFonts w:ascii="Cambria" w:hAnsi="Cambria"/>
          <w:b/>
          <w:bCs/>
          <w:sz w:val="20"/>
          <w:szCs w:val="20"/>
        </w:rPr>
        <w:t>5</w:t>
      </w:r>
    </w:p>
    <w:p w14:paraId="71E14563" w14:textId="77777777" w:rsidR="00DB2307" w:rsidRPr="00E73CA1" w:rsidRDefault="00DB2307" w:rsidP="00DB2307">
      <w:pPr>
        <w:rPr>
          <w:rFonts w:ascii="Cambria" w:hAnsi="Cambria"/>
          <w:sz w:val="20"/>
          <w:szCs w:val="20"/>
        </w:rPr>
      </w:pPr>
    </w:p>
    <w:p w14:paraId="7594C2F6" w14:textId="7BFEFF50" w:rsidR="00DB2307" w:rsidRPr="00DB2307" w:rsidRDefault="00DB2307" w:rsidP="00DB2307">
      <w:pPr>
        <w:rPr>
          <w:rFonts w:ascii="Cambria" w:hAnsi="Cambria"/>
          <w:sz w:val="20"/>
          <w:szCs w:val="20"/>
        </w:rPr>
      </w:pPr>
      <w:r w:rsidRPr="00DB2307">
        <w:rPr>
          <w:rFonts w:ascii="Cambria" w:hAnsi="Cambria"/>
          <w:sz w:val="20"/>
          <w:szCs w:val="20"/>
        </w:rPr>
        <w:t>This addendum to COC-31</w:t>
      </w:r>
      <w:r w:rsidR="00060DCE">
        <w:rPr>
          <w:rFonts w:ascii="Cambria" w:hAnsi="Cambria"/>
          <w:sz w:val="20"/>
          <w:szCs w:val="20"/>
        </w:rPr>
        <w:t>5</w:t>
      </w:r>
      <w:r w:rsidRPr="00DB2307">
        <w:rPr>
          <w:rFonts w:ascii="Cambria" w:hAnsi="Cambria"/>
          <w:sz w:val="20"/>
          <w:szCs w:val="20"/>
        </w:rPr>
        <w:t>/202</w:t>
      </w:r>
      <w:r w:rsidRPr="00E66DA2">
        <w:rPr>
          <w:rFonts w:ascii="Cambria" w:hAnsi="Cambria"/>
          <w:sz w:val="20"/>
          <w:szCs w:val="20"/>
        </w:rPr>
        <w:t>5</w:t>
      </w:r>
      <w:r w:rsidRPr="00DB2307">
        <w:rPr>
          <w:rFonts w:ascii="Cambria" w:hAnsi="Cambria"/>
          <w:sz w:val="20"/>
          <w:szCs w:val="20"/>
        </w:rPr>
        <w:t xml:space="preserve"> contains the </w:t>
      </w:r>
      <w:r w:rsidR="00060DCE">
        <w:rPr>
          <w:rFonts w:ascii="Cambria" w:hAnsi="Cambria"/>
          <w:sz w:val="20"/>
          <w:szCs w:val="20"/>
        </w:rPr>
        <w:t xml:space="preserve">Billfish </w:t>
      </w:r>
      <w:r w:rsidRPr="00DB2307">
        <w:rPr>
          <w:rFonts w:ascii="Cambria" w:hAnsi="Cambria"/>
          <w:sz w:val="20"/>
          <w:szCs w:val="20"/>
        </w:rPr>
        <w:t>Check Sheets, including revisions, received after the 1</w:t>
      </w:r>
      <w:r w:rsidRPr="00E66DA2">
        <w:rPr>
          <w:rFonts w:ascii="Cambria" w:hAnsi="Cambria"/>
          <w:sz w:val="20"/>
          <w:szCs w:val="20"/>
        </w:rPr>
        <w:t>7</w:t>
      </w:r>
      <w:r w:rsidRPr="00DB2307">
        <w:rPr>
          <w:rFonts w:ascii="Cambria" w:hAnsi="Cambria"/>
          <w:sz w:val="20"/>
          <w:szCs w:val="20"/>
        </w:rPr>
        <w:t>th of October 202</w:t>
      </w:r>
      <w:r w:rsidRPr="00E66DA2">
        <w:rPr>
          <w:rFonts w:ascii="Cambria" w:hAnsi="Cambria"/>
          <w:sz w:val="20"/>
          <w:szCs w:val="20"/>
        </w:rPr>
        <w:t>5</w:t>
      </w:r>
      <w:r w:rsidRPr="00DB2307">
        <w:rPr>
          <w:rFonts w:ascii="Cambria" w:hAnsi="Cambria"/>
          <w:sz w:val="20"/>
          <w:szCs w:val="20"/>
        </w:rPr>
        <w:t xml:space="preserve">, from: </w:t>
      </w:r>
      <w:r w:rsidR="00940D66">
        <w:rPr>
          <w:rFonts w:ascii="Cambria" w:hAnsi="Cambria"/>
          <w:sz w:val="20"/>
          <w:szCs w:val="20"/>
        </w:rPr>
        <w:t>The Gambia</w:t>
      </w:r>
      <w:r w:rsidRPr="00E66DA2">
        <w:rPr>
          <w:rFonts w:ascii="Cambria" w:hAnsi="Cambria"/>
          <w:sz w:val="20"/>
          <w:szCs w:val="20"/>
        </w:rPr>
        <w:t>.</w:t>
      </w:r>
      <w:r w:rsidRPr="00DB2307">
        <w:rPr>
          <w:rFonts w:ascii="Cambria" w:hAnsi="Cambria"/>
          <w:sz w:val="20"/>
          <w:szCs w:val="20"/>
        </w:rPr>
        <w:t xml:space="preserve"> </w:t>
      </w:r>
    </w:p>
    <w:p w14:paraId="6708582B" w14:textId="17886DB4" w:rsidR="00DB2307" w:rsidRPr="00DB2307" w:rsidRDefault="00DB2307" w:rsidP="00DB2307">
      <w:pPr>
        <w:rPr>
          <w:rFonts w:ascii="Cambria" w:hAnsi="Cambria"/>
          <w:sz w:val="20"/>
          <w:szCs w:val="20"/>
          <w:lang w:val="fr-FR"/>
        </w:rPr>
      </w:pPr>
      <w:r w:rsidRPr="00DB2307">
        <w:rPr>
          <w:rFonts w:ascii="Cambria" w:hAnsi="Cambria"/>
          <w:sz w:val="20"/>
          <w:szCs w:val="20"/>
          <w:lang w:val="fr-FR"/>
        </w:rPr>
        <w:t xml:space="preserve">Le </w:t>
      </w:r>
      <w:proofErr w:type="spellStart"/>
      <w:r w:rsidRPr="00DB2307">
        <w:rPr>
          <w:rFonts w:ascii="Cambria" w:hAnsi="Cambria"/>
          <w:sz w:val="20"/>
          <w:szCs w:val="20"/>
          <w:lang w:val="fr-FR"/>
        </w:rPr>
        <w:t>présent</w:t>
      </w:r>
      <w:proofErr w:type="spellEnd"/>
      <w:r w:rsidRPr="00DB2307">
        <w:rPr>
          <w:rFonts w:ascii="Cambria" w:hAnsi="Cambria"/>
          <w:sz w:val="20"/>
          <w:szCs w:val="20"/>
          <w:lang w:val="fr-FR"/>
        </w:rPr>
        <w:t xml:space="preserve"> addendum au COC-314/202</w:t>
      </w:r>
      <w:r w:rsidRPr="00E66DA2">
        <w:rPr>
          <w:rFonts w:ascii="Cambria" w:hAnsi="Cambria"/>
          <w:sz w:val="20"/>
          <w:szCs w:val="20"/>
          <w:lang w:val="fr-FR"/>
        </w:rPr>
        <w:t>5</w:t>
      </w:r>
      <w:r w:rsidRPr="00DB2307">
        <w:rPr>
          <w:rFonts w:ascii="Cambria" w:hAnsi="Cambria"/>
          <w:sz w:val="20"/>
          <w:szCs w:val="20"/>
          <w:lang w:val="fr-FR"/>
        </w:rPr>
        <w:t xml:space="preserve"> contient les Feuilles de </w:t>
      </w:r>
      <w:proofErr w:type="spellStart"/>
      <w:r w:rsidRPr="00DB2307">
        <w:rPr>
          <w:rFonts w:ascii="Cambria" w:hAnsi="Cambria"/>
          <w:sz w:val="20"/>
          <w:szCs w:val="20"/>
          <w:lang w:val="fr-FR"/>
        </w:rPr>
        <w:t>contrôle</w:t>
      </w:r>
      <w:proofErr w:type="spellEnd"/>
      <w:r w:rsidRPr="00DB2307">
        <w:rPr>
          <w:rFonts w:ascii="Cambria" w:hAnsi="Cambria"/>
          <w:sz w:val="20"/>
          <w:szCs w:val="20"/>
          <w:lang w:val="fr-FR"/>
        </w:rPr>
        <w:t xml:space="preserve"> de la mise en </w:t>
      </w:r>
      <w:proofErr w:type="spellStart"/>
      <w:r w:rsidRPr="00DB2307">
        <w:rPr>
          <w:rFonts w:ascii="Cambria" w:hAnsi="Cambria"/>
          <w:sz w:val="20"/>
          <w:szCs w:val="20"/>
          <w:lang w:val="fr-FR"/>
        </w:rPr>
        <w:t>oeuvre</w:t>
      </w:r>
      <w:proofErr w:type="spellEnd"/>
      <w:r w:rsidRPr="00DB2307">
        <w:rPr>
          <w:rFonts w:ascii="Cambria" w:hAnsi="Cambria"/>
          <w:sz w:val="20"/>
          <w:szCs w:val="20"/>
          <w:lang w:val="fr-FR"/>
        </w:rPr>
        <w:t xml:space="preserve"> des mesures s'appliquant aux </w:t>
      </w:r>
      <w:proofErr w:type="spellStart"/>
      <w:r w:rsidR="00F77511">
        <w:rPr>
          <w:rFonts w:ascii="Cambria" w:hAnsi="Cambria"/>
          <w:sz w:val="20"/>
          <w:szCs w:val="20"/>
          <w:lang w:val="fr-FR"/>
        </w:rPr>
        <w:t>istiophoridés</w:t>
      </w:r>
      <w:proofErr w:type="spellEnd"/>
      <w:r w:rsidRPr="00DB2307">
        <w:rPr>
          <w:rFonts w:ascii="Cambria" w:hAnsi="Cambria"/>
          <w:sz w:val="20"/>
          <w:szCs w:val="20"/>
          <w:lang w:val="fr-FR"/>
        </w:rPr>
        <w:t xml:space="preserve">, incluant les </w:t>
      </w:r>
      <w:proofErr w:type="spellStart"/>
      <w:r w:rsidRPr="00DB2307">
        <w:rPr>
          <w:rFonts w:ascii="Cambria" w:hAnsi="Cambria"/>
          <w:sz w:val="20"/>
          <w:szCs w:val="20"/>
          <w:lang w:val="fr-FR"/>
        </w:rPr>
        <w:t>révisons</w:t>
      </w:r>
      <w:proofErr w:type="spellEnd"/>
      <w:r w:rsidRPr="00DB2307">
        <w:rPr>
          <w:rFonts w:ascii="Cambria" w:hAnsi="Cambria"/>
          <w:sz w:val="20"/>
          <w:szCs w:val="20"/>
          <w:lang w:val="fr-FR"/>
        </w:rPr>
        <w:t xml:space="preserve">, ayant </w:t>
      </w:r>
      <w:proofErr w:type="spellStart"/>
      <w:r w:rsidRPr="00DB2307">
        <w:rPr>
          <w:rFonts w:ascii="Cambria" w:hAnsi="Cambria"/>
          <w:sz w:val="20"/>
          <w:szCs w:val="20"/>
          <w:lang w:val="fr-FR"/>
        </w:rPr>
        <w:t>éte</w:t>
      </w:r>
      <w:proofErr w:type="spellEnd"/>
      <w:r w:rsidRPr="00DB2307">
        <w:rPr>
          <w:rFonts w:ascii="Cambria" w:hAnsi="Cambria"/>
          <w:sz w:val="20"/>
          <w:szCs w:val="20"/>
          <w:lang w:val="fr-FR"/>
        </w:rPr>
        <w:t xml:space="preserve">́ reçues </w:t>
      </w:r>
      <w:proofErr w:type="spellStart"/>
      <w:r w:rsidRPr="00DB2307">
        <w:rPr>
          <w:rFonts w:ascii="Cambria" w:hAnsi="Cambria"/>
          <w:sz w:val="20"/>
          <w:szCs w:val="20"/>
          <w:lang w:val="fr-FR"/>
        </w:rPr>
        <w:t>après</w:t>
      </w:r>
      <w:proofErr w:type="spellEnd"/>
      <w:r w:rsidRPr="00DB2307">
        <w:rPr>
          <w:rFonts w:ascii="Cambria" w:hAnsi="Cambria"/>
          <w:sz w:val="20"/>
          <w:szCs w:val="20"/>
          <w:lang w:val="fr-FR"/>
        </w:rPr>
        <w:t xml:space="preserve"> le 1</w:t>
      </w:r>
      <w:r w:rsidRPr="00E66DA2">
        <w:rPr>
          <w:rFonts w:ascii="Cambria" w:hAnsi="Cambria"/>
          <w:sz w:val="20"/>
          <w:szCs w:val="20"/>
          <w:lang w:val="fr-FR"/>
        </w:rPr>
        <w:t>7</w:t>
      </w:r>
      <w:r w:rsidRPr="00DB2307">
        <w:rPr>
          <w:rFonts w:ascii="Cambria" w:hAnsi="Cambria"/>
          <w:sz w:val="20"/>
          <w:szCs w:val="20"/>
          <w:lang w:val="fr-FR"/>
        </w:rPr>
        <w:t xml:space="preserve"> octobre 202</w:t>
      </w:r>
      <w:r w:rsidRPr="00E66DA2">
        <w:rPr>
          <w:rFonts w:ascii="Cambria" w:hAnsi="Cambria"/>
          <w:sz w:val="20"/>
          <w:szCs w:val="20"/>
          <w:lang w:val="fr-FR"/>
        </w:rPr>
        <w:t>5</w:t>
      </w:r>
      <w:r w:rsidRPr="00DB2307">
        <w:rPr>
          <w:rFonts w:ascii="Cambria" w:hAnsi="Cambria"/>
          <w:sz w:val="20"/>
          <w:szCs w:val="20"/>
          <w:lang w:val="fr-FR"/>
        </w:rPr>
        <w:t xml:space="preserve"> d</w:t>
      </w:r>
      <w:r w:rsidR="00F77511">
        <w:rPr>
          <w:rFonts w:ascii="Cambria" w:hAnsi="Cambria"/>
          <w:sz w:val="20"/>
          <w:szCs w:val="20"/>
          <w:lang w:val="fr-FR"/>
        </w:rPr>
        <w:t>u</w:t>
      </w:r>
      <w:r w:rsidRPr="00DB2307">
        <w:rPr>
          <w:rFonts w:ascii="Cambria" w:hAnsi="Cambria"/>
          <w:sz w:val="20"/>
          <w:szCs w:val="20"/>
          <w:lang w:val="fr-FR"/>
        </w:rPr>
        <w:t xml:space="preserve"> : </w:t>
      </w:r>
      <w:proofErr w:type="spellStart"/>
      <w:r w:rsidR="00940D66">
        <w:rPr>
          <w:rFonts w:ascii="Cambria" w:hAnsi="Cambria"/>
          <w:sz w:val="20"/>
          <w:szCs w:val="20"/>
          <w:lang w:val="fr-FR"/>
        </w:rPr>
        <w:t>Gambia</w:t>
      </w:r>
      <w:proofErr w:type="spellEnd"/>
      <w:r w:rsidR="00F77511">
        <w:rPr>
          <w:rFonts w:ascii="Cambria" w:hAnsi="Cambria"/>
          <w:sz w:val="20"/>
          <w:szCs w:val="20"/>
          <w:lang w:val="fr-FR"/>
        </w:rPr>
        <w:t>.</w:t>
      </w:r>
    </w:p>
    <w:p w14:paraId="1E89CD00" w14:textId="702DDE61" w:rsidR="00963363" w:rsidRDefault="00DB2307" w:rsidP="00DB2307">
      <w:pPr>
        <w:rPr>
          <w:rFonts w:ascii="Cambria" w:hAnsi="Cambria"/>
          <w:sz w:val="20"/>
          <w:szCs w:val="20"/>
          <w:lang w:val="es-ES"/>
        </w:rPr>
      </w:pPr>
      <w:r w:rsidRPr="00E66DA2">
        <w:rPr>
          <w:rFonts w:ascii="Cambria" w:hAnsi="Cambria"/>
          <w:sz w:val="20"/>
          <w:szCs w:val="20"/>
          <w:lang w:val="es-ES"/>
        </w:rPr>
        <w:t xml:space="preserve">Esta adenda al COC-314/2025 contiene las Hoja de control del cumplimento de las medidas relacionadas con los </w:t>
      </w:r>
      <w:proofErr w:type="spellStart"/>
      <w:r w:rsidR="00060DCE">
        <w:rPr>
          <w:rFonts w:ascii="Cambria" w:hAnsi="Cambria"/>
          <w:sz w:val="20"/>
          <w:szCs w:val="20"/>
          <w:lang w:val="es-ES"/>
        </w:rPr>
        <w:t>istiofóridos</w:t>
      </w:r>
      <w:proofErr w:type="spellEnd"/>
      <w:r w:rsidRPr="00E66DA2">
        <w:rPr>
          <w:rFonts w:ascii="Cambria" w:hAnsi="Cambria"/>
          <w:sz w:val="20"/>
          <w:szCs w:val="20"/>
          <w:lang w:val="es-ES"/>
        </w:rPr>
        <w:t xml:space="preserve">, incluidas las revisiones, recibidas </w:t>
      </w:r>
      <w:proofErr w:type="spellStart"/>
      <w:r w:rsidRPr="00E66DA2">
        <w:rPr>
          <w:rFonts w:ascii="Cambria" w:hAnsi="Cambria"/>
          <w:sz w:val="20"/>
          <w:szCs w:val="20"/>
          <w:lang w:val="es-ES"/>
        </w:rPr>
        <w:t>después</w:t>
      </w:r>
      <w:proofErr w:type="spellEnd"/>
      <w:r w:rsidRPr="00E66DA2">
        <w:rPr>
          <w:rFonts w:ascii="Cambria" w:hAnsi="Cambria"/>
          <w:sz w:val="20"/>
          <w:szCs w:val="20"/>
          <w:lang w:val="es-ES"/>
        </w:rPr>
        <w:t xml:space="preserve"> del 17 de octubre de 2025, de</w:t>
      </w:r>
      <w:r w:rsidR="00F77511">
        <w:rPr>
          <w:rFonts w:ascii="Cambria" w:hAnsi="Cambria"/>
          <w:sz w:val="20"/>
          <w:szCs w:val="20"/>
          <w:lang w:val="es-ES"/>
        </w:rPr>
        <w:t>l</w:t>
      </w:r>
      <w:r w:rsidRPr="00E66DA2">
        <w:rPr>
          <w:rFonts w:ascii="Cambria" w:hAnsi="Cambria"/>
          <w:sz w:val="20"/>
          <w:szCs w:val="20"/>
          <w:lang w:val="es-ES"/>
        </w:rPr>
        <w:t xml:space="preserve">: </w:t>
      </w:r>
      <w:r w:rsidR="00940D66" w:rsidRPr="00940D66">
        <w:rPr>
          <w:rFonts w:ascii="Cambria" w:hAnsi="Cambria"/>
          <w:sz w:val="20"/>
          <w:szCs w:val="20"/>
          <w:lang w:val="es-ES"/>
        </w:rPr>
        <w:t>Gambia</w:t>
      </w:r>
      <w:r w:rsidRPr="00E66DA2">
        <w:rPr>
          <w:rFonts w:ascii="Cambria" w:hAnsi="Cambria"/>
          <w:sz w:val="20"/>
          <w:szCs w:val="20"/>
          <w:lang w:val="es-ES"/>
        </w:rPr>
        <w:t>.</w:t>
      </w:r>
    </w:p>
    <w:p w14:paraId="1D7D4732" w14:textId="6A210E2C" w:rsidR="00940D66" w:rsidRDefault="00940D66">
      <w:pPr>
        <w:rPr>
          <w:rFonts w:ascii="Cambria" w:hAnsi="Cambria"/>
          <w:sz w:val="20"/>
          <w:szCs w:val="20"/>
          <w:lang w:val="es-ES"/>
        </w:rPr>
      </w:pPr>
      <w:r>
        <w:rPr>
          <w:rFonts w:ascii="Cambria" w:hAnsi="Cambria"/>
          <w:sz w:val="20"/>
          <w:szCs w:val="20"/>
          <w:lang w:val="es-ES"/>
        </w:rPr>
        <w:br w:type="page"/>
      </w:r>
    </w:p>
    <w:p w14:paraId="02F8C80F" w14:textId="77777777" w:rsidR="00940D66" w:rsidRPr="00B56A42" w:rsidRDefault="00940D66" w:rsidP="00940D66">
      <w:pPr>
        <w:jc w:val="center"/>
        <w:rPr>
          <w:rFonts w:ascii="Cambria" w:hAnsi="Cambria"/>
          <w:b/>
          <w:sz w:val="20"/>
          <w:szCs w:val="20"/>
          <w:lang w:val="es-ES"/>
        </w:rPr>
      </w:pPr>
      <w:proofErr w:type="spellStart"/>
      <w:r w:rsidRPr="00B56A42">
        <w:rPr>
          <w:rFonts w:ascii="Cambria" w:hAnsi="Cambria"/>
          <w:b/>
          <w:sz w:val="20"/>
          <w:szCs w:val="20"/>
          <w:lang w:val="es-ES"/>
        </w:rPr>
        <w:lastRenderedPageBreak/>
        <w:t>Billfish</w:t>
      </w:r>
      <w:proofErr w:type="spellEnd"/>
      <w:r w:rsidRPr="00B56A42">
        <w:rPr>
          <w:rFonts w:ascii="Cambria" w:hAnsi="Cambria"/>
          <w:b/>
          <w:sz w:val="20"/>
          <w:szCs w:val="20"/>
          <w:lang w:val="es-ES"/>
        </w:rPr>
        <w:t xml:space="preserve"> </w:t>
      </w:r>
      <w:proofErr w:type="spellStart"/>
      <w:r w:rsidRPr="00B56A42">
        <w:rPr>
          <w:rFonts w:ascii="Cambria" w:hAnsi="Cambria"/>
          <w:b/>
          <w:sz w:val="20"/>
          <w:szCs w:val="20"/>
          <w:lang w:val="es-ES"/>
        </w:rPr>
        <w:t>Check</w:t>
      </w:r>
      <w:proofErr w:type="spellEnd"/>
      <w:r w:rsidRPr="00B56A42">
        <w:rPr>
          <w:rFonts w:ascii="Cambria" w:hAnsi="Cambria"/>
          <w:b/>
          <w:sz w:val="20"/>
          <w:szCs w:val="20"/>
          <w:lang w:val="es-ES"/>
        </w:rPr>
        <w:t xml:space="preserve"> </w:t>
      </w:r>
      <w:proofErr w:type="spellStart"/>
      <w:r w:rsidRPr="00B56A42">
        <w:rPr>
          <w:rFonts w:ascii="Cambria" w:hAnsi="Cambria"/>
          <w:b/>
          <w:sz w:val="20"/>
          <w:szCs w:val="20"/>
          <w:lang w:val="es-ES"/>
        </w:rPr>
        <w:t>Sheet</w:t>
      </w:r>
      <w:proofErr w:type="spellEnd"/>
    </w:p>
    <w:tbl>
      <w:tblPr>
        <w:tblW w:w="9779" w:type="dxa"/>
        <w:tblInd w:w="-426" w:type="dxa"/>
        <w:tblLayout w:type="fixed"/>
        <w:tblLook w:val="04A0" w:firstRow="1" w:lastRow="0" w:firstColumn="1" w:lastColumn="0" w:noHBand="0" w:noVBand="1"/>
      </w:tblPr>
      <w:tblGrid>
        <w:gridCol w:w="9779"/>
      </w:tblGrid>
      <w:tr w:rsidR="00940D66" w:rsidRPr="00B56A42" w14:paraId="606D68EF" w14:textId="77777777" w:rsidTr="004B1E33">
        <w:trPr>
          <w:trHeight w:val="300"/>
        </w:trPr>
        <w:tc>
          <w:tcPr>
            <w:tcW w:w="9779" w:type="dxa"/>
            <w:vAlign w:val="center"/>
          </w:tcPr>
          <w:p w14:paraId="1D1F9A41" w14:textId="77777777" w:rsidR="00940D66" w:rsidRPr="00B56A42" w:rsidRDefault="00940D66" w:rsidP="004B1E33">
            <w:pPr>
              <w:rPr>
                <w:rFonts w:ascii="Cambria" w:eastAsia="Times New Roman" w:hAnsi="Cambria" w:cs="Times New Roman"/>
                <w:sz w:val="20"/>
                <w:szCs w:val="20"/>
              </w:rPr>
            </w:pPr>
            <w:r w:rsidRPr="00B56A42">
              <w:rPr>
                <w:rFonts w:ascii="Cambria" w:eastAsia="Times New Roman" w:hAnsi="Cambria" w:cs="Times New Roman"/>
                <w:b/>
                <w:sz w:val="20"/>
                <w:szCs w:val="20"/>
              </w:rPr>
              <w:t>Name of CPC: THE GAMBIA (2025)</w:t>
            </w:r>
          </w:p>
        </w:tc>
      </w:tr>
      <w:tr w:rsidR="00940D66" w:rsidRPr="00B56A42" w14:paraId="6C664281" w14:textId="77777777" w:rsidTr="004B1E33">
        <w:trPr>
          <w:trHeight w:val="470"/>
        </w:trPr>
        <w:tc>
          <w:tcPr>
            <w:tcW w:w="9779" w:type="dxa"/>
            <w:vAlign w:val="center"/>
          </w:tcPr>
          <w:p w14:paraId="605F87F1" w14:textId="77777777" w:rsidR="00940D66" w:rsidRPr="00B56A42" w:rsidRDefault="00940D66" w:rsidP="004B1E33">
            <w:pPr>
              <w:jc w:val="both"/>
              <w:rPr>
                <w:rFonts w:ascii="Cambria" w:eastAsia="Times New Roman" w:hAnsi="Cambria" w:cs="Calibri"/>
                <w:b/>
                <w:bCs/>
                <w:color w:val="000000" w:themeColor="text1"/>
                <w:sz w:val="20"/>
                <w:szCs w:val="20"/>
              </w:rPr>
            </w:pPr>
            <w:r w:rsidRPr="00B56A42">
              <w:rPr>
                <w:rFonts w:ascii="Cambria" w:eastAsia="Times New Roman" w:hAnsi="Cambria" w:cs="Calibri"/>
                <w:color w:val="000000"/>
                <w:sz w:val="20"/>
                <w:szCs w:val="20"/>
                <w:lang w:val="en-IE"/>
              </w:rPr>
              <w:t>Note: Each ICCAT requirement must be implemented in a legally binding manner. Just requesting fishermen to implement measures should not be regarded as implementation</w:t>
            </w:r>
            <w:bookmarkStart w:id="0" w:name="_Hlk131578595"/>
            <w:bookmarkStart w:id="1" w:name="_Hlk131580518"/>
            <w:r w:rsidRPr="00B56A42">
              <w:rPr>
                <w:rFonts w:ascii="Cambria" w:eastAsia="Times New Roman" w:hAnsi="Cambria" w:cs="Calibri"/>
                <w:b/>
                <w:bCs/>
                <w:color w:val="000000" w:themeColor="text1"/>
                <w:sz w:val="20"/>
                <w:szCs w:val="20"/>
              </w:rPr>
              <w:t>, except where the ICCAT provision is non-binding.</w:t>
            </w:r>
          </w:p>
          <w:p w14:paraId="4BEF10B3" w14:textId="77777777" w:rsidR="00940D66" w:rsidRPr="00B56A42" w:rsidRDefault="00940D66" w:rsidP="004B1E33">
            <w:pPr>
              <w:jc w:val="both"/>
              <w:rPr>
                <w:rFonts w:ascii="Cambria" w:eastAsia="Times New Roman" w:hAnsi="Cambria" w:cs="Calibri"/>
                <w:color w:val="000000" w:themeColor="text1"/>
                <w:sz w:val="20"/>
                <w:szCs w:val="20"/>
              </w:rPr>
            </w:pPr>
            <w:bookmarkStart w:id="2" w:name="_Hlk131580533"/>
            <w:r w:rsidRPr="00B56A42">
              <w:rPr>
                <w:rFonts w:ascii="Cambria" w:eastAsia="Times New Roman" w:hAnsi="Cambria" w:cs="Calibri"/>
                <w:b/>
                <w:bCs/>
                <w:color w:val="000000" w:themeColor="text1"/>
                <w:sz w:val="20"/>
                <w:szCs w:val="20"/>
              </w:rPr>
              <w:t>Note that “non-applicable” or “N/A” may only be used as a response where this is provided as an option in the Status of Implementation column</w:t>
            </w:r>
            <w:r w:rsidRPr="00B56A42">
              <w:rPr>
                <w:rFonts w:ascii="Cambria" w:hAnsi="Cambria"/>
                <w:color w:val="000000" w:themeColor="text1"/>
                <w:sz w:val="20"/>
                <w:szCs w:val="20"/>
              </w:rPr>
              <w:t>.</w:t>
            </w:r>
            <w:bookmarkEnd w:id="0"/>
            <w:bookmarkEnd w:id="1"/>
            <w:bookmarkEnd w:id="2"/>
          </w:p>
          <w:p w14:paraId="2D608F4D" w14:textId="77777777" w:rsidR="00940D66" w:rsidRPr="00B56A42" w:rsidRDefault="00940D66" w:rsidP="004B1E33">
            <w:pPr>
              <w:jc w:val="both"/>
              <w:rPr>
                <w:rFonts w:ascii="Cambria" w:eastAsia="Times New Roman" w:hAnsi="Cambria" w:cs="Calibri"/>
                <w:color w:val="000000"/>
                <w:sz w:val="20"/>
                <w:szCs w:val="20"/>
              </w:rPr>
            </w:pPr>
          </w:p>
        </w:tc>
      </w:tr>
    </w:tbl>
    <w:tbl>
      <w:tblPr>
        <w:tblStyle w:val="TableGrid1"/>
        <w:tblW w:w="10201" w:type="dxa"/>
        <w:jc w:val="center"/>
        <w:tblLayout w:type="fixed"/>
        <w:tblLook w:val="04A0" w:firstRow="1" w:lastRow="0" w:firstColumn="1" w:lastColumn="0" w:noHBand="0" w:noVBand="1"/>
      </w:tblPr>
      <w:tblGrid>
        <w:gridCol w:w="846"/>
        <w:gridCol w:w="985"/>
        <w:gridCol w:w="2960"/>
        <w:gridCol w:w="1178"/>
        <w:gridCol w:w="1539"/>
        <w:gridCol w:w="2693"/>
      </w:tblGrid>
      <w:tr w:rsidR="00940D66" w:rsidRPr="00B56A42" w14:paraId="5BFA3011" w14:textId="77777777" w:rsidTr="004B1E33">
        <w:trPr>
          <w:jc w:val="center"/>
        </w:trPr>
        <w:tc>
          <w:tcPr>
            <w:tcW w:w="845" w:type="dxa"/>
            <w:shd w:val="clear" w:color="auto" w:fill="FFFFFF" w:themeFill="background1"/>
            <w:vAlign w:val="center"/>
          </w:tcPr>
          <w:p w14:paraId="2A123E49" w14:textId="77777777" w:rsidR="00940D66" w:rsidRPr="00B56A42" w:rsidRDefault="00940D66" w:rsidP="004B1E33">
            <w:pPr>
              <w:rPr>
                <w:rFonts w:eastAsia="Calibri" w:cs="Calibri"/>
                <w:b/>
                <w:bCs/>
                <w:i/>
                <w:color w:val="000000"/>
                <w:szCs w:val="20"/>
                <w:lang w:val="es-ES"/>
              </w:rPr>
            </w:pPr>
            <w:r w:rsidRPr="00B56A42">
              <w:rPr>
                <w:rFonts w:ascii="Cambria" w:eastAsia="Calibri" w:hAnsi="Cambria" w:cs="Calibri"/>
                <w:b/>
                <w:bCs/>
                <w:i/>
                <w:color w:val="000000"/>
                <w:szCs w:val="20"/>
                <w:lang w:val="es-ES"/>
              </w:rPr>
              <w:t>Rec. #</w:t>
            </w:r>
          </w:p>
        </w:tc>
        <w:tc>
          <w:tcPr>
            <w:tcW w:w="985" w:type="dxa"/>
            <w:shd w:val="clear" w:color="auto" w:fill="FFFFFF" w:themeFill="background1"/>
            <w:vAlign w:val="center"/>
          </w:tcPr>
          <w:p w14:paraId="18EC2DE5" w14:textId="77777777" w:rsidR="00940D66" w:rsidRPr="00B56A42" w:rsidRDefault="00940D66" w:rsidP="004B1E33">
            <w:pPr>
              <w:jc w:val="center"/>
              <w:rPr>
                <w:rFonts w:eastAsia="Calibri" w:cs="Calibri"/>
                <w:b/>
                <w:bCs/>
                <w:i/>
                <w:color w:val="000000"/>
                <w:szCs w:val="20"/>
                <w:lang w:val="es-ES"/>
              </w:rPr>
            </w:pPr>
            <w:r w:rsidRPr="00B56A42">
              <w:rPr>
                <w:rFonts w:ascii="Cambria" w:eastAsia="Calibri" w:hAnsi="Cambria" w:cs="Calibri"/>
                <w:b/>
                <w:bCs/>
                <w:i/>
                <w:color w:val="000000"/>
                <w:szCs w:val="20"/>
                <w:lang w:val="es-ES"/>
              </w:rPr>
              <w:t>Para #</w:t>
            </w:r>
          </w:p>
        </w:tc>
        <w:tc>
          <w:tcPr>
            <w:tcW w:w="2960" w:type="dxa"/>
            <w:shd w:val="clear" w:color="auto" w:fill="FFFFFF" w:themeFill="background1"/>
            <w:vAlign w:val="center"/>
          </w:tcPr>
          <w:p w14:paraId="37A96696" w14:textId="77777777" w:rsidR="00940D66" w:rsidRPr="00B56A42" w:rsidRDefault="00940D66" w:rsidP="004B1E33">
            <w:pPr>
              <w:jc w:val="center"/>
              <w:rPr>
                <w:rFonts w:eastAsia="Calibri" w:cs="Calibri"/>
                <w:b/>
                <w:bCs/>
                <w:i/>
                <w:color w:val="000000"/>
                <w:szCs w:val="20"/>
                <w:lang w:val="es-ES"/>
              </w:rPr>
            </w:pPr>
            <w:proofErr w:type="spellStart"/>
            <w:r w:rsidRPr="00B56A42">
              <w:rPr>
                <w:rFonts w:ascii="Cambria" w:eastAsia="Calibri" w:hAnsi="Cambria" w:cs="Calibri"/>
                <w:b/>
                <w:bCs/>
                <w:i/>
                <w:color w:val="000000"/>
                <w:szCs w:val="20"/>
                <w:lang w:val="es-ES"/>
              </w:rPr>
              <w:t>Requirement</w:t>
            </w:r>
            <w:proofErr w:type="spellEnd"/>
          </w:p>
        </w:tc>
        <w:tc>
          <w:tcPr>
            <w:tcW w:w="1178" w:type="dxa"/>
            <w:shd w:val="clear" w:color="auto" w:fill="FFFFFF" w:themeFill="background1"/>
            <w:vAlign w:val="center"/>
          </w:tcPr>
          <w:p w14:paraId="78D14B66" w14:textId="77777777" w:rsidR="00940D66" w:rsidRPr="00B56A42" w:rsidRDefault="00940D66" w:rsidP="004B1E33">
            <w:pPr>
              <w:jc w:val="center"/>
              <w:rPr>
                <w:rFonts w:eastAsia="Calibri" w:cs="Calibri"/>
                <w:b/>
                <w:bCs/>
                <w:i/>
                <w:color w:val="000000"/>
                <w:szCs w:val="20"/>
                <w:lang w:val="es-ES"/>
              </w:rPr>
            </w:pPr>
            <w:proofErr w:type="gramStart"/>
            <w:r w:rsidRPr="00B56A42">
              <w:rPr>
                <w:rFonts w:ascii="Cambria" w:eastAsia="Calibri" w:hAnsi="Cambria" w:cs="Calibri"/>
                <w:b/>
                <w:bCs/>
                <w:i/>
                <w:color w:val="000000"/>
                <w:szCs w:val="20"/>
                <w:lang w:val="es-ES"/>
              </w:rPr>
              <w:t>Status</w:t>
            </w:r>
            <w:proofErr w:type="gramEnd"/>
            <w:r w:rsidRPr="00B56A42">
              <w:rPr>
                <w:rFonts w:ascii="Cambria" w:eastAsia="Calibri" w:hAnsi="Cambria" w:cs="Calibri"/>
                <w:b/>
                <w:bCs/>
                <w:i/>
                <w:color w:val="000000"/>
                <w:szCs w:val="20"/>
                <w:lang w:val="es-ES"/>
              </w:rPr>
              <w:t xml:space="preserve"> </w:t>
            </w:r>
            <w:proofErr w:type="spellStart"/>
            <w:r w:rsidRPr="00B56A42">
              <w:rPr>
                <w:rFonts w:ascii="Cambria" w:eastAsia="Calibri" w:hAnsi="Cambria" w:cs="Calibri"/>
                <w:b/>
                <w:bCs/>
                <w:i/>
                <w:color w:val="000000"/>
                <w:szCs w:val="20"/>
                <w:lang w:val="es-ES"/>
              </w:rPr>
              <w:t>of</w:t>
            </w:r>
            <w:proofErr w:type="spellEnd"/>
            <w:r w:rsidRPr="00B56A42">
              <w:rPr>
                <w:rFonts w:ascii="Cambria" w:eastAsia="Calibri" w:hAnsi="Cambria" w:cs="Calibri"/>
                <w:b/>
                <w:bCs/>
                <w:i/>
                <w:color w:val="000000"/>
                <w:szCs w:val="20"/>
                <w:lang w:val="es-ES"/>
              </w:rPr>
              <w:t xml:space="preserve"> </w:t>
            </w:r>
            <w:proofErr w:type="spellStart"/>
            <w:r w:rsidRPr="00B56A42">
              <w:rPr>
                <w:rFonts w:ascii="Cambria" w:eastAsia="Calibri" w:hAnsi="Cambria" w:cs="Calibri"/>
                <w:b/>
                <w:bCs/>
                <w:i/>
                <w:color w:val="000000"/>
                <w:szCs w:val="20"/>
                <w:lang w:val="es-ES"/>
              </w:rPr>
              <w:t>implemen-tation</w:t>
            </w:r>
            <w:proofErr w:type="spellEnd"/>
          </w:p>
        </w:tc>
        <w:tc>
          <w:tcPr>
            <w:tcW w:w="1539" w:type="dxa"/>
            <w:shd w:val="clear" w:color="auto" w:fill="FFFFFF" w:themeFill="background1"/>
          </w:tcPr>
          <w:p w14:paraId="10469021" w14:textId="77777777" w:rsidR="00940D66" w:rsidRPr="00B56A42" w:rsidRDefault="00940D66" w:rsidP="004B1E33">
            <w:pPr>
              <w:jc w:val="center"/>
              <w:rPr>
                <w:rFonts w:cs="Calibri"/>
                <w:b/>
                <w:bCs/>
                <w:i/>
                <w:color w:val="000000"/>
                <w:szCs w:val="20"/>
                <w:lang w:val="en-IE"/>
              </w:rPr>
            </w:pPr>
            <w:r w:rsidRPr="00B56A42">
              <w:rPr>
                <w:rFonts w:ascii="Cambria" w:eastAsia="Calibri" w:hAnsi="Cambria" w:cs="Calibri"/>
                <w:b/>
                <w:bCs/>
                <w:i/>
                <w:color w:val="000000"/>
                <w:szCs w:val="20"/>
                <w:lang w:val="en-IE"/>
              </w:rPr>
              <w:t>Relevant domestic laws or regulations (as applicable, include text, references, or</w:t>
            </w:r>
          </w:p>
          <w:p w14:paraId="7E13F011" w14:textId="77777777" w:rsidR="00940D66" w:rsidRPr="00B56A42" w:rsidRDefault="00940D66" w:rsidP="004B1E33">
            <w:pPr>
              <w:jc w:val="center"/>
              <w:rPr>
                <w:rFonts w:cs="Calibri"/>
                <w:b/>
                <w:bCs/>
                <w:i/>
                <w:color w:val="000000"/>
                <w:szCs w:val="20"/>
                <w:lang w:val="en-IE"/>
              </w:rPr>
            </w:pPr>
            <w:r w:rsidRPr="00B56A42">
              <w:rPr>
                <w:rFonts w:ascii="Cambria" w:eastAsia="Calibri" w:hAnsi="Cambria" w:cs="Calibri"/>
                <w:b/>
                <w:bCs/>
                <w:i/>
                <w:color w:val="000000"/>
                <w:szCs w:val="20"/>
                <w:lang w:val="en-IE"/>
              </w:rPr>
              <w:t xml:space="preserve">links where this </w:t>
            </w:r>
          </w:p>
          <w:p w14:paraId="5DEDB136" w14:textId="77777777" w:rsidR="00940D66" w:rsidRPr="00B56A42" w:rsidRDefault="00940D66" w:rsidP="004B1E33">
            <w:pPr>
              <w:jc w:val="center"/>
              <w:rPr>
                <w:rFonts w:eastAsia="Calibri" w:cs="Calibri"/>
                <w:b/>
                <w:bCs/>
                <w:i/>
                <w:color w:val="000000"/>
                <w:szCs w:val="20"/>
                <w:lang w:val="en-IE"/>
              </w:rPr>
            </w:pPr>
            <w:r w:rsidRPr="00B56A42">
              <w:rPr>
                <w:rFonts w:ascii="Cambria" w:eastAsia="Calibri" w:hAnsi="Cambria" w:cs="Calibri"/>
                <w:b/>
                <w:bCs/>
                <w:i/>
                <w:color w:val="000000"/>
                <w:szCs w:val="20"/>
                <w:lang w:val="en-IE"/>
              </w:rPr>
              <w:t xml:space="preserve">information is codified) </w:t>
            </w:r>
          </w:p>
        </w:tc>
        <w:tc>
          <w:tcPr>
            <w:tcW w:w="2693" w:type="dxa"/>
            <w:shd w:val="clear" w:color="auto" w:fill="FFFFFF" w:themeFill="background1"/>
            <w:vAlign w:val="center"/>
          </w:tcPr>
          <w:p w14:paraId="02B45A55" w14:textId="77777777" w:rsidR="00940D66" w:rsidRPr="00B56A42" w:rsidRDefault="00940D66" w:rsidP="004B1E33">
            <w:pPr>
              <w:jc w:val="center"/>
              <w:rPr>
                <w:rFonts w:eastAsia="Calibri" w:cs="Calibri"/>
                <w:b/>
                <w:bCs/>
                <w:i/>
                <w:color w:val="000000"/>
                <w:szCs w:val="20"/>
                <w:lang w:val="es-ES"/>
              </w:rPr>
            </w:pPr>
            <w:r w:rsidRPr="00B56A42">
              <w:rPr>
                <w:rFonts w:ascii="Cambria" w:eastAsia="Calibri" w:hAnsi="Cambria" w:cs="Calibri"/>
                <w:b/>
                <w:bCs/>
                <w:i/>
                <w:color w:val="000000"/>
                <w:szCs w:val="20"/>
                <w:lang w:val="es-ES"/>
              </w:rPr>
              <w:t>Notes/</w:t>
            </w:r>
            <w:proofErr w:type="spellStart"/>
            <w:r w:rsidRPr="00B56A42">
              <w:rPr>
                <w:rFonts w:ascii="Cambria" w:eastAsia="Calibri" w:hAnsi="Cambria" w:cs="Calibri"/>
                <w:b/>
                <w:bCs/>
                <w:i/>
                <w:color w:val="000000"/>
                <w:szCs w:val="20"/>
                <w:lang w:val="es-ES"/>
              </w:rPr>
              <w:t>explanations</w:t>
            </w:r>
            <w:proofErr w:type="spellEnd"/>
          </w:p>
        </w:tc>
      </w:tr>
      <w:tr w:rsidR="00940D66" w:rsidRPr="00B56A42" w14:paraId="21462EFC" w14:textId="77777777" w:rsidTr="004B1E33">
        <w:trPr>
          <w:jc w:val="center"/>
        </w:trPr>
        <w:tc>
          <w:tcPr>
            <w:tcW w:w="845" w:type="dxa"/>
            <w:shd w:val="clear" w:color="auto" w:fill="FFFFFF" w:themeFill="background1"/>
          </w:tcPr>
          <w:p w14:paraId="2812D711" w14:textId="77777777" w:rsidR="00940D66" w:rsidRPr="00B56A42" w:rsidRDefault="00940D66" w:rsidP="004B1E33">
            <w:pPr>
              <w:rPr>
                <w:rFonts w:eastAsia="Calibri" w:cs="Times New Roman"/>
                <w:szCs w:val="20"/>
                <w:lang w:val="es-ES"/>
              </w:rPr>
            </w:pPr>
            <w:r w:rsidRPr="00B56A42">
              <w:rPr>
                <w:rFonts w:ascii="Cambria" w:eastAsia="Calibri" w:hAnsi="Cambria" w:cs="Times New Roman"/>
                <w:szCs w:val="20"/>
                <w:lang w:val="es-ES"/>
              </w:rPr>
              <w:t>19-05</w:t>
            </w:r>
          </w:p>
        </w:tc>
        <w:tc>
          <w:tcPr>
            <w:tcW w:w="985" w:type="dxa"/>
            <w:shd w:val="clear" w:color="auto" w:fill="FFFFFF" w:themeFill="background1"/>
          </w:tcPr>
          <w:p w14:paraId="75D17E50" w14:textId="77777777" w:rsidR="00940D66" w:rsidRPr="00B56A42" w:rsidRDefault="00940D66" w:rsidP="004B1E33">
            <w:pPr>
              <w:jc w:val="center"/>
              <w:rPr>
                <w:rFonts w:eastAsia="Calibri" w:cs="Times New Roman"/>
                <w:szCs w:val="20"/>
                <w:lang w:val="es-ES"/>
              </w:rPr>
            </w:pPr>
            <w:r w:rsidRPr="00B56A42">
              <w:rPr>
                <w:rFonts w:ascii="Cambria" w:eastAsia="Calibri" w:hAnsi="Cambria" w:cs="Times New Roman"/>
                <w:szCs w:val="20"/>
                <w:lang w:val="es-ES"/>
              </w:rPr>
              <w:t>2</w:t>
            </w:r>
          </w:p>
        </w:tc>
        <w:tc>
          <w:tcPr>
            <w:tcW w:w="2960" w:type="dxa"/>
            <w:shd w:val="clear" w:color="auto" w:fill="FFFFFF" w:themeFill="background1"/>
            <w:vAlign w:val="center"/>
          </w:tcPr>
          <w:p w14:paraId="00E7CCC9" w14:textId="77777777" w:rsidR="00940D66" w:rsidRPr="00B56A42" w:rsidRDefault="00940D66" w:rsidP="004B1E33">
            <w:pPr>
              <w:jc w:val="both"/>
              <w:rPr>
                <w:rFonts w:eastAsia="Calibri" w:cs="Times New Roman"/>
                <w:szCs w:val="20"/>
              </w:rPr>
            </w:pPr>
            <w:r w:rsidRPr="00B56A42">
              <w:rPr>
                <w:rFonts w:ascii="Cambria" w:eastAsia="Calibri" w:hAnsi="Cambria" w:cs="Times New Roman"/>
                <w:szCs w:val="20"/>
              </w:rPr>
              <w:t xml:space="preserve">Landings limits – </w:t>
            </w:r>
          </w:p>
          <w:p w14:paraId="57A7E919" w14:textId="77777777" w:rsidR="00940D66" w:rsidRPr="00B56A42" w:rsidRDefault="00940D66" w:rsidP="004B1E33">
            <w:pPr>
              <w:jc w:val="both"/>
              <w:rPr>
                <w:rFonts w:eastAsia="Calibri" w:cs="Times New Roman"/>
                <w:szCs w:val="20"/>
              </w:rPr>
            </w:pPr>
            <w:r w:rsidRPr="00B56A42">
              <w:rPr>
                <w:rFonts w:ascii="Cambria" w:eastAsia="Calibri" w:hAnsi="Cambria" w:cs="Times New Roman"/>
                <w:szCs w:val="20"/>
              </w:rPr>
              <w:t>Blue marlin landings limits.  Para. 2 establishes CPC-specific landing limits for certain CPCs and a generally applicable landing limit for all other CPCs.</w:t>
            </w:r>
          </w:p>
          <w:p w14:paraId="5FA6591F" w14:textId="77777777" w:rsidR="00940D66" w:rsidRPr="00B56A42" w:rsidRDefault="00940D66" w:rsidP="004B1E33">
            <w:pPr>
              <w:jc w:val="both"/>
              <w:rPr>
                <w:rFonts w:eastAsia="Calibri" w:cs="Times New Roman"/>
                <w:szCs w:val="20"/>
              </w:rPr>
            </w:pPr>
            <w:r w:rsidRPr="00B56A42">
              <w:rPr>
                <w:rFonts w:ascii="Cambria" w:eastAsia="Calibri" w:hAnsi="Cambria" w:cs="Times New Roman"/>
                <w:szCs w:val="20"/>
              </w:rPr>
              <w:t xml:space="preserve"> </w:t>
            </w:r>
          </w:p>
          <w:p w14:paraId="0BB5D4EE" w14:textId="77777777" w:rsidR="00940D66" w:rsidRPr="00B56A42" w:rsidRDefault="00940D66" w:rsidP="004B1E33">
            <w:pPr>
              <w:jc w:val="both"/>
              <w:rPr>
                <w:rFonts w:eastAsia="Calibri" w:cs="Times New Roman"/>
                <w:szCs w:val="20"/>
              </w:rPr>
            </w:pPr>
            <w:r w:rsidRPr="00B56A42">
              <w:rPr>
                <w:rFonts w:ascii="Cambria" w:eastAsia="Calibri" w:hAnsi="Cambria" w:cs="Times New Roman"/>
                <w:szCs w:val="20"/>
              </w:rPr>
              <w:t xml:space="preserve">Were your CPC’s total landings (from all fisheries, including commercial, recreational, sport, artisanal, subsistence) for blue marlin within the applicable limit in paragraph 2 or (or in the case of CPCs with a </w:t>
            </w:r>
            <w:proofErr w:type="gramStart"/>
            <w:r w:rsidRPr="00B56A42">
              <w:rPr>
                <w:rFonts w:ascii="Cambria" w:eastAsia="Calibri" w:hAnsi="Cambria" w:cs="Times New Roman"/>
                <w:szCs w:val="20"/>
              </w:rPr>
              <w:t>specific landings</w:t>
            </w:r>
            <w:proofErr w:type="gramEnd"/>
            <w:r w:rsidRPr="00B56A42">
              <w:rPr>
                <w:rFonts w:ascii="Cambria" w:eastAsia="Calibri" w:hAnsi="Cambria" w:cs="Times New Roman"/>
                <w:szCs w:val="20"/>
              </w:rPr>
              <w:t xml:space="preserve"> limit), within that CPC’s adjusted landings limit on the relevant marlin compliance table? </w:t>
            </w:r>
          </w:p>
        </w:tc>
        <w:tc>
          <w:tcPr>
            <w:tcW w:w="1178" w:type="dxa"/>
          </w:tcPr>
          <w:p w14:paraId="59B659B1" w14:textId="77777777" w:rsidR="00940D66" w:rsidRPr="00B56A42" w:rsidRDefault="00940D66" w:rsidP="004B1E33">
            <w:pPr>
              <w:jc w:val="both"/>
              <w:rPr>
                <w:rFonts w:eastAsia="Calibri" w:cs="Times New Roman"/>
                <w:szCs w:val="20"/>
                <w:lang w:val="es-ES"/>
              </w:rPr>
            </w:pPr>
            <w:r w:rsidRPr="00B56A42">
              <w:rPr>
                <w:rFonts w:ascii="Cambria" w:eastAsia="Calibri" w:hAnsi="Cambria" w:cs="Times New Roman"/>
                <w:szCs w:val="20"/>
                <w:lang w:val="es-ES"/>
              </w:rPr>
              <w:t xml:space="preserve">Yes </w:t>
            </w:r>
          </w:p>
        </w:tc>
        <w:tc>
          <w:tcPr>
            <w:tcW w:w="1539" w:type="dxa"/>
          </w:tcPr>
          <w:p w14:paraId="439BD416" w14:textId="77777777" w:rsidR="00940D66" w:rsidRPr="00B56A42" w:rsidRDefault="00940D66" w:rsidP="004B1E33">
            <w:pPr>
              <w:jc w:val="both"/>
              <w:rPr>
                <w:rFonts w:eastAsia="Calibri" w:cs="Times New Roman"/>
                <w:szCs w:val="20"/>
              </w:rPr>
            </w:pPr>
            <w:r w:rsidRPr="00B56A42">
              <w:rPr>
                <w:rFonts w:eastAsia="Calibri" w:cs="Times New Roman"/>
                <w:szCs w:val="20"/>
              </w:rPr>
              <w:t>Fisheries Act 2007 (Act No. 2007-6); Fisheries Regulation 2008 - Regulation 26(g</w:t>
            </w:r>
            <w:proofErr w:type="gramStart"/>
            <w:r w:rsidRPr="00B56A42">
              <w:rPr>
                <w:rFonts w:eastAsia="Calibri" w:cs="Times New Roman"/>
                <w:szCs w:val="20"/>
              </w:rPr>
              <w:t>),(</w:t>
            </w:r>
            <w:proofErr w:type="gramEnd"/>
            <w:r w:rsidRPr="00B56A42">
              <w:rPr>
                <w:rFonts w:eastAsia="Calibri" w:cs="Times New Roman"/>
                <w:szCs w:val="20"/>
              </w:rPr>
              <w:t>h), 34, 73.</w:t>
            </w:r>
          </w:p>
        </w:tc>
        <w:tc>
          <w:tcPr>
            <w:tcW w:w="2693" w:type="dxa"/>
          </w:tcPr>
          <w:p w14:paraId="4C242257" w14:textId="77777777" w:rsidR="00940D66" w:rsidRPr="00B56A42" w:rsidRDefault="00940D66" w:rsidP="004B1E33">
            <w:pPr>
              <w:jc w:val="both"/>
              <w:rPr>
                <w:rFonts w:eastAsia="Calibri" w:cs="Times New Roman"/>
                <w:szCs w:val="20"/>
              </w:rPr>
            </w:pPr>
            <w:r w:rsidRPr="00B56A42">
              <w:rPr>
                <w:rFonts w:ascii="Cambria" w:eastAsia="Calibri" w:hAnsi="Cambria" w:cs="Times New Roman"/>
                <w:szCs w:val="20"/>
              </w:rPr>
              <w:t>There were no landings of blue marlin recorded in The Gambia during the reporting period. The comprehensive legal framework for data collection provides the mechanism to monitor and ensure compliance with ICCAT landings limits.</w:t>
            </w:r>
          </w:p>
        </w:tc>
      </w:tr>
      <w:tr w:rsidR="00940D66" w:rsidRPr="00B56A42" w14:paraId="3499BD75" w14:textId="77777777" w:rsidTr="004B1E33">
        <w:trPr>
          <w:jc w:val="center"/>
        </w:trPr>
        <w:tc>
          <w:tcPr>
            <w:tcW w:w="845" w:type="dxa"/>
            <w:shd w:val="clear" w:color="auto" w:fill="FFFFFF" w:themeFill="background1"/>
          </w:tcPr>
          <w:p w14:paraId="1C85490C"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s-ES"/>
              </w:rPr>
              <w:t>19-05</w:t>
            </w:r>
          </w:p>
        </w:tc>
        <w:tc>
          <w:tcPr>
            <w:tcW w:w="985" w:type="dxa"/>
            <w:shd w:val="clear" w:color="auto" w:fill="FFFFFF" w:themeFill="background1"/>
          </w:tcPr>
          <w:p w14:paraId="4050207C" w14:textId="77777777" w:rsidR="00940D66" w:rsidRPr="00B56A42" w:rsidRDefault="00940D66" w:rsidP="004B1E33">
            <w:pPr>
              <w:jc w:val="center"/>
              <w:rPr>
                <w:rFonts w:eastAsia="Calibri" w:cs="Times New Roman"/>
                <w:szCs w:val="20"/>
                <w:lang w:val="en-IE"/>
              </w:rPr>
            </w:pPr>
            <w:r w:rsidRPr="00B56A42">
              <w:rPr>
                <w:rFonts w:ascii="Cambria" w:eastAsia="Calibri" w:hAnsi="Cambria" w:cs="Times New Roman"/>
                <w:szCs w:val="20"/>
                <w:lang w:val="en-IE"/>
              </w:rPr>
              <w:t>2</w:t>
            </w:r>
          </w:p>
        </w:tc>
        <w:tc>
          <w:tcPr>
            <w:tcW w:w="2960" w:type="dxa"/>
            <w:shd w:val="clear" w:color="auto" w:fill="FFFFFF" w:themeFill="background1"/>
            <w:vAlign w:val="center"/>
          </w:tcPr>
          <w:p w14:paraId="5CFB07B1"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White marlin/</w:t>
            </w:r>
            <w:proofErr w:type="spellStart"/>
            <w:r w:rsidRPr="00B56A42">
              <w:rPr>
                <w:rFonts w:ascii="Cambria" w:eastAsia="Calibri" w:hAnsi="Cambria" w:cs="Times New Roman"/>
                <w:szCs w:val="20"/>
                <w:lang w:val="en-IE"/>
              </w:rPr>
              <w:t>roundscale</w:t>
            </w:r>
            <w:proofErr w:type="spellEnd"/>
            <w:r w:rsidRPr="00B56A42">
              <w:rPr>
                <w:rFonts w:ascii="Cambria" w:eastAsia="Calibri" w:hAnsi="Cambria" w:cs="Times New Roman"/>
                <w:szCs w:val="20"/>
                <w:lang w:val="en-IE"/>
              </w:rPr>
              <w:t xml:space="preserve"> spearfish combined landings limits.  Para. 2 establishes CPC-specific landings limits for certain CPCs and a </w:t>
            </w:r>
            <w:r w:rsidRPr="00B56A42">
              <w:rPr>
                <w:rFonts w:ascii="Cambria" w:eastAsia="Calibri" w:hAnsi="Cambria" w:cs="Times New Roman"/>
                <w:szCs w:val="20"/>
                <w:lang w:val="en-IE"/>
              </w:rPr>
              <w:lastRenderedPageBreak/>
              <w:t>generally applicable landing limit for all other CPCs.</w:t>
            </w:r>
          </w:p>
          <w:p w14:paraId="2562F88E"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 xml:space="preserve"> </w:t>
            </w:r>
          </w:p>
          <w:p w14:paraId="60E61E99"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Were your CPC’s total landings (from all fisheries, including commercial, recreational, sport, artisanal, subsistence) for white marlin/</w:t>
            </w:r>
            <w:proofErr w:type="spellStart"/>
            <w:r w:rsidRPr="00B56A42">
              <w:rPr>
                <w:rFonts w:ascii="Cambria" w:eastAsia="Calibri" w:hAnsi="Cambria" w:cs="Times New Roman"/>
                <w:szCs w:val="20"/>
                <w:lang w:val="en-IE"/>
              </w:rPr>
              <w:t>roundscale</w:t>
            </w:r>
            <w:proofErr w:type="spellEnd"/>
            <w:r w:rsidRPr="00B56A42">
              <w:rPr>
                <w:rFonts w:ascii="Cambria" w:eastAsia="Calibri" w:hAnsi="Cambria" w:cs="Times New Roman"/>
                <w:szCs w:val="20"/>
                <w:lang w:val="en-IE"/>
              </w:rPr>
              <w:t xml:space="preserve"> spearfish (combined) within the applicable limit in paragraph 2 or (or in the case of CPCs with a specific landings limit, within that CPC’s adjusted landings limit on the relevant marlin compliance table)?</w:t>
            </w:r>
          </w:p>
        </w:tc>
        <w:tc>
          <w:tcPr>
            <w:tcW w:w="1178" w:type="dxa"/>
          </w:tcPr>
          <w:p w14:paraId="7730CA91" w14:textId="77777777" w:rsidR="00940D66" w:rsidRPr="00B56A42" w:rsidRDefault="00940D66" w:rsidP="004B1E33">
            <w:pPr>
              <w:jc w:val="center"/>
              <w:rPr>
                <w:rFonts w:eastAsia="Calibri" w:cs="Times New Roman"/>
                <w:szCs w:val="20"/>
                <w:lang w:val="en-IE"/>
              </w:rPr>
            </w:pPr>
            <w:r w:rsidRPr="00B56A42">
              <w:rPr>
                <w:rFonts w:ascii="Cambria" w:eastAsia="Calibri" w:hAnsi="Cambria" w:cs="Times New Roman"/>
                <w:szCs w:val="20"/>
                <w:lang w:val="en-IE"/>
              </w:rPr>
              <w:lastRenderedPageBreak/>
              <w:t xml:space="preserve">Yes </w:t>
            </w:r>
          </w:p>
        </w:tc>
        <w:tc>
          <w:tcPr>
            <w:tcW w:w="1539" w:type="dxa"/>
          </w:tcPr>
          <w:p w14:paraId="25D8079A" w14:textId="77777777" w:rsidR="00940D66" w:rsidRPr="00B56A42" w:rsidRDefault="00940D66" w:rsidP="004B1E33">
            <w:pPr>
              <w:rPr>
                <w:rFonts w:eastAsia="Calibri" w:cs="Calibri"/>
                <w:szCs w:val="20"/>
                <w:lang w:val="en-IE"/>
              </w:rPr>
            </w:pPr>
            <w:r w:rsidRPr="00B56A42">
              <w:rPr>
                <w:rFonts w:eastAsia="Calibri" w:cs="Calibri"/>
                <w:szCs w:val="20"/>
                <w:lang w:val="en-IE"/>
              </w:rPr>
              <w:t xml:space="preserve">Fisheries Act 2007 (Act No. 2007-6); Fisheries Regulation </w:t>
            </w:r>
            <w:r w:rsidRPr="00B56A42">
              <w:rPr>
                <w:rFonts w:eastAsia="Calibri" w:cs="Calibri"/>
                <w:szCs w:val="20"/>
                <w:lang w:val="en-IE"/>
              </w:rPr>
              <w:lastRenderedPageBreak/>
              <w:t>2008 - Regulation 26(g</w:t>
            </w:r>
            <w:proofErr w:type="gramStart"/>
            <w:r w:rsidRPr="00B56A42">
              <w:rPr>
                <w:rFonts w:eastAsia="Calibri" w:cs="Calibri"/>
                <w:szCs w:val="20"/>
                <w:lang w:val="en-IE"/>
              </w:rPr>
              <w:t>),(</w:t>
            </w:r>
            <w:proofErr w:type="gramEnd"/>
            <w:r w:rsidRPr="00B56A42">
              <w:rPr>
                <w:rFonts w:eastAsia="Calibri" w:cs="Calibri"/>
                <w:szCs w:val="20"/>
                <w:lang w:val="en-IE"/>
              </w:rPr>
              <w:t>h), 34, 73.</w:t>
            </w:r>
          </w:p>
        </w:tc>
        <w:tc>
          <w:tcPr>
            <w:tcW w:w="2693" w:type="dxa"/>
          </w:tcPr>
          <w:p w14:paraId="6BA85A36" w14:textId="77777777" w:rsidR="00940D66" w:rsidRPr="00B56A42" w:rsidRDefault="00940D66" w:rsidP="004B1E33">
            <w:pPr>
              <w:rPr>
                <w:rFonts w:eastAsia="Calibri" w:cs="Calibri"/>
                <w:szCs w:val="20"/>
                <w:lang w:val="en-IE"/>
              </w:rPr>
            </w:pPr>
            <w:r w:rsidRPr="00B56A42">
              <w:rPr>
                <w:rFonts w:ascii="Cambria" w:eastAsia="Calibri" w:hAnsi="Cambria" w:cs="Calibri"/>
                <w:szCs w:val="20"/>
                <w:lang w:val="en-IE"/>
              </w:rPr>
              <w:lastRenderedPageBreak/>
              <w:t xml:space="preserve">There were no landings of white marlin or round scale spearfish recorded in The Gambia during the reporting period. The </w:t>
            </w:r>
            <w:r w:rsidRPr="00B56A42">
              <w:rPr>
                <w:rFonts w:ascii="Cambria" w:eastAsia="Calibri" w:hAnsi="Cambria" w:cs="Calibri"/>
                <w:szCs w:val="20"/>
                <w:lang w:val="en-IE"/>
              </w:rPr>
              <w:lastRenderedPageBreak/>
              <w:t>comprehensive legal framework for data collection provides the mechanism to monitor and ensure compliance with ICCAT landings limits.</w:t>
            </w:r>
          </w:p>
        </w:tc>
      </w:tr>
      <w:tr w:rsidR="00940D66" w:rsidRPr="00B56A42" w14:paraId="3F4D1EB3" w14:textId="77777777" w:rsidTr="004B1E33">
        <w:trPr>
          <w:jc w:val="center"/>
        </w:trPr>
        <w:tc>
          <w:tcPr>
            <w:tcW w:w="845" w:type="dxa"/>
            <w:shd w:val="clear" w:color="auto" w:fill="FFFFFF" w:themeFill="background1"/>
          </w:tcPr>
          <w:p w14:paraId="09060474"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s-ES"/>
              </w:rPr>
              <w:lastRenderedPageBreak/>
              <w:t>19-05</w:t>
            </w:r>
          </w:p>
        </w:tc>
        <w:tc>
          <w:tcPr>
            <w:tcW w:w="985" w:type="dxa"/>
            <w:shd w:val="clear" w:color="auto" w:fill="FFFFFF" w:themeFill="background1"/>
          </w:tcPr>
          <w:p w14:paraId="46E58C8A" w14:textId="77777777" w:rsidR="00940D66" w:rsidRPr="00B56A42" w:rsidRDefault="00940D66" w:rsidP="004B1E33">
            <w:pPr>
              <w:jc w:val="center"/>
              <w:rPr>
                <w:rFonts w:eastAsia="Calibri" w:cs="Times New Roman"/>
                <w:szCs w:val="20"/>
                <w:lang w:val="en-IE"/>
              </w:rPr>
            </w:pPr>
            <w:r w:rsidRPr="00B56A42">
              <w:rPr>
                <w:rFonts w:ascii="Cambria" w:eastAsia="Calibri" w:hAnsi="Cambria" w:cs="Times New Roman"/>
                <w:szCs w:val="20"/>
                <w:lang w:val="en-IE"/>
              </w:rPr>
              <w:t>4</w:t>
            </w:r>
          </w:p>
        </w:tc>
        <w:tc>
          <w:tcPr>
            <w:tcW w:w="2960" w:type="dxa"/>
            <w:shd w:val="clear" w:color="auto" w:fill="FFFFFF" w:themeFill="background1"/>
            <w:vAlign w:val="center"/>
          </w:tcPr>
          <w:p w14:paraId="6F4D5F06" w14:textId="77777777" w:rsidR="00940D66" w:rsidRPr="00B56A42" w:rsidRDefault="00940D66" w:rsidP="004B1E33">
            <w:pPr>
              <w:jc w:val="both"/>
              <w:rPr>
                <w:rFonts w:eastAsia="Calibri" w:cs="Times New Roman"/>
                <w:szCs w:val="20"/>
                <w:lang w:val="en-IE"/>
              </w:rPr>
            </w:pPr>
            <w:r w:rsidRPr="00B56A42">
              <w:rPr>
                <w:rFonts w:ascii="Cambria" w:eastAsia="Calibri" w:hAnsi="Cambria" w:cs="Times New Roman"/>
                <w:szCs w:val="20"/>
                <w:lang w:val="en-IE"/>
              </w:rPr>
              <w:t>“To the extent possible, CPCs shall require pelagic longline vessels and purse seine vessels flying their flag to promptly release blue marlin and white marlin/</w:t>
            </w:r>
            <w:proofErr w:type="spellStart"/>
            <w:r w:rsidRPr="00B56A42">
              <w:rPr>
                <w:rFonts w:ascii="Cambria" w:eastAsia="Calibri" w:hAnsi="Cambria" w:cs="Times New Roman"/>
                <w:szCs w:val="20"/>
                <w:lang w:val="en-IE"/>
              </w:rPr>
              <w:t>roundscale</w:t>
            </w:r>
            <w:proofErr w:type="spellEnd"/>
            <w:r w:rsidRPr="00B56A42">
              <w:rPr>
                <w:rFonts w:ascii="Cambria" w:eastAsia="Calibri" w:hAnsi="Cambria" w:cs="Times New Roman"/>
                <w:szCs w:val="20"/>
                <w:lang w:val="en-IE"/>
              </w:rPr>
              <w:t xml:space="preserve"> spearfish that are alive at haul-back, giving due consideration to the safety of crew members, in a manner that causes the least harm and maximizes post-release survival.”</w:t>
            </w:r>
          </w:p>
          <w:p w14:paraId="064361AB" w14:textId="77777777" w:rsidR="00940D66" w:rsidRPr="00B56A42" w:rsidRDefault="00940D66" w:rsidP="004B1E33">
            <w:pPr>
              <w:rPr>
                <w:rFonts w:eastAsia="Calibri" w:cs="Times New Roman"/>
                <w:szCs w:val="20"/>
                <w:lang w:val="en-IE"/>
              </w:rPr>
            </w:pPr>
          </w:p>
        </w:tc>
        <w:tc>
          <w:tcPr>
            <w:tcW w:w="1178" w:type="dxa"/>
          </w:tcPr>
          <w:p w14:paraId="62069398" w14:textId="77777777" w:rsidR="00940D66" w:rsidRPr="00B56A42" w:rsidRDefault="00940D66" w:rsidP="004B1E33">
            <w:pPr>
              <w:jc w:val="center"/>
              <w:rPr>
                <w:rFonts w:eastAsia="Calibri" w:cs="Times New Roman"/>
                <w:szCs w:val="20"/>
                <w:lang w:val="en-IE"/>
              </w:rPr>
            </w:pPr>
            <w:r w:rsidRPr="00B56A42">
              <w:rPr>
                <w:rFonts w:ascii="Cambria" w:eastAsia="Calibri" w:hAnsi="Cambria" w:cs="Calibri"/>
                <w:szCs w:val="20"/>
                <w:lang w:val="en-IE"/>
              </w:rPr>
              <w:t xml:space="preserve">Yes </w:t>
            </w:r>
          </w:p>
        </w:tc>
        <w:tc>
          <w:tcPr>
            <w:tcW w:w="1539" w:type="dxa"/>
          </w:tcPr>
          <w:p w14:paraId="31590A15" w14:textId="77777777" w:rsidR="00940D66" w:rsidRPr="00B56A42" w:rsidRDefault="00940D66" w:rsidP="004B1E33">
            <w:pPr>
              <w:rPr>
                <w:rFonts w:eastAsia="Calibri" w:cs="Calibri"/>
                <w:szCs w:val="20"/>
                <w:lang w:val="en-IE"/>
              </w:rPr>
            </w:pPr>
            <w:r w:rsidRPr="00B56A42">
              <w:rPr>
                <w:rFonts w:eastAsia="Calibri" w:cs="Calibri"/>
                <w:szCs w:val="20"/>
                <w:lang w:val="en-IE"/>
              </w:rPr>
              <w:t>Fisheries Regulation 2008 - Regulation 72(1).</w:t>
            </w:r>
          </w:p>
        </w:tc>
        <w:tc>
          <w:tcPr>
            <w:tcW w:w="2693" w:type="dxa"/>
          </w:tcPr>
          <w:p w14:paraId="3FE495A1"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Regulation 72(1) requires that any unlawfully caught fish or bycatch "shall be immediately returned to the fisheries waters if the fish can live." This legally binding requirement implements the intent of this provision.</w:t>
            </w:r>
          </w:p>
        </w:tc>
      </w:tr>
      <w:tr w:rsidR="00940D66" w:rsidRPr="00B56A42" w14:paraId="2F66A30C" w14:textId="77777777" w:rsidTr="004B1E33">
        <w:trPr>
          <w:trHeight w:val="118"/>
          <w:jc w:val="center"/>
        </w:trPr>
        <w:tc>
          <w:tcPr>
            <w:tcW w:w="845" w:type="dxa"/>
            <w:shd w:val="clear" w:color="auto" w:fill="FFFFFF" w:themeFill="background1"/>
          </w:tcPr>
          <w:p w14:paraId="0C9F915F" w14:textId="77777777" w:rsidR="00940D66" w:rsidRPr="00B56A42" w:rsidRDefault="00940D66" w:rsidP="004B1E33">
            <w:pPr>
              <w:rPr>
                <w:rFonts w:eastAsia="Times New Roman" w:cs="Calibri"/>
                <w:color w:val="000000"/>
                <w:szCs w:val="20"/>
              </w:rPr>
            </w:pPr>
            <w:r w:rsidRPr="00B56A42">
              <w:rPr>
                <w:rFonts w:ascii="Cambria" w:eastAsia="Times New Roman" w:hAnsi="Cambria" w:cs="Calibri"/>
                <w:color w:val="000000"/>
                <w:szCs w:val="20"/>
              </w:rPr>
              <w:t>19-05</w:t>
            </w:r>
          </w:p>
        </w:tc>
        <w:tc>
          <w:tcPr>
            <w:tcW w:w="985" w:type="dxa"/>
            <w:shd w:val="clear" w:color="auto" w:fill="FFFFFF" w:themeFill="background1"/>
          </w:tcPr>
          <w:p w14:paraId="6098A2E8" w14:textId="77777777" w:rsidR="00940D66" w:rsidRPr="00B56A42" w:rsidRDefault="00940D66" w:rsidP="004B1E33">
            <w:pPr>
              <w:jc w:val="center"/>
              <w:rPr>
                <w:rFonts w:eastAsia="Times New Roman" w:cs="Calibri"/>
                <w:color w:val="000000"/>
                <w:szCs w:val="20"/>
              </w:rPr>
            </w:pPr>
            <w:r w:rsidRPr="00B56A42">
              <w:rPr>
                <w:rFonts w:ascii="Cambria" w:eastAsia="Times New Roman" w:hAnsi="Cambria" w:cs="Calibri"/>
                <w:color w:val="000000"/>
                <w:szCs w:val="20"/>
              </w:rPr>
              <w:t>5</w:t>
            </w:r>
          </w:p>
        </w:tc>
        <w:tc>
          <w:tcPr>
            <w:tcW w:w="2960" w:type="dxa"/>
            <w:shd w:val="clear" w:color="auto" w:fill="FFFFFF" w:themeFill="background1"/>
          </w:tcPr>
          <w:p w14:paraId="5AAE7D5D" w14:textId="77777777" w:rsidR="00940D66" w:rsidRPr="00B56A42" w:rsidRDefault="00940D66" w:rsidP="004B1E33">
            <w:pPr>
              <w:widowControl w:val="0"/>
              <w:spacing w:line="220" w:lineRule="exact"/>
              <w:ind w:right="113"/>
              <w:jc w:val="both"/>
              <w:rPr>
                <w:rFonts w:eastAsia="Times New Roman" w:cs="Calibri"/>
                <w:color w:val="000000"/>
                <w:szCs w:val="20"/>
              </w:rPr>
            </w:pPr>
            <w:r w:rsidRPr="00B56A42">
              <w:rPr>
                <w:rFonts w:ascii="Cambria" w:eastAsia="Times New Roman" w:hAnsi="Cambria" w:cs="Calibri"/>
                <w:color w:val="000000"/>
                <w:szCs w:val="20"/>
              </w:rPr>
              <w:t xml:space="preserve">CPCs shall encourage the implementation of the minimum standards for safe handling and live release procedures, as specified in Annex 1, while giving due consideration to the safety of the crew. The fishing vessels should have — readily available on deck and easily accessible by the crew — a lifting device, bolt cutter, </w:t>
            </w:r>
            <w:proofErr w:type="spellStart"/>
            <w:r w:rsidRPr="00B56A42">
              <w:rPr>
                <w:rFonts w:ascii="Cambria" w:eastAsia="Times New Roman" w:hAnsi="Cambria" w:cs="Calibri"/>
                <w:color w:val="000000"/>
                <w:szCs w:val="20"/>
              </w:rPr>
              <w:t>dehooker</w:t>
            </w:r>
            <w:proofErr w:type="spellEnd"/>
            <w:r w:rsidRPr="00B56A42">
              <w:rPr>
                <w:rFonts w:ascii="Cambria" w:eastAsia="Times New Roman" w:hAnsi="Cambria" w:cs="Calibri"/>
                <w:color w:val="000000"/>
                <w:szCs w:val="20"/>
              </w:rPr>
              <w:t>/disgorger and line-cutter to safely release the live marlins caught.</w:t>
            </w:r>
          </w:p>
        </w:tc>
        <w:tc>
          <w:tcPr>
            <w:tcW w:w="1178" w:type="dxa"/>
          </w:tcPr>
          <w:p w14:paraId="730C45E1" w14:textId="77777777" w:rsidR="00940D66" w:rsidRPr="00B56A42" w:rsidRDefault="00940D66" w:rsidP="004B1E33">
            <w:pPr>
              <w:rPr>
                <w:rFonts w:eastAsia="Times New Roman" w:cs="Calibri"/>
                <w:szCs w:val="20"/>
              </w:rPr>
            </w:pPr>
            <w:r w:rsidRPr="00B56A42">
              <w:rPr>
                <w:rFonts w:ascii="Cambria" w:eastAsia="Times New Roman" w:hAnsi="Cambria" w:cs="Calibri"/>
                <w:szCs w:val="20"/>
              </w:rPr>
              <w:t xml:space="preserve">Yes </w:t>
            </w:r>
          </w:p>
          <w:p w14:paraId="38E1B490" w14:textId="77777777" w:rsidR="00940D66" w:rsidRPr="00B56A42" w:rsidRDefault="00940D66" w:rsidP="004B1E33">
            <w:pPr>
              <w:rPr>
                <w:rFonts w:eastAsia="Times New Roman" w:cs="Calibri"/>
                <w:szCs w:val="20"/>
              </w:rPr>
            </w:pPr>
          </w:p>
        </w:tc>
        <w:tc>
          <w:tcPr>
            <w:tcW w:w="1539" w:type="dxa"/>
          </w:tcPr>
          <w:p w14:paraId="45D8BA79" w14:textId="77777777" w:rsidR="00940D66" w:rsidRPr="00B56A42" w:rsidRDefault="00940D66" w:rsidP="004B1E33">
            <w:pPr>
              <w:rPr>
                <w:rFonts w:eastAsia="Times New Roman" w:cs="Calibri"/>
                <w:szCs w:val="20"/>
              </w:rPr>
            </w:pPr>
            <w:r w:rsidRPr="00B56A42">
              <w:rPr>
                <w:rFonts w:eastAsia="Times New Roman" w:cs="Calibri"/>
                <w:szCs w:val="20"/>
              </w:rPr>
              <w:t>Fisheries Act 2007 S4(2)(a).</w:t>
            </w:r>
          </w:p>
        </w:tc>
        <w:tc>
          <w:tcPr>
            <w:tcW w:w="2693" w:type="dxa"/>
          </w:tcPr>
          <w:p w14:paraId="26769CB5" w14:textId="77777777" w:rsidR="00940D66" w:rsidRPr="00B56A42" w:rsidRDefault="00940D66" w:rsidP="004B1E33">
            <w:pPr>
              <w:rPr>
                <w:rFonts w:eastAsia="Times New Roman" w:cs="Calibri"/>
                <w:szCs w:val="20"/>
              </w:rPr>
            </w:pPr>
            <w:r w:rsidRPr="00B56A42">
              <w:rPr>
                <w:rFonts w:ascii="Cambria" w:eastAsia="Calibri" w:hAnsi="Cambria" w:cs="Calibri"/>
                <w:szCs w:val="20"/>
                <w:lang w:val="en-IE"/>
              </w:rPr>
              <w:t>The Director's duty to "promote the... sustainable management and development of fisheries" provides a foundation for encouraging the use of best practices for safe handling and release.</w:t>
            </w:r>
          </w:p>
        </w:tc>
      </w:tr>
      <w:tr w:rsidR="00940D66" w:rsidRPr="00B56A42" w14:paraId="16D2A3E6" w14:textId="77777777" w:rsidTr="004B1E33">
        <w:trPr>
          <w:trHeight w:val="118"/>
          <w:jc w:val="center"/>
        </w:trPr>
        <w:tc>
          <w:tcPr>
            <w:tcW w:w="845" w:type="dxa"/>
            <w:shd w:val="clear" w:color="auto" w:fill="FFFFFF" w:themeFill="background1"/>
          </w:tcPr>
          <w:p w14:paraId="0F89CE4A" w14:textId="77777777" w:rsidR="00940D66" w:rsidRPr="00B56A42" w:rsidRDefault="00940D66" w:rsidP="004B1E33">
            <w:pPr>
              <w:rPr>
                <w:rFonts w:eastAsia="Times New Roman" w:cs="Calibri"/>
                <w:color w:val="000000"/>
                <w:szCs w:val="20"/>
              </w:rPr>
            </w:pPr>
            <w:r w:rsidRPr="00B56A42">
              <w:rPr>
                <w:rFonts w:ascii="Cambria" w:eastAsia="Times New Roman" w:hAnsi="Cambria" w:cs="Calibri"/>
                <w:color w:val="000000"/>
                <w:szCs w:val="20"/>
              </w:rPr>
              <w:t>19-05</w:t>
            </w:r>
          </w:p>
        </w:tc>
        <w:tc>
          <w:tcPr>
            <w:tcW w:w="985" w:type="dxa"/>
            <w:shd w:val="clear" w:color="auto" w:fill="FFFFFF" w:themeFill="background1"/>
          </w:tcPr>
          <w:p w14:paraId="34BBB8F0" w14:textId="77777777" w:rsidR="00940D66" w:rsidRPr="00B56A42" w:rsidRDefault="00940D66" w:rsidP="004B1E33">
            <w:pPr>
              <w:jc w:val="center"/>
              <w:rPr>
                <w:rFonts w:eastAsia="Times New Roman" w:cs="Calibri"/>
                <w:color w:val="000000"/>
                <w:szCs w:val="20"/>
              </w:rPr>
            </w:pPr>
            <w:r w:rsidRPr="00B56A42">
              <w:rPr>
                <w:rFonts w:ascii="Cambria" w:eastAsia="Times New Roman" w:hAnsi="Cambria" w:cs="Calibri"/>
                <w:color w:val="000000"/>
                <w:szCs w:val="20"/>
              </w:rPr>
              <w:t>6</w:t>
            </w:r>
          </w:p>
        </w:tc>
        <w:tc>
          <w:tcPr>
            <w:tcW w:w="2960" w:type="dxa"/>
            <w:shd w:val="clear" w:color="auto" w:fill="FFFFFF" w:themeFill="background1"/>
          </w:tcPr>
          <w:p w14:paraId="20B290AD" w14:textId="77777777" w:rsidR="00940D66" w:rsidRPr="00B56A42" w:rsidRDefault="00940D66" w:rsidP="004B1E33">
            <w:pPr>
              <w:widowControl w:val="0"/>
              <w:spacing w:line="220" w:lineRule="exact"/>
              <w:ind w:right="113"/>
              <w:jc w:val="both"/>
              <w:rPr>
                <w:rFonts w:eastAsia="Times New Roman" w:cs="Calibri"/>
                <w:color w:val="000000"/>
                <w:szCs w:val="20"/>
              </w:rPr>
            </w:pPr>
            <w:r w:rsidRPr="00B56A42">
              <w:rPr>
                <w:rFonts w:ascii="Cambria" w:eastAsia="Times New Roman" w:hAnsi="Cambria" w:cs="Calibri"/>
                <w:color w:val="000000"/>
                <w:szCs w:val="20"/>
              </w:rPr>
              <w:t xml:space="preserve">CPCs should ensure that captain and crew members of their fishing vessels are adequately trained, aware of and use proper mitigation, identification, </w:t>
            </w:r>
            <w:r w:rsidRPr="00B56A42">
              <w:rPr>
                <w:rFonts w:ascii="Cambria" w:eastAsia="Times New Roman" w:hAnsi="Cambria" w:cs="Calibri"/>
                <w:color w:val="000000"/>
                <w:szCs w:val="20"/>
              </w:rPr>
              <w:lastRenderedPageBreak/>
              <w:t>handling and releasing techniques and keep on board all equipment necessary for the release of marlins, in accordance with the minimum standards for safe handling procedures as specified in Annex 1. Nothing in this measure shall prevent CPCs from adopting more stringent measures.</w:t>
            </w:r>
          </w:p>
        </w:tc>
        <w:tc>
          <w:tcPr>
            <w:tcW w:w="1178" w:type="dxa"/>
          </w:tcPr>
          <w:p w14:paraId="7D650D3E" w14:textId="77777777" w:rsidR="00940D66" w:rsidRPr="00B56A42" w:rsidRDefault="00940D66" w:rsidP="004B1E33">
            <w:pPr>
              <w:rPr>
                <w:rFonts w:eastAsia="Times New Roman" w:cs="Calibri"/>
                <w:szCs w:val="20"/>
              </w:rPr>
            </w:pPr>
            <w:r w:rsidRPr="00B56A42">
              <w:rPr>
                <w:rFonts w:ascii="Cambria" w:eastAsia="Times New Roman" w:hAnsi="Cambria" w:cs="Calibri"/>
                <w:szCs w:val="20"/>
              </w:rPr>
              <w:lastRenderedPageBreak/>
              <w:t xml:space="preserve">Yes </w:t>
            </w:r>
          </w:p>
          <w:p w14:paraId="28B9FFE8" w14:textId="77777777" w:rsidR="00940D66" w:rsidRPr="00B56A42" w:rsidRDefault="00940D66" w:rsidP="004B1E33">
            <w:pPr>
              <w:rPr>
                <w:rFonts w:eastAsia="Times New Roman" w:cs="Calibri"/>
                <w:szCs w:val="20"/>
              </w:rPr>
            </w:pPr>
          </w:p>
        </w:tc>
        <w:tc>
          <w:tcPr>
            <w:tcW w:w="1539" w:type="dxa"/>
          </w:tcPr>
          <w:p w14:paraId="029B2ED8" w14:textId="77777777" w:rsidR="00940D66" w:rsidRPr="00B56A42" w:rsidRDefault="00940D66" w:rsidP="004B1E33">
            <w:pPr>
              <w:rPr>
                <w:rFonts w:eastAsia="Times New Roman" w:cs="Calibri"/>
                <w:szCs w:val="20"/>
              </w:rPr>
            </w:pPr>
            <w:r w:rsidRPr="00B56A42">
              <w:rPr>
                <w:rFonts w:eastAsia="Times New Roman" w:cs="Calibri"/>
                <w:szCs w:val="20"/>
              </w:rPr>
              <w:t xml:space="preserve">Fisheries Act 2007; Fisheries </w:t>
            </w:r>
            <w:r w:rsidRPr="00B56A42">
              <w:rPr>
                <w:rFonts w:eastAsia="Times New Roman" w:cs="Calibri"/>
                <w:szCs w:val="20"/>
              </w:rPr>
              <w:lastRenderedPageBreak/>
              <w:t>Regulation 2008.</w:t>
            </w:r>
          </w:p>
        </w:tc>
        <w:tc>
          <w:tcPr>
            <w:tcW w:w="2693" w:type="dxa"/>
          </w:tcPr>
          <w:p w14:paraId="1660B37E" w14:textId="77777777" w:rsidR="00940D66" w:rsidRPr="00B56A42" w:rsidRDefault="00940D66" w:rsidP="004B1E33">
            <w:pPr>
              <w:rPr>
                <w:rFonts w:eastAsia="Times New Roman" w:cs="Calibri"/>
                <w:szCs w:val="20"/>
              </w:rPr>
            </w:pPr>
            <w:r w:rsidRPr="00B56A42">
              <w:rPr>
                <w:rFonts w:ascii="Cambria" w:eastAsia="Calibri" w:hAnsi="Cambria" w:cs="Calibri"/>
                <w:szCs w:val="20"/>
                <w:lang w:val="en-IE"/>
              </w:rPr>
              <w:lastRenderedPageBreak/>
              <w:t xml:space="preserve">The comprehensive regulatory system for vessel licensing and operation, including the placement of observers, </w:t>
            </w:r>
            <w:r w:rsidRPr="00B56A42">
              <w:rPr>
                <w:rFonts w:ascii="Cambria" w:eastAsia="Calibri" w:hAnsi="Cambria" w:cs="Calibri"/>
                <w:szCs w:val="20"/>
                <w:lang w:val="en-IE"/>
              </w:rPr>
              <w:lastRenderedPageBreak/>
              <w:t>supports this requirement.</w:t>
            </w:r>
          </w:p>
        </w:tc>
      </w:tr>
      <w:tr w:rsidR="00940D66" w:rsidRPr="00B56A42" w14:paraId="1990143C" w14:textId="77777777" w:rsidTr="004B1E33">
        <w:trPr>
          <w:jc w:val="center"/>
        </w:trPr>
        <w:tc>
          <w:tcPr>
            <w:tcW w:w="845" w:type="dxa"/>
            <w:shd w:val="clear" w:color="auto" w:fill="FFFFFF" w:themeFill="background1"/>
          </w:tcPr>
          <w:p w14:paraId="29E65EBC"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s-ES"/>
              </w:rPr>
              <w:lastRenderedPageBreak/>
              <w:t>19-05</w:t>
            </w:r>
          </w:p>
        </w:tc>
        <w:tc>
          <w:tcPr>
            <w:tcW w:w="985" w:type="dxa"/>
            <w:shd w:val="clear" w:color="auto" w:fill="FFFFFF" w:themeFill="background1"/>
          </w:tcPr>
          <w:p w14:paraId="05CD2446" w14:textId="77777777" w:rsidR="00940D66" w:rsidRPr="00B56A42" w:rsidRDefault="00940D66" w:rsidP="004B1E33">
            <w:pPr>
              <w:jc w:val="center"/>
              <w:rPr>
                <w:rFonts w:eastAsia="Calibri" w:cs="Times New Roman"/>
                <w:szCs w:val="20"/>
                <w:lang w:val="en-IE"/>
              </w:rPr>
            </w:pPr>
            <w:r w:rsidRPr="00B56A42">
              <w:rPr>
                <w:rFonts w:ascii="Cambria" w:eastAsia="Calibri" w:hAnsi="Cambria" w:cs="Times New Roman"/>
                <w:szCs w:val="20"/>
                <w:lang w:val="en-IE"/>
              </w:rPr>
              <w:t>7</w:t>
            </w:r>
          </w:p>
        </w:tc>
        <w:tc>
          <w:tcPr>
            <w:tcW w:w="2960" w:type="dxa"/>
            <w:shd w:val="clear" w:color="auto" w:fill="FFFFFF" w:themeFill="background1"/>
          </w:tcPr>
          <w:p w14:paraId="29F539F8"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 xml:space="preserve">“CPCs shall </w:t>
            </w:r>
            <w:proofErr w:type="spellStart"/>
            <w:r w:rsidRPr="00B56A42">
              <w:rPr>
                <w:rFonts w:ascii="Cambria" w:eastAsia="Calibri" w:hAnsi="Cambria" w:cs="Times New Roman"/>
                <w:szCs w:val="20"/>
                <w:lang w:val="en-IE"/>
              </w:rPr>
              <w:t>endeavor</w:t>
            </w:r>
            <w:proofErr w:type="spellEnd"/>
            <w:r w:rsidRPr="00B56A42">
              <w:rPr>
                <w:rFonts w:ascii="Cambria" w:eastAsia="Calibri" w:hAnsi="Cambria" w:cs="Times New Roman"/>
                <w:szCs w:val="20"/>
                <w:lang w:val="en-IE"/>
              </w:rPr>
              <w:t xml:space="preserve"> to minimize the post-release mortality of marlins/</w:t>
            </w:r>
            <w:proofErr w:type="spellStart"/>
            <w:r w:rsidRPr="00B56A42">
              <w:rPr>
                <w:rFonts w:ascii="Cambria" w:eastAsia="Calibri" w:hAnsi="Cambria" w:cs="Times New Roman"/>
                <w:szCs w:val="20"/>
                <w:lang w:val="en-IE"/>
              </w:rPr>
              <w:t>roundscale</w:t>
            </w:r>
            <w:proofErr w:type="spellEnd"/>
            <w:r w:rsidRPr="00B56A42">
              <w:rPr>
                <w:rFonts w:ascii="Cambria" w:eastAsia="Calibri" w:hAnsi="Cambria" w:cs="Times New Roman"/>
                <w:szCs w:val="20"/>
                <w:lang w:val="en-IE"/>
              </w:rPr>
              <w:t xml:space="preserve"> spearfish in their ICCAT fisheries.”</w:t>
            </w:r>
          </w:p>
        </w:tc>
        <w:tc>
          <w:tcPr>
            <w:tcW w:w="1178" w:type="dxa"/>
          </w:tcPr>
          <w:p w14:paraId="3FBD9CD6" w14:textId="77777777" w:rsidR="00940D66" w:rsidRPr="00B56A42" w:rsidRDefault="00940D66" w:rsidP="004B1E33">
            <w:pPr>
              <w:jc w:val="center"/>
              <w:rPr>
                <w:rFonts w:eastAsia="Calibri" w:cs="Times New Roman"/>
                <w:szCs w:val="20"/>
                <w:lang w:val="en-IE"/>
              </w:rPr>
            </w:pPr>
            <w:r w:rsidRPr="00B56A42">
              <w:rPr>
                <w:rFonts w:ascii="Cambria" w:eastAsia="Calibri" w:hAnsi="Cambria" w:cs="Calibri"/>
                <w:szCs w:val="20"/>
                <w:lang w:val="en-IE"/>
              </w:rPr>
              <w:t xml:space="preserve">Yes </w:t>
            </w:r>
          </w:p>
        </w:tc>
        <w:tc>
          <w:tcPr>
            <w:tcW w:w="1539" w:type="dxa"/>
          </w:tcPr>
          <w:p w14:paraId="68368AFE" w14:textId="77777777" w:rsidR="00940D66" w:rsidRPr="00B56A42" w:rsidRDefault="00940D66" w:rsidP="004B1E33">
            <w:pPr>
              <w:rPr>
                <w:rFonts w:eastAsia="Calibri" w:cs="Calibri"/>
                <w:szCs w:val="20"/>
                <w:lang w:val="en-IE"/>
              </w:rPr>
            </w:pPr>
            <w:r w:rsidRPr="00B56A42">
              <w:rPr>
                <w:rFonts w:eastAsia="Calibri" w:cs="Calibri"/>
                <w:szCs w:val="20"/>
                <w:lang w:val="en-IE"/>
              </w:rPr>
              <w:t>Fisheries Regulation 2008 - Regulation 72(1).</w:t>
            </w:r>
          </w:p>
        </w:tc>
        <w:tc>
          <w:tcPr>
            <w:tcW w:w="2693" w:type="dxa"/>
          </w:tcPr>
          <w:p w14:paraId="0F7F1688"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The requirement in Regulation 72(1) to return live fish to the water is the primary measure to minimize post-release mortality.</w:t>
            </w:r>
          </w:p>
        </w:tc>
      </w:tr>
      <w:tr w:rsidR="00940D66" w:rsidRPr="00B56A42" w14:paraId="52AFA08F" w14:textId="77777777" w:rsidTr="004B1E33">
        <w:trPr>
          <w:trHeight w:val="118"/>
          <w:jc w:val="center"/>
        </w:trPr>
        <w:tc>
          <w:tcPr>
            <w:tcW w:w="845" w:type="dxa"/>
            <w:shd w:val="clear" w:color="auto" w:fill="FFFFFF" w:themeFill="background1"/>
          </w:tcPr>
          <w:p w14:paraId="4764F772" w14:textId="77777777" w:rsidR="00940D66" w:rsidRPr="00B56A42" w:rsidRDefault="00940D66" w:rsidP="004B1E33">
            <w:pPr>
              <w:rPr>
                <w:rFonts w:eastAsia="Times New Roman" w:cs="Calibri"/>
                <w:color w:val="000000"/>
                <w:szCs w:val="20"/>
              </w:rPr>
            </w:pPr>
            <w:r w:rsidRPr="00B56A42">
              <w:rPr>
                <w:rFonts w:ascii="Cambria" w:eastAsia="Times New Roman" w:hAnsi="Cambria" w:cs="Calibri"/>
                <w:color w:val="000000"/>
                <w:szCs w:val="20"/>
              </w:rPr>
              <w:t>19-05</w:t>
            </w:r>
          </w:p>
        </w:tc>
        <w:tc>
          <w:tcPr>
            <w:tcW w:w="985" w:type="dxa"/>
            <w:shd w:val="clear" w:color="auto" w:fill="FFFFFF" w:themeFill="background1"/>
          </w:tcPr>
          <w:p w14:paraId="0775AC5B" w14:textId="77777777" w:rsidR="00940D66" w:rsidRPr="00B56A42" w:rsidRDefault="00940D66" w:rsidP="004B1E33">
            <w:pPr>
              <w:jc w:val="center"/>
              <w:rPr>
                <w:rFonts w:eastAsia="Times New Roman" w:cs="Calibri"/>
                <w:color w:val="000000"/>
                <w:szCs w:val="20"/>
              </w:rPr>
            </w:pPr>
            <w:r w:rsidRPr="00B56A42">
              <w:rPr>
                <w:rFonts w:ascii="Cambria" w:eastAsia="Times New Roman" w:hAnsi="Cambria" w:cs="Calibri"/>
                <w:color w:val="000000"/>
                <w:szCs w:val="20"/>
              </w:rPr>
              <w:t>8</w:t>
            </w:r>
          </w:p>
        </w:tc>
        <w:tc>
          <w:tcPr>
            <w:tcW w:w="2960" w:type="dxa"/>
            <w:shd w:val="clear" w:color="auto" w:fill="FFFFFF" w:themeFill="background1"/>
          </w:tcPr>
          <w:p w14:paraId="4861CDAA" w14:textId="77777777" w:rsidR="00940D66" w:rsidRPr="00B56A42" w:rsidRDefault="00940D66" w:rsidP="004B1E33">
            <w:pPr>
              <w:widowControl w:val="0"/>
              <w:spacing w:line="220" w:lineRule="exact"/>
              <w:ind w:right="113"/>
              <w:jc w:val="both"/>
              <w:rPr>
                <w:rFonts w:eastAsia="Times New Roman" w:cs="Calibri"/>
                <w:color w:val="000000"/>
                <w:szCs w:val="20"/>
              </w:rPr>
            </w:pPr>
            <w:r w:rsidRPr="00B56A42">
              <w:rPr>
                <w:rFonts w:ascii="Cambria" w:eastAsia="Times New Roman" w:hAnsi="Cambria" w:cs="Calibri"/>
                <w:color w:val="000000"/>
                <w:szCs w:val="20"/>
              </w:rPr>
              <w:t>CPCs may authorize their pelagic longline and purse seine vessels to catch and retain on board, transship, or land blue marlin and white marlin/</w:t>
            </w:r>
            <w:proofErr w:type="spellStart"/>
            <w:r w:rsidRPr="00B56A42">
              <w:rPr>
                <w:rFonts w:ascii="Cambria" w:eastAsia="Times New Roman" w:hAnsi="Cambria" w:cs="Calibri"/>
                <w:color w:val="000000"/>
                <w:szCs w:val="20"/>
              </w:rPr>
              <w:t>roundscale</w:t>
            </w:r>
            <w:proofErr w:type="spellEnd"/>
            <w:r w:rsidRPr="00B56A42">
              <w:rPr>
                <w:rFonts w:ascii="Cambria" w:eastAsia="Times New Roman" w:hAnsi="Cambria" w:cs="Calibri"/>
                <w:color w:val="000000"/>
                <w:szCs w:val="20"/>
              </w:rPr>
              <w:t xml:space="preserve"> spearfish that are dead, within their landing limit.</w:t>
            </w:r>
          </w:p>
        </w:tc>
        <w:tc>
          <w:tcPr>
            <w:tcW w:w="1178" w:type="dxa"/>
          </w:tcPr>
          <w:p w14:paraId="6B1BCBD8" w14:textId="77777777" w:rsidR="00940D66" w:rsidRPr="00B56A42" w:rsidRDefault="00940D66" w:rsidP="004B1E33">
            <w:pPr>
              <w:rPr>
                <w:rFonts w:eastAsia="Times New Roman" w:cs="Calibri"/>
                <w:szCs w:val="20"/>
              </w:rPr>
            </w:pPr>
            <w:r w:rsidRPr="00B56A42">
              <w:rPr>
                <w:rFonts w:ascii="Cambria" w:eastAsia="Calibri" w:hAnsi="Cambria" w:cs="Calibri"/>
                <w:szCs w:val="20"/>
                <w:lang w:val="en-IE"/>
              </w:rPr>
              <w:t xml:space="preserve">Yes </w:t>
            </w:r>
          </w:p>
        </w:tc>
        <w:tc>
          <w:tcPr>
            <w:tcW w:w="1539" w:type="dxa"/>
          </w:tcPr>
          <w:p w14:paraId="24681C8D" w14:textId="77777777" w:rsidR="00940D66" w:rsidRPr="00B56A42" w:rsidRDefault="00940D66" w:rsidP="004B1E33">
            <w:pPr>
              <w:rPr>
                <w:rFonts w:eastAsia="Times New Roman" w:cs="Calibri"/>
                <w:szCs w:val="20"/>
              </w:rPr>
            </w:pPr>
            <w:r w:rsidRPr="00B56A42">
              <w:rPr>
                <w:rFonts w:eastAsia="Times New Roman" w:cs="Calibri"/>
                <w:szCs w:val="20"/>
              </w:rPr>
              <w:t>Fisheries Act 2007; Fisheries Regulation 2008.</w:t>
            </w:r>
          </w:p>
        </w:tc>
        <w:tc>
          <w:tcPr>
            <w:tcW w:w="2693" w:type="dxa"/>
          </w:tcPr>
          <w:p w14:paraId="491C0319" w14:textId="77777777" w:rsidR="00940D66" w:rsidRPr="00B56A42" w:rsidRDefault="00940D66" w:rsidP="004B1E33">
            <w:pPr>
              <w:rPr>
                <w:rFonts w:eastAsia="Times New Roman" w:cs="Calibri"/>
                <w:szCs w:val="20"/>
              </w:rPr>
            </w:pPr>
            <w:r w:rsidRPr="00B56A42">
              <w:rPr>
                <w:rFonts w:ascii="Cambria" w:eastAsia="Times New Roman" w:hAnsi="Cambria" w:cs="Calibri"/>
                <w:szCs w:val="20"/>
              </w:rPr>
              <w:t>The national legal system provides the authority for vessels to operate and land catch, within the constraints of all conservation and management measures, including ICCAT limits.</w:t>
            </w:r>
          </w:p>
        </w:tc>
      </w:tr>
      <w:tr w:rsidR="00940D66" w:rsidRPr="00B56A42" w14:paraId="337C9D74" w14:textId="77777777" w:rsidTr="004B1E33">
        <w:trPr>
          <w:jc w:val="center"/>
        </w:trPr>
        <w:tc>
          <w:tcPr>
            <w:tcW w:w="845" w:type="dxa"/>
            <w:shd w:val="clear" w:color="auto" w:fill="FFFFFF" w:themeFill="background1"/>
          </w:tcPr>
          <w:p w14:paraId="36AF7CEB"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s-ES"/>
              </w:rPr>
              <w:t>19-05</w:t>
            </w:r>
          </w:p>
        </w:tc>
        <w:tc>
          <w:tcPr>
            <w:tcW w:w="985" w:type="dxa"/>
            <w:shd w:val="clear" w:color="auto" w:fill="FFFFFF" w:themeFill="background1"/>
          </w:tcPr>
          <w:p w14:paraId="05581D97" w14:textId="77777777" w:rsidR="00940D66" w:rsidRPr="00B56A42" w:rsidRDefault="00940D66" w:rsidP="004B1E33">
            <w:pPr>
              <w:jc w:val="center"/>
              <w:rPr>
                <w:rFonts w:eastAsia="Calibri" w:cs="Times New Roman"/>
                <w:szCs w:val="20"/>
                <w:lang w:val="en-IE"/>
              </w:rPr>
            </w:pPr>
            <w:r w:rsidRPr="00B56A42">
              <w:rPr>
                <w:rFonts w:ascii="Cambria" w:eastAsia="Calibri" w:hAnsi="Cambria" w:cs="Times New Roman"/>
                <w:szCs w:val="20"/>
                <w:lang w:val="en-IE"/>
              </w:rPr>
              <w:t>9</w:t>
            </w:r>
          </w:p>
        </w:tc>
        <w:tc>
          <w:tcPr>
            <w:tcW w:w="2960" w:type="dxa"/>
            <w:shd w:val="clear" w:color="auto" w:fill="FFFFFF" w:themeFill="background1"/>
            <w:vAlign w:val="center"/>
          </w:tcPr>
          <w:p w14:paraId="2073D1A5" w14:textId="77777777" w:rsidR="00940D66" w:rsidRPr="00B56A42" w:rsidRDefault="00940D66" w:rsidP="004B1E33">
            <w:pPr>
              <w:jc w:val="both"/>
              <w:rPr>
                <w:rFonts w:eastAsia="Calibri" w:cs="Times New Roman"/>
                <w:szCs w:val="20"/>
                <w:lang w:val="en-IE"/>
              </w:rPr>
            </w:pPr>
            <w:r w:rsidRPr="00B56A42">
              <w:rPr>
                <w:rFonts w:ascii="Cambria" w:eastAsia="Calibri" w:hAnsi="Cambria" w:cs="Times New Roman"/>
                <w:szCs w:val="20"/>
                <w:lang w:val="en-IE"/>
              </w:rPr>
              <w:t>“For CPCs that prohibit dead discards, the landings of blue marlin and white marlin/</w:t>
            </w:r>
            <w:proofErr w:type="spellStart"/>
            <w:r w:rsidRPr="00B56A42">
              <w:rPr>
                <w:rFonts w:ascii="Cambria" w:eastAsia="Calibri" w:hAnsi="Cambria" w:cs="Times New Roman"/>
                <w:szCs w:val="20"/>
                <w:lang w:val="en-IE"/>
              </w:rPr>
              <w:t>roundscale</w:t>
            </w:r>
            <w:proofErr w:type="spellEnd"/>
            <w:r w:rsidRPr="00B56A42">
              <w:rPr>
                <w:rFonts w:ascii="Cambria" w:eastAsia="Calibri" w:hAnsi="Cambria" w:cs="Times New Roman"/>
                <w:szCs w:val="20"/>
                <w:lang w:val="en-IE"/>
              </w:rPr>
              <w:t xml:space="preserve"> spearfish that are dead when brought alongside the vessel and that are not sold or </w:t>
            </w:r>
            <w:proofErr w:type="gramStart"/>
            <w:r w:rsidRPr="00B56A42">
              <w:rPr>
                <w:rFonts w:ascii="Cambria" w:eastAsia="Calibri" w:hAnsi="Cambria" w:cs="Times New Roman"/>
                <w:szCs w:val="20"/>
                <w:lang w:val="en-IE"/>
              </w:rPr>
              <w:t>entered into</w:t>
            </w:r>
            <w:proofErr w:type="gramEnd"/>
            <w:r w:rsidRPr="00B56A42">
              <w:rPr>
                <w:rFonts w:ascii="Cambria" w:eastAsia="Calibri" w:hAnsi="Cambria" w:cs="Times New Roman"/>
                <w:szCs w:val="20"/>
                <w:lang w:val="en-IE"/>
              </w:rPr>
              <w:t xml:space="preserve"> commerce shall not count against the limits established in paragraph 2, on the condition that such prohibition be clearly explained in their Annual Report. This provision shall be applicable only to commercial fisheries.”</w:t>
            </w:r>
          </w:p>
          <w:p w14:paraId="163E6BBA" w14:textId="77777777" w:rsidR="00940D66" w:rsidRPr="00B56A42" w:rsidRDefault="00940D66" w:rsidP="004B1E33">
            <w:pPr>
              <w:rPr>
                <w:rFonts w:eastAsia="Calibri" w:cs="Times New Roman"/>
                <w:szCs w:val="20"/>
                <w:lang w:val="en-IE"/>
              </w:rPr>
            </w:pPr>
          </w:p>
          <w:p w14:paraId="73B78EAA"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Does your CPC prohibit dead discard of blue marlin and white marlin/</w:t>
            </w:r>
            <w:proofErr w:type="spellStart"/>
            <w:r w:rsidRPr="00B56A42">
              <w:rPr>
                <w:rFonts w:ascii="Cambria" w:eastAsia="Calibri" w:hAnsi="Cambria" w:cs="Times New Roman"/>
                <w:szCs w:val="20"/>
                <w:lang w:val="en-IE"/>
              </w:rPr>
              <w:t>roundscale</w:t>
            </w:r>
            <w:proofErr w:type="spellEnd"/>
            <w:r w:rsidRPr="00B56A42">
              <w:rPr>
                <w:rFonts w:ascii="Cambria" w:eastAsia="Calibri" w:hAnsi="Cambria" w:cs="Times New Roman"/>
                <w:szCs w:val="20"/>
                <w:lang w:val="en-IE"/>
              </w:rPr>
              <w:t xml:space="preserve"> spearfish?</w:t>
            </w:r>
          </w:p>
        </w:tc>
        <w:tc>
          <w:tcPr>
            <w:tcW w:w="1178" w:type="dxa"/>
          </w:tcPr>
          <w:p w14:paraId="63E916A0" w14:textId="77777777" w:rsidR="00940D66" w:rsidRPr="00B56A42" w:rsidRDefault="00940D66" w:rsidP="004B1E33">
            <w:pPr>
              <w:jc w:val="center"/>
              <w:rPr>
                <w:rFonts w:eastAsia="Calibri" w:cs="Calibri"/>
                <w:szCs w:val="20"/>
                <w:lang w:val="en-IE"/>
              </w:rPr>
            </w:pPr>
            <w:r w:rsidRPr="00B56A42">
              <w:rPr>
                <w:rFonts w:ascii="Cambria" w:eastAsia="Calibri" w:hAnsi="Cambria" w:cs="Calibri"/>
                <w:szCs w:val="20"/>
                <w:lang w:val="en-IE"/>
              </w:rPr>
              <w:t xml:space="preserve"> No</w:t>
            </w:r>
          </w:p>
        </w:tc>
        <w:tc>
          <w:tcPr>
            <w:tcW w:w="1539" w:type="dxa"/>
          </w:tcPr>
          <w:p w14:paraId="0015F689" w14:textId="77777777" w:rsidR="00940D66" w:rsidRPr="00B56A42" w:rsidRDefault="00940D66" w:rsidP="004B1E33">
            <w:pPr>
              <w:rPr>
                <w:rFonts w:eastAsia="Calibri" w:cs="Calibri"/>
                <w:szCs w:val="20"/>
                <w:lang w:val="en-IE"/>
              </w:rPr>
            </w:pPr>
          </w:p>
        </w:tc>
        <w:tc>
          <w:tcPr>
            <w:tcW w:w="2693" w:type="dxa"/>
          </w:tcPr>
          <w:p w14:paraId="659F834A" w14:textId="77777777" w:rsidR="00940D66" w:rsidRPr="00B56A42" w:rsidRDefault="00940D66" w:rsidP="004B1E33">
            <w:pPr>
              <w:rPr>
                <w:rFonts w:eastAsia="Calibri" w:cs="Calibri"/>
                <w:szCs w:val="20"/>
                <w:lang w:val="en-IE"/>
              </w:rPr>
            </w:pPr>
            <w:r w:rsidRPr="00B56A42">
              <w:rPr>
                <w:rFonts w:ascii="Cambria" w:eastAsia="Calibri" w:hAnsi="Cambria" w:cs="Calibri"/>
                <w:szCs w:val="20"/>
                <w:lang w:val="en-IE"/>
              </w:rPr>
              <w:t>The Gambia's regulations do not explicitly prohibit the discard of dead billfish.</w:t>
            </w:r>
          </w:p>
        </w:tc>
      </w:tr>
      <w:tr w:rsidR="00940D66" w:rsidRPr="00B56A42" w14:paraId="6F212FD0" w14:textId="77777777" w:rsidTr="004B1E33">
        <w:trPr>
          <w:jc w:val="center"/>
        </w:trPr>
        <w:tc>
          <w:tcPr>
            <w:tcW w:w="845" w:type="dxa"/>
            <w:shd w:val="clear" w:color="auto" w:fill="FFFFFF" w:themeFill="background1"/>
          </w:tcPr>
          <w:p w14:paraId="4EB13E03" w14:textId="77777777" w:rsidR="00940D66" w:rsidRPr="00B56A42" w:rsidRDefault="00940D66" w:rsidP="004B1E33">
            <w:pPr>
              <w:rPr>
                <w:rFonts w:eastAsia="Calibri" w:cs="Times New Roman"/>
                <w:szCs w:val="20"/>
                <w:lang w:val="es-ES"/>
              </w:rPr>
            </w:pPr>
            <w:r w:rsidRPr="00B56A42">
              <w:rPr>
                <w:rFonts w:ascii="Cambria" w:eastAsia="Times New Roman" w:hAnsi="Cambria" w:cs="Calibri"/>
                <w:color w:val="000000"/>
                <w:szCs w:val="20"/>
              </w:rPr>
              <w:t>19-05</w:t>
            </w:r>
          </w:p>
        </w:tc>
        <w:tc>
          <w:tcPr>
            <w:tcW w:w="985" w:type="dxa"/>
            <w:shd w:val="clear" w:color="auto" w:fill="FFFFFF" w:themeFill="background1"/>
          </w:tcPr>
          <w:p w14:paraId="00A4CEE3" w14:textId="77777777" w:rsidR="00940D66" w:rsidRPr="00B56A42" w:rsidRDefault="00940D66" w:rsidP="004B1E33">
            <w:pPr>
              <w:jc w:val="center"/>
              <w:rPr>
                <w:rFonts w:eastAsia="Calibri" w:cs="Times New Roman"/>
                <w:szCs w:val="20"/>
                <w:lang w:val="en-IE"/>
              </w:rPr>
            </w:pPr>
            <w:r w:rsidRPr="00B56A42">
              <w:rPr>
                <w:rFonts w:ascii="Cambria" w:eastAsia="Calibri" w:hAnsi="Cambria" w:cs="Times New Roman"/>
                <w:szCs w:val="20"/>
              </w:rPr>
              <w:t>10</w:t>
            </w:r>
          </w:p>
        </w:tc>
        <w:tc>
          <w:tcPr>
            <w:tcW w:w="2960" w:type="dxa"/>
            <w:shd w:val="clear" w:color="auto" w:fill="FFFFFF" w:themeFill="background1"/>
          </w:tcPr>
          <w:p w14:paraId="4DA18D1E"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Blue marlin and white marlin/</w:t>
            </w:r>
            <w:proofErr w:type="spellStart"/>
            <w:r w:rsidRPr="00B56A42">
              <w:rPr>
                <w:rFonts w:ascii="Cambria" w:eastAsia="Calibri" w:hAnsi="Cambria" w:cs="Times New Roman"/>
                <w:szCs w:val="20"/>
                <w:lang w:val="en-IE"/>
              </w:rPr>
              <w:t>roundscale</w:t>
            </w:r>
            <w:proofErr w:type="spellEnd"/>
            <w:r w:rsidRPr="00B56A42">
              <w:rPr>
                <w:rFonts w:ascii="Cambria" w:eastAsia="Calibri" w:hAnsi="Cambria" w:cs="Times New Roman"/>
                <w:szCs w:val="20"/>
                <w:lang w:val="en-IE"/>
              </w:rPr>
              <w:t xml:space="preserve"> spearfish that are caught for local consumption by developing </w:t>
            </w:r>
            <w:r w:rsidRPr="00B56A42">
              <w:rPr>
                <w:rFonts w:ascii="Cambria" w:eastAsia="Calibri" w:hAnsi="Cambria" w:cs="Times New Roman"/>
                <w:szCs w:val="20"/>
                <w:lang w:val="en-IE"/>
              </w:rPr>
              <w:lastRenderedPageBreak/>
              <w:t>coastal CPCs or by other CPCs' small island, artisanal, subsistence, and small-scale coastal fisheries are exempted from Paragraph 4, provided that these CPCs (a) submit Task 1 and Task 2 data according to the reporting procedures established by the SCRS and (b) in the case of non-developing coastal CPCs, notify the Commission of their claim to this exemption and the measures taken to limit application of this exemption to such fisheries.</w:t>
            </w:r>
          </w:p>
        </w:tc>
        <w:tc>
          <w:tcPr>
            <w:tcW w:w="1178" w:type="dxa"/>
          </w:tcPr>
          <w:p w14:paraId="49AF89A5" w14:textId="77777777" w:rsidR="00940D66" w:rsidRPr="00B56A42" w:rsidRDefault="00940D66" w:rsidP="004B1E33">
            <w:pPr>
              <w:jc w:val="center"/>
              <w:rPr>
                <w:rFonts w:eastAsia="Calibri" w:cs="Calibri"/>
                <w:szCs w:val="20"/>
                <w:lang w:val="en-IE"/>
              </w:rPr>
            </w:pPr>
            <w:r w:rsidRPr="00B56A42">
              <w:rPr>
                <w:rFonts w:ascii="Cambria" w:eastAsia="Calibri" w:hAnsi="Cambria" w:cs="Calibri"/>
                <w:szCs w:val="20"/>
                <w:lang w:val="en-IE"/>
              </w:rPr>
              <w:lastRenderedPageBreak/>
              <w:t>N/A (Not applicable)</w:t>
            </w:r>
          </w:p>
        </w:tc>
        <w:tc>
          <w:tcPr>
            <w:tcW w:w="1539" w:type="dxa"/>
          </w:tcPr>
          <w:p w14:paraId="6E406AC3" w14:textId="77777777" w:rsidR="00940D66" w:rsidRPr="00B56A42" w:rsidRDefault="00940D66" w:rsidP="004B1E33">
            <w:pPr>
              <w:rPr>
                <w:rFonts w:eastAsia="Calibri" w:cs="Calibri"/>
                <w:szCs w:val="20"/>
                <w:lang w:val="en-IE"/>
              </w:rPr>
            </w:pPr>
          </w:p>
        </w:tc>
        <w:tc>
          <w:tcPr>
            <w:tcW w:w="2693" w:type="dxa"/>
          </w:tcPr>
          <w:p w14:paraId="384CA34A" w14:textId="77777777" w:rsidR="00940D66" w:rsidRPr="00B56A42" w:rsidRDefault="00940D66" w:rsidP="004B1E33">
            <w:pPr>
              <w:rPr>
                <w:rFonts w:eastAsia="Calibri" w:cs="Calibri"/>
                <w:szCs w:val="20"/>
                <w:lang w:val="en-IE"/>
              </w:rPr>
            </w:pPr>
            <w:r w:rsidRPr="00B56A42">
              <w:rPr>
                <w:rFonts w:ascii="Cambria" w:eastAsia="Calibri" w:hAnsi="Cambria" w:cs="Calibri"/>
                <w:szCs w:val="20"/>
                <w:lang w:val="en-IE"/>
              </w:rPr>
              <w:t xml:space="preserve"> This exemption is not applicable as there are no recorded landings of billfish by artisanal or </w:t>
            </w:r>
            <w:r w:rsidRPr="00B56A42">
              <w:rPr>
                <w:rFonts w:ascii="Cambria" w:eastAsia="Calibri" w:hAnsi="Cambria" w:cs="Calibri"/>
                <w:szCs w:val="20"/>
                <w:lang w:val="en-IE"/>
              </w:rPr>
              <w:lastRenderedPageBreak/>
              <w:t>small-scale fisheries in The Gambia.</w:t>
            </w:r>
          </w:p>
        </w:tc>
      </w:tr>
      <w:tr w:rsidR="00940D66" w:rsidRPr="00B56A42" w14:paraId="6BD40016" w14:textId="77777777" w:rsidTr="004B1E33">
        <w:trPr>
          <w:trHeight w:val="118"/>
          <w:jc w:val="center"/>
        </w:trPr>
        <w:tc>
          <w:tcPr>
            <w:tcW w:w="845" w:type="dxa"/>
            <w:shd w:val="clear" w:color="auto" w:fill="FFFFFF" w:themeFill="background1"/>
          </w:tcPr>
          <w:p w14:paraId="673427E9" w14:textId="77777777" w:rsidR="00940D66" w:rsidRPr="00B56A42" w:rsidRDefault="00940D66" w:rsidP="004B1E33">
            <w:pPr>
              <w:rPr>
                <w:rFonts w:eastAsia="Times New Roman" w:cs="Calibri"/>
                <w:color w:val="000000"/>
                <w:szCs w:val="20"/>
              </w:rPr>
            </w:pPr>
            <w:r w:rsidRPr="00B56A42">
              <w:rPr>
                <w:rFonts w:ascii="Cambria" w:eastAsia="Times New Roman" w:hAnsi="Cambria" w:cs="Calibri"/>
                <w:color w:val="000000"/>
                <w:szCs w:val="20"/>
              </w:rPr>
              <w:lastRenderedPageBreak/>
              <w:t>19-05</w:t>
            </w:r>
          </w:p>
        </w:tc>
        <w:tc>
          <w:tcPr>
            <w:tcW w:w="985" w:type="dxa"/>
            <w:shd w:val="clear" w:color="auto" w:fill="FFFFFF" w:themeFill="background1"/>
          </w:tcPr>
          <w:p w14:paraId="56EBFE78" w14:textId="77777777" w:rsidR="00940D66" w:rsidRPr="00B56A42" w:rsidRDefault="00940D66" w:rsidP="004B1E33">
            <w:pPr>
              <w:jc w:val="center"/>
              <w:rPr>
                <w:rFonts w:eastAsia="Times New Roman" w:cs="Calibri"/>
                <w:color w:val="000000"/>
                <w:szCs w:val="20"/>
              </w:rPr>
            </w:pPr>
            <w:r w:rsidRPr="00B56A42">
              <w:rPr>
                <w:rFonts w:ascii="Cambria" w:eastAsia="Times New Roman" w:hAnsi="Cambria" w:cs="Calibri"/>
                <w:color w:val="000000"/>
                <w:szCs w:val="20"/>
              </w:rPr>
              <w:t>11a</w:t>
            </w:r>
          </w:p>
        </w:tc>
        <w:tc>
          <w:tcPr>
            <w:tcW w:w="2960" w:type="dxa"/>
            <w:shd w:val="clear" w:color="auto" w:fill="FFFFFF" w:themeFill="background1"/>
          </w:tcPr>
          <w:p w14:paraId="368E1FDB" w14:textId="77777777" w:rsidR="00940D66" w:rsidRPr="00B56A42" w:rsidRDefault="00940D66" w:rsidP="004B1E33">
            <w:pPr>
              <w:widowControl w:val="0"/>
              <w:spacing w:line="220" w:lineRule="exact"/>
              <w:ind w:right="113"/>
              <w:jc w:val="both"/>
              <w:rPr>
                <w:rFonts w:eastAsia="Times New Roman" w:cs="Calibri"/>
                <w:color w:val="000000"/>
                <w:szCs w:val="20"/>
              </w:rPr>
            </w:pPr>
            <w:r w:rsidRPr="00B56A42">
              <w:rPr>
                <w:rFonts w:ascii="Cambria" w:eastAsia="Times New Roman" w:hAnsi="Cambria" w:cs="Calibri"/>
                <w:color w:val="000000"/>
                <w:szCs w:val="20"/>
              </w:rPr>
              <w:t>For recreational and sport fisheries: a) CPCs shall take appropriate measures to ensure that any released fish are released in a manner that causes the least harm.</w:t>
            </w:r>
          </w:p>
        </w:tc>
        <w:tc>
          <w:tcPr>
            <w:tcW w:w="1178" w:type="dxa"/>
          </w:tcPr>
          <w:p w14:paraId="0568DB5F" w14:textId="77777777" w:rsidR="00940D66" w:rsidRPr="00B56A42" w:rsidRDefault="00940D66" w:rsidP="004B1E33">
            <w:pPr>
              <w:rPr>
                <w:rFonts w:eastAsia="Times New Roman" w:cs="Calibri"/>
                <w:szCs w:val="20"/>
              </w:rPr>
            </w:pPr>
            <w:r w:rsidRPr="00B56A42">
              <w:rPr>
                <w:rFonts w:ascii="Cambria" w:eastAsia="Calibri" w:hAnsi="Cambria" w:cs="Calibri"/>
                <w:szCs w:val="20"/>
                <w:lang w:val="en-IE"/>
              </w:rPr>
              <w:t xml:space="preserve">N/A </w:t>
            </w:r>
          </w:p>
        </w:tc>
        <w:tc>
          <w:tcPr>
            <w:tcW w:w="1539" w:type="dxa"/>
          </w:tcPr>
          <w:p w14:paraId="22B47194" w14:textId="77777777" w:rsidR="00940D66" w:rsidRPr="00B56A42" w:rsidRDefault="00940D66" w:rsidP="004B1E33">
            <w:pPr>
              <w:rPr>
                <w:rFonts w:eastAsia="Times New Roman" w:cs="Calibri"/>
                <w:szCs w:val="20"/>
              </w:rPr>
            </w:pPr>
          </w:p>
        </w:tc>
        <w:tc>
          <w:tcPr>
            <w:tcW w:w="2693" w:type="dxa"/>
          </w:tcPr>
          <w:p w14:paraId="7F75F8BA" w14:textId="77777777" w:rsidR="00940D66" w:rsidRPr="00B56A42" w:rsidRDefault="00940D66" w:rsidP="004B1E33">
            <w:pPr>
              <w:rPr>
                <w:rFonts w:eastAsia="Calibri" w:cs="Calibri"/>
                <w:szCs w:val="20"/>
                <w:lang w:val="en-IE"/>
              </w:rPr>
            </w:pPr>
            <w:r w:rsidRPr="00B56A42">
              <w:rPr>
                <w:rFonts w:ascii="Cambria" w:eastAsia="Calibri" w:hAnsi="Cambria" w:cs="Calibri"/>
                <w:szCs w:val="20"/>
                <w:lang w:val="en-IE"/>
              </w:rPr>
              <w:t xml:space="preserve"> The Gambia has no recreational fisheries that interact with blue marlin or white marlin.</w:t>
            </w:r>
          </w:p>
        </w:tc>
      </w:tr>
      <w:tr w:rsidR="00940D66" w:rsidRPr="00B56A42" w14:paraId="56BD4561" w14:textId="77777777" w:rsidTr="004B1E33">
        <w:trPr>
          <w:trHeight w:val="118"/>
          <w:jc w:val="center"/>
        </w:trPr>
        <w:tc>
          <w:tcPr>
            <w:tcW w:w="845" w:type="dxa"/>
            <w:shd w:val="clear" w:color="auto" w:fill="FFFFFF" w:themeFill="background1"/>
          </w:tcPr>
          <w:p w14:paraId="3F144A66" w14:textId="77777777" w:rsidR="00940D66" w:rsidRPr="00B56A42" w:rsidRDefault="00940D66" w:rsidP="004B1E33">
            <w:pPr>
              <w:rPr>
                <w:rFonts w:eastAsia="Times New Roman" w:cs="Calibri"/>
                <w:color w:val="000000"/>
                <w:szCs w:val="20"/>
              </w:rPr>
            </w:pPr>
            <w:r w:rsidRPr="00B56A42">
              <w:rPr>
                <w:rFonts w:ascii="Cambria" w:eastAsia="Times New Roman" w:hAnsi="Cambria" w:cs="Calibri"/>
                <w:color w:val="000000"/>
                <w:szCs w:val="20"/>
              </w:rPr>
              <w:t>19-05</w:t>
            </w:r>
          </w:p>
        </w:tc>
        <w:tc>
          <w:tcPr>
            <w:tcW w:w="985" w:type="dxa"/>
            <w:shd w:val="clear" w:color="auto" w:fill="FFFFFF" w:themeFill="background1"/>
          </w:tcPr>
          <w:p w14:paraId="0876EF05" w14:textId="77777777" w:rsidR="00940D66" w:rsidRPr="00B56A42" w:rsidRDefault="00940D66" w:rsidP="004B1E33">
            <w:pPr>
              <w:jc w:val="center"/>
              <w:rPr>
                <w:rFonts w:eastAsia="Times New Roman" w:cs="Calibri"/>
                <w:color w:val="000000"/>
                <w:szCs w:val="20"/>
              </w:rPr>
            </w:pPr>
            <w:r w:rsidRPr="00B56A42">
              <w:rPr>
                <w:rFonts w:ascii="Cambria" w:eastAsia="Times New Roman" w:hAnsi="Cambria" w:cs="Calibri"/>
                <w:color w:val="000000"/>
                <w:szCs w:val="20"/>
              </w:rPr>
              <w:t>12</w:t>
            </w:r>
          </w:p>
        </w:tc>
        <w:tc>
          <w:tcPr>
            <w:tcW w:w="2960" w:type="dxa"/>
            <w:shd w:val="clear" w:color="auto" w:fill="FFFFFF" w:themeFill="background1"/>
          </w:tcPr>
          <w:p w14:paraId="55BC3CA0" w14:textId="77777777" w:rsidR="00940D66" w:rsidRPr="00B56A42" w:rsidRDefault="00940D66" w:rsidP="004B1E33">
            <w:pPr>
              <w:widowControl w:val="0"/>
              <w:spacing w:line="220" w:lineRule="exact"/>
              <w:ind w:right="113"/>
              <w:jc w:val="both"/>
              <w:rPr>
                <w:rFonts w:eastAsia="Times New Roman" w:cs="Calibri"/>
                <w:color w:val="000000"/>
                <w:szCs w:val="20"/>
              </w:rPr>
            </w:pPr>
            <w:r w:rsidRPr="00B56A42">
              <w:rPr>
                <w:rFonts w:ascii="Cambria" w:eastAsia="Times New Roman" w:hAnsi="Cambria" w:cs="Calibri"/>
                <w:color w:val="000000"/>
                <w:szCs w:val="20"/>
              </w:rPr>
              <w:t>CPCs shall collect catch data on blue marlin and white marlin/</w:t>
            </w:r>
            <w:proofErr w:type="spellStart"/>
            <w:r w:rsidRPr="00B56A42">
              <w:rPr>
                <w:rFonts w:ascii="Cambria" w:eastAsia="Times New Roman" w:hAnsi="Cambria" w:cs="Calibri"/>
                <w:color w:val="000000"/>
                <w:szCs w:val="20"/>
              </w:rPr>
              <w:t>roundscale</w:t>
            </w:r>
            <w:proofErr w:type="spellEnd"/>
            <w:r w:rsidRPr="00B56A42">
              <w:rPr>
                <w:rFonts w:ascii="Cambria" w:eastAsia="Times New Roman" w:hAnsi="Cambria" w:cs="Calibri"/>
                <w:color w:val="000000"/>
                <w:szCs w:val="20"/>
              </w:rPr>
              <w:t xml:space="preserve"> spearfish, including live and dead discards, through logbooks and scientific observer programs as required by Rec. 11-10 and Rec. 16-14. CPCs shall include their estimates of total dead and live discards in their Task 1 Nominal Catch data submission.</w:t>
            </w:r>
          </w:p>
        </w:tc>
        <w:tc>
          <w:tcPr>
            <w:tcW w:w="1178" w:type="dxa"/>
          </w:tcPr>
          <w:p w14:paraId="316EAD9A" w14:textId="77777777" w:rsidR="00940D66" w:rsidRPr="00B56A42" w:rsidRDefault="00940D66" w:rsidP="004B1E33">
            <w:pPr>
              <w:rPr>
                <w:rFonts w:eastAsia="Times New Roman" w:cs="Calibri"/>
                <w:szCs w:val="20"/>
              </w:rPr>
            </w:pPr>
            <w:r w:rsidRPr="00B56A42">
              <w:rPr>
                <w:rFonts w:ascii="Cambria" w:eastAsia="Times New Roman" w:hAnsi="Cambria" w:cs="Calibri"/>
                <w:szCs w:val="20"/>
              </w:rPr>
              <w:t xml:space="preserve">Yes </w:t>
            </w:r>
          </w:p>
          <w:p w14:paraId="7E06C0DD" w14:textId="77777777" w:rsidR="00940D66" w:rsidRPr="00B56A42" w:rsidRDefault="00940D66" w:rsidP="004B1E33">
            <w:pPr>
              <w:rPr>
                <w:rFonts w:eastAsia="Times New Roman" w:cs="Calibri"/>
                <w:szCs w:val="20"/>
              </w:rPr>
            </w:pPr>
          </w:p>
        </w:tc>
        <w:tc>
          <w:tcPr>
            <w:tcW w:w="1539" w:type="dxa"/>
          </w:tcPr>
          <w:p w14:paraId="6421C8E8" w14:textId="77777777" w:rsidR="00940D66" w:rsidRPr="00B56A42" w:rsidRDefault="00940D66" w:rsidP="004B1E33">
            <w:pPr>
              <w:rPr>
                <w:rFonts w:eastAsia="Times New Roman" w:cs="Calibri"/>
                <w:szCs w:val="20"/>
              </w:rPr>
            </w:pPr>
            <w:r w:rsidRPr="00B56A42">
              <w:rPr>
                <w:rFonts w:eastAsia="Times New Roman" w:cs="Calibri"/>
                <w:szCs w:val="20"/>
              </w:rPr>
              <w:t>Fisheries Regulation 2008 - Regulation 26(g</w:t>
            </w:r>
            <w:proofErr w:type="gramStart"/>
            <w:r w:rsidRPr="00B56A42">
              <w:rPr>
                <w:rFonts w:eastAsia="Times New Roman" w:cs="Calibri"/>
                <w:szCs w:val="20"/>
              </w:rPr>
              <w:t>),(</w:t>
            </w:r>
            <w:proofErr w:type="gramEnd"/>
            <w:r w:rsidRPr="00B56A42">
              <w:rPr>
                <w:rFonts w:eastAsia="Times New Roman" w:cs="Calibri"/>
                <w:szCs w:val="20"/>
              </w:rPr>
              <w:t>h), (o).</w:t>
            </w:r>
          </w:p>
        </w:tc>
        <w:tc>
          <w:tcPr>
            <w:tcW w:w="2693" w:type="dxa"/>
          </w:tcPr>
          <w:p w14:paraId="7F255866" w14:textId="77777777" w:rsidR="00940D66" w:rsidRPr="00B56A42" w:rsidRDefault="00940D66" w:rsidP="004B1E33">
            <w:pPr>
              <w:rPr>
                <w:rFonts w:eastAsia="Times New Roman" w:cs="Calibri"/>
                <w:szCs w:val="20"/>
              </w:rPr>
            </w:pPr>
            <w:r w:rsidRPr="00B56A42">
              <w:rPr>
                <w:rFonts w:ascii="Cambria" w:eastAsia="Times New Roman" w:hAnsi="Cambria" w:cs="Calibri"/>
                <w:szCs w:val="20"/>
              </w:rPr>
              <w:t>The mandatory logbook system and observer program are in place to collect catch data for all species, including billfish. As there were no landings, the data reported was zero.</w:t>
            </w:r>
          </w:p>
        </w:tc>
      </w:tr>
      <w:tr w:rsidR="00940D66" w:rsidRPr="00B56A42" w14:paraId="2821A3E7" w14:textId="77777777" w:rsidTr="004B1E33">
        <w:trPr>
          <w:jc w:val="center"/>
        </w:trPr>
        <w:tc>
          <w:tcPr>
            <w:tcW w:w="845" w:type="dxa"/>
            <w:shd w:val="clear" w:color="auto" w:fill="FFFFFF" w:themeFill="background1"/>
          </w:tcPr>
          <w:p w14:paraId="361B6BB0" w14:textId="77777777" w:rsidR="00940D66" w:rsidRPr="00B56A42" w:rsidRDefault="00940D66" w:rsidP="004B1E33">
            <w:pPr>
              <w:rPr>
                <w:rFonts w:eastAsia="Calibri" w:cs="Times New Roman"/>
                <w:szCs w:val="20"/>
                <w:lang w:val="es-ES"/>
              </w:rPr>
            </w:pPr>
            <w:r w:rsidRPr="00B56A42">
              <w:rPr>
                <w:rFonts w:ascii="Cambria" w:eastAsia="Calibri" w:hAnsi="Cambria" w:cs="Times New Roman"/>
                <w:szCs w:val="20"/>
                <w:lang w:val="es-ES"/>
              </w:rPr>
              <w:t>19-05</w:t>
            </w:r>
          </w:p>
        </w:tc>
        <w:tc>
          <w:tcPr>
            <w:tcW w:w="985" w:type="dxa"/>
            <w:shd w:val="clear" w:color="auto" w:fill="FFFFFF" w:themeFill="background1"/>
          </w:tcPr>
          <w:p w14:paraId="54FF036C" w14:textId="77777777" w:rsidR="00940D66" w:rsidRPr="00B56A42" w:rsidRDefault="00940D66" w:rsidP="004B1E33">
            <w:pPr>
              <w:jc w:val="center"/>
              <w:rPr>
                <w:rFonts w:eastAsia="Calibri" w:cs="Times New Roman"/>
                <w:szCs w:val="20"/>
                <w:lang w:val="en-IE"/>
              </w:rPr>
            </w:pPr>
            <w:r w:rsidRPr="00B56A42">
              <w:rPr>
                <w:rFonts w:ascii="Cambria" w:eastAsia="Calibri" w:hAnsi="Cambria" w:cs="Times New Roman"/>
                <w:szCs w:val="20"/>
                <w:lang w:val="en-IE"/>
              </w:rPr>
              <w:t>11, 13, 14, 17</w:t>
            </w:r>
          </w:p>
        </w:tc>
        <w:tc>
          <w:tcPr>
            <w:tcW w:w="2960" w:type="dxa"/>
            <w:shd w:val="clear" w:color="auto" w:fill="FFFFFF" w:themeFill="background1"/>
          </w:tcPr>
          <w:p w14:paraId="563320D2"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Does the CPC have recreational fisheries that interact with blue marlin or white marlin/</w:t>
            </w:r>
            <w:proofErr w:type="spellStart"/>
            <w:r w:rsidRPr="00B56A42">
              <w:rPr>
                <w:rFonts w:ascii="Cambria" w:eastAsia="Calibri" w:hAnsi="Cambria" w:cs="Times New Roman"/>
                <w:szCs w:val="20"/>
                <w:lang w:val="en-IE"/>
              </w:rPr>
              <w:t>roundscale</w:t>
            </w:r>
            <w:proofErr w:type="spellEnd"/>
            <w:r w:rsidRPr="00B56A42">
              <w:rPr>
                <w:rFonts w:ascii="Cambria" w:eastAsia="Calibri" w:hAnsi="Cambria" w:cs="Times New Roman"/>
                <w:szCs w:val="20"/>
                <w:lang w:val="en-IE"/>
              </w:rPr>
              <w:t xml:space="preserve"> spearfish?</w:t>
            </w:r>
          </w:p>
        </w:tc>
        <w:tc>
          <w:tcPr>
            <w:tcW w:w="1178" w:type="dxa"/>
            <w:vAlign w:val="center"/>
          </w:tcPr>
          <w:p w14:paraId="027F0949" w14:textId="77777777" w:rsidR="00940D66" w:rsidRPr="00B56A42" w:rsidRDefault="00940D66" w:rsidP="004B1E33">
            <w:pPr>
              <w:rPr>
                <w:rFonts w:eastAsia="Calibri" w:cs="Calibri"/>
                <w:szCs w:val="20"/>
                <w:lang w:val="en-IE"/>
              </w:rPr>
            </w:pPr>
            <w:r w:rsidRPr="00B56A42">
              <w:rPr>
                <w:rFonts w:ascii="Cambria" w:eastAsia="Calibri" w:hAnsi="Cambria" w:cs="Calibri"/>
                <w:szCs w:val="20"/>
                <w:lang w:val="en-IE"/>
              </w:rPr>
              <w:t>No</w:t>
            </w:r>
          </w:p>
        </w:tc>
        <w:tc>
          <w:tcPr>
            <w:tcW w:w="1539" w:type="dxa"/>
            <w:vAlign w:val="center"/>
          </w:tcPr>
          <w:p w14:paraId="5E93E5B2" w14:textId="77777777" w:rsidR="00940D66" w:rsidRPr="00B56A42" w:rsidRDefault="00940D66" w:rsidP="004B1E33">
            <w:pPr>
              <w:rPr>
                <w:rFonts w:eastAsia="Calibri" w:cs="Calibri"/>
                <w:szCs w:val="20"/>
                <w:lang w:val="en-IE"/>
              </w:rPr>
            </w:pPr>
          </w:p>
        </w:tc>
        <w:tc>
          <w:tcPr>
            <w:tcW w:w="2693" w:type="dxa"/>
            <w:vAlign w:val="center"/>
          </w:tcPr>
          <w:p w14:paraId="6ADFD600" w14:textId="77777777" w:rsidR="00940D66" w:rsidRPr="00B56A42" w:rsidRDefault="00940D66" w:rsidP="004B1E33">
            <w:pPr>
              <w:rPr>
                <w:rFonts w:eastAsia="Calibri" w:cs="Calibri"/>
                <w:szCs w:val="20"/>
                <w:lang w:val="en-IE"/>
              </w:rPr>
            </w:pPr>
            <w:r w:rsidRPr="00B56A42">
              <w:rPr>
                <w:rFonts w:ascii="Cambria" w:eastAsia="Calibri" w:hAnsi="Cambria" w:cs="Calibri"/>
                <w:szCs w:val="20"/>
                <w:lang w:val="en-IE"/>
              </w:rPr>
              <w:t>The Gambia has no recreational fisheries that interact with these species.</w:t>
            </w:r>
          </w:p>
        </w:tc>
      </w:tr>
      <w:tr w:rsidR="00940D66" w:rsidRPr="00B56A42" w14:paraId="0D2034F3" w14:textId="77777777" w:rsidTr="004B1E33">
        <w:trPr>
          <w:jc w:val="center"/>
        </w:trPr>
        <w:tc>
          <w:tcPr>
            <w:tcW w:w="845" w:type="dxa"/>
            <w:shd w:val="clear" w:color="auto" w:fill="FFFFFF" w:themeFill="background1"/>
          </w:tcPr>
          <w:p w14:paraId="2D99AFF5"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s-ES"/>
              </w:rPr>
              <w:t>19-05</w:t>
            </w:r>
          </w:p>
        </w:tc>
        <w:tc>
          <w:tcPr>
            <w:tcW w:w="985" w:type="dxa"/>
            <w:shd w:val="clear" w:color="auto" w:fill="FFFFFF" w:themeFill="background1"/>
          </w:tcPr>
          <w:p w14:paraId="7C001813" w14:textId="77777777" w:rsidR="00940D66" w:rsidRPr="00B56A42" w:rsidRDefault="00940D66" w:rsidP="004B1E33">
            <w:pPr>
              <w:jc w:val="center"/>
              <w:rPr>
                <w:rFonts w:eastAsia="Calibri" w:cs="Times New Roman"/>
                <w:szCs w:val="20"/>
                <w:lang w:val="en-IE"/>
              </w:rPr>
            </w:pPr>
            <w:r w:rsidRPr="00B56A42">
              <w:rPr>
                <w:rFonts w:ascii="Cambria" w:eastAsia="Calibri" w:hAnsi="Cambria" w:cs="Times New Roman"/>
                <w:szCs w:val="20"/>
                <w:lang w:val="en-IE"/>
              </w:rPr>
              <w:t>13</w:t>
            </w:r>
          </w:p>
          <w:p w14:paraId="2AA89B72" w14:textId="77777777" w:rsidR="00940D66" w:rsidRPr="00B56A42" w:rsidRDefault="00940D66" w:rsidP="004B1E33">
            <w:pPr>
              <w:jc w:val="center"/>
              <w:rPr>
                <w:rFonts w:eastAsia="Calibri" w:cs="Times New Roman"/>
                <w:szCs w:val="20"/>
                <w:lang w:val="en-IE"/>
              </w:rPr>
            </w:pPr>
          </w:p>
        </w:tc>
        <w:tc>
          <w:tcPr>
            <w:tcW w:w="2960" w:type="dxa"/>
            <w:shd w:val="clear" w:color="auto" w:fill="FFFFFF" w:themeFill="background1"/>
          </w:tcPr>
          <w:p w14:paraId="216038B6"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“CPCs shall establish or maintain data collection programs in recreational and sport fisheries, including a minimum of 5% scientific observer coverage of blue marlin and white marlin/</w:t>
            </w:r>
            <w:proofErr w:type="spellStart"/>
            <w:r w:rsidRPr="00B56A42">
              <w:rPr>
                <w:rFonts w:ascii="Cambria" w:eastAsia="Calibri" w:hAnsi="Cambria" w:cs="Times New Roman"/>
                <w:szCs w:val="20"/>
                <w:lang w:val="en-IE"/>
              </w:rPr>
              <w:t>roundscale</w:t>
            </w:r>
            <w:proofErr w:type="spellEnd"/>
            <w:r w:rsidRPr="00B56A42">
              <w:rPr>
                <w:rFonts w:ascii="Cambria" w:eastAsia="Calibri" w:hAnsi="Cambria" w:cs="Times New Roman"/>
                <w:szCs w:val="20"/>
                <w:lang w:val="en-IE"/>
              </w:rPr>
              <w:t xml:space="preserve"> spearfish tournaments, to ensure that catches are reported in </w:t>
            </w:r>
            <w:r w:rsidRPr="00B56A42">
              <w:rPr>
                <w:rFonts w:ascii="Cambria" w:eastAsia="Calibri" w:hAnsi="Cambria" w:cs="Times New Roman"/>
                <w:szCs w:val="20"/>
                <w:lang w:val="en-IE"/>
              </w:rPr>
              <w:lastRenderedPageBreak/>
              <w:t>accordance with existing ICCAT reporting obligations.”</w:t>
            </w:r>
          </w:p>
          <w:p w14:paraId="036C5EDC" w14:textId="77777777" w:rsidR="00940D66" w:rsidRPr="00B56A42" w:rsidRDefault="00940D66" w:rsidP="004B1E33">
            <w:pPr>
              <w:rPr>
                <w:rFonts w:eastAsia="Calibri" w:cs="Times New Roman"/>
                <w:szCs w:val="20"/>
                <w:lang w:val="en-IE"/>
              </w:rPr>
            </w:pPr>
          </w:p>
          <w:p w14:paraId="6F7FCEFF"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Does your CPC meet the 5% requirement?</w:t>
            </w:r>
          </w:p>
        </w:tc>
        <w:tc>
          <w:tcPr>
            <w:tcW w:w="1178" w:type="dxa"/>
          </w:tcPr>
          <w:p w14:paraId="15350BDE"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lastRenderedPageBreak/>
              <w:t xml:space="preserve"> N/A (Not applicable)</w:t>
            </w:r>
          </w:p>
        </w:tc>
        <w:tc>
          <w:tcPr>
            <w:tcW w:w="1539" w:type="dxa"/>
          </w:tcPr>
          <w:p w14:paraId="2F15079C" w14:textId="77777777" w:rsidR="00940D66" w:rsidRPr="00B56A42" w:rsidRDefault="00940D66" w:rsidP="004B1E33">
            <w:pPr>
              <w:rPr>
                <w:rFonts w:eastAsia="Calibri" w:cs="Calibri"/>
                <w:szCs w:val="20"/>
                <w:lang w:val="en-IE"/>
              </w:rPr>
            </w:pPr>
          </w:p>
        </w:tc>
        <w:tc>
          <w:tcPr>
            <w:tcW w:w="2693" w:type="dxa"/>
          </w:tcPr>
          <w:p w14:paraId="54D1BBD8"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The Gambia has no recreational fisheries that interact with blue marlin or white marlin, making this requirement not applicable.</w:t>
            </w:r>
          </w:p>
        </w:tc>
      </w:tr>
      <w:tr w:rsidR="00940D66" w:rsidRPr="00B56A42" w14:paraId="4F198223" w14:textId="77777777" w:rsidTr="004B1E33">
        <w:trPr>
          <w:jc w:val="center"/>
        </w:trPr>
        <w:tc>
          <w:tcPr>
            <w:tcW w:w="845" w:type="dxa"/>
            <w:shd w:val="clear" w:color="auto" w:fill="FFFFFF" w:themeFill="background1"/>
          </w:tcPr>
          <w:p w14:paraId="279BFBD6"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s-ES"/>
              </w:rPr>
              <w:t>19-05</w:t>
            </w:r>
          </w:p>
        </w:tc>
        <w:tc>
          <w:tcPr>
            <w:tcW w:w="985" w:type="dxa"/>
            <w:shd w:val="clear" w:color="auto" w:fill="FFFFFF" w:themeFill="background1"/>
          </w:tcPr>
          <w:p w14:paraId="26190501" w14:textId="77777777" w:rsidR="00940D66" w:rsidRPr="00B56A42" w:rsidRDefault="00940D66" w:rsidP="004B1E33">
            <w:pPr>
              <w:jc w:val="center"/>
              <w:rPr>
                <w:rFonts w:eastAsia="Calibri" w:cs="Times New Roman"/>
                <w:szCs w:val="20"/>
                <w:lang w:val="en-IE"/>
              </w:rPr>
            </w:pPr>
            <w:r w:rsidRPr="00B56A42">
              <w:rPr>
                <w:rFonts w:ascii="Cambria" w:eastAsia="Calibri" w:hAnsi="Cambria" w:cs="Times New Roman"/>
                <w:szCs w:val="20"/>
                <w:lang w:val="en-IE"/>
              </w:rPr>
              <w:t>11b)</w:t>
            </w:r>
          </w:p>
        </w:tc>
        <w:tc>
          <w:tcPr>
            <w:tcW w:w="2960" w:type="dxa"/>
            <w:shd w:val="clear" w:color="auto" w:fill="FFFFFF" w:themeFill="background1"/>
          </w:tcPr>
          <w:p w14:paraId="28E1BD0C"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For recreational and sport fisheries: “CPCs shall establish minimum sizes for retention that meet or exceed the following lengths: 251 cm Lower Jaw-Fork Length (LJFL) for blue marlin and 168 cm LJFL for white marlin/</w:t>
            </w:r>
            <w:proofErr w:type="spellStart"/>
            <w:r w:rsidRPr="00B56A42">
              <w:rPr>
                <w:rFonts w:ascii="Cambria" w:eastAsia="Calibri" w:hAnsi="Cambria" w:cs="Times New Roman"/>
                <w:szCs w:val="20"/>
                <w:lang w:val="en-IE"/>
              </w:rPr>
              <w:t>roundscale</w:t>
            </w:r>
            <w:proofErr w:type="spellEnd"/>
            <w:r w:rsidRPr="00B56A42">
              <w:rPr>
                <w:rFonts w:ascii="Cambria" w:eastAsia="Calibri" w:hAnsi="Cambria" w:cs="Times New Roman"/>
                <w:szCs w:val="20"/>
                <w:lang w:val="en-IE"/>
              </w:rPr>
              <w:t xml:space="preserve"> spearfish."</w:t>
            </w:r>
          </w:p>
          <w:p w14:paraId="771E4C59" w14:textId="77777777" w:rsidR="00940D66" w:rsidRPr="00B56A42" w:rsidRDefault="00940D66" w:rsidP="004B1E33">
            <w:pPr>
              <w:rPr>
                <w:rFonts w:eastAsia="Calibri" w:cs="Times New Roman"/>
                <w:szCs w:val="20"/>
                <w:lang w:val="en-IE"/>
              </w:rPr>
            </w:pPr>
          </w:p>
          <w:p w14:paraId="6063EE1D"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Has your CPC adopted minimum size requirements consistent with these?</w:t>
            </w:r>
          </w:p>
          <w:p w14:paraId="74B2AB12" w14:textId="77777777" w:rsidR="00940D66" w:rsidRPr="00B56A42" w:rsidRDefault="00940D66" w:rsidP="004B1E33">
            <w:pPr>
              <w:rPr>
                <w:rFonts w:eastAsia="Calibri" w:cs="Times New Roman"/>
                <w:szCs w:val="20"/>
                <w:lang w:val="en-IE"/>
              </w:rPr>
            </w:pPr>
          </w:p>
        </w:tc>
        <w:tc>
          <w:tcPr>
            <w:tcW w:w="1178" w:type="dxa"/>
          </w:tcPr>
          <w:p w14:paraId="0559B7E5"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N/A (Not applicable)</w:t>
            </w:r>
          </w:p>
        </w:tc>
        <w:tc>
          <w:tcPr>
            <w:tcW w:w="1539" w:type="dxa"/>
          </w:tcPr>
          <w:p w14:paraId="5DF08476" w14:textId="77777777" w:rsidR="00940D66" w:rsidRPr="00B56A42" w:rsidRDefault="00940D66" w:rsidP="004B1E33">
            <w:pPr>
              <w:rPr>
                <w:rFonts w:eastAsia="Calibri" w:cs="Calibri"/>
                <w:szCs w:val="20"/>
                <w:lang w:val="en-IE"/>
              </w:rPr>
            </w:pPr>
          </w:p>
        </w:tc>
        <w:tc>
          <w:tcPr>
            <w:tcW w:w="2693" w:type="dxa"/>
          </w:tcPr>
          <w:p w14:paraId="6F168C83"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The Gambia has no recreational fisheries that interact with blue marlin or white marlin, making this requirement not applicable.</w:t>
            </w:r>
          </w:p>
        </w:tc>
      </w:tr>
      <w:tr w:rsidR="00940D66" w:rsidRPr="00B56A42" w14:paraId="53858AEE" w14:textId="77777777" w:rsidTr="004B1E33">
        <w:trPr>
          <w:jc w:val="center"/>
        </w:trPr>
        <w:tc>
          <w:tcPr>
            <w:tcW w:w="845" w:type="dxa"/>
            <w:shd w:val="clear" w:color="auto" w:fill="FFFFFF" w:themeFill="background1"/>
          </w:tcPr>
          <w:p w14:paraId="20A25EFF"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s-ES"/>
              </w:rPr>
              <w:t>19-05</w:t>
            </w:r>
          </w:p>
        </w:tc>
        <w:tc>
          <w:tcPr>
            <w:tcW w:w="985" w:type="dxa"/>
            <w:shd w:val="clear" w:color="auto" w:fill="FFFFFF" w:themeFill="background1"/>
          </w:tcPr>
          <w:p w14:paraId="10230DCB" w14:textId="77777777" w:rsidR="00940D66" w:rsidRPr="00B56A42" w:rsidRDefault="00940D66" w:rsidP="004B1E33">
            <w:pPr>
              <w:jc w:val="center"/>
              <w:rPr>
                <w:rFonts w:eastAsia="Calibri" w:cs="Times New Roman"/>
                <w:szCs w:val="20"/>
                <w:lang w:val="en-IE"/>
              </w:rPr>
            </w:pPr>
            <w:r w:rsidRPr="00B56A42">
              <w:rPr>
                <w:rFonts w:ascii="Cambria" w:eastAsia="Calibri" w:hAnsi="Cambria" w:cs="Times New Roman"/>
                <w:szCs w:val="20"/>
                <w:lang w:val="en-IE"/>
              </w:rPr>
              <w:t>11c)</w:t>
            </w:r>
          </w:p>
        </w:tc>
        <w:tc>
          <w:tcPr>
            <w:tcW w:w="2960" w:type="dxa"/>
            <w:shd w:val="clear" w:color="auto" w:fill="FFFFFF" w:themeFill="background1"/>
          </w:tcPr>
          <w:p w14:paraId="2BD4DE38"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“CPCs shall prohibit the sale, or offering for sale, of any part or whole carcass of blue marlin or white marlin/</w:t>
            </w:r>
            <w:proofErr w:type="spellStart"/>
            <w:r w:rsidRPr="00B56A42">
              <w:rPr>
                <w:rFonts w:ascii="Cambria" w:eastAsia="Calibri" w:hAnsi="Cambria" w:cs="Times New Roman"/>
                <w:szCs w:val="20"/>
                <w:lang w:val="en-IE"/>
              </w:rPr>
              <w:t>roundscale</w:t>
            </w:r>
            <w:proofErr w:type="spellEnd"/>
            <w:r w:rsidRPr="00B56A42">
              <w:rPr>
                <w:rFonts w:ascii="Cambria" w:eastAsia="Calibri" w:hAnsi="Cambria" w:cs="Times New Roman"/>
                <w:szCs w:val="20"/>
                <w:lang w:val="en-IE"/>
              </w:rPr>
              <w:t xml:space="preserve"> spearfish caught in recreational and sport fisheries.”</w:t>
            </w:r>
          </w:p>
          <w:p w14:paraId="205DCA09" w14:textId="77777777" w:rsidR="00940D66" w:rsidRPr="00B56A42" w:rsidRDefault="00940D66" w:rsidP="004B1E33">
            <w:pPr>
              <w:rPr>
                <w:rFonts w:eastAsia="Calibri" w:cs="Times New Roman"/>
                <w:szCs w:val="20"/>
                <w:lang w:val="en-IE"/>
              </w:rPr>
            </w:pPr>
          </w:p>
          <w:p w14:paraId="491C7DE1"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Has your CPC implemented this no sale provision?</w:t>
            </w:r>
          </w:p>
          <w:p w14:paraId="65160CEF" w14:textId="77777777" w:rsidR="00940D66" w:rsidRPr="00B56A42" w:rsidRDefault="00940D66" w:rsidP="004B1E33">
            <w:pPr>
              <w:rPr>
                <w:rFonts w:eastAsia="Calibri" w:cs="Times New Roman"/>
                <w:szCs w:val="20"/>
                <w:lang w:val="en-IE"/>
              </w:rPr>
            </w:pPr>
          </w:p>
        </w:tc>
        <w:tc>
          <w:tcPr>
            <w:tcW w:w="1178" w:type="dxa"/>
          </w:tcPr>
          <w:p w14:paraId="19FB11C1"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N/A (Not applicable)</w:t>
            </w:r>
          </w:p>
        </w:tc>
        <w:tc>
          <w:tcPr>
            <w:tcW w:w="1539" w:type="dxa"/>
          </w:tcPr>
          <w:p w14:paraId="4FE4E64A" w14:textId="77777777" w:rsidR="00940D66" w:rsidRPr="00B56A42" w:rsidRDefault="00940D66" w:rsidP="004B1E33">
            <w:pPr>
              <w:rPr>
                <w:rFonts w:eastAsia="Calibri" w:cs="Calibri"/>
                <w:szCs w:val="20"/>
                <w:lang w:val="en-IE"/>
              </w:rPr>
            </w:pPr>
          </w:p>
        </w:tc>
        <w:tc>
          <w:tcPr>
            <w:tcW w:w="2693" w:type="dxa"/>
          </w:tcPr>
          <w:p w14:paraId="1B63822C"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The Gambia has no recreational fisheries that interact with blue marlin or white marlin, making this requirement not applicable.</w:t>
            </w:r>
          </w:p>
        </w:tc>
      </w:tr>
      <w:tr w:rsidR="00940D66" w:rsidRPr="00B56A42" w14:paraId="11CDDE00" w14:textId="77777777" w:rsidTr="004B1E33">
        <w:trPr>
          <w:jc w:val="center"/>
        </w:trPr>
        <w:tc>
          <w:tcPr>
            <w:tcW w:w="845" w:type="dxa"/>
            <w:shd w:val="clear" w:color="auto" w:fill="FFFFFF" w:themeFill="background1"/>
          </w:tcPr>
          <w:p w14:paraId="452FA819"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s-ES"/>
              </w:rPr>
              <w:t>19-05</w:t>
            </w:r>
          </w:p>
        </w:tc>
        <w:tc>
          <w:tcPr>
            <w:tcW w:w="985" w:type="dxa"/>
            <w:shd w:val="clear" w:color="auto" w:fill="FFFFFF" w:themeFill="background1"/>
          </w:tcPr>
          <w:p w14:paraId="5050A68A" w14:textId="77777777" w:rsidR="00940D66" w:rsidRPr="00B56A42" w:rsidRDefault="00940D66" w:rsidP="004B1E33">
            <w:pPr>
              <w:jc w:val="center"/>
              <w:rPr>
                <w:rFonts w:eastAsia="Calibri" w:cs="Times New Roman"/>
                <w:szCs w:val="20"/>
                <w:lang w:val="en-IE"/>
              </w:rPr>
            </w:pPr>
            <w:r w:rsidRPr="00B56A42">
              <w:rPr>
                <w:rFonts w:ascii="Cambria" w:eastAsia="Calibri" w:hAnsi="Cambria" w:cs="Times New Roman"/>
                <w:szCs w:val="20"/>
                <w:lang w:val="en-IE"/>
              </w:rPr>
              <w:t>23</w:t>
            </w:r>
          </w:p>
        </w:tc>
        <w:tc>
          <w:tcPr>
            <w:tcW w:w="2960" w:type="dxa"/>
            <w:shd w:val="clear" w:color="auto" w:fill="FFFFFF" w:themeFill="background1"/>
          </w:tcPr>
          <w:p w14:paraId="4111E5B5"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 xml:space="preserve">“Consistent with the Recommendation by ICCAT on Improvement of Compliance Review of Conservation and Management Measures Regarding Billfish Caught in the ICCAT Convention Area (Rec. 18-05), CPCs shall submit details of their implementation of this measure through domestic law or regulations, including monitoring, control and surveillance measures, and of their compliance with this </w:t>
            </w:r>
            <w:r w:rsidRPr="00B56A42">
              <w:rPr>
                <w:rFonts w:ascii="Cambria" w:eastAsia="Calibri" w:hAnsi="Cambria" w:cs="Times New Roman"/>
                <w:szCs w:val="20"/>
                <w:lang w:val="en-IE"/>
              </w:rPr>
              <w:lastRenderedPageBreak/>
              <w:t>measure using the billfish check sheet.”</w:t>
            </w:r>
          </w:p>
          <w:p w14:paraId="66A627F8" w14:textId="77777777" w:rsidR="00940D66" w:rsidRPr="00B56A42" w:rsidRDefault="00940D66" w:rsidP="004B1E33">
            <w:pPr>
              <w:rPr>
                <w:rFonts w:eastAsia="Calibri" w:cs="Times New Roman"/>
                <w:szCs w:val="20"/>
                <w:lang w:val="en-IE"/>
              </w:rPr>
            </w:pPr>
          </w:p>
          <w:p w14:paraId="0F583F6C"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Does your CPC provide this information to ICCAT?</w:t>
            </w:r>
          </w:p>
        </w:tc>
        <w:tc>
          <w:tcPr>
            <w:tcW w:w="1178" w:type="dxa"/>
          </w:tcPr>
          <w:p w14:paraId="4785BC0B"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lastRenderedPageBreak/>
              <w:t xml:space="preserve">Yes </w:t>
            </w:r>
          </w:p>
        </w:tc>
        <w:tc>
          <w:tcPr>
            <w:tcW w:w="1539" w:type="dxa"/>
          </w:tcPr>
          <w:p w14:paraId="708BD978" w14:textId="77777777" w:rsidR="00940D66" w:rsidRPr="00B56A42" w:rsidRDefault="00940D66" w:rsidP="004B1E33">
            <w:pPr>
              <w:rPr>
                <w:rFonts w:eastAsia="Calibri" w:cs="Calibri"/>
                <w:szCs w:val="20"/>
                <w:lang w:val="en-IE"/>
              </w:rPr>
            </w:pPr>
            <w:r w:rsidRPr="00B56A42">
              <w:rPr>
                <w:rFonts w:eastAsia="Calibri" w:cs="Calibri"/>
                <w:szCs w:val="20"/>
                <w:lang w:val="en-IE"/>
              </w:rPr>
              <w:t>Fisheries Act 2007; Fisheries Regulation 2008.</w:t>
            </w:r>
          </w:p>
        </w:tc>
        <w:tc>
          <w:tcPr>
            <w:tcW w:w="2693" w:type="dxa"/>
          </w:tcPr>
          <w:p w14:paraId="4022CAE1"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 xml:space="preserve">The submission of this completed Billfish Check Sheet, which details the relevant domestic laws and regulations, </w:t>
            </w:r>
            <w:proofErr w:type="spellStart"/>
            <w:r w:rsidRPr="00B56A42">
              <w:rPr>
                <w:rFonts w:ascii="Cambria" w:eastAsia="Calibri" w:hAnsi="Cambria" w:cs="Calibri"/>
                <w:szCs w:val="20"/>
                <w:lang w:val="en-IE"/>
              </w:rPr>
              <w:t>fulfills</w:t>
            </w:r>
            <w:proofErr w:type="spellEnd"/>
            <w:r w:rsidRPr="00B56A42">
              <w:rPr>
                <w:rFonts w:ascii="Cambria" w:eastAsia="Calibri" w:hAnsi="Cambria" w:cs="Calibri"/>
                <w:szCs w:val="20"/>
                <w:lang w:val="en-IE"/>
              </w:rPr>
              <w:t xml:space="preserve"> this requirement.</w:t>
            </w:r>
          </w:p>
        </w:tc>
      </w:tr>
      <w:tr w:rsidR="00940D66" w:rsidRPr="00B56A42" w14:paraId="6A5D4AB1" w14:textId="77777777" w:rsidTr="004B1E33">
        <w:trPr>
          <w:jc w:val="center"/>
        </w:trPr>
        <w:tc>
          <w:tcPr>
            <w:tcW w:w="845" w:type="dxa"/>
            <w:shd w:val="clear" w:color="auto" w:fill="FFFFFF" w:themeFill="background1"/>
          </w:tcPr>
          <w:p w14:paraId="21CA6BAF"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s-ES"/>
              </w:rPr>
              <w:t>19-05</w:t>
            </w:r>
          </w:p>
        </w:tc>
        <w:tc>
          <w:tcPr>
            <w:tcW w:w="985" w:type="dxa"/>
            <w:shd w:val="clear" w:color="auto" w:fill="FFFFFF" w:themeFill="background1"/>
          </w:tcPr>
          <w:p w14:paraId="6D91EF90" w14:textId="77777777" w:rsidR="00940D66" w:rsidRPr="00B56A42" w:rsidRDefault="00940D66" w:rsidP="004B1E33">
            <w:pPr>
              <w:jc w:val="center"/>
              <w:rPr>
                <w:rFonts w:eastAsia="Calibri" w:cs="Times New Roman"/>
                <w:szCs w:val="20"/>
                <w:lang w:val="en-IE"/>
              </w:rPr>
            </w:pPr>
            <w:r w:rsidRPr="00B56A42">
              <w:rPr>
                <w:rFonts w:ascii="Cambria" w:eastAsia="Calibri" w:hAnsi="Cambria" w:cs="Times New Roman"/>
                <w:szCs w:val="20"/>
                <w:lang w:val="en-IE"/>
              </w:rPr>
              <w:t>16</w:t>
            </w:r>
          </w:p>
        </w:tc>
        <w:tc>
          <w:tcPr>
            <w:tcW w:w="2960" w:type="dxa"/>
            <w:shd w:val="clear" w:color="auto" w:fill="FFFFFF" w:themeFill="background1"/>
          </w:tcPr>
          <w:p w14:paraId="12A06319"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Does your CPC have artisanal and small-scale fisheries that interact with blue marlin or white marlin/</w:t>
            </w:r>
            <w:proofErr w:type="spellStart"/>
            <w:r w:rsidRPr="00B56A42">
              <w:rPr>
                <w:rFonts w:ascii="Cambria" w:eastAsia="Calibri" w:hAnsi="Cambria" w:cs="Times New Roman"/>
                <w:szCs w:val="20"/>
                <w:lang w:val="en-IE"/>
              </w:rPr>
              <w:t>roundscale</w:t>
            </w:r>
            <w:proofErr w:type="spellEnd"/>
            <w:r w:rsidRPr="00B56A42">
              <w:rPr>
                <w:rFonts w:ascii="Cambria" w:eastAsia="Calibri" w:hAnsi="Cambria" w:cs="Times New Roman"/>
                <w:szCs w:val="20"/>
                <w:shd w:val="clear" w:color="auto" w:fill="DEEAF6"/>
                <w:lang w:val="en-IE"/>
              </w:rPr>
              <w:t xml:space="preserve"> </w:t>
            </w:r>
            <w:r w:rsidRPr="00B56A42">
              <w:rPr>
                <w:rFonts w:ascii="Cambria" w:eastAsia="Calibri" w:hAnsi="Cambria" w:cs="Times New Roman"/>
                <w:szCs w:val="20"/>
                <w:lang w:val="en-IE"/>
              </w:rPr>
              <w:t>spearfish?</w:t>
            </w:r>
          </w:p>
        </w:tc>
        <w:tc>
          <w:tcPr>
            <w:tcW w:w="1178" w:type="dxa"/>
          </w:tcPr>
          <w:p w14:paraId="2E066C42" w14:textId="77777777" w:rsidR="00940D66" w:rsidRPr="00B56A42" w:rsidRDefault="00940D66" w:rsidP="004B1E33">
            <w:pPr>
              <w:rPr>
                <w:rFonts w:eastAsia="Calibri" w:cs="Calibri"/>
                <w:szCs w:val="20"/>
                <w:lang w:val="en-IE"/>
              </w:rPr>
            </w:pPr>
            <w:r w:rsidRPr="00B56A42">
              <w:rPr>
                <w:rFonts w:ascii="Cambria" w:eastAsia="Calibri" w:hAnsi="Cambria" w:cs="Calibri"/>
                <w:szCs w:val="20"/>
                <w:lang w:val="en-IE"/>
              </w:rPr>
              <w:t>No</w:t>
            </w:r>
          </w:p>
        </w:tc>
        <w:tc>
          <w:tcPr>
            <w:tcW w:w="1539" w:type="dxa"/>
          </w:tcPr>
          <w:p w14:paraId="4773DFF7" w14:textId="77777777" w:rsidR="00940D66" w:rsidRPr="00B56A42" w:rsidRDefault="00940D66" w:rsidP="004B1E33">
            <w:pPr>
              <w:rPr>
                <w:rFonts w:eastAsia="Calibri" w:cs="Calibri"/>
                <w:szCs w:val="20"/>
                <w:lang w:val="en-IE"/>
              </w:rPr>
            </w:pPr>
          </w:p>
        </w:tc>
        <w:tc>
          <w:tcPr>
            <w:tcW w:w="2693" w:type="dxa"/>
          </w:tcPr>
          <w:p w14:paraId="4363E537" w14:textId="77777777" w:rsidR="00940D66" w:rsidRPr="00B56A42" w:rsidRDefault="00940D66" w:rsidP="004B1E33">
            <w:pPr>
              <w:rPr>
                <w:rFonts w:eastAsia="Calibri" w:cs="Calibri"/>
                <w:szCs w:val="20"/>
                <w:lang w:val="en-IE"/>
              </w:rPr>
            </w:pPr>
            <w:r w:rsidRPr="00B56A42">
              <w:rPr>
                <w:rFonts w:ascii="Cambria" w:eastAsia="Calibri" w:hAnsi="Cambria" w:cs="Calibri"/>
                <w:szCs w:val="20"/>
                <w:lang w:val="en-IE"/>
              </w:rPr>
              <w:t>There were no landings recorded of billfish by artisanal and small-scale coastal fisheries in The Gambia.</w:t>
            </w:r>
          </w:p>
        </w:tc>
      </w:tr>
      <w:tr w:rsidR="00940D66" w:rsidRPr="00B56A42" w14:paraId="2E2A91CE" w14:textId="77777777" w:rsidTr="004B1E33">
        <w:trPr>
          <w:jc w:val="center"/>
        </w:trPr>
        <w:tc>
          <w:tcPr>
            <w:tcW w:w="845" w:type="dxa"/>
            <w:shd w:val="clear" w:color="auto" w:fill="FFFFFF" w:themeFill="background1"/>
          </w:tcPr>
          <w:p w14:paraId="18074EBB"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s-ES"/>
              </w:rPr>
              <w:t>19-05</w:t>
            </w:r>
          </w:p>
        </w:tc>
        <w:tc>
          <w:tcPr>
            <w:tcW w:w="985" w:type="dxa"/>
            <w:shd w:val="clear" w:color="auto" w:fill="FFFFFF" w:themeFill="background1"/>
          </w:tcPr>
          <w:p w14:paraId="6B641B05" w14:textId="77777777" w:rsidR="00940D66" w:rsidRPr="00B56A42" w:rsidRDefault="00940D66" w:rsidP="004B1E33">
            <w:pPr>
              <w:jc w:val="center"/>
              <w:rPr>
                <w:rFonts w:eastAsia="Calibri" w:cs="Times New Roman"/>
                <w:szCs w:val="20"/>
                <w:lang w:val="en-IE"/>
              </w:rPr>
            </w:pPr>
            <w:r w:rsidRPr="00B56A42">
              <w:rPr>
                <w:rFonts w:ascii="Cambria" w:eastAsia="Calibri" w:hAnsi="Cambria" w:cs="Times New Roman"/>
                <w:szCs w:val="20"/>
                <w:lang w:val="en-IE"/>
              </w:rPr>
              <w:t>16</w:t>
            </w:r>
          </w:p>
        </w:tc>
        <w:tc>
          <w:tcPr>
            <w:tcW w:w="2960" w:type="dxa"/>
            <w:shd w:val="clear" w:color="auto" w:fill="FFFFFF" w:themeFill="background1"/>
          </w:tcPr>
          <w:p w14:paraId="7A6D8CC5"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“CPCs with artisanal and small-scale fisheries shall also provide information about their data collection programs.”</w:t>
            </w:r>
          </w:p>
        </w:tc>
        <w:tc>
          <w:tcPr>
            <w:tcW w:w="1178" w:type="dxa"/>
          </w:tcPr>
          <w:p w14:paraId="57BE4871"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N/A (Not applicable)</w:t>
            </w:r>
          </w:p>
        </w:tc>
        <w:tc>
          <w:tcPr>
            <w:tcW w:w="1539" w:type="dxa"/>
          </w:tcPr>
          <w:p w14:paraId="39EE0007" w14:textId="77777777" w:rsidR="00940D66" w:rsidRPr="00B56A42" w:rsidRDefault="00940D66" w:rsidP="004B1E33">
            <w:pPr>
              <w:rPr>
                <w:rFonts w:eastAsia="Calibri" w:cs="Calibri"/>
                <w:szCs w:val="20"/>
                <w:lang w:val="en-IE"/>
              </w:rPr>
            </w:pPr>
          </w:p>
        </w:tc>
        <w:tc>
          <w:tcPr>
            <w:tcW w:w="2693" w:type="dxa"/>
          </w:tcPr>
          <w:p w14:paraId="7A83D25F"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 xml:space="preserve"> The Gambia has no artisanal fisheries that interact with blue marlin or white marlin, making this requirement not applicable.</w:t>
            </w:r>
          </w:p>
        </w:tc>
      </w:tr>
      <w:tr w:rsidR="00940D66" w:rsidRPr="00B56A42" w14:paraId="37D76C97" w14:textId="77777777" w:rsidTr="004B1E33">
        <w:trPr>
          <w:jc w:val="center"/>
        </w:trPr>
        <w:tc>
          <w:tcPr>
            <w:tcW w:w="845" w:type="dxa"/>
            <w:shd w:val="clear" w:color="auto" w:fill="FFFFFF" w:themeFill="background1"/>
          </w:tcPr>
          <w:p w14:paraId="32285917"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s-ES"/>
              </w:rPr>
              <w:t>19-05</w:t>
            </w:r>
          </w:p>
        </w:tc>
        <w:tc>
          <w:tcPr>
            <w:tcW w:w="985" w:type="dxa"/>
            <w:shd w:val="clear" w:color="auto" w:fill="FFFFFF" w:themeFill="background1"/>
          </w:tcPr>
          <w:p w14:paraId="50EE853F" w14:textId="77777777" w:rsidR="00940D66" w:rsidRPr="00B56A42" w:rsidRDefault="00940D66" w:rsidP="004B1E33">
            <w:pPr>
              <w:jc w:val="center"/>
              <w:rPr>
                <w:rFonts w:eastAsia="Calibri" w:cs="Times New Roman"/>
                <w:szCs w:val="20"/>
                <w:lang w:val="en-IE"/>
              </w:rPr>
            </w:pPr>
            <w:r w:rsidRPr="00B56A42">
              <w:rPr>
                <w:rFonts w:ascii="Cambria" w:eastAsia="Calibri" w:hAnsi="Cambria" w:cs="Times New Roman"/>
                <w:szCs w:val="20"/>
                <w:lang w:val="en-IE"/>
              </w:rPr>
              <w:t>14</w:t>
            </w:r>
          </w:p>
        </w:tc>
        <w:tc>
          <w:tcPr>
            <w:tcW w:w="2960" w:type="dxa"/>
            <w:shd w:val="clear" w:color="auto" w:fill="FFFFFF" w:themeFill="background1"/>
          </w:tcPr>
          <w:p w14:paraId="697A9D12"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“CPCs shall provide their estimates of total live and dead discards of blue marlin, white marlin/</w:t>
            </w:r>
            <w:proofErr w:type="spellStart"/>
            <w:r w:rsidRPr="00B56A42">
              <w:rPr>
                <w:rFonts w:ascii="Cambria" w:eastAsia="Calibri" w:hAnsi="Cambria" w:cs="Times New Roman"/>
                <w:szCs w:val="20"/>
                <w:lang w:val="en-IE"/>
              </w:rPr>
              <w:t>roundscale</w:t>
            </w:r>
            <w:proofErr w:type="spellEnd"/>
            <w:r w:rsidRPr="00B56A42">
              <w:rPr>
                <w:rFonts w:ascii="Cambria" w:eastAsia="Calibri" w:hAnsi="Cambria" w:cs="Times New Roman"/>
                <w:szCs w:val="20"/>
                <w:lang w:val="en-IE"/>
              </w:rPr>
              <w:t xml:space="preserve"> spearfish, based on fishing logbooks, landing declarations, or equivalent document for the sport/recreational fisheries, as well as scientific observer reports, as part of their Task 1 and 2 data submission to support the stock assessment process”</w:t>
            </w:r>
          </w:p>
          <w:p w14:paraId="1FE8BDEB"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Has your CPC provided this data by the deadline?</w:t>
            </w:r>
          </w:p>
        </w:tc>
        <w:tc>
          <w:tcPr>
            <w:tcW w:w="1178" w:type="dxa"/>
          </w:tcPr>
          <w:p w14:paraId="3ECA95F2"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 xml:space="preserve">Yes  </w:t>
            </w:r>
          </w:p>
        </w:tc>
        <w:tc>
          <w:tcPr>
            <w:tcW w:w="1539" w:type="dxa"/>
          </w:tcPr>
          <w:p w14:paraId="7CE739E1" w14:textId="77777777" w:rsidR="00940D66" w:rsidRPr="00B56A42" w:rsidRDefault="00940D66" w:rsidP="004B1E33">
            <w:pPr>
              <w:rPr>
                <w:rFonts w:eastAsia="Calibri" w:cs="Calibri"/>
                <w:szCs w:val="20"/>
                <w:lang w:val="en-IE"/>
              </w:rPr>
            </w:pPr>
            <w:r w:rsidRPr="00B56A42">
              <w:rPr>
                <w:rFonts w:eastAsia="Calibri" w:cs="Calibri"/>
                <w:szCs w:val="20"/>
                <w:lang w:val="en-IE"/>
              </w:rPr>
              <w:t>Fisheries Regulation 2008 - Regulation 26, 34.</w:t>
            </w:r>
          </w:p>
        </w:tc>
        <w:tc>
          <w:tcPr>
            <w:tcW w:w="2693" w:type="dxa"/>
          </w:tcPr>
          <w:p w14:paraId="4DA46C31"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As part of its annual reporting, The Gambia submitted Task I data, which reported zero catches and discards for these species, based on its monitoring and data collection systems.</w:t>
            </w:r>
          </w:p>
        </w:tc>
      </w:tr>
      <w:tr w:rsidR="00940D66" w:rsidRPr="00B56A42" w14:paraId="64965302" w14:textId="77777777" w:rsidTr="004B1E33">
        <w:trPr>
          <w:jc w:val="center"/>
        </w:trPr>
        <w:tc>
          <w:tcPr>
            <w:tcW w:w="845" w:type="dxa"/>
            <w:shd w:val="clear" w:color="auto" w:fill="FFFFFF" w:themeFill="background1"/>
          </w:tcPr>
          <w:p w14:paraId="5E6DC00F"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16-11</w:t>
            </w:r>
          </w:p>
        </w:tc>
        <w:tc>
          <w:tcPr>
            <w:tcW w:w="985" w:type="dxa"/>
            <w:shd w:val="clear" w:color="auto" w:fill="FFFFFF" w:themeFill="background1"/>
          </w:tcPr>
          <w:p w14:paraId="336DEC2C" w14:textId="77777777" w:rsidR="00940D66" w:rsidRPr="00B56A42" w:rsidRDefault="00940D66" w:rsidP="004B1E33">
            <w:pPr>
              <w:jc w:val="center"/>
              <w:rPr>
                <w:rFonts w:eastAsia="Calibri" w:cs="Times New Roman"/>
                <w:szCs w:val="20"/>
                <w:lang w:val="en-IE"/>
              </w:rPr>
            </w:pPr>
            <w:r w:rsidRPr="00B56A42">
              <w:rPr>
                <w:rFonts w:ascii="Cambria" w:eastAsia="Calibri" w:hAnsi="Cambria" w:cs="Times New Roman"/>
                <w:szCs w:val="20"/>
                <w:lang w:val="en-IE"/>
              </w:rPr>
              <w:t>1</w:t>
            </w:r>
          </w:p>
        </w:tc>
        <w:tc>
          <w:tcPr>
            <w:tcW w:w="2960" w:type="dxa"/>
            <w:shd w:val="clear" w:color="auto" w:fill="FFFFFF" w:themeFill="background1"/>
          </w:tcPr>
          <w:p w14:paraId="1B0A1CF8"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“Contracting Parties and Cooperating non‐Contracting Parties, Entities or Fishing Entities (CPCs) whose vessels catch Atlantic sailfish (</w:t>
            </w:r>
            <w:proofErr w:type="spellStart"/>
            <w:r w:rsidRPr="00B56A42">
              <w:rPr>
                <w:rFonts w:ascii="Cambria" w:eastAsia="Calibri" w:hAnsi="Cambria" w:cs="Times New Roman"/>
                <w:i/>
                <w:szCs w:val="20"/>
                <w:lang w:val="en-IE"/>
              </w:rPr>
              <w:t>Istiophorus</w:t>
            </w:r>
            <w:proofErr w:type="spellEnd"/>
            <w:r w:rsidRPr="00B56A42">
              <w:rPr>
                <w:rFonts w:ascii="Cambria" w:eastAsia="Calibri" w:hAnsi="Cambria" w:cs="Times New Roman"/>
                <w:i/>
                <w:szCs w:val="20"/>
                <w:lang w:val="en-IE"/>
              </w:rPr>
              <w:t xml:space="preserve"> albicans</w:t>
            </w:r>
            <w:r w:rsidRPr="00B56A42">
              <w:rPr>
                <w:rFonts w:ascii="Cambria" w:eastAsia="Calibri" w:hAnsi="Cambria" w:cs="Times New Roman"/>
                <w:szCs w:val="20"/>
                <w:lang w:val="en-IE"/>
              </w:rPr>
              <w:t xml:space="preserve">) in the Convention Area shall ensure that management measures are in place to support the conservation of this species in line with ICCAT's Convention objective by undertaking the following: …. </w:t>
            </w:r>
            <w:r w:rsidRPr="00B56A42">
              <w:rPr>
                <w:rFonts w:ascii="Cambria" w:eastAsia="Calibri" w:hAnsi="Cambria" w:cs="Times New Roman"/>
                <w:szCs w:val="20"/>
                <w:lang w:val="en-IE"/>
              </w:rPr>
              <w:br/>
              <w:t xml:space="preserve">(b) To prevent catches from exceeding this level for either stock of sailfish, CPCs </w:t>
            </w:r>
            <w:r w:rsidRPr="00B56A42">
              <w:rPr>
                <w:rFonts w:ascii="Cambria" w:eastAsia="Calibri" w:hAnsi="Cambria" w:cs="Times New Roman"/>
                <w:szCs w:val="20"/>
                <w:lang w:val="en-IE"/>
              </w:rPr>
              <w:lastRenderedPageBreak/>
              <w:t>shall take or maintain appropriate measures to limit sailfish mortality. Such measures could include, for example: releasing live sailfish, encouraging or requiring the use of circle hooks or other effective gear modifications, implementing a minimum size, and/or limiting days at sea.”</w:t>
            </w:r>
          </w:p>
        </w:tc>
        <w:tc>
          <w:tcPr>
            <w:tcW w:w="1178" w:type="dxa"/>
          </w:tcPr>
          <w:p w14:paraId="6E06066C"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lastRenderedPageBreak/>
              <w:t xml:space="preserve">Yes </w:t>
            </w:r>
          </w:p>
        </w:tc>
        <w:tc>
          <w:tcPr>
            <w:tcW w:w="1539" w:type="dxa"/>
          </w:tcPr>
          <w:p w14:paraId="78313D24" w14:textId="77777777" w:rsidR="00940D66" w:rsidRPr="00B56A42" w:rsidRDefault="00940D66" w:rsidP="004B1E33">
            <w:pPr>
              <w:rPr>
                <w:rFonts w:eastAsia="Calibri" w:cs="Calibri"/>
                <w:szCs w:val="20"/>
                <w:lang w:val="en-IE"/>
              </w:rPr>
            </w:pPr>
            <w:r w:rsidRPr="00B56A42">
              <w:rPr>
                <w:rFonts w:eastAsia="Calibri" w:cs="Calibri"/>
                <w:szCs w:val="20"/>
                <w:lang w:val="en-IE"/>
              </w:rPr>
              <w:t>Fisheries Act 2007 (S4); Fisheries Regulation 2008 - Reg. 72(1).</w:t>
            </w:r>
          </w:p>
        </w:tc>
        <w:tc>
          <w:tcPr>
            <w:tcW w:w="2693" w:type="dxa"/>
          </w:tcPr>
          <w:p w14:paraId="14037B1A"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The same general legal framework and conservation measures (e.g., Reg. 72 on bycatch release) that apply to other species also apply to sailfish.</w:t>
            </w:r>
          </w:p>
        </w:tc>
      </w:tr>
      <w:tr w:rsidR="00940D66" w:rsidRPr="00B56A42" w14:paraId="2D0B5D35" w14:textId="77777777" w:rsidTr="004B1E33">
        <w:trPr>
          <w:jc w:val="center"/>
        </w:trPr>
        <w:tc>
          <w:tcPr>
            <w:tcW w:w="845" w:type="dxa"/>
            <w:shd w:val="clear" w:color="auto" w:fill="FFFFFF" w:themeFill="background1"/>
          </w:tcPr>
          <w:p w14:paraId="75FB6743"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16-11</w:t>
            </w:r>
          </w:p>
        </w:tc>
        <w:tc>
          <w:tcPr>
            <w:tcW w:w="985" w:type="dxa"/>
            <w:shd w:val="clear" w:color="auto" w:fill="FFFFFF" w:themeFill="background1"/>
          </w:tcPr>
          <w:p w14:paraId="48B578FD"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2</w:t>
            </w:r>
          </w:p>
        </w:tc>
        <w:tc>
          <w:tcPr>
            <w:tcW w:w="2960" w:type="dxa"/>
            <w:shd w:val="clear" w:color="auto" w:fill="FFFFFF" w:themeFill="background1"/>
          </w:tcPr>
          <w:p w14:paraId="74EF614A"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“CPCs shall enhance their efforts to collect data on catches of sailfish, including live and dead discards, and report these data annually as part of their Task 1 and 2 data submission to support the stock assessment process.”</w:t>
            </w:r>
          </w:p>
          <w:p w14:paraId="1E745CDB" w14:textId="77777777" w:rsidR="00940D66" w:rsidRPr="00B56A42" w:rsidRDefault="00940D66" w:rsidP="004B1E33">
            <w:pPr>
              <w:rPr>
                <w:rFonts w:eastAsia="Calibri" w:cs="Times New Roman"/>
                <w:szCs w:val="20"/>
                <w:lang w:val="en-IE"/>
              </w:rPr>
            </w:pPr>
          </w:p>
          <w:p w14:paraId="711AF288"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 xml:space="preserve">Has your CPC enhanced its data collection efforts as required?  </w:t>
            </w:r>
          </w:p>
        </w:tc>
        <w:tc>
          <w:tcPr>
            <w:tcW w:w="1178" w:type="dxa"/>
          </w:tcPr>
          <w:p w14:paraId="31D7355B"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 xml:space="preserve">Yes </w:t>
            </w:r>
          </w:p>
        </w:tc>
        <w:tc>
          <w:tcPr>
            <w:tcW w:w="1539" w:type="dxa"/>
          </w:tcPr>
          <w:p w14:paraId="2826B7E8" w14:textId="77777777" w:rsidR="00940D66" w:rsidRPr="00B56A42" w:rsidRDefault="00940D66" w:rsidP="004B1E33">
            <w:pPr>
              <w:rPr>
                <w:rFonts w:eastAsia="Calibri" w:cs="Calibri"/>
                <w:szCs w:val="20"/>
                <w:lang w:val="en-IE"/>
              </w:rPr>
            </w:pPr>
            <w:r w:rsidRPr="00B56A42">
              <w:rPr>
                <w:rFonts w:eastAsia="Calibri" w:cs="Calibri"/>
                <w:szCs w:val="20"/>
                <w:lang w:val="en-IE"/>
              </w:rPr>
              <w:t>Fisheries Regulation 2008 - Regulation 26(g</w:t>
            </w:r>
            <w:proofErr w:type="gramStart"/>
            <w:r w:rsidRPr="00B56A42">
              <w:rPr>
                <w:rFonts w:eastAsia="Calibri" w:cs="Calibri"/>
                <w:szCs w:val="20"/>
                <w:lang w:val="en-IE"/>
              </w:rPr>
              <w:t>),(</w:t>
            </w:r>
            <w:proofErr w:type="gramEnd"/>
            <w:r w:rsidRPr="00B56A42">
              <w:rPr>
                <w:rFonts w:eastAsia="Calibri" w:cs="Calibri"/>
                <w:szCs w:val="20"/>
                <w:lang w:val="en-IE"/>
              </w:rPr>
              <w:t>h), (o).</w:t>
            </w:r>
          </w:p>
        </w:tc>
        <w:tc>
          <w:tcPr>
            <w:tcW w:w="2693" w:type="dxa"/>
          </w:tcPr>
          <w:p w14:paraId="7069FC92"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The mandatory logbook system and observer program are the mechanisms for collecting data on sailfish. As there were no recorded interactions, the data reported was zero.</w:t>
            </w:r>
          </w:p>
        </w:tc>
      </w:tr>
      <w:tr w:rsidR="00940D66" w14:paraId="3CC4586E" w14:textId="77777777" w:rsidTr="004B1E33">
        <w:trPr>
          <w:jc w:val="center"/>
        </w:trPr>
        <w:tc>
          <w:tcPr>
            <w:tcW w:w="845" w:type="dxa"/>
            <w:shd w:val="clear" w:color="auto" w:fill="FFFFFF" w:themeFill="background1"/>
          </w:tcPr>
          <w:p w14:paraId="280390F3"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16-11</w:t>
            </w:r>
          </w:p>
        </w:tc>
        <w:tc>
          <w:tcPr>
            <w:tcW w:w="985" w:type="dxa"/>
            <w:shd w:val="clear" w:color="auto" w:fill="FFFFFF" w:themeFill="background1"/>
          </w:tcPr>
          <w:p w14:paraId="2BDC73D3"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3</w:t>
            </w:r>
          </w:p>
        </w:tc>
        <w:tc>
          <w:tcPr>
            <w:tcW w:w="2960" w:type="dxa"/>
            <w:shd w:val="clear" w:color="auto" w:fill="FFFFFF" w:themeFill="background1"/>
          </w:tcPr>
          <w:p w14:paraId="43542C4F"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CPCs shall describe their data collection programmes and steps taken to implement this Recommendation</w:t>
            </w:r>
          </w:p>
          <w:p w14:paraId="0F34B78E" w14:textId="77777777" w:rsidR="00940D66" w:rsidRPr="00B56A42" w:rsidRDefault="00940D66" w:rsidP="004B1E33">
            <w:pPr>
              <w:rPr>
                <w:rFonts w:eastAsia="Calibri" w:cs="Times New Roman"/>
                <w:szCs w:val="20"/>
                <w:lang w:val="en-IE"/>
              </w:rPr>
            </w:pPr>
          </w:p>
          <w:p w14:paraId="747288CA" w14:textId="77777777" w:rsidR="00940D66" w:rsidRPr="00B56A42" w:rsidRDefault="00940D66" w:rsidP="004B1E33">
            <w:pPr>
              <w:rPr>
                <w:rFonts w:eastAsia="Calibri" w:cs="Times New Roman"/>
                <w:szCs w:val="20"/>
                <w:lang w:val="en-IE"/>
              </w:rPr>
            </w:pPr>
            <w:r w:rsidRPr="00B56A42">
              <w:rPr>
                <w:rFonts w:ascii="Cambria" w:eastAsia="Calibri" w:hAnsi="Cambria" w:cs="Times New Roman"/>
                <w:szCs w:val="20"/>
                <w:lang w:val="en-IE"/>
              </w:rPr>
              <w:t>Has your CPC described its data collection programmes?</w:t>
            </w:r>
          </w:p>
        </w:tc>
        <w:tc>
          <w:tcPr>
            <w:tcW w:w="1178" w:type="dxa"/>
          </w:tcPr>
          <w:p w14:paraId="68F6B527"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 xml:space="preserve">Yes </w:t>
            </w:r>
          </w:p>
        </w:tc>
        <w:tc>
          <w:tcPr>
            <w:tcW w:w="1539" w:type="dxa"/>
          </w:tcPr>
          <w:p w14:paraId="5B90781A" w14:textId="77777777" w:rsidR="00940D66" w:rsidRPr="00B56A42" w:rsidRDefault="00940D66" w:rsidP="004B1E33">
            <w:pPr>
              <w:rPr>
                <w:rFonts w:eastAsia="Calibri" w:cs="Calibri"/>
                <w:szCs w:val="20"/>
                <w:lang w:val="en-IE"/>
              </w:rPr>
            </w:pPr>
            <w:r w:rsidRPr="00B56A42">
              <w:rPr>
                <w:rFonts w:eastAsia="Calibri" w:cs="Calibri"/>
                <w:szCs w:val="20"/>
                <w:lang w:val="en-IE"/>
              </w:rPr>
              <w:t>Fisheries Act 2007; Fisheries Regulation 2008.</w:t>
            </w:r>
          </w:p>
        </w:tc>
        <w:tc>
          <w:tcPr>
            <w:tcW w:w="2693" w:type="dxa"/>
          </w:tcPr>
          <w:p w14:paraId="505C5C9B" w14:textId="77777777" w:rsidR="00940D66" w:rsidRPr="00B56A42" w:rsidRDefault="00940D66" w:rsidP="004B1E33">
            <w:pPr>
              <w:rPr>
                <w:rFonts w:eastAsia="Calibri" w:cs="Calibri"/>
                <w:szCs w:val="20"/>
                <w:lang w:val="en-IE"/>
              </w:rPr>
            </w:pPr>
          </w:p>
          <w:p w14:paraId="02597403" w14:textId="77777777" w:rsidR="00940D66" w:rsidRPr="00B56A42" w:rsidRDefault="00940D66" w:rsidP="004B1E33">
            <w:pPr>
              <w:rPr>
                <w:rFonts w:eastAsia="Calibri" w:cs="Times New Roman"/>
                <w:szCs w:val="20"/>
                <w:lang w:val="en-IE"/>
              </w:rPr>
            </w:pPr>
            <w:r w:rsidRPr="00B56A42">
              <w:rPr>
                <w:rFonts w:ascii="Cambria" w:eastAsia="Calibri" w:hAnsi="Cambria" w:cs="Calibri"/>
                <w:szCs w:val="20"/>
                <w:lang w:val="en-IE"/>
              </w:rPr>
              <w:t>The Gambia's data collection programme is multi-faceted: 1) A mandatory logbook system for all industrial vessels; 2) A fisheries observer program on all industrial vessels; 3) Full VMS coverage and monitoring of industrial vessels; 4) A network of fisheries data collectors posted at all major community landing sites to monitor the artisanal canoe fleet. This integrated system ensures comprehensive data collection for all species.</w:t>
            </w:r>
          </w:p>
        </w:tc>
      </w:tr>
    </w:tbl>
    <w:p w14:paraId="20BE14D5" w14:textId="30C7654D" w:rsidR="00E66DA2" w:rsidRPr="00F77511" w:rsidRDefault="00E66DA2">
      <w:pPr>
        <w:rPr>
          <w:rFonts w:ascii="Cambria" w:hAnsi="Cambria"/>
          <w:sz w:val="20"/>
          <w:szCs w:val="20"/>
          <w:lang w:val="en-GB"/>
        </w:rPr>
      </w:pPr>
    </w:p>
    <w:sectPr w:rsidR="00E66DA2" w:rsidRPr="00F775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D79A" w14:textId="77777777" w:rsidR="00717608" w:rsidRDefault="00717608" w:rsidP="00DB2307">
      <w:pPr>
        <w:spacing w:after="0" w:line="240" w:lineRule="auto"/>
      </w:pPr>
      <w:r>
        <w:separator/>
      </w:r>
    </w:p>
  </w:endnote>
  <w:endnote w:type="continuationSeparator" w:id="0">
    <w:p w14:paraId="4CEBCF61" w14:textId="77777777" w:rsidR="00717608" w:rsidRDefault="00717608" w:rsidP="00DB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4C2B" w14:textId="77777777" w:rsidR="00E73CA1" w:rsidRDefault="00E73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4892" w14:textId="77777777" w:rsidR="00E73CA1" w:rsidRDefault="00E73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386D" w14:textId="77777777" w:rsidR="00E73CA1" w:rsidRDefault="00E73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7578" w14:textId="77777777" w:rsidR="00717608" w:rsidRDefault="00717608" w:rsidP="00DB2307">
      <w:pPr>
        <w:spacing w:after="0" w:line="240" w:lineRule="auto"/>
      </w:pPr>
      <w:r>
        <w:separator/>
      </w:r>
    </w:p>
  </w:footnote>
  <w:footnote w:type="continuationSeparator" w:id="0">
    <w:p w14:paraId="2AE039C2" w14:textId="77777777" w:rsidR="00717608" w:rsidRDefault="00717608" w:rsidP="00DB2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0ECE" w14:textId="77777777" w:rsidR="00E73CA1" w:rsidRDefault="00E73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79B3" w14:textId="77777777" w:rsidR="00DB2307" w:rsidRPr="00DB2307" w:rsidRDefault="00DB2307" w:rsidP="00DB2307">
    <w:pPr>
      <w:pStyle w:val="Header"/>
    </w:pPr>
  </w:p>
  <w:p w14:paraId="565B8880" w14:textId="15306B34" w:rsidR="00DB2307" w:rsidRPr="00E66DA2" w:rsidRDefault="00DB2307" w:rsidP="00DB2307">
    <w:pPr>
      <w:pStyle w:val="Header"/>
      <w:jc w:val="right"/>
      <w:rPr>
        <w:rFonts w:ascii="Cambria" w:hAnsi="Cambria"/>
        <w:b/>
        <w:bCs/>
        <w:sz w:val="20"/>
        <w:szCs w:val="20"/>
      </w:rPr>
    </w:pPr>
    <w:r w:rsidRPr="00E66DA2">
      <w:rPr>
        <w:rFonts w:ascii="Cambria" w:hAnsi="Cambria"/>
        <w:sz w:val="20"/>
        <w:szCs w:val="20"/>
      </w:rPr>
      <w:t xml:space="preserve"> </w:t>
    </w:r>
    <w:r w:rsidRPr="00E66DA2">
      <w:rPr>
        <w:rFonts w:ascii="Cambria" w:hAnsi="Cambria"/>
        <w:b/>
        <w:bCs/>
        <w:sz w:val="20"/>
        <w:szCs w:val="20"/>
      </w:rPr>
      <w:t>COC_31</w:t>
    </w:r>
    <w:r w:rsidR="00060DCE">
      <w:rPr>
        <w:rFonts w:ascii="Cambria" w:hAnsi="Cambria"/>
        <w:b/>
        <w:bCs/>
        <w:sz w:val="20"/>
        <w:szCs w:val="20"/>
      </w:rPr>
      <w:t>5</w:t>
    </w:r>
    <w:r w:rsidR="00E66DA2" w:rsidRPr="00E66DA2">
      <w:rPr>
        <w:rFonts w:ascii="Cambria" w:hAnsi="Cambria"/>
        <w:b/>
        <w:bCs/>
        <w:sz w:val="20"/>
        <w:szCs w:val="20"/>
      </w:rPr>
      <w:t>_A</w:t>
    </w:r>
    <w:r w:rsidR="00E73CA1">
      <w:rPr>
        <w:rFonts w:ascii="Cambria" w:hAnsi="Cambria"/>
        <w:b/>
        <w:bCs/>
        <w:sz w:val="20"/>
        <w:szCs w:val="20"/>
      </w:rPr>
      <w:t>ddendum_1</w:t>
    </w:r>
    <w:r w:rsidRPr="00E66DA2">
      <w:rPr>
        <w:rFonts w:ascii="Cambria" w:hAnsi="Cambria"/>
        <w:b/>
        <w:bCs/>
        <w:sz w:val="20"/>
        <w:szCs w:val="20"/>
      </w:rPr>
      <w:t xml:space="preserve">/2025 </w:t>
    </w:r>
  </w:p>
  <w:p w14:paraId="5CEAE167" w14:textId="3777056E" w:rsidR="00DB2307" w:rsidRPr="00E66DA2" w:rsidRDefault="00E66DA2" w:rsidP="00DB2307">
    <w:pPr>
      <w:pStyle w:val="Header"/>
      <w:jc w:val="right"/>
      <w:rPr>
        <w:rFonts w:ascii="Cambria" w:hAnsi="Cambria"/>
        <w:sz w:val="20"/>
        <w:szCs w:val="20"/>
      </w:rPr>
    </w:pPr>
    <w:r w:rsidRPr="00E66DA2">
      <w:rPr>
        <w:rFonts w:ascii="Cambria" w:hAnsi="Cambria"/>
        <w:b/>
        <w:bCs/>
        <w:sz w:val="20"/>
        <w:szCs w:val="20"/>
      </w:rPr>
      <w:t>29</w:t>
    </w:r>
    <w:r w:rsidR="00DB2307" w:rsidRPr="00E66DA2">
      <w:rPr>
        <w:rFonts w:ascii="Cambria" w:hAnsi="Cambria"/>
        <w:b/>
        <w:bCs/>
        <w:sz w:val="20"/>
        <w:szCs w:val="20"/>
      </w:rPr>
      <w:t>/10/202</w:t>
    </w:r>
    <w:r w:rsidRPr="00E66DA2">
      <w:rPr>
        <w:rFonts w:ascii="Cambria" w:hAnsi="Cambria"/>
        <w:b/>
        <w:bCs/>
        <w:sz w:val="20"/>
        <w:szCs w:val="20"/>
      </w:rPr>
      <w:t>5</w:t>
    </w:r>
    <w:r w:rsidR="00DB2307" w:rsidRPr="00E66DA2">
      <w:rPr>
        <w:rFonts w:ascii="Cambria" w:hAnsi="Cambria"/>
        <w:b/>
        <w:bCs/>
        <w:sz w:val="20"/>
        <w:szCs w:val="20"/>
      </w:rPr>
      <w:t xml:space="preserve"> 1</w:t>
    </w:r>
    <w:r w:rsidR="00060DCE">
      <w:rPr>
        <w:rFonts w:ascii="Cambria" w:hAnsi="Cambria"/>
        <w:b/>
        <w:bCs/>
        <w:sz w:val="20"/>
        <w:szCs w:val="20"/>
      </w:rPr>
      <w:t>5</w:t>
    </w:r>
    <w:r w:rsidR="00DB2307" w:rsidRPr="00E66DA2">
      <w:rPr>
        <w:rFonts w:ascii="Cambria" w:hAnsi="Cambria"/>
        <w:b/>
        <w:bCs/>
        <w:sz w:val="20"/>
        <w:szCs w:val="20"/>
      </w:rPr>
      <w:t>:</w:t>
    </w:r>
    <w:r w:rsidR="00060DCE">
      <w:rPr>
        <w:rFonts w:ascii="Cambria" w:hAnsi="Cambria"/>
        <w:b/>
        <w:bCs/>
        <w:sz w:val="20"/>
        <w:szCs w:val="20"/>
      </w:rPr>
      <w:t>1</w:t>
    </w:r>
    <w:r w:rsidRPr="00E66DA2">
      <w:rPr>
        <w:rFonts w:ascii="Cambria" w:hAnsi="Cambria"/>
        <w:b/>
        <w:bCs/>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5DEC" w14:textId="77777777" w:rsidR="00E73CA1" w:rsidRDefault="00E73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09A49E4"/>
    <w:multiLevelType w:val="hybridMultilevel"/>
    <w:tmpl w:val="A5B80BEA"/>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34778BF"/>
    <w:multiLevelType w:val="hybridMultilevel"/>
    <w:tmpl w:val="F370B1DA"/>
    <w:lvl w:ilvl="0" w:tplc="51D0E7B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703317"/>
    <w:multiLevelType w:val="hybridMultilevel"/>
    <w:tmpl w:val="8646CB1A"/>
    <w:lvl w:ilvl="0" w:tplc="3078B91C">
      <w:start w:val="1"/>
      <w:numFmt w:val="bullet"/>
      <w:lvlText w:val="-"/>
      <w:lvlJc w:val="left"/>
      <w:pPr>
        <w:ind w:left="720" w:hanging="360"/>
      </w:pPr>
      <w:rPr>
        <w:rFonts w:ascii="Aptos" w:hAnsi="Aptos" w:hint="default"/>
      </w:rPr>
    </w:lvl>
    <w:lvl w:ilvl="1" w:tplc="FA728D6E">
      <w:start w:val="1"/>
      <w:numFmt w:val="bullet"/>
      <w:lvlText w:val="o"/>
      <w:lvlJc w:val="left"/>
      <w:pPr>
        <w:ind w:left="1440" w:hanging="360"/>
      </w:pPr>
      <w:rPr>
        <w:rFonts w:ascii="Courier New" w:hAnsi="Courier New" w:hint="default"/>
      </w:rPr>
    </w:lvl>
    <w:lvl w:ilvl="2" w:tplc="4AF647C6">
      <w:start w:val="1"/>
      <w:numFmt w:val="bullet"/>
      <w:lvlText w:val=""/>
      <w:lvlJc w:val="left"/>
      <w:pPr>
        <w:ind w:left="2160" w:hanging="360"/>
      </w:pPr>
      <w:rPr>
        <w:rFonts w:ascii="Wingdings" w:hAnsi="Wingdings" w:hint="default"/>
      </w:rPr>
    </w:lvl>
    <w:lvl w:ilvl="3" w:tplc="06B252C0">
      <w:start w:val="1"/>
      <w:numFmt w:val="bullet"/>
      <w:lvlText w:val=""/>
      <w:lvlJc w:val="left"/>
      <w:pPr>
        <w:ind w:left="2880" w:hanging="360"/>
      </w:pPr>
      <w:rPr>
        <w:rFonts w:ascii="Symbol" w:hAnsi="Symbol" w:hint="default"/>
      </w:rPr>
    </w:lvl>
    <w:lvl w:ilvl="4" w:tplc="F6326A04">
      <w:start w:val="1"/>
      <w:numFmt w:val="bullet"/>
      <w:lvlText w:val="o"/>
      <w:lvlJc w:val="left"/>
      <w:pPr>
        <w:ind w:left="3600" w:hanging="360"/>
      </w:pPr>
      <w:rPr>
        <w:rFonts w:ascii="Courier New" w:hAnsi="Courier New" w:hint="default"/>
      </w:rPr>
    </w:lvl>
    <w:lvl w:ilvl="5" w:tplc="85B4DB76">
      <w:start w:val="1"/>
      <w:numFmt w:val="bullet"/>
      <w:lvlText w:val=""/>
      <w:lvlJc w:val="left"/>
      <w:pPr>
        <w:ind w:left="4320" w:hanging="360"/>
      </w:pPr>
      <w:rPr>
        <w:rFonts w:ascii="Wingdings" w:hAnsi="Wingdings" w:hint="default"/>
      </w:rPr>
    </w:lvl>
    <w:lvl w:ilvl="6" w:tplc="EAB2376E">
      <w:start w:val="1"/>
      <w:numFmt w:val="bullet"/>
      <w:lvlText w:val=""/>
      <w:lvlJc w:val="left"/>
      <w:pPr>
        <w:ind w:left="5040" w:hanging="360"/>
      </w:pPr>
      <w:rPr>
        <w:rFonts w:ascii="Symbol" w:hAnsi="Symbol" w:hint="default"/>
      </w:rPr>
    </w:lvl>
    <w:lvl w:ilvl="7" w:tplc="D776586A">
      <w:start w:val="1"/>
      <w:numFmt w:val="bullet"/>
      <w:lvlText w:val="o"/>
      <w:lvlJc w:val="left"/>
      <w:pPr>
        <w:ind w:left="5760" w:hanging="360"/>
      </w:pPr>
      <w:rPr>
        <w:rFonts w:ascii="Courier New" w:hAnsi="Courier New" w:hint="default"/>
      </w:rPr>
    </w:lvl>
    <w:lvl w:ilvl="8" w:tplc="2F0AE088">
      <w:start w:val="1"/>
      <w:numFmt w:val="bullet"/>
      <w:lvlText w:val=""/>
      <w:lvlJc w:val="left"/>
      <w:pPr>
        <w:ind w:left="6480" w:hanging="360"/>
      </w:pPr>
      <w:rPr>
        <w:rFonts w:ascii="Wingdings" w:hAnsi="Wingdings" w:hint="default"/>
      </w:rPr>
    </w:lvl>
  </w:abstractNum>
  <w:abstractNum w:abstractNumId="4" w15:restartNumberingAfterBreak="0">
    <w:nsid w:val="0B0F69F6"/>
    <w:multiLevelType w:val="multilevel"/>
    <w:tmpl w:val="888C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25B61"/>
    <w:multiLevelType w:val="multilevel"/>
    <w:tmpl w:val="A0904722"/>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235F2052"/>
    <w:multiLevelType w:val="multilevel"/>
    <w:tmpl w:val="48DC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26E9B"/>
    <w:multiLevelType w:val="hybridMultilevel"/>
    <w:tmpl w:val="9058E836"/>
    <w:lvl w:ilvl="0" w:tplc="7AEADA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0F5AA5"/>
    <w:multiLevelType w:val="multilevel"/>
    <w:tmpl w:val="5DB69B28"/>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EE66B9C"/>
    <w:multiLevelType w:val="multilevel"/>
    <w:tmpl w:val="2006CB56"/>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3810034E"/>
    <w:multiLevelType w:val="multilevel"/>
    <w:tmpl w:val="E8F6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F593E"/>
    <w:multiLevelType w:val="hybridMultilevel"/>
    <w:tmpl w:val="BD0E78CE"/>
    <w:lvl w:ilvl="0" w:tplc="1688ACA4">
      <w:start w:val="1"/>
      <w:numFmt w:val="decimal"/>
      <w:lvlText w:val="%1."/>
      <w:lvlJc w:val="left"/>
      <w:pPr>
        <w:ind w:left="720" w:hanging="360"/>
      </w:pPr>
      <w:rPr>
        <w:rFonts w:ascii="Cambria" w:eastAsia="Calibri" w:hAnsi="Cambria" w:cs="Calibri"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6956A3B"/>
    <w:multiLevelType w:val="hybridMultilevel"/>
    <w:tmpl w:val="6A2211A4"/>
    <w:lvl w:ilvl="0" w:tplc="6C9273F8">
      <w:start w:val="1"/>
      <w:numFmt w:val="lowerLetter"/>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7F4418A"/>
    <w:multiLevelType w:val="multilevel"/>
    <w:tmpl w:val="1150AC6E"/>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6417200"/>
    <w:multiLevelType w:val="hybridMultilevel"/>
    <w:tmpl w:val="331E94FE"/>
    <w:lvl w:ilvl="0" w:tplc="BB40FD68">
      <w:start w:val="2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9D0958"/>
    <w:multiLevelType w:val="multilevel"/>
    <w:tmpl w:val="5FF0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4F4D55"/>
    <w:multiLevelType w:val="multilevel"/>
    <w:tmpl w:val="1144995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566330387">
    <w:abstractNumId w:val="14"/>
  </w:num>
  <w:num w:numId="2" w16cid:durableId="569582109">
    <w:abstractNumId w:val="9"/>
  </w:num>
  <w:num w:numId="3" w16cid:durableId="938180291">
    <w:abstractNumId w:val="17"/>
  </w:num>
  <w:num w:numId="4" w16cid:durableId="1040127775">
    <w:abstractNumId w:val="16"/>
  </w:num>
  <w:num w:numId="5" w16cid:durableId="171723804">
    <w:abstractNumId w:val="6"/>
  </w:num>
  <w:num w:numId="6" w16cid:durableId="1225457798">
    <w:abstractNumId w:val="4"/>
  </w:num>
  <w:num w:numId="7" w16cid:durableId="1926107493">
    <w:abstractNumId w:val="10"/>
  </w:num>
  <w:num w:numId="8" w16cid:durableId="801267529">
    <w:abstractNumId w:val="5"/>
  </w:num>
  <w:num w:numId="9" w16cid:durableId="457912321">
    <w:abstractNumId w:val="11"/>
  </w:num>
  <w:num w:numId="10" w16cid:durableId="1008865931">
    <w:abstractNumId w:val="0"/>
  </w:num>
  <w:num w:numId="11" w16cid:durableId="1880897535">
    <w:abstractNumId w:val="2"/>
  </w:num>
  <w:num w:numId="12" w16cid:durableId="442387350">
    <w:abstractNumId w:val="13"/>
  </w:num>
  <w:num w:numId="13" w16cid:durableId="2072725135">
    <w:abstractNumId w:val="1"/>
  </w:num>
  <w:num w:numId="14" w16cid:durableId="1098717588">
    <w:abstractNumId w:val="15"/>
  </w:num>
  <w:num w:numId="15" w16cid:durableId="171770359">
    <w:abstractNumId w:val="7"/>
  </w:num>
  <w:num w:numId="16" w16cid:durableId="885486515">
    <w:abstractNumId w:val="12"/>
  </w:num>
  <w:num w:numId="17" w16cid:durableId="1226575444">
    <w:abstractNumId w:val="8"/>
  </w:num>
  <w:num w:numId="18" w16cid:durableId="639775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07"/>
    <w:rsid w:val="00060DCE"/>
    <w:rsid w:val="00075D07"/>
    <w:rsid w:val="002670A4"/>
    <w:rsid w:val="002813B0"/>
    <w:rsid w:val="004E23B7"/>
    <w:rsid w:val="00596CDA"/>
    <w:rsid w:val="00717608"/>
    <w:rsid w:val="008136E4"/>
    <w:rsid w:val="00940D66"/>
    <w:rsid w:val="00963363"/>
    <w:rsid w:val="00DB2307"/>
    <w:rsid w:val="00E607A9"/>
    <w:rsid w:val="00E66DA2"/>
    <w:rsid w:val="00E73CA1"/>
    <w:rsid w:val="00F67EA2"/>
    <w:rsid w:val="00F7159C"/>
    <w:rsid w:val="00F77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81858"/>
  <w15:chartTrackingRefBased/>
  <w15:docId w15:val="{7AA824C3-9897-4C48-9377-82A87F38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2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B2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B2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B2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B2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DB2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DB2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DB2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307"/>
    <w:rPr>
      <w:rFonts w:eastAsiaTheme="majorEastAsia" w:cstheme="majorBidi"/>
      <w:color w:val="272727" w:themeColor="text1" w:themeTint="D8"/>
    </w:rPr>
  </w:style>
  <w:style w:type="paragraph" w:styleId="Title">
    <w:name w:val="Title"/>
    <w:basedOn w:val="Normal"/>
    <w:next w:val="Normal"/>
    <w:link w:val="TitleChar"/>
    <w:qFormat/>
    <w:rsid w:val="00DB2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DB2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307"/>
    <w:pPr>
      <w:spacing w:before="160"/>
      <w:jc w:val="center"/>
    </w:pPr>
    <w:rPr>
      <w:i/>
      <w:iCs/>
      <w:color w:val="404040" w:themeColor="text1" w:themeTint="BF"/>
    </w:rPr>
  </w:style>
  <w:style w:type="character" w:customStyle="1" w:styleId="QuoteChar">
    <w:name w:val="Quote Char"/>
    <w:basedOn w:val="DefaultParagraphFont"/>
    <w:link w:val="Quote"/>
    <w:uiPriority w:val="29"/>
    <w:rsid w:val="00DB2307"/>
    <w:rPr>
      <w:i/>
      <w:iCs/>
      <w:color w:val="404040" w:themeColor="text1" w:themeTint="BF"/>
    </w:rPr>
  </w:style>
  <w:style w:type="paragraph" w:styleId="ListParagraph">
    <w:name w:val="List Paragraph"/>
    <w:basedOn w:val="Normal"/>
    <w:uiPriority w:val="34"/>
    <w:qFormat/>
    <w:rsid w:val="00DB2307"/>
    <w:pPr>
      <w:ind w:left="720"/>
      <w:contextualSpacing/>
    </w:pPr>
  </w:style>
  <w:style w:type="character" w:styleId="IntenseEmphasis">
    <w:name w:val="Intense Emphasis"/>
    <w:basedOn w:val="DefaultParagraphFont"/>
    <w:uiPriority w:val="21"/>
    <w:qFormat/>
    <w:rsid w:val="00DB2307"/>
    <w:rPr>
      <w:i/>
      <w:iCs/>
      <w:color w:val="0F4761" w:themeColor="accent1" w:themeShade="BF"/>
    </w:rPr>
  </w:style>
  <w:style w:type="paragraph" w:styleId="IntenseQuote">
    <w:name w:val="Intense Quote"/>
    <w:basedOn w:val="Normal"/>
    <w:next w:val="Normal"/>
    <w:link w:val="IntenseQuoteChar"/>
    <w:uiPriority w:val="30"/>
    <w:qFormat/>
    <w:rsid w:val="00DB2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307"/>
    <w:rPr>
      <w:i/>
      <w:iCs/>
      <w:color w:val="0F4761" w:themeColor="accent1" w:themeShade="BF"/>
    </w:rPr>
  </w:style>
  <w:style w:type="character" w:styleId="IntenseReference">
    <w:name w:val="Intense Reference"/>
    <w:basedOn w:val="DefaultParagraphFont"/>
    <w:uiPriority w:val="32"/>
    <w:qFormat/>
    <w:rsid w:val="00DB2307"/>
    <w:rPr>
      <w:b/>
      <w:bCs/>
      <w:smallCaps/>
      <w:color w:val="0F4761" w:themeColor="accent1" w:themeShade="BF"/>
      <w:spacing w:val="5"/>
    </w:rPr>
  </w:style>
  <w:style w:type="paragraph" w:styleId="Header">
    <w:name w:val="header"/>
    <w:basedOn w:val="Normal"/>
    <w:link w:val="HeaderChar"/>
    <w:uiPriority w:val="99"/>
    <w:unhideWhenUsed/>
    <w:rsid w:val="00DB230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2307"/>
  </w:style>
  <w:style w:type="paragraph" w:styleId="Footer">
    <w:name w:val="footer"/>
    <w:basedOn w:val="Normal"/>
    <w:link w:val="FooterChar"/>
    <w:uiPriority w:val="99"/>
    <w:unhideWhenUsed/>
    <w:rsid w:val="00DB230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B2307"/>
  </w:style>
  <w:style w:type="numbering" w:customStyle="1" w:styleId="NoList1">
    <w:name w:val="No List1"/>
    <w:next w:val="NoList"/>
    <w:uiPriority w:val="99"/>
    <w:semiHidden/>
    <w:unhideWhenUsed/>
    <w:rsid w:val="008136E4"/>
  </w:style>
  <w:style w:type="character" w:styleId="CommentReference">
    <w:name w:val="annotation reference"/>
    <w:basedOn w:val="DefaultParagraphFont"/>
    <w:uiPriority w:val="99"/>
    <w:semiHidden/>
    <w:unhideWhenUsed/>
    <w:qFormat/>
    <w:rsid w:val="008136E4"/>
    <w:rPr>
      <w:sz w:val="18"/>
      <w:szCs w:val="18"/>
    </w:rPr>
  </w:style>
  <w:style w:type="character" w:customStyle="1" w:styleId="CommentTextChar">
    <w:name w:val="Comment Text Char"/>
    <w:basedOn w:val="DefaultParagraphFont"/>
    <w:link w:val="CommentText"/>
    <w:uiPriority w:val="99"/>
    <w:qFormat/>
    <w:rsid w:val="008136E4"/>
  </w:style>
  <w:style w:type="character" w:customStyle="1" w:styleId="CommentSubjectChar">
    <w:name w:val="Comment Subject Char"/>
    <w:basedOn w:val="CommentTextChar"/>
    <w:link w:val="CommentSubject"/>
    <w:uiPriority w:val="99"/>
    <w:semiHidden/>
    <w:qFormat/>
    <w:rsid w:val="008136E4"/>
    <w:rPr>
      <w:rFonts w:eastAsia="MS Gothic" w:cs="Times New Roman"/>
      <w:i/>
      <w:iCs/>
      <w:color w:val="595959"/>
    </w:rPr>
  </w:style>
  <w:style w:type="character" w:customStyle="1" w:styleId="BalloonTextChar">
    <w:name w:val="Balloon Text Char"/>
    <w:basedOn w:val="DefaultParagraphFont"/>
    <w:link w:val="BalloonText"/>
    <w:uiPriority w:val="99"/>
    <w:semiHidden/>
    <w:qFormat/>
    <w:rsid w:val="008136E4"/>
    <w:rPr>
      <w:rFonts w:ascii="Lucida Grande" w:hAnsi="Lucida Grande"/>
      <w:sz w:val="18"/>
      <w:szCs w:val="18"/>
    </w:rPr>
  </w:style>
  <w:style w:type="character" w:customStyle="1" w:styleId="Hyperlink1">
    <w:name w:val="Hyperlink1"/>
    <w:basedOn w:val="DefaultParagraphFont"/>
    <w:uiPriority w:val="99"/>
    <w:unhideWhenUsed/>
    <w:rsid w:val="008136E4"/>
    <w:rPr>
      <w:rFonts w:cs="Times New Roman"/>
      <w:color w:val="0000FF"/>
      <w:u w:val="single"/>
    </w:rPr>
  </w:style>
  <w:style w:type="character" w:customStyle="1" w:styleId="FootnoteTextChar">
    <w:name w:val="Footnote Text Char"/>
    <w:basedOn w:val="DefaultParagraphFont"/>
    <w:link w:val="FootnoteText"/>
    <w:semiHidden/>
    <w:qFormat/>
    <w:rsid w:val="008136E4"/>
    <w:rPr>
      <w:sz w:val="20"/>
      <w:szCs w:val="20"/>
    </w:rPr>
  </w:style>
  <w:style w:type="character" w:customStyle="1" w:styleId="FootnoteCharacters">
    <w:name w:val="Footnote Characters"/>
    <w:uiPriority w:val="99"/>
    <w:semiHidden/>
    <w:qFormat/>
    <w:rsid w:val="008136E4"/>
    <w:rPr>
      <w:vertAlign w:val="superscript"/>
    </w:rPr>
  </w:style>
  <w:style w:type="character" w:styleId="FootnoteReference">
    <w:name w:val="footnote reference"/>
    <w:rsid w:val="008136E4"/>
    <w:rPr>
      <w:vertAlign w:val="superscript"/>
    </w:rPr>
  </w:style>
  <w:style w:type="character" w:customStyle="1" w:styleId="BodyTextChar">
    <w:name w:val="Body Text Char"/>
    <w:basedOn w:val="DefaultParagraphFont"/>
    <w:link w:val="BodyText"/>
    <w:qFormat/>
    <w:rsid w:val="008136E4"/>
    <w:rPr>
      <w:rFonts w:ascii="Times New Roman" w:eastAsia="Times New Roman" w:hAnsi="Times New Roman" w:cs="Times New Roman"/>
      <w:szCs w:val="20"/>
    </w:rPr>
  </w:style>
  <w:style w:type="character" w:customStyle="1" w:styleId="hps">
    <w:name w:val="hps"/>
    <w:basedOn w:val="DefaultParagraphFont"/>
    <w:qFormat/>
    <w:rsid w:val="008136E4"/>
  </w:style>
  <w:style w:type="character" w:customStyle="1" w:styleId="alt-edited">
    <w:name w:val="alt-edited"/>
    <w:basedOn w:val="DefaultParagraphFont"/>
    <w:qFormat/>
    <w:rsid w:val="008136E4"/>
  </w:style>
  <w:style w:type="character" w:styleId="LineNumber">
    <w:name w:val="line number"/>
    <w:basedOn w:val="DefaultParagraphFont"/>
    <w:uiPriority w:val="99"/>
    <w:unhideWhenUsed/>
    <w:qFormat/>
    <w:rsid w:val="008136E4"/>
  </w:style>
  <w:style w:type="character" w:customStyle="1" w:styleId="cf01">
    <w:name w:val="cf01"/>
    <w:basedOn w:val="DefaultParagraphFont"/>
    <w:qFormat/>
    <w:rsid w:val="008136E4"/>
    <w:rPr>
      <w:rFonts w:ascii="Segoe UI" w:hAnsi="Segoe UI" w:cs="Segoe UI"/>
      <w:sz w:val="18"/>
      <w:szCs w:val="18"/>
    </w:rPr>
  </w:style>
  <w:style w:type="character" w:customStyle="1" w:styleId="longtext">
    <w:name w:val="long_text"/>
    <w:basedOn w:val="DefaultParagraphFont"/>
    <w:qFormat/>
    <w:rsid w:val="008136E4"/>
  </w:style>
  <w:style w:type="paragraph" w:customStyle="1" w:styleId="Heading">
    <w:name w:val="Heading"/>
    <w:basedOn w:val="Normal"/>
    <w:next w:val="BodyText"/>
    <w:qFormat/>
    <w:rsid w:val="008136E4"/>
    <w:pPr>
      <w:keepNext/>
      <w:suppressAutoHyphens/>
      <w:spacing w:before="240" w:after="120" w:line="240" w:lineRule="auto"/>
    </w:pPr>
    <w:rPr>
      <w:rFonts w:ascii="Carlito" w:eastAsia="Noto Sans SC Regular" w:hAnsi="Carlito" w:cs="Noto Sans Devanagari"/>
      <w:kern w:val="0"/>
      <w:sz w:val="28"/>
      <w:szCs w:val="28"/>
      <w14:ligatures w14:val="none"/>
    </w:rPr>
  </w:style>
  <w:style w:type="paragraph" w:styleId="BodyText">
    <w:name w:val="Body Text"/>
    <w:basedOn w:val="Normal"/>
    <w:link w:val="BodyTextChar"/>
    <w:rsid w:val="008136E4"/>
    <w:pPr>
      <w:suppressAutoHyphens/>
      <w:spacing w:after="0" w:line="240" w:lineRule="auto"/>
      <w:jc w:val="both"/>
    </w:pPr>
    <w:rPr>
      <w:rFonts w:ascii="Times New Roman" w:eastAsia="Times New Roman" w:hAnsi="Times New Roman" w:cs="Times New Roman"/>
      <w:szCs w:val="20"/>
    </w:rPr>
  </w:style>
  <w:style w:type="character" w:customStyle="1" w:styleId="BodyTextChar1">
    <w:name w:val="Body Text Char1"/>
    <w:basedOn w:val="DefaultParagraphFont"/>
    <w:semiHidden/>
    <w:rsid w:val="008136E4"/>
  </w:style>
  <w:style w:type="paragraph" w:styleId="List">
    <w:name w:val="List"/>
    <w:basedOn w:val="BodyText"/>
    <w:rsid w:val="008136E4"/>
    <w:rPr>
      <w:rFonts w:cs="Noto Sans Devanagari"/>
    </w:rPr>
  </w:style>
  <w:style w:type="paragraph" w:customStyle="1" w:styleId="Caption1">
    <w:name w:val="Caption1"/>
    <w:basedOn w:val="Normal"/>
    <w:next w:val="Caption"/>
    <w:qFormat/>
    <w:rsid w:val="008136E4"/>
    <w:pPr>
      <w:suppressLineNumbers/>
      <w:suppressAutoHyphens/>
      <w:spacing w:before="120" w:after="120" w:line="240" w:lineRule="auto"/>
    </w:pPr>
    <w:rPr>
      <w:rFonts w:eastAsia="MS Mincho" w:cs="Noto Sans Devanagari"/>
      <w:i/>
      <w:iCs/>
      <w:kern w:val="0"/>
      <w14:ligatures w14:val="none"/>
    </w:rPr>
  </w:style>
  <w:style w:type="paragraph" w:customStyle="1" w:styleId="Index">
    <w:name w:val="Index"/>
    <w:basedOn w:val="Normal"/>
    <w:qFormat/>
    <w:rsid w:val="008136E4"/>
    <w:pPr>
      <w:suppressLineNumbers/>
      <w:suppressAutoHyphens/>
      <w:spacing w:after="0" w:line="240" w:lineRule="auto"/>
    </w:pPr>
    <w:rPr>
      <w:rFonts w:eastAsia="MS Mincho" w:cs="Noto Sans Devanagari"/>
      <w:kern w:val="0"/>
      <w14:ligatures w14:val="none"/>
    </w:rPr>
  </w:style>
  <w:style w:type="paragraph" w:customStyle="1" w:styleId="CommentText1">
    <w:name w:val="Comment Text1"/>
    <w:basedOn w:val="Normal"/>
    <w:next w:val="CommentText"/>
    <w:uiPriority w:val="99"/>
    <w:unhideWhenUsed/>
    <w:qFormat/>
    <w:rsid w:val="008136E4"/>
    <w:pPr>
      <w:suppressAutoHyphens/>
      <w:spacing w:after="0" w:line="240" w:lineRule="auto"/>
    </w:pPr>
    <w:rPr>
      <w:rFonts w:eastAsia="MS Mincho"/>
      <w:kern w:val="0"/>
      <w14:ligatures w14:val="none"/>
    </w:rPr>
  </w:style>
  <w:style w:type="character" w:customStyle="1" w:styleId="CommentTextChar1">
    <w:name w:val="Comment Text Char1"/>
    <w:basedOn w:val="DefaultParagraphFont"/>
    <w:uiPriority w:val="99"/>
    <w:semiHidden/>
    <w:rsid w:val="008136E4"/>
    <w:rPr>
      <w:sz w:val="20"/>
      <w:szCs w:val="20"/>
    </w:rPr>
  </w:style>
  <w:style w:type="paragraph" w:customStyle="1" w:styleId="CommentSubject1">
    <w:name w:val="Comment Subject1"/>
    <w:basedOn w:val="CommentText"/>
    <w:next w:val="CommentText"/>
    <w:uiPriority w:val="99"/>
    <w:semiHidden/>
    <w:unhideWhenUsed/>
    <w:qFormat/>
    <w:rsid w:val="008136E4"/>
  </w:style>
  <w:style w:type="character" w:customStyle="1" w:styleId="CommentSubjectChar1">
    <w:name w:val="Comment Subject Char1"/>
    <w:basedOn w:val="CommentTextChar1"/>
    <w:uiPriority w:val="99"/>
    <w:semiHidden/>
    <w:rsid w:val="008136E4"/>
    <w:rPr>
      <w:b/>
      <w:bCs/>
      <w:sz w:val="20"/>
      <w:szCs w:val="20"/>
    </w:rPr>
  </w:style>
  <w:style w:type="paragraph" w:customStyle="1" w:styleId="BalloonText1">
    <w:name w:val="Balloon Text1"/>
    <w:basedOn w:val="Normal"/>
    <w:next w:val="BalloonText"/>
    <w:uiPriority w:val="99"/>
    <w:semiHidden/>
    <w:unhideWhenUsed/>
    <w:qFormat/>
    <w:rsid w:val="008136E4"/>
    <w:pPr>
      <w:suppressAutoHyphens/>
      <w:spacing w:after="0" w:line="240" w:lineRule="auto"/>
    </w:pPr>
    <w:rPr>
      <w:rFonts w:ascii="Lucida Grande" w:eastAsia="MS Mincho" w:hAnsi="Lucida Grande"/>
      <w:kern w:val="0"/>
      <w:sz w:val="18"/>
      <w:szCs w:val="18"/>
      <w14:ligatures w14:val="none"/>
    </w:rPr>
  </w:style>
  <w:style w:type="character" w:customStyle="1" w:styleId="BalloonTextChar1">
    <w:name w:val="Balloon Text Char1"/>
    <w:basedOn w:val="DefaultParagraphFont"/>
    <w:uiPriority w:val="99"/>
    <w:semiHidden/>
    <w:rsid w:val="008136E4"/>
    <w:rPr>
      <w:rFonts w:ascii="Segoe UI" w:hAnsi="Segoe UI" w:cs="Segoe UI"/>
      <w:sz w:val="18"/>
      <w:szCs w:val="18"/>
    </w:rPr>
  </w:style>
  <w:style w:type="paragraph" w:customStyle="1" w:styleId="HeaderandFooter">
    <w:name w:val="Header and Footer"/>
    <w:basedOn w:val="Normal"/>
    <w:qFormat/>
    <w:rsid w:val="008136E4"/>
    <w:pPr>
      <w:suppressAutoHyphens/>
      <w:spacing w:after="0" w:line="240" w:lineRule="auto"/>
    </w:pPr>
    <w:rPr>
      <w:rFonts w:eastAsia="MS Mincho"/>
      <w:kern w:val="0"/>
      <w14:ligatures w14:val="none"/>
    </w:rPr>
  </w:style>
  <w:style w:type="character" w:customStyle="1" w:styleId="HeaderChar1">
    <w:name w:val="Header Char1"/>
    <w:basedOn w:val="DefaultParagraphFont"/>
    <w:uiPriority w:val="99"/>
    <w:semiHidden/>
    <w:rsid w:val="008136E4"/>
  </w:style>
  <w:style w:type="character" w:customStyle="1" w:styleId="FooterChar1">
    <w:name w:val="Footer Char1"/>
    <w:basedOn w:val="DefaultParagraphFont"/>
    <w:uiPriority w:val="99"/>
    <w:semiHidden/>
    <w:rsid w:val="008136E4"/>
  </w:style>
  <w:style w:type="character" w:customStyle="1" w:styleId="TitleChar1">
    <w:name w:val="Title Char1"/>
    <w:basedOn w:val="DefaultParagraphFont"/>
    <w:rsid w:val="008136E4"/>
    <w:rPr>
      <w:rFonts w:ascii="Calibri" w:eastAsia="MS Gothic" w:hAnsi="Calibri" w:cs="Times New Roman"/>
      <w:spacing w:val="-10"/>
      <w:kern w:val="28"/>
      <w:sz w:val="56"/>
      <w:szCs w:val="56"/>
    </w:rPr>
  </w:style>
  <w:style w:type="paragraph" w:customStyle="1" w:styleId="Revision1">
    <w:name w:val="Revision1"/>
    <w:next w:val="Revision"/>
    <w:uiPriority w:val="99"/>
    <w:semiHidden/>
    <w:qFormat/>
    <w:rsid w:val="008136E4"/>
    <w:pPr>
      <w:suppressAutoHyphens/>
      <w:spacing w:after="0" w:line="240" w:lineRule="auto"/>
    </w:pPr>
    <w:rPr>
      <w:rFonts w:eastAsia="MS Mincho"/>
      <w:kern w:val="0"/>
      <w14:ligatures w14:val="none"/>
    </w:rPr>
  </w:style>
  <w:style w:type="paragraph" w:customStyle="1" w:styleId="FootnoteText1">
    <w:name w:val="Footnote Text1"/>
    <w:basedOn w:val="Normal"/>
    <w:next w:val="FootnoteText"/>
    <w:semiHidden/>
    <w:unhideWhenUsed/>
    <w:rsid w:val="008136E4"/>
    <w:pPr>
      <w:suppressAutoHyphens/>
      <w:spacing w:after="0" w:line="240" w:lineRule="auto"/>
    </w:pPr>
    <w:rPr>
      <w:rFonts w:eastAsia="MS Mincho"/>
      <w:kern w:val="0"/>
      <w:sz w:val="20"/>
      <w:szCs w:val="20"/>
      <w14:ligatures w14:val="none"/>
    </w:rPr>
  </w:style>
  <w:style w:type="character" w:customStyle="1" w:styleId="FootnoteTextChar1">
    <w:name w:val="Footnote Text Char1"/>
    <w:basedOn w:val="DefaultParagraphFont"/>
    <w:semiHidden/>
    <w:rsid w:val="008136E4"/>
    <w:rPr>
      <w:sz w:val="20"/>
      <w:szCs w:val="20"/>
    </w:rPr>
  </w:style>
  <w:style w:type="paragraph" w:customStyle="1" w:styleId="Text1">
    <w:name w:val="Text 1"/>
    <w:basedOn w:val="Normal"/>
    <w:qFormat/>
    <w:rsid w:val="008136E4"/>
    <w:pPr>
      <w:suppressAutoHyphens/>
      <w:spacing w:after="240" w:line="240" w:lineRule="auto"/>
      <w:ind w:left="482"/>
      <w:jc w:val="both"/>
    </w:pPr>
    <w:rPr>
      <w:rFonts w:ascii="Times New Roman" w:eastAsia="Times New Roman" w:hAnsi="Times New Roman" w:cs="Times New Roman"/>
      <w:kern w:val="0"/>
      <w:szCs w:val="20"/>
      <w:lang w:val="en-GB"/>
      <w14:ligatures w14:val="none"/>
    </w:rPr>
  </w:style>
  <w:style w:type="paragraph" w:customStyle="1" w:styleId="ListBullet1">
    <w:name w:val="List Bullet 1"/>
    <w:basedOn w:val="Text1"/>
    <w:qFormat/>
    <w:rsid w:val="008136E4"/>
    <w:pPr>
      <w:numPr>
        <w:numId w:val="1"/>
      </w:numPr>
    </w:pPr>
  </w:style>
  <w:style w:type="paragraph" w:customStyle="1" w:styleId="TableParagraph">
    <w:name w:val="Table Paragraph"/>
    <w:basedOn w:val="Normal"/>
    <w:uiPriority w:val="1"/>
    <w:qFormat/>
    <w:rsid w:val="008136E4"/>
    <w:pPr>
      <w:widowControl w:val="0"/>
      <w:suppressAutoHyphens/>
      <w:spacing w:after="0" w:line="240" w:lineRule="auto"/>
    </w:pPr>
    <w:rPr>
      <w:rFonts w:eastAsia="Calibri"/>
      <w:kern w:val="0"/>
      <w:sz w:val="22"/>
      <w:szCs w:val="22"/>
      <w14:ligatures w14:val="none"/>
    </w:rPr>
  </w:style>
  <w:style w:type="paragraph" w:customStyle="1" w:styleId="Normal1">
    <w:name w:val="Normal1"/>
    <w:qFormat/>
    <w:rsid w:val="008136E4"/>
    <w:pPr>
      <w:suppressAutoHyphens/>
      <w:spacing w:after="0" w:line="276" w:lineRule="auto"/>
    </w:pPr>
    <w:rPr>
      <w:rFonts w:ascii="Arial" w:eastAsia="Arial" w:hAnsi="Arial" w:cs="Arial"/>
      <w:color w:val="000000"/>
      <w:kern w:val="0"/>
      <w:sz w:val="22"/>
      <w:szCs w:val="22"/>
      <w14:ligatures w14:val="none"/>
    </w:rPr>
  </w:style>
  <w:style w:type="paragraph" w:styleId="NoSpacing">
    <w:name w:val="No Spacing"/>
    <w:uiPriority w:val="1"/>
    <w:qFormat/>
    <w:rsid w:val="008136E4"/>
    <w:pPr>
      <w:suppressAutoHyphens/>
      <w:spacing w:after="0" w:line="240" w:lineRule="auto"/>
    </w:pPr>
    <w:rPr>
      <w:rFonts w:ascii="Calibri" w:eastAsia="Calibri" w:hAnsi="Calibri" w:cs="Times New Roman"/>
      <w:kern w:val="0"/>
      <w:sz w:val="22"/>
      <w:szCs w:val="22"/>
      <w:lang w:val="en-GB"/>
      <w14:ligatures w14:val="none"/>
    </w:rPr>
  </w:style>
  <w:style w:type="numbering" w:customStyle="1" w:styleId="NoList11">
    <w:name w:val="No List11"/>
    <w:uiPriority w:val="99"/>
    <w:semiHidden/>
    <w:unhideWhenUsed/>
    <w:qFormat/>
    <w:rsid w:val="008136E4"/>
  </w:style>
  <w:style w:type="numbering" w:customStyle="1" w:styleId="NoList2">
    <w:name w:val="No List2"/>
    <w:uiPriority w:val="99"/>
    <w:semiHidden/>
    <w:unhideWhenUsed/>
    <w:qFormat/>
    <w:rsid w:val="008136E4"/>
  </w:style>
  <w:style w:type="table" w:customStyle="1" w:styleId="TableGrid1">
    <w:name w:val="Table Grid1"/>
    <w:basedOn w:val="TableNormal"/>
    <w:next w:val="TableGrid"/>
    <w:uiPriority w:val="59"/>
    <w:rsid w:val="008136E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8136E4"/>
    <w:pPr>
      <w:spacing w:line="240" w:lineRule="auto"/>
    </w:pPr>
  </w:style>
  <w:style w:type="character" w:customStyle="1" w:styleId="CommentTextChar2">
    <w:name w:val="Comment Text Char2"/>
    <w:basedOn w:val="DefaultParagraphFont"/>
    <w:uiPriority w:val="99"/>
    <w:semiHidden/>
    <w:rsid w:val="008136E4"/>
    <w:rPr>
      <w:sz w:val="20"/>
      <w:szCs w:val="20"/>
    </w:rPr>
  </w:style>
  <w:style w:type="paragraph" w:styleId="CommentSubject">
    <w:name w:val="annotation subject"/>
    <w:basedOn w:val="CommentText"/>
    <w:next w:val="CommentText"/>
    <w:link w:val="CommentSubjectChar"/>
    <w:uiPriority w:val="99"/>
    <w:semiHidden/>
    <w:unhideWhenUsed/>
    <w:qFormat/>
    <w:rsid w:val="008136E4"/>
    <w:rPr>
      <w:rFonts w:eastAsia="MS Gothic" w:cs="Times New Roman"/>
      <w:i/>
      <w:iCs/>
      <w:color w:val="595959"/>
    </w:rPr>
  </w:style>
  <w:style w:type="character" w:customStyle="1" w:styleId="CommentSubjectChar2">
    <w:name w:val="Comment Subject Char2"/>
    <w:basedOn w:val="CommentTextChar"/>
    <w:uiPriority w:val="99"/>
    <w:semiHidden/>
    <w:rsid w:val="008136E4"/>
    <w:rPr>
      <w:b/>
      <w:bCs/>
      <w:sz w:val="20"/>
      <w:szCs w:val="20"/>
    </w:rPr>
  </w:style>
  <w:style w:type="paragraph" w:styleId="BalloonText">
    <w:name w:val="Balloon Text"/>
    <w:basedOn w:val="Normal"/>
    <w:link w:val="BalloonTextChar"/>
    <w:uiPriority w:val="99"/>
    <w:semiHidden/>
    <w:unhideWhenUsed/>
    <w:qFormat/>
    <w:rsid w:val="008136E4"/>
    <w:pPr>
      <w:spacing w:after="0" w:line="240" w:lineRule="auto"/>
    </w:pPr>
    <w:rPr>
      <w:rFonts w:ascii="Lucida Grande" w:hAnsi="Lucida Grande"/>
      <w:sz w:val="18"/>
      <w:szCs w:val="18"/>
    </w:rPr>
  </w:style>
  <w:style w:type="character" w:customStyle="1" w:styleId="BalloonTextChar2">
    <w:name w:val="Balloon Text Char2"/>
    <w:basedOn w:val="DefaultParagraphFont"/>
    <w:uiPriority w:val="99"/>
    <w:semiHidden/>
    <w:rsid w:val="008136E4"/>
    <w:rPr>
      <w:rFonts w:ascii="Segoe UI" w:hAnsi="Segoe UI" w:cs="Segoe UI"/>
      <w:sz w:val="18"/>
      <w:szCs w:val="18"/>
    </w:rPr>
  </w:style>
  <w:style w:type="character" w:styleId="Hyperlink">
    <w:name w:val="Hyperlink"/>
    <w:basedOn w:val="DefaultParagraphFont"/>
    <w:uiPriority w:val="99"/>
    <w:unhideWhenUsed/>
    <w:rsid w:val="008136E4"/>
    <w:rPr>
      <w:color w:val="467886" w:themeColor="hyperlink"/>
      <w:u w:val="single"/>
    </w:rPr>
  </w:style>
  <w:style w:type="paragraph" w:styleId="FootnoteText">
    <w:name w:val="footnote text"/>
    <w:basedOn w:val="Normal"/>
    <w:link w:val="FootnoteTextChar"/>
    <w:semiHidden/>
    <w:unhideWhenUsed/>
    <w:rsid w:val="008136E4"/>
    <w:pPr>
      <w:spacing w:after="0" w:line="240" w:lineRule="auto"/>
    </w:pPr>
    <w:rPr>
      <w:sz w:val="20"/>
      <w:szCs w:val="20"/>
    </w:rPr>
  </w:style>
  <w:style w:type="character" w:customStyle="1" w:styleId="FootnoteTextChar2">
    <w:name w:val="Footnote Text Char2"/>
    <w:basedOn w:val="DefaultParagraphFont"/>
    <w:uiPriority w:val="99"/>
    <w:semiHidden/>
    <w:rsid w:val="008136E4"/>
    <w:rPr>
      <w:sz w:val="20"/>
      <w:szCs w:val="20"/>
    </w:rPr>
  </w:style>
  <w:style w:type="paragraph" w:styleId="Caption">
    <w:name w:val="caption"/>
    <w:basedOn w:val="Normal"/>
    <w:next w:val="Normal"/>
    <w:unhideWhenUsed/>
    <w:qFormat/>
    <w:rsid w:val="008136E4"/>
    <w:pPr>
      <w:spacing w:after="200" w:line="240" w:lineRule="auto"/>
    </w:pPr>
    <w:rPr>
      <w:i/>
      <w:iCs/>
      <w:color w:val="0E2841" w:themeColor="text2"/>
      <w:sz w:val="18"/>
      <w:szCs w:val="18"/>
    </w:rPr>
  </w:style>
  <w:style w:type="paragraph" w:styleId="Revision">
    <w:name w:val="Revision"/>
    <w:hidden/>
    <w:uiPriority w:val="99"/>
    <w:semiHidden/>
    <w:qFormat/>
    <w:rsid w:val="008136E4"/>
    <w:pPr>
      <w:spacing w:after="0" w:line="240" w:lineRule="auto"/>
    </w:pPr>
  </w:style>
  <w:style w:type="table" w:styleId="TableGrid">
    <w:name w:val="Table Grid"/>
    <w:basedOn w:val="TableNormal"/>
    <w:uiPriority w:val="39"/>
    <w:rsid w:val="00813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136E4"/>
  </w:style>
  <w:style w:type="character" w:customStyle="1" w:styleId="linenumber1">
    <w:name w:val="line number1"/>
    <w:basedOn w:val="DefaultParagraphFont"/>
    <w:uiPriority w:val="99"/>
    <w:semiHidden/>
    <w:unhideWhenUsed/>
    <w:qFormat/>
    <w:rsid w:val="008136E4"/>
  </w:style>
  <w:style w:type="character" w:styleId="UnresolvedMention">
    <w:name w:val="Unresolved Mention"/>
    <w:basedOn w:val="DefaultParagraphFont"/>
    <w:uiPriority w:val="99"/>
    <w:semiHidden/>
    <w:unhideWhenUsed/>
    <w:qFormat/>
    <w:rsid w:val="008136E4"/>
    <w:rPr>
      <w:color w:val="605E5C"/>
      <w:shd w:val="clear" w:color="auto" w:fill="E1DFDD"/>
    </w:rPr>
  </w:style>
  <w:style w:type="paragraph" w:customStyle="1" w:styleId="Default">
    <w:name w:val="Default"/>
    <w:qFormat/>
    <w:rsid w:val="008136E4"/>
    <w:pPr>
      <w:suppressAutoHyphens/>
      <w:spacing w:after="0" w:line="240" w:lineRule="auto"/>
    </w:pPr>
    <w:rPr>
      <w:rFonts w:ascii="Cambria" w:eastAsia="MS Mincho" w:hAnsi="Cambria" w:cs="Cambria"/>
      <w:color w:val="000000"/>
      <w:kern w:val="0"/>
      <w:lang w:val="es-ES"/>
      <w14:ligatures w14:val="none"/>
    </w:rPr>
  </w:style>
  <w:style w:type="numbering" w:customStyle="1" w:styleId="NoList12">
    <w:name w:val="No List12"/>
    <w:uiPriority w:val="99"/>
    <w:semiHidden/>
    <w:unhideWhenUsed/>
    <w:qFormat/>
    <w:rsid w:val="008136E4"/>
  </w:style>
  <w:style w:type="numbering" w:customStyle="1" w:styleId="NoList21">
    <w:name w:val="No List21"/>
    <w:uiPriority w:val="99"/>
    <w:semiHidden/>
    <w:unhideWhenUsed/>
    <w:qFormat/>
    <w:rsid w:val="008136E4"/>
  </w:style>
  <w:style w:type="table" w:customStyle="1" w:styleId="TableGrid5">
    <w:name w:val="Table Grid5"/>
    <w:basedOn w:val="TableNormal"/>
    <w:next w:val="TableGrid"/>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136E4"/>
  </w:style>
  <w:style w:type="table" w:customStyle="1" w:styleId="TableGrid6">
    <w:name w:val="Table Grid6"/>
    <w:basedOn w:val="TableNormal"/>
    <w:next w:val="TableGrid"/>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136E4"/>
  </w:style>
  <w:style w:type="table" w:customStyle="1" w:styleId="TableGrid23">
    <w:name w:val="Table Grid23"/>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8136E4"/>
  </w:style>
  <w:style w:type="table" w:customStyle="1" w:styleId="TableGrid42">
    <w:name w:val="Table Grid4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670A4"/>
  </w:style>
  <w:style w:type="table" w:customStyle="1" w:styleId="TableGrid7">
    <w:name w:val="Table Grid7"/>
    <w:basedOn w:val="TableNormal"/>
    <w:next w:val="TableGrid"/>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670A4"/>
  </w:style>
  <w:style w:type="table" w:customStyle="1" w:styleId="TableGrid24">
    <w:name w:val="Table Grid24"/>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2670A4"/>
  </w:style>
  <w:style w:type="table" w:customStyle="1" w:styleId="TableGrid43">
    <w:name w:val="Table Grid4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670A4"/>
  </w:style>
  <w:style w:type="table" w:customStyle="1" w:styleId="TableGrid8">
    <w:name w:val="Table Grid8"/>
    <w:basedOn w:val="TableNormal"/>
    <w:next w:val="TableGrid"/>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670A4"/>
  </w:style>
  <w:style w:type="table" w:customStyle="1" w:styleId="TableGrid25">
    <w:name w:val="Table Grid25"/>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2670A4"/>
  </w:style>
  <w:style w:type="table" w:customStyle="1" w:styleId="TableGrid44">
    <w:name w:val="Table Grid4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670A4"/>
  </w:style>
  <w:style w:type="numbering" w:customStyle="1" w:styleId="NoList16">
    <w:name w:val="No List16"/>
    <w:uiPriority w:val="99"/>
    <w:semiHidden/>
    <w:unhideWhenUsed/>
    <w:qFormat/>
    <w:rsid w:val="002670A4"/>
  </w:style>
  <w:style w:type="numbering" w:customStyle="1" w:styleId="NoList25">
    <w:name w:val="No List25"/>
    <w:uiPriority w:val="99"/>
    <w:semiHidden/>
    <w:unhideWhenUsed/>
    <w:qFormat/>
    <w:rsid w:val="002670A4"/>
  </w:style>
  <w:style w:type="table" w:customStyle="1" w:styleId="TableGrid9">
    <w:name w:val="Table Grid9"/>
    <w:basedOn w:val="TableNormal"/>
    <w:next w:val="TableGrid"/>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77511"/>
  </w:style>
  <w:style w:type="paragraph" w:styleId="NormalWeb">
    <w:name w:val="Normal (Web)"/>
    <w:basedOn w:val="Normal"/>
    <w:uiPriority w:val="99"/>
    <w:unhideWhenUsed/>
    <w:rsid w:val="00F77511"/>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7">
    <w:name w:val="Table Grid17"/>
    <w:basedOn w:val="TableNormal"/>
    <w:next w:val="TableGrid"/>
    <w:uiPriority w:val="59"/>
    <w:rsid w:val="00F77511"/>
    <w:pPr>
      <w:spacing w:after="0" w:line="240" w:lineRule="auto"/>
    </w:pPr>
    <w:rPr>
      <w:rFonts w:ascii="Cambria" w:hAnsi="Cambria"/>
      <w:kern w:val="0"/>
      <w:sz w:val="20"/>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77511"/>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77511"/>
    <w:rPr>
      <w:color w:val="2B579A"/>
      <w:shd w:val="clear" w:color="auto" w:fill="E6E6E6"/>
    </w:rPr>
  </w:style>
  <w:style w:type="character" w:customStyle="1" w:styleId="FollowedHyperlink1">
    <w:name w:val="FollowedHyperlink1"/>
    <w:basedOn w:val="DefaultParagraphFont"/>
    <w:uiPriority w:val="99"/>
    <w:semiHidden/>
    <w:unhideWhenUsed/>
    <w:rsid w:val="00F77511"/>
    <w:rPr>
      <w:color w:val="954F72"/>
      <w:u w:val="single"/>
    </w:rPr>
  </w:style>
  <w:style w:type="character" w:styleId="FollowedHyperlink">
    <w:name w:val="FollowedHyperlink"/>
    <w:basedOn w:val="DefaultParagraphFont"/>
    <w:uiPriority w:val="99"/>
    <w:semiHidden/>
    <w:unhideWhenUsed/>
    <w:rsid w:val="00F775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Acuña</dc:creator>
  <cp:keywords/>
  <dc:description/>
  <cp:lastModifiedBy>Jose Antonio Acuña</cp:lastModifiedBy>
  <cp:revision>3</cp:revision>
  <dcterms:created xsi:type="dcterms:W3CDTF">2025-11-19T16:17:00Z</dcterms:created>
  <dcterms:modified xsi:type="dcterms:W3CDTF">2025-11-19T16:21:00Z</dcterms:modified>
</cp:coreProperties>
</file>