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34CAEC45"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007901BA">
        <w:rPr>
          <w:rFonts w:ascii="Cambria" w:hAnsi="Cambria"/>
          <w:b/>
          <w:bCs/>
          <w:sz w:val="20"/>
          <w:szCs w:val="20"/>
        </w:rPr>
        <w:t>4</w:t>
      </w:r>
      <w:r w:rsidRPr="00DB2307">
        <w:rPr>
          <w:rFonts w:ascii="Cambria" w:hAnsi="Cambria"/>
          <w:b/>
          <w:bCs/>
          <w:sz w:val="20"/>
          <w:szCs w:val="20"/>
        </w:rPr>
        <w:t xml:space="preserve"> to COC-314</w:t>
      </w:r>
    </w:p>
    <w:p w14:paraId="1A6FD728" w14:textId="6031A097" w:rsidR="00DB2307" w:rsidRPr="007901BA" w:rsidRDefault="00DB2307" w:rsidP="00DB2307">
      <w:pPr>
        <w:jc w:val="center"/>
        <w:rPr>
          <w:rFonts w:ascii="Cambria" w:hAnsi="Cambria"/>
          <w:sz w:val="20"/>
          <w:szCs w:val="20"/>
        </w:rPr>
      </w:pPr>
      <w:r w:rsidRPr="007901BA">
        <w:rPr>
          <w:rFonts w:ascii="Cambria" w:hAnsi="Cambria"/>
          <w:b/>
          <w:bCs/>
          <w:i/>
          <w:iCs/>
          <w:sz w:val="20"/>
          <w:szCs w:val="20"/>
        </w:rPr>
        <w:t xml:space="preserve">ADDENDUM </w:t>
      </w:r>
      <w:r w:rsidR="007901BA" w:rsidRPr="007901BA">
        <w:rPr>
          <w:rFonts w:ascii="Cambria" w:hAnsi="Cambria"/>
          <w:b/>
          <w:bCs/>
          <w:sz w:val="20"/>
          <w:szCs w:val="20"/>
        </w:rPr>
        <w:t>4</w:t>
      </w:r>
      <w:r w:rsidRPr="007901BA">
        <w:rPr>
          <w:rFonts w:ascii="Cambria" w:hAnsi="Cambria"/>
          <w:b/>
          <w:bCs/>
          <w:sz w:val="20"/>
          <w:szCs w:val="20"/>
        </w:rPr>
        <w:t xml:space="preserve"> au COC-314</w:t>
      </w:r>
    </w:p>
    <w:p w14:paraId="4F9DD8D8" w14:textId="44E73437" w:rsidR="00DB2307" w:rsidRPr="007901BA" w:rsidRDefault="00DB2307" w:rsidP="00DB2307">
      <w:pPr>
        <w:jc w:val="center"/>
        <w:rPr>
          <w:rFonts w:ascii="Cambria" w:hAnsi="Cambria"/>
          <w:sz w:val="20"/>
          <w:szCs w:val="20"/>
        </w:rPr>
      </w:pPr>
      <w:r w:rsidRPr="007901BA">
        <w:rPr>
          <w:rFonts w:ascii="Cambria" w:hAnsi="Cambria"/>
          <w:b/>
          <w:bCs/>
          <w:i/>
          <w:iCs/>
          <w:sz w:val="20"/>
          <w:szCs w:val="20"/>
        </w:rPr>
        <w:t xml:space="preserve">ADENDA </w:t>
      </w:r>
      <w:r w:rsidR="007901BA" w:rsidRPr="007901BA">
        <w:rPr>
          <w:rFonts w:ascii="Cambria" w:hAnsi="Cambria"/>
          <w:b/>
          <w:bCs/>
          <w:sz w:val="20"/>
          <w:szCs w:val="20"/>
        </w:rPr>
        <w:t>4</w:t>
      </w:r>
      <w:r w:rsidRPr="007901BA">
        <w:rPr>
          <w:rFonts w:ascii="Cambria" w:hAnsi="Cambria"/>
          <w:b/>
          <w:bCs/>
          <w:sz w:val="20"/>
          <w:szCs w:val="20"/>
        </w:rPr>
        <w:t xml:space="preserve"> al COC-314</w:t>
      </w:r>
    </w:p>
    <w:p w14:paraId="71E14563" w14:textId="77777777" w:rsidR="00DB2307" w:rsidRPr="007901BA" w:rsidRDefault="00DB2307" w:rsidP="00DB2307">
      <w:pPr>
        <w:rPr>
          <w:rFonts w:ascii="Cambria" w:hAnsi="Cambria"/>
          <w:sz w:val="20"/>
          <w:szCs w:val="20"/>
        </w:rPr>
      </w:pPr>
    </w:p>
    <w:p w14:paraId="7594C2F6" w14:textId="041D9534" w:rsidR="00DB2307" w:rsidRPr="00DB2307" w:rsidRDefault="00DB2307" w:rsidP="00DB2307">
      <w:pPr>
        <w:rPr>
          <w:rFonts w:ascii="Cambria" w:hAnsi="Cambria"/>
          <w:sz w:val="20"/>
          <w:szCs w:val="20"/>
        </w:rPr>
      </w:pPr>
      <w:r w:rsidRPr="00DB2307">
        <w:rPr>
          <w:rFonts w:ascii="Cambria" w:hAnsi="Cambria"/>
          <w:sz w:val="20"/>
          <w:szCs w:val="20"/>
        </w:rPr>
        <w:t>This addendum to COC-314/202</w:t>
      </w:r>
      <w:r w:rsidRPr="00E66DA2">
        <w:rPr>
          <w:rFonts w:ascii="Cambria" w:hAnsi="Cambria"/>
          <w:sz w:val="20"/>
          <w:szCs w:val="20"/>
        </w:rPr>
        <w:t>5</w:t>
      </w:r>
      <w:r w:rsidRPr="00DB2307">
        <w:rPr>
          <w:rFonts w:ascii="Cambria" w:hAnsi="Cambria"/>
          <w:sz w:val="20"/>
          <w:szCs w:val="20"/>
        </w:rPr>
        <w:t xml:space="preserve"> contains the Shark 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00370557">
        <w:rPr>
          <w:rFonts w:ascii="Cambria" w:hAnsi="Cambria"/>
          <w:sz w:val="20"/>
          <w:szCs w:val="20"/>
        </w:rPr>
        <w:t>Senegal</w:t>
      </w:r>
      <w:r w:rsidRPr="00E66DA2">
        <w:rPr>
          <w:rFonts w:ascii="Cambria" w:hAnsi="Cambria"/>
          <w:sz w:val="20"/>
          <w:szCs w:val="20"/>
        </w:rPr>
        <w:t>.</w:t>
      </w:r>
      <w:r w:rsidRPr="00DB2307">
        <w:rPr>
          <w:rFonts w:ascii="Cambria" w:hAnsi="Cambria"/>
          <w:sz w:val="20"/>
          <w:szCs w:val="20"/>
        </w:rPr>
        <w:t xml:space="preserve"> </w:t>
      </w:r>
    </w:p>
    <w:p w14:paraId="6708582B" w14:textId="6A54634C" w:rsidR="00DB2307" w:rsidRPr="00DB2307" w:rsidRDefault="00DB2307" w:rsidP="00DB2307">
      <w:pPr>
        <w:rPr>
          <w:rFonts w:ascii="Cambria" w:hAnsi="Cambria"/>
          <w:sz w:val="20"/>
          <w:szCs w:val="20"/>
          <w:lang w:val="fr-FR"/>
        </w:rPr>
      </w:pPr>
      <w:r w:rsidRPr="00DB2307">
        <w:rPr>
          <w:rFonts w:ascii="Cambria" w:hAnsi="Cambria"/>
          <w:sz w:val="20"/>
          <w:szCs w:val="20"/>
          <w:lang w:val="fr-FR"/>
        </w:rPr>
        <w:t>Le présent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contrôle de la mise en oeuvre des mesures s'appliquant aux requins, incluant les révisons, ayant été reçues après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de : </w:t>
      </w:r>
      <w:r w:rsidR="00370557">
        <w:rPr>
          <w:rFonts w:ascii="Cambria" w:hAnsi="Cambria"/>
          <w:sz w:val="20"/>
          <w:szCs w:val="20"/>
          <w:lang w:val="fr-FR"/>
        </w:rPr>
        <w:t>Sénégal</w:t>
      </w:r>
      <w:r w:rsidRPr="00E66DA2">
        <w:rPr>
          <w:rFonts w:ascii="Cambria" w:hAnsi="Cambria"/>
          <w:sz w:val="20"/>
          <w:szCs w:val="20"/>
          <w:lang w:val="fr-FR"/>
        </w:rPr>
        <w:t>.</w:t>
      </w:r>
    </w:p>
    <w:p w14:paraId="1E89CD00" w14:textId="7E21FD55" w:rsidR="00963363" w:rsidRDefault="00DB2307" w:rsidP="00DB2307">
      <w:pPr>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tiburones, incluidas las revisiones, recibidas después del 17 de octubre de 2025, de: </w:t>
      </w:r>
      <w:r w:rsidR="00370557">
        <w:rPr>
          <w:rFonts w:ascii="Cambria" w:hAnsi="Cambria"/>
          <w:sz w:val="20"/>
          <w:szCs w:val="20"/>
          <w:lang w:val="es-ES"/>
        </w:rPr>
        <w:t>Senegal</w:t>
      </w:r>
      <w:r w:rsidRPr="00E66DA2">
        <w:rPr>
          <w:rFonts w:ascii="Cambria" w:hAnsi="Cambria"/>
          <w:sz w:val="20"/>
          <w:szCs w:val="20"/>
          <w:lang w:val="es-ES"/>
        </w:rPr>
        <w:t>.</w:t>
      </w:r>
    </w:p>
    <w:p w14:paraId="20BE14D5" w14:textId="3731F7D6" w:rsidR="00E66DA2" w:rsidRDefault="00E66DA2">
      <w:pPr>
        <w:rPr>
          <w:rFonts w:ascii="Cambria" w:hAnsi="Cambria"/>
          <w:sz w:val="20"/>
          <w:szCs w:val="20"/>
          <w:lang w:val="es-ES"/>
        </w:rPr>
      </w:pPr>
      <w:r>
        <w:rPr>
          <w:rFonts w:ascii="Cambria" w:hAnsi="Cambria"/>
          <w:sz w:val="20"/>
          <w:szCs w:val="20"/>
          <w:lang w:val="es-ES"/>
        </w:rPr>
        <w:br w:type="page"/>
      </w:r>
    </w:p>
    <w:p w14:paraId="092FECE9" w14:textId="77777777" w:rsidR="00945C39" w:rsidRPr="00945C39" w:rsidRDefault="00945C39" w:rsidP="00945C39">
      <w:pPr>
        <w:ind w:left="-284"/>
        <w:jc w:val="center"/>
        <w:rPr>
          <w:rFonts w:cs="Times New Roman"/>
          <w:b/>
          <w:sz w:val="22"/>
          <w:szCs w:val="22"/>
          <w:lang w:val="fr-FR"/>
        </w:rPr>
      </w:pPr>
      <w:r w:rsidRPr="00945C39">
        <w:rPr>
          <w:b/>
          <w:sz w:val="22"/>
          <w:szCs w:val="22"/>
          <w:lang w:val="fr-FR"/>
        </w:rPr>
        <w:lastRenderedPageBreak/>
        <w:t>Feuille de contrôle de la mise en œuvre des mesures s'appliquant aux requins</w:t>
      </w:r>
    </w:p>
    <w:p w14:paraId="0EA0691C" w14:textId="77777777" w:rsidR="00945C39" w:rsidRPr="00945C39" w:rsidRDefault="00945C39" w:rsidP="00945C39">
      <w:pPr>
        <w:ind w:left="-284"/>
        <w:jc w:val="center"/>
        <w:rPr>
          <w:rFonts w:cs="Times New Roman"/>
          <w:b/>
          <w:sz w:val="20"/>
          <w:szCs w:val="20"/>
          <w:lang w:val="fr-FR"/>
        </w:rPr>
      </w:pPr>
    </w:p>
    <w:p w14:paraId="3AED0F12" w14:textId="77777777" w:rsidR="00945C39" w:rsidRPr="00945C39" w:rsidRDefault="00945C39" w:rsidP="00945C39">
      <w:pPr>
        <w:ind w:left="-634" w:right="-547"/>
        <w:rPr>
          <w:b/>
          <w:sz w:val="20"/>
          <w:szCs w:val="20"/>
          <w:lang w:val="fr-FR"/>
        </w:rPr>
      </w:pPr>
      <w:r w:rsidRPr="00945C39">
        <w:rPr>
          <w:b/>
          <w:sz w:val="20"/>
          <w:szCs w:val="20"/>
          <w:lang w:val="fr-FR"/>
        </w:rPr>
        <w:t>Nom de la CPC : SÉNÉGAL (2025)</w:t>
      </w:r>
    </w:p>
    <w:p w14:paraId="3367EC59" w14:textId="77777777" w:rsidR="00945C39" w:rsidRPr="00945C39" w:rsidRDefault="00945C39" w:rsidP="00945C39">
      <w:pPr>
        <w:ind w:left="-634" w:right="-547"/>
        <w:rPr>
          <w:rFonts w:cs="Times New Roman"/>
          <w:b/>
          <w:sz w:val="20"/>
          <w:szCs w:val="20"/>
          <w:lang w:val="fr-FR"/>
        </w:rPr>
      </w:pPr>
    </w:p>
    <w:p w14:paraId="34E2DEC3" w14:textId="77777777" w:rsidR="00945C39" w:rsidRPr="00945C39" w:rsidRDefault="00945C39" w:rsidP="00945C39">
      <w:pPr>
        <w:ind w:left="-634" w:right="-547"/>
        <w:jc w:val="both"/>
        <w:rPr>
          <w:rFonts w:eastAsia="Times New Roman" w:cs="Calibri"/>
          <w:b/>
          <w:bCs/>
          <w:sz w:val="20"/>
          <w:szCs w:val="20"/>
          <w:lang w:val="fr-FR"/>
        </w:rPr>
      </w:pPr>
      <w:r w:rsidRPr="00945C39">
        <w:rPr>
          <w:b/>
          <w:bCs/>
          <w:sz w:val="20"/>
          <w:szCs w:val="20"/>
          <w:lang w:val="fr-FR"/>
        </w:rPr>
        <w:t>Remarque</w:t>
      </w:r>
      <w:r w:rsidRPr="00945C39">
        <w:rPr>
          <w:sz w:val="20"/>
          <w:szCs w:val="20"/>
          <w:lang w:val="fr-FR"/>
        </w:rPr>
        <w:t xml:space="preserve"> : Chaque exigence de l'ICCAT doit être mise en œuvre d’une manière juridiquement contraignante. Se limiter à demander aux pêcheurs de mettre en œuvre les mesures ne doit pas être considéré comme une mise en œuvre,</w:t>
      </w:r>
      <w:r w:rsidRPr="00945C39">
        <w:rPr>
          <w:b/>
          <w:sz w:val="20"/>
          <w:szCs w:val="20"/>
          <w:lang w:val="fr-FR"/>
        </w:rPr>
        <w:t xml:space="preserve"> </w:t>
      </w:r>
      <w:bookmarkStart w:id="0" w:name="_Hlk131580518"/>
      <w:r w:rsidRPr="00945C39">
        <w:rPr>
          <w:b/>
          <w:sz w:val="20"/>
          <w:szCs w:val="20"/>
          <w:lang w:val="fr-FR"/>
        </w:rPr>
        <w:t>sauf lorsque la disposition de l'ICCAT est non contraignante.</w:t>
      </w:r>
    </w:p>
    <w:p w14:paraId="7E889CCD" w14:textId="77777777" w:rsidR="00945C39" w:rsidRPr="00945C39" w:rsidRDefault="00945C39" w:rsidP="00945C39">
      <w:pPr>
        <w:ind w:left="-634" w:right="-547"/>
        <w:jc w:val="both"/>
        <w:rPr>
          <w:rFonts w:eastAsia="Times New Roman" w:cs="Calibri"/>
          <w:b/>
          <w:bCs/>
          <w:sz w:val="20"/>
          <w:szCs w:val="20"/>
          <w:lang w:val="fr-FR"/>
        </w:rPr>
      </w:pPr>
    </w:p>
    <w:p w14:paraId="59F46CFE" w14:textId="77777777" w:rsidR="00945C39" w:rsidRPr="00945C39" w:rsidRDefault="00945C39" w:rsidP="00945C39">
      <w:pPr>
        <w:ind w:left="-634" w:right="-547"/>
        <w:jc w:val="both"/>
        <w:rPr>
          <w:b/>
          <w:bCs/>
          <w:sz w:val="20"/>
          <w:szCs w:val="20"/>
          <w:lang w:val="fr-FR"/>
        </w:rPr>
      </w:pPr>
      <w:r w:rsidRPr="00945C39">
        <w:rPr>
          <w:b/>
          <w:bCs/>
          <w:sz w:val="20"/>
          <w:szCs w:val="20"/>
          <w:lang w:val="fr-FR"/>
        </w:rPr>
        <w:t xml:space="preserve">Il est à noter que la mention « non applicable » ou « N/A » ne </w:t>
      </w:r>
      <w:bookmarkEnd w:id="0"/>
      <w:r w:rsidRPr="00945C39">
        <w:rPr>
          <w:b/>
          <w:bCs/>
          <w:sz w:val="20"/>
          <w:szCs w:val="20"/>
          <w:lang w:val="fr-FR"/>
        </w:rPr>
        <w:t>peut être utilisée comme réponse que si elle est proposée comme option dans la colonne État de mise en œuvre.</w:t>
      </w:r>
    </w:p>
    <w:p w14:paraId="11062451" w14:textId="77777777" w:rsidR="00945C39" w:rsidRPr="00945C39" w:rsidRDefault="00945C39" w:rsidP="00945C39">
      <w:pPr>
        <w:ind w:left="-634" w:right="-547"/>
        <w:jc w:val="both"/>
        <w:rPr>
          <w:rFonts w:eastAsia="Times New Roman" w:cs="Calibri"/>
          <w:sz w:val="20"/>
          <w:szCs w:val="20"/>
          <w:lang w:val="fr-FR"/>
        </w:rPr>
      </w:pPr>
    </w:p>
    <w:tbl>
      <w:tblPr>
        <w:tblW w:w="11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15"/>
        <w:gridCol w:w="1165"/>
        <w:gridCol w:w="2666"/>
        <w:gridCol w:w="1566"/>
        <w:gridCol w:w="1618"/>
        <w:gridCol w:w="2041"/>
      </w:tblGrid>
      <w:tr w:rsidR="00945C39" w:rsidRPr="00C469EA" w14:paraId="50BCF9B7" w14:textId="77777777" w:rsidTr="00112EB2">
        <w:trPr>
          <w:trHeight w:val="36"/>
          <w:tblHeader/>
          <w:jc w:val="center"/>
        </w:trPr>
        <w:tc>
          <w:tcPr>
            <w:tcW w:w="1255" w:type="dxa"/>
            <w:tcBorders>
              <w:bottom w:val="single" w:sz="12" w:space="0" w:color="auto"/>
            </w:tcBorders>
            <w:shd w:val="clear" w:color="auto" w:fill="F2F2F2" w:themeFill="background1" w:themeFillShade="F2"/>
            <w:noWrap/>
            <w:vAlign w:val="center"/>
            <w:hideMark/>
          </w:tcPr>
          <w:p w14:paraId="33ABFB50" w14:textId="77777777" w:rsidR="00945C39" w:rsidRPr="00C469EA" w:rsidRDefault="00945C39" w:rsidP="00112EB2">
            <w:pPr>
              <w:jc w:val="center"/>
              <w:rPr>
                <w:rFonts w:eastAsia="Times New Roman" w:cs="Calibri"/>
                <w:b/>
                <w:bCs/>
                <w:iCs/>
                <w:sz w:val="16"/>
                <w:szCs w:val="16"/>
              </w:rPr>
            </w:pPr>
            <w:r w:rsidRPr="000632D8">
              <w:rPr>
                <w:rFonts w:ascii="Cambria" w:hAnsi="Cambria"/>
                <w:b/>
                <w:i/>
                <w:sz w:val="16"/>
                <w:szCs w:val="16"/>
              </w:rPr>
              <w:t>Nº Rec.</w:t>
            </w:r>
          </w:p>
        </w:tc>
        <w:tc>
          <w:tcPr>
            <w:tcW w:w="815" w:type="dxa"/>
            <w:tcBorders>
              <w:bottom w:val="single" w:sz="12" w:space="0" w:color="auto"/>
            </w:tcBorders>
            <w:shd w:val="clear" w:color="auto" w:fill="F2F2F2" w:themeFill="background1" w:themeFillShade="F2"/>
            <w:noWrap/>
            <w:vAlign w:val="center"/>
            <w:hideMark/>
          </w:tcPr>
          <w:p w14:paraId="67D4F544" w14:textId="77777777" w:rsidR="00945C39" w:rsidRPr="00C469EA" w:rsidRDefault="00945C39" w:rsidP="00112EB2">
            <w:pPr>
              <w:jc w:val="center"/>
              <w:rPr>
                <w:rFonts w:eastAsia="Times New Roman" w:cs="Calibri"/>
                <w:b/>
                <w:bCs/>
                <w:iCs/>
                <w:sz w:val="16"/>
                <w:szCs w:val="16"/>
              </w:rPr>
            </w:pPr>
            <w:r w:rsidRPr="000632D8">
              <w:rPr>
                <w:rFonts w:ascii="Cambria" w:hAnsi="Cambria"/>
                <w:b/>
                <w:i/>
                <w:sz w:val="16"/>
                <w:szCs w:val="16"/>
              </w:rPr>
              <w:t>Nº du para</w:t>
            </w:r>
          </w:p>
        </w:tc>
        <w:tc>
          <w:tcPr>
            <w:tcW w:w="1165" w:type="dxa"/>
            <w:tcBorders>
              <w:bottom w:val="single" w:sz="12" w:space="0" w:color="auto"/>
            </w:tcBorders>
            <w:shd w:val="clear" w:color="auto" w:fill="F2F2F2" w:themeFill="background1" w:themeFillShade="F2"/>
            <w:vAlign w:val="center"/>
          </w:tcPr>
          <w:p w14:paraId="6FD21D4C" w14:textId="77777777" w:rsidR="00945C39" w:rsidRPr="00C469EA" w:rsidRDefault="00945C39" w:rsidP="00112EB2">
            <w:pPr>
              <w:jc w:val="center"/>
              <w:rPr>
                <w:rFonts w:eastAsia="Times New Roman" w:cs="Calibri"/>
                <w:b/>
                <w:bCs/>
                <w:iCs/>
                <w:sz w:val="16"/>
                <w:szCs w:val="16"/>
              </w:rPr>
            </w:pPr>
            <w:r w:rsidRPr="000632D8">
              <w:rPr>
                <w:rFonts w:ascii="Cambria" w:hAnsi="Cambria"/>
                <w:b/>
                <w:i/>
                <w:sz w:val="16"/>
                <w:szCs w:val="16"/>
              </w:rPr>
              <w:t>Avant</w:t>
            </w:r>
          </w:p>
        </w:tc>
        <w:tc>
          <w:tcPr>
            <w:tcW w:w="2666" w:type="dxa"/>
            <w:tcBorders>
              <w:bottom w:val="single" w:sz="12" w:space="0" w:color="auto"/>
            </w:tcBorders>
            <w:shd w:val="clear" w:color="auto" w:fill="F2F2F2" w:themeFill="background1" w:themeFillShade="F2"/>
            <w:noWrap/>
            <w:vAlign w:val="center"/>
            <w:hideMark/>
          </w:tcPr>
          <w:p w14:paraId="6ABAE684" w14:textId="77777777" w:rsidR="00945C39" w:rsidRPr="00C469EA" w:rsidRDefault="00945C39" w:rsidP="00112EB2">
            <w:pPr>
              <w:jc w:val="center"/>
              <w:rPr>
                <w:rFonts w:eastAsia="Times New Roman" w:cs="Calibri"/>
                <w:b/>
                <w:bCs/>
                <w:iCs/>
                <w:sz w:val="16"/>
                <w:szCs w:val="16"/>
              </w:rPr>
            </w:pPr>
            <w:r w:rsidRPr="00C469EA">
              <w:rPr>
                <w:rFonts w:ascii="Cambria" w:hAnsi="Cambria"/>
                <w:b/>
                <w:i/>
                <w:sz w:val="16"/>
                <w:szCs w:val="16"/>
              </w:rPr>
              <w:t>Exigence</w:t>
            </w:r>
          </w:p>
        </w:tc>
        <w:tc>
          <w:tcPr>
            <w:tcW w:w="1566" w:type="dxa"/>
            <w:tcBorders>
              <w:bottom w:val="single" w:sz="12" w:space="0" w:color="auto"/>
            </w:tcBorders>
            <w:shd w:val="clear" w:color="auto" w:fill="F2F2F2" w:themeFill="background1" w:themeFillShade="F2"/>
            <w:vAlign w:val="center"/>
            <w:hideMark/>
          </w:tcPr>
          <w:p w14:paraId="1F2A442D" w14:textId="77777777" w:rsidR="00945C39" w:rsidRPr="00945C39" w:rsidRDefault="00945C39" w:rsidP="00112EB2">
            <w:pPr>
              <w:jc w:val="center"/>
              <w:rPr>
                <w:rFonts w:eastAsia="Times New Roman" w:cs="Calibri"/>
                <w:b/>
                <w:bCs/>
                <w:iCs/>
                <w:sz w:val="16"/>
                <w:szCs w:val="16"/>
                <w:lang w:val="fr-FR"/>
              </w:rPr>
            </w:pPr>
            <w:r w:rsidRPr="00945C39">
              <w:rPr>
                <w:rFonts w:ascii="Cambria" w:hAnsi="Cambria"/>
                <w:b/>
                <w:i/>
                <w:sz w:val="16"/>
                <w:szCs w:val="16"/>
                <w:lang w:val="fr-FR"/>
              </w:rPr>
              <w:t>État de mise en œuvre</w:t>
            </w:r>
          </w:p>
        </w:tc>
        <w:tc>
          <w:tcPr>
            <w:tcW w:w="1618" w:type="dxa"/>
            <w:tcBorders>
              <w:bottom w:val="single" w:sz="12" w:space="0" w:color="auto"/>
            </w:tcBorders>
            <w:shd w:val="clear" w:color="auto" w:fill="F2F2F2" w:themeFill="background1" w:themeFillShade="F2"/>
            <w:vAlign w:val="center"/>
          </w:tcPr>
          <w:p w14:paraId="33862D3E" w14:textId="77777777" w:rsidR="00945C39" w:rsidRPr="00945C39" w:rsidRDefault="00945C39" w:rsidP="00112EB2">
            <w:pPr>
              <w:jc w:val="center"/>
              <w:rPr>
                <w:b/>
                <w:i/>
                <w:sz w:val="16"/>
                <w:szCs w:val="16"/>
                <w:lang w:val="fr-FR"/>
              </w:rPr>
            </w:pPr>
            <w:r w:rsidRPr="00945C39">
              <w:rPr>
                <w:rFonts w:ascii="Cambria" w:hAnsi="Cambria"/>
                <w:b/>
                <w:i/>
                <w:sz w:val="16"/>
                <w:szCs w:val="16"/>
                <w:lang w:val="fr-FR"/>
              </w:rPr>
              <w:t>Lois ou réglementations nationales pertinentes (Le cas échéant, inclure texte, références ou liens vers l'endroit où cette information est codifiée)</w:t>
            </w:r>
          </w:p>
        </w:tc>
        <w:tc>
          <w:tcPr>
            <w:tcW w:w="2041" w:type="dxa"/>
            <w:tcBorders>
              <w:bottom w:val="single" w:sz="12" w:space="0" w:color="auto"/>
            </w:tcBorders>
            <w:shd w:val="clear" w:color="auto" w:fill="F2F2F2" w:themeFill="background1" w:themeFillShade="F2"/>
            <w:vAlign w:val="center"/>
            <w:hideMark/>
          </w:tcPr>
          <w:p w14:paraId="3D827485" w14:textId="77777777" w:rsidR="00945C39" w:rsidRPr="00C469EA" w:rsidRDefault="00945C39" w:rsidP="00112EB2">
            <w:pPr>
              <w:jc w:val="center"/>
              <w:rPr>
                <w:rFonts w:eastAsia="Times New Roman" w:cs="Calibri"/>
                <w:b/>
                <w:bCs/>
                <w:iCs/>
                <w:sz w:val="16"/>
                <w:szCs w:val="16"/>
              </w:rPr>
            </w:pPr>
            <w:r w:rsidRPr="00C469EA">
              <w:rPr>
                <w:rFonts w:ascii="Cambria" w:hAnsi="Cambria"/>
                <w:b/>
                <w:i/>
                <w:sz w:val="16"/>
                <w:szCs w:val="16"/>
              </w:rPr>
              <w:t>Note</w:t>
            </w:r>
          </w:p>
        </w:tc>
      </w:tr>
      <w:tr w:rsidR="00945C39" w:rsidRPr="00C469EA" w14:paraId="26245E7E" w14:textId="77777777" w:rsidTr="00112EB2">
        <w:trPr>
          <w:trHeight w:val="57"/>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CC4D4CB"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TOUS LES REQUINS</w:t>
            </w:r>
          </w:p>
        </w:tc>
      </w:tr>
      <w:tr w:rsidR="00945C39" w:rsidRPr="00C469EA" w14:paraId="5F1C7519" w14:textId="77777777" w:rsidTr="00112EB2">
        <w:trPr>
          <w:trHeight w:val="57"/>
          <w:jc w:val="center"/>
        </w:trPr>
        <w:tc>
          <w:tcPr>
            <w:tcW w:w="1255" w:type="dxa"/>
            <w:tcBorders>
              <w:top w:val="single" w:sz="12" w:space="0" w:color="auto"/>
            </w:tcBorders>
            <w:noWrap/>
            <w:vAlign w:val="center"/>
            <w:hideMark/>
          </w:tcPr>
          <w:p w14:paraId="5C49CD3B" w14:textId="77777777" w:rsidR="00945C39" w:rsidRPr="000632D8" w:rsidRDefault="00945C39" w:rsidP="00112EB2">
            <w:pPr>
              <w:ind w:left="-107"/>
              <w:jc w:val="center"/>
              <w:rPr>
                <w:rFonts w:ascii="Cambria" w:hAnsi="Cambria"/>
                <w:b/>
                <w:bCs/>
                <w:sz w:val="18"/>
                <w:szCs w:val="18"/>
              </w:rPr>
            </w:pPr>
            <w:r w:rsidRPr="000632D8">
              <w:rPr>
                <w:rFonts w:ascii="Cambria" w:hAnsi="Cambria"/>
                <w:b/>
                <w:sz w:val="18"/>
                <w:szCs w:val="18"/>
              </w:rPr>
              <w:t>04-10</w:t>
            </w:r>
          </w:p>
          <w:p w14:paraId="165338E3" w14:textId="77777777" w:rsidR="00945C39" w:rsidRPr="000632D8" w:rsidRDefault="00945C39" w:rsidP="00112EB2">
            <w:pPr>
              <w:ind w:left="-107"/>
              <w:jc w:val="center"/>
              <w:rPr>
                <w:rFonts w:ascii="Cambria" w:hAnsi="Cambria"/>
                <w:b/>
                <w:bCs/>
                <w:sz w:val="18"/>
                <w:szCs w:val="18"/>
              </w:rPr>
            </w:pPr>
          </w:p>
          <w:p w14:paraId="11BA17E3" w14:textId="77777777" w:rsidR="00945C39" w:rsidRPr="00C469EA" w:rsidRDefault="00945C39" w:rsidP="00112EB2">
            <w:pPr>
              <w:jc w:val="center"/>
              <w:rPr>
                <w:rFonts w:eastAsia="Times New Roman" w:cs="Times New Roman"/>
                <w:sz w:val="18"/>
                <w:szCs w:val="18"/>
              </w:rPr>
            </w:pPr>
            <w:r w:rsidRPr="000632D8">
              <w:rPr>
                <w:rFonts w:ascii="Cambria" w:hAnsi="Cambria"/>
                <w:b/>
                <w:sz w:val="18"/>
                <w:szCs w:val="18"/>
              </w:rPr>
              <w:t>(Tous les requins)</w:t>
            </w:r>
          </w:p>
        </w:tc>
        <w:tc>
          <w:tcPr>
            <w:tcW w:w="815" w:type="dxa"/>
            <w:tcBorders>
              <w:top w:val="single" w:sz="12" w:space="0" w:color="auto"/>
            </w:tcBorders>
            <w:noWrap/>
            <w:vAlign w:val="center"/>
            <w:hideMark/>
          </w:tcPr>
          <w:p w14:paraId="2B331484"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w:t>
            </w:r>
          </w:p>
        </w:tc>
        <w:tc>
          <w:tcPr>
            <w:tcW w:w="1165" w:type="dxa"/>
            <w:tcBorders>
              <w:top w:val="single" w:sz="12" w:space="0" w:color="auto"/>
            </w:tcBorders>
            <w:vAlign w:val="center"/>
          </w:tcPr>
          <w:p w14:paraId="61A6D681"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12" w:space="0" w:color="auto"/>
            </w:tcBorders>
            <w:vAlign w:val="center"/>
            <w:hideMark/>
          </w:tcPr>
          <w:p w14:paraId="588008CD"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Parties contractantes et les Parties, Entités ou Entités de pêche non contractantes coopérantes (CPC) devront déclarer, chaque année, les données de tâche 1 et de tâche 2 pour les prises de </w:t>
            </w:r>
            <w:r w:rsidRPr="00945C39">
              <w:rPr>
                <w:b/>
                <w:bCs/>
                <w:sz w:val="18"/>
                <w:szCs w:val="18"/>
                <w:lang w:val="fr-FR"/>
              </w:rPr>
              <w:t>requins</w:t>
            </w:r>
            <w:r w:rsidRPr="00945C39">
              <w:rPr>
                <w:sz w:val="18"/>
                <w:szCs w:val="18"/>
                <w:lang w:val="fr-FR"/>
              </w:rPr>
              <w:t>, conformément aux procédures de soumission de données de l'ICCAT, y compris les données historiques disponibles.</w:t>
            </w:r>
          </w:p>
        </w:tc>
        <w:tc>
          <w:tcPr>
            <w:tcW w:w="1566" w:type="dxa"/>
            <w:tcBorders>
              <w:top w:val="single" w:sz="12" w:space="0" w:color="auto"/>
            </w:tcBorders>
            <w:vAlign w:val="center"/>
            <w:hideMark/>
          </w:tcPr>
          <w:p w14:paraId="42DE7691"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12" w:space="0" w:color="auto"/>
            </w:tcBorders>
          </w:tcPr>
          <w:p w14:paraId="6B776733"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 transposant toute les recommandations de l’ICCAT en vigueur concernant les raies et les requins.</w:t>
            </w:r>
          </w:p>
        </w:tc>
        <w:tc>
          <w:tcPr>
            <w:tcW w:w="2041" w:type="dxa"/>
            <w:tcBorders>
              <w:top w:val="single" w:sz="12" w:space="0" w:color="auto"/>
            </w:tcBorders>
            <w:vAlign w:val="center"/>
            <w:hideMark/>
          </w:tcPr>
          <w:p w14:paraId="5EBEF727" w14:textId="77777777" w:rsidR="00945C39" w:rsidRPr="00C469EA" w:rsidRDefault="00945C39" w:rsidP="00112EB2">
            <w:pPr>
              <w:jc w:val="both"/>
              <w:rPr>
                <w:sz w:val="18"/>
                <w:szCs w:val="18"/>
              </w:rPr>
            </w:pPr>
            <w:r w:rsidRPr="00C469EA">
              <w:rPr>
                <w:sz w:val="18"/>
                <w:szCs w:val="18"/>
              </w:rPr>
              <w:t>04/08/2023</w:t>
            </w:r>
          </w:p>
        </w:tc>
      </w:tr>
      <w:tr w:rsidR="00945C39" w:rsidRPr="00C469EA" w14:paraId="5F5BC06C" w14:textId="77777777" w:rsidTr="00112EB2">
        <w:trPr>
          <w:trHeight w:val="57"/>
          <w:jc w:val="center"/>
        </w:trPr>
        <w:tc>
          <w:tcPr>
            <w:tcW w:w="1255" w:type="dxa"/>
            <w:noWrap/>
            <w:vAlign w:val="center"/>
            <w:hideMark/>
          </w:tcPr>
          <w:p w14:paraId="61C5296E" w14:textId="77777777" w:rsidR="00945C39" w:rsidRPr="000632D8" w:rsidRDefault="00945C39" w:rsidP="00112EB2">
            <w:pPr>
              <w:ind w:left="-107"/>
              <w:jc w:val="center"/>
              <w:rPr>
                <w:rFonts w:ascii="Cambria" w:hAnsi="Cambria"/>
                <w:b/>
                <w:bCs/>
                <w:sz w:val="18"/>
                <w:szCs w:val="18"/>
              </w:rPr>
            </w:pPr>
            <w:r w:rsidRPr="000632D8">
              <w:rPr>
                <w:rFonts w:ascii="Cambria" w:hAnsi="Cambria"/>
                <w:b/>
                <w:sz w:val="18"/>
                <w:szCs w:val="18"/>
              </w:rPr>
              <w:t>04-10</w:t>
            </w:r>
          </w:p>
          <w:p w14:paraId="63D349A2" w14:textId="77777777" w:rsidR="00945C39" w:rsidRPr="000632D8" w:rsidRDefault="00945C39" w:rsidP="00112EB2">
            <w:pPr>
              <w:ind w:left="-107"/>
              <w:jc w:val="center"/>
              <w:rPr>
                <w:rFonts w:ascii="Cambria" w:hAnsi="Cambria"/>
                <w:b/>
                <w:bCs/>
                <w:sz w:val="18"/>
                <w:szCs w:val="18"/>
              </w:rPr>
            </w:pPr>
          </w:p>
          <w:p w14:paraId="3BBCC28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(Tous les requins)</w:t>
            </w:r>
          </w:p>
        </w:tc>
        <w:tc>
          <w:tcPr>
            <w:tcW w:w="815" w:type="dxa"/>
            <w:noWrap/>
            <w:vAlign w:val="center"/>
            <w:hideMark/>
          </w:tcPr>
          <w:p w14:paraId="537FF72E"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 xml:space="preserve">2 </w:t>
            </w:r>
          </w:p>
        </w:tc>
        <w:tc>
          <w:tcPr>
            <w:tcW w:w="1165" w:type="dxa"/>
            <w:vAlign w:val="center"/>
          </w:tcPr>
          <w:p w14:paraId="6F3A91C0"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34F65E20"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CPC devront prendre les mesures nécessaires afin de demander à leurs pêcheurs d’utiliser intégralement la totalité de leurs prises de </w:t>
            </w:r>
            <w:r w:rsidRPr="00945C39">
              <w:rPr>
                <w:b/>
                <w:bCs/>
                <w:sz w:val="18"/>
                <w:szCs w:val="18"/>
                <w:lang w:val="fr-FR"/>
              </w:rPr>
              <w:lastRenderedPageBreak/>
              <w:t>requins</w:t>
            </w:r>
            <w:r w:rsidRPr="00945C39">
              <w:rPr>
                <w:sz w:val="18"/>
                <w:szCs w:val="18"/>
                <w:lang w:val="fr-FR"/>
              </w:rPr>
              <w:t>. L’utilisation intégrale est définie comme la rétention par le navire de pêche de toutes les parties du requin, à l’exception de la tête, des viscères et des peaux, jusqu’au premier point de débarquement.</w:t>
            </w:r>
          </w:p>
        </w:tc>
        <w:tc>
          <w:tcPr>
            <w:tcW w:w="1566" w:type="dxa"/>
            <w:vAlign w:val="center"/>
            <w:hideMark/>
          </w:tcPr>
          <w:p w14:paraId="6A85B056" w14:textId="77777777" w:rsidR="00945C39" w:rsidRPr="00C469EA" w:rsidRDefault="00945C39" w:rsidP="00112EB2">
            <w:pPr>
              <w:jc w:val="both"/>
              <w:rPr>
                <w:rFonts w:eastAsia="Times New Roman" w:cs="Calibri"/>
                <w:sz w:val="18"/>
                <w:szCs w:val="18"/>
              </w:rPr>
            </w:pPr>
            <w:r w:rsidRPr="00C469EA">
              <w:rPr>
                <w:sz w:val="18"/>
                <w:szCs w:val="18"/>
              </w:rPr>
              <w:lastRenderedPageBreak/>
              <w:t xml:space="preserve">Non </w:t>
            </w:r>
          </w:p>
        </w:tc>
        <w:tc>
          <w:tcPr>
            <w:tcW w:w="1618" w:type="dxa"/>
          </w:tcPr>
          <w:p w14:paraId="25CAD4B8" w14:textId="77777777" w:rsidR="00945C39" w:rsidRPr="00C469EA" w:rsidRDefault="00945C39" w:rsidP="00112EB2">
            <w:pPr>
              <w:jc w:val="both"/>
              <w:rPr>
                <w:rFonts w:eastAsia="Times New Roman" w:cs="Calibri"/>
                <w:sz w:val="18"/>
                <w:szCs w:val="18"/>
              </w:rPr>
            </w:pPr>
          </w:p>
        </w:tc>
        <w:tc>
          <w:tcPr>
            <w:tcW w:w="2041" w:type="dxa"/>
            <w:vAlign w:val="center"/>
            <w:hideMark/>
          </w:tcPr>
          <w:p w14:paraId="714F6BE2" w14:textId="77777777" w:rsidR="00945C39" w:rsidRDefault="00945C39" w:rsidP="00112EB2">
            <w:pPr>
              <w:jc w:val="both"/>
              <w:rPr>
                <w:sz w:val="18"/>
                <w:szCs w:val="18"/>
              </w:rPr>
            </w:pPr>
          </w:p>
          <w:p w14:paraId="0EEAC387" w14:textId="77777777" w:rsidR="00945C39" w:rsidRPr="00C469EA" w:rsidRDefault="00945C39" w:rsidP="00112EB2">
            <w:pPr>
              <w:jc w:val="both"/>
              <w:rPr>
                <w:sz w:val="18"/>
                <w:szCs w:val="18"/>
              </w:rPr>
            </w:pPr>
            <w:r>
              <w:rPr>
                <w:sz w:val="18"/>
                <w:szCs w:val="18"/>
              </w:rPr>
              <w:t>Disposition transposée</w:t>
            </w:r>
          </w:p>
        </w:tc>
      </w:tr>
      <w:tr w:rsidR="00945C39" w:rsidRPr="00C469EA" w14:paraId="0618E8F9" w14:textId="77777777" w:rsidTr="00112EB2">
        <w:trPr>
          <w:trHeight w:val="43"/>
          <w:jc w:val="center"/>
        </w:trPr>
        <w:tc>
          <w:tcPr>
            <w:tcW w:w="1255" w:type="dxa"/>
            <w:tcBorders>
              <w:bottom w:val="single" w:sz="4" w:space="0" w:color="auto"/>
            </w:tcBorders>
            <w:noWrap/>
            <w:vAlign w:val="center"/>
            <w:hideMark/>
          </w:tcPr>
          <w:p w14:paraId="5DF1D9C8" w14:textId="77777777" w:rsidR="00945C39" w:rsidRPr="000632D8" w:rsidRDefault="00945C39" w:rsidP="00112EB2">
            <w:pPr>
              <w:ind w:left="-107"/>
              <w:jc w:val="center"/>
              <w:rPr>
                <w:rFonts w:ascii="Cambria" w:hAnsi="Cambria"/>
                <w:b/>
                <w:bCs/>
                <w:sz w:val="18"/>
                <w:szCs w:val="18"/>
              </w:rPr>
            </w:pPr>
            <w:r w:rsidRPr="000632D8">
              <w:rPr>
                <w:rFonts w:ascii="Cambria" w:hAnsi="Cambria"/>
                <w:b/>
                <w:sz w:val="18"/>
                <w:szCs w:val="18"/>
              </w:rPr>
              <w:t>04-10</w:t>
            </w:r>
          </w:p>
          <w:p w14:paraId="223CB2BD" w14:textId="77777777" w:rsidR="00945C39" w:rsidRPr="000632D8" w:rsidRDefault="00945C39" w:rsidP="00112EB2">
            <w:pPr>
              <w:ind w:left="-107"/>
              <w:jc w:val="center"/>
              <w:rPr>
                <w:rFonts w:ascii="Cambria" w:hAnsi="Cambria"/>
                <w:b/>
                <w:bCs/>
                <w:sz w:val="18"/>
                <w:szCs w:val="18"/>
              </w:rPr>
            </w:pPr>
          </w:p>
          <w:p w14:paraId="0DA1B16A" w14:textId="77777777" w:rsidR="00945C39" w:rsidRPr="00C469EA" w:rsidRDefault="00945C39" w:rsidP="00112EB2">
            <w:pPr>
              <w:ind w:left="-107"/>
              <w:jc w:val="center"/>
              <w:rPr>
                <w:b/>
                <w:sz w:val="18"/>
                <w:szCs w:val="18"/>
              </w:rPr>
            </w:pPr>
            <w:r w:rsidRPr="000632D8">
              <w:rPr>
                <w:rFonts w:ascii="Cambria" w:hAnsi="Cambria"/>
                <w:b/>
                <w:sz w:val="18"/>
                <w:szCs w:val="18"/>
              </w:rPr>
              <w:t>(Tous les requins)</w:t>
            </w:r>
          </w:p>
        </w:tc>
        <w:tc>
          <w:tcPr>
            <w:tcW w:w="815" w:type="dxa"/>
            <w:tcBorders>
              <w:bottom w:val="single" w:sz="4" w:space="0" w:color="auto"/>
            </w:tcBorders>
            <w:noWrap/>
            <w:vAlign w:val="center"/>
            <w:hideMark/>
          </w:tcPr>
          <w:p w14:paraId="0F1FDE31"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3</w:t>
            </w:r>
          </w:p>
        </w:tc>
        <w:tc>
          <w:tcPr>
            <w:tcW w:w="1165" w:type="dxa"/>
            <w:tcBorders>
              <w:bottom w:val="single" w:sz="4" w:space="0" w:color="auto"/>
            </w:tcBorders>
            <w:vAlign w:val="center"/>
          </w:tcPr>
          <w:p w14:paraId="549BB77F"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bottom w:val="single" w:sz="4" w:space="0" w:color="auto"/>
            </w:tcBorders>
            <w:vAlign w:val="center"/>
            <w:hideMark/>
          </w:tcPr>
          <w:p w14:paraId="74DB57BA"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(1) Les CPC devront demander à leurs navires que les ailerons qu’ils ont à bord ne dépassent pas 5% du poids des </w:t>
            </w:r>
            <w:r w:rsidRPr="00945C39">
              <w:rPr>
                <w:b/>
                <w:bCs/>
                <w:sz w:val="18"/>
                <w:szCs w:val="18"/>
                <w:lang w:val="fr-FR"/>
              </w:rPr>
              <w:t>requins</w:t>
            </w:r>
            <w:r w:rsidRPr="00945C39">
              <w:rPr>
                <w:sz w:val="18"/>
                <w:szCs w:val="18"/>
                <w:lang w:val="fr-FR"/>
              </w:rPr>
              <w:t xml:space="preserve"> retenus à bord, jusqu’au premier point de débarquement.</w:t>
            </w:r>
          </w:p>
        </w:tc>
        <w:tc>
          <w:tcPr>
            <w:tcW w:w="1566" w:type="dxa"/>
            <w:tcBorders>
              <w:bottom w:val="single" w:sz="4" w:space="0" w:color="auto"/>
            </w:tcBorders>
            <w:vAlign w:val="center"/>
            <w:hideMark/>
          </w:tcPr>
          <w:p w14:paraId="1DC17D8C" w14:textId="77777777" w:rsidR="00945C39" w:rsidRPr="00C469EA" w:rsidRDefault="00945C39" w:rsidP="00112EB2">
            <w:pPr>
              <w:jc w:val="both"/>
              <w:rPr>
                <w:rFonts w:eastAsia="Times New Roman" w:cs="Calibri"/>
                <w:sz w:val="18"/>
                <w:szCs w:val="18"/>
              </w:rPr>
            </w:pPr>
            <w:r w:rsidRPr="00C469EA">
              <w:rPr>
                <w:sz w:val="18"/>
                <w:szCs w:val="18"/>
              </w:rPr>
              <w:t xml:space="preserve">Non </w:t>
            </w:r>
          </w:p>
        </w:tc>
        <w:tc>
          <w:tcPr>
            <w:tcW w:w="1618" w:type="dxa"/>
            <w:tcBorders>
              <w:bottom w:val="single" w:sz="4" w:space="0" w:color="auto"/>
            </w:tcBorders>
          </w:tcPr>
          <w:p w14:paraId="22FA2AD2" w14:textId="77777777" w:rsidR="00945C39" w:rsidRPr="00C469EA" w:rsidRDefault="00945C39" w:rsidP="00112EB2">
            <w:pPr>
              <w:jc w:val="both"/>
              <w:rPr>
                <w:rFonts w:eastAsia="Times New Roman" w:cs="Calibri"/>
                <w:sz w:val="18"/>
                <w:szCs w:val="18"/>
              </w:rPr>
            </w:pPr>
          </w:p>
        </w:tc>
        <w:tc>
          <w:tcPr>
            <w:tcW w:w="2041" w:type="dxa"/>
            <w:tcBorders>
              <w:bottom w:val="single" w:sz="4" w:space="0" w:color="auto"/>
            </w:tcBorders>
            <w:vAlign w:val="center"/>
            <w:hideMark/>
          </w:tcPr>
          <w:p w14:paraId="72496E49" w14:textId="77777777" w:rsidR="00945C39" w:rsidRPr="00C469EA" w:rsidRDefault="00945C39" w:rsidP="00112EB2">
            <w:pPr>
              <w:jc w:val="both"/>
              <w:rPr>
                <w:rFonts w:eastAsia="Times New Roman" w:cs="Calibri"/>
                <w:sz w:val="18"/>
                <w:szCs w:val="18"/>
              </w:rPr>
            </w:pPr>
            <w:r w:rsidRPr="00C469EA">
              <w:rPr>
                <w:rFonts w:cs="Calibri"/>
                <w:sz w:val="18"/>
                <w:szCs w:val="18"/>
              </w:rPr>
              <w:t>Disposition transposée.</w:t>
            </w:r>
          </w:p>
        </w:tc>
      </w:tr>
      <w:tr w:rsidR="00945C39" w:rsidRPr="00C469EA" w14:paraId="7F3499E4" w14:textId="77777777" w:rsidTr="00112EB2">
        <w:trPr>
          <w:trHeight w:val="71"/>
          <w:jc w:val="center"/>
        </w:trPr>
        <w:tc>
          <w:tcPr>
            <w:tcW w:w="1255" w:type="dxa"/>
            <w:tcBorders>
              <w:bottom w:val="single" w:sz="4" w:space="0" w:color="auto"/>
            </w:tcBorders>
            <w:vAlign w:val="center"/>
            <w:hideMark/>
          </w:tcPr>
          <w:p w14:paraId="04AE5514" w14:textId="77777777" w:rsidR="00945C39" w:rsidRPr="000632D8" w:rsidRDefault="00945C39" w:rsidP="00112EB2">
            <w:pPr>
              <w:ind w:left="-107"/>
              <w:jc w:val="center"/>
              <w:rPr>
                <w:rFonts w:ascii="Cambria" w:hAnsi="Cambria"/>
                <w:b/>
                <w:bCs/>
                <w:sz w:val="18"/>
                <w:szCs w:val="18"/>
              </w:rPr>
            </w:pPr>
            <w:r w:rsidRPr="000632D8">
              <w:rPr>
                <w:rFonts w:ascii="Cambria" w:hAnsi="Cambria"/>
                <w:b/>
                <w:sz w:val="18"/>
                <w:szCs w:val="18"/>
              </w:rPr>
              <w:t>04-10</w:t>
            </w:r>
          </w:p>
          <w:p w14:paraId="2F0291B8" w14:textId="77777777" w:rsidR="00945C39" w:rsidRPr="000632D8" w:rsidRDefault="00945C39" w:rsidP="00112EB2">
            <w:pPr>
              <w:ind w:left="-107"/>
              <w:jc w:val="center"/>
              <w:rPr>
                <w:rFonts w:ascii="Cambria" w:hAnsi="Cambria"/>
                <w:b/>
                <w:bCs/>
                <w:sz w:val="18"/>
                <w:szCs w:val="18"/>
              </w:rPr>
            </w:pPr>
          </w:p>
          <w:p w14:paraId="109D1531" w14:textId="77777777" w:rsidR="00945C39" w:rsidRPr="00C469EA" w:rsidRDefault="00945C39" w:rsidP="00112EB2">
            <w:pPr>
              <w:ind w:left="-107"/>
              <w:jc w:val="center"/>
              <w:rPr>
                <w:b/>
                <w:sz w:val="18"/>
                <w:szCs w:val="18"/>
              </w:rPr>
            </w:pPr>
            <w:r w:rsidRPr="000632D8">
              <w:rPr>
                <w:rFonts w:ascii="Cambria" w:hAnsi="Cambria"/>
                <w:b/>
                <w:sz w:val="18"/>
                <w:szCs w:val="18"/>
              </w:rPr>
              <w:t>(Tous les requins)</w:t>
            </w:r>
          </w:p>
        </w:tc>
        <w:tc>
          <w:tcPr>
            <w:tcW w:w="815" w:type="dxa"/>
            <w:tcBorders>
              <w:bottom w:val="single" w:sz="4" w:space="0" w:color="auto"/>
            </w:tcBorders>
            <w:vAlign w:val="center"/>
            <w:hideMark/>
          </w:tcPr>
          <w:p w14:paraId="7542A801" w14:textId="77777777" w:rsidR="00945C39" w:rsidRPr="00C469EA" w:rsidRDefault="00945C39" w:rsidP="00112EB2">
            <w:pPr>
              <w:jc w:val="center"/>
              <w:rPr>
                <w:rFonts w:eastAsia="Times New Roman" w:cs="Calibri"/>
                <w:b/>
                <w:bCs/>
                <w:sz w:val="18"/>
                <w:szCs w:val="18"/>
              </w:rPr>
            </w:pPr>
            <w:r w:rsidRPr="000632D8">
              <w:rPr>
                <w:rFonts w:ascii="Cambria" w:eastAsia="Times New Roman" w:hAnsi="Cambria" w:cs="Calibri"/>
                <w:b/>
                <w:sz w:val="18"/>
                <w:szCs w:val="18"/>
              </w:rPr>
              <w:t>3</w:t>
            </w:r>
          </w:p>
        </w:tc>
        <w:tc>
          <w:tcPr>
            <w:tcW w:w="1165" w:type="dxa"/>
            <w:tcBorders>
              <w:bottom w:val="single" w:sz="4" w:space="0" w:color="auto"/>
            </w:tcBorders>
            <w:vAlign w:val="center"/>
          </w:tcPr>
          <w:p w14:paraId="193418D7"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bottom w:val="single" w:sz="4" w:space="0" w:color="auto"/>
            </w:tcBorders>
            <w:vAlign w:val="center"/>
            <w:hideMark/>
          </w:tcPr>
          <w:p w14:paraId="7EA9A7EC" w14:textId="77777777" w:rsidR="00945C39" w:rsidRPr="00945C39" w:rsidRDefault="00945C39" w:rsidP="00112EB2">
            <w:pPr>
              <w:jc w:val="both"/>
              <w:rPr>
                <w:rFonts w:eastAsia="Times New Roman" w:cs="Calibri"/>
                <w:sz w:val="18"/>
                <w:szCs w:val="18"/>
                <w:lang w:val="fr-FR"/>
              </w:rPr>
            </w:pPr>
            <w:r w:rsidRPr="00945C39">
              <w:rPr>
                <w:sz w:val="18"/>
                <w:szCs w:val="18"/>
                <w:lang w:val="fr-FR"/>
              </w:rPr>
              <w:t>(2) Les CPC qui ne demandent pas actuellement de débarquer conjointement les ailerons et les carcasses au premier point de débarquement devront prendre les mesures nécessaires afin d’assurer l’application du ratio de 5% par une certification, un suivi par un observateur ou toute autre mesure pertinente.</w:t>
            </w:r>
          </w:p>
        </w:tc>
        <w:tc>
          <w:tcPr>
            <w:tcW w:w="1566" w:type="dxa"/>
            <w:tcBorders>
              <w:bottom w:val="single" w:sz="4" w:space="0" w:color="auto"/>
            </w:tcBorders>
            <w:vAlign w:val="center"/>
            <w:hideMark/>
          </w:tcPr>
          <w:p w14:paraId="4D9C154D"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bottom w:val="single" w:sz="4" w:space="0" w:color="auto"/>
            </w:tcBorders>
          </w:tcPr>
          <w:p w14:paraId="77E9FB84" w14:textId="77777777" w:rsidR="00945C39" w:rsidRPr="00C469EA" w:rsidRDefault="00945C39" w:rsidP="00112EB2">
            <w:pPr>
              <w:jc w:val="both"/>
              <w:rPr>
                <w:rFonts w:eastAsia="Times New Roman" w:cs="Calibri"/>
                <w:sz w:val="18"/>
                <w:szCs w:val="18"/>
              </w:rPr>
            </w:pPr>
          </w:p>
        </w:tc>
        <w:tc>
          <w:tcPr>
            <w:tcW w:w="2041" w:type="dxa"/>
            <w:tcBorders>
              <w:bottom w:val="single" w:sz="4" w:space="0" w:color="auto"/>
            </w:tcBorders>
            <w:vAlign w:val="center"/>
            <w:hideMark/>
          </w:tcPr>
          <w:p w14:paraId="66630145" w14:textId="77777777" w:rsidR="00945C39" w:rsidRPr="00C469EA" w:rsidRDefault="00945C39" w:rsidP="00112EB2">
            <w:pPr>
              <w:jc w:val="both"/>
              <w:rPr>
                <w:rFonts w:eastAsia="Times New Roman" w:cs="Calibri"/>
                <w:sz w:val="18"/>
                <w:szCs w:val="18"/>
              </w:rPr>
            </w:pPr>
            <w:r w:rsidRPr="00C469EA">
              <w:rPr>
                <w:rFonts w:cs="Calibri"/>
                <w:sz w:val="18"/>
                <w:szCs w:val="18"/>
              </w:rPr>
              <w:t xml:space="preserve"> </w:t>
            </w:r>
            <w:r>
              <w:rPr>
                <w:rFonts w:cs="Calibri"/>
                <w:sz w:val="18"/>
                <w:szCs w:val="18"/>
              </w:rPr>
              <w:t>R</w:t>
            </w:r>
            <w:r w:rsidRPr="00C469EA">
              <w:rPr>
                <w:rFonts w:cs="Calibri"/>
                <w:sz w:val="18"/>
                <w:szCs w:val="18"/>
              </w:rPr>
              <w:t>atio réglementaire établi.</w:t>
            </w:r>
          </w:p>
        </w:tc>
      </w:tr>
      <w:tr w:rsidR="00945C39" w:rsidRPr="00945C39" w14:paraId="458C61C0" w14:textId="77777777" w:rsidTr="00112EB2">
        <w:trPr>
          <w:trHeight w:val="43"/>
          <w:jc w:val="center"/>
        </w:trPr>
        <w:tc>
          <w:tcPr>
            <w:tcW w:w="1255" w:type="dxa"/>
            <w:tcBorders>
              <w:top w:val="single" w:sz="4" w:space="0" w:color="auto"/>
              <w:left w:val="single" w:sz="2" w:space="0" w:color="auto"/>
              <w:bottom w:val="single" w:sz="4" w:space="0" w:color="auto"/>
              <w:right w:val="single" w:sz="2" w:space="0" w:color="auto"/>
            </w:tcBorders>
            <w:noWrap/>
            <w:vAlign w:val="center"/>
            <w:hideMark/>
          </w:tcPr>
          <w:p w14:paraId="2000BA43" w14:textId="77777777" w:rsidR="00945C39" w:rsidRPr="000632D8" w:rsidRDefault="00945C39" w:rsidP="00112EB2">
            <w:pPr>
              <w:ind w:left="-107"/>
              <w:jc w:val="center"/>
              <w:rPr>
                <w:rFonts w:ascii="Cambria" w:hAnsi="Cambria"/>
                <w:b/>
                <w:bCs/>
                <w:sz w:val="18"/>
                <w:szCs w:val="18"/>
              </w:rPr>
            </w:pPr>
            <w:r w:rsidRPr="000632D8">
              <w:rPr>
                <w:rFonts w:ascii="Cambria" w:hAnsi="Cambria"/>
                <w:b/>
                <w:sz w:val="18"/>
                <w:szCs w:val="18"/>
              </w:rPr>
              <w:t>04-10</w:t>
            </w:r>
          </w:p>
          <w:p w14:paraId="56F66EAF" w14:textId="77777777" w:rsidR="00945C39" w:rsidRPr="000632D8" w:rsidRDefault="00945C39" w:rsidP="00112EB2">
            <w:pPr>
              <w:ind w:left="-107"/>
              <w:jc w:val="center"/>
              <w:rPr>
                <w:rFonts w:ascii="Cambria" w:hAnsi="Cambria"/>
                <w:b/>
                <w:bCs/>
                <w:sz w:val="18"/>
                <w:szCs w:val="18"/>
              </w:rPr>
            </w:pPr>
          </w:p>
          <w:p w14:paraId="47012151" w14:textId="77777777" w:rsidR="00945C39" w:rsidRPr="00C469EA" w:rsidRDefault="00945C39" w:rsidP="00112EB2">
            <w:pPr>
              <w:ind w:left="-107"/>
              <w:jc w:val="center"/>
              <w:rPr>
                <w:b/>
                <w:sz w:val="18"/>
                <w:szCs w:val="18"/>
              </w:rPr>
            </w:pPr>
            <w:r w:rsidRPr="000632D8">
              <w:rPr>
                <w:rFonts w:ascii="Cambria" w:hAnsi="Cambria"/>
                <w:b/>
                <w:sz w:val="18"/>
                <w:szCs w:val="18"/>
              </w:rPr>
              <w:t>(Tous les requins)</w:t>
            </w:r>
          </w:p>
        </w:tc>
        <w:tc>
          <w:tcPr>
            <w:tcW w:w="815" w:type="dxa"/>
            <w:tcBorders>
              <w:top w:val="single" w:sz="4" w:space="0" w:color="auto"/>
              <w:left w:val="single" w:sz="2" w:space="0" w:color="auto"/>
              <w:bottom w:val="single" w:sz="4" w:space="0" w:color="auto"/>
              <w:right w:val="single" w:sz="2" w:space="0" w:color="auto"/>
            </w:tcBorders>
            <w:noWrap/>
            <w:vAlign w:val="center"/>
            <w:hideMark/>
          </w:tcPr>
          <w:p w14:paraId="1167EFEE"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5</w:t>
            </w:r>
          </w:p>
        </w:tc>
        <w:tc>
          <w:tcPr>
            <w:tcW w:w="1165" w:type="dxa"/>
            <w:tcBorders>
              <w:top w:val="single" w:sz="4" w:space="0" w:color="auto"/>
              <w:left w:val="single" w:sz="2" w:space="0" w:color="auto"/>
              <w:bottom w:val="single" w:sz="4" w:space="0" w:color="auto"/>
              <w:right w:val="single" w:sz="2" w:space="0" w:color="auto"/>
            </w:tcBorders>
            <w:vAlign w:val="center"/>
          </w:tcPr>
          <w:p w14:paraId="5B6C2638"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4" w:space="0" w:color="auto"/>
              <w:left w:val="single" w:sz="2" w:space="0" w:color="auto"/>
              <w:bottom w:val="single" w:sz="4" w:space="0" w:color="auto"/>
              <w:right w:val="single" w:sz="2" w:space="0" w:color="auto"/>
            </w:tcBorders>
            <w:vAlign w:val="center"/>
            <w:hideMark/>
          </w:tcPr>
          <w:p w14:paraId="5F032B5A" w14:textId="77777777" w:rsidR="00945C39" w:rsidRPr="00945C39" w:rsidRDefault="00945C39" w:rsidP="00112EB2">
            <w:pPr>
              <w:jc w:val="both"/>
              <w:rPr>
                <w:rFonts w:eastAsia="Times New Roman" w:cs="Calibri"/>
                <w:sz w:val="18"/>
                <w:szCs w:val="18"/>
                <w:lang w:val="fr-FR"/>
              </w:rPr>
            </w:pPr>
            <w:r w:rsidRPr="00945C39">
              <w:rPr>
                <w:sz w:val="18"/>
                <w:szCs w:val="18"/>
                <w:lang w:val="fr-FR"/>
              </w:rPr>
              <w:t>Les navires de pêche n’ont pas le droit de retenir à bord, transborder ou débarquer des ailerons capturés à l’encontre de la présente Recommandation.</w:t>
            </w:r>
          </w:p>
        </w:tc>
        <w:tc>
          <w:tcPr>
            <w:tcW w:w="1566" w:type="dxa"/>
            <w:tcBorders>
              <w:top w:val="single" w:sz="4" w:space="0" w:color="auto"/>
              <w:left w:val="single" w:sz="2" w:space="0" w:color="auto"/>
              <w:bottom w:val="single" w:sz="4" w:space="0" w:color="auto"/>
              <w:right w:val="single" w:sz="2" w:space="0" w:color="auto"/>
            </w:tcBorders>
            <w:vAlign w:val="center"/>
            <w:hideMark/>
          </w:tcPr>
          <w:p w14:paraId="17A302F3"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Borders>
              <w:top w:val="single" w:sz="4" w:space="0" w:color="auto"/>
              <w:left w:val="single" w:sz="2" w:space="0" w:color="auto"/>
              <w:bottom w:val="single" w:sz="4" w:space="0" w:color="auto"/>
              <w:right w:val="single" w:sz="2" w:space="0" w:color="auto"/>
            </w:tcBorders>
          </w:tcPr>
          <w:p w14:paraId="63B4E34A"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2" w:space="0" w:color="auto"/>
              <w:bottom w:val="single" w:sz="4" w:space="0" w:color="auto"/>
              <w:right w:val="single" w:sz="2" w:space="0" w:color="auto"/>
            </w:tcBorders>
            <w:vAlign w:val="center"/>
            <w:hideMark/>
          </w:tcPr>
          <w:p w14:paraId="2D8084DF" w14:textId="77777777" w:rsidR="00945C39" w:rsidRPr="00945C39" w:rsidRDefault="00945C39" w:rsidP="00112EB2">
            <w:pPr>
              <w:jc w:val="both"/>
              <w:rPr>
                <w:sz w:val="18"/>
                <w:szCs w:val="18"/>
                <w:lang w:val="fr-FR"/>
              </w:rPr>
            </w:pPr>
            <w:r w:rsidRPr="00945C39">
              <w:rPr>
                <w:sz w:val="18"/>
                <w:szCs w:val="18"/>
                <w:lang w:val="fr-FR"/>
              </w:rPr>
              <w:t>Disposition transposée.</w:t>
            </w:r>
          </w:p>
          <w:p w14:paraId="36762392" w14:textId="77777777" w:rsidR="00945C39" w:rsidRPr="00945C39" w:rsidRDefault="00945C39" w:rsidP="00112EB2">
            <w:pPr>
              <w:jc w:val="both"/>
              <w:rPr>
                <w:sz w:val="18"/>
                <w:szCs w:val="18"/>
                <w:lang w:val="fr-FR"/>
              </w:rPr>
            </w:pPr>
            <w:r w:rsidRPr="00945C39">
              <w:rPr>
                <w:sz w:val="18"/>
                <w:szCs w:val="18"/>
                <w:lang w:val="fr-FR"/>
              </w:rPr>
              <w:t>Observateur à bord.</w:t>
            </w:r>
          </w:p>
          <w:p w14:paraId="6D3F7998" w14:textId="77777777" w:rsidR="00945C39" w:rsidRPr="00945C39" w:rsidRDefault="00945C39" w:rsidP="00112EB2">
            <w:pPr>
              <w:jc w:val="both"/>
              <w:rPr>
                <w:sz w:val="18"/>
                <w:szCs w:val="18"/>
                <w:lang w:val="fr-FR"/>
              </w:rPr>
            </w:pPr>
            <w:r w:rsidRPr="00945C39">
              <w:rPr>
                <w:sz w:val="18"/>
                <w:szCs w:val="18"/>
                <w:lang w:val="fr-FR"/>
              </w:rPr>
              <w:t>Inspection au port et en mer.</w:t>
            </w:r>
          </w:p>
          <w:p w14:paraId="3728A917" w14:textId="77777777" w:rsidR="00945C39" w:rsidRPr="00945C39" w:rsidRDefault="00945C39" w:rsidP="00112EB2">
            <w:pPr>
              <w:jc w:val="both"/>
              <w:rPr>
                <w:sz w:val="18"/>
                <w:szCs w:val="18"/>
                <w:lang w:val="fr-FR"/>
              </w:rPr>
            </w:pPr>
          </w:p>
          <w:p w14:paraId="2DEBAE59" w14:textId="77777777" w:rsidR="00945C39" w:rsidRPr="00945C39" w:rsidRDefault="00945C39" w:rsidP="00112EB2">
            <w:pPr>
              <w:jc w:val="both"/>
              <w:rPr>
                <w:rFonts w:eastAsia="Times New Roman" w:cs="Calibri"/>
                <w:sz w:val="18"/>
                <w:szCs w:val="18"/>
                <w:lang w:val="fr-FR"/>
              </w:rPr>
            </w:pPr>
          </w:p>
        </w:tc>
      </w:tr>
      <w:tr w:rsidR="00945C39" w:rsidRPr="00C469EA" w14:paraId="5D7F9DFD" w14:textId="77777777" w:rsidTr="00112EB2">
        <w:trPr>
          <w:trHeight w:val="2338"/>
          <w:jc w:val="center"/>
        </w:trPr>
        <w:tc>
          <w:tcPr>
            <w:tcW w:w="1255" w:type="dxa"/>
            <w:tcBorders>
              <w:top w:val="single" w:sz="4" w:space="0" w:color="auto"/>
              <w:bottom w:val="single" w:sz="2" w:space="0" w:color="auto"/>
            </w:tcBorders>
            <w:noWrap/>
            <w:vAlign w:val="center"/>
            <w:hideMark/>
          </w:tcPr>
          <w:p w14:paraId="358EDF4A"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lastRenderedPageBreak/>
              <w:t>07-06</w:t>
            </w:r>
          </w:p>
          <w:p w14:paraId="4518D9DF" w14:textId="77777777" w:rsidR="00945C39" w:rsidRPr="000632D8" w:rsidRDefault="00945C39" w:rsidP="00112EB2">
            <w:pPr>
              <w:jc w:val="center"/>
              <w:rPr>
                <w:rFonts w:ascii="Cambria" w:eastAsia="Times New Roman" w:hAnsi="Cambria" w:cs="Calibri"/>
                <w:b/>
                <w:bCs/>
                <w:sz w:val="18"/>
                <w:szCs w:val="18"/>
              </w:rPr>
            </w:pPr>
          </w:p>
          <w:p w14:paraId="656B1E7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(Tous les requins)</w:t>
            </w:r>
          </w:p>
        </w:tc>
        <w:tc>
          <w:tcPr>
            <w:tcW w:w="815" w:type="dxa"/>
            <w:tcBorders>
              <w:top w:val="single" w:sz="4" w:space="0" w:color="auto"/>
              <w:bottom w:val="single" w:sz="2" w:space="0" w:color="auto"/>
            </w:tcBorders>
            <w:noWrap/>
            <w:vAlign w:val="center"/>
            <w:hideMark/>
          </w:tcPr>
          <w:p w14:paraId="597DC9D9"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w:t>
            </w:r>
          </w:p>
        </w:tc>
        <w:tc>
          <w:tcPr>
            <w:tcW w:w="1165" w:type="dxa"/>
            <w:tcBorders>
              <w:top w:val="single" w:sz="4" w:space="0" w:color="auto"/>
              <w:bottom w:val="single" w:sz="2" w:space="0" w:color="auto"/>
            </w:tcBorders>
            <w:vAlign w:val="center"/>
          </w:tcPr>
          <w:p w14:paraId="49B57042"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4" w:space="0" w:color="auto"/>
              <w:bottom w:val="single" w:sz="2" w:space="0" w:color="auto"/>
            </w:tcBorders>
            <w:vAlign w:val="center"/>
            <w:hideMark/>
          </w:tcPr>
          <w:p w14:paraId="50A0796E"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Parties contractantes et les Parties, Entités ou Entités de pêche non contractantes coopérantes (désignées ci-après « CPC »), y compris celles qui dirigent leurs activités de pêche sur les </w:t>
            </w:r>
            <w:r w:rsidRPr="00945C39">
              <w:rPr>
                <w:b/>
                <w:bCs/>
                <w:sz w:val="18"/>
                <w:szCs w:val="18"/>
                <w:lang w:val="fr-FR"/>
              </w:rPr>
              <w:t>requins</w:t>
            </w:r>
            <w:r w:rsidRPr="00945C39">
              <w:rPr>
                <w:sz w:val="18"/>
                <w:szCs w:val="18"/>
                <w:lang w:val="fr-FR"/>
              </w:rPr>
              <w:t>, devront soumettre les données de la tâche 1 et de la tâche 2 sur les requins, conformément aux exigences des procédures de déclaration des données de l'ICCAT (y compris les estimations des rejets morts et des fréquences de tailles), avant la prochaine évaluation du SCRS.</w:t>
            </w:r>
          </w:p>
          <w:p w14:paraId="375F488E" w14:textId="77777777" w:rsidR="00945C39" w:rsidRPr="00945C39" w:rsidRDefault="00945C39" w:rsidP="00112EB2">
            <w:pPr>
              <w:jc w:val="both"/>
              <w:rPr>
                <w:rFonts w:eastAsia="Times New Roman" w:cs="Calibri"/>
                <w:sz w:val="18"/>
                <w:szCs w:val="18"/>
                <w:lang w:val="fr-FR"/>
              </w:rPr>
            </w:pPr>
          </w:p>
        </w:tc>
        <w:tc>
          <w:tcPr>
            <w:tcW w:w="1566" w:type="dxa"/>
            <w:tcBorders>
              <w:top w:val="single" w:sz="4" w:space="0" w:color="auto"/>
              <w:bottom w:val="single" w:sz="2" w:space="0" w:color="auto"/>
            </w:tcBorders>
            <w:vAlign w:val="center"/>
            <w:hideMark/>
          </w:tcPr>
          <w:p w14:paraId="5D6F3006"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Borders>
              <w:top w:val="single" w:sz="4" w:space="0" w:color="auto"/>
              <w:bottom w:val="single" w:sz="2" w:space="0" w:color="auto"/>
            </w:tcBorders>
          </w:tcPr>
          <w:p w14:paraId="0D92381D" w14:textId="77777777" w:rsidR="00945C39" w:rsidRPr="00C469EA" w:rsidRDefault="00945C39" w:rsidP="00112EB2">
            <w:pPr>
              <w:jc w:val="both"/>
              <w:rPr>
                <w:rFonts w:eastAsia="Times New Roman" w:cs="Calibri"/>
                <w:sz w:val="18"/>
                <w:szCs w:val="18"/>
              </w:rPr>
            </w:pPr>
          </w:p>
        </w:tc>
        <w:tc>
          <w:tcPr>
            <w:tcW w:w="2041" w:type="dxa"/>
            <w:tcBorders>
              <w:top w:val="single" w:sz="4" w:space="0" w:color="auto"/>
              <w:bottom w:val="single" w:sz="2" w:space="0" w:color="auto"/>
            </w:tcBorders>
            <w:vAlign w:val="center"/>
            <w:hideMark/>
          </w:tcPr>
          <w:p w14:paraId="3D7F7386" w14:textId="77777777" w:rsidR="00945C39" w:rsidRPr="00C469EA" w:rsidRDefault="00945C39" w:rsidP="00112EB2">
            <w:pPr>
              <w:jc w:val="both"/>
              <w:rPr>
                <w:sz w:val="18"/>
                <w:szCs w:val="18"/>
              </w:rPr>
            </w:pPr>
            <w:r w:rsidRPr="00C469EA">
              <w:rPr>
                <w:sz w:val="18"/>
                <w:szCs w:val="18"/>
              </w:rPr>
              <w:t xml:space="preserve">04/08/2023 </w:t>
            </w:r>
          </w:p>
        </w:tc>
      </w:tr>
      <w:tr w:rsidR="00945C39" w:rsidRPr="00945C39" w14:paraId="3D0CCAD8" w14:textId="77777777" w:rsidTr="00112EB2">
        <w:trPr>
          <w:trHeight w:val="71"/>
          <w:jc w:val="center"/>
        </w:trPr>
        <w:tc>
          <w:tcPr>
            <w:tcW w:w="1255" w:type="dxa"/>
            <w:tcBorders>
              <w:top w:val="single" w:sz="2" w:space="0" w:color="auto"/>
              <w:left w:val="single" w:sz="2" w:space="0" w:color="auto"/>
              <w:bottom w:val="single" w:sz="12" w:space="0" w:color="auto"/>
              <w:right w:val="single" w:sz="2" w:space="0" w:color="auto"/>
            </w:tcBorders>
            <w:noWrap/>
            <w:vAlign w:val="center"/>
            <w:hideMark/>
          </w:tcPr>
          <w:p w14:paraId="03DCE99A"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07-06</w:t>
            </w:r>
          </w:p>
          <w:p w14:paraId="4CFA61A2" w14:textId="77777777" w:rsidR="00945C39" w:rsidRPr="000632D8" w:rsidRDefault="00945C39" w:rsidP="00112EB2">
            <w:pPr>
              <w:jc w:val="center"/>
              <w:rPr>
                <w:rFonts w:ascii="Cambria" w:eastAsia="Times New Roman" w:hAnsi="Cambria" w:cs="Calibri"/>
                <w:b/>
                <w:bCs/>
                <w:sz w:val="18"/>
                <w:szCs w:val="18"/>
              </w:rPr>
            </w:pPr>
          </w:p>
          <w:p w14:paraId="3C804F88"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(Tous les requins)</w:t>
            </w:r>
          </w:p>
        </w:tc>
        <w:tc>
          <w:tcPr>
            <w:tcW w:w="815" w:type="dxa"/>
            <w:tcBorders>
              <w:top w:val="single" w:sz="2" w:space="0" w:color="auto"/>
              <w:left w:val="single" w:sz="2" w:space="0" w:color="auto"/>
              <w:bottom w:val="single" w:sz="12" w:space="0" w:color="auto"/>
              <w:right w:val="single" w:sz="2" w:space="0" w:color="auto"/>
            </w:tcBorders>
            <w:noWrap/>
            <w:vAlign w:val="center"/>
            <w:hideMark/>
          </w:tcPr>
          <w:p w14:paraId="2177D96B"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w:t>
            </w:r>
          </w:p>
        </w:tc>
        <w:tc>
          <w:tcPr>
            <w:tcW w:w="1165" w:type="dxa"/>
            <w:tcBorders>
              <w:top w:val="single" w:sz="2" w:space="0" w:color="auto"/>
              <w:left w:val="single" w:sz="2" w:space="0" w:color="auto"/>
              <w:bottom w:val="single" w:sz="12" w:space="0" w:color="auto"/>
              <w:right w:val="single" w:sz="2" w:space="0" w:color="auto"/>
            </w:tcBorders>
            <w:vAlign w:val="center"/>
          </w:tcPr>
          <w:p w14:paraId="0DDC9C84"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2" w:space="0" w:color="auto"/>
              <w:left w:val="single" w:sz="2" w:space="0" w:color="auto"/>
              <w:bottom w:val="single" w:sz="12" w:space="0" w:color="auto"/>
              <w:right w:val="single" w:sz="2" w:space="0" w:color="auto"/>
            </w:tcBorders>
            <w:vAlign w:val="center"/>
            <w:hideMark/>
          </w:tcPr>
          <w:p w14:paraId="636D21BC" w14:textId="77777777" w:rsidR="00945C39" w:rsidRPr="00945C39" w:rsidRDefault="00945C39" w:rsidP="00112EB2">
            <w:pPr>
              <w:jc w:val="both"/>
              <w:rPr>
                <w:rFonts w:eastAsia="Times New Roman" w:cs="Calibri"/>
                <w:sz w:val="18"/>
                <w:szCs w:val="18"/>
                <w:lang w:val="fr-FR"/>
              </w:rPr>
            </w:pPr>
            <w:r w:rsidRPr="00945C39">
              <w:rPr>
                <w:sz w:val="18"/>
                <w:szCs w:val="18"/>
                <w:lang w:val="fr-FR"/>
              </w:rPr>
              <w:t>Lorsque des niveaux soutenables de capture pourront être déterminés par des évaluations de stocks faisant l’objet d’une révision par des pairs menées par le SCRS ou par d’autres organisations, les CPC devront prendre des mesures pertinentes visant à réduire la mortalité par pêche dans les pêcheries ciblant le requin-taupe commun (</w:t>
            </w:r>
            <w:r w:rsidRPr="00945C39">
              <w:rPr>
                <w:i/>
                <w:iCs/>
                <w:sz w:val="18"/>
                <w:szCs w:val="18"/>
                <w:lang w:val="fr-FR"/>
              </w:rPr>
              <w:t>Lamna nasus</w:t>
            </w:r>
            <w:r w:rsidRPr="00945C39">
              <w:rPr>
                <w:sz w:val="18"/>
                <w:szCs w:val="18"/>
                <w:lang w:val="fr-FR"/>
              </w:rPr>
              <w:t xml:space="preserve">) et le </w:t>
            </w:r>
            <w:r w:rsidRPr="00945C39">
              <w:rPr>
                <w:b/>
                <w:bCs/>
                <w:sz w:val="18"/>
                <w:szCs w:val="18"/>
                <w:lang w:val="fr-FR"/>
              </w:rPr>
              <w:t>requin taupe bleu</w:t>
            </w:r>
            <w:r w:rsidRPr="00945C39">
              <w:rPr>
                <w:sz w:val="18"/>
                <w:szCs w:val="18"/>
                <w:lang w:val="fr-FR"/>
              </w:rPr>
              <w:t xml:space="preserve"> (</w:t>
            </w:r>
            <w:r w:rsidRPr="00945C39">
              <w:rPr>
                <w:i/>
                <w:iCs/>
                <w:sz w:val="18"/>
                <w:szCs w:val="18"/>
                <w:lang w:val="fr-FR"/>
              </w:rPr>
              <w:t>Isurus oxyrinchus</w:t>
            </w:r>
            <w:r w:rsidRPr="00945C39">
              <w:rPr>
                <w:sz w:val="18"/>
                <w:szCs w:val="18"/>
                <w:lang w:val="fr-FR"/>
              </w:rPr>
              <w:t xml:space="preserve">) de </w:t>
            </w:r>
            <w:r w:rsidRPr="00945C39">
              <w:rPr>
                <w:b/>
                <w:bCs/>
                <w:sz w:val="18"/>
                <w:szCs w:val="18"/>
                <w:lang w:val="fr-FR"/>
              </w:rPr>
              <w:t>l’Atlantique Nord</w:t>
            </w:r>
            <w:r w:rsidRPr="00945C39">
              <w:rPr>
                <w:sz w:val="18"/>
                <w:szCs w:val="18"/>
                <w:lang w:val="fr-FR"/>
              </w:rPr>
              <w:t>.</w:t>
            </w:r>
          </w:p>
        </w:tc>
        <w:tc>
          <w:tcPr>
            <w:tcW w:w="1566" w:type="dxa"/>
            <w:tcBorders>
              <w:top w:val="single" w:sz="2" w:space="0" w:color="auto"/>
              <w:left w:val="single" w:sz="2" w:space="0" w:color="auto"/>
              <w:bottom w:val="single" w:sz="12" w:space="0" w:color="auto"/>
              <w:right w:val="single" w:sz="2" w:space="0" w:color="auto"/>
            </w:tcBorders>
            <w:vAlign w:val="center"/>
            <w:hideMark/>
          </w:tcPr>
          <w:p w14:paraId="6CB40276"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Borders>
              <w:top w:val="single" w:sz="2" w:space="0" w:color="auto"/>
              <w:left w:val="single" w:sz="2" w:space="0" w:color="auto"/>
              <w:bottom w:val="single" w:sz="12" w:space="0" w:color="auto"/>
              <w:right w:val="single" w:sz="2" w:space="0" w:color="auto"/>
            </w:tcBorders>
          </w:tcPr>
          <w:p w14:paraId="50CF488D"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tcBorders>
              <w:top w:val="single" w:sz="2" w:space="0" w:color="auto"/>
              <w:left w:val="single" w:sz="2" w:space="0" w:color="auto"/>
              <w:bottom w:val="single" w:sz="12" w:space="0" w:color="auto"/>
              <w:right w:val="single" w:sz="2" w:space="0" w:color="auto"/>
            </w:tcBorders>
            <w:vAlign w:val="center"/>
            <w:hideMark/>
          </w:tcPr>
          <w:p w14:paraId="3B1F216A" w14:textId="77777777" w:rsidR="00945C39" w:rsidRPr="00945C39" w:rsidRDefault="00945C39" w:rsidP="00112EB2">
            <w:pPr>
              <w:jc w:val="both"/>
              <w:rPr>
                <w:sz w:val="18"/>
                <w:szCs w:val="18"/>
                <w:lang w:val="fr-FR"/>
              </w:rPr>
            </w:pPr>
            <w:r w:rsidRPr="00945C39">
              <w:rPr>
                <w:rFonts w:eastAsia="MS Mincho"/>
                <w:sz w:val="18"/>
                <w:szCs w:val="18"/>
                <w:lang w:val="fr-FR" w:eastAsia="fr-FR" w:bidi="fr-FR"/>
              </w:rPr>
              <w:t xml:space="preserve">Les requin taupe bleu et taupe commun ne sont pas ciblés par les navires nationaux. </w:t>
            </w:r>
          </w:p>
          <w:p w14:paraId="3451B155" w14:textId="77777777" w:rsidR="00945C39" w:rsidRPr="00945C39" w:rsidRDefault="00945C39" w:rsidP="00112EB2">
            <w:pPr>
              <w:jc w:val="both"/>
              <w:rPr>
                <w:rFonts w:eastAsia="Times New Roman" w:cs="Calibri"/>
                <w:sz w:val="18"/>
                <w:szCs w:val="18"/>
                <w:lang w:val="fr-FR"/>
              </w:rPr>
            </w:pPr>
          </w:p>
        </w:tc>
      </w:tr>
      <w:tr w:rsidR="00945C39" w:rsidRPr="00945C39" w14:paraId="7B4FA55B" w14:textId="77777777" w:rsidTr="00112EB2">
        <w:trPr>
          <w:trHeight w:val="67"/>
          <w:jc w:val="center"/>
        </w:trPr>
        <w:tc>
          <w:tcPr>
            <w:tcW w:w="1255" w:type="dxa"/>
            <w:tcBorders>
              <w:top w:val="single" w:sz="12" w:space="0" w:color="auto"/>
              <w:bottom w:val="single" w:sz="12" w:space="0" w:color="auto"/>
            </w:tcBorders>
            <w:noWrap/>
            <w:vAlign w:val="center"/>
            <w:hideMark/>
          </w:tcPr>
          <w:p w14:paraId="2ECE8674"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11-15</w:t>
            </w:r>
          </w:p>
          <w:p w14:paraId="4408DCA4" w14:textId="77777777" w:rsidR="00945C39" w:rsidRPr="000632D8" w:rsidRDefault="00945C39" w:rsidP="00112EB2">
            <w:pPr>
              <w:jc w:val="center"/>
              <w:rPr>
                <w:rFonts w:ascii="Cambria" w:eastAsia="Times New Roman" w:hAnsi="Cambria" w:cs="Calibri"/>
                <w:b/>
                <w:bCs/>
                <w:sz w:val="18"/>
                <w:szCs w:val="18"/>
              </w:rPr>
            </w:pPr>
          </w:p>
          <w:p w14:paraId="23056AE1"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(Tous les requins)</w:t>
            </w:r>
          </w:p>
        </w:tc>
        <w:tc>
          <w:tcPr>
            <w:tcW w:w="815" w:type="dxa"/>
            <w:tcBorders>
              <w:top w:val="single" w:sz="12" w:space="0" w:color="auto"/>
              <w:bottom w:val="single" w:sz="12" w:space="0" w:color="auto"/>
            </w:tcBorders>
            <w:noWrap/>
            <w:vAlign w:val="center"/>
            <w:hideMark/>
          </w:tcPr>
          <w:p w14:paraId="21E1F16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w:t>
            </w:r>
          </w:p>
        </w:tc>
        <w:tc>
          <w:tcPr>
            <w:tcW w:w="1165" w:type="dxa"/>
            <w:tcBorders>
              <w:top w:val="single" w:sz="12" w:space="0" w:color="auto"/>
              <w:bottom w:val="single" w:sz="12" w:space="0" w:color="auto"/>
            </w:tcBorders>
            <w:vAlign w:val="center"/>
          </w:tcPr>
          <w:p w14:paraId="73F72168"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12" w:space="0" w:color="auto"/>
              <w:bottom w:val="single" w:sz="12" w:space="0" w:color="auto"/>
            </w:tcBorders>
            <w:vAlign w:val="center"/>
            <w:hideMark/>
          </w:tcPr>
          <w:p w14:paraId="6AC991EF"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CPC devraient inclure des informations dans leurs rapports annuels sur les mesures prises visant à mettre en œuvre leurs obligations en matière de déclaration pour toutes les pêcheries de l'ICCAT, </w:t>
            </w:r>
            <w:r w:rsidRPr="00945C39">
              <w:rPr>
                <w:sz w:val="18"/>
                <w:szCs w:val="18"/>
                <w:lang w:val="fr-FR"/>
              </w:rPr>
              <w:lastRenderedPageBreak/>
              <w:t xml:space="preserve">notamment les </w:t>
            </w:r>
            <w:r w:rsidRPr="00945C39">
              <w:rPr>
                <w:b/>
                <w:bCs/>
                <w:sz w:val="18"/>
                <w:szCs w:val="18"/>
                <w:lang w:val="fr-FR"/>
              </w:rPr>
              <w:t>espèces de requins</w:t>
            </w:r>
            <w:r w:rsidRPr="00945C39">
              <w:rPr>
                <w:sz w:val="18"/>
                <w:szCs w:val="18"/>
                <w:lang w:val="fr-FR"/>
              </w:rPr>
              <w:t xml:space="preserve"> capturées en association avec les pêcheries de l'ICCAT, notamment les mesures adoptées en vue d'améliorer la collecte des données de de la tâche 1 et de la tâche 2 concernant les prises des espèces accessoires et des espèces cibles.</w:t>
            </w:r>
          </w:p>
        </w:tc>
        <w:tc>
          <w:tcPr>
            <w:tcW w:w="1566" w:type="dxa"/>
            <w:tcBorders>
              <w:top w:val="single" w:sz="12" w:space="0" w:color="auto"/>
              <w:bottom w:val="single" w:sz="12" w:space="0" w:color="auto"/>
            </w:tcBorders>
            <w:vAlign w:val="center"/>
            <w:hideMark/>
          </w:tcPr>
          <w:p w14:paraId="51F0611A" w14:textId="77777777" w:rsidR="00945C39" w:rsidRPr="00C469EA" w:rsidRDefault="00945C39" w:rsidP="00112EB2">
            <w:pPr>
              <w:jc w:val="both"/>
              <w:rPr>
                <w:rFonts w:eastAsia="Times New Roman" w:cs="Calibri"/>
                <w:sz w:val="18"/>
                <w:szCs w:val="18"/>
              </w:rPr>
            </w:pPr>
            <w:r w:rsidRPr="00C469EA">
              <w:rPr>
                <w:sz w:val="18"/>
                <w:szCs w:val="18"/>
              </w:rPr>
              <w:lastRenderedPageBreak/>
              <w:t>Oui</w:t>
            </w:r>
          </w:p>
        </w:tc>
        <w:tc>
          <w:tcPr>
            <w:tcW w:w="1618" w:type="dxa"/>
            <w:tcBorders>
              <w:top w:val="single" w:sz="12" w:space="0" w:color="auto"/>
              <w:bottom w:val="single" w:sz="12" w:space="0" w:color="auto"/>
            </w:tcBorders>
          </w:tcPr>
          <w:p w14:paraId="0DCA1637"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 xml:space="preserve">Arrêté n°29318 du 19 aout 2025 du Ministre chargé de la Pêche fixant les mesures de </w:t>
            </w:r>
            <w:r w:rsidRPr="00945C39">
              <w:rPr>
                <w:rFonts w:eastAsia="MS Mincho"/>
                <w:sz w:val="18"/>
                <w:szCs w:val="18"/>
                <w:lang w:val="fr-FR" w:eastAsia="fr-FR" w:bidi="fr-FR"/>
              </w:rPr>
              <w:lastRenderedPageBreak/>
              <w:t>conservation des requins et raies</w:t>
            </w:r>
          </w:p>
        </w:tc>
        <w:tc>
          <w:tcPr>
            <w:tcW w:w="2041" w:type="dxa"/>
            <w:tcBorders>
              <w:top w:val="single" w:sz="12" w:space="0" w:color="auto"/>
              <w:bottom w:val="single" w:sz="12" w:space="0" w:color="auto"/>
            </w:tcBorders>
            <w:vAlign w:val="center"/>
            <w:hideMark/>
          </w:tcPr>
          <w:p w14:paraId="1CC2E172" w14:textId="77777777" w:rsidR="00945C39" w:rsidRPr="00945C39" w:rsidRDefault="00945C39" w:rsidP="00112EB2">
            <w:pPr>
              <w:jc w:val="both"/>
              <w:rPr>
                <w:rFonts w:eastAsia="Times New Roman" w:cs="Calibri"/>
                <w:sz w:val="18"/>
                <w:szCs w:val="18"/>
                <w:lang w:val="fr-FR"/>
              </w:rPr>
            </w:pPr>
            <w:r w:rsidRPr="00945C39">
              <w:rPr>
                <w:rFonts w:eastAsia="MS Mincho" w:cstheme="majorBidi"/>
                <w:sz w:val="18"/>
                <w:szCs w:val="18"/>
                <w:lang w:val="fr-FR" w:eastAsia="fr-FR" w:bidi="fr-FR"/>
              </w:rPr>
              <w:lastRenderedPageBreak/>
              <w:t>Il existe un programme de collecte de données au niveau des ports, le journal de pêche et les rapports d’observateurs.</w:t>
            </w:r>
          </w:p>
        </w:tc>
      </w:tr>
      <w:tr w:rsidR="00945C39" w:rsidRPr="00C469EA" w14:paraId="544CDB95" w14:textId="77777777" w:rsidTr="00112EB2">
        <w:trPr>
          <w:trHeight w:val="74"/>
          <w:jc w:val="center"/>
        </w:trPr>
        <w:tc>
          <w:tcPr>
            <w:tcW w:w="1255" w:type="dxa"/>
            <w:tcBorders>
              <w:top w:val="single" w:sz="12" w:space="0" w:color="auto"/>
              <w:bottom w:val="single" w:sz="12" w:space="0" w:color="auto"/>
            </w:tcBorders>
            <w:noWrap/>
            <w:vAlign w:val="center"/>
            <w:hideMark/>
          </w:tcPr>
          <w:p w14:paraId="3987972F"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18-06</w:t>
            </w:r>
          </w:p>
          <w:p w14:paraId="21BFBB1F" w14:textId="77777777" w:rsidR="00945C39" w:rsidRPr="000632D8" w:rsidRDefault="00945C39" w:rsidP="00112EB2">
            <w:pPr>
              <w:jc w:val="center"/>
              <w:rPr>
                <w:rFonts w:ascii="Cambria" w:eastAsia="Times New Roman" w:hAnsi="Cambria" w:cs="Calibri"/>
                <w:b/>
                <w:bCs/>
                <w:sz w:val="18"/>
                <w:szCs w:val="18"/>
              </w:rPr>
            </w:pPr>
          </w:p>
          <w:p w14:paraId="537A4DF5"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(Tous les requins)</w:t>
            </w:r>
          </w:p>
        </w:tc>
        <w:tc>
          <w:tcPr>
            <w:tcW w:w="815" w:type="dxa"/>
            <w:tcBorders>
              <w:top w:val="single" w:sz="12" w:space="0" w:color="auto"/>
              <w:bottom w:val="single" w:sz="12" w:space="0" w:color="auto"/>
            </w:tcBorders>
            <w:noWrap/>
            <w:vAlign w:val="center"/>
            <w:hideMark/>
          </w:tcPr>
          <w:p w14:paraId="160D849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3</w:t>
            </w:r>
          </w:p>
        </w:tc>
        <w:tc>
          <w:tcPr>
            <w:tcW w:w="1165" w:type="dxa"/>
            <w:tcBorders>
              <w:top w:val="single" w:sz="12" w:space="0" w:color="auto"/>
              <w:bottom w:val="single" w:sz="12" w:space="0" w:color="auto"/>
            </w:tcBorders>
            <w:vAlign w:val="center"/>
          </w:tcPr>
          <w:p w14:paraId="1FA4BE32"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12" w:space="0" w:color="auto"/>
              <w:bottom w:val="single" w:sz="12" w:space="0" w:color="auto"/>
            </w:tcBorders>
            <w:vAlign w:val="center"/>
            <w:hideMark/>
          </w:tcPr>
          <w:p w14:paraId="0E214B20"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Parties contractantes et Parties, Entités ou Entités de pêche non contractantes coopérantes (ci-après dénommées « CPC ») pourraient être exemptées de la soumission de la feuille de contrôle s’il est peu probable que les navires battant leur pavillon capturent des espèces de </w:t>
            </w:r>
            <w:r w:rsidRPr="00945C39">
              <w:rPr>
                <w:b/>
                <w:bCs/>
                <w:sz w:val="18"/>
                <w:szCs w:val="18"/>
                <w:lang w:val="fr-FR"/>
              </w:rPr>
              <w:t>requins</w:t>
            </w:r>
            <w:r w:rsidRPr="00945C39">
              <w:rPr>
                <w:sz w:val="18"/>
                <w:szCs w:val="18"/>
                <w:lang w:val="fr-FR"/>
              </w:rPr>
              <w:t xml:space="preserve"> couvertes par les Recommandations 04-10, 07-06, 09-07, 10-07, 10-08, 11-08, 11-15 et 15-06, à condition que les CPC concernées obtiennent confirmation du Groupe d’espèces sur les requins par le biais des données nécessaires soumises à cet effet par les CPC.</w:t>
            </w:r>
          </w:p>
          <w:p w14:paraId="2E4BBEA0" w14:textId="77777777" w:rsidR="00945C39" w:rsidRPr="00945C39" w:rsidRDefault="00945C39" w:rsidP="00112EB2">
            <w:pPr>
              <w:jc w:val="both"/>
              <w:rPr>
                <w:rFonts w:eastAsia="Times New Roman" w:cs="Calibri"/>
                <w:sz w:val="18"/>
                <w:szCs w:val="18"/>
                <w:lang w:val="fr-FR"/>
              </w:rPr>
            </w:pPr>
          </w:p>
        </w:tc>
        <w:tc>
          <w:tcPr>
            <w:tcW w:w="1566" w:type="dxa"/>
            <w:tcBorders>
              <w:top w:val="single" w:sz="12" w:space="0" w:color="auto"/>
              <w:bottom w:val="single" w:sz="12" w:space="0" w:color="auto"/>
            </w:tcBorders>
            <w:vAlign w:val="center"/>
            <w:hideMark/>
          </w:tcPr>
          <w:p w14:paraId="2ADCDC37"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12" w:space="0" w:color="auto"/>
              <w:bottom w:val="single" w:sz="12" w:space="0" w:color="auto"/>
            </w:tcBorders>
          </w:tcPr>
          <w:p w14:paraId="75F8E685" w14:textId="77777777" w:rsidR="00945C39" w:rsidRPr="00C469EA" w:rsidRDefault="00945C39" w:rsidP="00112EB2">
            <w:pPr>
              <w:jc w:val="both"/>
              <w:rPr>
                <w:rFonts w:eastAsia="Times New Roman" w:cs="Calibri"/>
                <w:sz w:val="18"/>
                <w:szCs w:val="18"/>
              </w:rPr>
            </w:pPr>
          </w:p>
        </w:tc>
        <w:tc>
          <w:tcPr>
            <w:tcW w:w="2041" w:type="dxa"/>
            <w:tcBorders>
              <w:top w:val="single" w:sz="12" w:space="0" w:color="auto"/>
              <w:bottom w:val="single" w:sz="12" w:space="0" w:color="auto"/>
            </w:tcBorders>
            <w:vAlign w:val="center"/>
            <w:hideMark/>
          </w:tcPr>
          <w:p w14:paraId="68B07386" w14:textId="77777777" w:rsidR="00945C39" w:rsidRPr="00C469EA" w:rsidRDefault="00945C39" w:rsidP="00112EB2">
            <w:pPr>
              <w:jc w:val="both"/>
              <w:rPr>
                <w:rFonts w:eastAsia="Times New Roman" w:cs="Calibri"/>
                <w:sz w:val="18"/>
                <w:szCs w:val="18"/>
              </w:rPr>
            </w:pPr>
          </w:p>
        </w:tc>
      </w:tr>
      <w:tr w:rsidR="00945C39" w:rsidRPr="00C469EA" w14:paraId="030763C3" w14:textId="77777777" w:rsidTr="00112EB2">
        <w:trPr>
          <w:trHeight w:val="86"/>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2390BF4B"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RENARD À GROS YEUX</w:t>
            </w:r>
          </w:p>
        </w:tc>
      </w:tr>
      <w:tr w:rsidR="00945C39" w:rsidRPr="00945C39" w14:paraId="4CAE036C" w14:textId="77777777" w:rsidTr="00112EB2">
        <w:trPr>
          <w:trHeight w:val="86"/>
          <w:jc w:val="center"/>
        </w:trPr>
        <w:tc>
          <w:tcPr>
            <w:tcW w:w="1255" w:type="dxa"/>
            <w:tcBorders>
              <w:top w:val="single" w:sz="12" w:space="0" w:color="auto"/>
            </w:tcBorders>
            <w:noWrap/>
            <w:vAlign w:val="center"/>
            <w:hideMark/>
          </w:tcPr>
          <w:p w14:paraId="4D8AD634"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09-07</w:t>
            </w:r>
          </w:p>
          <w:p w14:paraId="624862BB" w14:textId="77777777" w:rsidR="00945C39" w:rsidRPr="000632D8" w:rsidRDefault="00945C39" w:rsidP="00112EB2">
            <w:pPr>
              <w:jc w:val="center"/>
              <w:rPr>
                <w:rFonts w:ascii="Cambria" w:eastAsia="Times New Roman" w:hAnsi="Cambria" w:cs="Calibri"/>
                <w:b/>
                <w:bCs/>
                <w:sz w:val="18"/>
                <w:szCs w:val="18"/>
              </w:rPr>
            </w:pPr>
          </w:p>
          <w:p w14:paraId="0E00889D"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(Renard à gros yeux)</w:t>
            </w:r>
          </w:p>
        </w:tc>
        <w:tc>
          <w:tcPr>
            <w:tcW w:w="815" w:type="dxa"/>
            <w:tcBorders>
              <w:top w:val="single" w:sz="12" w:space="0" w:color="auto"/>
            </w:tcBorders>
            <w:noWrap/>
            <w:vAlign w:val="center"/>
            <w:hideMark/>
          </w:tcPr>
          <w:p w14:paraId="458598F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w:t>
            </w:r>
          </w:p>
        </w:tc>
        <w:tc>
          <w:tcPr>
            <w:tcW w:w="1165" w:type="dxa"/>
            <w:tcBorders>
              <w:top w:val="single" w:sz="12" w:space="0" w:color="auto"/>
            </w:tcBorders>
            <w:vAlign w:val="center"/>
          </w:tcPr>
          <w:p w14:paraId="314B3DB0"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Remplace la Rec. 08-07</w:t>
            </w:r>
          </w:p>
        </w:tc>
        <w:tc>
          <w:tcPr>
            <w:tcW w:w="2666" w:type="dxa"/>
            <w:tcBorders>
              <w:top w:val="single" w:sz="12" w:space="0" w:color="auto"/>
            </w:tcBorders>
            <w:vAlign w:val="center"/>
            <w:hideMark/>
          </w:tcPr>
          <w:p w14:paraId="2E8A549E"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Parties contractantes et Parties, Entités ou Entités de pêche non contractantes coopérantes (ci-après dénommées « CPC ») devront interdire de retenir à bord, de transborder, de débarquer, de </w:t>
            </w:r>
            <w:r w:rsidRPr="00945C39">
              <w:rPr>
                <w:sz w:val="18"/>
                <w:szCs w:val="18"/>
                <w:lang w:val="fr-FR"/>
              </w:rPr>
              <w:lastRenderedPageBreak/>
              <w:t xml:space="preserve">stocker, de vendre, ou d’offrir à la vente une partie ou la totalité de la carcasse des </w:t>
            </w:r>
            <w:r w:rsidRPr="00945C39">
              <w:rPr>
                <w:b/>
                <w:bCs/>
                <w:sz w:val="18"/>
                <w:szCs w:val="18"/>
                <w:lang w:val="fr-FR"/>
              </w:rPr>
              <w:t>renards à gros yeux</w:t>
            </w:r>
            <w:r w:rsidRPr="00945C39">
              <w:rPr>
                <w:sz w:val="18"/>
                <w:szCs w:val="18"/>
                <w:lang w:val="fr-FR"/>
              </w:rPr>
              <w:t xml:space="preserve"> (</w:t>
            </w:r>
            <w:r w:rsidRPr="00945C39">
              <w:rPr>
                <w:i/>
                <w:iCs/>
                <w:sz w:val="18"/>
                <w:szCs w:val="18"/>
                <w:lang w:val="fr-FR"/>
              </w:rPr>
              <w:t>Alopias superciliosus</w:t>
            </w:r>
            <w:r w:rsidRPr="00945C39">
              <w:rPr>
                <w:sz w:val="18"/>
                <w:szCs w:val="18"/>
                <w:lang w:val="fr-FR"/>
              </w:rPr>
              <w:t>) capturés dans toute pêcherie, à l’exception de la pêcherie côtière du Mexique à petite échelle, avec une prise de moins de 110 poissons.</w:t>
            </w:r>
          </w:p>
        </w:tc>
        <w:tc>
          <w:tcPr>
            <w:tcW w:w="1566" w:type="dxa"/>
            <w:tcBorders>
              <w:top w:val="single" w:sz="12" w:space="0" w:color="auto"/>
            </w:tcBorders>
            <w:vAlign w:val="center"/>
            <w:hideMark/>
          </w:tcPr>
          <w:p w14:paraId="0BDCF669" w14:textId="77777777" w:rsidR="00945C39" w:rsidRPr="00C469EA" w:rsidRDefault="00945C39" w:rsidP="00112EB2">
            <w:pPr>
              <w:jc w:val="both"/>
              <w:rPr>
                <w:rFonts w:eastAsia="Times New Roman" w:cs="Calibri"/>
                <w:sz w:val="18"/>
                <w:szCs w:val="18"/>
              </w:rPr>
            </w:pPr>
            <w:r w:rsidRPr="00C469EA">
              <w:rPr>
                <w:sz w:val="18"/>
                <w:szCs w:val="18"/>
              </w:rPr>
              <w:lastRenderedPageBreak/>
              <w:t>Non</w:t>
            </w:r>
          </w:p>
        </w:tc>
        <w:tc>
          <w:tcPr>
            <w:tcW w:w="1618" w:type="dxa"/>
            <w:tcBorders>
              <w:top w:val="single" w:sz="12" w:space="0" w:color="auto"/>
            </w:tcBorders>
          </w:tcPr>
          <w:p w14:paraId="36E5D8C9"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 xml:space="preserve">Arrêté n°29318 du 19 aout 2025 du Ministre chargé de la Pêche fixant les mesures de </w:t>
            </w:r>
            <w:r w:rsidRPr="00945C39">
              <w:rPr>
                <w:rFonts w:eastAsia="MS Mincho"/>
                <w:sz w:val="18"/>
                <w:szCs w:val="18"/>
                <w:lang w:val="fr-FR" w:eastAsia="fr-FR" w:bidi="fr-FR"/>
              </w:rPr>
              <w:lastRenderedPageBreak/>
              <w:t>conservation des requins et raies</w:t>
            </w:r>
          </w:p>
        </w:tc>
        <w:tc>
          <w:tcPr>
            <w:tcW w:w="2041" w:type="dxa"/>
            <w:tcBorders>
              <w:top w:val="single" w:sz="12" w:space="0" w:color="auto"/>
            </w:tcBorders>
            <w:vAlign w:val="center"/>
            <w:hideMark/>
          </w:tcPr>
          <w:p w14:paraId="2ABA6B2A" w14:textId="77777777" w:rsidR="00945C39" w:rsidRPr="00945C39" w:rsidRDefault="00945C39" w:rsidP="00112EB2">
            <w:pPr>
              <w:jc w:val="both"/>
              <w:rPr>
                <w:rFonts w:eastAsia="Times New Roman" w:cs="Calibri"/>
                <w:sz w:val="18"/>
                <w:szCs w:val="18"/>
                <w:lang w:val="fr-FR"/>
              </w:rPr>
            </w:pPr>
            <w:r w:rsidRPr="00945C39">
              <w:rPr>
                <w:sz w:val="18"/>
                <w:szCs w:val="18"/>
                <w:lang w:val="fr-FR"/>
              </w:rPr>
              <w:lastRenderedPageBreak/>
              <w:t>Il n’y a pas de pêche ciblée pour cette espèce par les navires thoniers (palangriers)</w:t>
            </w:r>
          </w:p>
        </w:tc>
      </w:tr>
      <w:tr w:rsidR="00945C39" w:rsidRPr="00945C39" w14:paraId="4B35F5EB" w14:textId="77777777" w:rsidTr="00112EB2">
        <w:trPr>
          <w:trHeight w:val="43"/>
          <w:jc w:val="center"/>
        </w:trPr>
        <w:tc>
          <w:tcPr>
            <w:tcW w:w="1255" w:type="dxa"/>
            <w:noWrap/>
            <w:vAlign w:val="center"/>
            <w:hideMark/>
          </w:tcPr>
          <w:p w14:paraId="4AC625EB"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09-07</w:t>
            </w:r>
          </w:p>
          <w:p w14:paraId="2EA9807D" w14:textId="77777777" w:rsidR="00945C39" w:rsidRPr="000632D8" w:rsidRDefault="00945C39" w:rsidP="00112EB2">
            <w:pPr>
              <w:jc w:val="center"/>
              <w:rPr>
                <w:rFonts w:ascii="Cambria" w:eastAsia="Times New Roman" w:hAnsi="Cambria" w:cs="Calibri"/>
                <w:b/>
                <w:bCs/>
                <w:sz w:val="18"/>
                <w:szCs w:val="18"/>
              </w:rPr>
            </w:pPr>
          </w:p>
          <w:p w14:paraId="37B30644"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(Renard à gros yeux)</w:t>
            </w:r>
          </w:p>
        </w:tc>
        <w:tc>
          <w:tcPr>
            <w:tcW w:w="815" w:type="dxa"/>
            <w:noWrap/>
            <w:vAlign w:val="center"/>
            <w:hideMark/>
          </w:tcPr>
          <w:p w14:paraId="6A0423C9"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w:t>
            </w:r>
          </w:p>
        </w:tc>
        <w:tc>
          <w:tcPr>
            <w:tcW w:w="1165" w:type="dxa"/>
            <w:vAlign w:val="center"/>
          </w:tcPr>
          <w:p w14:paraId="3BDDC1FE"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Remplace la Rec. 08-07</w:t>
            </w:r>
          </w:p>
        </w:tc>
        <w:tc>
          <w:tcPr>
            <w:tcW w:w="2666" w:type="dxa"/>
            <w:vAlign w:val="center"/>
            <w:hideMark/>
          </w:tcPr>
          <w:p w14:paraId="4567FD4C" w14:textId="77777777" w:rsidR="00945C39" w:rsidRPr="00945C39" w:rsidRDefault="00945C39" w:rsidP="00112EB2">
            <w:pPr>
              <w:jc w:val="both"/>
              <w:rPr>
                <w:sz w:val="18"/>
                <w:szCs w:val="18"/>
                <w:lang w:val="fr-FR"/>
              </w:rPr>
            </w:pPr>
            <w:r w:rsidRPr="00945C39">
              <w:rPr>
                <w:sz w:val="18"/>
                <w:szCs w:val="18"/>
                <w:lang w:val="fr-FR"/>
              </w:rPr>
              <w:t xml:space="preserve">Les CPC devront demander aux navires battant leur pavillon de remettre à l’eau promptement, et dans la mesure du possible indemnes, les </w:t>
            </w:r>
            <w:r w:rsidRPr="00945C39">
              <w:rPr>
                <w:b/>
                <w:bCs/>
                <w:sz w:val="18"/>
                <w:szCs w:val="18"/>
                <w:lang w:val="fr-FR"/>
              </w:rPr>
              <w:t>renards à gros yeux</w:t>
            </w:r>
            <w:r w:rsidRPr="00945C39">
              <w:rPr>
                <w:sz w:val="18"/>
                <w:szCs w:val="18"/>
                <w:lang w:val="fr-FR"/>
              </w:rPr>
              <w:t xml:space="preserve"> lorsqu’ils sont amenés le long du bateau afin de les hisser à bord.</w:t>
            </w:r>
          </w:p>
          <w:p w14:paraId="416D2626" w14:textId="77777777" w:rsidR="00945C39" w:rsidRPr="00945C39" w:rsidRDefault="00945C39" w:rsidP="00112EB2">
            <w:pPr>
              <w:jc w:val="both"/>
              <w:rPr>
                <w:rFonts w:eastAsia="Times New Roman" w:cs="Calibri"/>
                <w:sz w:val="18"/>
                <w:szCs w:val="18"/>
                <w:lang w:val="fr-FR"/>
              </w:rPr>
            </w:pPr>
          </w:p>
        </w:tc>
        <w:tc>
          <w:tcPr>
            <w:tcW w:w="1566" w:type="dxa"/>
            <w:vAlign w:val="center"/>
            <w:hideMark/>
          </w:tcPr>
          <w:p w14:paraId="135D5BF8" w14:textId="77777777" w:rsidR="00945C39" w:rsidRPr="00945C39" w:rsidRDefault="00945C39" w:rsidP="00112EB2">
            <w:pPr>
              <w:jc w:val="both"/>
              <w:rPr>
                <w:sz w:val="18"/>
                <w:szCs w:val="18"/>
                <w:lang w:val="fr-FR"/>
              </w:rPr>
            </w:pPr>
          </w:p>
          <w:p w14:paraId="7F9DFC9A"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Pr>
          <w:p w14:paraId="6AF09308"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vAlign w:val="center"/>
            <w:hideMark/>
          </w:tcPr>
          <w:p w14:paraId="2A459A1C" w14:textId="77777777" w:rsidR="00945C39" w:rsidRPr="00945C39" w:rsidRDefault="00945C39" w:rsidP="00112EB2">
            <w:pPr>
              <w:jc w:val="both"/>
              <w:rPr>
                <w:rFonts w:eastAsia="Times New Roman" w:cs="Calibri"/>
                <w:sz w:val="18"/>
                <w:szCs w:val="18"/>
                <w:lang w:val="fr-FR"/>
              </w:rPr>
            </w:pPr>
            <w:r w:rsidRPr="00945C39">
              <w:rPr>
                <w:sz w:val="18"/>
                <w:szCs w:val="18"/>
                <w:lang w:val="fr-FR"/>
              </w:rPr>
              <w:t>Il n’y a pas de pêche ciblée pour cette espèce par les navires thoniers (palangriers)</w:t>
            </w:r>
          </w:p>
        </w:tc>
      </w:tr>
      <w:tr w:rsidR="00945C39" w:rsidRPr="00945C39" w14:paraId="3327A66D" w14:textId="77777777" w:rsidTr="00112EB2">
        <w:trPr>
          <w:trHeight w:val="86"/>
          <w:jc w:val="center"/>
        </w:trPr>
        <w:tc>
          <w:tcPr>
            <w:tcW w:w="1255" w:type="dxa"/>
            <w:tcBorders>
              <w:bottom w:val="single" w:sz="12" w:space="0" w:color="auto"/>
            </w:tcBorders>
            <w:noWrap/>
            <w:vAlign w:val="center"/>
            <w:hideMark/>
          </w:tcPr>
          <w:p w14:paraId="702818BA"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09-07</w:t>
            </w:r>
          </w:p>
          <w:p w14:paraId="4D49880A" w14:textId="77777777" w:rsidR="00945C39" w:rsidRPr="000632D8" w:rsidRDefault="00945C39" w:rsidP="00112EB2">
            <w:pPr>
              <w:jc w:val="center"/>
              <w:rPr>
                <w:rFonts w:ascii="Cambria" w:eastAsia="Times New Roman" w:hAnsi="Cambria" w:cs="Calibri"/>
                <w:b/>
                <w:bCs/>
                <w:sz w:val="18"/>
                <w:szCs w:val="18"/>
              </w:rPr>
            </w:pPr>
          </w:p>
          <w:p w14:paraId="18F4B3D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(Renard à gros yeux)</w:t>
            </w:r>
          </w:p>
        </w:tc>
        <w:tc>
          <w:tcPr>
            <w:tcW w:w="815" w:type="dxa"/>
            <w:tcBorders>
              <w:bottom w:val="single" w:sz="12" w:space="0" w:color="auto"/>
            </w:tcBorders>
            <w:noWrap/>
            <w:vAlign w:val="center"/>
            <w:hideMark/>
          </w:tcPr>
          <w:p w14:paraId="7EA3E82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4</w:t>
            </w:r>
          </w:p>
        </w:tc>
        <w:tc>
          <w:tcPr>
            <w:tcW w:w="1165" w:type="dxa"/>
            <w:tcBorders>
              <w:bottom w:val="single" w:sz="12" w:space="0" w:color="auto"/>
            </w:tcBorders>
            <w:vAlign w:val="center"/>
          </w:tcPr>
          <w:p w14:paraId="710E81C6"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Remplace la Rec. 08-07</w:t>
            </w:r>
          </w:p>
        </w:tc>
        <w:tc>
          <w:tcPr>
            <w:tcW w:w="2666" w:type="dxa"/>
            <w:tcBorders>
              <w:bottom w:val="single" w:sz="12" w:space="0" w:color="auto"/>
            </w:tcBorders>
            <w:vAlign w:val="center"/>
            <w:hideMark/>
          </w:tcPr>
          <w:p w14:paraId="54958622"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CPC devront solliciter la collecte et la soumission des données de la tâche 1 et de la tâche 2 pour les Alopias spp, autres que les </w:t>
            </w:r>
            <w:r w:rsidRPr="00945C39">
              <w:rPr>
                <w:i/>
                <w:iCs/>
                <w:sz w:val="18"/>
                <w:szCs w:val="18"/>
                <w:lang w:val="fr-FR"/>
              </w:rPr>
              <w:t>A. superciliosus,</w:t>
            </w:r>
            <w:r w:rsidRPr="00945C39">
              <w:rPr>
                <w:sz w:val="18"/>
                <w:szCs w:val="18"/>
                <w:lang w:val="fr-FR"/>
              </w:rPr>
              <w:t xml:space="preserve"> conformément aux exigences en matière de déclaration des données de l'ICCAT. Le nombre de rejets et de remises à l’eau d’</w:t>
            </w:r>
            <w:r w:rsidRPr="00945C39">
              <w:rPr>
                <w:b/>
                <w:bCs/>
                <w:sz w:val="18"/>
                <w:szCs w:val="18"/>
                <w:lang w:val="fr-FR"/>
              </w:rPr>
              <w:t>A</w:t>
            </w:r>
            <w:r w:rsidRPr="00945C39">
              <w:rPr>
                <w:b/>
                <w:bCs/>
                <w:i/>
                <w:sz w:val="18"/>
                <w:szCs w:val="18"/>
                <w:lang w:val="fr-FR"/>
              </w:rPr>
              <w:t xml:space="preserve">. superciliosus </w:t>
            </w:r>
            <w:r w:rsidRPr="00945C39">
              <w:rPr>
                <w:sz w:val="18"/>
                <w:szCs w:val="18"/>
                <w:lang w:val="fr-FR"/>
              </w:rPr>
              <w:t>doit être consigné en indiquant l’état (mort ou vivant) et déclaré à l'ICCAT, conformément aux exigences en matière de déclaration des données de l'ICCAT.</w:t>
            </w:r>
          </w:p>
        </w:tc>
        <w:tc>
          <w:tcPr>
            <w:tcW w:w="1566" w:type="dxa"/>
            <w:tcBorders>
              <w:bottom w:val="single" w:sz="12" w:space="0" w:color="auto"/>
            </w:tcBorders>
            <w:vAlign w:val="center"/>
            <w:hideMark/>
          </w:tcPr>
          <w:p w14:paraId="0747B446" w14:textId="77777777" w:rsidR="00945C39" w:rsidRPr="00C469EA" w:rsidRDefault="00945C39" w:rsidP="00112EB2">
            <w:pPr>
              <w:jc w:val="both"/>
              <w:rPr>
                <w:rFonts w:eastAsia="Times New Roman" w:cs="Calibri"/>
                <w:sz w:val="18"/>
                <w:szCs w:val="18"/>
              </w:rPr>
            </w:pPr>
            <w:r w:rsidRPr="00945C39">
              <w:rPr>
                <w:sz w:val="18"/>
                <w:szCs w:val="18"/>
                <w:lang w:val="fr-FR"/>
              </w:rPr>
              <w:t xml:space="preserve"> </w:t>
            </w:r>
            <w:r w:rsidRPr="00C469EA">
              <w:rPr>
                <w:sz w:val="18"/>
                <w:szCs w:val="18"/>
              </w:rPr>
              <w:t xml:space="preserve">Non </w:t>
            </w:r>
          </w:p>
        </w:tc>
        <w:tc>
          <w:tcPr>
            <w:tcW w:w="1618" w:type="dxa"/>
            <w:tcBorders>
              <w:bottom w:val="single" w:sz="12" w:space="0" w:color="auto"/>
            </w:tcBorders>
          </w:tcPr>
          <w:p w14:paraId="64DBA6D0" w14:textId="77777777" w:rsidR="00945C39" w:rsidRPr="00945C39" w:rsidRDefault="00945C39" w:rsidP="00112EB2">
            <w:pPr>
              <w:jc w:val="both"/>
              <w:rPr>
                <w:sz w:val="18"/>
                <w:szCs w:val="18"/>
                <w:lang w:val="fr-FR"/>
              </w:rPr>
            </w:pPr>
            <w:r w:rsidRPr="00945C39">
              <w:rPr>
                <w:sz w:val="18"/>
                <w:szCs w:val="18"/>
                <w:lang w:val="fr-FR"/>
              </w:rPr>
              <w:t>Arrêté 03564 du 02 mars 2017 sur le journal de pêche</w:t>
            </w:r>
          </w:p>
          <w:p w14:paraId="599B5B0B" w14:textId="77777777" w:rsidR="00945C39" w:rsidRPr="00945C39" w:rsidRDefault="00945C39" w:rsidP="00112EB2">
            <w:pPr>
              <w:jc w:val="both"/>
              <w:rPr>
                <w:sz w:val="18"/>
                <w:szCs w:val="18"/>
                <w:lang w:val="fr-FR"/>
              </w:rPr>
            </w:pPr>
          </w:p>
          <w:p w14:paraId="38009AE6"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tcBorders>
              <w:bottom w:val="single" w:sz="12" w:space="0" w:color="auto"/>
            </w:tcBorders>
            <w:vAlign w:val="center"/>
            <w:hideMark/>
          </w:tcPr>
          <w:p w14:paraId="0A434499" w14:textId="77777777" w:rsidR="00945C39" w:rsidRPr="00945C39" w:rsidRDefault="00945C39" w:rsidP="00112EB2">
            <w:pPr>
              <w:jc w:val="both"/>
              <w:rPr>
                <w:rFonts w:eastAsia="MS Mincho"/>
                <w:sz w:val="18"/>
                <w:szCs w:val="18"/>
                <w:lang w:val="fr-FR" w:eastAsia="fr-FR" w:bidi="fr-FR"/>
              </w:rPr>
            </w:pPr>
            <w:r w:rsidRPr="00945C39">
              <w:rPr>
                <w:rFonts w:eastAsia="MS Mincho"/>
                <w:sz w:val="18"/>
                <w:szCs w:val="18"/>
                <w:lang w:val="fr-FR" w:eastAsia="fr-FR" w:bidi="fr-FR"/>
              </w:rPr>
              <w:t>Les informations à fournir sont fixées par cet arrêté, un dispositif de collecte des statistiques au débarquement et les rapports d’observateurs permettront d’obtenir les données requises.</w:t>
            </w:r>
          </w:p>
          <w:p w14:paraId="51AB494B" w14:textId="77777777" w:rsidR="00945C39" w:rsidRPr="00945C39" w:rsidRDefault="00945C39" w:rsidP="00112EB2">
            <w:pPr>
              <w:jc w:val="both"/>
              <w:rPr>
                <w:rFonts w:eastAsia="Times New Roman" w:cs="Calibri"/>
                <w:sz w:val="18"/>
                <w:szCs w:val="18"/>
                <w:lang w:val="fr-FR"/>
              </w:rPr>
            </w:pPr>
          </w:p>
        </w:tc>
      </w:tr>
      <w:tr w:rsidR="00945C39" w:rsidRPr="00C469EA" w14:paraId="12896D10" w14:textId="77777777" w:rsidTr="00112EB2">
        <w:trPr>
          <w:trHeight w:val="86"/>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132877D2"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REQUIN OCÉANIQUE</w:t>
            </w:r>
          </w:p>
        </w:tc>
      </w:tr>
      <w:tr w:rsidR="00945C39" w:rsidRPr="00945C39" w14:paraId="4E8C6812" w14:textId="77777777" w:rsidTr="00112EB2">
        <w:trPr>
          <w:trHeight w:val="71"/>
          <w:jc w:val="center"/>
        </w:trPr>
        <w:tc>
          <w:tcPr>
            <w:tcW w:w="1255" w:type="dxa"/>
            <w:tcBorders>
              <w:top w:val="single" w:sz="12" w:space="0" w:color="auto"/>
            </w:tcBorders>
            <w:noWrap/>
            <w:vAlign w:val="center"/>
            <w:hideMark/>
          </w:tcPr>
          <w:p w14:paraId="3D29B403" w14:textId="77777777" w:rsidR="00945C39" w:rsidRPr="000632D8" w:rsidRDefault="00945C39" w:rsidP="00112EB2">
            <w:pPr>
              <w:jc w:val="center"/>
              <w:rPr>
                <w:rFonts w:ascii="Cambria" w:eastAsia="Times New Roman" w:hAnsi="Cambria" w:cs="Calibri"/>
                <w:b/>
                <w:bCs/>
                <w:sz w:val="18"/>
                <w:szCs w:val="18"/>
              </w:rPr>
            </w:pPr>
            <w:r w:rsidRPr="000632D8">
              <w:rPr>
                <w:rFonts w:ascii="Cambria" w:eastAsia="Times New Roman" w:hAnsi="Cambria" w:cs="Calibri"/>
                <w:b/>
                <w:bCs/>
                <w:sz w:val="18"/>
                <w:szCs w:val="18"/>
              </w:rPr>
              <w:t>10-07</w:t>
            </w:r>
          </w:p>
          <w:p w14:paraId="03EBAF96" w14:textId="77777777" w:rsidR="00945C39" w:rsidRPr="000632D8" w:rsidRDefault="00945C39" w:rsidP="00112EB2">
            <w:pPr>
              <w:jc w:val="center"/>
              <w:rPr>
                <w:rFonts w:ascii="Cambria" w:eastAsia="Times New Roman" w:hAnsi="Cambria" w:cs="Calibri"/>
                <w:b/>
                <w:bCs/>
                <w:sz w:val="18"/>
                <w:szCs w:val="18"/>
              </w:rPr>
            </w:pPr>
          </w:p>
          <w:p w14:paraId="03BBAE77" w14:textId="77777777" w:rsidR="00945C39" w:rsidRPr="00C469EA" w:rsidRDefault="00945C39" w:rsidP="00112EB2">
            <w:pPr>
              <w:jc w:val="center"/>
              <w:rPr>
                <w:rFonts w:eastAsia="Times New Roman" w:cs="Calibri"/>
                <w:b/>
                <w:bCs/>
                <w:sz w:val="18"/>
                <w:szCs w:val="18"/>
              </w:rPr>
            </w:pPr>
            <w:r w:rsidRPr="000632D8">
              <w:rPr>
                <w:rFonts w:ascii="Cambria" w:eastAsia="Times New Roman" w:hAnsi="Cambria" w:cs="Calibri"/>
                <w:b/>
                <w:bCs/>
                <w:sz w:val="18"/>
                <w:szCs w:val="18"/>
              </w:rPr>
              <w:lastRenderedPageBreak/>
              <w:t>(Requin océanique)</w:t>
            </w:r>
          </w:p>
        </w:tc>
        <w:tc>
          <w:tcPr>
            <w:tcW w:w="815" w:type="dxa"/>
            <w:tcBorders>
              <w:top w:val="single" w:sz="12" w:space="0" w:color="auto"/>
            </w:tcBorders>
            <w:noWrap/>
            <w:vAlign w:val="center"/>
            <w:hideMark/>
          </w:tcPr>
          <w:p w14:paraId="5220BBB5"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1</w:t>
            </w:r>
          </w:p>
        </w:tc>
        <w:tc>
          <w:tcPr>
            <w:tcW w:w="1165" w:type="dxa"/>
            <w:tcBorders>
              <w:top w:val="single" w:sz="12" w:space="0" w:color="auto"/>
            </w:tcBorders>
            <w:vAlign w:val="center"/>
          </w:tcPr>
          <w:p w14:paraId="4CCDFC99"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12" w:space="0" w:color="auto"/>
            </w:tcBorders>
            <w:vAlign w:val="center"/>
            <w:hideMark/>
          </w:tcPr>
          <w:p w14:paraId="15605E5D"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Parties contractantes et Parties, Entités ou Entités de pêche non contractantes </w:t>
            </w:r>
            <w:r w:rsidRPr="00945C39">
              <w:rPr>
                <w:sz w:val="18"/>
                <w:szCs w:val="18"/>
                <w:lang w:val="fr-FR"/>
              </w:rPr>
              <w:lastRenderedPageBreak/>
              <w:t xml:space="preserve">coopérantes (ci-après dénommées « CPC ») devront interdire de retenir à bord, de transborder, de débarquer, de stocker, de vendre, ou d’offrir à la vente une partie ou la totalité de la carcasse des </w:t>
            </w:r>
            <w:r w:rsidRPr="00945C39">
              <w:rPr>
                <w:b/>
                <w:bCs/>
                <w:sz w:val="18"/>
                <w:szCs w:val="18"/>
                <w:lang w:val="fr-FR"/>
              </w:rPr>
              <w:t>requins océaniques</w:t>
            </w:r>
            <w:r w:rsidRPr="00945C39">
              <w:rPr>
                <w:sz w:val="18"/>
                <w:szCs w:val="18"/>
                <w:lang w:val="fr-FR"/>
              </w:rPr>
              <w:t xml:space="preserve"> dans toute pêcherie.</w:t>
            </w:r>
          </w:p>
        </w:tc>
        <w:tc>
          <w:tcPr>
            <w:tcW w:w="1566" w:type="dxa"/>
            <w:tcBorders>
              <w:top w:val="single" w:sz="12" w:space="0" w:color="auto"/>
            </w:tcBorders>
            <w:vAlign w:val="center"/>
            <w:hideMark/>
          </w:tcPr>
          <w:p w14:paraId="2D10D507" w14:textId="77777777" w:rsidR="00945C39" w:rsidRPr="00C469EA" w:rsidRDefault="00945C39" w:rsidP="00112EB2">
            <w:pPr>
              <w:jc w:val="both"/>
              <w:rPr>
                <w:rFonts w:eastAsia="Times New Roman" w:cs="Calibri"/>
                <w:sz w:val="18"/>
                <w:szCs w:val="18"/>
              </w:rPr>
            </w:pPr>
            <w:r w:rsidRPr="00C469EA">
              <w:rPr>
                <w:sz w:val="18"/>
                <w:szCs w:val="18"/>
              </w:rPr>
              <w:lastRenderedPageBreak/>
              <w:t xml:space="preserve">Non </w:t>
            </w:r>
          </w:p>
        </w:tc>
        <w:tc>
          <w:tcPr>
            <w:tcW w:w="1618" w:type="dxa"/>
            <w:tcBorders>
              <w:top w:val="single" w:sz="12" w:space="0" w:color="auto"/>
            </w:tcBorders>
          </w:tcPr>
          <w:p w14:paraId="79C92CB4"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 xml:space="preserve">Arrêté n°29318 du 19 aout 2025 du Ministre chargé </w:t>
            </w:r>
            <w:r w:rsidRPr="00945C39">
              <w:rPr>
                <w:rFonts w:eastAsia="MS Mincho"/>
                <w:sz w:val="18"/>
                <w:szCs w:val="18"/>
                <w:lang w:val="fr-FR" w:eastAsia="fr-FR" w:bidi="fr-FR"/>
              </w:rPr>
              <w:lastRenderedPageBreak/>
              <w:t>de la Pêche fixant les mesures de conservation des requins et raies</w:t>
            </w:r>
          </w:p>
        </w:tc>
        <w:tc>
          <w:tcPr>
            <w:tcW w:w="2041" w:type="dxa"/>
            <w:tcBorders>
              <w:top w:val="single" w:sz="12" w:space="0" w:color="auto"/>
            </w:tcBorders>
            <w:vAlign w:val="center"/>
            <w:hideMark/>
          </w:tcPr>
          <w:p w14:paraId="35C4FA50" w14:textId="77777777" w:rsidR="00945C39" w:rsidRPr="00945C39" w:rsidRDefault="00945C39" w:rsidP="00112EB2">
            <w:pPr>
              <w:jc w:val="both"/>
              <w:rPr>
                <w:sz w:val="18"/>
                <w:szCs w:val="18"/>
                <w:lang w:val="fr-FR"/>
              </w:rPr>
            </w:pPr>
            <w:r w:rsidRPr="00945C39">
              <w:rPr>
                <w:rFonts w:eastAsia="MS Mincho"/>
                <w:sz w:val="18"/>
                <w:szCs w:val="18"/>
                <w:lang w:val="fr-FR" w:eastAsia="fr-FR" w:bidi="fr-FR"/>
              </w:rPr>
              <w:lastRenderedPageBreak/>
              <w:t>La pêche industrielle ne cible et ne capture pas les requins océaniques</w:t>
            </w:r>
          </w:p>
          <w:p w14:paraId="60C3B1E4" w14:textId="77777777" w:rsidR="00945C39" w:rsidRPr="00945C39" w:rsidRDefault="00945C39" w:rsidP="00112EB2">
            <w:pPr>
              <w:jc w:val="both"/>
              <w:rPr>
                <w:rFonts w:eastAsia="Times New Roman" w:cs="Calibri"/>
                <w:sz w:val="18"/>
                <w:szCs w:val="18"/>
                <w:lang w:val="fr-FR"/>
              </w:rPr>
            </w:pPr>
          </w:p>
        </w:tc>
      </w:tr>
      <w:tr w:rsidR="00945C39" w:rsidRPr="00945C39" w14:paraId="3CF32FB6" w14:textId="77777777" w:rsidTr="00112EB2">
        <w:trPr>
          <w:trHeight w:val="43"/>
          <w:jc w:val="center"/>
        </w:trPr>
        <w:tc>
          <w:tcPr>
            <w:tcW w:w="1255" w:type="dxa"/>
            <w:tcBorders>
              <w:bottom w:val="single" w:sz="12" w:space="0" w:color="auto"/>
            </w:tcBorders>
            <w:noWrap/>
            <w:vAlign w:val="center"/>
            <w:hideMark/>
          </w:tcPr>
          <w:p w14:paraId="7B81581F" w14:textId="77777777" w:rsidR="00945C39" w:rsidRPr="000632D8" w:rsidRDefault="00945C39" w:rsidP="00112EB2">
            <w:pPr>
              <w:jc w:val="center"/>
              <w:rPr>
                <w:rFonts w:ascii="Cambria" w:eastAsia="Times New Roman" w:hAnsi="Cambria" w:cs="Calibri"/>
                <w:b/>
                <w:bCs/>
                <w:sz w:val="18"/>
                <w:szCs w:val="18"/>
              </w:rPr>
            </w:pPr>
            <w:r w:rsidRPr="000632D8">
              <w:rPr>
                <w:rFonts w:ascii="Cambria" w:eastAsia="Times New Roman" w:hAnsi="Cambria" w:cs="Calibri"/>
                <w:b/>
                <w:bCs/>
                <w:sz w:val="18"/>
                <w:szCs w:val="18"/>
              </w:rPr>
              <w:t>10-07</w:t>
            </w:r>
          </w:p>
          <w:p w14:paraId="2C1E9872" w14:textId="77777777" w:rsidR="00945C39" w:rsidRPr="000632D8" w:rsidRDefault="00945C39" w:rsidP="00112EB2">
            <w:pPr>
              <w:jc w:val="center"/>
              <w:rPr>
                <w:rFonts w:ascii="Cambria" w:eastAsia="Times New Roman" w:hAnsi="Cambria" w:cs="Calibri"/>
                <w:b/>
                <w:bCs/>
                <w:sz w:val="18"/>
                <w:szCs w:val="18"/>
              </w:rPr>
            </w:pPr>
          </w:p>
          <w:p w14:paraId="2CCB1892" w14:textId="77777777" w:rsidR="00945C39" w:rsidRPr="00C469EA" w:rsidRDefault="00945C39" w:rsidP="00112EB2">
            <w:pPr>
              <w:jc w:val="center"/>
              <w:rPr>
                <w:rFonts w:eastAsia="Times New Roman" w:cs="Calibri"/>
                <w:b/>
                <w:bCs/>
                <w:sz w:val="18"/>
                <w:szCs w:val="18"/>
              </w:rPr>
            </w:pPr>
            <w:r w:rsidRPr="000632D8">
              <w:rPr>
                <w:rFonts w:ascii="Cambria" w:eastAsia="Times New Roman" w:hAnsi="Cambria" w:cs="Calibri"/>
                <w:b/>
                <w:bCs/>
                <w:sz w:val="18"/>
                <w:szCs w:val="18"/>
              </w:rPr>
              <w:t>(Requin océanique</w:t>
            </w:r>
          </w:p>
        </w:tc>
        <w:tc>
          <w:tcPr>
            <w:tcW w:w="815" w:type="dxa"/>
            <w:tcBorders>
              <w:bottom w:val="single" w:sz="12" w:space="0" w:color="auto"/>
            </w:tcBorders>
            <w:noWrap/>
            <w:vAlign w:val="center"/>
            <w:hideMark/>
          </w:tcPr>
          <w:p w14:paraId="067A53A3"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w:t>
            </w:r>
          </w:p>
        </w:tc>
        <w:tc>
          <w:tcPr>
            <w:tcW w:w="1165" w:type="dxa"/>
            <w:tcBorders>
              <w:bottom w:val="single" w:sz="12" w:space="0" w:color="auto"/>
            </w:tcBorders>
            <w:vAlign w:val="center"/>
          </w:tcPr>
          <w:p w14:paraId="1DE74957"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bottom w:val="single" w:sz="12" w:space="0" w:color="auto"/>
            </w:tcBorders>
            <w:vAlign w:val="center"/>
            <w:hideMark/>
          </w:tcPr>
          <w:p w14:paraId="4CF56021"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CPC devront consigner, par le biais de leurs programmes d’observateurs, le nombre de rejets et des remises à l’eau de </w:t>
            </w:r>
            <w:r w:rsidRPr="00945C39">
              <w:rPr>
                <w:b/>
                <w:bCs/>
                <w:sz w:val="18"/>
                <w:szCs w:val="18"/>
                <w:lang w:val="fr-FR"/>
              </w:rPr>
              <w:t>requins océaniques</w:t>
            </w:r>
            <w:r w:rsidRPr="00945C39">
              <w:rPr>
                <w:sz w:val="18"/>
                <w:szCs w:val="18"/>
                <w:lang w:val="fr-FR"/>
              </w:rPr>
              <w:t xml:space="preserve"> en indiquant l'état (mort ou vivant) et le déclarer à l'ICCAT.</w:t>
            </w:r>
          </w:p>
        </w:tc>
        <w:tc>
          <w:tcPr>
            <w:tcW w:w="1566" w:type="dxa"/>
            <w:tcBorders>
              <w:bottom w:val="single" w:sz="12" w:space="0" w:color="auto"/>
            </w:tcBorders>
            <w:vAlign w:val="center"/>
            <w:hideMark/>
          </w:tcPr>
          <w:p w14:paraId="7C759D70" w14:textId="77777777" w:rsidR="00945C39" w:rsidRPr="00C469EA" w:rsidRDefault="00945C39" w:rsidP="00112EB2">
            <w:pPr>
              <w:jc w:val="both"/>
              <w:rPr>
                <w:rFonts w:eastAsia="Times New Roman" w:cs="Calibri"/>
                <w:sz w:val="18"/>
                <w:szCs w:val="18"/>
              </w:rPr>
            </w:pPr>
            <w:r w:rsidRPr="00C469EA">
              <w:rPr>
                <w:sz w:val="18"/>
                <w:szCs w:val="18"/>
              </w:rPr>
              <w:t>Oui</w:t>
            </w:r>
          </w:p>
        </w:tc>
        <w:tc>
          <w:tcPr>
            <w:tcW w:w="1618" w:type="dxa"/>
            <w:tcBorders>
              <w:bottom w:val="single" w:sz="12" w:space="0" w:color="auto"/>
            </w:tcBorders>
          </w:tcPr>
          <w:p w14:paraId="4725CE85"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tcBorders>
              <w:bottom w:val="single" w:sz="12" w:space="0" w:color="auto"/>
            </w:tcBorders>
            <w:vAlign w:val="center"/>
            <w:hideMark/>
          </w:tcPr>
          <w:p w14:paraId="10708F79" w14:textId="77777777" w:rsidR="00945C39" w:rsidRPr="00945C39" w:rsidRDefault="00945C39" w:rsidP="00112EB2">
            <w:pPr>
              <w:jc w:val="both"/>
              <w:rPr>
                <w:sz w:val="18"/>
                <w:szCs w:val="18"/>
                <w:lang w:val="fr-FR"/>
              </w:rPr>
            </w:pPr>
            <w:r w:rsidRPr="00945C39">
              <w:rPr>
                <w:rFonts w:cs="Calibri"/>
                <w:sz w:val="18"/>
                <w:szCs w:val="18"/>
                <w:lang w:val="fr-FR" w:eastAsia="fr-FR" w:bidi="fr-FR"/>
              </w:rPr>
              <w:t>Collecte de ces données est prévue dans les rapports d’observateurs et le journal de journal de pêche.</w:t>
            </w:r>
          </w:p>
          <w:p w14:paraId="493CCF8D" w14:textId="77777777" w:rsidR="00945C39" w:rsidRPr="00945C39" w:rsidRDefault="00945C39" w:rsidP="00112EB2">
            <w:pPr>
              <w:jc w:val="both"/>
              <w:rPr>
                <w:rFonts w:eastAsia="Times New Roman" w:cs="Calibri"/>
                <w:sz w:val="18"/>
                <w:szCs w:val="18"/>
                <w:lang w:val="fr-FR"/>
              </w:rPr>
            </w:pPr>
          </w:p>
        </w:tc>
      </w:tr>
      <w:tr w:rsidR="00945C39" w:rsidRPr="00C469EA" w14:paraId="61C2A107" w14:textId="77777777" w:rsidTr="00112EB2">
        <w:trPr>
          <w:trHeight w:val="43"/>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587A2AA3"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REQUINS MARTEAU</w:t>
            </w:r>
          </w:p>
        </w:tc>
      </w:tr>
      <w:tr w:rsidR="00945C39" w:rsidRPr="00945C39" w14:paraId="78DF6D7E" w14:textId="77777777" w:rsidTr="00112EB2">
        <w:trPr>
          <w:trHeight w:val="86"/>
          <w:jc w:val="center"/>
        </w:trPr>
        <w:tc>
          <w:tcPr>
            <w:tcW w:w="1255" w:type="dxa"/>
            <w:tcBorders>
              <w:top w:val="single" w:sz="12" w:space="0" w:color="auto"/>
            </w:tcBorders>
            <w:noWrap/>
            <w:vAlign w:val="center"/>
            <w:hideMark/>
          </w:tcPr>
          <w:p w14:paraId="02A88661"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10-08</w:t>
            </w:r>
          </w:p>
          <w:p w14:paraId="1637DBE2" w14:textId="77777777" w:rsidR="00945C39" w:rsidRPr="000632D8" w:rsidRDefault="00945C39" w:rsidP="00112EB2">
            <w:pPr>
              <w:jc w:val="center"/>
              <w:rPr>
                <w:rFonts w:ascii="Cambria" w:eastAsia="Times New Roman" w:hAnsi="Cambria" w:cs="Calibri"/>
                <w:b/>
                <w:sz w:val="18"/>
                <w:szCs w:val="18"/>
              </w:rPr>
            </w:pPr>
          </w:p>
          <w:p w14:paraId="77FB19C2"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(Requins marteau)</w:t>
            </w:r>
          </w:p>
        </w:tc>
        <w:tc>
          <w:tcPr>
            <w:tcW w:w="815" w:type="dxa"/>
            <w:tcBorders>
              <w:top w:val="single" w:sz="12" w:space="0" w:color="auto"/>
            </w:tcBorders>
            <w:noWrap/>
            <w:vAlign w:val="center"/>
            <w:hideMark/>
          </w:tcPr>
          <w:p w14:paraId="77182235"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1</w:t>
            </w:r>
          </w:p>
        </w:tc>
        <w:tc>
          <w:tcPr>
            <w:tcW w:w="1165" w:type="dxa"/>
            <w:tcBorders>
              <w:top w:val="single" w:sz="12" w:space="0" w:color="auto"/>
            </w:tcBorders>
            <w:vAlign w:val="center"/>
          </w:tcPr>
          <w:p w14:paraId="73E53978"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12" w:space="0" w:color="auto"/>
            </w:tcBorders>
            <w:vAlign w:val="center"/>
            <w:hideMark/>
          </w:tcPr>
          <w:p w14:paraId="3BDAB84A"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Parties contractantes et Parties, Entités ou Entités de pêche non contractantes coopérantes (ci-après dénommées « CPC ») devront interdire de retenir à bord, de transborder, de débarquer, de stocker, de vendre, ou d’offrir à la vente une partie ou la totalité de la carcasse des </w:t>
            </w:r>
            <w:r w:rsidRPr="00945C39">
              <w:rPr>
                <w:b/>
                <w:bCs/>
                <w:sz w:val="18"/>
                <w:szCs w:val="18"/>
                <w:lang w:val="fr-FR"/>
              </w:rPr>
              <w:t>requins marteau</w:t>
            </w:r>
            <w:r w:rsidRPr="00945C39">
              <w:rPr>
                <w:sz w:val="18"/>
                <w:szCs w:val="18"/>
                <w:lang w:val="fr-FR"/>
              </w:rPr>
              <w:t xml:space="preserve"> du genre Sphyrnidae (exception faite du </w:t>
            </w:r>
            <w:r w:rsidRPr="00945C39">
              <w:rPr>
                <w:i/>
                <w:iCs/>
                <w:sz w:val="18"/>
                <w:szCs w:val="18"/>
                <w:lang w:val="fr-FR"/>
              </w:rPr>
              <w:t>Sphyrna tiburo</w:t>
            </w:r>
            <w:r w:rsidRPr="00945C39">
              <w:rPr>
                <w:sz w:val="18"/>
                <w:szCs w:val="18"/>
                <w:lang w:val="fr-FR"/>
              </w:rPr>
              <w:t>), capturés dans la zone de la Convention en association avec des pêcheries de l'ICCAT.</w:t>
            </w:r>
          </w:p>
          <w:p w14:paraId="50DCC6EC" w14:textId="77777777" w:rsidR="00945C39" w:rsidRPr="00945C39" w:rsidRDefault="00945C39" w:rsidP="00112EB2">
            <w:pPr>
              <w:jc w:val="both"/>
              <w:rPr>
                <w:rFonts w:eastAsia="Times New Roman" w:cs="Calibri"/>
                <w:sz w:val="18"/>
                <w:szCs w:val="18"/>
                <w:lang w:val="fr-FR"/>
              </w:rPr>
            </w:pPr>
          </w:p>
        </w:tc>
        <w:tc>
          <w:tcPr>
            <w:tcW w:w="1566" w:type="dxa"/>
            <w:tcBorders>
              <w:top w:val="single" w:sz="12" w:space="0" w:color="auto"/>
            </w:tcBorders>
            <w:vAlign w:val="center"/>
            <w:hideMark/>
          </w:tcPr>
          <w:p w14:paraId="40C835FC"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Borders>
              <w:top w:val="single" w:sz="12" w:space="0" w:color="auto"/>
            </w:tcBorders>
          </w:tcPr>
          <w:p w14:paraId="5BCBCDC0" w14:textId="77777777" w:rsidR="00945C39" w:rsidRPr="00945C39" w:rsidRDefault="00945C39" w:rsidP="00112EB2">
            <w:pPr>
              <w:jc w:val="both"/>
              <w:rPr>
                <w:sz w:val="18"/>
                <w:szCs w:val="18"/>
                <w:lang w:val="fr-FR"/>
              </w:rPr>
            </w:pPr>
            <w:r w:rsidRPr="00945C39">
              <w:rPr>
                <w:sz w:val="18"/>
                <w:szCs w:val="18"/>
                <w:lang w:val="fr-FR"/>
              </w:rPr>
              <w:t>Décret 2016-18 04 du 22 novembre 2016 portant application de la Loi 2015-18 du 13 juillet 2015</w:t>
            </w:r>
          </w:p>
          <w:p w14:paraId="34A12A59" w14:textId="77777777" w:rsidR="00945C39" w:rsidRPr="00945C39" w:rsidRDefault="00945C39" w:rsidP="00112EB2">
            <w:pPr>
              <w:jc w:val="both"/>
              <w:rPr>
                <w:sz w:val="18"/>
                <w:szCs w:val="18"/>
                <w:lang w:val="fr-FR"/>
              </w:rPr>
            </w:pPr>
          </w:p>
          <w:p w14:paraId="25E26BE1" w14:textId="77777777" w:rsidR="00945C39" w:rsidRPr="00945C39" w:rsidRDefault="00945C39" w:rsidP="00112EB2">
            <w:pPr>
              <w:jc w:val="both"/>
              <w:rPr>
                <w:sz w:val="18"/>
                <w:szCs w:val="18"/>
                <w:lang w:val="fr-FR"/>
              </w:rPr>
            </w:pPr>
            <w:r w:rsidRPr="00945C39">
              <w:rPr>
                <w:sz w:val="18"/>
                <w:szCs w:val="18"/>
                <w:lang w:val="fr-FR"/>
              </w:rPr>
              <w:t>Arrêté 03564 du 02 mars 2017 sur le journal de pêche</w:t>
            </w:r>
          </w:p>
          <w:p w14:paraId="7A515E84" w14:textId="77777777" w:rsidR="00945C39" w:rsidRPr="00945C39" w:rsidRDefault="00945C39" w:rsidP="00112EB2">
            <w:pPr>
              <w:jc w:val="both"/>
              <w:rPr>
                <w:sz w:val="18"/>
                <w:szCs w:val="18"/>
                <w:lang w:val="fr-FR"/>
              </w:rPr>
            </w:pPr>
          </w:p>
          <w:p w14:paraId="1EA3EE9B"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 xml:space="preserve">Arrêté n°29318 du 19 aout 2025 du Ministre chargé de la Pêche fixant les mesures de </w:t>
            </w:r>
            <w:r w:rsidRPr="00945C39">
              <w:rPr>
                <w:rFonts w:eastAsia="MS Mincho"/>
                <w:sz w:val="18"/>
                <w:szCs w:val="18"/>
                <w:lang w:val="fr-FR" w:eastAsia="fr-FR" w:bidi="fr-FR"/>
              </w:rPr>
              <w:lastRenderedPageBreak/>
              <w:t>conservation des requins et raies</w:t>
            </w:r>
          </w:p>
        </w:tc>
        <w:tc>
          <w:tcPr>
            <w:tcW w:w="2041" w:type="dxa"/>
            <w:tcBorders>
              <w:top w:val="single" w:sz="12" w:space="0" w:color="auto"/>
            </w:tcBorders>
            <w:vAlign w:val="center"/>
            <w:hideMark/>
          </w:tcPr>
          <w:p w14:paraId="12058581" w14:textId="77777777" w:rsidR="00945C39" w:rsidRPr="00945C39" w:rsidRDefault="00945C39" w:rsidP="00112EB2">
            <w:pPr>
              <w:jc w:val="both"/>
              <w:rPr>
                <w:rFonts w:eastAsia="MS Mincho"/>
                <w:sz w:val="18"/>
                <w:szCs w:val="18"/>
                <w:lang w:val="fr-FR" w:eastAsia="fr-FR" w:bidi="fr-FR"/>
              </w:rPr>
            </w:pPr>
            <w:r w:rsidRPr="00945C39">
              <w:rPr>
                <w:rFonts w:eastAsia="MS Mincho"/>
                <w:sz w:val="18"/>
                <w:szCs w:val="18"/>
                <w:lang w:val="fr-FR" w:eastAsia="fr-FR" w:bidi="fr-FR"/>
              </w:rPr>
              <w:lastRenderedPageBreak/>
              <w:t>Interdiction actée par le décret mis en œuvre garce au dispositif d’inspection au port et en mer ainsi que le dispositif de collecte de ces données.</w:t>
            </w:r>
          </w:p>
        </w:tc>
      </w:tr>
      <w:tr w:rsidR="00945C39" w:rsidRPr="00945C39" w14:paraId="7808D0D6" w14:textId="77777777" w:rsidTr="00112EB2">
        <w:trPr>
          <w:trHeight w:val="43"/>
          <w:jc w:val="center"/>
        </w:trPr>
        <w:tc>
          <w:tcPr>
            <w:tcW w:w="1255" w:type="dxa"/>
            <w:noWrap/>
            <w:vAlign w:val="center"/>
            <w:hideMark/>
          </w:tcPr>
          <w:p w14:paraId="2E786D7D"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10-08</w:t>
            </w:r>
          </w:p>
          <w:p w14:paraId="5D0D31D8" w14:textId="77777777" w:rsidR="00945C39" w:rsidRPr="000632D8" w:rsidRDefault="00945C39" w:rsidP="00112EB2">
            <w:pPr>
              <w:jc w:val="center"/>
              <w:rPr>
                <w:rFonts w:ascii="Cambria" w:eastAsia="Times New Roman" w:hAnsi="Cambria" w:cs="Calibri"/>
                <w:b/>
                <w:sz w:val="18"/>
                <w:szCs w:val="18"/>
              </w:rPr>
            </w:pPr>
          </w:p>
          <w:p w14:paraId="5E3E18B6"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(Requins marteau)</w:t>
            </w:r>
          </w:p>
        </w:tc>
        <w:tc>
          <w:tcPr>
            <w:tcW w:w="815" w:type="dxa"/>
            <w:noWrap/>
            <w:vAlign w:val="center"/>
            <w:hideMark/>
          </w:tcPr>
          <w:p w14:paraId="0F46F7E1"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2</w:t>
            </w:r>
          </w:p>
        </w:tc>
        <w:tc>
          <w:tcPr>
            <w:tcW w:w="1165" w:type="dxa"/>
            <w:vAlign w:val="center"/>
          </w:tcPr>
          <w:p w14:paraId="30A02C96"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0BDB32AA" w14:textId="77777777" w:rsidR="00945C39" w:rsidRPr="00945C39" w:rsidRDefault="00945C39" w:rsidP="00112EB2">
            <w:pPr>
              <w:jc w:val="both"/>
              <w:rPr>
                <w:rFonts w:eastAsia="Times New Roman" w:cs="Calibri"/>
                <w:sz w:val="18"/>
                <w:szCs w:val="18"/>
                <w:lang w:val="fr-FR"/>
              </w:rPr>
            </w:pPr>
            <w:r w:rsidRPr="00945C39">
              <w:rPr>
                <w:sz w:val="18"/>
                <w:szCs w:val="18"/>
                <w:lang w:val="fr-FR"/>
              </w:rPr>
              <w:t>Les CPC devront demander aux navires battant leur pavillon de remettre à l’eau promptement, et dans la mesure du possible, indemnes, les requins marteaux lorsqu’ils sont amenés le long du bateau.</w:t>
            </w:r>
          </w:p>
        </w:tc>
        <w:tc>
          <w:tcPr>
            <w:tcW w:w="1566" w:type="dxa"/>
            <w:vAlign w:val="center"/>
            <w:hideMark/>
          </w:tcPr>
          <w:p w14:paraId="733351C3"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Pr>
          <w:p w14:paraId="12D493EA"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vAlign w:val="center"/>
            <w:hideMark/>
          </w:tcPr>
          <w:p w14:paraId="003B250B" w14:textId="77777777" w:rsidR="00945C39" w:rsidRPr="00945C39" w:rsidRDefault="00945C39" w:rsidP="00112EB2">
            <w:pPr>
              <w:jc w:val="both"/>
              <w:rPr>
                <w:rFonts w:eastAsia="Times New Roman" w:cs="Calibri"/>
                <w:sz w:val="18"/>
                <w:szCs w:val="18"/>
                <w:lang w:val="fr-FR"/>
              </w:rPr>
            </w:pPr>
            <w:r w:rsidRPr="00945C39">
              <w:rPr>
                <w:rFonts w:cs="Calibri"/>
                <w:sz w:val="18"/>
                <w:szCs w:val="18"/>
                <w:lang w:val="fr-FR"/>
              </w:rPr>
              <w:t>Ces requins sont interdits à la pêche.</w:t>
            </w:r>
          </w:p>
        </w:tc>
      </w:tr>
      <w:tr w:rsidR="00945C39" w:rsidRPr="00945C39" w14:paraId="0CCF1A42" w14:textId="77777777" w:rsidTr="00112EB2">
        <w:trPr>
          <w:trHeight w:val="86"/>
          <w:jc w:val="center"/>
        </w:trPr>
        <w:tc>
          <w:tcPr>
            <w:tcW w:w="1255" w:type="dxa"/>
            <w:noWrap/>
            <w:vAlign w:val="center"/>
            <w:hideMark/>
          </w:tcPr>
          <w:p w14:paraId="0540AAA4"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10-08</w:t>
            </w:r>
          </w:p>
          <w:p w14:paraId="1CDF120C" w14:textId="77777777" w:rsidR="00945C39" w:rsidRPr="000632D8" w:rsidRDefault="00945C39" w:rsidP="00112EB2">
            <w:pPr>
              <w:jc w:val="center"/>
              <w:rPr>
                <w:rFonts w:ascii="Cambria" w:eastAsia="Times New Roman" w:hAnsi="Cambria" w:cs="Calibri"/>
                <w:b/>
                <w:sz w:val="18"/>
                <w:szCs w:val="18"/>
              </w:rPr>
            </w:pPr>
          </w:p>
          <w:p w14:paraId="34C4203D"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(Requins marteau)</w:t>
            </w:r>
          </w:p>
        </w:tc>
        <w:tc>
          <w:tcPr>
            <w:tcW w:w="815" w:type="dxa"/>
            <w:noWrap/>
            <w:vAlign w:val="center"/>
            <w:hideMark/>
          </w:tcPr>
          <w:p w14:paraId="6315A1BE"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3</w:t>
            </w:r>
          </w:p>
        </w:tc>
        <w:tc>
          <w:tcPr>
            <w:tcW w:w="1165" w:type="dxa"/>
            <w:vAlign w:val="center"/>
          </w:tcPr>
          <w:p w14:paraId="4FEAF134"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03344969"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(1) Les </w:t>
            </w:r>
            <w:r w:rsidRPr="00945C39">
              <w:rPr>
                <w:b/>
                <w:bCs/>
                <w:sz w:val="18"/>
                <w:szCs w:val="18"/>
                <w:lang w:val="fr-FR"/>
              </w:rPr>
              <w:t>requins marteau</w:t>
            </w:r>
            <w:r w:rsidRPr="00945C39">
              <w:rPr>
                <w:sz w:val="18"/>
                <w:szCs w:val="18"/>
                <w:lang w:val="fr-FR"/>
              </w:rPr>
              <w:t xml:space="preserve"> capturés par les CPC côtières en développement pour leur consommation locale sont exonérés des mesures établies aux paragraphes 1 et 2, sous réserve que ces CPC soumettent des données de la tâche 1 et, si possible, de la tâche 2, selon les procédures de déclaration établies par le SCRS. S’il n’est pas possible de fournir des données de capture par espèce, celles-ci devront être fournies au moins par genre </w:t>
            </w:r>
            <w:r w:rsidRPr="00945C39">
              <w:rPr>
                <w:i/>
                <w:iCs/>
                <w:sz w:val="18"/>
                <w:szCs w:val="18"/>
                <w:lang w:val="fr-FR"/>
              </w:rPr>
              <w:t>Sphryna</w:t>
            </w:r>
            <w:r w:rsidRPr="00945C39">
              <w:rPr>
                <w:sz w:val="18"/>
                <w:szCs w:val="18"/>
                <w:lang w:val="fr-FR"/>
              </w:rPr>
              <w:t>.</w:t>
            </w:r>
          </w:p>
        </w:tc>
        <w:tc>
          <w:tcPr>
            <w:tcW w:w="1566" w:type="dxa"/>
            <w:vAlign w:val="center"/>
            <w:hideMark/>
          </w:tcPr>
          <w:p w14:paraId="07F0FBBE" w14:textId="77777777" w:rsidR="00945C39" w:rsidRPr="00C469EA" w:rsidRDefault="00945C39" w:rsidP="00112EB2">
            <w:pPr>
              <w:jc w:val="both"/>
              <w:rPr>
                <w:rFonts w:eastAsia="Times New Roman" w:cs="Calibri"/>
                <w:sz w:val="18"/>
                <w:szCs w:val="18"/>
              </w:rPr>
            </w:pPr>
            <w:r w:rsidRPr="00C469EA">
              <w:rPr>
                <w:sz w:val="18"/>
                <w:szCs w:val="18"/>
              </w:rPr>
              <w:t>N/A (non applicable)</w:t>
            </w:r>
          </w:p>
        </w:tc>
        <w:tc>
          <w:tcPr>
            <w:tcW w:w="1618" w:type="dxa"/>
          </w:tcPr>
          <w:p w14:paraId="42F65D26"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vAlign w:val="center"/>
            <w:hideMark/>
          </w:tcPr>
          <w:p w14:paraId="00606353" w14:textId="77777777" w:rsidR="00945C39" w:rsidRPr="00945C39" w:rsidRDefault="00945C39" w:rsidP="00112EB2">
            <w:pPr>
              <w:jc w:val="both"/>
              <w:rPr>
                <w:rFonts w:eastAsia="Times New Roman" w:cs="Calibri"/>
                <w:sz w:val="18"/>
                <w:szCs w:val="18"/>
                <w:lang w:val="fr-FR"/>
              </w:rPr>
            </w:pPr>
            <w:r w:rsidRPr="00945C39">
              <w:rPr>
                <w:rFonts w:cs="Calibri"/>
                <w:sz w:val="18"/>
                <w:szCs w:val="18"/>
                <w:lang w:val="fr-FR"/>
              </w:rPr>
              <w:t>Ces requins sont interdits à la pêche.</w:t>
            </w:r>
          </w:p>
        </w:tc>
      </w:tr>
      <w:tr w:rsidR="00945C39" w:rsidRPr="00945C39" w14:paraId="08E08AD5" w14:textId="77777777" w:rsidTr="00112EB2">
        <w:trPr>
          <w:trHeight w:val="86"/>
          <w:jc w:val="center"/>
        </w:trPr>
        <w:tc>
          <w:tcPr>
            <w:tcW w:w="1255" w:type="dxa"/>
            <w:vAlign w:val="center"/>
            <w:hideMark/>
          </w:tcPr>
          <w:p w14:paraId="002F04D0"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10-08</w:t>
            </w:r>
          </w:p>
          <w:p w14:paraId="26D84F36" w14:textId="77777777" w:rsidR="00945C39" w:rsidRPr="000632D8" w:rsidRDefault="00945C39" w:rsidP="00112EB2">
            <w:pPr>
              <w:jc w:val="center"/>
              <w:rPr>
                <w:rFonts w:ascii="Cambria" w:eastAsia="Times New Roman" w:hAnsi="Cambria" w:cs="Calibri"/>
                <w:b/>
                <w:sz w:val="18"/>
                <w:szCs w:val="18"/>
              </w:rPr>
            </w:pPr>
          </w:p>
          <w:p w14:paraId="536382EB"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(Requins marteau)</w:t>
            </w:r>
          </w:p>
        </w:tc>
        <w:tc>
          <w:tcPr>
            <w:tcW w:w="815" w:type="dxa"/>
            <w:vAlign w:val="center"/>
            <w:hideMark/>
          </w:tcPr>
          <w:p w14:paraId="2BA24A6D" w14:textId="77777777" w:rsidR="00945C39" w:rsidRPr="00C469EA" w:rsidRDefault="00945C39" w:rsidP="00112EB2">
            <w:pPr>
              <w:jc w:val="center"/>
              <w:rPr>
                <w:rFonts w:eastAsia="Times New Roman" w:cs="Calibri"/>
                <w:b/>
                <w:sz w:val="18"/>
                <w:szCs w:val="18"/>
              </w:rPr>
            </w:pPr>
            <w:r w:rsidRPr="000632D8">
              <w:rPr>
                <w:rFonts w:ascii="Cambria" w:eastAsia="Times New Roman" w:hAnsi="Cambria" w:cs="Calibri"/>
                <w:b/>
                <w:sz w:val="18"/>
                <w:szCs w:val="18"/>
              </w:rPr>
              <w:t>3</w:t>
            </w:r>
          </w:p>
        </w:tc>
        <w:tc>
          <w:tcPr>
            <w:tcW w:w="1165" w:type="dxa"/>
            <w:vAlign w:val="center"/>
          </w:tcPr>
          <w:p w14:paraId="0C0DF9B0"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0F30905C"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(2) Les CPC côtières en développement exemptées de cette interdiction conformément au présent paragraphe devraient s’efforcer de ne pas augmenter leurs captures de </w:t>
            </w:r>
            <w:r w:rsidRPr="00945C39">
              <w:rPr>
                <w:b/>
                <w:bCs/>
                <w:sz w:val="18"/>
                <w:szCs w:val="18"/>
                <w:lang w:val="fr-FR"/>
              </w:rPr>
              <w:t>requins marteau</w:t>
            </w:r>
            <w:r w:rsidRPr="00945C39">
              <w:rPr>
                <w:sz w:val="18"/>
                <w:szCs w:val="18"/>
                <w:lang w:val="fr-FR"/>
              </w:rPr>
              <w:t xml:space="preserve">. Ces CPC devront prendre les mesures nécessaires visant à garantir que les requins marteaux de la famille </w:t>
            </w:r>
            <w:r w:rsidRPr="00945C39">
              <w:rPr>
                <w:i/>
                <w:iCs/>
                <w:sz w:val="18"/>
                <w:szCs w:val="18"/>
                <w:lang w:val="fr-FR"/>
              </w:rPr>
              <w:t>Sphyrnidae</w:t>
            </w:r>
            <w:r w:rsidRPr="00945C39">
              <w:rPr>
                <w:sz w:val="18"/>
                <w:szCs w:val="18"/>
                <w:lang w:val="fr-FR"/>
              </w:rPr>
              <w:t xml:space="preserve"> (exception faite du </w:t>
            </w:r>
            <w:r w:rsidRPr="00945C39">
              <w:rPr>
                <w:i/>
                <w:iCs/>
                <w:sz w:val="18"/>
                <w:szCs w:val="18"/>
                <w:lang w:val="fr-FR"/>
              </w:rPr>
              <w:t>Sphyrna tiburo</w:t>
            </w:r>
            <w:r w:rsidRPr="00945C39">
              <w:rPr>
                <w:sz w:val="18"/>
                <w:szCs w:val="18"/>
                <w:lang w:val="fr-FR"/>
              </w:rPr>
              <w:t xml:space="preserve">) n’entrent pas </w:t>
            </w:r>
            <w:r w:rsidRPr="00945C39">
              <w:rPr>
                <w:sz w:val="18"/>
                <w:szCs w:val="18"/>
                <w:lang w:val="fr-FR"/>
              </w:rPr>
              <w:lastRenderedPageBreak/>
              <w:t>sur le marché international, et devront notifier ces mesures à la Commission.</w:t>
            </w:r>
          </w:p>
        </w:tc>
        <w:tc>
          <w:tcPr>
            <w:tcW w:w="1566" w:type="dxa"/>
            <w:vAlign w:val="center"/>
            <w:hideMark/>
          </w:tcPr>
          <w:p w14:paraId="551ECE78" w14:textId="77777777" w:rsidR="00945C39" w:rsidRPr="00C469EA" w:rsidRDefault="00945C39" w:rsidP="00112EB2">
            <w:pPr>
              <w:jc w:val="both"/>
              <w:rPr>
                <w:rFonts w:eastAsia="Times New Roman" w:cs="Calibri"/>
                <w:sz w:val="18"/>
                <w:szCs w:val="18"/>
              </w:rPr>
            </w:pPr>
            <w:r w:rsidRPr="00C469EA">
              <w:rPr>
                <w:sz w:val="18"/>
                <w:szCs w:val="18"/>
              </w:rPr>
              <w:lastRenderedPageBreak/>
              <w:t xml:space="preserve">Oui </w:t>
            </w:r>
          </w:p>
        </w:tc>
        <w:tc>
          <w:tcPr>
            <w:tcW w:w="1618" w:type="dxa"/>
          </w:tcPr>
          <w:p w14:paraId="19E3C283" w14:textId="77777777" w:rsidR="00945C39" w:rsidRPr="00945C39" w:rsidRDefault="00945C39" w:rsidP="00112EB2">
            <w:pPr>
              <w:jc w:val="both"/>
              <w:rPr>
                <w:sz w:val="18"/>
                <w:szCs w:val="18"/>
                <w:lang w:val="fr-FR"/>
              </w:rPr>
            </w:pPr>
            <w:r w:rsidRPr="00945C39">
              <w:rPr>
                <w:sz w:val="18"/>
                <w:szCs w:val="18"/>
                <w:lang w:val="fr-FR"/>
              </w:rPr>
              <w:t>Décret 2016-18 04 du 22 novembre 2016 portant application de la Loi 2015-18 du 13 juillet 2015</w:t>
            </w:r>
          </w:p>
          <w:p w14:paraId="51A9EB2A" w14:textId="77777777" w:rsidR="00945C39" w:rsidRPr="00945C39" w:rsidRDefault="00945C39" w:rsidP="00112EB2">
            <w:pPr>
              <w:jc w:val="both"/>
              <w:rPr>
                <w:sz w:val="18"/>
                <w:szCs w:val="18"/>
                <w:lang w:val="fr-FR"/>
              </w:rPr>
            </w:pPr>
          </w:p>
          <w:p w14:paraId="7EAF8059" w14:textId="77777777" w:rsidR="00945C39" w:rsidRPr="00945C39" w:rsidRDefault="00945C39" w:rsidP="00112EB2">
            <w:pPr>
              <w:jc w:val="both"/>
              <w:rPr>
                <w:sz w:val="18"/>
                <w:szCs w:val="18"/>
                <w:lang w:val="fr-FR"/>
              </w:rPr>
            </w:pPr>
            <w:r w:rsidRPr="00945C39">
              <w:rPr>
                <w:rFonts w:eastAsia="MS Mincho"/>
                <w:sz w:val="18"/>
                <w:szCs w:val="18"/>
                <w:lang w:val="fr-FR" w:eastAsia="fr-FR" w:bidi="fr-FR"/>
              </w:rPr>
              <w:t xml:space="preserve">Arrêté n°29318 du 19 aout 2025 du Ministre chargé de la Pêche fixant les mesures de </w:t>
            </w:r>
            <w:r w:rsidRPr="00945C39">
              <w:rPr>
                <w:rFonts w:eastAsia="MS Mincho"/>
                <w:sz w:val="18"/>
                <w:szCs w:val="18"/>
                <w:lang w:val="fr-FR" w:eastAsia="fr-FR" w:bidi="fr-FR"/>
              </w:rPr>
              <w:lastRenderedPageBreak/>
              <w:t>conservation des requins et raies</w:t>
            </w:r>
          </w:p>
          <w:p w14:paraId="2DDBCB39" w14:textId="77777777" w:rsidR="00945C39" w:rsidRPr="00945C39" w:rsidRDefault="00945C39" w:rsidP="00112EB2">
            <w:pPr>
              <w:jc w:val="both"/>
              <w:rPr>
                <w:rFonts w:eastAsia="Times New Roman" w:cs="Calibri"/>
                <w:sz w:val="18"/>
                <w:szCs w:val="18"/>
                <w:lang w:val="fr-FR"/>
              </w:rPr>
            </w:pPr>
          </w:p>
        </w:tc>
        <w:tc>
          <w:tcPr>
            <w:tcW w:w="2041" w:type="dxa"/>
            <w:vAlign w:val="center"/>
            <w:hideMark/>
          </w:tcPr>
          <w:p w14:paraId="64100AF8" w14:textId="77777777" w:rsidR="00945C39" w:rsidRPr="00945C39" w:rsidRDefault="00945C39" w:rsidP="00112EB2">
            <w:pPr>
              <w:jc w:val="both"/>
              <w:rPr>
                <w:rFonts w:cs="Calibri"/>
                <w:sz w:val="18"/>
                <w:szCs w:val="18"/>
                <w:lang w:val="fr-FR"/>
              </w:rPr>
            </w:pPr>
            <w:r w:rsidRPr="00945C39">
              <w:rPr>
                <w:rFonts w:cs="Calibri"/>
                <w:sz w:val="18"/>
                <w:szCs w:val="18"/>
                <w:lang w:val="fr-FR"/>
              </w:rPr>
              <w:lastRenderedPageBreak/>
              <w:t>Le principe de l’interdiction de la détention et de la vente est fixé par ce décret.</w:t>
            </w:r>
          </w:p>
          <w:p w14:paraId="5681ADF3" w14:textId="77777777" w:rsidR="00945C39" w:rsidRPr="00945C39" w:rsidRDefault="00945C39" w:rsidP="00112EB2">
            <w:pPr>
              <w:jc w:val="both"/>
              <w:rPr>
                <w:rFonts w:eastAsia="MS Mincho"/>
                <w:sz w:val="18"/>
                <w:szCs w:val="18"/>
                <w:lang w:val="fr-FR" w:eastAsia="fr-FR" w:bidi="fr-FR"/>
              </w:rPr>
            </w:pPr>
            <w:r w:rsidRPr="00945C39">
              <w:rPr>
                <w:rFonts w:cs="Calibri"/>
                <w:sz w:val="18"/>
                <w:szCs w:val="18"/>
                <w:lang w:val="fr-FR"/>
              </w:rPr>
              <w:t xml:space="preserve">Les entrées de ces requins sur le marché international sont sous le contrôle de l’Administration du ministère de l’Environnement en charge du contrôle des </w:t>
            </w:r>
            <w:r w:rsidRPr="00945C39">
              <w:rPr>
                <w:rFonts w:cs="Calibri"/>
                <w:sz w:val="18"/>
                <w:szCs w:val="18"/>
                <w:lang w:val="fr-FR"/>
              </w:rPr>
              <w:lastRenderedPageBreak/>
              <w:t xml:space="preserve">espèces CITES </w:t>
            </w:r>
            <w:r w:rsidRPr="00945C39">
              <w:rPr>
                <w:rFonts w:eastAsia="MS Mincho"/>
                <w:sz w:val="18"/>
                <w:szCs w:val="18"/>
                <w:lang w:val="fr-FR" w:eastAsia="fr-FR" w:bidi="fr-FR"/>
              </w:rPr>
              <w:t>(Direction des parcs nationaux)</w:t>
            </w:r>
          </w:p>
          <w:p w14:paraId="47FB25A8"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En relation avec le ministère chargé de la Pêche</w:t>
            </w:r>
          </w:p>
        </w:tc>
      </w:tr>
      <w:tr w:rsidR="00945C39" w:rsidRPr="00945C39" w14:paraId="1D4815DE" w14:textId="77777777" w:rsidTr="00112EB2">
        <w:trPr>
          <w:trHeight w:val="57"/>
          <w:jc w:val="center"/>
        </w:trPr>
        <w:tc>
          <w:tcPr>
            <w:tcW w:w="1255" w:type="dxa"/>
            <w:tcBorders>
              <w:bottom w:val="single" w:sz="12" w:space="0" w:color="auto"/>
            </w:tcBorders>
            <w:noWrap/>
            <w:vAlign w:val="center"/>
            <w:hideMark/>
          </w:tcPr>
          <w:p w14:paraId="293AB6F7"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lastRenderedPageBreak/>
              <w:t>10-08</w:t>
            </w:r>
          </w:p>
          <w:p w14:paraId="4C89F44D" w14:textId="77777777" w:rsidR="00945C39" w:rsidRPr="000632D8" w:rsidRDefault="00945C39" w:rsidP="00112EB2">
            <w:pPr>
              <w:jc w:val="center"/>
              <w:rPr>
                <w:rFonts w:ascii="Cambria" w:eastAsia="Times New Roman" w:hAnsi="Cambria" w:cs="Calibri"/>
                <w:b/>
                <w:sz w:val="18"/>
                <w:szCs w:val="18"/>
              </w:rPr>
            </w:pPr>
          </w:p>
          <w:p w14:paraId="636E0E41"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(Requins marteau)</w:t>
            </w:r>
          </w:p>
        </w:tc>
        <w:tc>
          <w:tcPr>
            <w:tcW w:w="815" w:type="dxa"/>
            <w:tcBorders>
              <w:bottom w:val="single" w:sz="12" w:space="0" w:color="auto"/>
            </w:tcBorders>
            <w:noWrap/>
            <w:vAlign w:val="center"/>
            <w:hideMark/>
          </w:tcPr>
          <w:p w14:paraId="1025BD1E"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4</w:t>
            </w:r>
          </w:p>
        </w:tc>
        <w:tc>
          <w:tcPr>
            <w:tcW w:w="1165" w:type="dxa"/>
            <w:tcBorders>
              <w:bottom w:val="single" w:sz="12" w:space="0" w:color="auto"/>
            </w:tcBorders>
            <w:vAlign w:val="center"/>
          </w:tcPr>
          <w:p w14:paraId="12D4D1C9"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bottom w:val="single" w:sz="12" w:space="0" w:color="auto"/>
            </w:tcBorders>
            <w:vAlign w:val="center"/>
            <w:hideMark/>
          </w:tcPr>
          <w:p w14:paraId="0980D41B"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CPC devront exiger que le nombre de rejets et de remises à l’eau de </w:t>
            </w:r>
            <w:r w:rsidRPr="00945C39">
              <w:rPr>
                <w:b/>
                <w:bCs/>
                <w:sz w:val="18"/>
                <w:szCs w:val="18"/>
                <w:lang w:val="fr-FR"/>
              </w:rPr>
              <w:t>requins marteau</w:t>
            </w:r>
            <w:r w:rsidRPr="00945C39">
              <w:rPr>
                <w:sz w:val="18"/>
                <w:szCs w:val="18"/>
                <w:lang w:val="fr-FR"/>
              </w:rPr>
              <w:t xml:space="preserve"> soit consigné en indiquant l’état (mort ou vivant) et déclaré à l'ICCAT, conformément aux exigences en matière de déclaration des données de l'ICCAT.</w:t>
            </w:r>
          </w:p>
          <w:p w14:paraId="2E55B93F" w14:textId="77777777" w:rsidR="00945C39" w:rsidRPr="00945C39" w:rsidRDefault="00945C39" w:rsidP="00112EB2">
            <w:pPr>
              <w:jc w:val="both"/>
              <w:rPr>
                <w:rFonts w:eastAsia="Times New Roman" w:cs="Calibri"/>
                <w:sz w:val="18"/>
                <w:szCs w:val="18"/>
                <w:lang w:val="fr-FR"/>
              </w:rPr>
            </w:pPr>
          </w:p>
        </w:tc>
        <w:tc>
          <w:tcPr>
            <w:tcW w:w="1566" w:type="dxa"/>
            <w:tcBorders>
              <w:bottom w:val="single" w:sz="12" w:space="0" w:color="auto"/>
            </w:tcBorders>
            <w:vAlign w:val="center"/>
            <w:hideMark/>
          </w:tcPr>
          <w:p w14:paraId="29B06A86"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Borders>
              <w:bottom w:val="single" w:sz="12" w:space="0" w:color="auto"/>
            </w:tcBorders>
          </w:tcPr>
          <w:p w14:paraId="6FF358D7"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tcBorders>
              <w:bottom w:val="single" w:sz="12" w:space="0" w:color="auto"/>
            </w:tcBorders>
            <w:vAlign w:val="center"/>
            <w:hideMark/>
          </w:tcPr>
          <w:p w14:paraId="65A418DA" w14:textId="77777777" w:rsidR="00945C39" w:rsidRPr="00945C39" w:rsidRDefault="00945C39" w:rsidP="00112EB2">
            <w:pPr>
              <w:jc w:val="both"/>
              <w:rPr>
                <w:sz w:val="18"/>
                <w:szCs w:val="18"/>
                <w:lang w:val="fr-FR"/>
              </w:rPr>
            </w:pPr>
          </w:p>
          <w:p w14:paraId="635A6100" w14:textId="77777777" w:rsidR="00945C39" w:rsidRPr="00945C39" w:rsidRDefault="00945C39" w:rsidP="00112EB2">
            <w:pPr>
              <w:jc w:val="both"/>
              <w:rPr>
                <w:rFonts w:eastAsia="Times New Roman" w:cs="Calibri"/>
                <w:sz w:val="18"/>
                <w:szCs w:val="18"/>
                <w:lang w:val="fr-FR"/>
              </w:rPr>
            </w:pPr>
            <w:r w:rsidRPr="00945C39">
              <w:rPr>
                <w:sz w:val="18"/>
                <w:szCs w:val="18"/>
                <w:lang w:val="fr-FR"/>
              </w:rPr>
              <w:t>Rapport d’observateurs et journaux de pêche.</w:t>
            </w:r>
          </w:p>
        </w:tc>
      </w:tr>
      <w:tr w:rsidR="00945C39" w:rsidRPr="00C469EA" w14:paraId="3020D61B" w14:textId="77777777" w:rsidTr="00112EB2">
        <w:trPr>
          <w:trHeight w:val="86"/>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17BA975"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REQUIN SOYEUX</w:t>
            </w:r>
          </w:p>
        </w:tc>
      </w:tr>
      <w:tr w:rsidR="00945C39" w:rsidRPr="00945C39" w14:paraId="4B5FA504" w14:textId="77777777" w:rsidTr="00112EB2">
        <w:trPr>
          <w:trHeight w:val="86"/>
          <w:jc w:val="center"/>
        </w:trPr>
        <w:tc>
          <w:tcPr>
            <w:tcW w:w="1255" w:type="dxa"/>
            <w:tcBorders>
              <w:top w:val="single" w:sz="12" w:space="0" w:color="auto"/>
            </w:tcBorders>
            <w:noWrap/>
            <w:vAlign w:val="center"/>
            <w:hideMark/>
          </w:tcPr>
          <w:p w14:paraId="76C29329" w14:textId="77777777" w:rsidR="00945C39" w:rsidRPr="000632D8" w:rsidRDefault="00945C39" w:rsidP="00112EB2">
            <w:pPr>
              <w:jc w:val="center"/>
              <w:rPr>
                <w:rFonts w:ascii="Cambria" w:eastAsia="Times New Roman" w:hAnsi="Cambria" w:cs="Times New Roman"/>
                <w:b/>
                <w:sz w:val="18"/>
                <w:szCs w:val="18"/>
              </w:rPr>
            </w:pPr>
            <w:r w:rsidRPr="000632D8">
              <w:rPr>
                <w:rFonts w:ascii="Cambria" w:hAnsi="Cambria" w:cs="Times New Roman"/>
                <w:b/>
                <w:sz w:val="18"/>
                <w:szCs w:val="18"/>
              </w:rPr>
              <w:t>11-08</w:t>
            </w:r>
          </w:p>
          <w:p w14:paraId="2194856E" w14:textId="77777777" w:rsidR="00945C39" w:rsidRPr="000632D8" w:rsidRDefault="00945C39" w:rsidP="00112EB2">
            <w:pPr>
              <w:jc w:val="center"/>
              <w:rPr>
                <w:rFonts w:ascii="Cambria" w:eastAsia="Times New Roman" w:hAnsi="Cambria" w:cs="Calibri"/>
                <w:b/>
                <w:sz w:val="18"/>
                <w:szCs w:val="18"/>
              </w:rPr>
            </w:pPr>
          </w:p>
          <w:p w14:paraId="59CF986A" w14:textId="77777777" w:rsidR="00945C39" w:rsidRPr="00C469EA" w:rsidRDefault="00945C39" w:rsidP="00112EB2">
            <w:pPr>
              <w:jc w:val="center"/>
              <w:rPr>
                <w:rFonts w:eastAsia="Times New Roman" w:cs="Times New Roman"/>
                <w:b/>
                <w:sz w:val="18"/>
                <w:szCs w:val="18"/>
              </w:rPr>
            </w:pPr>
            <w:r w:rsidRPr="000632D8">
              <w:rPr>
                <w:rFonts w:ascii="Cambria" w:hAnsi="Cambria"/>
                <w:b/>
                <w:sz w:val="18"/>
                <w:szCs w:val="18"/>
              </w:rPr>
              <w:t>(Requin soyeux)</w:t>
            </w:r>
          </w:p>
        </w:tc>
        <w:tc>
          <w:tcPr>
            <w:tcW w:w="815" w:type="dxa"/>
            <w:tcBorders>
              <w:top w:val="single" w:sz="12" w:space="0" w:color="auto"/>
            </w:tcBorders>
            <w:noWrap/>
            <w:vAlign w:val="center"/>
            <w:hideMark/>
          </w:tcPr>
          <w:p w14:paraId="0C16F0FB"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1</w:t>
            </w:r>
          </w:p>
        </w:tc>
        <w:tc>
          <w:tcPr>
            <w:tcW w:w="1165" w:type="dxa"/>
            <w:tcBorders>
              <w:top w:val="single" w:sz="12" w:space="0" w:color="auto"/>
            </w:tcBorders>
            <w:vAlign w:val="center"/>
          </w:tcPr>
          <w:p w14:paraId="672771D2"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12" w:space="0" w:color="auto"/>
            </w:tcBorders>
            <w:vAlign w:val="center"/>
            <w:hideMark/>
          </w:tcPr>
          <w:p w14:paraId="6F467EAC"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Parties contractantes et Parties, Entités ou Entités de pêche non contractantes coopérantes (ci-après dénommées « CPC ») devront imposer aux navires battant leur pavillon et se livrant à des opérations de pêche gérées par l'ICCAT de remettre à l’eau tous les </w:t>
            </w:r>
            <w:r w:rsidRPr="00945C39">
              <w:rPr>
                <w:b/>
                <w:bCs/>
                <w:sz w:val="18"/>
                <w:szCs w:val="18"/>
                <w:lang w:val="fr-FR"/>
              </w:rPr>
              <w:t>requins soyeux</w:t>
            </w:r>
            <w:r w:rsidRPr="00945C39">
              <w:rPr>
                <w:sz w:val="18"/>
                <w:szCs w:val="18"/>
                <w:lang w:val="fr-FR"/>
              </w:rPr>
              <w:t>, qu’ils soient morts ou vivants, et leur interdire de retenir à bord, de transborder ou de débarquer une partie ou l’intégralité de la carcasse du requin soyeux.</w:t>
            </w:r>
          </w:p>
          <w:p w14:paraId="7E767036" w14:textId="77777777" w:rsidR="00945C39" w:rsidRPr="00945C39" w:rsidRDefault="00945C39" w:rsidP="00112EB2">
            <w:pPr>
              <w:jc w:val="both"/>
              <w:rPr>
                <w:rFonts w:eastAsia="Times New Roman" w:cs="Calibri"/>
                <w:sz w:val="18"/>
                <w:szCs w:val="18"/>
                <w:lang w:val="fr-FR"/>
              </w:rPr>
            </w:pPr>
          </w:p>
        </w:tc>
        <w:tc>
          <w:tcPr>
            <w:tcW w:w="1566" w:type="dxa"/>
            <w:tcBorders>
              <w:top w:val="single" w:sz="12" w:space="0" w:color="auto"/>
            </w:tcBorders>
            <w:vAlign w:val="center"/>
            <w:hideMark/>
          </w:tcPr>
          <w:p w14:paraId="20BBBED5" w14:textId="77777777" w:rsidR="00945C39" w:rsidRPr="00945C39" w:rsidRDefault="00945C39" w:rsidP="00112EB2">
            <w:pPr>
              <w:jc w:val="both"/>
              <w:rPr>
                <w:sz w:val="18"/>
                <w:szCs w:val="18"/>
                <w:lang w:val="fr-FR"/>
              </w:rPr>
            </w:pPr>
            <w:r w:rsidRPr="00945C39">
              <w:rPr>
                <w:sz w:val="18"/>
                <w:szCs w:val="18"/>
                <w:lang w:val="fr-FR"/>
              </w:rPr>
              <w:t xml:space="preserve"> </w:t>
            </w:r>
          </w:p>
          <w:p w14:paraId="5D94A48E"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12" w:space="0" w:color="auto"/>
            </w:tcBorders>
          </w:tcPr>
          <w:p w14:paraId="2A79B7C0"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tcBorders>
              <w:top w:val="single" w:sz="12" w:space="0" w:color="auto"/>
            </w:tcBorders>
            <w:vAlign w:val="center"/>
            <w:hideMark/>
          </w:tcPr>
          <w:p w14:paraId="1A8B0443" w14:textId="77777777" w:rsidR="00945C39" w:rsidRPr="00945C39" w:rsidRDefault="00945C39" w:rsidP="00112EB2">
            <w:pPr>
              <w:jc w:val="both"/>
              <w:rPr>
                <w:sz w:val="18"/>
                <w:szCs w:val="18"/>
                <w:lang w:val="fr-FR"/>
              </w:rPr>
            </w:pPr>
            <w:r w:rsidRPr="00945C39">
              <w:rPr>
                <w:sz w:val="18"/>
                <w:szCs w:val="18"/>
                <w:lang w:val="fr-FR"/>
              </w:rPr>
              <w:t>Les requins soyeux ne sont pas capturés par les flottilles thonières nationales</w:t>
            </w:r>
          </w:p>
          <w:p w14:paraId="622F4B11" w14:textId="77777777" w:rsidR="00945C39" w:rsidRPr="00945C39" w:rsidRDefault="00945C39" w:rsidP="00112EB2">
            <w:pPr>
              <w:jc w:val="both"/>
              <w:rPr>
                <w:rFonts w:eastAsia="Times New Roman" w:cs="Calibri"/>
                <w:sz w:val="18"/>
                <w:szCs w:val="18"/>
                <w:lang w:val="fr-FR"/>
              </w:rPr>
            </w:pPr>
          </w:p>
        </w:tc>
      </w:tr>
      <w:tr w:rsidR="00945C39" w:rsidRPr="00945C39" w14:paraId="4837539C" w14:textId="77777777" w:rsidTr="00112EB2">
        <w:trPr>
          <w:trHeight w:val="86"/>
          <w:jc w:val="center"/>
        </w:trPr>
        <w:tc>
          <w:tcPr>
            <w:tcW w:w="1255" w:type="dxa"/>
            <w:noWrap/>
            <w:vAlign w:val="center"/>
            <w:hideMark/>
          </w:tcPr>
          <w:p w14:paraId="2F4A5C20" w14:textId="77777777" w:rsidR="00945C39" w:rsidRPr="000632D8" w:rsidRDefault="00945C39" w:rsidP="00112EB2">
            <w:pPr>
              <w:jc w:val="center"/>
              <w:rPr>
                <w:rFonts w:ascii="Cambria" w:eastAsia="Times New Roman" w:hAnsi="Cambria" w:cs="Times New Roman"/>
                <w:b/>
                <w:sz w:val="18"/>
                <w:szCs w:val="18"/>
              </w:rPr>
            </w:pPr>
            <w:r w:rsidRPr="000632D8">
              <w:rPr>
                <w:rFonts w:ascii="Cambria" w:hAnsi="Cambria" w:cs="Times New Roman"/>
                <w:b/>
                <w:sz w:val="18"/>
                <w:szCs w:val="18"/>
              </w:rPr>
              <w:t>11-08</w:t>
            </w:r>
          </w:p>
          <w:p w14:paraId="52BD1103" w14:textId="77777777" w:rsidR="00945C39" w:rsidRPr="000632D8" w:rsidRDefault="00945C39" w:rsidP="00112EB2">
            <w:pPr>
              <w:jc w:val="center"/>
              <w:rPr>
                <w:rFonts w:ascii="Cambria" w:eastAsia="Times New Roman" w:hAnsi="Cambria" w:cs="Calibri"/>
                <w:b/>
                <w:sz w:val="18"/>
                <w:szCs w:val="18"/>
              </w:rPr>
            </w:pPr>
          </w:p>
          <w:p w14:paraId="3A4294AE"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soyeux)</w:t>
            </w:r>
          </w:p>
        </w:tc>
        <w:tc>
          <w:tcPr>
            <w:tcW w:w="815" w:type="dxa"/>
            <w:noWrap/>
            <w:vAlign w:val="center"/>
            <w:hideMark/>
          </w:tcPr>
          <w:p w14:paraId="274EA2F7"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2</w:t>
            </w:r>
          </w:p>
        </w:tc>
        <w:tc>
          <w:tcPr>
            <w:tcW w:w="1165" w:type="dxa"/>
            <w:vAlign w:val="center"/>
          </w:tcPr>
          <w:p w14:paraId="0ECEA9B6"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295165A3"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CPC devront demander aux navires battant leur pavillon de remettre promptement à l’eau les </w:t>
            </w:r>
            <w:r w:rsidRPr="00945C39">
              <w:rPr>
                <w:b/>
                <w:bCs/>
                <w:sz w:val="18"/>
                <w:szCs w:val="18"/>
                <w:lang w:val="fr-FR"/>
              </w:rPr>
              <w:t>requins soyeux</w:t>
            </w:r>
            <w:r w:rsidRPr="00945C39">
              <w:rPr>
                <w:sz w:val="18"/>
                <w:szCs w:val="18"/>
                <w:lang w:val="fr-FR"/>
              </w:rPr>
              <w:t xml:space="preserve"> indemnes, au plus tard avant de mettre la capture dans les cales à </w:t>
            </w:r>
            <w:r w:rsidRPr="00945C39">
              <w:rPr>
                <w:sz w:val="18"/>
                <w:szCs w:val="18"/>
                <w:lang w:val="fr-FR"/>
              </w:rPr>
              <w:lastRenderedPageBreak/>
              <w:t>poissons, en tenant dûment compte de la sécurité des membres d’équipage. Les senneurs participant aux pêcheries de l'ICCAT devront s’efforcer de prendre des mesures additionnelles en vue d’accroître le taux de survie des requins soyeux capturés accidentellement.</w:t>
            </w:r>
          </w:p>
          <w:p w14:paraId="32B4F2BC" w14:textId="77777777" w:rsidR="00945C39" w:rsidRPr="00945C39" w:rsidRDefault="00945C39" w:rsidP="00112EB2">
            <w:pPr>
              <w:jc w:val="both"/>
              <w:rPr>
                <w:rFonts w:eastAsia="Times New Roman" w:cs="Calibri"/>
                <w:sz w:val="18"/>
                <w:szCs w:val="18"/>
                <w:lang w:val="fr-FR"/>
              </w:rPr>
            </w:pPr>
          </w:p>
        </w:tc>
        <w:tc>
          <w:tcPr>
            <w:tcW w:w="1566" w:type="dxa"/>
            <w:vAlign w:val="center"/>
            <w:hideMark/>
          </w:tcPr>
          <w:p w14:paraId="62D0EBF0" w14:textId="77777777" w:rsidR="00945C39" w:rsidRPr="00945C39" w:rsidRDefault="00945C39" w:rsidP="00112EB2">
            <w:pPr>
              <w:jc w:val="both"/>
              <w:rPr>
                <w:sz w:val="18"/>
                <w:szCs w:val="18"/>
                <w:lang w:val="fr-FR"/>
              </w:rPr>
            </w:pPr>
          </w:p>
          <w:p w14:paraId="03F847A2"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Pr>
          <w:p w14:paraId="66E0C57A"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 xml:space="preserve">Arrêté n°29318 du 19 aout 2025 du Ministre chargé de la Pêche fixant les mesures de </w:t>
            </w:r>
            <w:r w:rsidRPr="00945C39">
              <w:rPr>
                <w:rFonts w:eastAsia="MS Mincho"/>
                <w:sz w:val="18"/>
                <w:szCs w:val="18"/>
                <w:lang w:val="fr-FR" w:eastAsia="fr-FR" w:bidi="fr-FR"/>
              </w:rPr>
              <w:lastRenderedPageBreak/>
              <w:t>conservation des requins et raies</w:t>
            </w:r>
          </w:p>
        </w:tc>
        <w:tc>
          <w:tcPr>
            <w:tcW w:w="2041" w:type="dxa"/>
            <w:vAlign w:val="center"/>
            <w:hideMark/>
          </w:tcPr>
          <w:p w14:paraId="5804B8ED" w14:textId="77777777" w:rsidR="00945C39" w:rsidRPr="00945C39" w:rsidRDefault="00945C39" w:rsidP="00112EB2">
            <w:pPr>
              <w:jc w:val="both"/>
              <w:rPr>
                <w:rFonts w:eastAsia="Times New Roman" w:cs="Calibri"/>
                <w:sz w:val="18"/>
                <w:szCs w:val="18"/>
                <w:lang w:val="fr-FR"/>
              </w:rPr>
            </w:pPr>
            <w:r w:rsidRPr="00945C39">
              <w:rPr>
                <w:sz w:val="18"/>
                <w:szCs w:val="18"/>
                <w:lang w:val="fr-FR"/>
              </w:rPr>
              <w:lastRenderedPageBreak/>
              <w:t>Les requins soyeux ne sont pas capturés par les flottilles thonières nationales</w:t>
            </w:r>
          </w:p>
        </w:tc>
      </w:tr>
      <w:tr w:rsidR="00945C39" w:rsidRPr="00945C39" w14:paraId="600EACA2" w14:textId="77777777" w:rsidTr="00112EB2">
        <w:trPr>
          <w:trHeight w:val="43"/>
          <w:jc w:val="center"/>
        </w:trPr>
        <w:tc>
          <w:tcPr>
            <w:tcW w:w="1255" w:type="dxa"/>
            <w:noWrap/>
            <w:vAlign w:val="center"/>
            <w:hideMark/>
          </w:tcPr>
          <w:p w14:paraId="0D8F56A6" w14:textId="77777777" w:rsidR="00945C39" w:rsidRPr="000632D8" w:rsidRDefault="00945C39" w:rsidP="00112EB2">
            <w:pPr>
              <w:jc w:val="center"/>
              <w:rPr>
                <w:rFonts w:ascii="Cambria" w:hAnsi="Cambria" w:cs="Times New Roman"/>
                <w:b/>
                <w:sz w:val="18"/>
                <w:szCs w:val="18"/>
              </w:rPr>
            </w:pPr>
            <w:r w:rsidRPr="000632D8">
              <w:rPr>
                <w:rFonts w:ascii="Cambria" w:hAnsi="Cambria" w:cs="Times New Roman"/>
                <w:b/>
                <w:sz w:val="18"/>
                <w:szCs w:val="18"/>
              </w:rPr>
              <w:t>11-08</w:t>
            </w:r>
          </w:p>
          <w:p w14:paraId="4EFBE303" w14:textId="77777777" w:rsidR="00945C39" w:rsidRPr="000632D8" w:rsidRDefault="00945C39" w:rsidP="00112EB2">
            <w:pPr>
              <w:jc w:val="center"/>
              <w:rPr>
                <w:rFonts w:ascii="Cambria" w:eastAsia="Times New Roman" w:hAnsi="Cambria" w:cs="Times New Roman"/>
                <w:b/>
                <w:sz w:val="18"/>
                <w:szCs w:val="18"/>
              </w:rPr>
            </w:pPr>
          </w:p>
          <w:p w14:paraId="3040D996"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soyeux)</w:t>
            </w:r>
          </w:p>
        </w:tc>
        <w:tc>
          <w:tcPr>
            <w:tcW w:w="815" w:type="dxa"/>
            <w:noWrap/>
            <w:vAlign w:val="center"/>
            <w:hideMark/>
          </w:tcPr>
          <w:p w14:paraId="42E80DC2"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3</w:t>
            </w:r>
          </w:p>
        </w:tc>
        <w:tc>
          <w:tcPr>
            <w:tcW w:w="1165" w:type="dxa"/>
            <w:vAlign w:val="center"/>
          </w:tcPr>
          <w:p w14:paraId="5B64A324"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3ED389D9"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Les CPC devront consigner, par le biais de leurs programmes d’observateurs, le nombre de rejets et de remises à l’eau de </w:t>
            </w:r>
            <w:r w:rsidRPr="00945C39">
              <w:rPr>
                <w:b/>
                <w:bCs/>
                <w:sz w:val="18"/>
                <w:szCs w:val="18"/>
                <w:lang w:val="fr-FR"/>
              </w:rPr>
              <w:t>requins soyeux</w:t>
            </w:r>
            <w:r w:rsidRPr="00945C39">
              <w:rPr>
                <w:sz w:val="18"/>
                <w:szCs w:val="18"/>
                <w:lang w:val="fr-FR"/>
              </w:rPr>
              <w:t xml:space="preserve"> en indiquant l'état (mort ou vivant) et le déclarer à l'ICCAT.</w:t>
            </w:r>
          </w:p>
        </w:tc>
        <w:tc>
          <w:tcPr>
            <w:tcW w:w="1566" w:type="dxa"/>
            <w:vAlign w:val="center"/>
            <w:hideMark/>
          </w:tcPr>
          <w:p w14:paraId="545C27A4"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Pr>
          <w:p w14:paraId="6E69A84D" w14:textId="77777777" w:rsidR="00945C39" w:rsidRPr="00945C39" w:rsidRDefault="00945C39" w:rsidP="00112EB2">
            <w:pPr>
              <w:jc w:val="both"/>
              <w:rPr>
                <w:sz w:val="18"/>
                <w:szCs w:val="18"/>
                <w:lang w:val="fr-FR"/>
              </w:rPr>
            </w:pPr>
            <w:r w:rsidRPr="00945C39">
              <w:rPr>
                <w:sz w:val="18"/>
                <w:szCs w:val="18"/>
                <w:lang w:val="fr-FR"/>
              </w:rPr>
              <w:t>Décret 2016-18 04 du 22 novembre 2016 portant application de la Loi 2015-18 du 13 juillet 2015</w:t>
            </w:r>
          </w:p>
          <w:p w14:paraId="666A7720" w14:textId="77777777" w:rsidR="00945C39" w:rsidRPr="00945C39" w:rsidRDefault="00945C39" w:rsidP="00112EB2">
            <w:pPr>
              <w:jc w:val="both"/>
              <w:rPr>
                <w:sz w:val="18"/>
                <w:szCs w:val="18"/>
                <w:lang w:val="fr-FR"/>
              </w:rPr>
            </w:pPr>
            <w:r w:rsidRPr="00945C39">
              <w:rPr>
                <w:sz w:val="18"/>
                <w:szCs w:val="18"/>
                <w:lang w:val="fr-FR"/>
              </w:rPr>
              <w:t>Arrêté 03564 du 02 mars 2017 sur le journal de pêche</w:t>
            </w:r>
          </w:p>
          <w:p w14:paraId="1D68E8DC" w14:textId="77777777" w:rsidR="00945C39" w:rsidRPr="00945C39" w:rsidRDefault="00945C39" w:rsidP="00112EB2">
            <w:pPr>
              <w:jc w:val="both"/>
              <w:rPr>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p w14:paraId="5CB9F86B" w14:textId="77777777" w:rsidR="00945C39" w:rsidRPr="00945C39" w:rsidRDefault="00945C39" w:rsidP="00112EB2">
            <w:pPr>
              <w:jc w:val="both"/>
              <w:rPr>
                <w:rFonts w:eastAsia="Times New Roman" w:cs="Calibri"/>
                <w:sz w:val="18"/>
                <w:szCs w:val="18"/>
                <w:lang w:val="fr-FR"/>
              </w:rPr>
            </w:pPr>
          </w:p>
        </w:tc>
        <w:tc>
          <w:tcPr>
            <w:tcW w:w="2041" w:type="dxa"/>
            <w:vAlign w:val="center"/>
            <w:hideMark/>
          </w:tcPr>
          <w:p w14:paraId="657BF90F" w14:textId="77777777" w:rsidR="00945C39" w:rsidRPr="00945C39" w:rsidRDefault="00945C39" w:rsidP="00112EB2">
            <w:pPr>
              <w:jc w:val="both"/>
              <w:rPr>
                <w:rFonts w:eastAsia="Times New Roman" w:cs="Calibri"/>
                <w:sz w:val="18"/>
                <w:szCs w:val="18"/>
                <w:lang w:val="fr-FR"/>
              </w:rPr>
            </w:pPr>
          </w:p>
        </w:tc>
      </w:tr>
      <w:tr w:rsidR="00945C39" w:rsidRPr="00945C39" w14:paraId="6E96BBED" w14:textId="77777777" w:rsidTr="00112EB2">
        <w:trPr>
          <w:trHeight w:val="115"/>
          <w:jc w:val="center"/>
        </w:trPr>
        <w:tc>
          <w:tcPr>
            <w:tcW w:w="1255" w:type="dxa"/>
            <w:noWrap/>
            <w:vAlign w:val="center"/>
            <w:hideMark/>
          </w:tcPr>
          <w:p w14:paraId="2E01AA2E" w14:textId="77777777" w:rsidR="00945C39" w:rsidRPr="000632D8" w:rsidRDefault="00945C39" w:rsidP="00112EB2">
            <w:pPr>
              <w:jc w:val="center"/>
              <w:rPr>
                <w:rFonts w:ascii="Cambria" w:hAnsi="Cambria" w:cs="Times New Roman"/>
                <w:b/>
                <w:sz w:val="18"/>
                <w:szCs w:val="18"/>
              </w:rPr>
            </w:pPr>
            <w:r w:rsidRPr="000632D8">
              <w:rPr>
                <w:rFonts w:ascii="Cambria" w:hAnsi="Cambria" w:cs="Times New Roman"/>
                <w:b/>
                <w:sz w:val="18"/>
                <w:szCs w:val="18"/>
              </w:rPr>
              <w:t>11-08</w:t>
            </w:r>
          </w:p>
          <w:p w14:paraId="10EA6CB2" w14:textId="77777777" w:rsidR="00945C39" w:rsidRPr="000632D8" w:rsidRDefault="00945C39" w:rsidP="00112EB2">
            <w:pPr>
              <w:jc w:val="center"/>
              <w:rPr>
                <w:rFonts w:ascii="Cambria" w:eastAsia="Times New Roman" w:hAnsi="Cambria" w:cs="Times New Roman"/>
                <w:b/>
                <w:sz w:val="18"/>
                <w:szCs w:val="18"/>
              </w:rPr>
            </w:pPr>
          </w:p>
          <w:p w14:paraId="0C58B52B"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soyeux)</w:t>
            </w:r>
          </w:p>
        </w:tc>
        <w:tc>
          <w:tcPr>
            <w:tcW w:w="815" w:type="dxa"/>
            <w:noWrap/>
            <w:vAlign w:val="center"/>
            <w:hideMark/>
          </w:tcPr>
          <w:p w14:paraId="422AF78E"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4</w:t>
            </w:r>
          </w:p>
        </w:tc>
        <w:tc>
          <w:tcPr>
            <w:tcW w:w="1165" w:type="dxa"/>
            <w:vAlign w:val="center"/>
          </w:tcPr>
          <w:p w14:paraId="0567E0A0"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7D210C06" w14:textId="77777777" w:rsidR="00945C39" w:rsidRPr="00945C39" w:rsidRDefault="00945C39" w:rsidP="00112EB2">
            <w:pPr>
              <w:jc w:val="both"/>
              <w:rPr>
                <w:rFonts w:eastAsia="Times New Roman" w:cs="Calibri"/>
                <w:sz w:val="18"/>
                <w:szCs w:val="18"/>
                <w:lang w:val="fr-FR"/>
              </w:rPr>
            </w:pPr>
            <w:r w:rsidRPr="00945C39">
              <w:rPr>
                <w:sz w:val="18"/>
                <w:szCs w:val="18"/>
                <w:lang w:val="fr-FR"/>
              </w:rPr>
              <w:t xml:space="preserve">(1) Les </w:t>
            </w:r>
            <w:r w:rsidRPr="00945C39">
              <w:rPr>
                <w:b/>
                <w:bCs/>
                <w:sz w:val="18"/>
                <w:szCs w:val="18"/>
                <w:lang w:val="fr-FR"/>
              </w:rPr>
              <w:t>requins soyeux</w:t>
            </w:r>
            <w:r w:rsidRPr="00945C39">
              <w:rPr>
                <w:sz w:val="18"/>
                <w:szCs w:val="18"/>
                <w:lang w:val="fr-FR"/>
              </w:rPr>
              <w:t xml:space="preserve"> capturés par les CPC côtières en développement pour leur consommation locale sont exonérés des mesures établies aux paragraphes 1 et 2, sous réserve que ces CPC soumettent des données de la tâche 1 et, si possible, de la </w:t>
            </w:r>
            <w:r w:rsidRPr="00945C39">
              <w:rPr>
                <w:sz w:val="18"/>
                <w:szCs w:val="18"/>
                <w:lang w:val="fr-FR"/>
              </w:rPr>
              <w:lastRenderedPageBreak/>
              <w:t>tâche 2, selon les procédures de déclaration établies par le SCRS. Les CPC qui n’ont pas déclaré des données sur les requins spécifiques aux espèces devront fournir, avant le 1er juillet 2012, un plan destiné à améliorer leur collecte des données sur les requins à un niveau spécifique aux espèces, aux fins de son examen par le SCRS et la Commission.</w:t>
            </w:r>
          </w:p>
        </w:tc>
        <w:tc>
          <w:tcPr>
            <w:tcW w:w="1566" w:type="dxa"/>
            <w:vAlign w:val="center"/>
            <w:hideMark/>
          </w:tcPr>
          <w:p w14:paraId="77D74154" w14:textId="77777777" w:rsidR="00945C39" w:rsidRPr="00945C39" w:rsidRDefault="00945C39" w:rsidP="00112EB2">
            <w:pPr>
              <w:jc w:val="both"/>
              <w:rPr>
                <w:sz w:val="18"/>
                <w:szCs w:val="18"/>
                <w:lang w:val="fr-FR"/>
              </w:rPr>
            </w:pPr>
          </w:p>
          <w:p w14:paraId="17F23D29"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Pr>
          <w:p w14:paraId="43211B4C" w14:textId="77777777" w:rsidR="00945C39" w:rsidRPr="00945C39" w:rsidRDefault="00945C39" w:rsidP="00112EB2">
            <w:pPr>
              <w:jc w:val="both"/>
              <w:rPr>
                <w:rFonts w:eastAsia="Times New Roman" w:cs="Calibri"/>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tc>
        <w:tc>
          <w:tcPr>
            <w:tcW w:w="2041" w:type="dxa"/>
            <w:vAlign w:val="center"/>
            <w:hideMark/>
          </w:tcPr>
          <w:p w14:paraId="6820FE6F" w14:textId="77777777" w:rsidR="00945C39" w:rsidRPr="00945C39" w:rsidRDefault="00945C39" w:rsidP="00112EB2">
            <w:pPr>
              <w:jc w:val="both"/>
              <w:rPr>
                <w:rFonts w:cs="Calibri"/>
                <w:sz w:val="18"/>
                <w:szCs w:val="18"/>
                <w:lang w:val="fr-FR"/>
              </w:rPr>
            </w:pPr>
          </w:p>
          <w:p w14:paraId="54CDE1A2" w14:textId="77777777" w:rsidR="00945C39" w:rsidRPr="00945C39" w:rsidRDefault="00945C39" w:rsidP="00112EB2">
            <w:pPr>
              <w:jc w:val="both"/>
              <w:rPr>
                <w:rFonts w:cs="Calibri"/>
                <w:sz w:val="18"/>
                <w:szCs w:val="18"/>
                <w:lang w:val="fr-FR"/>
              </w:rPr>
            </w:pPr>
            <w:r w:rsidRPr="00945C39">
              <w:rPr>
                <w:sz w:val="18"/>
                <w:szCs w:val="18"/>
                <w:lang w:val="fr-FR"/>
              </w:rPr>
              <w:t>Les requins soyeux ne sont pas capturés par les flottilles thonières nationales</w:t>
            </w:r>
          </w:p>
          <w:p w14:paraId="7955E09C" w14:textId="77777777" w:rsidR="00945C39" w:rsidRPr="00945C39" w:rsidRDefault="00945C39" w:rsidP="00112EB2">
            <w:pPr>
              <w:jc w:val="both"/>
              <w:rPr>
                <w:rFonts w:eastAsia="Times New Roman" w:cs="Calibri"/>
                <w:sz w:val="18"/>
                <w:szCs w:val="18"/>
                <w:lang w:val="fr-FR"/>
              </w:rPr>
            </w:pPr>
          </w:p>
        </w:tc>
      </w:tr>
      <w:tr w:rsidR="00945C39" w:rsidRPr="00C469EA" w14:paraId="75370244" w14:textId="77777777" w:rsidTr="00112EB2">
        <w:trPr>
          <w:trHeight w:val="71"/>
          <w:jc w:val="center"/>
        </w:trPr>
        <w:tc>
          <w:tcPr>
            <w:tcW w:w="1255" w:type="dxa"/>
            <w:vAlign w:val="center"/>
            <w:hideMark/>
          </w:tcPr>
          <w:p w14:paraId="27B46BA9" w14:textId="77777777" w:rsidR="00945C39" w:rsidRPr="000632D8" w:rsidRDefault="00945C39" w:rsidP="00112EB2">
            <w:pPr>
              <w:jc w:val="center"/>
              <w:rPr>
                <w:rFonts w:ascii="Cambria" w:hAnsi="Cambria" w:cs="Times New Roman"/>
                <w:b/>
                <w:sz w:val="18"/>
                <w:szCs w:val="18"/>
              </w:rPr>
            </w:pPr>
            <w:r w:rsidRPr="000632D8">
              <w:rPr>
                <w:rFonts w:ascii="Cambria" w:hAnsi="Cambria" w:cs="Times New Roman"/>
                <w:b/>
                <w:sz w:val="18"/>
                <w:szCs w:val="18"/>
              </w:rPr>
              <w:t>11-08</w:t>
            </w:r>
          </w:p>
          <w:p w14:paraId="4F92EFE9" w14:textId="77777777" w:rsidR="00945C39" w:rsidRPr="000632D8" w:rsidRDefault="00945C39" w:rsidP="00112EB2">
            <w:pPr>
              <w:jc w:val="center"/>
              <w:rPr>
                <w:rFonts w:ascii="Cambria" w:eastAsia="Times New Roman" w:hAnsi="Cambria" w:cs="Times New Roman"/>
                <w:b/>
                <w:sz w:val="18"/>
                <w:szCs w:val="18"/>
              </w:rPr>
            </w:pPr>
          </w:p>
          <w:p w14:paraId="530A9C5A"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soyeux)</w:t>
            </w:r>
          </w:p>
        </w:tc>
        <w:tc>
          <w:tcPr>
            <w:tcW w:w="815" w:type="dxa"/>
            <w:vAlign w:val="center"/>
            <w:hideMark/>
          </w:tcPr>
          <w:p w14:paraId="591D1950" w14:textId="77777777" w:rsidR="00945C39" w:rsidRPr="00C469EA" w:rsidRDefault="00945C39" w:rsidP="00112EB2">
            <w:pPr>
              <w:jc w:val="center"/>
              <w:rPr>
                <w:rFonts w:eastAsia="Times New Roman" w:cs="Calibri"/>
                <w:b/>
                <w:sz w:val="18"/>
                <w:szCs w:val="18"/>
              </w:rPr>
            </w:pPr>
            <w:r w:rsidRPr="000632D8">
              <w:rPr>
                <w:rFonts w:ascii="Cambria" w:eastAsia="Times New Roman" w:hAnsi="Cambria" w:cs="Calibri"/>
                <w:b/>
                <w:sz w:val="18"/>
                <w:szCs w:val="18"/>
              </w:rPr>
              <w:t>4</w:t>
            </w:r>
          </w:p>
        </w:tc>
        <w:tc>
          <w:tcPr>
            <w:tcW w:w="1165" w:type="dxa"/>
            <w:vAlign w:val="center"/>
          </w:tcPr>
          <w:p w14:paraId="4C60EC20"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vAlign w:val="center"/>
            <w:hideMark/>
          </w:tcPr>
          <w:p w14:paraId="3D4F6E34" w14:textId="77777777" w:rsidR="00945C39" w:rsidRPr="00C469EA" w:rsidRDefault="00945C39" w:rsidP="00112EB2">
            <w:pPr>
              <w:jc w:val="both"/>
              <w:rPr>
                <w:rFonts w:eastAsia="Times New Roman" w:cs="Calibri"/>
                <w:sz w:val="18"/>
                <w:szCs w:val="18"/>
              </w:rPr>
            </w:pPr>
            <w:r w:rsidRPr="00945C39">
              <w:rPr>
                <w:sz w:val="18"/>
                <w:szCs w:val="18"/>
                <w:lang w:val="fr-FR"/>
              </w:rPr>
              <w:t xml:space="preserve">(2) Les CPC côtières en développement exemptées de l’interdiction conformément au présent paragraphe ne devront pas augmenter leurs captures de </w:t>
            </w:r>
            <w:r w:rsidRPr="00945C39">
              <w:rPr>
                <w:b/>
                <w:bCs/>
                <w:sz w:val="18"/>
                <w:szCs w:val="18"/>
                <w:lang w:val="fr-FR"/>
              </w:rPr>
              <w:t>requins soyeux</w:t>
            </w:r>
            <w:r w:rsidRPr="00945C39">
              <w:rPr>
                <w:sz w:val="18"/>
                <w:szCs w:val="18"/>
                <w:lang w:val="fr-FR"/>
              </w:rPr>
              <w:t xml:space="preserve">. </w:t>
            </w:r>
            <w:r w:rsidRPr="00C469EA">
              <w:rPr>
                <w:sz w:val="18"/>
                <w:szCs w:val="18"/>
              </w:rPr>
              <w:t>Ces CPC devront prendre les mesures nécessaires visant à garantir que les requins soyeux n’entrent pas sur le marché international, et devront notifier ces mesures à la Commission.</w:t>
            </w:r>
          </w:p>
        </w:tc>
        <w:tc>
          <w:tcPr>
            <w:tcW w:w="1566" w:type="dxa"/>
            <w:vAlign w:val="center"/>
            <w:hideMark/>
          </w:tcPr>
          <w:p w14:paraId="2B438DEB"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Pr>
          <w:p w14:paraId="59A83FB8"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vAlign w:val="center"/>
            <w:hideMark/>
          </w:tcPr>
          <w:p w14:paraId="26A15D66" w14:textId="77777777" w:rsidR="00945C39" w:rsidRPr="00C469EA" w:rsidRDefault="00945C39" w:rsidP="00112EB2">
            <w:pPr>
              <w:jc w:val="both"/>
              <w:rPr>
                <w:rFonts w:eastAsia="MS Mincho" w:cstheme="majorBidi"/>
                <w:sz w:val="18"/>
                <w:szCs w:val="18"/>
                <w:lang w:eastAsia="fr-FR" w:bidi="fr-FR"/>
              </w:rPr>
            </w:pPr>
            <w:r w:rsidRPr="00C469EA">
              <w:rPr>
                <w:rFonts w:eastAsia="MS Mincho" w:cstheme="majorBidi"/>
                <w:sz w:val="18"/>
                <w:szCs w:val="18"/>
                <w:lang w:eastAsia="fr-FR" w:bidi="fr-FR"/>
              </w:rPr>
              <w:t>Les dispositifs de collecte des données dans les ports et les contrôles en mer et au débarquement ainsi que l’exploitation des données de journaux de pêche sont les mesures principales.</w:t>
            </w:r>
          </w:p>
          <w:p w14:paraId="1788C695" w14:textId="77777777" w:rsidR="00945C39" w:rsidRPr="00C469EA" w:rsidRDefault="00945C39" w:rsidP="00112EB2">
            <w:pPr>
              <w:jc w:val="both"/>
              <w:rPr>
                <w:rFonts w:eastAsia="Times New Roman" w:cs="Calibri"/>
                <w:sz w:val="18"/>
                <w:szCs w:val="18"/>
              </w:rPr>
            </w:pPr>
            <w:r w:rsidRPr="00C469EA">
              <w:rPr>
                <w:rFonts w:eastAsia="MS Mincho" w:cstheme="majorBidi"/>
                <w:sz w:val="18"/>
                <w:szCs w:val="18"/>
                <w:lang w:eastAsia="fr-FR" w:bidi="fr-FR"/>
              </w:rPr>
              <w:t>L</w:t>
            </w:r>
            <w:r w:rsidRPr="00C469EA">
              <w:rPr>
                <w:rFonts w:cstheme="majorBidi"/>
                <w:sz w:val="18"/>
                <w:szCs w:val="18"/>
              </w:rPr>
              <w:t>e contrôle de l’entrée sur le marché national est assuré par le Ministère chargé de l’environnement.</w:t>
            </w:r>
          </w:p>
        </w:tc>
      </w:tr>
      <w:tr w:rsidR="00945C39" w:rsidRPr="00C469EA" w14:paraId="7E011326" w14:textId="77777777" w:rsidTr="00112EB2">
        <w:trPr>
          <w:trHeight w:val="57"/>
          <w:jc w:val="center"/>
        </w:trPr>
        <w:tc>
          <w:tcPr>
            <w:tcW w:w="1255" w:type="dxa"/>
            <w:tcBorders>
              <w:bottom w:val="single" w:sz="12" w:space="0" w:color="auto"/>
            </w:tcBorders>
            <w:noWrap/>
            <w:vAlign w:val="center"/>
            <w:hideMark/>
          </w:tcPr>
          <w:p w14:paraId="5A5ED720" w14:textId="77777777" w:rsidR="00945C39" w:rsidRPr="000632D8" w:rsidRDefault="00945C39" w:rsidP="00112EB2">
            <w:pPr>
              <w:jc w:val="center"/>
              <w:rPr>
                <w:rFonts w:ascii="Cambria" w:hAnsi="Cambria" w:cs="Times New Roman"/>
                <w:b/>
                <w:sz w:val="18"/>
                <w:szCs w:val="18"/>
              </w:rPr>
            </w:pPr>
            <w:r w:rsidRPr="000632D8">
              <w:rPr>
                <w:rFonts w:ascii="Cambria" w:hAnsi="Cambria" w:cs="Times New Roman"/>
                <w:b/>
                <w:sz w:val="18"/>
                <w:szCs w:val="18"/>
              </w:rPr>
              <w:t>11-08</w:t>
            </w:r>
          </w:p>
          <w:p w14:paraId="036FBA2D" w14:textId="77777777" w:rsidR="00945C39" w:rsidRPr="000632D8" w:rsidRDefault="00945C39" w:rsidP="00112EB2">
            <w:pPr>
              <w:jc w:val="center"/>
              <w:rPr>
                <w:rFonts w:ascii="Cambria" w:eastAsia="Times New Roman" w:hAnsi="Cambria" w:cs="Times New Roman"/>
                <w:b/>
                <w:sz w:val="18"/>
                <w:szCs w:val="18"/>
              </w:rPr>
            </w:pPr>
          </w:p>
          <w:p w14:paraId="7045F1C3"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soyeux)</w:t>
            </w:r>
          </w:p>
        </w:tc>
        <w:tc>
          <w:tcPr>
            <w:tcW w:w="815" w:type="dxa"/>
            <w:tcBorders>
              <w:bottom w:val="single" w:sz="12" w:space="0" w:color="auto"/>
            </w:tcBorders>
            <w:noWrap/>
            <w:vAlign w:val="center"/>
            <w:hideMark/>
          </w:tcPr>
          <w:p w14:paraId="4658C67E"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6</w:t>
            </w:r>
          </w:p>
        </w:tc>
        <w:tc>
          <w:tcPr>
            <w:tcW w:w="1165" w:type="dxa"/>
            <w:tcBorders>
              <w:bottom w:val="single" w:sz="12" w:space="0" w:color="auto"/>
            </w:tcBorders>
            <w:vAlign w:val="center"/>
          </w:tcPr>
          <w:p w14:paraId="56C3A4F7"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bottom w:val="single" w:sz="12" w:space="0" w:color="auto"/>
            </w:tcBorders>
            <w:vAlign w:val="center"/>
            <w:hideMark/>
          </w:tcPr>
          <w:p w14:paraId="2A9C85BA" w14:textId="77777777" w:rsidR="00945C39" w:rsidRPr="00C469EA" w:rsidRDefault="00945C39" w:rsidP="00112EB2">
            <w:pPr>
              <w:jc w:val="both"/>
              <w:rPr>
                <w:rFonts w:eastAsia="Times New Roman" w:cs="Calibri"/>
                <w:sz w:val="18"/>
                <w:szCs w:val="18"/>
              </w:rPr>
            </w:pPr>
            <w:r w:rsidRPr="00C469EA">
              <w:rPr>
                <w:sz w:val="18"/>
                <w:szCs w:val="18"/>
              </w:rPr>
              <w:t xml:space="preserve">L'interdiction de rétention énoncée au paragraphe 1 ne s'applique pas aux CPC dont la législation nationale prévoit que tous les poissons morts doivent être débarqués, que les pêcheurs ne peuvent tirer aucun profit commercial de ces poissons et qui inclut une </w:t>
            </w:r>
            <w:r w:rsidRPr="00C469EA">
              <w:rPr>
                <w:sz w:val="18"/>
                <w:szCs w:val="18"/>
              </w:rPr>
              <w:lastRenderedPageBreak/>
              <w:t xml:space="preserve">interdiction frappant les pêcheries de </w:t>
            </w:r>
            <w:r w:rsidRPr="00C469EA">
              <w:rPr>
                <w:b/>
                <w:bCs/>
                <w:sz w:val="18"/>
                <w:szCs w:val="18"/>
              </w:rPr>
              <w:t>requins soyeux</w:t>
            </w:r>
            <w:r w:rsidRPr="00C469EA">
              <w:rPr>
                <w:sz w:val="18"/>
                <w:szCs w:val="18"/>
              </w:rPr>
              <w:t>.</w:t>
            </w:r>
          </w:p>
        </w:tc>
        <w:tc>
          <w:tcPr>
            <w:tcW w:w="1566" w:type="dxa"/>
            <w:tcBorders>
              <w:bottom w:val="single" w:sz="12" w:space="0" w:color="auto"/>
            </w:tcBorders>
            <w:vAlign w:val="center"/>
            <w:hideMark/>
          </w:tcPr>
          <w:p w14:paraId="51C2FCEC" w14:textId="77777777" w:rsidR="00945C39" w:rsidRPr="00C469EA" w:rsidRDefault="00945C39" w:rsidP="00112EB2">
            <w:pPr>
              <w:jc w:val="both"/>
              <w:rPr>
                <w:rFonts w:eastAsia="Times New Roman" w:cs="Calibri"/>
                <w:sz w:val="18"/>
                <w:szCs w:val="18"/>
              </w:rPr>
            </w:pPr>
            <w:r w:rsidRPr="00C469EA">
              <w:rPr>
                <w:sz w:val="18"/>
                <w:szCs w:val="18"/>
              </w:rPr>
              <w:lastRenderedPageBreak/>
              <w:t>Non applicable (n/a)</w:t>
            </w:r>
          </w:p>
        </w:tc>
        <w:tc>
          <w:tcPr>
            <w:tcW w:w="1618" w:type="dxa"/>
            <w:tcBorders>
              <w:bottom w:val="single" w:sz="12" w:space="0" w:color="auto"/>
            </w:tcBorders>
          </w:tcPr>
          <w:p w14:paraId="406DC718"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bottom w:val="single" w:sz="12" w:space="0" w:color="auto"/>
            </w:tcBorders>
            <w:noWrap/>
            <w:vAlign w:val="center"/>
            <w:hideMark/>
          </w:tcPr>
          <w:p w14:paraId="4E7BC9FF" w14:textId="77777777" w:rsidR="00945C39" w:rsidRPr="00C469EA" w:rsidRDefault="00945C39" w:rsidP="00112EB2">
            <w:pPr>
              <w:jc w:val="both"/>
              <w:rPr>
                <w:rFonts w:eastAsia="Times New Roman" w:cs="Calibri"/>
                <w:sz w:val="18"/>
                <w:szCs w:val="18"/>
              </w:rPr>
            </w:pPr>
          </w:p>
        </w:tc>
      </w:tr>
      <w:tr w:rsidR="00945C39" w:rsidRPr="00C469EA" w14:paraId="1F08A921" w14:textId="77777777" w:rsidTr="00112EB2">
        <w:trPr>
          <w:trHeight w:val="71"/>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0A489F01"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REQUIN-TAUPE COMMUN</w:t>
            </w:r>
          </w:p>
        </w:tc>
      </w:tr>
      <w:tr w:rsidR="00945C39" w:rsidRPr="00C469EA" w14:paraId="0033730E" w14:textId="77777777" w:rsidTr="00112EB2">
        <w:trPr>
          <w:trHeight w:val="71"/>
          <w:jc w:val="center"/>
        </w:trPr>
        <w:tc>
          <w:tcPr>
            <w:tcW w:w="1255" w:type="dxa"/>
            <w:tcBorders>
              <w:top w:val="single" w:sz="12" w:space="0" w:color="auto"/>
            </w:tcBorders>
            <w:noWrap/>
            <w:vAlign w:val="center"/>
            <w:hideMark/>
          </w:tcPr>
          <w:p w14:paraId="2A4D2092"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15-06</w:t>
            </w:r>
          </w:p>
          <w:p w14:paraId="6BE742C0" w14:textId="77777777" w:rsidR="00945C39" w:rsidRPr="000632D8" w:rsidRDefault="00945C39" w:rsidP="00112EB2">
            <w:pPr>
              <w:jc w:val="center"/>
              <w:rPr>
                <w:rFonts w:ascii="Cambria" w:eastAsia="Times New Roman" w:hAnsi="Cambria" w:cs="Calibri"/>
                <w:b/>
                <w:bCs/>
                <w:sz w:val="18"/>
                <w:szCs w:val="18"/>
              </w:rPr>
            </w:pPr>
          </w:p>
          <w:p w14:paraId="21F8A50E"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commun)</w:t>
            </w:r>
          </w:p>
        </w:tc>
        <w:tc>
          <w:tcPr>
            <w:tcW w:w="815" w:type="dxa"/>
            <w:tcBorders>
              <w:top w:val="single" w:sz="12" w:space="0" w:color="auto"/>
            </w:tcBorders>
            <w:noWrap/>
            <w:vAlign w:val="center"/>
            <w:hideMark/>
          </w:tcPr>
          <w:p w14:paraId="5AE0D3BD"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w:t>
            </w:r>
          </w:p>
        </w:tc>
        <w:tc>
          <w:tcPr>
            <w:tcW w:w="1165" w:type="dxa"/>
            <w:tcBorders>
              <w:top w:val="single" w:sz="12" w:space="0" w:color="auto"/>
            </w:tcBorders>
            <w:vAlign w:val="center"/>
          </w:tcPr>
          <w:p w14:paraId="7E27E8B3"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p>
        </w:tc>
        <w:tc>
          <w:tcPr>
            <w:tcW w:w="2666" w:type="dxa"/>
            <w:tcBorders>
              <w:top w:val="single" w:sz="12" w:space="0" w:color="auto"/>
            </w:tcBorders>
            <w:vAlign w:val="center"/>
            <w:hideMark/>
          </w:tcPr>
          <w:p w14:paraId="5C172292" w14:textId="77777777" w:rsidR="00945C39" w:rsidRPr="00C469EA" w:rsidRDefault="00945C39" w:rsidP="00112EB2">
            <w:pPr>
              <w:jc w:val="both"/>
              <w:rPr>
                <w:rFonts w:eastAsia="Times New Roman" w:cs="Calibri"/>
                <w:sz w:val="18"/>
                <w:szCs w:val="18"/>
              </w:rPr>
            </w:pPr>
            <w:r w:rsidRPr="00C469EA">
              <w:rPr>
                <w:sz w:val="18"/>
                <w:szCs w:val="18"/>
              </w:rPr>
              <w:t>Les Parties contractantes et Parties, Entités ou Entités de pêche non contractantes coopérantes (ci-après dénommées « CPC ») devront demander à leurs navires de remettre promptement à l’eau et indemnes, dans la mesure où cela est faisable, les requins-taupes communs capturés en association avec les pêcheries de l'ICCAT lorsqu’ils sont amenés à l'état vivant le long du bateau pour y être hissés à bord.</w:t>
            </w:r>
          </w:p>
          <w:p w14:paraId="7E962B81" w14:textId="77777777" w:rsidR="00945C39" w:rsidRPr="00C469EA" w:rsidRDefault="00945C39" w:rsidP="00112EB2">
            <w:pPr>
              <w:jc w:val="both"/>
              <w:rPr>
                <w:rFonts w:eastAsia="Times New Roman" w:cs="Calibri"/>
                <w:sz w:val="18"/>
                <w:szCs w:val="18"/>
              </w:rPr>
            </w:pPr>
          </w:p>
        </w:tc>
        <w:tc>
          <w:tcPr>
            <w:tcW w:w="1566" w:type="dxa"/>
            <w:tcBorders>
              <w:top w:val="single" w:sz="12" w:space="0" w:color="auto"/>
            </w:tcBorders>
            <w:vAlign w:val="center"/>
            <w:hideMark/>
          </w:tcPr>
          <w:p w14:paraId="620FE65A" w14:textId="77777777" w:rsidR="00945C39" w:rsidRPr="00C469EA" w:rsidRDefault="00945C39" w:rsidP="00112EB2">
            <w:pPr>
              <w:jc w:val="both"/>
              <w:rPr>
                <w:sz w:val="18"/>
                <w:szCs w:val="18"/>
              </w:rPr>
            </w:pPr>
          </w:p>
          <w:p w14:paraId="1704F984"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12" w:space="0" w:color="auto"/>
            </w:tcBorders>
          </w:tcPr>
          <w:p w14:paraId="34E5093B"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12" w:space="0" w:color="auto"/>
            </w:tcBorders>
            <w:vAlign w:val="center"/>
            <w:hideMark/>
          </w:tcPr>
          <w:p w14:paraId="519FF2D3" w14:textId="77777777" w:rsidR="00945C39" w:rsidRPr="00C469EA" w:rsidRDefault="00945C39" w:rsidP="00112EB2">
            <w:pPr>
              <w:jc w:val="both"/>
              <w:rPr>
                <w:rFonts w:eastAsia="Times New Roman" w:cs="Calibri"/>
                <w:sz w:val="18"/>
                <w:szCs w:val="18"/>
              </w:rPr>
            </w:pPr>
            <w:r w:rsidRPr="00C469EA">
              <w:rPr>
                <w:sz w:val="18"/>
                <w:szCs w:val="18"/>
              </w:rPr>
              <w:t>Le requin-taupe commun n’est</w:t>
            </w:r>
            <w:r>
              <w:rPr>
                <w:sz w:val="18"/>
                <w:szCs w:val="18"/>
              </w:rPr>
              <w:t xml:space="preserve"> pas</w:t>
            </w:r>
            <w:r w:rsidRPr="00C469EA">
              <w:rPr>
                <w:sz w:val="18"/>
                <w:szCs w:val="18"/>
              </w:rPr>
              <w:t xml:space="preserve"> ciblé et capturé par les flottilles sénégalaises</w:t>
            </w:r>
          </w:p>
        </w:tc>
      </w:tr>
      <w:tr w:rsidR="00945C39" w:rsidRPr="00C469EA" w14:paraId="09B5E951" w14:textId="77777777" w:rsidTr="00112EB2">
        <w:trPr>
          <w:trHeight w:val="3545"/>
          <w:jc w:val="center"/>
        </w:trPr>
        <w:tc>
          <w:tcPr>
            <w:tcW w:w="1255" w:type="dxa"/>
            <w:tcBorders>
              <w:bottom w:val="single" w:sz="12" w:space="0" w:color="auto"/>
            </w:tcBorders>
            <w:noWrap/>
            <w:vAlign w:val="center"/>
            <w:hideMark/>
          </w:tcPr>
          <w:p w14:paraId="50D190DD"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15-06</w:t>
            </w:r>
          </w:p>
          <w:p w14:paraId="12AF51A5" w14:textId="77777777" w:rsidR="00945C39" w:rsidRPr="000632D8" w:rsidRDefault="00945C39" w:rsidP="00112EB2">
            <w:pPr>
              <w:jc w:val="center"/>
              <w:rPr>
                <w:rFonts w:ascii="Cambria" w:eastAsia="Times New Roman" w:hAnsi="Cambria" w:cs="Calibri"/>
                <w:b/>
                <w:bCs/>
                <w:sz w:val="18"/>
                <w:szCs w:val="18"/>
              </w:rPr>
            </w:pPr>
          </w:p>
          <w:p w14:paraId="6ADBE34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commun)</w:t>
            </w:r>
          </w:p>
        </w:tc>
        <w:tc>
          <w:tcPr>
            <w:tcW w:w="815" w:type="dxa"/>
            <w:tcBorders>
              <w:bottom w:val="single" w:sz="12" w:space="0" w:color="auto"/>
            </w:tcBorders>
            <w:noWrap/>
            <w:vAlign w:val="center"/>
            <w:hideMark/>
          </w:tcPr>
          <w:p w14:paraId="10AA3D49"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w:t>
            </w:r>
          </w:p>
        </w:tc>
        <w:tc>
          <w:tcPr>
            <w:tcW w:w="1165" w:type="dxa"/>
            <w:tcBorders>
              <w:bottom w:val="single" w:sz="12" w:space="0" w:color="auto"/>
            </w:tcBorders>
            <w:vAlign w:val="center"/>
          </w:tcPr>
          <w:p w14:paraId="6DFDD8FB"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Aucune</w:t>
            </w:r>
            <w:r w:rsidRPr="000632D8">
              <w:rPr>
                <w:rFonts w:ascii="Cambria" w:eastAsia="Times New Roman" w:hAnsi="Cambria" w:cs="Calibri"/>
                <w:sz w:val="18"/>
                <w:szCs w:val="18"/>
              </w:rPr>
              <w:t xml:space="preserve"> </w:t>
            </w:r>
          </w:p>
        </w:tc>
        <w:tc>
          <w:tcPr>
            <w:tcW w:w="2666" w:type="dxa"/>
            <w:tcBorders>
              <w:bottom w:val="single" w:sz="12" w:space="0" w:color="auto"/>
            </w:tcBorders>
            <w:vAlign w:val="center"/>
            <w:hideMark/>
          </w:tcPr>
          <w:p w14:paraId="3E7A0F9E" w14:textId="77777777" w:rsidR="00945C39" w:rsidRPr="00C469EA" w:rsidRDefault="00945C39" w:rsidP="00112EB2">
            <w:pPr>
              <w:jc w:val="both"/>
              <w:rPr>
                <w:rFonts w:eastAsia="Times New Roman" w:cs="Calibri"/>
                <w:sz w:val="18"/>
                <w:szCs w:val="18"/>
              </w:rPr>
            </w:pPr>
            <w:r w:rsidRPr="00C469EA">
              <w:rPr>
                <w:sz w:val="18"/>
                <w:szCs w:val="18"/>
              </w:rPr>
              <w:t xml:space="preserve">Les CPC devront assurer la collecte et la soumission des données de la tâche 1 et de la tâche 2 pour le </w:t>
            </w:r>
            <w:r w:rsidRPr="00C469EA">
              <w:rPr>
                <w:b/>
                <w:bCs/>
                <w:sz w:val="18"/>
                <w:szCs w:val="18"/>
              </w:rPr>
              <w:t>requin-taupe commun</w:t>
            </w:r>
            <w:r w:rsidRPr="00C469EA">
              <w:rPr>
                <w:sz w:val="18"/>
                <w:szCs w:val="18"/>
              </w:rPr>
              <w:t>, conformément aux exigences en matière de déclaration des données de l'ICCAT. Le nombre de rejets et de remises à l’eau de requins-taupes communs devra être consigné en indiquant l’état (mort ou vivant) et déclaré à l'ICCAT, conformément aux exigences en matière de déclaration des données de l'ICCAT.</w:t>
            </w:r>
          </w:p>
          <w:p w14:paraId="6BB5F2BE" w14:textId="77777777" w:rsidR="00945C39" w:rsidRPr="00C469EA" w:rsidRDefault="00945C39" w:rsidP="00112EB2">
            <w:pPr>
              <w:jc w:val="both"/>
              <w:rPr>
                <w:rFonts w:eastAsia="Times New Roman" w:cs="Calibri"/>
                <w:sz w:val="18"/>
                <w:szCs w:val="18"/>
              </w:rPr>
            </w:pPr>
          </w:p>
        </w:tc>
        <w:tc>
          <w:tcPr>
            <w:tcW w:w="1566" w:type="dxa"/>
            <w:tcBorders>
              <w:bottom w:val="single" w:sz="12" w:space="0" w:color="auto"/>
            </w:tcBorders>
            <w:vAlign w:val="center"/>
            <w:hideMark/>
          </w:tcPr>
          <w:p w14:paraId="3E2E54C4" w14:textId="77777777" w:rsidR="00945C39" w:rsidRPr="00C469EA" w:rsidRDefault="00945C39" w:rsidP="00112EB2">
            <w:pPr>
              <w:jc w:val="both"/>
              <w:rPr>
                <w:sz w:val="18"/>
                <w:szCs w:val="18"/>
              </w:rPr>
            </w:pPr>
          </w:p>
          <w:p w14:paraId="1276B2DB"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bottom w:val="single" w:sz="12" w:space="0" w:color="auto"/>
            </w:tcBorders>
          </w:tcPr>
          <w:p w14:paraId="6EB83241"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bottom w:val="single" w:sz="12" w:space="0" w:color="auto"/>
            </w:tcBorders>
            <w:vAlign w:val="center"/>
            <w:hideMark/>
          </w:tcPr>
          <w:p w14:paraId="2B6CD862" w14:textId="77777777" w:rsidR="00945C39" w:rsidRPr="00C469EA" w:rsidRDefault="00945C39" w:rsidP="00112EB2">
            <w:pPr>
              <w:jc w:val="both"/>
              <w:rPr>
                <w:rFonts w:eastAsia="Times New Roman" w:cs="Calibri"/>
                <w:sz w:val="18"/>
                <w:szCs w:val="18"/>
              </w:rPr>
            </w:pPr>
            <w:r w:rsidRPr="00C469EA">
              <w:rPr>
                <w:sz w:val="18"/>
                <w:szCs w:val="18"/>
              </w:rPr>
              <w:t>Le requin-taupe commun n’est pas ciblé et capturé par les flottilles sénégalaises</w:t>
            </w:r>
          </w:p>
        </w:tc>
      </w:tr>
      <w:tr w:rsidR="00945C39" w:rsidRPr="00C469EA" w14:paraId="6889EACD" w14:textId="77777777" w:rsidTr="00112EB2">
        <w:trPr>
          <w:trHeight w:val="74"/>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22C4875E"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REQUIN-TAUPE BLEU DE L’ATLANTIQUE NORD</w:t>
            </w:r>
          </w:p>
        </w:tc>
      </w:tr>
      <w:tr w:rsidR="00945C39" w:rsidRPr="00C469EA" w14:paraId="5F5C3D86" w14:textId="77777777" w:rsidTr="00112EB2">
        <w:trPr>
          <w:trHeight w:val="74"/>
          <w:jc w:val="center"/>
        </w:trPr>
        <w:tc>
          <w:tcPr>
            <w:tcW w:w="1255" w:type="dxa"/>
            <w:tcBorders>
              <w:top w:val="single" w:sz="12" w:space="0" w:color="auto"/>
            </w:tcBorders>
            <w:noWrap/>
            <w:vAlign w:val="center"/>
          </w:tcPr>
          <w:p w14:paraId="0E01A985" w14:textId="77777777" w:rsidR="00945C39" w:rsidRPr="000632D8" w:rsidRDefault="00945C39" w:rsidP="00112EB2">
            <w:pPr>
              <w:jc w:val="center"/>
              <w:rPr>
                <w:rFonts w:ascii="Cambria" w:eastAsia="Times New Roman" w:hAnsi="Cambria" w:cs="Calibri"/>
                <w:b/>
                <w:sz w:val="18"/>
                <w:szCs w:val="18"/>
              </w:rPr>
            </w:pPr>
            <w:bookmarkStart w:id="1" w:name="_Hlk64878595"/>
            <w:r w:rsidRPr="000632D8">
              <w:rPr>
                <w:rFonts w:ascii="Cambria" w:hAnsi="Cambria"/>
                <w:b/>
                <w:sz w:val="18"/>
                <w:szCs w:val="18"/>
              </w:rPr>
              <w:lastRenderedPageBreak/>
              <w:t>21-09</w:t>
            </w:r>
          </w:p>
          <w:p w14:paraId="70D10E22" w14:textId="77777777" w:rsidR="00945C39" w:rsidRPr="000632D8" w:rsidRDefault="00945C39" w:rsidP="00112EB2">
            <w:pPr>
              <w:jc w:val="center"/>
              <w:rPr>
                <w:rFonts w:ascii="Cambria" w:hAnsi="Cambria"/>
                <w:b/>
                <w:sz w:val="18"/>
                <w:szCs w:val="18"/>
              </w:rPr>
            </w:pPr>
          </w:p>
          <w:p w14:paraId="1F181EB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12" w:space="0" w:color="auto"/>
            </w:tcBorders>
            <w:noWrap/>
            <w:vAlign w:val="center"/>
          </w:tcPr>
          <w:p w14:paraId="7B604A8B"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w:t>
            </w:r>
          </w:p>
        </w:tc>
        <w:tc>
          <w:tcPr>
            <w:tcW w:w="1165" w:type="dxa"/>
            <w:tcBorders>
              <w:top w:val="single" w:sz="12" w:space="0" w:color="auto"/>
            </w:tcBorders>
            <w:vAlign w:val="center"/>
          </w:tcPr>
          <w:p w14:paraId="3818A970" w14:textId="77777777" w:rsidR="00945C39" w:rsidRPr="000632D8" w:rsidRDefault="00945C39" w:rsidP="00112EB2">
            <w:pPr>
              <w:rPr>
                <w:rFonts w:ascii="Cambria" w:eastAsia="Times New Roman" w:hAnsi="Cambria" w:cs="Calibri"/>
                <w:sz w:val="18"/>
                <w:szCs w:val="18"/>
              </w:rPr>
            </w:pPr>
            <w:r w:rsidRPr="000632D8">
              <w:rPr>
                <w:rFonts w:ascii="Cambria" w:hAnsi="Cambria"/>
                <w:sz w:val="18"/>
                <w:szCs w:val="18"/>
              </w:rPr>
              <w:t>Abroge et remplace la Rec. 19-06</w:t>
            </w:r>
          </w:p>
          <w:p w14:paraId="2528F9BE" w14:textId="77777777" w:rsidR="00945C39" w:rsidRPr="000632D8" w:rsidRDefault="00945C39" w:rsidP="00112EB2">
            <w:pPr>
              <w:rPr>
                <w:rFonts w:ascii="Cambria" w:eastAsia="Times New Roman" w:hAnsi="Cambria" w:cs="Calibri"/>
                <w:sz w:val="18"/>
                <w:szCs w:val="18"/>
              </w:rPr>
            </w:pPr>
          </w:p>
          <w:p w14:paraId="3001AF83" w14:textId="77777777" w:rsidR="00945C39" w:rsidRPr="00C469EA" w:rsidRDefault="00945C39" w:rsidP="00112EB2">
            <w:pPr>
              <w:rPr>
                <w:rFonts w:eastAsia="Times New Roman" w:cs="Calibri"/>
                <w:sz w:val="18"/>
                <w:szCs w:val="18"/>
              </w:rPr>
            </w:pPr>
            <w:r w:rsidRPr="000632D8">
              <w:rPr>
                <w:rFonts w:ascii="Cambria" w:hAnsi="Cambria"/>
                <w:b/>
                <w:sz w:val="18"/>
                <w:szCs w:val="18"/>
              </w:rPr>
              <w:t xml:space="preserve">Note </w:t>
            </w:r>
            <w:r w:rsidRPr="000632D8">
              <w:rPr>
                <w:rFonts w:ascii="Cambria" w:hAnsi="Cambria"/>
                <w:sz w:val="18"/>
                <w:szCs w:val="18"/>
              </w:rPr>
              <w:t>: La Commission examinera la Rec. 21-09 lors de sa réunion annuelle de 2024.</w:t>
            </w:r>
          </w:p>
        </w:tc>
        <w:tc>
          <w:tcPr>
            <w:tcW w:w="2666" w:type="dxa"/>
            <w:tcBorders>
              <w:top w:val="single" w:sz="12" w:space="0" w:color="auto"/>
            </w:tcBorders>
            <w:vAlign w:val="center"/>
          </w:tcPr>
          <w:p w14:paraId="4BB704FD" w14:textId="77777777" w:rsidR="00945C39" w:rsidRPr="00C469EA" w:rsidRDefault="00945C39" w:rsidP="00112EB2">
            <w:pPr>
              <w:jc w:val="both"/>
              <w:rPr>
                <w:rFonts w:eastAsia="Times New Roman" w:cs="Calibri"/>
                <w:sz w:val="18"/>
                <w:szCs w:val="18"/>
              </w:rPr>
            </w:pPr>
            <w:r w:rsidRPr="00C469EA">
              <w:rPr>
                <w:sz w:val="18"/>
                <w:szCs w:val="18"/>
              </w:rPr>
              <w:t>À cette fin, les règles énoncées dans la présente Recommandation devront être appliquées par les CPC dans le but de réduire la mortalité totale par pêche (la somme de toute rétention, des rejets morts et de la mortalité après la remise à l'eau des rejets vivants), afin de maintenir la mortalité à des niveaux durables pour rétablir le stock et d'établir un processus permettant de déterminer si, pour une année donnée, il existe une possibilité de rétention.</w:t>
            </w:r>
          </w:p>
        </w:tc>
        <w:tc>
          <w:tcPr>
            <w:tcW w:w="1566" w:type="dxa"/>
            <w:tcBorders>
              <w:top w:val="single" w:sz="12" w:space="0" w:color="auto"/>
            </w:tcBorders>
            <w:vAlign w:val="center"/>
          </w:tcPr>
          <w:p w14:paraId="474733ED" w14:textId="77777777" w:rsidR="00945C39" w:rsidRPr="00C469EA" w:rsidRDefault="00945C39" w:rsidP="00112EB2">
            <w:pPr>
              <w:jc w:val="both"/>
              <w:rPr>
                <w:rFonts w:cs="Calibri"/>
                <w:sz w:val="18"/>
                <w:szCs w:val="18"/>
              </w:rPr>
            </w:pPr>
            <w:r w:rsidRPr="00C469EA">
              <w:rPr>
                <w:rFonts w:cs="Calibri"/>
                <w:sz w:val="18"/>
                <w:szCs w:val="18"/>
              </w:rPr>
              <w:t>Non</w:t>
            </w:r>
          </w:p>
          <w:p w14:paraId="119FF905" w14:textId="77777777" w:rsidR="00945C39" w:rsidRPr="00C469EA" w:rsidRDefault="00945C39" w:rsidP="00112EB2">
            <w:pPr>
              <w:jc w:val="both"/>
              <w:rPr>
                <w:rFonts w:eastAsia="Times New Roman" w:cs="Calibri"/>
                <w:sz w:val="18"/>
                <w:szCs w:val="18"/>
              </w:rPr>
            </w:pPr>
          </w:p>
        </w:tc>
        <w:tc>
          <w:tcPr>
            <w:tcW w:w="1618" w:type="dxa"/>
            <w:tcBorders>
              <w:top w:val="single" w:sz="12" w:space="0" w:color="auto"/>
            </w:tcBorders>
          </w:tcPr>
          <w:p w14:paraId="4120FA33"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12" w:space="0" w:color="auto"/>
            </w:tcBorders>
            <w:vAlign w:val="center"/>
          </w:tcPr>
          <w:p w14:paraId="292B5803" w14:textId="77777777" w:rsidR="00945C39" w:rsidRPr="00C469EA" w:rsidRDefault="00945C39" w:rsidP="00112EB2">
            <w:pPr>
              <w:jc w:val="both"/>
              <w:rPr>
                <w:sz w:val="18"/>
                <w:szCs w:val="18"/>
              </w:rPr>
            </w:pPr>
            <w:r w:rsidRPr="00C469EA">
              <w:rPr>
                <w:sz w:val="18"/>
                <w:szCs w:val="18"/>
              </w:rPr>
              <w:t>La Recommandation 21-09 n’est pas encore transposée et les navires ne ciblent le requin peau bleu</w:t>
            </w:r>
            <w:r>
              <w:rPr>
                <w:sz w:val="18"/>
                <w:szCs w:val="18"/>
              </w:rPr>
              <w:t>e</w:t>
            </w:r>
          </w:p>
          <w:p w14:paraId="7EDC2AA0" w14:textId="77777777" w:rsidR="00945C39" w:rsidRPr="00C469EA" w:rsidRDefault="00945C39" w:rsidP="00112EB2">
            <w:pPr>
              <w:jc w:val="both"/>
              <w:rPr>
                <w:rFonts w:eastAsia="Times New Roman" w:cs="Calibri"/>
                <w:sz w:val="18"/>
                <w:szCs w:val="18"/>
              </w:rPr>
            </w:pPr>
          </w:p>
        </w:tc>
      </w:tr>
      <w:tr w:rsidR="00945C39" w:rsidRPr="00C469EA" w14:paraId="493F94F3" w14:textId="77777777" w:rsidTr="00112EB2">
        <w:trPr>
          <w:trHeight w:val="74"/>
          <w:jc w:val="center"/>
        </w:trPr>
        <w:tc>
          <w:tcPr>
            <w:tcW w:w="1255" w:type="dxa"/>
            <w:noWrap/>
            <w:vAlign w:val="center"/>
          </w:tcPr>
          <w:p w14:paraId="70B13231"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58DF6CF2" w14:textId="77777777" w:rsidR="00945C39" w:rsidRPr="000632D8" w:rsidRDefault="00945C39" w:rsidP="00112EB2">
            <w:pPr>
              <w:jc w:val="center"/>
              <w:rPr>
                <w:rFonts w:ascii="Cambria" w:hAnsi="Cambria"/>
                <w:b/>
                <w:sz w:val="18"/>
                <w:szCs w:val="18"/>
              </w:rPr>
            </w:pPr>
          </w:p>
          <w:p w14:paraId="0E63768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noWrap/>
            <w:vAlign w:val="center"/>
          </w:tcPr>
          <w:p w14:paraId="18C6E120"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3</w:t>
            </w:r>
          </w:p>
        </w:tc>
        <w:tc>
          <w:tcPr>
            <w:tcW w:w="1165" w:type="dxa"/>
            <w:vAlign w:val="center"/>
          </w:tcPr>
          <w:p w14:paraId="20B7586D" w14:textId="77777777" w:rsidR="00945C39" w:rsidRPr="00C469EA" w:rsidRDefault="00945C39" w:rsidP="00112EB2">
            <w:pPr>
              <w:jc w:val="center"/>
              <w:rPr>
                <w:sz w:val="18"/>
                <w:szCs w:val="18"/>
              </w:rPr>
            </w:pPr>
            <w:r w:rsidRPr="000632D8">
              <w:rPr>
                <w:rFonts w:ascii="Cambria" w:hAnsi="Cambria"/>
                <w:sz w:val="18"/>
                <w:szCs w:val="18"/>
              </w:rPr>
              <w:t>Voir ci-dessus</w:t>
            </w:r>
          </w:p>
        </w:tc>
        <w:tc>
          <w:tcPr>
            <w:tcW w:w="2666" w:type="dxa"/>
            <w:vAlign w:val="center"/>
          </w:tcPr>
          <w:p w14:paraId="34C8123C" w14:textId="77777777" w:rsidR="00945C39" w:rsidRPr="00C469EA" w:rsidRDefault="00945C39" w:rsidP="00112EB2">
            <w:pPr>
              <w:jc w:val="both"/>
              <w:rPr>
                <w:sz w:val="18"/>
                <w:szCs w:val="18"/>
              </w:rPr>
            </w:pPr>
            <w:r w:rsidRPr="00C469EA">
              <w:rPr>
                <w:sz w:val="18"/>
                <w:szCs w:val="18"/>
              </w:rPr>
              <w:t xml:space="preserve">Les CPC devront mettre en œuvre une interdiction de retenir à bord, de transborder et de débarquer, en totalité ou en partie, le </w:t>
            </w:r>
            <w:r w:rsidRPr="00C469EA">
              <w:rPr>
                <w:b/>
                <w:bCs/>
                <w:sz w:val="18"/>
                <w:szCs w:val="18"/>
              </w:rPr>
              <w:t>requin-taupe bleu de l'Atlantique Nord</w:t>
            </w:r>
            <w:r w:rsidRPr="00C469EA">
              <w:rPr>
                <w:sz w:val="18"/>
                <w:szCs w:val="18"/>
              </w:rPr>
              <w:t xml:space="preserve"> capturé en association avec les pêcheries de l'ICCAT en 2022 et 2023, en tant que première étape du rétablissement du stock.</w:t>
            </w:r>
          </w:p>
        </w:tc>
        <w:tc>
          <w:tcPr>
            <w:tcW w:w="1566" w:type="dxa"/>
            <w:vAlign w:val="center"/>
          </w:tcPr>
          <w:p w14:paraId="7A7049F5"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Pr>
          <w:p w14:paraId="40D224C1"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vAlign w:val="center"/>
          </w:tcPr>
          <w:p w14:paraId="58D8D78E" w14:textId="77777777" w:rsidR="00945C39" w:rsidRPr="00C469EA" w:rsidRDefault="00945C39" w:rsidP="00112EB2">
            <w:pPr>
              <w:jc w:val="both"/>
              <w:rPr>
                <w:sz w:val="18"/>
                <w:szCs w:val="18"/>
              </w:rPr>
            </w:pPr>
          </w:p>
          <w:p w14:paraId="11D23B74" w14:textId="77777777" w:rsidR="00945C39" w:rsidRPr="00C469EA" w:rsidRDefault="00945C39" w:rsidP="00112EB2">
            <w:pPr>
              <w:jc w:val="both"/>
              <w:rPr>
                <w:rFonts w:eastAsia="Times New Roman" w:cs="Calibri"/>
                <w:sz w:val="18"/>
                <w:szCs w:val="18"/>
              </w:rPr>
            </w:pPr>
            <w:r w:rsidRPr="00C469EA">
              <w:rPr>
                <w:sz w:val="18"/>
                <w:szCs w:val="18"/>
              </w:rPr>
              <w:t>La transposition n’est pas encore effective</w:t>
            </w:r>
          </w:p>
        </w:tc>
      </w:tr>
      <w:tr w:rsidR="00945C39" w:rsidRPr="00C469EA" w14:paraId="04C77D65"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74216E1" w14:textId="77777777" w:rsidR="00945C39" w:rsidRPr="000632D8" w:rsidRDefault="00945C39" w:rsidP="00112EB2">
            <w:pPr>
              <w:jc w:val="center"/>
              <w:rPr>
                <w:rFonts w:ascii="Cambria" w:eastAsia="Times New Roman" w:hAnsi="Cambria" w:cs="Calibri"/>
                <w:b/>
                <w:sz w:val="18"/>
                <w:szCs w:val="18"/>
              </w:rPr>
            </w:pPr>
            <w:bookmarkStart w:id="2" w:name="_Hlk92185075"/>
            <w:r w:rsidRPr="000632D8">
              <w:rPr>
                <w:rFonts w:ascii="Cambria" w:hAnsi="Cambria"/>
                <w:b/>
                <w:sz w:val="18"/>
                <w:szCs w:val="18"/>
              </w:rPr>
              <w:t>21-09</w:t>
            </w:r>
          </w:p>
          <w:p w14:paraId="2D747F18" w14:textId="77777777" w:rsidR="00945C39" w:rsidRPr="000632D8" w:rsidRDefault="00945C39" w:rsidP="00112EB2">
            <w:pPr>
              <w:jc w:val="center"/>
              <w:rPr>
                <w:rFonts w:ascii="Cambria" w:hAnsi="Cambria"/>
                <w:b/>
                <w:sz w:val="18"/>
                <w:szCs w:val="18"/>
              </w:rPr>
            </w:pPr>
          </w:p>
          <w:p w14:paraId="693C8EE3"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53428C21"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6</w:t>
            </w:r>
          </w:p>
        </w:tc>
        <w:tc>
          <w:tcPr>
            <w:tcW w:w="1165" w:type="dxa"/>
            <w:tcBorders>
              <w:top w:val="single" w:sz="4" w:space="0" w:color="auto"/>
              <w:left w:val="single" w:sz="4" w:space="0" w:color="auto"/>
              <w:bottom w:val="single" w:sz="4" w:space="0" w:color="auto"/>
              <w:right w:val="single" w:sz="4" w:space="0" w:color="auto"/>
            </w:tcBorders>
            <w:vAlign w:val="center"/>
          </w:tcPr>
          <w:p w14:paraId="3B06BCE2"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0C88FD5A"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dont les navires de pêche retiennent du </w:t>
            </w:r>
            <w:r w:rsidRPr="00C469EA">
              <w:rPr>
                <w:b/>
                <w:bCs/>
                <w:sz w:val="18"/>
                <w:szCs w:val="18"/>
              </w:rPr>
              <w:t>requin-taupe bleu de l’Atlantique Nord</w:t>
            </w:r>
            <w:r w:rsidRPr="00C469EA">
              <w:rPr>
                <w:sz w:val="18"/>
                <w:szCs w:val="18"/>
              </w:rPr>
              <w:t xml:space="preserve"> devront interdire de transborder, en totalité ou en partie, le </w:t>
            </w:r>
            <w:r w:rsidRPr="00C469EA">
              <w:rPr>
                <w:b/>
                <w:bCs/>
                <w:sz w:val="18"/>
                <w:szCs w:val="18"/>
              </w:rPr>
              <w:t>requin-taupe bleu de l'Atlantique Nord</w:t>
            </w:r>
            <w:r w:rsidRPr="00C469EA">
              <w:rPr>
                <w:sz w:val="18"/>
                <w:szCs w:val="18"/>
              </w:rPr>
              <w:t xml:space="preserve"> capturé en association avec les pêcheries de l'ICCAT.</w:t>
            </w:r>
          </w:p>
        </w:tc>
        <w:tc>
          <w:tcPr>
            <w:tcW w:w="1566" w:type="dxa"/>
            <w:tcBorders>
              <w:top w:val="single" w:sz="4" w:space="0" w:color="auto"/>
              <w:left w:val="single" w:sz="4" w:space="0" w:color="auto"/>
              <w:bottom w:val="single" w:sz="4" w:space="0" w:color="auto"/>
              <w:right w:val="single" w:sz="4" w:space="0" w:color="auto"/>
            </w:tcBorders>
            <w:vAlign w:val="center"/>
          </w:tcPr>
          <w:p w14:paraId="7E6C119A"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tcPr>
          <w:p w14:paraId="12EC2BB9"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4" w:space="0" w:color="auto"/>
              <w:left w:val="single" w:sz="4" w:space="0" w:color="auto"/>
              <w:bottom w:val="single" w:sz="4" w:space="0" w:color="auto"/>
              <w:right w:val="single" w:sz="4" w:space="0" w:color="auto"/>
            </w:tcBorders>
            <w:vAlign w:val="center"/>
          </w:tcPr>
          <w:p w14:paraId="0956058B" w14:textId="77777777" w:rsidR="00945C39" w:rsidRPr="00C469EA" w:rsidRDefault="00945C39" w:rsidP="00112EB2">
            <w:pPr>
              <w:jc w:val="both"/>
              <w:rPr>
                <w:sz w:val="18"/>
                <w:szCs w:val="18"/>
              </w:rPr>
            </w:pPr>
            <w:r w:rsidRPr="00C469EA">
              <w:rPr>
                <w:sz w:val="18"/>
                <w:szCs w:val="18"/>
              </w:rPr>
              <w:t>Dès la transposition de la Recommandation.</w:t>
            </w:r>
          </w:p>
          <w:p w14:paraId="441F54DA" w14:textId="77777777" w:rsidR="00945C39" w:rsidRPr="00C469EA" w:rsidRDefault="00945C39" w:rsidP="00112EB2">
            <w:pPr>
              <w:jc w:val="both"/>
              <w:rPr>
                <w:sz w:val="18"/>
                <w:szCs w:val="18"/>
              </w:rPr>
            </w:pPr>
          </w:p>
          <w:p w14:paraId="0107013F" w14:textId="77777777" w:rsidR="00945C39" w:rsidRPr="00C469EA" w:rsidRDefault="00945C39" w:rsidP="00112EB2">
            <w:pPr>
              <w:jc w:val="both"/>
              <w:rPr>
                <w:rFonts w:eastAsia="Times New Roman" w:cs="Calibri"/>
                <w:sz w:val="18"/>
                <w:szCs w:val="18"/>
              </w:rPr>
            </w:pPr>
          </w:p>
        </w:tc>
      </w:tr>
      <w:bookmarkEnd w:id="2"/>
      <w:tr w:rsidR="00945C39" w:rsidRPr="00C469EA" w14:paraId="2106332F"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422454F"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61C9E72F" w14:textId="77777777" w:rsidR="00945C39" w:rsidRPr="000632D8" w:rsidRDefault="00945C39" w:rsidP="00112EB2">
            <w:pPr>
              <w:jc w:val="center"/>
              <w:rPr>
                <w:rFonts w:ascii="Cambria" w:hAnsi="Cambria"/>
                <w:b/>
                <w:sz w:val="18"/>
                <w:szCs w:val="18"/>
              </w:rPr>
            </w:pPr>
          </w:p>
          <w:p w14:paraId="19B6DDD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1769BDA1"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7</w:t>
            </w:r>
          </w:p>
        </w:tc>
        <w:tc>
          <w:tcPr>
            <w:tcW w:w="1165" w:type="dxa"/>
            <w:tcBorders>
              <w:top w:val="single" w:sz="4" w:space="0" w:color="auto"/>
              <w:left w:val="single" w:sz="4" w:space="0" w:color="auto"/>
              <w:bottom w:val="single" w:sz="4" w:space="0" w:color="auto"/>
              <w:right w:val="single" w:sz="4" w:space="0" w:color="auto"/>
            </w:tcBorders>
            <w:vAlign w:val="center"/>
          </w:tcPr>
          <w:p w14:paraId="4E9C7D43"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647E60E2"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Toute rétention admissible conformément au paragraphe 5 ne devra être autorisée que lorsque le poisson est mort au moment de la remontée et que </w:t>
            </w:r>
            <w:r w:rsidRPr="00C469EA">
              <w:rPr>
                <w:sz w:val="18"/>
                <w:szCs w:val="18"/>
              </w:rPr>
              <w:lastRenderedPageBreak/>
              <w:t>le navire dispose d'un observateur ou d'un système de surveillance électronique (EMS) opérationnel à bord pour vérifier l'état des requins :</w:t>
            </w:r>
          </w:p>
          <w:p w14:paraId="5F57AD5E"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p>
          <w:p w14:paraId="41A2E53C" w14:textId="77777777" w:rsidR="00945C39" w:rsidRPr="00C469EA" w:rsidRDefault="00945C39" w:rsidP="00112EB2">
            <w:pPr>
              <w:pStyle w:val="ListParagraph"/>
              <w:widowControl w:val="0"/>
              <w:kinsoku w:val="0"/>
              <w:overflowPunct w:val="0"/>
              <w:autoSpaceDE w:val="0"/>
              <w:autoSpaceDN w:val="0"/>
              <w:adjustRightInd w:val="0"/>
              <w:spacing w:line="220" w:lineRule="exact"/>
              <w:ind w:left="0" w:right="113"/>
              <w:jc w:val="both"/>
              <w:rPr>
                <w:rFonts w:cs="Cambria"/>
                <w:spacing w:val="-1"/>
                <w:sz w:val="18"/>
                <w:szCs w:val="18"/>
              </w:rPr>
            </w:pPr>
            <w:r w:rsidRPr="00C469EA">
              <w:rPr>
                <w:sz w:val="18"/>
                <w:szCs w:val="18"/>
              </w:rPr>
              <w:t xml:space="preserve">a) Les navires de 12 mètres ou moins ne pourront pas retenir plus d’un spécimen de </w:t>
            </w:r>
            <w:r w:rsidRPr="00C469EA">
              <w:rPr>
                <w:b/>
                <w:bCs/>
                <w:sz w:val="18"/>
                <w:szCs w:val="18"/>
              </w:rPr>
              <w:t>requin-taupe bleu de l'Atlantique Nord</w:t>
            </w:r>
            <w:r w:rsidRPr="00C469EA">
              <w:rPr>
                <w:sz w:val="18"/>
                <w:szCs w:val="18"/>
              </w:rPr>
              <w:t xml:space="preserve"> au cours d'une sortie de pêche.</w:t>
            </w:r>
          </w:p>
          <w:p w14:paraId="214112D4"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p>
          <w:p w14:paraId="587C154C" w14:textId="77777777" w:rsidR="00945C39" w:rsidRPr="00C469EA" w:rsidRDefault="00945C39" w:rsidP="00112EB2">
            <w:pPr>
              <w:pStyle w:val="ListParagraph"/>
              <w:widowControl w:val="0"/>
              <w:kinsoku w:val="0"/>
              <w:overflowPunct w:val="0"/>
              <w:autoSpaceDE w:val="0"/>
              <w:autoSpaceDN w:val="0"/>
              <w:adjustRightInd w:val="0"/>
              <w:spacing w:line="220" w:lineRule="exact"/>
              <w:ind w:left="0" w:right="113"/>
              <w:jc w:val="both"/>
              <w:rPr>
                <w:rFonts w:cs="Cambria"/>
                <w:spacing w:val="-1"/>
                <w:sz w:val="18"/>
                <w:szCs w:val="18"/>
              </w:rPr>
            </w:pPr>
            <w:r w:rsidRPr="00C469EA">
              <w:rPr>
                <w:sz w:val="18"/>
                <w:szCs w:val="18"/>
              </w:rPr>
              <w:t>b) Aux fins du présent paragraphe, une sortie de pêche est définie comme la période qui commence lorsqu'un navire de pêche quitte un quai, un poste d'amarrage, une plage, une digue, une rampe ou un port pour effectuer des opérations de pêche et qui se termine par le retour à un quai, un poste d'amarrage, une plage, une digue, une rampe ou un port.</w:t>
            </w:r>
          </w:p>
        </w:tc>
        <w:tc>
          <w:tcPr>
            <w:tcW w:w="1566" w:type="dxa"/>
            <w:tcBorders>
              <w:top w:val="single" w:sz="4" w:space="0" w:color="auto"/>
              <w:left w:val="single" w:sz="4" w:space="0" w:color="auto"/>
              <w:bottom w:val="single" w:sz="4" w:space="0" w:color="auto"/>
              <w:right w:val="single" w:sz="4" w:space="0" w:color="auto"/>
            </w:tcBorders>
            <w:vAlign w:val="center"/>
          </w:tcPr>
          <w:p w14:paraId="2B49ECFC" w14:textId="77777777" w:rsidR="00945C39" w:rsidRPr="00C469EA" w:rsidRDefault="00945C39" w:rsidP="00112EB2">
            <w:pPr>
              <w:jc w:val="both"/>
              <w:rPr>
                <w:rFonts w:eastAsia="Times New Roman" w:cs="Calibri"/>
                <w:sz w:val="18"/>
                <w:szCs w:val="18"/>
              </w:rPr>
            </w:pPr>
            <w:r w:rsidRPr="00C469EA">
              <w:rPr>
                <w:sz w:val="18"/>
                <w:szCs w:val="18"/>
              </w:rPr>
              <w:lastRenderedPageBreak/>
              <w:t xml:space="preserve">Oui </w:t>
            </w:r>
          </w:p>
        </w:tc>
        <w:tc>
          <w:tcPr>
            <w:tcW w:w="1618" w:type="dxa"/>
            <w:tcBorders>
              <w:top w:val="single" w:sz="4" w:space="0" w:color="auto"/>
              <w:left w:val="single" w:sz="4" w:space="0" w:color="auto"/>
              <w:bottom w:val="single" w:sz="4" w:space="0" w:color="auto"/>
              <w:right w:val="single" w:sz="4" w:space="0" w:color="auto"/>
            </w:tcBorders>
          </w:tcPr>
          <w:p w14:paraId="4E155A5C"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w:t>
            </w:r>
            <w:r w:rsidRPr="00C469EA">
              <w:rPr>
                <w:rFonts w:eastAsia="MS Mincho"/>
                <w:sz w:val="18"/>
                <w:szCs w:val="18"/>
                <w:lang w:eastAsia="fr-FR" w:bidi="fr-FR"/>
              </w:rPr>
              <w:lastRenderedPageBreak/>
              <w:t xml:space="preserve">les mesures de conservation </w:t>
            </w:r>
            <w:r>
              <w:rPr>
                <w:rFonts w:eastAsia="MS Mincho"/>
                <w:sz w:val="18"/>
                <w:szCs w:val="18"/>
                <w:lang w:eastAsia="fr-FR" w:bidi="fr-FR"/>
              </w:rPr>
              <w:t>des requins et raies</w:t>
            </w:r>
          </w:p>
        </w:tc>
        <w:tc>
          <w:tcPr>
            <w:tcW w:w="2041" w:type="dxa"/>
            <w:tcBorders>
              <w:top w:val="single" w:sz="4" w:space="0" w:color="auto"/>
              <w:left w:val="single" w:sz="4" w:space="0" w:color="auto"/>
              <w:bottom w:val="single" w:sz="4" w:space="0" w:color="auto"/>
              <w:right w:val="single" w:sz="4" w:space="0" w:color="auto"/>
            </w:tcBorders>
            <w:vAlign w:val="center"/>
          </w:tcPr>
          <w:p w14:paraId="24385AF5" w14:textId="77777777" w:rsidR="00945C39" w:rsidRPr="00C469EA" w:rsidRDefault="00945C39" w:rsidP="00112EB2">
            <w:pPr>
              <w:jc w:val="both"/>
              <w:rPr>
                <w:rFonts w:eastAsia="Times New Roman" w:cs="Calibri"/>
                <w:sz w:val="18"/>
                <w:szCs w:val="18"/>
              </w:rPr>
            </w:pPr>
            <w:r w:rsidRPr="00C469EA">
              <w:rPr>
                <w:sz w:val="18"/>
                <w:szCs w:val="18"/>
              </w:rPr>
              <w:lastRenderedPageBreak/>
              <w:t>Loi 2015-18 portant code de la pêche maritime.</w:t>
            </w:r>
          </w:p>
        </w:tc>
      </w:tr>
      <w:tr w:rsidR="00945C39" w:rsidRPr="00C469EA" w14:paraId="626244AC"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5E6652C"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72C40D51" w14:textId="77777777" w:rsidR="00945C39" w:rsidRPr="000632D8" w:rsidRDefault="00945C39" w:rsidP="00112EB2">
            <w:pPr>
              <w:jc w:val="center"/>
              <w:rPr>
                <w:rFonts w:ascii="Cambria" w:hAnsi="Cambria"/>
                <w:b/>
                <w:sz w:val="18"/>
                <w:szCs w:val="18"/>
              </w:rPr>
            </w:pPr>
          </w:p>
          <w:p w14:paraId="663FCF70"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3905F4F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8</w:t>
            </w:r>
          </w:p>
        </w:tc>
        <w:tc>
          <w:tcPr>
            <w:tcW w:w="1165" w:type="dxa"/>
            <w:tcBorders>
              <w:top w:val="single" w:sz="4" w:space="0" w:color="auto"/>
              <w:left w:val="single" w:sz="4" w:space="0" w:color="auto"/>
              <w:bottom w:val="single" w:sz="4" w:space="0" w:color="auto"/>
              <w:right w:val="single" w:sz="4" w:space="0" w:color="auto"/>
            </w:tcBorders>
            <w:vAlign w:val="center"/>
          </w:tcPr>
          <w:p w14:paraId="3494B766"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484C98F3"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Les paragraphes 3 à 7 ne devront pas s'appliquer à l’Islande et à la Norvège dont le droit national exige que tout poisson mort soit débarqué, à condition que :</w:t>
            </w:r>
          </w:p>
          <w:p w14:paraId="3D947466"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a) Le poisson soit mort au moment de la remontée ;</w:t>
            </w:r>
          </w:p>
          <w:p w14:paraId="034249E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b) La pêche dirigée sur le requin-taupe bleu soit interdite ;</w:t>
            </w:r>
          </w:p>
          <w:p w14:paraId="21198BB1"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c) La quantité de </w:t>
            </w:r>
            <w:r w:rsidRPr="00C469EA">
              <w:rPr>
                <w:b/>
                <w:bCs/>
                <w:sz w:val="18"/>
                <w:szCs w:val="18"/>
              </w:rPr>
              <w:t>requin-taupe bleu</w:t>
            </w:r>
            <w:r w:rsidRPr="00C469EA">
              <w:rPr>
                <w:sz w:val="18"/>
                <w:szCs w:val="18"/>
              </w:rPr>
              <w:t xml:space="preserve"> </w:t>
            </w:r>
            <w:r w:rsidRPr="00C469EA">
              <w:rPr>
                <w:b/>
                <w:bCs/>
                <w:sz w:val="18"/>
                <w:szCs w:val="18"/>
              </w:rPr>
              <w:t>de l’Atlantique Nord</w:t>
            </w:r>
            <w:r w:rsidRPr="00C469EA">
              <w:rPr>
                <w:sz w:val="18"/>
                <w:szCs w:val="18"/>
              </w:rPr>
              <w:t xml:space="preserve"> débarquée est déclarée </w:t>
            </w:r>
            <w:r w:rsidRPr="00C469EA">
              <w:rPr>
                <w:sz w:val="18"/>
                <w:szCs w:val="18"/>
              </w:rPr>
              <w:lastRenderedPageBreak/>
              <w:t>dans la feuille de contrôle de la mise en œuvre des mesures s'appliquant aux requins de la CPC, comme l'exige la Rec. 18-06 et toute future version successive ou révision de celle-ci ;</w:t>
            </w:r>
          </w:p>
          <w:p w14:paraId="6C10D34D"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 Le </w:t>
            </w:r>
            <w:r w:rsidRPr="00C469EA">
              <w:rPr>
                <w:b/>
                <w:bCs/>
                <w:sz w:val="18"/>
                <w:szCs w:val="18"/>
              </w:rPr>
              <w:t>requin-taupe bleu de l'Atlantique Nord</w:t>
            </w:r>
            <w:r w:rsidRPr="00C469EA">
              <w:rPr>
                <w:sz w:val="18"/>
                <w:szCs w:val="18"/>
              </w:rPr>
              <w:t xml:space="preserve"> soit débarqué avec ses ailerons naturellement attachés ; et</w:t>
            </w:r>
          </w:p>
          <w:p w14:paraId="5C87252F"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e) Il soit interdit aux pêcheurs de tirer une quelconque valeur commerciale de ces poissons.</w:t>
            </w:r>
          </w:p>
        </w:tc>
        <w:tc>
          <w:tcPr>
            <w:tcW w:w="1566" w:type="dxa"/>
            <w:tcBorders>
              <w:top w:val="single" w:sz="4" w:space="0" w:color="auto"/>
              <w:left w:val="single" w:sz="4" w:space="0" w:color="auto"/>
              <w:bottom w:val="single" w:sz="4" w:space="0" w:color="auto"/>
              <w:right w:val="single" w:sz="4" w:space="0" w:color="auto"/>
            </w:tcBorders>
            <w:vAlign w:val="center"/>
          </w:tcPr>
          <w:p w14:paraId="47AA71C9" w14:textId="77777777" w:rsidR="00945C39" w:rsidRPr="00C469EA" w:rsidRDefault="00945C39" w:rsidP="00112EB2">
            <w:pPr>
              <w:jc w:val="both"/>
              <w:rPr>
                <w:rFonts w:eastAsia="Times New Roman" w:cs="Calibri"/>
                <w:sz w:val="18"/>
                <w:szCs w:val="18"/>
              </w:rPr>
            </w:pPr>
          </w:p>
        </w:tc>
        <w:tc>
          <w:tcPr>
            <w:tcW w:w="1618" w:type="dxa"/>
            <w:tcBorders>
              <w:top w:val="single" w:sz="4" w:space="0" w:color="auto"/>
              <w:left w:val="single" w:sz="4" w:space="0" w:color="auto"/>
              <w:bottom w:val="single" w:sz="4" w:space="0" w:color="auto"/>
              <w:right w:val="single" w:sz="4" w:space="0" w:color="auto"/>
            </w:tcBorders>
          </w:tcPr>
          <w:p w14:paraId="70DC1391"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4" w:space="0" w:color="auto"/>
              <w:left w:val="single" w:sz="4" w:space="0" w:color="auto"/>
              <w:bottom w:val="single" w:sz="4" w:space="0" w:color="auto"/>
              <w:right w:val="single" w:sz="4" w:space="0" w:color="auto"/>
            </w:tcBorders>
            <w:vAlign w:val="center"/>
          </w:tcPr>
          <w:p w14:paraId="45E7A2ED" w14:textId="77777777" w:rsidR="00945C39" w:rsidRPr="00C469EA" w:rsidRDefault="00945C39" w:rsidP="00112EB2">
            <w:pPr>
              <w:jc w:val="both"/>
              <w:rPr>
                <w:rFonts w:eastAsia="Times New Roman" w:cs="Calibri"/>
                <w:sz w:val="18"/>
                <w:szCs w:val="18"/>
              </w:rPr>
            </w:pPr>
            <w:r w:rsidRPr="00C469EA">
              <w:rPr>
                <w:sz w:val="18"/>
                <w:szCs w:val="18"/>
              </w:rPr>
              <w:t>N/A</w:t>
            </w:r>
          </w:p>
        </w:tc>
      </w:tr>
      <w:tr w:rsidR="00945C39" w:rsidRPr="00C469EA" w14:paraId="7AC72322"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EF16DDF"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3F10F9B9" w14:textId="77777777" w:rsidR="00945C39" w:rsidRPr="000632D8" w:rsidRDefault="00945C39" w:rsidP="00112EB2">
            <w:pPr>
              <w:jc w:val="center"/>
              <w:rPr>
                <w:rFonts w:ascii="Cambria" w:hAnsi="Cambria"/>
                <w:b/>
                <w:sz w:val="18"/>
                <w:szCs w:val="18"/>
              </w:rPr>
            </w:pPr>
          </w:p>
          <w:p w14:paraId="094915D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53D76E3C"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9</w:t>
            </w:r>
          </w:p>
        </w:tc>
        <w:tc>
          <w:tcPr>
            <w:tcW w:w="1165" w:type="dxa"/>
            <w:tcBorders>
              <w:top w:val="single" w:sz="4" w:space="0" w:color="auto"/>
              <w:left w:val="single" w:sz="4" w:space="0" w:color="auto"/>
              <w:bottom w:val="single" w:sz="4" w:space="0" w:color="auto"/>
              <w:right w:val="single" w:sz="4" w:space="0" w:color="auto"/>
            </w:tcBorders>
            <w:vAlign w:val="center"/>
          </w:tcPr>
          <w:p w14:paraId="0AACD62E"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23A1692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Dès l'entrée en vigueur de la présente Recommandation, les CPC devront exiger que les navires battant leur pavillon mettent en œuvre, tout en tenant dûment compte de la sécurité de l’équipage, les normes minimales pour les procédures de manipulation et de remise à l'eau en toute sécurité du </w:t>
            </w:r>
            <w:r w:rsidRPr="00C469EA">
              <w:rPr>
                <w:b/>
                <w:bCs/>
                <w:sz w:val="18"/>
                <w:szCs w:val="18"/>
              </w:rPr>
              <w:t>requin-taupe bleu de l'Atlantique Nord</w:t>
            </w:r>
            <w:r w:rsidRPr="00C469EA">
              <w:rPr>
                <w:sz w:val="18"/>
                <w:szCs w:val="18"/>
              </w:rPr>
              <w:t xml:space="preserve"> telles que prévues à l'annexe 2 de la présente Recommandation, afin de remettre à l’eau rapidement et indemnes, dans la mesure du possible, les </w:t>
            </w:r>
            <w:r w:rsidRPr="00C469EA">
              <w:rPr>
                <w:b/>
                <w:bCs/>
                <w:sz w:val="18"/>
                <w:szCs w:val="18"/>
              </w:rPr>
              <w:t>requins-taupes bleus</w:t>
            </w:r>
            <w:r w:rsidRPr="00C469EA">
              <w:rPr>
                <w:sz w:val="18"/>
                <w:szCs w:val="18"/>
              </w:rPr>
              <w:t xml:space="preserve"> vivants </w:t>
            </w:r>
            <w:r w:rsidRPr="00C469EA">
              <w:rPr>
                <w:b/>
                <w:bCs/>
                <w:sz w:val="18"/>
                <w:szCs w:val="18"/>
              </w:rPr>
              <w:t>de l'Atlantique Nord</w:t>
            </w:r>
            <w:r w:rsidRPr="00C469EA">
              <w:rPr>
                <w:sz w:val="18"/>
                <w:szCs w:val="18"/>
              </w:rPr>
              <w:t xml:space="preserve"> et d'améliorer leur capacité de survie lorsqu'ils sont amenés le long du navire.</w:t>
            </w:r>
          </w:p>
        </w:tc>
        <w:tc>
          <w:tcPr>
            <w:tcW w:w="1566" w:type="dxa"/>
            <w:tcBorders>
              <w:top w:val="single" w:sz="4" w:space="0" w:color="auto"/>
              <w:left w:val="single" w:sz="4" w:space="0" w:color="auto"/>
              <w:bottom w:val="single" w:sz="4" w:space="0" w:color="auto"/>
              <w:right w:val="single" w:sz="4" w:space="0" w:color="auto"/>
            </w:tcBorders>
            <w:vAlign w:val="center"/>
          </w:tcPr>
          <w:p w14:paraId="024B8065" w14:textId="77777777" w:rsidR="00945C39" w:rsidRPr="00C469EA" w:rsidRDefault="00945C39" w:rsidP="00112EB2">
            <w:pPr>
              <w:jc w:val="both"/>
              <w:rPr>
                <w:sz w:val="18"/>
                <w:szCs w:val="18"/>
              </w:rPr>
            </w:pPr>
          </w:p>
          <w:p w14:paraId="25894EE7" w14:textId="77777777" w:rsidR="00945C39" w:rsidRPr="00C469EA" w:rsidRDefault="00945C39" w:rsidP="00112EB2">
            <w:pPr>
              <w:jc w:val="both"/>
              <w:rPr>
                <w:rFonts w:eastAsia="Times New Roman" w:cs="Calibri"/>
                <w:sz w:val="18"/>
                <w:szCs w:val="18"/>
              </w:rPr>
            </w:pPr>
            <w:r w:rsidRPr="00C469EA">
              <w:rPr>
                <w:sz w:val="18"/>
                <w:szCs w:val="18"/>
              </w:rPr>
              <w:t>Oui</w:t>
            </w:r>
          </w:p>
        </w:tc>
        <w:tc>
          <w:tcPr>
            <w:tcW w:w="1618" w:type="dxa"/>
            <w:tcBorders>
              <w:top w:val="single" w:sz="4" w:space="0" w:color="auto"/>
              <w:left w:val="single" w:sz="4" w:space="0" w:color="auto"/>
              <w:bottom w:val="single" w:sz="4" w:space="0" w:color="auto"/>
              <w:right w:val="single" w:sz="4" w:space="0" w:color="auto"/>
            </w:tcBorders>
          </w:tcPr>
          <w:p w14:paraId="1FA4ADD8"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4" w:space="0" w:color="auto"/>
              <w:left w:val="single" w:sz="4" w:space="0" w:color="auto"/>
              <w:bottom w:val="single" w:sz="4" w:space="0" w:color="auto"/>
              <w:right w:val="single" w:sz="4" w:space="0" w:color="auto"/>
            </w:tcBorders>
            <w:vAlign w:val="center"/>
          </w:tcPr>
          <w:p w14:paraId="0BADEB3F" w14:textId="77777777" w:rsidR="00945C39" w:rsidRPr="00C469EA" w:rsidRDefault="00945C39" w:rsidP="00112EB2">
            <w:pPr>
              <w:jc w:val="both"/>
              <w:rPr>
                <w:sz w:val="18"/>
                <w:szCs w:val="18"/>
              </w:rPr>
            </w:pPr>
          </w:p>
          <w:p w14:paraId="2A269712" w14:textId="77777777" w:rsidR="00945C39" w:rsidRPr="00C469EA" w:rsidRDefault="00945C39" w:rsidP="00112EB2">
            <w:pPr>
              <w:jc w:val="both"/>
              <w:rPr>
                <w:sz w:val="18"/>
                <w:szCs w:val="18"/>
              </w:rPr>
            </w:pPr>
          </w:p>
          <w:p w14:paraId="257E5672" w14:textId="77777777" w:rsidR="00945C39" w:rsidRPr="00C469EA" w:rsidRDefault="00945C39" w:rsidP="00112EB2">
            <w:pPr>
              <w:jc w:val="both"/>
              <w:rPr>
                <w:rFonts w:eastAsia="Times New Roman" w:cs="Calibri"/>
                <w:sz w:val="18"/>
                <w:szCs w:val="18"/>
              </w:rPr>
            </w:pPr>
            <w:r w:rsidRPr="00C469EA">
              <w:rPr>
                <w:sz w:val="18"/>
                <w:szCs w:val="18"/>
              </w:rPr>
              <w:t>Cette disposition déjà transposée par arrêté</w:t>
            </w:r>
          </w:p>
        </w:tc>
      </w:tr>
      <w:tr w:rsidR="00945C39" w:rsidRPr="00C469EA" w14:paraId="1A691B7E"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49BD9BF"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29FD3ABF" w14:textId="77777777" w:rsidR="00945C39" w:rsidRPr="000632D8" w:rsidRDefault="00945C39" w:rsidP="00112EB2">
            <w:pPr>
              <w:jc w:val="center"/>
              <w:rPr>
                <w:rFonts w:ascii="Cambria" w:hAnsi="Cambria"/>
                <w:b/>
                <w:sz w:val="18"/>
                <w:szCs w:val="18"/>
              </w:rPr>
            </w:pPr>
          </w:p>
          <w:p w14:paraId="72C37A5D"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503A3ED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11</w:t>
            </w:r>
          </w:p>
        </w:tc>
        <w:tc>
          <w:tcPr>
            <w:tcW w:w="1165" w:type="dxa"/>
            <w:tcBorders>
              <w:top w:val="single" w:sz="4" w:space="0" w:color="auto"/>
              <w:left w:val="single" w:sz="4" w:space="0" w:color="auto"/>
              <w:bottom w:val="single" w:sz="4" w:space="0" w:color="auto"/>
              <w:right w:val="single" w:sz="4" w:space="0" w:color="auto"/>
            </w:tcBorders>
            <w:vAlign w:val="center"/>
          </w:tcPr>
          <w:p w14:paraId="65899E16"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6B82A5FB"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déclarer au Secrétariat de l'ICCAT, conformément aux exigences de déclaration des données de l'ICCAT, les prises totales, y compris les éventuels débarquements, les rejets </w:t>
            </w:r>
            <w:r w:rsidRPr="00C469EA">
              <w:rPr>
                <w:sz w:val="18"/>
                <w:szCs w:val="18"/>
              </w:rPr>
              <w:lastRenderedPageBreak/>
              <w:t xml:space="preserve">morts et les remises à l'eau de spécimens vivants, de </w:t>
            </w:r>
            <w:r w:rsidRPr="00C469EA">
              <w:rPr>
                <w:b/>
                <w:bCs/>
                <w:sz w:val="18"/>
                <w:szCs w:val="18"/>
              </w:rPr>
              <w:t>requin-taupe bleu de l'Atlantique Nord</w:t>
            </w:r>
            <w:r w:rsidRPr="00C469EA">
              <w:rPr>
                <w:sz w:val="18"/>
                <w:szCs w:val="18"/>
              </w:rPr>
              <w:t xml:space="preserve">. La fréquence de déclaration devra être mensuelle pour tout débarquement autorisé afin de suivre de près l'utilisation de la tolérance de rétention et annuelle pour les rejets morts, les remises à l’eau de spécimens vivants et les captures totales. </w:t>
            </w:r>
          </w:p>
        </w:tc>
        <w:tc>
          <w:tcPr>
            <w:tcW w:w="1566" w:type="dxa"/>
            <w:tcBorders>
              <w:top w:val="single" w:sz="4" w:space="0" w:color="auto"/>
              <w:left w:val="single" w:sz="4" w:space="0" w:color="auto"/>
              <w:bottom w:val="single" w:sz="4" w:space="0" w:color="auto"/>
              <w:right w:val="single" w:sz="4" w:space="0" w:color="auto"/>
            </w:tcBorders>
            <w:vAlign w:val="center"/>
          </w:tcPr>
          <w:p w14:paraId="0E266EEB" w14:textId="77777777" w:rsidR="00945C39" w:rsidRPr="00C469EA" w:rsidRDefault="00945C39" w:rsidP="00112EB2">
            <w:pPr>
              <w:jc w:val="both"/>
              <w:rPr>
                <w:sz w:val="18"/>
                <w:szCs w:val="18"/>
              </w:rPr>
            </w:pPr>
          </w:p>
          <w:p w14:paraId="7379F407"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tcPr>
          <w:p w14:paraId="28939566"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w:t>
            </w:r>
            <w:r w:rsidRPr="00C469EA">
              <w:rPr>
                <w:rFonts w:eastAsia="MS Mincho"/>
                <w:sz w:val="18"/>
                <w:szCs w:val="18"/>
                <w:lang w:eastAsia="fr-FR" w:bidi="fr-FR"/>
              </w:rPr>
              <w:lastRenderedPageBreak/>
              <w:t xml:space="preserve">conservation </w:t>
            </w:r>
            <w:r>
              <w:rPr>
                <w:rFonts w:eastAsia="MS Mincho"/>
                <w:sz w:val="18"/>
                <w:szCs w:val="18"/>
                <w:lang w:eastAsia="fr-FR" w:bidi="fr-FR"/>
              </w:rPr>
              <w:t>des requins et raies</w:t>
            </w:r>
          </w:p>
        </w:tc>
        <w:tc>
          <w:tcPr>
            <w:tcW w:w="2041" w:type="dxa"/>
            <w:tcBorders>
              <w:top w:val="single" w:sz="4" w:space="0" w:color="auto"/>
              <w:left w:val="single" w:sz="4" w:space="0" w:color="auto"/>
              <w:bottom w:val="single" w:sz="4" w:space="0" w:color="auto"/>
              <w:right w:val="single" w:sz="4" w:space="0" w:color="auto"/>
            </w:tcBorders>
            <w:vAlign w:val="center"/>
          </w:tcPr>
          <w:p w14:paraId="40D7306A" w14:textId="77777777" w:rsidR="00945C39" w:rsidRPr="00C469EA" w:rsidRDefault="00945C39" w:rsidP="00112EB2">
            <w:pPr>
              <w:jc w:val="both"/>
              <w:rPr>
                <w:rFonts w:eastAsia="Times New Roman" w:cs="Calibri"/>
                <w:sz w:val="18"/>
                <w:szCs w:val="18"/>
              </w:rPr>
            </w:pPr>
            <w:r w:rsidRPr="00C469EA">
              <w:rPr>
                <w:sz w:val="18"/>
                <w:szCs w:val="18"/>
              </w:rPr>
              <w:lastRenderedPageBreak/>
              <w:t>Aucune capture de requin taupe bleu capturée</w:t>
            </w:r>
          </w:p>
        </w:tc>
      </w:tr>
      <w:tr w:rsidR="00945C39" w:rsidRPr="00C469EA" w14:paraId="1F74ED88"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D50611A"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1FAA025B" w14:textId="77777777" w:rsidR="00945C39" w:rsidRPr="000632D8" w:rsidRDefault="00945C39" w:rsidP="00112EB2">
            <w:pPr>
              <w:jc w:val="center"/>
              <w:rPr>
                <w:rFonts w:ascii="Cambria" w:hAnsi="Cambria"/>
                <w:b/>
                <w:sz w:val="18"/>
                <w:szCs w:val="18"/>
              </w:rPr>
            </w:pPr>
          </w:p>
          <w:p w14:paraId="582923B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3D4C085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13</w:t>
            </w:r>
          </w:p>
        </w:tc>
        <w:tc>
          <w:tcPr>
            <w:tcW w:w="1165" w:type="dxa"/>
            <w:tcBorders>
              <w:top w:val="single" w:sz="4" w:space="0" w:color="auto"/>
              <w:left w:val="single" w:sz="4" w:space="0" w:color="auto"/>
              <w:bottom w:val="single" w:sz="4" w:space="0" w:color="auto"/>
              <w:right w:val="single" w:sz="4" w:space="0" w:color="auto"/>
            </w:tcBorders>
            <w:vAlign w:val="center"/>
          </w:tcPr>
          <w:p w14:paraId="28E89174"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7D20CA2E"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Au plus tard le 31 juillet 2022, les CPC qui ont déclaré des captures moyennes annuelles (débarquements et rejets morts) de </w:t>
            </w:r>
            <w:r w:rsidRPr="00C469EA">
              <w:rPr>
                <w:b/>
                <w:bCs/>
                <w:sz w:val="18"/>
                <w:szCs w:val="18"/>
              </w:rPr>
              <w:t>requin-taupe bleu de l'Atlantique Nord</w:t>
            </w:r>
            <w:r w:rsidRPr="00C469EA">
              <w:rPr>
                <w:sz w:val="18"/>
                <w:szCs w:val="18"/>
              </w:rPr>
              <w:t xml:space="preserve"> supérieures à 1 t entre 2018- 2020 devront présenter au SCRS la méthodologie statistique utilisée pour estimer les rejets morts et les remises à l’eau de spécimens vivants. Les CPC ayant des pêcheries artisanales et de petits métiers devront également fournir des informations sur leurs programmes de collecte de données. </w:t>
            </w:r>
          </w:p>
        </w:tc>
        <w:tc>
          <w:tcPr>
            <w:tcW w:w="1566" w:type="dxa"/>
            <w:tcBorders>
              <w:top w:val="single" w:sz="4" w:space="0" w:color="auto"/>
              <w:left w:val="single" w:sz="4" w:space="0" w:color="auto"/>
              <w:bottom w:val="single" w:sz="4" w:space="0" w:color="auto"/>
              <w:right w:val="single" w:sz="4" w:space="0" w:color="auto"/>
            </w:tcBorders>
            <w:vAlign w:val="center"/>
          </w:tcPr>
          <w:p w14:paraId="6DF94C02" w14:textId="77777777" w:rsidR="00945C39" w:rsidRPr="00C469EA" w:rsidRDefault="00945C39" w:rsidP="00112EB2">
            <w:pPr>
              <w:jc w:val="both"/>
              <w:rPr>
                <w:rFonts w:eastAsia="Times New Roman" w:cs="Calibri"/>
                <w:sz w:val="18"/>
                <w:szCs w:val="18"/>
              </w:rPr>
            </w:pPr>
            <w:r w:rsidRPr="00C469EA">
              <w:rPr>
                <w:sz w:val="18"/>
                <w:szCs w:val="18"/>
              </w:rPr>
              <w:t xml:space="preserve">Non applicable </w:t>
            </w:r>
          </w:p>
        </w:tc>
        <w:tc>
          <w:tcPr>
            <w:tcW w:w="1618" w:type="dxa"/>
            <w:tcBorders>
              <w:top w:val="single" w:sz="4" w:space="0" w:color="auto"/>
              <w:left w:val="single" w:sz="4" w:space="0" w:color="auto"/>
              <w:bottom w:val="single" w:sz="4" w:space="0" w:color="auto"/>
              <w:right w:val="single" w:sz="4" w:space="0" w:color="auto"/>
            </w:tcBorders>
          </w:tcPr>
          <w:p w14:paraId="0FE5C7F7"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7D34FD1C" w14:textId="77777777" w:rsidR="00945C39" w:rsidRPr="00C469EA" w:rsidRDefault="00945C39" w:rsidP="00112EB2">
            <w:pPr>
              <w:jc w:val="both"/>
              <w:rPr>
                <w:sz w:val="18"/>
                <w:szCs w:val="18"/>
              </w:rPr>
            </w:pPr>
          </w:p>
          <w:p w14:paraId="74DF05B8" w14:textId="77777777" w:rsidR="00945C39" w:rsidRPr="00C469EA" w:rsidRDefault="00945C39" w:rsidP="00112EB2">
            <w:pPr>
              <w:jc w:val="both"/>
              <w:rPr>
                <w:sz w:val="18"/>
                <w:szCs w:val="18"/>
              </w:rPr>
            </w:pPr>
            <w:r w:rsidRPr="00C469EA">
              <w:rPr>
                <w:sz w:val="18"/>
                <w:szCs w:val="18"/>
              </w:rPr>
              <w:t>Disposition réglementaire prévu</w:t>
            </w:r>
            <w:r>
              <w:rPr>
                <w:sz w:val="18"/>
                <w:szCs w:val="18"/>
              </w:rPr>
              <w:t>e</w:t>
            </w:r>
            <w:r w:rsidRPr="00C469EA">
              <w:rPr>
                <w:sz w:val="18"/>
                <w:szCs w:val="18"/>
              </w:rPr>
              <w:t xml:space="preserve"> par un arrêté.</w:t>
            </w:r>
          </w:p>
          <w:p w14:paraId="2AEB4913" w14:textId="77777777" w:rsidR="00945C39" w:rsidRPr="00C469EA" w:rsidRDefault="00945C39" w:rsidP="00112EB2">
            <w:pPr>
              <w:jc w:val="both"/>
              <w:rPr>
                <w:sz w:val="18"/>
                <w:szCs w:val="18"/>
              </w:rPr>
            </w:pPr>
            <w:r w:rsidRPr="00C469EA">
              <w:rPr>
                <w:sz w:val="18"/>
                <w:szCs w:val="18"/>
              </w:rPr>
              <w:t>Déclaration sans objet car aucune capture de taupe bleu</w:t>
            </w:r>
          </w:p>
          <w:p w14:paraId="1F5F20AA" w14:textId="77777777" w:rsidR="00945C39" w:rsidRPr="00C469EA" w:rsidRDefault="00945C39" w:rsidP="00112EB2">
            <w:pPr>
              <w:jc w:val="both"/>
              <w:rPr>
                <w:rFonts w:eastAsia="Times New Roman" w:cs="Calibri"/>
                <w:sz w:val="18"/>
                <w:szCs w:val="18"/>
              </w:rPr>
            </w:pPr>
          </w:p>
        </w:tc>
      </w:tr>
      <w:tr w:rsidR="00945C39" w:rsidRPr="00C469EA" w14:paraId="74FFF895"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3C930BA"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385F43DC" w14:textId="77777777" w:rsidR="00945C39" w:rsidRPr="000632D8" w:rsidRDefault="00945C39" w:rsidP="00112EB2">
            <w:pPr>
              <w:jc w:val="center"/>
              <w:rPr>
                <w:rFonts w:ascii="Cambria" w:hAnsi="Cambria"/>
                <w:b/>
                <w:sz w:val="18"/>
                <w:szCs w:val="18"/>
              </w:rPr>
            </w:pPr>
          </w:p>
          <w:p w14:paraId="39BB252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5B8D98B8"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14</w:t>
            </w:r>
          </w:p>
        </w:tc>
        <w:tc>
          <w:tcPr>
            <w:tcW w:w="1165" w:type="dxa"/>
            <w:tcBorders>
              <w:top w:val="single" w:sz="4" w:space="0" w:color="auto"/>
              <w:left w:val="single" w:sz="4" w:space="0" w:color="auto"/>
              <w:bottom w:val="single" w:sz="4" w:space="0" w:color="auto"/>
              <w:right w:val="single" w:sz="4" w:space="0" w:color="auto"/>
            </w:tcBorders>
            <w:vAlign w:val="center"/>
          </w:tcPr>
          <w:p w14:paraId="6228AA3A"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4D1755AD"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Dans le cadre de leur soumission annuelle des données des tâches 1 et 2, les CPC devront fournir toutes les données pertinentes concernant le </w:t>
            </w:r>
            <w:r w:rsidRPr="00C469EA">
              <w:rPr>
                <w:b/>
                <w:bCs/>
                <w:sz w:val="18"/>
                <w:szCs w:val="18"/>
              </w:rPr>
              <w:t>requin-taupe bleu de l'Atlantique Nord</w:t>
            </w:r>
            <w:r w:rsidRPr="00C469EA">
              <w:rPr>
                <w:sz w:val="18"/>
                <w:szCs w:val="18"/>
              </w:rPr>
              <w:t xml:space="preserve">, y compris les estimations de rejets morts et les remises à l'eau de spécimens vivants, en utilisant les méthodes approuvées par le SCRS au </w:t>
            </w:r>
            <w:r w:rsidRPr="00C469EA">
              <w:rPr>
                <w:sz w:val="18"/>
                <w:szCs w:val="18"/>
              </w:rPr>
              <w:lastRenderedPageBreak/>
              <w:t xml:space="preserve">paragraphe 13. </w:t>
            </w:r>
          </w:p>
        </w:tc>
        <w:tc>
          <w:tcPr>
            <w:tcW w:w="1566" w:type="dxa"/>
            <w:tcBorders>
              <w:top w:val="single" w:sz="4" w:space="0" w:color="auto"/>
              <w:left w:val="single" w:sz="4" w:space="0" w:color="auto"/>
              <w:bottom w:val="single" w:sz="4" w:space="0" w:color="auto"/>
              <w:right w:val="single" w:sz="4" w:space="0" w:color="auto"/>
            </w:tcBorders>
            <w:vAlign w:val="center"/>
          </w:tcPr>
          <w:p w14:paraId="133EA930" w14:textId="77777777" w:rsidR="00945C39" w:rsidRPr="00C469EA" w:rsidRDefault="00945C39" w:rsidP="00112EB2">
            <w:pPr>
              <w:jc w:val="both"/>
              <w:rPr>
                <w:sz w:val="18"/>
                <w:szCs w:val="18"/>
              </w:rPr>
            </w:pPr>
          </w:p>
          <w:p w14:paraId="65ED5A05"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tcPr>
          <w:p w14:paraId="5DA36BE0" w14:textId="77777777" w:rsidR="00945C39" w:rsidRPr="00C469EA" w:rsidRDefault="00945C39" w:rsidP="00112EB2">
            <w:pPr>
              <w:jc w:val="both"/>
              <w:rPr>
                <w:sz w:val="18"/>
                <w:szCs w:val="18"/>
              </w:rPr>
            </w:pPr>
          </w:p>
          <w:p w14:paraId="616E4617" w14:textId="77777777" w:rsidR="00945C39" w:rsidRPr="00C469EA" w:rsidRDefault="00945C39" w:rsidP="00112EB2">
            <w:pPr>
              <w:jc w:val="both"/>
              <w:rPr>
                <w:sz w:val="18"/>
                <w:szCs w:val="18"/>
              </w:rPr>
            </w:pPr>
          </w:p>
          <w:p w14:paraId="5E83D8C4" w14:textId="77777777" w:rsidR="00945C39" w:rsidRPr="00C469EA" w:rsidRDefault="00945C39" w:rsidP="00112EB2">
            <w:pPr>
              <w:jc w:val="both"/>
              <w:rPr>
                <w:sz w:val="18"/>
                <w:szCs w:val="18"/>
              </w:rPr>
            </w:pPr>
          </w:p>
          <w:p w14:paraId="031FAD13" w14:textId="77777777" w:rsidR="00945C39" w:rsidRPr="00C469EA" w:rsidRDefault="00945C39" w:rsidP="00112EB2">
            <w:pPr>
              <w:jc w:val="both"/>
              <w:rPr>
                <w:sz w:val="18"/>
                <w:szCs w:val="18"/>
              </w:rPr>
            </w:pPr>
          </w:p>
          <w:p w14:paraId="713F6B85" w14:textId="77777777" w:rsidR="00945C39" w:rsidRPr="00C469EA" w:rsidRDefault="00945C39" w:rsidP="00112EB2">
            <w:pPr>
              <w:jc w:val="both"/>
              <w:rPr>
                <w:rFonts w:eastAsia="Times New Roman" w:cs="Calibri"/>
                <w:sz w:val="18"/>
                <w:szCs w:val="18"/>
              </w:rPr>
            </w:pPr>
            <w:r w:rsidRPr="00C469EA">
              <w:rPr>
                <w:sz w:val="18"/>
                <w:szCs w:val="18"/>
              </w:rPr>
              <w:t>n/a</w:t>
            </w:r>
          </w:p>
        </w:tc>
        <w:tc>
          <w:tcPr>
            <w:tcW w:w="2041" w:type="dxa"/>
            <w:tcBorders>
              <w:top w:val="single" w:sz="4" w:space="0" w:color="auto"/>
              <w:left w:val="single" w:sz="4" w:space="0" w:color="auto"/>
              <w:bottom w:val="single" w:sz="4" w:space="0" w:color="auto"/>
              <w:right w:val="single" w:sz="4" w:space="0" w:color="auto"/>
            </w:tcBorders>
            <w:vAlign w:val="center"/>
          </w:tcPr>
          <w:p w14:paraId="290CC14F" w14:textId="77777777" w:rsidR="00945C39" w:rsidRPr="00C469EA" w:rsidRDefault="00945C39" w:rsidP="00112EB2">
            <w:pPr>
              <w:jc w:val="both"/>
              <w:rPr>
                <w:sz w:val="18"/>
                <w:szCs w:val="18"/>
              </w:rPr>
            </w:pPr>
          </w:p>
          <w:p w14:paraId="6960C525" w14:textId="77777777" w:rsidR="00945C39" w:rsidRPr="00C469EA" w:rsidRDefault="00945C39" w:rsidP="00112EB2">
            <w:pPr>
              <w:jc w:val="both"/>
              <w:rPr>
                <w:sz w:val="18"/>
                <w:szCs w:val="18"/>
              </w:rPr>
            </w:pPr>
            <w:r w:rsidRPr="00C469EA">
              <w:rPr>
                <w:sz w:val="18"/>
                <w:szCs w:val="18"/>
              </w:rPr>
              <w:t>Disposition réglementaire prévu</w:t>
            </w:r>
            <w:r>
              <w:rPr>
                <w:sz w:val="18"/>
                <w:szCs w:val="18"/>
              </w:rPr>
              <w:t>e</w:t>
            </w:r>
            <w:r w:rsidRPr="00C469EA">
              <w:rPr>
                <w:sz w:val="18"/>
                <w:szCs w:val="18"/>
              </w:rPr>
              <w:t xml:space="preserve"> par un arrêté.</w:t>
            </w:r>
          </w:p>
          <w:p w14:paraId="4078074A" w14:textId="77777777" w:rsidR="00945C39" w:rsidRPr="00C469EA" w:rsidRDefault="00945C39" w:rsidP="00112EB2">
            <w:pPr>
              <w:jc w:val="both"/>
              <w:rPr>
                <w:sz w:val="18"/>
                <w:szCs w:val="18"/>
              </w:rPr>
            </w:pPr>
            <w:r w:rsidRPr="00C469EA">
              <w:rPr>
                <w:sz w:val="18"/>
                <w:szCs w:val="18"/>
              </w:rPr>
              <w:t>Déclaration sans objet car aucune capture de taupe bleu</w:t>
            </w:r>
          </w:p>
          <w:p w14:paraId="57BC7C78" w14:textId="77777777" w:rsidR="00945C39" w:rsidRPr="00C469EA" w:rsidRDefault="00945C39" w:rsidP="00112EB2">
            <w:pPr>
              <w:jc w:val="both"/>
              <w:rPr>
                <w:rFonts w:eastAsia="Times New Roman" w:cs="Calibri"/>
                <w:sz w:val="18"/>
                <w:szCs w:val="18"/>
              </w:rPr>
            </w:pPr>
          </w:p>
        </w:tc>
      </w:tr>
      <w:tr w:rsidR="00945C39" w:rsidRPr="00C469EA" w14:paraId="0326DA68"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AF06909"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13FA5052" w14:textId="77777777" w:rsidR="00945C39" w:rsidRPr="000632D8" w:rsidRDefault="00945C39" w:rsidP="00112EB2">
            <w:pPr>
              <w:jc w:val="center"/>
              <w:rPr>
                <w:rFonts w:ascii="Cambria" w:hAnsi="Cambria"/>
                <w:b/>
                <w:sz w:val="18"/>
                <w:szCs w:val="18"/>
              </w:rPr>
            </w:pPr>
          </w:p>
          <w:p w14:paraId="04E8094C"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54B9623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 xml:space="preserve">14 </w:t>
            </w:r>
          </w:p>
        </w:tc>
        <w:tc>
          <w:tcPr>
            <w:tcW w:w="1165" w:type="dxa"/>
            <w:tcBorders>
              <w:top w:val="single" w:sz="4" w:space="0" w:color="auto"/>
              <w:left w:val="single" w:sz="4" w:space="0" w:color="auto"/>
              <w:bottom w:val="single" w:sz="4" w:space="0" w:color="auto"/>
              <w:right w:val="single" w:sz="4" w:space="0" w:color="auto"/>
            </w:tcBorders>
            <w:vAlign w:val="center"/>
          </w:tcPr>
          <w:p w14:paraId="66FA3F0F"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2952032F"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Si le Comité d’application détermine que les CPC qui autorisent leurs navires à retenir à bord et à débarquer du </w:t>
            </w:r>
            <w:r w:rsidRPr="00C469EA">
              <w:rPr>
                <w:b/>
                <w:bCs/>
                <w:sz w:val="18"/>
                <w:szCs w:val="18"/>
              </w:rPr>
              <w:t>requin-taupe bleu de l'Atlantique Nord</w:t>
            </w:r>
            <w:r w:rsidRPr="00C469EA">
              <w:rPr>
                <w:sz w:val="18"/>
                <w:szCs w:val="18"/>
              </w:rPr>
              <w:t xml:space="preserve"> conformément au paragraphe 5 ne déclarent pas leurs données de capture, y compris les rejets morts et les remises à l'eau de spécimens vivants, les CPC concernées devront demander à leurs navires de pêche de s’abstenir de retenir toute quantité de </w:t>
            </w:r>
            <w:r w:rsidRPr="00C469EA">
              <w:rPr>
                <w:b/>
                <w:bCs/>
                <w:sz w:val="18"/>
                <w:szCs w:val="18"/>
              </w:rPr>
              <w:t>requin-taupe bleu de l'Atlantique Nord</w:t>
            </w:r>
            <w:r w:rsidRPr="00C469EA">
              <w:rPr>
                <w:sz w:val="18"/>
                <w:szCs w:val="18"/>
              </w:rPr>
              <w:t xml:space="preserve"> tant que ces données n’auront pas été déclarées.</w:t>
            </w:r>
          </w:p>
        </w:tc>
        <w:tc>
          <w:tcPr>
            <w:tcW w:w="1566" w:type="dxa"/>
            <w:tcBorders>
              <w:top w:val="single" w:sz="4" w:space="0" w:color="auto"/>
              <w:left w:val="single" w:sz="4" w:space="0" w:color="auto"/>
              <w:bottom w:val="single" w:sz="4" w:space="0" w:color="auto"/>
              <w:right w:val="single" w:sz="4" w:space="0" w:color="auto"/>
            </w:tcBorders>
            <w:vAlign w:val="center"/>
          </w:tcPr>
          <w:p w14:paraId="4A50E8A8" w14:textId="77777777" w:rsidR="00945C39" w:rsidRPr="00C469EA" w:rsidRDefault="00945C39" w:rsidP="00112EB2">
            <w:pPr>
              <w:jc w:val="both"/>
              <w:rPr>
                <w:sz w:val="18"/>
                <w:szCs w:val="18"/>
              </w:rPr>
            </w:pPr>
          </w:p>
          <w:p w14:paraId="1CFA52EB" w14:textId="77777777" w:rsidR="00945C39" w:rsidRPr="00C469EA" w:rsidRDefault="00945C39" w:rsidP="00112EB2">
            <w:pPr>
              <w:jc w:val="both"/>
              <w:rPr>
                <w:sz w:val="18"/>
                <w:szCs w:val="18"/>
              </w:rPr>
            </w:pPr>
          </w:p>
          <w:p w14:paraId="4A4BCBB3" w14:textId="77777777" w:rsidR="00945C39" w:rsidRPr="00C469EA" w:rsidRDefault="00945C39" w:rsidP="00112EB2">
            <w:pPr>
              <w:jc w:val="both"/>
              <w:rPr>
                <w:rFonts w:eastAsia="Times New Roman" w:cs="Calibri"/>
                <w:sz w:val="18"/>
                <w:szCs w:val="18"/>
              </w:rPr>
            </w:pPr>
            <w:r w:rsidRPr="00C469EA">
              <w:rPr>
                <w:sz w:val="18"/>
                <w:szCs w:val="18"/>
              </w:rPr>
              <w:t>Non applicable</w:t>
            </w:r>
          </w:p>
        </w:tc>
        <w:tc>
          <w:tcPr>
            <w:tcW w:w="1618" w:type="dxa"/>
            <w:tcBorders>
              <w:top w:val="single" w:sz="4" w:space="0" w:color="auto"/>
              <w:left w:val="single" w:sz="4" w:space="0" w:color="auto"/>
              <w:bottom w:val="single" w:sz="4" w:space="0" w:color="auto"/>
              <w:right w:val="single" w:sz="4" w:space="0" w:color="auto"/>
            </w:tcBorders>
          </w:tcPr>
          <w:p w14:paraId="58D2730F"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1C94E8E8" w14:textId="77777777" w:rsidR="00945C39" w:rsidRPr="00C469EA" w:rsidRDefault="00945C39" w:rsidP="00112EB2">
            <w:pPr>
              <w:jc w:val="both"/>
              <w:rPr>
                <w:sz w:val="18"/>
                <w:szCs w:val="18"/>
              </w:rPr>
            </w:pPr>
          </w:p>
          <w:p w14:paraId="17B7D9AF" w14:textId="77777777" w:rsidR="00945C39" w:rsidRPr="00C469EA" w:rsidRDefault="00945C39" w:rsidP="00112EB2">
            <w:pPr>
              <w:jc w:val="both"/>
              <w:rPr>
                <w:rFonts w:eastAsia="Times New Roman" w:cs="Calibri"/>
                <w:sz w:val="18"/>
                <w:szCs w:val="18"/>
              </w:rPr>
            </w:pPr>
            <w:r w:rsidRPr="00C469EA">
              <w:rPr>
                <w:sz w:val="18"/>
                <w:szCs w:val="18"/>
              </w:rPr>
              <w:t>Pour 2022, des travaux préalables du SCRS sont requis.</w:t>
            </w:r>
          </w:p>
        </w:tc>
      </w:tr>
      <w:tr w:rsidR="00945C39" w:rsidRPr="00C469EA" w14:paraId="5D7CE283"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495745E"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749DF08C" w14:textId="77777777" w:rsidR="00945C39" w:rsidRPr="000632D8" w:rsidRDefault="00945C39" w:rsidP="00112EB2">
            <w:pPr>
              <w:jc w:val="center"/>
              <w:rPr>
                <w:rFonts w:ascii="Cambria" w:hAnsi="Cambria"/>
                <w:b/>
                <w:sz w:val="18"/>
                <w:szCs w:val="18"/>
              </w:rPr>
            </w:pPr>
          </w:p>
          <w:p w14:paraId="6A2216B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38CF7DAC"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16</w:t>
            </w:r>
          </w:p>
        </w:tc>
        <w:tc>
          <w:tcPr>
            <w:tcW w:w="1165" w:type="dxa"/>
            <w:tcBorders>
              <w:top w:val="single" w:sz="4" w:space="0" w:color="auto"/>
              <w:left w:val="single" w:sz="4" w:space="0" w:color="auto"/>
              <w:bottom w:val="single" w:sz="4" w:space="0" w:color="auto"/>
              <w:right w:val="single" w:sz="4" w:space="0" w:color="auto"/>
            </w:tcBorders>
            <w:vAlign w:val="center"/>
          </w:tcPr>
          <w:p w14:paraId="0B14F2A0"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3DAC8E03"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s’efforcer d'augmenter progressivement jusqu’à 10% la couverture d'observateurs, y compris par le biais de l’EMS de tous les palangriers dans les pêcheries de l'ICCAT qui pourraient avoir une interaction potentielle avec les </w:t>
            </w:r>
            <w:r w:rsidRPr="00C469EA">
              <w:rPr>
                <w:b/>
                <w:bCs/>
                <w:sz w:val="18"/>
                <w:szCs w:val="18"/>
              </w:rPr>
              <w:t>requins-taupes bleus de l'Atlantique Nord.</w:t>
            </w:r>
            <w:r w:rsidRPr="00C469EA">
              <w:rPr>
                <w:sz w:val="18"/>
                <w:szCs w:val="18"/>
              </w:rPr>
              <w:t xml:space="preserve"> Cette augmentation de la couverture devrait être mise en œuvre conformément aux dispositions de la Rec. 16-14, soit par le déploiement d'observateurs humains à bord des navires, soit par l'utilisation d'EMS, en tenant compte des normes minimales à convenir par l'ICCAT, sur la base de l’avis du SCRS et du PWG.</w:t>
            </w:r>
          </w:p>
        </w:tc>
        <w:tc>
          <w:tcPr>
            <w:tcW w:w="1566" w:type="dxa"/>
            <w:tcBorders>
              <w:top w:val="single" w:sz="4" w:space="0" w:color="auto"/>
              <w:left w:val="single" w:sz="4" w:space="0" w:color="auto"/>
              <w:bottom w:val="single" w:sz="4" w:space="0" w:color="auto"/>
              <w:right w:val="single" w:sz="4" w:space="0" w:color="auto"/>
            </w:tcBorders>
            <w:vAlign w:val="center"/>
          </w:tcPr>
          <w:p w14:paraId="1FD0D12C"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tcPr>
          <w:p w14:paraId="28F554C9"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66C267A7" w14:textId="77777777" w:rsidR="00945C39" w:rsidRPr="00C469EA" w:rsidRDefault="00945C39" w:rsidP="00112EB2">
            <w:pPr>
              <w:jc w:val="both"/>
              <w:rPr>
                <w:sz w:val="18"/>
                <w:szCs w:val="18"/>
              </w:rPr>
            </w:pPr>
            <w:r w:rsidRPr="00C469EA">
              <w:rPr>
                <w:sz w:val="18"/>
                <w:szCs w:val="18"/>
              </w:rPr>
              <w:t>Aucun palangrier actif au niveau national.</w:t>
            </w:r>
          </w:p>
          <w:p w14:paraId="4B0F5A31" w14:textId="77777777" w:rsidR="00945C39" w:rsidRPr="00C469EA" w:rsidRDefault="00945C39" w:rsidP="00112EB2">
            <w:pPr>
              <w:jc w:val="both"/>
              <w:rPr>
                <w:sz w:val="18"/>
                <w:szCs w:val="18"/>
              </w:rPr>
            </w:pPr>
          </w:p>
          <w:p w14:paraId="2703F28D" w14:textId="77777777" w:rsidR="00945C39" w:rsidRPr="00C469EA" w:rsidRDefault="00945C39" w:rsidP="00112EB2">
            <w:pPr>
              <w:jc w:val="both"/>
              <w:rPr>
                <w:rFonts w:eastAsia="Times New Roman" w:cs="Calibri"/>
                <w:sz w:val="18"/>
                <w:szCs w:val="18"/>
              </w:rPr>
            </w:pPr>
          </w:p>
        </w:tc>
      </w:tr>
      <w:tr w:rsidR="00945C39" w:rsidRPr="00C469EA" w14:paraId="7EF99C30"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B0AACE2"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lastRenderedPageBreak/>
              <w:t>21-09</w:t>
            </w:r>
          </w:p>
          <w:p w14:paraId="03972628" w14:textId="77777777" w:rsidR="00945C39" w:rsidRPr="000632D8" w:rsidRDefault="00945C39" w:rsidP="00112EB2">
            <w:pPr>
              <w:jc w:val="center"/>
              <w:rPr>
                <w:rFonts w:ascii="Cambria" w:hAnsi="Cambria"/>
                <w:b/>
                <w:sz w:val="18"/>
                <w:szCs w:val="18"/>
              </w:rPr>
            </w:pPr>
          </w:p>
          <w:p w14:paraId="589F8E04"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7C18263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17</w:t>
            </w:r>
          </w:p>
        </w:tc>
        <w:tc>
          <w:tcPr>
            <w:tcW w:w="1165" w:type="dxa"/>
            <w:tcBorders>
              <w:top w:val="single" w:sz="4" w:space="0" w:color="auto"/>
              <w:left w:val="single" w:sz="4" w:space="0" w:color="auto"/>
              <w:bottom w:val="single" w:sz="4" w:space="0" w:color="auto"/>
              <w:right w:val="single" w:sz="4" w:space="0" w:color="auto"/>
            </w:tcBorders>
            <w:vAlign w:val="center"/>
          </w:tcPr>
          <w:p w14:paraId="457EE200"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2FB0E18F"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La collecte d'échantillons biologiques pendant les opérations de pêche commerciale devra être conforme à la </w:t>
            </w:r>
            <w:r w:rsidRPr="00C469EA">
              <w:rPr>
                <w:i/>
                <w:sz w:val="18"/>
                <w:szCs w:val="18"/>
              </w:rPr>
              <w:t xml:space="preserve">Recommandation de l'ICCAT sur l'échantillonnage biologique des espèces interdites de requins par des observateurs scientifiques </w:t>
            </w:r>
            <w:r w:rsidRPr="00C469EA">
              <w:rPr>
                <w:sz w:val="18"/>
                <w:szCs w:val="18"/>
              </w:rPr>
              <w:t>(Rec. 13-10). Les CPC devraient encourager la collecte de données biologiques et d’échantillons biologiques des spécimens de</w:t>
            </w:r>
            <w:r w:rsidRPr="00C469EA">
              <w:rPr>
                <w:b/>
                <w:bCs/>
                <w:sz w:val="18"/>
                <w:szCs w:val="18"/>
              </w:rPr>
              <w:t xml:space="preserve"> requin-taupe bleu de l’Atlantique Nord</w:t>
            </w:r>
            <w:r w:rsidRPr="00C469EA">
              <w:rPr>
                <w:sz w:val="18"/>
                <w:szCs w:val="18"/>
              </w:rPr>
              <w:t xml:space="preserve"> morts à la remontée, tels que les muscles, les vertèbres et les tissus reproducteurs, conformément aux dispositions de la présente Recommandation et selon les recommandations du SCRS.</w:t>
            </w:r>
          </w:p>
        </w:tc>
        <w:tc>
          <w:tcPr>
            <w:tcW w:w="1566" w:type="dxa"/>
            <w:tcBorders>
              <w:top w:val="single" w:sz="4" w:space="0" w:color="auto"/>
              <w:left w:val="single" w:sz="4" w:space="0" w:color="auto"/>
              <w:bottom w:val="single" w:sz="4" w:space="0" w:color="auto"/>
              <w:right w:val="single" w:sz="4" w:space="0" w:color="auto"/>
            </w:tcBorders>
            <w:vAlign w:val="center"/>
          </w:tcPr>
          <w:p w14:paraId="2FC9F056"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tcPr>
          <w:p w14:paraId="7115CE5C"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4" w:space="0" w:color="auto"/>
              <w:left w:val="single" w:sz="4" w:space="0" w:color="auto"/>
              <w:bottom w:val="single" w:sz="4" w:space="0" w:color="auto"/>
              <w:right w:val="single" w:sz="4" w:space="0" w:color="auto"/>
            </w:tcBorders>
            <w:vAlign w:val="center"/>
          </w:tcPr>
          <w:p w14:paraId="6C9A8552" w14:textId="77777777" w:rsidR="00945C39" w:rsidRPr="00C469EA" w:rsidRDefault="00945C39" w:rsidP="00112EB2">
            <w:pPr>
              <w:jc w:val="both"/>
              <w:rPr>
                <w:rFonts w:eastAsia="Times New Roman" w:cs="Calibri"/>
                <w:sz w:val="18"/>
                <w:szCs w:val="18"/>
              </w:rPr>
            </w:pPr>
            <w:r w:rsidRPr="00C469EA">
              <w:rPr>
                <w:sz w:val="18"/>
                <w:szCs w:val="18"/>
              </w:rPr>
              <w:t>Aucune interaction et capture de requin taupe bleu notée.</w:t>
            </w:r>
          </w:p>
        </w:tc>
      </w:tr>
      <w:tr w:rsidR="00945C39" w:rsidRPr="00C469EA" w14:paraId="0EAB7260"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8E9D1F3"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4D284280" w14:textId="77777777" w:rsidR="00945C39" w:rsidRPr="000632D8" w:rsidRDefault="00945C39" w:rsidP="00112EB2">
            <w:pPr>
              <w:jc w:val="center"/>
              <w:rPr>
                <w:rFonts w:ascii="Cambria" w:hAnsi="Cambria"/>
                <w:b/>
                <w:sz w:val="18"/>
                <w:szCs w:val="18"/>
              </w:rPr>
            </w:pPr>
          </w:p>
          <w:p w14:paraId="1C8BFF9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41D83A10"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18</w:t>
            </w:r>
          </w:p>
        </w:tc>
        <w:tc>
          <w:tcPr>
            <w:tcW w:w="1165" w:type="dxa"/>
            <w:tcBorders>
              <w:top w:val="single" w:sz="4" w:space="0" w:color="auto"/>
              <w:left w:val="single" w:sz="4" w:space="0" w:color="auto"/>
              <w:bottom w:val="single" w:sz="4" w:space="0" w:color="auto"/>
              <w:right w:val="single" w:sz="4" w:space="0" w:color="auto"/>
            </w:tcBorders>
            <w:vAlign w:val="center"/>
          </w:tcPr>
          <w:p w14:paraId="1F38503B"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4E6AA7CC"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Nonobstant le paragraphe 7, dans le contexte de la présente Recommandation et uniquement pour les navires de moins de 15 mètres, lorsqu'il existe un problème de sécurité extraordinaire qui empêche le déploiement d'un observateur à bord, une CPC peut exceptionnellement appliquer une approche alternative telle que définie dans la Recommandation 16-14. Cette dérogation au paragraphe 7 devra être sans préjudice de l'engagement général de toutes les CPC, tel que décrit dans cette mesure, à mettre immédiatement fin à la surpêche et à réduire les niveaux de mortalité. Toute CPC souhaitant se prévaloir </w:t>
            </w:r>
            <w:r w:rsidRPr="00C469EA">
              <w:rPr>
                <w:sz w:val="18"/>
                <w:szCs w:val="18"/>
              </w:rPr>
              <w:lastRenderedPageBreak/>
              <w:t>de cette approche alternative doit :</w:t>
            </w:r>
          </w:p>
          <w:p w14:paraId="6CB41812"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p>
          <w:p w14:paraId="540C5802"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1) présenter les détails de l'approche au SCRS sur la base de l'avis du SCRS pour évaluation et</w:t>
            </w:r>
          </w:p>
          <w:p w14:paraId="78992D19"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p>
          <w:p w14:paraId="27641943"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2) obtenir l'approbation de la Commission (tel que stipulé dans la Recommandation 16-14).</w:t>
            </w:r>
          </w:p>
        </w:tc>
        <w:tc>
          <w:tcPr>
            <w:tcW w:w="1566" w:type="dxa"/>
            <w:tcBorders>
              <w:top w:val="single" w:sz="4" w:space="0" w:color="auto"/>
              <w:left w:val="single" w:sz="4" w:space="0" w:color="auto"/>
              <w:bottom w:val="single" w:sz="4" w:space="0" w:color="auto"/>
              <w:right w:val="single" w:sz="4" w:space="0" w:color="auto"/>
            </w:tcBorders>
            <w:vAlign w:val="center"/>
          </w:tcPr>
          <w:p w14:paraId="4629D883" w14:textId="77777777" w:rsidR="00945C39" w:rsidRPr="00C469EA" w:rsidRDefault="00945C39" w:rsidP="00112EB2">
            <w:pPr>
              <w:jc w:val="both"/>
              <w:rPr>
                <w:sz w:val="18"/>
                <w:szCs w:val="18"/>
              </w:rPr>
            </w:pPr>
            <w:r w:rsidRPr="00C469EA">
              <w:rPr>
                <w:sz w:val="18"/>
                <w:szCs w:val="18"/>
              </w:rPr>
              <w:lastRenderedPageBreak/>
              <w:t>Non</w:t>
            </w:r>
          </w:p>
          <w:p w14:paraId="4E63E3C5" w14:textId="77777777" w:rsidR="00945C39" w:rsidRPr="00C469EA" w:rsidRDefault="00945C39" w:rsidP="00112EB2">
            <w:pPr>
              <w:jc w:val="both"/>
              <w:rPr>
                <w:rFonts w:eastAsia="Times New Roman" w:cs="Calibri"/>
                <w:sz w:val="18"/>
                <w:szCs w:val="18"/>
              </w:rPr>
            </w:pPr>
          </w:p>
        </w:tc>
        <w:tc>
          <w:tcPr>
            <w:tcW w:w="1618" w:type="dxa"/>
            <w:tcBorders>
              <w:top w:val="single" w:sz="4" w:space="0" w:color="auto"/>
              <w:left w:val="single" w:sz="4" w:space="0" w:color="auto"/>
              <w:bottom w:val="single" w:sz="4" w:space="0" w:color="auto"/>
              <w:right w:val="single" w:sz="4" w:space="0" w:color="auto"/>
            </w:tcBorders>
          </w:tcPr>
          <w:p w14:paraId="6925CFA9"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6A9C7117" w14:textId="77777777" w:rsidR="00945C39" w:rsidRPr="00C469EA" w:rsidRDefault="00945C39" w:rsidP="00112EB2">
            <w:pPr>
              <w:jc w:val="both"/>
              <w:rPr>
                <w:rFonts w:eastAsia="Times New Roman" w:cs="Calibri"/>
                <w:sz w:val="18"/>
                <w:szCs w:val="18"/>
              </w:rPr>
            </w:pPr>
            <w:r w:rsidRPr="00C469EA">
              <w:rPr>
                <w:sz w:val="18"/>
                <w:szCs w:val="18"/>
              </w:rPr>
              <w:t>Principe de non-rétention retenu.</w:t>
            </w:r>
          </w:p>
        </w:tc>
      </w:tr>
      <w:tr w:rsidR="00945C39" w:rsidRPr="00C469EA" w14:paraId="018FBADC"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24F7961"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1DF07A66" w14:textId="77777777" w:rsidR="00945C39" w:rsidRPr="000632D8" w:rsidRDefault="00945C39" w:rsidP="00112EB2">
            <w:pPr>
              <w:jc w:val="center"/>
              <w:rPr>
                <w:rFonts w:ascii="Cambria" w:hAnsi="Cambria"/>
                <w:b/>
                <w:sz w:val="18"/>
                <w:szCs w:val="18"/>
              </w:rPr>
            </w:pPr>
          </w:p>
          <w:p w14:paraId="2D944DB5"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2D75EA81"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19</w:t>
            </w:r>
          </w:p>
        </w:tc>
        <w:tc>
          <w:tcPr>
            <w:tcW w:w="1165" w:type="dxa"/>
            <w:tcBorders>
              <w:top w:val="single" w:sz="4" w:space="0" w:color="auto"/>
              <w:left w:val="single" w:sz="4" w:space="0" w:color="auto"/>
              <w:bottom w:val="single" w:sz="4" w:space="0" w:color="auto"/>
              <w:right w:val="single" w:sz="4" w:space="0" w:color="auto"/>
            </w:tcBorders>
            <w:vAlign w:val="center"/>
          </w:tcPr>
          <w:p w14:paraId="1FB210DC"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0D3D9208"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Les CPC sont encouragées à enquêter sur la mortalité à bord et après la remise à l'eau du requin-taupe bleu, y compris, mais pas exclusivement, au moyen de l'incorporation de minuteurs d’hameçons et de programmes de marquage par satellite.</w:t>
            </w:r>
          </w:p>
        </w:tc>
        <w:tc>
          <w:tcPr>
            <w:tcW w:w="1566" w:type="dxa"/>
            <w:tcBorders>
              <w:top w:val="single" w:sz="4" w:space="0" w:color="auto"/>
              <w:left w:val="single" w:sz="4" w:space="0" w:color="auto"/>
              <w:bottom w:val="single" w:sz="4" w:space="0" w:color="auto"/>
              <w:right w:val="single" w:sz="4" w:space="0" w:color="auto"/>
            </w:tcBorders>
            <w:vAlign w:val="center"/>
          </w:tcPr>
          <w:p w14:paraId="0E17E2AC"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tcPr>
          <w:p w14:paraId="455FA8F1" w14:textId="77777777" w:rsidR="00945C39" w:rsidRDefault="00945C39" w:rsidP="00112EB2">
            <w:pPr>
              <w:jc w:val="both"/>
              <w:rPr>
                <w:rFonts w:eastAsia="Times New Roman" w:cs="Calibri"/>
                <w:sz w:val="18"/>
                <w:szCs w:val="18"/>
              </w:rPr>
            </w:pPr>
          </w:p>
          <w:p w14:paraId="01E0F1D5" w14:textId="77777777" w:rsidR="00945C39" w:rsidRDefault="00945C39" w:rsidP="00112EB2">
            <w:pPr>
              <w:jc w:val="both"/>
              <w:rPr>
                <w:rFonts w:eastAsia="Times New Roman" w:cs="Calibri"/>
                <w:sz w:val="18"/>
                <w:szCs w:val="18"/>
              </w:rPr>
            </w:pPr>
          </w:p>
          <w:p w14:paraId="2DAA2869" w14:textId="77777777" w:rsidR="00945C39" w:rsidRPr="00C469EA" w:rsidRDefault="00945C39" w:rsidP="00112EB2">
            <w:pPr>
              <w:jc w:val="both"/>
              <w:rPr>
                <w:rFonts w:eastAsia="Times New Roman" w:cs="Calibri"/>
                <w:sz w:val="18"/>
                <w:szCs w:val="18"/>
              </w:rPr>
            </w:pPr>
            <w:r>
              <w:rPr>
                <w:rFonts w:eastAsia="Times New Roman" w:cs="Calibri"/>
                <w:sz w:val="18"/>
                <w:szCs w:val="18"/>
              </w:rPr>
              <w:t>n/a</w:t>
            </w:r>
          </w:p>
        </w:tc>
        <w:tc>
          <w:tcPr>
            <w:tcW w:w="2041" w:type="dxa"/>
            <w:tcBorders>
              <w:top w:val="single" w:sz="4" w:space="0" w:color="auto"/>
              <w:left w:val="single" w:sz="4" w:space="0" w:color="auto"/>
              <w:bottom w:val="single" w:sz="4" w:space="0" w:color="auto"/>
              <w:right w:val="single" w:sz="4" w:space="0" w:color="auto"/>
            </w:tcBorders>
            <w:vAlign w:val="center"/>
          </w:tcPr>
          <w:p w14:paraId="73DD082E" w14:textId="77777777" w:rsidR="00945C39" w:rsidRPr="00C469EA" w:rsidRDefault="00945C39" w:rsidP="00112EB2">
            <w:pPr>
              <w:jc w:val="both"/>
              <w:rPr>
                <w:rFonts w:eastAsia="Times New Roman" w:cs="Calibri"/>
                <w:sz w:val="18"/>
                <w:szCs w:val="18"/>
              </w:rPr>
            </w:pPr>
            <w:r w:rsidRPr="00C469EA">
              <w:rPr>
                <w:sz w:val="18"/>
                <w:szCs w:val="18"/>
              </w:rPr>
              <w:t>Aucun palangrier actif et pas d’interaction et de capture de requin taupe bleu.</w:t>
            </w:r>
          </w:p>
        </w:tc>
      </w:tr>
      <w:tr w:rsidR="00945C39" w:rsidRPr="00C469EA" w14:paraId="138C3793"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2003E00"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5E5742B1" w14:textId="77777777" w:rsidR="00945C39" w:rsidRPr="000632D8" w:rsidRDefault="00945C39" w:rsidP="00112EB2">
            <w:pPr>
              <w:jc w:val="center"/>
              <w:rPr>
                <w:rFonts w:ascii="Cambria" w:hAnsi="Cambria"/>
                <w:b/>
                <w:sz w:val="18"/>
                <w:szCs w:val="18"/>
              </w:rPr>
            </w:pPr>
          </w:p>
          <w:p w14:paraId="54A66A95"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0F53C56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21 a)</w:t>
            </w:r>
          </w:p>
        </w:tc>
        <w:tc>
          <w:tcPr>
            <w:tcW w:w="1165" w:type="dxa"/>
            <w:tcBorders>
              <w:top w:val="single" w:sz="4" w:space="0" w:color="auto"/>
              <w:left w:val="single" w:sz="4" w:space="0" w:color="auto"/>
              <w:bottom w:val="single" w:sz="4" w:space="0" w:color="auto"/>
              <w:right w:val="single" w:sz="4" w:space="0" w:color="auto"/>
            </w:tcBorders>
            <w:vAlign w:val="center"/>
          </w:tcPr>
          <w:p w14:paraId="1BC8A9C8"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7C261B52"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 SCRS devra fournir à la Commission, d'ici 2023, et dès que de nouvelles informations seront disponibles, un avis actualisé sur les mesures d'atténuation visant à réduire davantage la mortalité du requin-taupe bleu. À cette fin, d’ici le 30 avril 2023, les CPC devront soumettre au SCRS des informations par pêcherie sur les mesures techniques et autres mesures de gestion qu'elles ont mises en œuvre afin de réduire la mortalité totale par pêche du </w:t>
            </w:r>
            <w:r w:rsidRPr="00C469EA">
              <w:rPr>
                <w:b/>
                <w:bCs/>
                <w:sz w:val="18"/>
                <w:szCs w:val="18"/>
              </w:rPr>
              <w:t>requin-taupe bleu de l'Atlantique Nord</w:t>
            </w:r>
            <w:r w:rsidRPr="00C469EA">
              <w:rPr>
                <w:sz w:val="18"/>
                <w:szCs w:val="18"/>
              </w:rPr>
              <w:t xml:space="preserve">, à l’exception des CPC qui ont déjà fourni cette </w:t>
            </w:r>
            <w:r w:rsidRPr="00C469EA">
              <w:rPr>
                <w:sz w:val="18"/>
                <w:szCs w:val="18"/>
              </w:rPr>
              <w:lastRenderedPageBreak/>
              <w:t>information au Secrétariat.</w:t>
            </w:r>
          </w:p>
        </w:tc>
        <w:tc>
          <w:tcPr>
            <w:tcW w:w="1566" w:type="dxa"/>
            <w:tcBorders>
              <w:top w:val="single" w:sz="4" w:space="0" w:color="auto"/>
              <w:left w:val="single" w:sz="4" w:space="0" w:color="auto"/>
              <w:bottom w:val="single" w:sz="4" w:space="0" w:color="auto"/>
              <w:right w:val="single" w:sz="4" w:space="0" w:color="auto"/>
            </w:tcBorders>
            <w:vAlign w:val="center"/>
          </w:tcPr>
          <w:p w14:paraId="5CF3056F" w14:textId="77777777" w:rsidR="00945C39" w:rsidRPr="00C469EA" w:rsidRDefault="00945C39" w:rsidP="00112EB2">
            <w:pPr>
              <w:jc w:val="both"/>
              <w:rPr>
                <w:rFonts w:eastAsia="Times New Roman" w:cs="Calibri"/>
                <w:sz w:val="18"/>
                <w:szCs w:val="18"/>
              </w:rPr>
            </w:pPr>
            <w:r w:rsidRPr="00C469EA">
              <w:rPr>
                <w:sz w:val="18"/>
                <w:szCs w:val="18"/>
              </w:rPr>
              <w:lastRenderedPageBreak/>
              <w:t>Non</w:t>
            </w:r>
          </w:p>
        </w:tc>
        <w:tc>
          <w:tcPr>
            <w:tcW w:w="1618" w:type="dxa"/>
            <w:tcBorders>
              <w:top w:val="single" w:sz="4" w:space="0" w:color="auto"/>
              <w:left w:val="single" w:sz="4" w:space="0" w:color="auto"/>
              <w:bottom w:val="single" w:sz="4" w:space="0" w:color="auto"/>
              <w:right w:val="single" w:sz="4" w:space="0" w:color="auto"/>
            </w:tcBorders>
          </w:tcPr>
          <w:p w14:paraId="72245BD9"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77E47C94" w14:textId="77777777" w:rsidR="00945C39" w:rsidRPr="00C469EA" w:rsidRDefault="00945C39" w:rsidP="00112EB2">
            <w:pPr>
              <w:jc w:val="both"/>
              <w:rPr>
                <w:rFonts w:eastAsia="Times New Roman" w:cs="Calibri"/>
                <w:sz w:val="18"/>
                <w:szCs w:val="18"/>
              </w:rPr>
            </w:pPr>
            <w:r w:rsidRPr="00C469EA">
              <w:rPr>
                <w:sz w:val="18"/>
                <w:szCs w:val="18"/>
              </w:rPr>
              <w:t>Soumission ultérieure.</w:t>
            </w:r>
          </w:p>
        </w:tc>
      </w:tr>
      <w:tr w:rsidR="00945C39" w:rsidRPr="00C469EA" w14:paraId="6CDE25E8" w14:textId="77777777" w:rsidTr="00112EB2">
        <w:trPr>
          <w:trHeight w:val="74"/>
          <w:jc w:val="center"/>
        </w:trPr>
        <w:tc>
          <w:tcPr>
            <w:tcW w:w="1255" w:type="dxa"/>
            <w:tcBorders>
              <w:top w:val="single" w:sz="4" w:space="0" w:color="auto"/>
              <w:left w:val="single" w:sz="4" w:space="0" w:color="auto"/>
              <w:bottom w:val="single" w:sz="12" w:space="0" w:color="auto"/>
              <w:right w:val="single" w:sz="4" w:space="0" w:color="auto"/>
            </w:tcBorders>
            <w:noWrap/>
            <w:vAlign w:val="center"/>
          </w:tcPr>
          <w:p w14:paraId="053CB4FC"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21-09</w:t>
            </w:r>
          </w:p>
          <w:p w14:paraId="04F7CBF7" w14:textId="77777777" w:rsidR="00945C39" w:rsidRPr="000632D8" w:rsidRDefault="00945C39" w:rsidP="00112EB2">
            <w:pPr>
              <w:jc w:val="center"/>
              <w:rPr>
                <w:rFonts w:ascii="Cambria" w:hAnsi="Cambria"/>
                <w:b/>
                <w:sz w:val="18"/>
                <w:szCs w:val="18"/>
              </w:rPr>
            </w:pPr>
          </w:p>
          <w:p w14:paraId="315880D9"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(Requin-taupe bleu du Nord)</w:t>
            </w:r>
          </w:p>
        </w:tc>
        <w:tc>
          <w:tcPr>
            <w:tcW w:w="815" w:type="dxa"/>
            <w:tcBorders>
              <w:top w:val="single" w:sz="4" w:space="0" w:color="auto"/>
              <w:left w:val="single" w:sz="4" w:space="0" w:color="auto"/>
              <w:bottom w:val="single" w:sz="12" w:space="0" w:color="auto"/>
              <w:right w:val="single" w:sz="4" w:space="0" w:color="auto"/>
            </w:tcBorders>
            <w:noWrap/>
            <w:vAlign w:val="center"/>
          </w:tcPr>
          <w:p w14:paraId="2B53CE90"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24</w:t>
            </w:r>
          </w:p>
        </w:tc>
        <w:tc>
          <w:tcPr>
            <w:tcW w:w="1165" w:type="dxa"/>
            <w:tcBorders>
              <w:top w:val="single" w:sz="4" w:space="0" w:color="auto"/>
              <w:left w:val="single" w:sz="4" w:space="0" w:color="auto"/>
              <w:bottom w:val="single" w:sz="12" w:space="0" w:color="auto"/>
              <w:right w:val="single" w:sz="4" w:space="0" w:color="auto"/>
            </w:tcBorders>
            <w:vAlign w:val="center"/>
          </w:tcPr>
          <w:p w14:paraId="492839F6"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12" w:space="0" w:color="auto"/>
              <w:right w:val="single" w:sz="4" w:space="0" w:color="auto"/>
            </w:tcBorders>
            <w:vAlign w:val="center"/>
          </w:tcPr>
          <w:p w14:paraId="27446F6E"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Nonobstant les dispositions de l'article VIII, paragraphe 2 de la Convention, les CPC sont vivement encouragées à mettre en œuvre, conformément à leurs procédures réglementaires, la présente Recommandation dès que possible et avant la date de son entrée en vigueur.</w:t>
            </w:r>
          </w:p>
        </w:tc>
        <w:tc>
          <w:tcPr>
            <w:tcW w:w="1566" w:type="dxa"/>
            <w:tcBorders>
              <w:top w:val="single" w:sz="4" w:space="0" w:color="auto"/>
              <w:left w:val="single" w:sz="4" w:space="0" w:color="auto"/>
              <w:bottom w:val="single" w:sz="12" w:space="0" w:color="auto"/>
              <w:right w:val="single" w:sz="4" w:space="0" w:color="auto"/>
            </w:tcBorders>
            <w:vAlign w:val="center"/>
          </w:tcPr>
          <w:p w14:paraId="0773995E" w14:textId="77777777" w:rsidR="00945C39" w:rsidRPr="00C469EA" w:rsidRDefault="00945C39" w:rsidP="00112EB2">
            <w:pPr>
              <w:jc w:val="both"/>
              <w:rPr>
                <w:rFonts w:eastAsia="Times New Roman" w:cs="Calibri"/>
                <w:sz w:val="18"/>
                <w:szCs w:val="18"/>
              </w:rPr>
            </w:pPr>
            <w:r w:rsidRPr="00C469EA">
              <w:rPr>
                <w:sz w:val="18"/>
                <w:szCs w:val="18"/>
              </w:rPr>
              <w:t>Oui</w:t>
            </w:r>
          </w:p>
        </w:tc>
        <w:tc>
          <w:tcPr>
            <w:tcW w:w="1618" w:type="dxa"/>
            <w:tcBorders>
              <w:top w:val="single" w:sz="4" w:space="0" w:color="auto"/>
              <w:left w:val="single" w:sz="4" w:space="0" w:color="auto"/>
              <w:bottom w:val="single" w:sz="12" w:space="0" w:color="auto"/>
              <w:right w:val="single" w:sz="4" w:space="0" w:color="auto"/>
            </w:tcBorders>
          </w:tcPr>
          <w:p w14:paraId="78CF6CC8"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4" w:space="0" w:color="auto"/>
              <w:left w:val="single" w:sz="4" w:space="0" w:color="auto"/>
              <w:bottom w:val="single" w:sz="12" w:space="0" w:color="auto"/>
              <w:right w:val="single" w:sz="4" w:space="0" w:color="auto"/>
            </w:tcBorders>
            <w:vAlign w:val="center"/>
          </w:tcPr>
          <w:p w14:paraId="488D395B" w14:textId="77777777" w:rsidR="00945C39" w:rsidRPr="00C469EA" w:rsidRDefault="00945C39" w:rsidP="00112EB2">
            <w:pPr>
              <w:jc w:val="both"/>
              <w:rPr>
                <w:rFonts w:eastAsia="Times New Roman" w:cs="Calibri"/>
                <w:sz w:val="18"/>
                <w:szCs w:val="18"/>
              </w:rPr>
            </w:pPr>
            <w:r w:rsidRPr="00C469EA">
              <w:rPr>
                <w:sz w:val="18"/>
                <w:szCs w:val="18"/>
              </w:rPr>
              <w:t>Par la présente feuille de contrôle.</w:t>
            </w:r>
          </w:p>
        </w:tc>
      </w:tr>
      <w:tr w:rsidR="00945C39" w:rsidRPr="00C469EA" w:rsidDel="00BF7888" w14:paraId="27B85A1B" w14:textId="77777777" w:rsidTr="00112EB2">
        <w:trPr>
          <w:trHeight w:val="74"/>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21612AEC" w14:textId="77777777" w:rsidR="00945C39" w:rsidRPr="00C469EA" w:rsidRDefault="00945C39" w:rsidP="00112EB2">
            <w:pPr>
              <w:jc w:val="both"/>
              <w:rPr>
                <w:rFonts w:cs="Times New Roman"/>
                <w:b/>
                <w:sz w:val="18"/>
                <w:szCs w:val="18"/>
              </w:rPr>
            </w:pPr>
            <w:r w:rsidRPr="000632D8">
              <w:rPr>
                <w:rFonts w:ascii="Cambria" w:hAnsi="Cambria" w:cs="Times New Roman"/>
                <w:b/>
                <w:sz w:val="18"/>
                <w:szCs w:val="18"/>
              </w:rPr>
              <w:t>REQUIN-TAUPE BLEU DE L’ATLANTIQUE SUD</w:t>
            </w:r>
          </w:p>
        </w:tc>
      </w:tr>
      <w:tr w:rsidR="00945C39" w:rsidRPr="00C469EA" w:rsidDel="00BF7888" w14:paraId="36BDAA8D" w14:textId="77777777" w:rsidTr="00112EB2">
        <w:trPr>
          <w:trHeight w:val="74"/>
          <w:jc w:val="center"/>
        </w:trPr>
        <w:tc>
          <w:tcPr>
            <w:tcW w:w="1255" w:type="dxa"/>
            <w:tcBorders>
              <w:top w:val="single" w:sz="12" w:space="0" w:color="auto"/>
              <w:left w:val="single" w:sz="4" w:space="0" w:color="auto"/>
              <w:bottom w:val="single" w:sz="4" w:space="0" w:color="auto"/>
              <w:right w:val="single" w:sz="4" w:space="0" w:color="auto"/>
            </w:tcBorders>
            <w:noWrap/>
            <w:vAlign w:val="center"/>
          </w:tcPr>
          <w:p w14:paraId="66658464"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5F94CE36" w14:textId="77777777" w:rsidR="00945C39" w:rsidRPr="000632D8" w:rsidRDefault="00945C39" w:rsidP="00112EB2">
            <w:pPr>
              <w:jc w:val="center"/>
              <w:rPr>
                <w:rFonts w:ascii="Cambria" w:hAnsi="Cambria"/>
                <w:b/>
                <w:bCs/>
                <w:sz w:val="18"/>
                <w:szCs w:val="18"/>
              </w:rPr>
            </w:pPr>
          </w:p>
          <w:p w14:paraId="6AB7DE4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12" w:space="0" w:color="auto"/>
              <w:left w:val="single" w:sz="4" w:space="0" w:color="auto"/>
              <w:bottom w:val="single" w:sz="4" w:space="0" w:color="auto"/>
              <w:right w:val="single" w:sz="4" w:space="0" w:color="auto"/>
            </w:tcBorders>
            <w:noWrap/>
            <w:vAlign w:val="center"/>
          </w:tcPr>
          <w:p w14:paraId="2AD85DBC"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w:t>
            </w:r>
          </w:p>
        </w:tc>
        <w:tc>
          <w:tcPr>
            <w:tcW w:w="1165" w:type="dxa"/>
            <w:tcBorders>
              <w:top w:val="single" w:sz="12" w:space="0" w:color="auto"/>
              <w:left w:val="single" w:sz="4" w:space="0" w:color="auto"/>
              <w:bottom w:val="single" w:sz="4" w:space="0" w:color="auto"/>
              <w:right w:val="single" w:sz="4" w:space="0" w:color="auto"/>
            </w:tcBorders>
            <w:vAlign w:val="center"/>
          </w:tcPr>
          <w:p w14:paraId="4990B164" w14:textId="77777777" w:rsidR="00945C39" w:rsidRPr="00C469EA" w:rsidRDefault="00945C39" w:rsidP="00112EB2">
            <w:pPr>
              <w:rPr>
                <w:rFonts w:eastAsia="Times New Roman" w:cs="Calibri"/>
                <w:sz w:val="18"/>
                <w:szCs w:val="18"/>
              </w:rPr>
            </w:pPr>
            <w:r w:rsidRPr="000632D8">
              <w:rPr>
                <w:rFonts w:ascii="Cambria" w:hAnsi="Cambria"/>
                <w:b/>
                <w:sz w:val="18"/>
                <w:szCs w:val="18"/>
              </w:rPr>
              <w:t xml:space="preserve">Note </w:t>
            </w:r>
            <w:r w:rsidRPr="000632D8">
              <w:rPr>
                <w:rFonts w:ascii="Cambria" w:hAnsi="Cambria"/>
                <w:sz w:val="18"/>
                <w:szCs w:val="18"/>
              </w:rPr>
              <w:t>: La Commission examinera la Rec. 22-11 lors de sa réunion annuelle de 2024.</w:t>
            </w:r>
          </w:p>
        </w:tc>
        <w:tc>
          <w:tcPr>
            <w:tcW w:w="2666" w:type="dxa"/>
            <w:tcBorders>
              <w:top w:val="single" w:sz="12" w:space="0" w:color="auto"/>
              <w:left w:val="single" w:sz="4" w:space="0" w:color="auto"/>
              <w:bottom w:val="single" w:sz="4" w:space="0" w:color="auto"/>
              <w:right w:val="single" w:sz="4" w:space="0" w:color="auto"/>
            </w:tcBorders>
            <w:vAlign w:val="center"/>
          </w:tcPr>
          <w:p w14:paraId="4EF216BA"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À cette fin, et dans l'attente des résultats de l'évaluation de 2024 (y compris la matrice de stratégie de Kobe II), la mortalité totale par pêche (la somme des rétentions, des rejets morts et de la mortalité après la remise à l'eau des rejets vivants) du </w:t>
            </w:r>
            <w:r w:rsidRPr="00C469EA">
              <w:rPr>
                <w:b/>
                <w:bCs/>
                <w:sz w:val="18"/>
                <w:szCs w:val="18"/>
              </w:rPr>
              <w:t>requin-taupe bleu de l'Atlantique Sud</w:t>
            </w:r>
            <w:r w:rsidRPr="00C469EA">
              <w:rPr>
                <w:sz w:val="18"/>
                <w:szCs w:val="18"/>
              </w:rPr>
              <w:t xml:space="preserve"> ne devra pas être supérieure à la capture annuelle minimale déclarée au cours des cinq dernières années de l'évaluation (c'est-à-dire 2.001 t) telle qu’établie dans le rapport du SCRS de 2019.</w:t>
            </w:r>
          </w:p>
        </w:tc>
        <w:tc>
          <w:tcPr>
            <w:tcW w:w="1566" w:type="dxa"/>
            <w:tcBorders>
              <w:top w:val="single" w:sz="12" w:space="0" w:color="auto"/>
              <w:left w:val="single" w:sz="4" w:space="0" w:color="auto"/>
              <w:bottom w:val="single" w:sz="4" w:space="0" w:color="auto"/>
              <w:right w:val="single" w:sz="4" w:space="0" w:color="auto"/>
            </w:tcBorders>
            <w:vAlign w:val="center"/>
          </w:tcPr>
          <w:p w14:paraId="385ECFC3"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12" w:space="0" w:color="auto"/>
              <w:left w:val="single" w:sz="4" w:space="0" w:color="auto"/>
              <w:bottom w:val="single" w:sz="4" w:space="0" w:color="auto"/>
              <w:right w:val="single" w:sz="4" w:space="0" w:color="auto"/>
            </w:tcBorders>
          </w:tcPr>
          <w:p w14:paraId="28553ECA" w14:textId="77777777" w:rsidR="00945C39" w:rsidRPr="00C469EA" w:rsidRDefault="00945C39" w:rsidP="00112EB2">
            <w:pPr>
              <w:jc w:val="both"/>
              <w:rPr>
                <w:rFonts w:eastAsia="Times New Roman" w:cs="Calibri"/>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tc>
        <w:tc>
          <w:tcPr>
            <w:tcW w:w="2041" w:type="dxa"/>
            <w:tcBorders>
              <w:top w:val="single" w:sz="12" w:space="0" w:color="auto"/>
              <w:left w:val="single" w:sz="4" w:space="0" w:color="auto"/>
              <w:bottom w:val="single" w:sz="4" w:space="0" w:color="auto"/>
              <w:right w:val="single" w:sz="4" w:space="0" w:color="auto"/>
            </w:tcBorders>
            <w:vAlign w:val="center"/>
          </w:tcPr>
          <w:p w14:paraId="695681C7" w14:textId="77777777" w:rsidR="00945C39" w:rsidRPr="00C469EA" w:rsidDel="00BF7888" w:rsidRDefault="00945C39" w:rsidP="00112EB2">
            <w:pPr>
              <w:jc w:val="both"/>
              <w:rPr>
                <w:rFonts w:eastAsia="Times New Roman" w:cs="Calibri"/>
                <w:sz w:val="18"/>
                <w:szCs w:val="18"/>
              </w:rPr>
            </w:pPr>
            <w:r w:rsidRPr="00C469EA">
              <w:rPr>
                <w:sz w:val="18"/>
                <w:szCs w:val="18"/>
              </w:rPr>
              <w:t xml:space="preserve">Pas de pêcherie et d’interaction avec le requin taupe bleu de l’Atlantique Sud </w:t>
            </w:r>
          </w:p>
        </w:tc>
      </w:tr>
      <w:tr w:rsidR="00945C39" w:rsidRPr="00C469EA" w14:paraId="17505BEC"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544B559"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57EDCDCE" w14:textId="77777777" w:rsidR="00945C39" w:rsidRPr="000632D8" w:rsidRDefault="00945C39" w:rsidP="00112EB2">
            <w:pPr>
              <w:jc w:val="center"/>
              <w:rPr>
                <w:rFonts w:ascii="Cambria" w:hAnsi="Cambria"/>
                <w:b/>
                <w:bCs/>
                <w:sz w:val="18"/>
                <w:szCs w:val="18"/>
              </w:rPr>
            </w:pPr>
          </w:p>
          <w:p w14:paraId="58FD33B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04B52808"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3</w:t>
            </w:r>
          </w:p>
        </w:tc>
        <w:tc>
          <w:tcPr>
            <w:tcW w:w="1165" w:type="dxa"/>
            <w:tcBorders>
              <w:top w:val="single" w:sz="4" w:space="0" w:color="auto"/>
              <w:left w:val="single" w:sz="4" w:space="0" w:color="auto"/>
              <w:bottom w:val="single" w:sz="4" w:space="0" w:color="auto"/>
              <w:right w:val="single" w:sz="4" w:space="0" w:color="auto"/>
            </w:tcBorders>
            <w:vAlign w:val="center"/>
          </w:tcPr>
          <w:p w14:paraId="34CD71C1"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4891D174"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mettre en œuvre une tolérance de rétention maximale en 2023 et 2024 de 60% de leur capture annuelle moyenne de </w:t>
            </w:r>
            <w:r w:rsidRPr="00C469EA">
              <w:rPr>
                <w:b/>
                <w:bCs/>
                <w:sz w:val="18"/>
                <w:szCs w:val="18"/>
              </w:rPr>
              <w:t>requin-taupe bleu de l’Atlantique Sud</w:t>
            </w:r>
            <w:r w:rsidRPr="00C469EA">
              <w:rPr>
                <w:sz w:val="18"/>
                <w:szCs w:val="18"/>
              </w:rPr>
              <w:t xml:space="preserve">, telle que déclarée à l'ICCAT entre 2012 et 2021. Les CPC dont les prises annuelles moyennes sont supérieures à 500 t plafonneront les débarquements à 40% de leur </w:t>
            </w:r>
            <w:r w:rsidRPr="00C469EA">
              <w:rPr>
                <w:sz w:val="18"/>
                <w:szCs w:val="18"/>
              </w:rPr>
              <w:lastRenderedPageBreak/>
              <w:t>prise annuelle moyenne, telle que déclarée à l'ICCAT entre 2012 et 2021. Ceci devrait permettre une tolérance de rétention totale de 1.295 t (cf. tolérances de rétention dans le tableau 3 de la Rec. 2211).</w:t>
            </w:r>
          </w:p>
        </w:tc>
        <w:tc>
          <w:tcPr>
            <w:tcW w:w="1566" w:type="dxa"/>
            <w:tcBorders>
              <w:top w:val="single" w:sz="4" w:space="0" w:color="auto"/>
              <w:left w:val="single" w:sz="4" w:space="0" w:color="auto"/>
              <w:bottom w:val="single" w:sz="4" w:space="0" w:color="auto"/>
              <w:right w:val="single" w:sz="4" w:space="0" w:color="auto"/>
            </w:tcBorders>
            <w:vAlign w:val="center"/>
          </w:tcPr>
          <w:p w14:paraId="1D1D2EE7" w14:textId="77777777" w:rsidR="00945C39" w:rsidRPr="00C469EA" w:rsidRDefault="00945C39" w:rsidP="00112EB2">
            <w:pPr>
              <w:jc w:val="both"/>
              <w:rPr>
                <w:sz w:val="18"/>
                <w:szCs w:val="18"/>
              </w:rPr>
            </w:pPr>
            <w:r w:rsidRPr="00C469EA">
              <w:rPr>
                <w:sz w:val="18"/>
                <w:szCs w:val="18"/>
              </w:rPr>
              <w:lastRenderedPageBreak/>
              <w:t xml:space="preserve">Non </w:t>
            </w:r>
          </w:p>
          <w:p w14:paraId="039D0CA5" w14:textId="77777777" w:rsidR="00945C39" w:rsidRPr="00C469EA" w:rsidRDefault="00945C39" w:rsidP="00112EB2">
            <w:pPr>
              <w:jc w:val="both"/>
              <w:rPr>
                <w:rFonts w:eastAsia="Times New Roman" w:cs="Calibri"/>
                <w:sz w:val="18"/>
                <w:szCs w:val="18"/>
                <w:lang w:val="en-GB"/>
              </w:rPr>
            </w:pPr>
          </w:p>
        </w:tc>
        <w:tc>
          <w:tcPr>
            <w:tcW w:w="1618" w:type="dxa"/>
            <w:tcBorders>
              <w:top w:val="single" w:sz="4" w:space="0" w:color="auto"/>
              <w:left w:val="single" w:sz="4" w:space="0" w:color="auto"/>
              <w:bottom w:val="single" w:sz="4" w:space="0" w:color="auto"/>
              <w:right w:val="single" w:sz="4" w:space="0" w:color="auto"/>
            </w:tcBorders>
          </w:tcPr>
          <w:p w14:paraId="3AFAB650" w14:textId="77777777" w:rsidR="00945C39" w:rsidRPr="00C469EA" w:rsidRDefault="00945C39" w:rsidP="00112EB2">
            <w:pPr>
              <w:jc w:val="both"/>
              <w:rPr>
                <w:sz w:val="18"/>
                <w:szCs w:val="18"/>
              </w:rPr>
            </w:pPr>
          </w:p>
          <w:p w14:paraId="3F30E085" w14:textId="77777777" w:rsidR="00945C39" w:rsidRPr="00C469EA" w:rsidRDefault="00945C39" w:rsidP="00112EB2">
            <w:pPr>
              <w:jc w:val="both"/>
              <w:rPr>
                <w:sz w:val="18"/>
                <w:szCs w:val="18"/>
              </w:rPr>
            </w:pPr>
          </w:p>
          <w:p w14:paraId="512236C4"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289BDEFC"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7EC644F5" w14:textId="77777777" w:rsidR="00945C39" w:rsidRPr="00C469EA" w:rsidRDefault="00945C39" w:rsidP="00112EB2">
            <w:pPr>
              <w:jc w:val="both"/>
              <w:rPr>
                <w:rFonts w:eastAsia="Times New Roman" w:cs="Calibri"/>
                <w:sz w:val="18"/>
                <w:szCs w:val="18"/>
              </w:rPr>
            </w:pPr>
            <w:r w:rsidRPr="00C469EA">
              <w:rPr>
                <w:sz w:val="18"/>
                <w:szCs w:val="18"/>
              </w:rPr>
              <w:lastRenderedPageBreak/>
              <w:t>Pas de pêcherie et d’interaction avec le requin taupe bleu de l’Atlantique Sud</w:t>
            </w:r>
          </w:p>
        </w:tc>
      </w:tr>
      <w:tr w:rsidR="00945C39" w:rsidRPr="00C469EA" w14:paraId="493D9067"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0E33C63"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289058AA" w14:textId="77777777" w:rsidR="00945C39" w:rsidRPr="000632D8" w:rsidRDefault="00945C39" w:rsidP="00112EB2">
            <w:pPr>
              <w:jc w:val="center"/>
              <w:rPr>
                <w:rFonts w:ascii="Cambria" w:hAnsi="Cambria"/>
                <w:b/>
                <w:bCs/>
                <w:sz w:val="18"/>
                <w:szCs w:val="18"/>
              </w:rPr>
            </w:pPr>
          </w:p>
          <w:p w14:paraId="44A63C2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385EE46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7</w:t>
            </w:r>
          </w:p>
        </w:tc>
        <w:tc>
          <w:tcPr>
            <w:tcW w:w="1165" w:type="dxa"/>
            <w:tcBorders>
              <w:top w:val="single" w:sz="4" w:space="0" w:color="auto"/>
              <w:left w:val="single" w:sz="4" w:space="0" w:color="auto"/>
              <w:bottom w:val="single" w:sz="4" w:space="0" w:color="auto"/>
              <w:right w:val="single" w:sz="4" w:space="0" w:color="auto"/>
            </w:tcBorders>
            <w:vAlign w:val="center"/>
          </w:tcPr>
          <w:p w14:paraId="2B6CE3A4"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0B65C21B"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Les CPC dont les navires de pêche retiennent du</w:t>
            </w:r>
            <w:r w:rsidRPr="00C469EA">
              <w:rPr>
                <w:b/>
                <w:bCs/>
                <w:sz w:val="18"/>
                <w:szCs w:val="18"/>
              </w:rPr>
              <w:t xml:space="preserve"> requin-taupe bleu de l’Atlantique Sud</w:t>
            </w:r>
            <w:r w:rsidRPr="00C469EA">
              <w:rPr>
                <w:sz w:val="18"/>
                <w:szCs w:val="18"/>
              </w:rPr>
              <w:t xml:space="preserve"> devront interdire de transborder, en totalité ou en partie, le requin-taupe bleu de l'Atlantique Sud capturé en association avec les pêcheries de l'ICCAT.</w:t>
            </w:r>
          </w:p>
        </w:tc>
        <w:tc>
          <w:tcPr>
            <w:tcW w:w="1566" w:type="dxa"/>
            <w:tcBorders>
              <w:top w:val="single" w:sz="4" w:space="0" w:color="auto"/>
              <w:left w:val="single" w:sz="4" w:space="0" w:color="auto"/>
              <w:bottom w:val="single" w:sz="4" w:space="0" w:color="auto"/>
              <w:right w:val="single" w:sz="4" w:space="0" w:color="auto"/>
            </w:tcBorders>
            <w:vAlign w:val="center"/>
          </w:tcPr>
          <w:p w14:paraId="59D429C6" w14:textId="77777777" w:rsidR="00945C39" w:rsidRPr="00C469EA" w:rsidRDefault="00945C39" w:rsidP="00112EB2">
            <w:pPr>
              <w:jc w:val="both"/>
              <w:rPr>
                <w:rFonts w:eastAsia="Times New Roman" w:cs="Calibri"/>
                <w:sz w:val="18"/>
                <w:szCs w:val="18"/>
              </w:rPr>
            </w:pPr>
            <w:r w:rsidRPr="00C469EA">
              <w:rPr>
                <w:sz w:val="18"/>
                <w:szCs w:val="18"/>
              </w:rPr>
              <w:t xml:space="preserve">n/a </w:t>
            </w:r>
          </w:p>
        </w:tc>
        <w:tc>
          <w:tcPr>
            <w:tcW w:w="1618" w:type="dxa"/>
            <w:tcBorders>
              <w:top w:val="single" w:sz="4" w:space="0" w:color="auto"/>
              <w:left w:val="single" w:sz="4" w:space="0" w:color="auto"/>
              <w:bottom w:val="single" w:sz="4" w:space="0" w:color="auto"/>
              <w:right w:val="single" w:sz="4" w:space="0" w:color="auto"/>
            </w:tcBorders>
          </w:tcPr>
          <w:p w14:paraId="3B5371F6" w14:textId="77777777" w:rsidR="00945C39" w:rsidRPr="00C469EA" w:rsidRDefault="00945C39" w:rsidP="00112EB2">
            <w:pPr>
              <w:jc w:val="both"/>
              <w:rPr>
                <w:sz w:val="18"/>
                <w:szCs w:val="18"/>
              </w:rPr>
            </w:pPr>
          </w:p>
          <w:p w14:paraId="0B47CCD4"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5C89880D" w14:textId="77777777" w:rsidR="00945C39" w:rsidRPr="00C469EA" w:rsidRDefault="00945C39" w:rsidP="00112EB2">
            <w:pPr>
              <w:jc w:val="both"/>
              <w:rPr>
                <w:sz w:val="18"/>
                <w:szCs w:val="18"/>
              </w:rPr>
            </w:pPr>
          </w:p>
          <w:p w14:paraId="23354CEA"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4ED47FF4" w14:textId="77777777" w:rsidR="00945C39" w:rsidRPr="00C469EA" w:rsidRDefault="00945C39" w:rsidP="00112EB2">
            <w:pPr>
              <w:jc w:val="both"/>
              <w:rPr>
                <w:rFonts w:eastAsia="Times New Roman" w:cs="Calibri"/>
                <w:sz w:val="18"/>
                <w:szCs w:val="18"/>
              </w:rPr>
            </w:pPr>
            <w:r w:rsidRPr="00C469EA">
              <w:rPr>
                <w:sz w:val="18"/>
                <w:szCs w:val="18"/>
              </w:rPr>
              <w:t>Pas d’interaction avec le requin taupe bleu de l’Atlantique Sud.</w:t>
            </w:r>
          </w:p>
        </w:tc>
      </w:tr>
      <w:tr w:rsidR="00945C39" w:rsidRPr="00C469EA" w14:paraId="554FDA80"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59D9944F"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0B1B9330" w14:textId="77777777" w:rsidR="00945C39" w:rsidRPr="000632D8" w:rsidRDefault="00945C39" w:rsidP="00112EB2">
            <w:pPr>
              <w:jc w:val="center"/>
              <w:rPr>
                <w:rFonts w:ascii="Cambria" w:hAnsi="Cambria"/>
                <w:b/>
                <w:bCs/>
                <w:sz w:val="18"/>
                <w:szCs w:val="18"/>
              </w:rPr>
            </w:pPr>
          </w:p>
          <w:p w14:paraId="3BEA4EE9"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26E21C8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9</w:t>
            </w:r>
          </w:p>
        </w:tc>
        <w:tc>
          <w:tcPr>
            <w:tcW w:w="1165" w:type="dxa"/>
            <w:tcBorders>
              <w:top w:val="single" w:sz="4" w:space="0" w:color="auto"/>
              <w:left w:val="single" w:sz="4" w:space="0" w:color="auto"/>
              <w:bottom w:val="single" w:sz="4" w:space="0" w:color="auto"/>
              <w:right w:val="single" w:sz="4" w:space="0" w:color="auto"/>
            </w:tcBorders>
            <w:vAlign w:val="center"/>
          </w:tcPr>
          <w:p w14:paraId="4B6C753A"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1ADA0F49"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Dès l'entrée en vigueur de la présente Recommandation, les CPC devront exiger que les navires battant leur pavillon mettent en œuvre, tout en tenant dûment compte de la sécurité de l’équipage, les normes minimales pour les procédures de manipulation et de remise à l'eau en toute sécurité du </w:t>
            </w:r>
            <w:r w:rsidRPr="00C469EA">
              <w:rPr>
                <w:b/>
                <w:bCs/>
                <w:sz w:val="18"/>
                <w:szCs w:val="18"/>
              </w:rPr>
              <w:t>requin-taupe bleu de l'Atlantique Sud</w:t>
            </w:r>
            <w:r w:rsidRPr="00C469EA">
              <w:rPr>
                <w:sz w:val="18"/>
                <w:szCs w:val="18"/>
              </w:rPr>
              <w:t xml:space="preserve"> telles que prévues à l'annexe 2 de la présente Recommandation, afin de remettre à l’eau rapidement et indemnes, dans la mesure du possible, les requins-taupes bleus vivants de l'Atlantique Sud et d'améliorer leur capacité de survie lorsqu'ils sont amenés le long du navire.</w:t>
            </w:r>
          </w:p>
        </w:tc>
        <w:tc>
          <w:tcPr>
            <w:tcW w:w="1566" w:type="dxa"/>
            <w:tcBorders>
              <w:top w:val="single" w:sz="4" w:space="0" w:color="auto"/>
              <w:left w:val="single" w:sz="4" w:space="0" w:color="auto"/>
              <w:bottom w:val="single" w:sz="4" w:space="0" w:color="auto"/>
              <w:right w:val="single" w:sz="4" w:space="0" w:color="auto"/>
            </w:tcBorders>
            <w:vAlign w:val="center"/>
          </w:tcPr>
          <w:p w14:paraId="3A89157F"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tcPr>
          <w:p w14:paraId="380A88E5" w14:textId="77777777" w:rsidR="00945C39" w:rsidRPr="00C469EA" w:rsidRDefault="00945C39" w:rsidP="00112EB2">
            <w:pPr>
              <w:jc w:val="both"/>
              <w:rPr>
                <w:sz w:val="18"/>
                <w:szCs w:val="18"/>
              </w:rPr>
            </w:pPr>
          </w:p>
          <w:p w14:paraId="07329847" w14:textId="77777777" w:rsidR="00945C39" w:rsidRPr="00C469EA" w:rsidRDefault="00945C39" w:rsidP="00112EB2">
            <w:pPr>
              <w:jc w:val="both"/>
              <w:rPr>
                <w:rFonts w:eastAsia="Times New Roman" w:cs="Calibri"/>
                <w:sz w:val="18"/>
                <w:szCs w:val="18"/>
              </w:rPr>
            </w:pPr>
            <w:r>
              <w:rPr>
                <w:rFonts w:eastAsia="Times New Roman" w:cs="Calibri"/>
                <w:sz w:val="18"/>
                <w:szCs w:val="18"/>
              </w:rPr>
              <w:t>n/a</w:t>
            </w:r>
          </w:p>
        </w:tc>
        <w:tc>
          <w:tcPr>
            <w:tcW w:w="2041" w:type="dxa"/>
            <w:tcBorders>
              <w:top w:val="single" w:sz="4" w:space="0" w:color="auto"/>
              <w:left w:val="single" w:sz="4" w:space="0" w:color="auto"/>
              <w:bottom w:val="single" w:sz="4" w:space="0" w:color="auto"/>
              <w:right w:val="single" w:sz="4" w:space="0" w:color="auto"/>
            </w:tcBorders>
            <w:vAlign w:val="center"/>
          </w:tcPr>
          <w:p w14:paraId="3B08A287" w14:textId="77777777" w:rsidR="00945C39" w:rsidRPr="00C469EA" w:rsidRDefault="00945C39" w:rsidP="00112EB2">
            <w:pPr>
              <w:jc w:val="both"/>
              <w:rPr>
                <w:rFonts w:eastAsia="Times New Roman" w:cs="Calibri"/>
                <w:sz w:val="18"/>
                <w:szCs w:val="18"/>
              </w:rPr>
            </w:pPr>
            <w:r w:rsidRPr="00C469EA">
              <w:rPr>
                <w:sz w:val="18"/>
                <w:szCs w:val="18"/>
              </w:rPr>
              <w:t>Pas d’interaction avec le requin taupe bleu de l’Atlantique Sud</w:t>
            </w:r>
          </w:p>
        </w:tc>
      </w:tr>
      <w:tr w:rsidR="00945C39" w:rsidRPr="00C469EA" w14:paraId="3EA047A9"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37E48F2"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lastRenderedPageBreak/>
              <w:t>22-11</w:t>
            </w:r>
          </w:p>
          <w:p w14:paraId="4EC1740F" w14:textId="77777777" w:rsidR="00945C39" w:rsidRPr="000632D8" w:rsidRDefault="00945C39" w:rsidP="00112EB2">
            <w:pPr>
              <w:jc w:val="center"/>
              <w:rPr>
                <w:rFonts w:ascii="Cambria" w:hAnsi="Cambria"/>
                <w:b/>
                <w:bCs/>
                <w:sz w:val="18"/>
                <w:szCs w:val="18"/>
              </w:rPr>
            </w:pPr>
          </w:p>
          <w:p w14:paraId="6E8E3EE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62114EB5"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10</w:t>
            </w:r>
          </w:p>
        </w:tc>
        <w:tc>
          <w:tcPr>
            <w:tcW w:w="1165" w:type="dxa"/>
            <w:tcBorders>
              <w:top w:val="single" w:sz="4" w:space="0" w:color="auto"/>
              <w:left w:val="single" w:sz="4" w:space="0" w:color="auto"/>
              <w:bottom w:val="single" w:sz="4" w:space="0" w:color="auto"/>
              <w:right w:val="single" w:sz="4" w:space="0" w:color="auto"/>
            </w:tcBorders>
            <w:vAlign w:val="center"/>
          </w:tcPr>
          <w:p w14:paraId="4D056792"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63632281"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Si le Comité d’application détermine qu'une CPC n'a pas fait de déclaration conformément à la Rec. 18-06, cette CPC devra immédiatement demander à ses navires de pêche de s'abstenir de retenir ou de débarquer des </w:t>
            </w:r>
            <w:r w:rsidRPr="00C469EA">
              <w:rPr>
                <w:b/>
                <w:bCs/>
                <w:sz w:val="18"/>
                <w:szCs w:val="18"/>
              </w:rPr>
              <w:t>requins-taupes bleus de l'Atlantique Sud</w:t>
            </w:r>
            <w:r w:rsidRPr="00C469EA">
              <w:rPr>
                <w:sz w:val="18"/>
                <w:szCs w:val="18"/>
              </w:rPr>
              <w:t xml:space="preserve"> jusqu'à ce que la déclaration requise soit faite à l'ICCAT.</w:t>
            </w:r>
          </w:p>
        </w:tc>
        <w:tc>
          <w:tcPr>
            <w:tcW w:w="1566" w:type="dxa"/>
            <w:tcBorders>
              <w:top w:val="single" w:sz="4" w:space="0" w:color="auto"/>
              <w:left w:val="single" w:sz="4" w:space="0" w:color="auto"/>
              <w:bottom w:val="single" w:sz="4" w:space="0" w:color="auto"/>
              <w:right w:val="single" w:sz="4" w:space="0" w:color="auto"/>
            </w:tcBorders>
            <w:vAlign w:val="center"/>
          </w:tcPr>
          <w:p w14:paraId="6D2FA03A" w14:textId="77777777" w:rsidR="00945C39" w:rsidRPr="00C469EA" w:rsidRDefault="00945C39" w:rsidP="00112EB2">
            <w:pPr>
              <w:jc w:val="both"/>
              <w:rPr>
                <w:sz w:val="18"/>
                <w:szCs w:val="18"/>
              </w:rPr>
            </w:pPr>
            <w:r w:rsidRPr="00C469EA">
              <w:rPr>
                <w:sz w:val="18"/>
                <w:szCs w:val="18"/>
              </w:rPr>
              <w:t>n/a</w:t>
            </w:r>
          </w:p>
          <w:p w14:paraId="5722CA74" w14:textId="77777777" w:rsidR="00945C39" w:rsidRPr="00C469EA" w:rsidRDefault="00945C39" w:rsidP="00112EB2">
            <w:pPr>
              <w:jc w:val="both"/>
              <w:rPr>
                <w:rFonts w:eastAsia="Times New Roman" w:cs="Calibri"/>
                <w:sz w:val="18"/>
                <w:szCs w:val="18"/>
              </w:rPr>
            </w:pPr>
          </w:p>
        </w:tc>
        <w:tc>
          <w:tcPr>
            <w:tcW w:w="1618" w:type="dxa"/>
            <w:tcBorders>
              <w:top w:val="single" w:sz="4" w:space="0" w:color="auto"/>
              <w:left w:val="single" w:sz="4" w:space="0" w:color="auto"/>
              <w:bottom w:val="single" w:sz="4" w:space="0" w:color="auto"/>
              <w:right w:val="single" w:sz="4" w:space="0" w:color="auto"/>
            </w:tcBorders>
          </w:tcPr>
          <w:p w14:paraId="6CBDA7DE" w14:textId="77777777" w:rsidR="00945C39" w:rsidRPr="00C469EA" w:rsidRDefault="00945C39" w:rsidP="00112EB2">
            <w:pPr>
              <w:jc w:val="both"/>
              <w:rPr>
                <w:sz w:val="18"/>
                <w:szCs w:val="18"/>
              </w:rPr>
            </w:pPr>
          </w:p>
          <w:p w14:paraId="42DDE6C9" w14:textId="77777777" w:rsidR="00945C39" w:rsidRPr="00C469EA" w:rsidRDefault="00945C39" w:rsidP="00112EB2">
            <w:pPr>
              <w:jc w:val="both"/>
              <w:rPr>
                <w:sz w:val="18"/>
                <w:szCs w:val="18"/>
              </w:rPr>
            </w:pPr>
          </w:p>
          <w:p w14:paraId="55EB7FAA" w14:textId="77777777" w:rsidR="00945C39" w:rsidRPr="00C469EA" w:rsidRDefault="00945C39" w:rsidP="00112EB2">
            <w:pPr>
              <w:jc w:val="both"/>
              <w:rPr>
                <w:sz w:val="18"/>
                <w:szCs w:val="18"/>
              </w:rPr>
            </w:pPr>
          </w:p>
          <w:p w14:paraId="468D8402" w14:textId="77777777" w:rsidR="00945C39" w:rsidRPr="00C469EA" w:rsidRDefault="00945C39" w:rsidP="00112EB2">
            <w:pPr>
              <w:jc w:val="both"/>
              <w:rPr>
                <w:sz w:val="18"/>
                <w:szCs w:val="18"/>
              </w:rPr>
            </w:pPr>
          </w:p>
          <w:p w14:paraId="3E0E261B"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3FD8AA6F" w14:textId="77777777" w:rsidR="00945C39" w:rsidRPr="00C469EA" w:rsidRDefault="00945C39" w:rsidP="00112EB2">
            <w:pPr>
              <w:jc w:val="both"/>
              <w:rPr>
                <w:sz w:val="18"/>
                <w:szCs w:val="18"/>
              </w:rPr>
            </w:pPr>
            <w:r w:rsidRPr="00C469EA">
              <w:rPr>
                <w:sz w:val="18"/>
                <w:szCs w:val="18"/>
              </w:rPr>
              <w:t>Le principe de la non-rétention est appliqué.</w:t>
            </w:r>
          </w:p>
          <w:p w14:paraId="760F28E1" w14:textId="77777777" w:rsidR="00945C39" w:rsidRPr="00C469EA" w:rsidRDefault="00945C39" w:rsidP="00112EB2">
            <w:pPr>
              <w:jc w:val="both"/>
              <w:rPr>
                <w:rFonts w:eastAsia="Times New Roman" w:cs="Calibri"/>
                <w:sz w:val="18"/>
                <w:szCs w:val="18"/>
              </w:rPr>
            </w:pPr>
            <w:r w:rsidRPr="00C469EA">
              <w:rPr>
                <w:sz w:val="18"/>
                <w:szCs w:val="18"/>
              </w:rPr>
              <w:t>Pas d’interaction avec le requin taupe bleu de l’Atlantique Sud</w:t>
            </w:r>
          </w:p>
        </w:tc>
      </w:tr>
      <w:tr w:rsidR="00945C39" w:rsidRPr="00C469EA" w14:paraId="24C6FBCF"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5E9E50E"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19050894" w14:textId="77777777" w:rsidR="00945C39" w:rsidRPr="000632D8" w:rsidRDefault="00945C39" w:rsidP="00112EB2">
            <w:pPr>
              <w:jc w:val="center"/>
              <w:rPr>
                <w:rFonts w:ascii="Cambria" w:hAnsi="Cambria"/>
                <w:b/>
                <w:bCs/>
                <w:sz w:val="18"/>
                <w:szCs w:val="18"/>
              </w:rPr>
            </w:pPr>
          </w:p>
          <w:p w14:paraId="7126DBF9"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7AD1C0DC"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11</w:t>
            </w:r>
          </w:p>
        </w:tc>
        <w:tc>
          <w:tcPr>
            <w:tcW w:w="1165" w:type="dxa"/>
            <w:tcBorders>
              <w:top w:val="single" w:sz="4" w:space="0" w:color="auto"/>
              <w:left w:val="single" w:sz="4" w:space="0" w:color="auto"/>
              <w:bottom w:val="single" w:sz="4" w:space="0" w:color="auto"/>
              <w:right w:val="single" w:sz="4" w:space="0" w:color="auto"/>
            </w:tcBorders>
            <w:vAlign w:val="center"/>
          </w:tcPr>
          <w:p w14:paraId="5BE0BD38"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57C7EC94"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déclarer au Secrétariat de l'ICCAT, conformément aux exigences de déclaration des données de l'ICCAT, les prises totales, y compris les éventuels débarquements, les rejets morts et les remises à l'eau de spécimens vivants, de </w:t>
            </w:r>
            <w:r w:rsidRPr="00C469EA">
              <w:rPr>
                <w:b/>
                <w:bCs/>
                <w:sz w:val="18"/>
                <w:szCs w:val="18"/>
              </w:rPr>
              <w:t xml:space="preserve">requin-taupe bleu de l'Atlantique Sud. </w:t>
            </w:r>
            <w:r w:rsidRPr="00C469EA">
              <w:rPr>
                <w:sz w:val="18"/>
                <w:szCs w:val="18"/>
              </w:rPr>
              <w:t>La fréquence de déclaration devra être mensuelle pour tout débarquement autorisé afin de suivre de près l'utilisation de la tolérance de rétention. Ce rapport devra être envoyé au Secrétariat de l'ICCAT dans les 30 jours suivant la fin du mois civil au cours duquel les captures ont été effectuées et chaque année pour les rejets morts, les remises à l’eau de spécimens vivants et les captures totales.</w:t>
            </w:r>
          </w:p>
        </w:tc>
        <w:tc>
          <w:tcPr>
            <w:tcW w:w="1566" w:type="dxa"/>
            <w:tcBorders>
              <w:top w:val="single" w:sz="4" w:space="0" w:color="auto"/>
              <w:left w:val="single" w:sz="4" w:space="0" w:color="auto"/>
              <w:bottom w:val="single" w:sz="4" w:space="0" w:color="auto"/>
              <w:right w:val="single" w:sz="4" w:space="0" w:color="auto"/>
            </w:tcBorders>
            <w:vAlign w:val="center"/>
          </w:tcPr>
          <w:p w14:paraId="2BCBBE70" w14:textId="77777777" w:rsidR="00945C39" w:rsidRPr="00C469EA" w:rsidRDefault="00945C39" w:rsidP="00112EB2">
            <w:pPr>
              <w:jc w:val="both"/>
              <w:rPr>
                <w:rFonts w:eastAsia="Times New Roman" w:cs="Calibri"/>
                <w:sz w:val="18"/>
                <w:szCs w:val="18"/>
              </w:rPr>
            </w:pPr>
            <w:r w:rsidRPr="00C469EA">
              <w:rPr>
                <w:sz w:val="18"/>
                <w:szCs w:val="18"/>
              </w:rPr>
              <w:t xml:space="preserve">Non </w:t>
            </w:r>
          </w:p>
        </w:tc>
        <w:tc>
          <w:tcPr>
            <w:tcW w:w="1618" w:type="dxa"/>
            <w:tcBorders>
              <w:top w:val="single" w:sz="4" w:space="0" w:color="auto"/>
              <w:left w:val="single" w:sz="4" w:space="0" w:color="auto"/>
              <w:bottom w:val="single" w:sz="4" w:space="0" w:color="auto"/>
              <w:right w:val="single" w:sz="4" w:space="0" w:color="auto"/>
            </w:tcBorders>
          </w:tcPr>
          <w:p w14:paraId="42558BE7" w14:textId="77777777" w:rsidR="00945C39" w:rsidRPr="00C469EA" w:rsidRDefault="00945C39" w:rsidP="00112EB2">
            <w:pPr>
              <w:jc w:val="both"/>
              <w:rPr>
                <w:sz w:val="18"/>
                <w:szCs w:val="18"/>
              </w:rPr>
            </w:pPr>
          </w:p>
          <w:p w14:paraId="66E5061E"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7B2887A2" w14:textId="77777777" w:rsidR="00945C39" w:rsidRPr="00C469EA" w:rsidRDefault="00945C39" w:rsidP="00112EB2">
            <w:pPr>
              <w:jc w:val="both"/>
              <w:rPr>
                <w:sz w:val="18"/>
                <w:szCs w:val="18"/>
              </w:rPr>
            </w:pPr>
          </w:p>
          <w:p w14:paraId="5CE850C7" w14:textId="77777777" w:rsidR="00945C39" w:rsidRPr="00C469EA" w:rsidRDefault="00945C39" w:rsidP="00112EB2">
            <w:pPr>
              <w:jc w:val="both"/>
              <w:rPr>
                <w:sz w:val="18"/>
                <w:szCs w:val="18"/>
              </w:rPr>
            </w:pPr>
          </w:p>
          <w:p w14:paraId="576FD71B" w14:textId="77777777" w:rsidR="00945C39" w:rsidRPr="00C469EA" w:rsidRDefault="00945C39" w:rsidP="00112EB2">
            <w:pPr>
              <w:jc w:val="both"/>
              <w:rPr>
                <w:sz w:val="18"/>
                <w:szCs w:val="18"/>
              </w:rPr>
            </w:pPr>
          </w:p>
          <w:p w14:paraId="789C0777" w14:textId="77777777" w:rsidR="00945C39" w:rsidRPr="00C469EA" w:rsidRDefault="00945C39" w:rsidP="00112EB2">
            <w:pPr>
              <w:jc w:val="both"/>
              <w:rPr>
                <w:sz w:val="18"/>
                <w:szCs w:val="18"/>
              </w:rPr>
            </w:pPr>
          </w:p>
          <w:p w14:paraId="14D74636" w14:textId="77777777" w:rsidR="00945C39" w:rsidRPr="00C469EA" w:rsidRDefault="00945C39" w:rsidP="00112EB2">
            <w:pPr>
              <w:jc w:val="both"/>
              <w:rPr>
                <w:sz w:val="18"/>
                <w:szCs w:val="18"/>
              </w:rPr>
            </w:pPr>
          </w:p>
          <w:p w14:paraId="21AD4156" w14:textId="77777777" w:rsidR="00945C39" w:rsidRPr="00C469EA" w:rsidRDefault="00945C39" w:rsidP="00112EB2">
            <w:pPr>
              <w:jc w:val="both"/>
              <w:rPr>
                <w:sz w:val="18"/>
                <w:szCs w:val="18"/>
              </w:rPr>
            </w:pPr>
          </w:p>
          <w:p w14:paraId="0EB0512B" w14:textId="77777777" w:rsidR="00945C39" w:rsidRPr="00C469EA" w:rsidRDefault="00945C39" w:rsidP="00112EB2">
            <w:pPr>
              <w:jc w:val="both"/>
              <w:rPr>
                <w:sz w:val="18"/>
                <w:szCs w:val="18"/>
              </w:rPr>
            </w:pPr>
          </w:p>
          <w:p w14:paraId="1D2698B1" w14:textId="77777777" w:rsidR="00945C39" w:rsidRPr="00C469EA" w:rsidRDefault="00945C39" w:rsidP="00112EB2">
            <w:pPr>
              <w:jc w:val="both"/>
              <w:rPr>
                <w:sz w:val="18"/>
                <w:szCs w:val="18"/>
              </w:rPr>
            </w:pPr>
          </w:p>
          <w:p w14:paraId="6CBC8F5F"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18D51DE2" w14:textId="77777777" w:rsidR="00945C39" w:rsidRPr="00C469EA" w:rsidRDefault="00945C39" w:rsidP="00112EB2">
            <w:pPr>
              <w:jc w:val="both"/>
              <w:rPr>
                <w:sz w:val="18"/>
                <w:szCs w:val="18"/>
              </w:rPr>
            </w:pPr>
          </w:p>
          <w:p w14:paraId="42E83002" w14:textId="77777777" w:rsidR="00945C39" w:rsidRPr="00C469EA" w:rsidRDefault="00945C39" w:rsidP="00112EB2">
            <w:pPr>
              <w:jc w:val="both"/>
              <w:rPr>
                <w:sz w:val="18"/>
                <w:szCs w:val="18"/>
              </w:rPr>
            </w:pPr>
            <w:r w:rsidRPr="00C469EA">
              <w:rPr>
                <w:sz w:val="18"/>
                <w:szCs w:val="18"/>
              </w:rPr>
              <w:t>Pas de prises de requins taupe bleu de l’Atlantique du Sud.</w:t>
            </w:r>
          </w:p>
          <w:p w14:paraId="60868C73" w14:textId="77777777" w:rsidR="00945C39" w:rsidRPr="00C469EA" w:rsidRDefault="00945C39" w:rsidP="00112EB2">
            <w:pPr>
              <w:jc w:val="both"/>
              <w:rPr>
                <w:rFonts w:eastAsia="Times New Roman" w:cs="Calibri"/>
                <w:sz w:val="18"/>
                <w:szCs w:val="18"/>
              </w:rPr>
            </w:pPr>
          </w:p>
        </w:tc>
      </w:tr>
      <w:tr w:rsidR="00945C39" w:rsidRPr="00C469EA" w14:paraId="01472DC4"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0B6FA7C"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06B42910" w14:textId="77777777" w:rsidR="00945C39" w:rsidRPr="000632D8" w:rsidRDefault="00945C39" w:rsidP="00112EB2">
            <w:pPr>
              <w:jc w:val="center"/>
              <w:rPr>
                <w:rFonts w:ascii="Cambria" w:hAnsi="Cambria"/>
                <w:b/>
                <w:bCs/>
                <w:sz w:val="18"/>
                <w:szCs w:val="18"/>
              </w:rPr>
            </w:pPr>
          </w:p>
          <w:p w14:paraId="4897FF43"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0A289861"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12</w:t>
            </w:r>
          </w:p>
        </w:tc>
        <w:tc>
          <w:tcPr>
            <w:tcW w:w="1165" w:type="dxa"/>
            <w:tcBorders>
              <w:top w:val="single" w:sz="4" w:space="0" w:color="auto"/>
              <w:left w:val="single" w:sz="4" w:space="0" w:color="auto"/>
              <w:bottom w:val="single" w:sz="4" w:space="0" w:color="auto"/>
              <w:right w:val="single" w:sz="4" w:space="0" w:color="auto"/>
            </w:tcBorders>
            <w:vAlign w:val="center"/>
          </w:tcPr>
          <w:p w14:paraId="526A73BD"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58E703D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Toute rétention par une CPC dépassant sa tolérance de rétention telle qu'établie pour 2023 et 2024, et pour les années suivantes, comme </w:t>
            </w:r>
            <w:r w:rsidRPr="00C469EA">
              <w:rPr>
                <w:sz w:val="18"/>
                <w:szCs w:val="18"/>
              </w:rPr>
              <w:lastRenderedPageBreak/>
              <w:t>calculée au paragraphe 6, entraînera une réduction de la tolérance de cette CPC pour l'année suivante d'un montant égal à l'excédent. La rétention par cette CPC devra être interdite jusqu'à ce que tout dépassement soit remboursé en totalité. Les transferts de sous-consommations par les CPC aux années suivantes ne devront pas être autorisés.</w:t>
            </w:r>
          </w:p>
        </w:tc>
        <w:tc>
          <w:tcPr>
            <w:tcW w:w="1566" w:type="dxa"/>
            <w:tcBorders>
              <w:top w:val="single" w:sz="4" w:space="0" w:color="auto"/>
              <w:left w:val="single" w:sz="4" w:space="0" w:color="auto"/>
              <w:bottom w:val="single" w:sz="4" w:space="0" w:color="auto"/>
              <w:right w:val="single" w:sz="4" w:space="0" w:color="auto"/>
            </w:tcBorders>
            <w:vAlign w:val="center"/>
          </w:tcPr>
          <w:p w14:paraId="318AEAFB" w14:textId="77777777" w:rsidR="00945C39" w:rsidRPr="00C469EA" w:rsidRDefault="00945C39" w:rsidP="00112EB2">
            <w:pPr>
              <w:jc w:val="both"/>
              <w:rPr>
                <w:rFonts w:eastAsia="Times New Roman" w:cs="Calibri"/>
                <w:sz w:val="18"/>
                <w:szCs w:val="18"/>
              </w:rPr>
            </w:pPr>
            <w:r w:rsidRPr="00C469EA">
              <w:rPr>
                <w:sz w:val="18"/>
                <w:szCs w:val="18"/>
              </w:rPr>
              <w:lastRenderedPageBreak/>
              <w:t>Non</w:t>
            </w:r>
          </w:p>
        </w:tc>
        <w:tc>
          <w:tcPr>
            <w:tcW w:w="1618" w:type="dxa"/>
            <w:tcBorders>
              <w:top w:val="single" w:sz="4" w:space="0" w:color="auto"/>
              <w:left w:val="single" w:sz="4" w:space="0" w:color="auto"/>
              <w:bottom w:val="single" w:sz="4" w:space="0" w:color="auto"/>
              <w:right w:val="single" w:sz="4" w:space="0" w:color="auto"/>
            </w:tcBorders>
          </w:tcPr>
          <w:p w14:paraId="3965688A" w14:textId="77777777" w:rsidR="00945C39" w:rsidRPr="00C469EA" w:rsidRDefault="00945C39" w:rsidP="00112EB2">
            <w:pPr>
              <w:jc w:val="both"/>
              <w:rPr>
                <w:sz w:val="18"/>
                <w:szCs w:val="18"/>
              </w:rPr>
            </w:pPr>
          </w:p>
          <w:p w14:paraId="0268494F" w14:textId="77777777" w:rsidR="00945C39" w:rsidRPr="00C469EA" w:rsidRDefault="00945C39" w:rsidP="00112EB2">
            <w:pPr>
              <w:jc w:val="both"/>
              <w:rPr>
                <w:sz w:val="18"/>
                <w:szCs w:val="18"/>
              </w:rPr>
            </w:pPr>
          </w:p>
          <w:p w14:paraId="75D100A3" w14:textId="77777777" w:rsidR="00945C39" w:rsidRPr="00C469EA" w:rsidRDefault="00945C39" w:rsidP="00112EB2">
            <w:pPr>
              <w:jc w:val="both"/>
              <w:rPr>
                <w:sz w:val="18"/>
                <w:szCs w:val="18"/>
              </w:rPr>
            </w:pPr>
          </w:p>
          <w:p w14:paraId="6E125C1C" w14:textId="77777777" w:rsidR="00945C39" w:rsidRPr="00C469EA" w:rsidRDefault="00945C39" w:rsidP="00112EB2">
            <w:pPr>
              <w:jc w:val="both"/>
              <w:rPr>
                <w:sz w:val="18"/>
                <w:szCs w:val="18"/>
              </w:rPr>
            </w:pPr>
          </w:p>
          <w:p w14:paraId="5164887F" w14:textId="77777777" w:rsidR="00945C39" w:rsidRPr="00C469EA" w:rsidRDefault="00945C39" w:rsidP="00112EB2">
            <w:pPr>
              <w:jc w:val="both"/>
              <w:rPr>
                <w:sz w:val="18"/>
                <w:szCs w:val="18"/>
              </w:rPr>
            </w:pPr>
          </w:p>
          <w:p w14:paraId="18D54063" w14:textId="77777777" w:rsidR="00945C39" w:rsidRPr="00C469EA" w:rsidRDefault="00945C39" w:rsidP="00112EB2">
            <w:pPr>
              <w:jc w:val="both"/>
              <w:rPr>
                <w:sz w:val="18"/>
                <w:szCs w:val="18"/>
              </w:rPr>
            </w:pPr>
          </w:p>
          <w:p w14:paraId="4813DE0C" w14:textId="77777777" w:rsidR="00945C39" w:rsidRPr="00C469EA" w:rsidRDefault="00945C39" w:rsidP="00112EB2">
            <w:pPr>
              <w:jc w:val="both"/>
              <w:rPr>
                <w:sz w:val="18"/>
                <w:szCs w:val="18"/>
              </w:rPr>
            </w:pPr>
          </w:p>
          <w:p w14:paraId="3D3A4229" w14:textId="77777777" w:rsidR="00945C39" w:rsidRPr="00C469EA" w:rsidRDefault="00945C39" w:rsidP="00112EB2">
            <w:pPr>
              <w:jc w:val="both"/>
              <w:rPr>
                <w:sz w:val="18"/>
                <w:szCs w:val="18"/>
              </w:rPr>
            </w:pPr>
          </w:p>
          <w:p w14:paraId="7F08E386"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130D9A92" w14:textId="77777777" w:rsidR="00945C39" w:rsidRPr="00C469EA" w:rsidRDefault="00945C39" w:rsidP="00112EB2">
            <w:pPr>
              <w:jc w:val="both"/>
              <w:rPr>
                <w:sz w:val="18"/>
                <w:szCs w:val="18"/>
              </w:rPr>
            </w:pPr>
          </w:p>
          <w:p w14:paraId="0BEF9581" w14:textId="77777777" w:rsidR="00945C39" w:rsidRPr="00C469EA" w:rsidRDefault="00945C39" w:rsidP="00112EB2">
            <w:pPr>
              <w:jc w:val="both"/>
              <w:rPr>
                <w:rFonts w:eastAsia="Times New Roman" w:cs="Calibri"/>
                <w:sz w:val="18"/>
                <w:szCs w:val="18"/>
              </w:rPr>
            </w:pPr>
            <w:r w:rsidRPr="00C469EA">
              <w:rPr>
                <w:sz w:val="18"/>
                <w:szCs w:val="18"/>
              </w:rPr>
              <w:t>Aucune prise de requin taupe du Sud.</w:t>
            </w:r>
          </w:p>
        </w:tc>
      </w:tr>
      <w:tr w:rsidR="00945C39" w:rsidRPr="00C469EA" w14:paraId="52CC8D69"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2B358A6"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555CA4BB" w14:textId="77777777" w:rsidR="00945C39" w:rsidRPr="000632D8" w:rsidRDefault="00945C39" w:rsidP="00112EB2">
            <w:pPr>
              <w:jc w:val="center"/>
              <w:rPr>
                <w:rFonts w:ascii="Cambria" w:hAnsi="Cambria"/>
                <w:b/>
                <w:bCs/>
                <w:sz w:val="18"/>
                <w:szCs w:val="18"/>
              </w:rPr>
            </w:pPr>
          </w:p>
          <w:p w14:paraId="5E2889C3"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5439EEAE"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13</w:t>
            </w:r>
          </w:p>
        </w:tc>
        <w:tc>
          <w:tcPr>
            <w:tcW w:w="1165" w:type="dxa"/>
            <w:tcBorders>
              <w:top w:val="single" w:sz="4" w:space="0" w:color="auto"/>
              <w:left w:val="single" w:sz="4" w:space="0" w:color="auto"/>
              <w:bottom w:val="single" w:sz="4" w:space="0" w:color="auto"/>
              <w:right w:val="single" w:sz="4" w:space="0" w:color="auto"/>
            </w:tcBorders>
            <w:vAlign w:val="center"/>
          </w:tcPr>
          <w:p w14:paraId="4D86782E"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3ABD56ED"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Au plus tard le 31 juillet 2023, les CPC qui ont déclaré des captures moyennes annuelles (débarquements et rejets morts) de </w:t>
            </w:r>
            <w:r w:rsidRPr="00C469EA">
              <w:rPr>
                <w:b/>
                <w:bCs/>
                <w:sz w:val="18"/>
                <w:szCs w:val="18"/>
              </w:rPr>
              <w:t>requin-taupe bleu de l'Atlantique Sud</w:t>
            </w:r>
            <w:r w:rsidRPr="00C469EA">
              <w:rPr>
                <w:sz w:val="18"/>
                <w:szCs w:val="18"/>
              </w:rPr>
              <w:t xml:space="preserve"> supérieures à 1 t entre 2018 et 2020 devront présenter au SCRS la méthodologie statistique utilisée pour estimer les rejets morts et les remises à l’eau de spécimens vivants. </w:t>
            </w:r>
          </w:p>
        </w:tc>
        <w:tc>
          <w:tcPr>
            <w:tcW w:w="1566" w:type="dxa"/>
            <w:tcBorders>
              <w:top w:val="single" w:sz="4" w:space="0" w:color="auto"/>
              <w:left w:val="single" w:sz="4" w:space="0" w:color="auto"/>
              <w:bottom w:val="single" w:sz="4" w:space="0" w:color="auto"/>
              <w:right w:val="single" w:sz="4" w:space="0" w:color="auto"/>
            </w:tcBorders>
            <w:vAlign w:val="center"/>
          </w:tcPr>
          <w:p w14:paraId="0CBC9040"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38F6AC09" w14:textId="77777777" w:rsidR="00945C39" w:rsidRPr="00C469EA" w:rsidRDefault="00945C39" w:rsidP="00112EB2">
            <w:pPr>
              <w:jc w:val="both"/>
              <w:rPr>
                <w:sz w:val="18"/>
                <w:szCs w:val="18"/>
              </w:rPr>
            </w:pPr>
          </w:p>
          <w:p w14:paraId="6A32A55E" w14:textId="77777777" w:rsidR="00945C39" w:rsidRPr="00C469EA" w:rsidRDefault="00945C39" w:rsidP="00112EB2">
            <w:pPr>
              <w:jc w:val="both"/>
              <w:rPr>
                <w:sz w:val="18"/>
                <w:szCs w:val="18"/>
              </w:rPr>
            </w:pPr>
          </w:p>
          <w:p w14:paraId="33FEE7A8" w14:textId="77777777" w:rsidR="00945C39" w:rsidRPr="00C469EA" w:rsidRDefault="00945C39" w:rsidP="00112EB2">
            <w:pPr>
              <w:jc w:val="both"/>
              <w:rPr>
                <w:sz w:val="18"/>
                <w:szCs w:val="18"/>
              </w:rPr>
            </w:pPr>
          </w:p>
          <w:p w14:paraId="5509F012" w14:textId="77777777" w:rsidR="00945C39" w:rsidRPr="00C469EA" w:rsidRDefault="00945C39" w:rsidP="00112EB2">
            <w:pPr>
              <w:jc w:val="both"/>
              <w:rPr>
                <w:sz w:val="18"/>
                <w:szCs w:val="18"/>
              </w:rPr>
            </w:pPr>
          </w:p>
          <w:p w14:paraId="794BCCC9" w14:textId="77777777" w:rsidR="00945C39" w:rsidRPr="00C469EA" w:rsidRDefault="00945C39" w:rsidP="00112EB2">
            <w:pPr>
              <w:jc w:val="both"/>
              <w:rPr>
                <w:sz w:val="18"/>
                <w:szCs w:val="18"/>
              </w:rPr>
            </w:pPr>
          </w:p>
          <w:p w14:paraId="6BFC2A96" w14:textId="77777777" w:rsidR="00945C39" w:rsidRPr="00C469EA" w:rsidRDefault="00945C39" w:rsidP="00112EB2">
            <w:pPr>
              <w:jc w:val="both"/>
              <w:rPr>
                <w:sz w:val="18"/>
                <w:szCs w:val="18"/>
              </w:rPr>
            </w:pPr>
          </w:p>
          <w:p w14:paraId="43FAA82A" w14:textId="77777777" w:rsidR="00945C39" w:rsidRPr="00C469EA" w:rsidRDefault="00945C39" w:rsidP="00112EB2">
            <w:pPr>
              <w:jc w:val="both"/>
              <w:rPr>
                <w:sz w:val="18"/>
                <w:szCs w:val="18"/>
              </w:rPr>
            </w:pPr>
          </w:p>
          <w:p w14:paraId="02122DDA"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E75A877" w14:textId="77777777" w:rsidR="00945C39" w:rsidRPr="00C469EA" w:rsidRDefault="00945C39" w:rsidP="00112EB2">
            <w:pPr>
              <w:jc w:val="both"/>
              <w:rPr>
                <w:rFonts w:eastAsia="Times New Roman" w:cs="Calibri"/>
                <w:sz w:val="18"/>
                <w:szCs w:val="18"/>
              </w:rPr>
            </w:pPr>
            <w:r w:rsidRPr="00C469EA">
              <w:rPr>
                <w:sz w:val="18"/>
                <w:szCs w:val="18"/>
              </w:rPr>
              <w:t>Pas de prise de requins taupe bleu du Sud</w:t>
            </w:r>
          </w:p>
        </w:tc>
      </w:tr>
      <w:tr w:rsidR="00945C39" w:rsidRPr="00C469EA" w14:paraId="14D1B711"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C59DE1F"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6EAB1118" w14:textId="77777777" w:rsidR="00945C39" w:rsidRPr="000632D8" w:rsidRDefault="00945C39" w:rsidP="00112EB2">
            <w:pPr>
              <w:jc w:val="center"/>
              <w:rPr>
                <w:rFonts w:ascii="Cambria" w:hAnsi="Cambria"/>
                <w:b/>
                <w:bCs/>
                <w:sz w:val="18"/>
                <w:szCs w:val="18"/>
              </w:rPr>
            </w:pPr>
          </w:p>
          <w:p w14:paraId="33BBAAA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418E6F8E"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13</w:t>
            </w:r>
          </w:p>
          <w:p w14:paraId="105A7ED8" w14:textId="77777777" w:rsidR="00945C39" w:rsidRPr="00C469EA" w:rsidRDefault="00945C39" w:rsidP="00112EB2">
            <w:pPr>
              <w:jc w:val="center"/>
              <w:rPr>
                <w:rFonts w:eastAsia="Times New Roman" w:cs="Calibri"/>
                <w:b/>
                <w:bCs/>
                <w:sz w:val="18"/>
                <w:szCs w:val="18"/>
              </w:rPr>
            </w:pPr>
          </w:p>
        </w:tc>
        <w:tc>
          <w:tcPr>
            <w:tcW w:w="1165" w:type="dxa"/>
            <w:tcBorders>
              <w:top w:val="single" w:sz="4" w:space="0" w:color="auto"/>
              <w:left w:val="single" w:sz="4" w:space="0" w:color="auto"/>
              <w:bottom w:val="single" w:sz="4" w:space="0" w:color="auto"/>
              <w:right w:val="single" w:sz="4" w:space="0" w:color="auto"/>
            </w:tcBorders>
            <w:vAlign w:val="center"/>
          </w:tcPr>
          <w:p w14:paraId="7AC0D94A"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535CEE42"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Au plus tard le 31 juillet 2023, les CPC ayant des pêcheries artisanales et de petits métiers devront également fournir des informations sur leurs programmes de collecte de données. </w:t>
            </w:r>
          </w:p>
        </w:tc>
        <w:tc>
          <w:tcPr>
            <w:tcW w:w="1566" w:type="dxa"/>
            <w:tcBorders>
              <w:top w:val="single" w:sz="4" w:space="0" w:color="auto"/>
              <w:left w:val="single" w:sz="4" w:space="0" w:color="auto"/>
              <w:bottom w:val="single" w:sz="4" w:space="0" w:color="auto"/>
              <w:right w:val="single" w:sz="4" w:space="0" w:color="auto"/>
            </w:tcBorders>
            <w:vAlign w:val="center"/>
          </w:tcPr>
          <w:p w14:paraId="2F2D35EA"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747A26F9" w14:textId="77777777" w:rsidR="00945C39" w:rsidRPr="00C469EA" w:rsidRDefault="00945C39" w:rsidP="00112EB2">
            <w:pPr>
              <w:jc w:val="both"/>
              <w:rPr>
                <w:sz w:val="18"/>
                <w:szCs w:val="18"/>
              </w:rPr>
            </w:pPr>
          </w:p>
          <w:p w14:paraId="0D361DEA" w14:textId="77777777" w:rsidR="00945C39" w:rsidRPr="00C469EA" w:rsidRDefault="00945C39" w:rsidP="00112EB2">
            <w:pPr>
              <w:jc w:val="both"/>
              <w:rPr>
                <w:sz w:val="18"/>
                <w:szCs w:val="18"/>
              </w:rPr>
            </w:pPr>
          </w:p>
          <w:p w14:paraId="70264C6F" w14:textId="77777777" w:rsidR="00945C39" w:rsidRPr="00C469EA" w:rsidRDefault="00945C39" w:rsidP="00112EB2">
            <w:pPr>
              <w:jc w:val="both"/>
              <w:rPr>
                <w:sz w:val="18"/>
                <w:szCs w:val="18"/>
              </w:rPr>
            </w:pPr>
          </w:p>
          <w:p w14:paraId="084F2188" w14:textId="77777777" w:rsidR="00945C39" w:rsidRPr="00C469EA" w:rsidRDefault="00945C39" w:rsidP="00112EB2">
            <w:pPr>
              <w:jc w:val="both"/>
              <w:rPr>
                <w:sz w:val="18"/>
                <w:szCs w:val="18"/>
              </w:rPr>
            </w:pPr>
          </w:p>
          <w:p w14:paraId="5EC624C3" w14:textId="77777777" w:rsidR="00945C39" w:rsidRPr="00C469EA" w:rsidRDefault="00945C39" w:rsidP="00112EB2">
            <w:pPr>
              <w:jc w:val="both"/>
              <w:rPr>
                <w:sz w:val="18"/>
                <w:szCs w:val="18"/>
              </w:rPr>
            </w:pPr>
          </w:p>
          <w:p w14:paraId="727D3C2E" w14:textId="77777777" w:rsidR="00945C39" w:rsidRPr="00C469EA" w:rsidRDefault="00945C39" w:rsidP="00112EB2">
            <w:pPr>
              <w:jc w:val="both"/>
              <w:rPr>
                <w:sz w:val="18"/>
                <w:szCs w:val="18"/>
              </w:rPr>
            </w:pPr>
          </w:p>
          <w:p w14:paraId="497AADC4"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2691831" w14:textId="77777777" w:rsidR="00945C39" w:rsidRPr="00C469EA" w:rsidRDefault="00945C39" w:rsidP="00112EB2">
            <w:pPr>
              <w:jc w:val="both"/>
              <w:rPr>
                <w:rFonts w:eastAsia="Times New Roman" w:cs="Calibri"/>
                <w:sz w:val="18"/>
                <w:szCs w:val="18"/>
              </w:rPr>
            </w:pPr>
            <w:r w:rsidRPr="00C469EA">
              <w:rPr>
                <w:sz w:val="18"/>
                <w:szCs w:val="18"/>
              </w:rPr>
              <w:t>Aucune pêcherie artisanale sur le requin taupe bleu de l’Atlantique sud.</w:t>
            </w:r>
          </w:p>
        </w:tc>
      </w:tr>
      <w:tr w:rsidR="00945C39" w:rsidRPr="00C469EA" w14:paraId="04321A4C"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C68C18C"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69D5F571" w14:textId="77777777" w:rsidR="00945C39" w:rsidRPr="000632D8" w:rsidRDefault="00945C39" w:rsidP="00112EB2">
            <w:pPr>
              <w:jc w:val="center"/>
              <w:rPr>
                <w:rFonts w:ascii="Cambria" w:hAnsi="Cambria"/>
                <w:b/>
                <w:bCs/>
                <w:sz w:val="18"/>
                <w:szCs w:val="18"/>
              </w:rPr>
            </w:pPr>
          </w:p>
          <w:p w14:paraId="5035EB3B"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3F8E27F3"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14</w:t>
            </w:r>
          </w:p>
        </w:tc>
        <w:tc>
          <w:tcPr>
            <w:tcW w:w="1165" w:type="dxa"/>
            <w:tcBorders>
              <w:top w:val="single" w:sz="4" w:space="0" w:color="auto"/>
              <w:left w:val="single" w:sz="4" w:space="0" w:color="auto"/>
              <w:bottom w:val="single" w:sz="4" w:space="0" w:color="auto"/>
              <w:right w:val="single" w:sz="4" w:space="0" w:color="auto"/>
            </w:tcBorders>
            <w:vAlign w:val="center"/>
          </w:tcPr>
          <w:p w14:paraId="4B9F763C"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3F87B749"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Dans le cadre de leur soumission annuelle des données des tâches 1 et 2, les CPC devront fournir toutes les données pertinentes </w:t>
            </w:r>
            <w:r w:rsidRPr="00C469EA">
              <w:rPr>
                <w:sz w:val="18"/>
                <w:szCs w:val="18"/>
              </w:rPr>
              <w:lastRenderedPageBreak/>
              <w:t xml:space="preserve">concernant le </w:t>
            </w:r>
            <w:r w:rsidRPr="00C469EA">
              <w:rPr>
                <w:b/>
                <w:bCs/>
                <w:sz w:val="18"/>
                <w:szCs w:val="18"/>
              </w:rPr>
              <w:t>requin-taupe bleu de l'Atlantique Sud</w:t>
            </w:r>
            <w:r w:rsidRPr="00C469EA">
              <w:rPr>
                <w:sz w:val="18"/>
                <w:szCs w:val="18"/>
              </w:rPr>
              <w:t xml:space="preserve">, y compris les estimations des rejets morts et des remises à l'eau de spécimens vivants, en utilisant les méthodes approuvées par le SCRS au paragraphe 13. </w:t>
            </w:r>
          </w:p>
        </w:tc>
        <w:tc>
          <w:tcPr>
            <w:tcW w:w="1566" w:type="dxa"/>
            <w:tcBorders>
              <w:top w:val="single" w:sz="4" w:space="0" w:color="auto"/>
              <w:left w:val="single" w:sz="4" w:space="0" w:color="auto"/>
              <w:bottom w:val="single" w:sz="4" w:space="0" w:color="auto"/>
              <w:right w:val="single" w:sz="4" w:space="0" w:color="auto"/>
            </w:tcBorders>
            <w:vAlign w:val="center"/>
          </w:tcPr>
          <w:p w14:paraId="548F3D0A" w14:textId="77777777" w:rsidR="00945C39" w:rsidRPr="00C469EA" w:rsidRDefault="00945C39" w:rsidP="00112EB2">
            <w:pPr>
              <w:jc w:val="both"/>
              <w:rPr>
                <w:rFonts w:eastAsia="Times New Roman" w:cs="Calibri"/>
                <w:sz w:val="18"/>
                <w:szCs w:val="18"/>
              </w:rPr>
            </w:pPr>
            <w:r w:rsidRPr="00C469EA">
              <w:rPr>
                <w:sz w:val="18"/>
                <w:szCs w:val="18"/>
              </w:rPr>
              <w:lastRenderedPageBreak/>
              <w:t>Non</w:t>
            </w:r>
          </w:p>
        </w:tc>
        <w:tc>
          <w:tcPr>
            <w:tcW w:w="1618" w:type="dxa"/>
            <w:tcBorders>
              <w:top w:val="single" w:sz="4" w:space="0" w:color="auto"/>
              <w:left w:val="single" w:sz="4" w:space="0" w:color="auto"/>
              <w:bottom w:val="single" w:sz="4" w:space="0" w:color="auto"/>
              <w:right w:val="single" w:sz="4" w:space="0" w:color="auto"/>
            </w:tcBorders>
          </w:tcPr>
          <w:p w14:paraId="16259A74" w14:textId="77777777" w:rsidR="00945C39" w:rsidRPr="00C469EA" w:rsidRDefault="00945C39" w:rsidP="00112EB2">
            <w:pPr>
              <w:jc w:val="both"/>
              <w:rPr>
                <w:sz w:val="18"/>
                <w:szCs w:val="18"/>
              </w:rPr>
            </w:pPr>
          </w:p>
          <w:p w14:paraId="3BA3043F" w14:textId="77777777" w:rsidR="00945C39" w:rsidRPr="00C469EA" w:rsidRDefault="00945C39" w:rsidP="00112EB2">
            <w:pPr>
              <w:jc w:val="both"/>
              <w:rPr>
                <w:sz w:val="18"/>
                <w:szCs w:val="18"/>
              </w:rPr>
            </w:pPr>
          </w:p>
          <w:p w14:paraId="77E6AFE3" w14:textId="77777777" w:rsidR="00945C39" w:rsidRPr="00C469EA" w:rsidRDefault="00945C39" w:rsidP="00112EB2">
            <w:pPr>
              <w:jc w:val="both"/>
              <w:rPr>
                <w:sz w:val="18"/>
                <w:szCs w:val="18"/>
              </w:rPr>
            </w:pPr>
          </w:p>
          <w:p w14:paraId="67F690D9" w14:textId="77777777" w:rsidR="00945C39" w:rsidRPr="00C469EA" w:rsidRDefault="00945C39" w:rsidP="00112EB2">
            <w:pPr>
              <w:jc w:val="both"/>
              <w:rPr>
                <w:sz w:val="18"/>
                <w:szCs w:val="18"/>
              </w:rPr>
            </w:pPr>
          </w:p>
          <w:p w14:paraId="791FB88F" w14:textId="77777777" w:rsidR="00945C39" w:rsidRPr="00C469EA" w:rsidRDefault="00945C39" w:rsidP="00112EB2">
            <w:pPr>
              <w:jc w:val="both"/>
              <w:rPr>
                <w:sz w:val="18"/>
                <w:szCs w:val="18"/>
              </w:rPr>
            </w:pPr>
          </w:p>
          <w:p w14:paraId="50F83D16" w14:textId="77777777" w:rsidR="00945C39" w:rsidRPr="00C469EA" w:rsidRDefault="00945C39" w:rsidP="00112EB2">
            <w:pPr>
              <w:jc w:val="both"/>
              <w:rPr>
                <w:sz w:val="18"/>
                <w:szCs w:val="18"/>
              </w:rPr>
            </w:pPr>
          </w:p>
          <w:p w14:paraId="5E4C47A3"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2F651F78" w14:textId="77777777" w:rsidR="00945C39" w:rsidRPr="00C469EA" w:rsidRDefault="00945C39" w:rsidP="00112EB2">
            <w:pPr>
              <w:jc w:val="both"/>
              <w:rPr>
                <w:sz w:val="18"/>
                <w:szCs w:val="18"/>
              </w:rPr>
            </w:pPr>
          </w:p>
          <w:p w14:paraId="5574FD9C" w14:textId="77777777" w:rsidR="00945C39" w:rsidRPr="00C469EA" w:rsidRDefault="00945C39" w:rsidP="00112EB2">
            <w:pPr>
              <w:jc w:val="both"/>
              <w:rPr>
                <w:rFonts w:eastAsia="Times New Roman" w:cs="Calibri"/>
                <w:sz w:val="18"/>
                <w:szCs w:val="18"/>
              </w:rPr>
            </w:pPr>
            <w:r w:rsidRPr="00C469EA">
              <w:rPr>
                <w:sz w:val="18"/>
                <w:szCs w:val="18"/>
              </w:rPr>
              <w:t xml:space="preserve">Aucune donnée pertinente soumise. Il </w:t>
            </w:r>
            <w:r w:rsidRPr="00C469EA">
              <w:rPr>
                <w:sz w:val="18"/>
                <w:szCs w:val="18"/>
              </w:rPr>
              <w:lastRenderedPageBreak/>
              <w:t>n’y a pas d’interaction ou de prise de requins bleu de l’Atlantique Sud</w:t>
            </w:r>
          </w:p>
        </w:tc>
      </w:tr>
      <w:tr w:rsidR="00945C39" w:rsidRPr="00C469EA" w14:paraId="120570D1"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1279A2C"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lastRenderedPageBreak/>
              <w:t>22-11</w:t>
            </w:r>
          </w:p>
          <w:p w14:paraId="3752452E" w14:textId="77777777" w:rsidR="00945C39" w:rsidRPr="000632D8" w:rsidRDefault="00945C39" w:rsidP="00112EB2">
            <w:pPr>
              <w:jc w:val="center"/>
              <w:rPr>
                <w:rFonts w:ascii="Cambria" w:hAnsi="Cambria"/>
                <w:b/>
                <w:bCs/>
                <w:sz w:val="18"/>
                <w:szCs w:val="18"/>
              </w:rPr>
            </w:pPr>
          </w:p>
          <w:p w14:paraId="6A34BC3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04258744" w14:textId="77777777" w:rsidR="00945C39" w:rsidRPr="00C469EA" w:rsidRDefault="00945C39" w:rsidP="00112EB2">
            <w:pPr>
              <w:jc w:val="center"/>
              <w:rPr>
                <w:b/>
                <w:bCs/>
                <w:sz w:val="18"/>
                <w:szCs w:val="18"/>
              </w:rPr>
            </w:pPr>
            <w:r w:rsidRPr="000632D8">
              <w:rPr>
                <w:rFonts w:ascii="Cambria" w:hAnsi="Cambria"/>
                <w:b/>
                <w:sz w:val="18"/>
                <w:szCs w:val="18"/>
              </w:rPr>
              <w:t>14</w:t>
            </w:r>
          </w:p>
        </w:tc>
        <w:tc>
          <w:tcPr>
            <w:tcW w:w="1165" w:type="dxa"/>
            <w:tcBorders>
              <w:top w:val="single" w:sz="4" w:space="0" w:color="auto"/>
              <w:left w:val="single" w:sz="4" w:space="0" w:color="auto"/>
              <w:bottom w:val="single" w:sz="4" w:space="0" w:color="auto"/>
              <w:right w:val="single" w:sz="4" w:space="0" w:color="auto"/>
            </w:tcBorders>
            <w:vAlign w:val="center"/>
          </w:tcPr>
          <w:p w14:paraId="2EC2E3CB"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05A99D0B"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Si le Comité d’application détermine que les CPC qui autorisent leurs navires à retenir à bord et à débarquer du </w:t>
            </w:r>
            <w:r w:rsidRPr="00C469EA">
              <w:rPr>
                <w:b/>
                <w:bCs/>
                <w:sz w:val="18"/>
                <w:szCs w:val="18"/>
              </w:rPr>
              <w:t>requin-taupe bleu de l'Atlantique Sud</w:t>
            </w:r>
            <w:r w:rsidRPr="00C469EA">
              <w:rPr>
                <w:sz w:val="18"/>
                <w:szCs w:val="18"/>
              </w:rPr>
              <w:t xml:space="preserve"> conformément au paragraphe 6 ne déclarent pas leurs données de capture, y compris les rejets morts et les remises à l'eau de spécimens vivants, les CPC concernées devront demander à leurs navires de pêche de s’abstenir de retenir toute quantité de requin-taupe bleu de l'Atlantique Sud tant que ces données n’auront pas été déclarées.</w:t>
            </w:r>
          </w:p>
        </w:tc>
        <w:tc>
          <w:tcPr>
            <w:tcW w:w="1566" w:type="dxa"/>
            <w:tcBorders>
              <w:top w:val="single" w:sz="4" w:space="0" w:color="auto"/>
              <w:left w:val="single" w:sz="4" w:space="0" w:color="auto"/>
              <w:bottom w:val="single" w:sz="4" w:space="0" w:color="auto"/>
              <w:right w:val="single" w:sz="4" w:space="0" w:color="auto"/>
            </w:tcBorders>
            <w:vAlign w:val="center"/>
          </w:tcPr>
          <w:p w14:paraId="56FA6E9C"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607238AD"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18F5352B" w14:textId="77777777" w:rsidR="00945C39" w:rsidRPr="00C469EA" w:rsidRDefault="00945C39" w:rsidP="00112EB2">
            <w:pPr>
              <w:jc w:val="both"/>
              <w:rPr>
                <w:rFonts w:eastAsia="Times New Roman" w:cs="Calibri"/>
                <w:sz w:val="18"/>
                <w:szCs w:val="18"/>
              </w:rPr>
            </w:pPr>
            <w:r w:rsidRPr="00C469EA">
              <w:rPr>
                <w:sz w:val="18"/>
                <w:szCs w:val="18"/>
              </w:rPr>
              <w:t>Pas de rétention et aucune interaction et prise de requin taupe bleu de l’Atlantique Sud.</w:t>
            </w:r>
          </w:p>
        </w:tc>
      </w:tr>
      <w:tr w:rsidR="00945C39" w:rsidRPr="00C469EA" w14:paraId="534390B6"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75C5AC42"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3B6E51DE" w14:textId="77777777" w:rsidR="00945C39" w:rsidRPr="000632D8" w:rsidRDefault="00945C39" w:rsidP="00112EB2">
            <w:pPr>
              <w:jc w:val="center"/>
              <w:rPr>
                <w:rFonts w:ascii="Cambria" w:hAnsi="Cambria"/>
                <w:b/>
                <w:bCs/>
                <w:sz w:val="18"/>
                <w:szCs w:val="18"/>
              </w:rPr>
            </w:pPr>
          </w:p>
          <w:p w14:paraId="12478F1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5E4905DF"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16</w:t>
            </w:r>
          </w:p>
          <w:p w14:paraId="327335C5" w14:textId="77777777" w:rsidR="00945C39" w:rsidRPr="00C469EA" w:rsidRDefault="00945C39" w:rsidP="00112EB2">
            <w:pPr>
              <w:jc w:val="center"/>
              <w:rPr>
                <w:rFonts w:eastAsia="Times New Roman" w:cs="Calibri"/>
                <w:b/>
                <w:bCs/>
                <w:sz w:val="18"/>
                <w:szCs w:val="18"/>
              </w:rPr>
            </w:pPr>
          </w:p>
        </w:tc>
        <w:tc>
          <w:tcPr>
            <w:tcW w:w="1165" w:type="dxa"/>
            <w:tcBorders>
              <w:top w:val="single" w:sz="4" w:space="0" w:color="auto"/>
              <w:left w:val="single" w:sz="4" w:space="0" w:color="auto"/>
              <w:bottom w:val="single" w:sz="4" w:space="0" w:color="auto"/>
              <w:right w:val="single" w:sz="4" w:space="0" w:color="auto"/>
            </w:tcBorders>
            <w:vAlign w:val="center"/>
          </w:tcPr>
          <w:p w14:paraId="08E2A6C7"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7A24DC7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s’efforcer d'augmenter progressivement jusqu’à 10% la couverture d'observateurs, y compris par le biais de l’EMS, de tous les palangriers dans les pêcheries de l'ICCAT qui pourraient avoir une interaction potentielle avec les </w:t>
            </w:r>
            <w:r w:rsidRPr="00C469EA">
              <w:rPr>
                <w:b/>
                <w:bCs/>
                <w:sz w:val="18"/>
                <w:szCs w:val="18"/>
              </w:rPr>
              <w:t>requins-taupes bleus de l'Atlantique Sud.</w:t>
            </w:r>
            <w:r w:rsidRPr="00C469EA">
              <w:rPr>
                <w:sz w:val="18"/>
                <w:szCs w:val="18"/>
              </w:rPr>
              <w:t xml:space="preserve"> Cette augmentation de la couverture devrait être mise en œuvre conformément aux dispositions de la Recommandation 16-14, soit par le déploiement d'observateurs humains à </w:t>
            </w:r>
            <w:r w:rsidRPr="00C469EA">
              <w:rPr>
                <w:sz w:val="18"/>
                <w:szCs w:val="18"/>
              </w:rPr>
              <w:lastRenderedPageBreak/>
              <w:t>bord des navires, soit par l'utilisation d'EMS, en tenant compte des normes minimales à convenir par l'ICCAT, sur la base de l’avis du SCRS et du PWG.</w:t>
            </w:r>
          </w:p>
        </w:tc>
        <w:tc>
          <w:tcPr>
            <w:tcW w:w="1566" w:type="dxa"/>
            <w:tcBorders>
              <w:top w:val="single" w:sz="4" w:space="0" w:color="auto"/>
              <w:left w:val="single" w:sz="4" w:space="0" w:color="auto"/>
              <w:bottom w:val="single" w:sz="4" w:space="0" w:color="auto"/>
              <w:right w:val="single" w:sz="4" w:space="0" w:color="auto"/>
            </w:tcBorders>
            <w:vAlign w:val="center"/>
          </w:tcPr>
          <w:p w14:paraId="732A6F3C" w14:textId="77777777" w:rsidR="00945C39" w:rsidRPr="00C469EA" w:rsidRDefault="00945C39" w:rsidP="00112EB2">
            <w:pPr>
              <w:jc w:val="both"/>
              <w:rPr>
                <w:rFonts w:eastAsia="Times New Roman" w:cs="Calibri"/>
                <w:sz w:val="18"/>
                <w:szCs w:val="18"/>
              </w:rPr>
            </w:pPr>
            <w:r w:rsidRPr="00C469EA">
              <w:rPr>
                <w:sz w:val="18"/>
                <w:szCs w:val="18"/>
              </w:rPr>
              <w:lastRenderedPageBreak/>
              <w:t>n/a</w:t>
            </w:r>
          </w:p>
        </w:tc>
        <w:tc>
          <w:tcPr>
            <w:tcW w:w="1618" w:type="dxa"/>
            <w:tcBorders>
              <w:top w:val="single" w:sz="4" w:space="0" w:color="auto"/>
              <w:left w:val="single" w:sz="4" w:space="0" w:color="auto"/>
              <w:bottom w:val="single" w:sz="4" w:space="0" w:color="auto"/>
              <w:right w:val="single" w:sz="4" w:space="0" w:color="auto"/>
            </w:tcBorders>
          </w:tcPr>
          <w:p w14:paraId="3DFA3F04" w14:textId="77777777" w:rsidR="00945C39" w:rsidRPr="00C469EA" w:rsidRDefault="00945C39" w:rsidP="00112EB2">
            <w:pPr>
              <w:jc w:val="both"/>
              <w:rPr>
                <w:sz w:val="18"/>
                <w:szCs w:val="18"/>
              </w:rPr>
            </w:pPr>
          </w:p>
          <w:p w14:paraId="44505DC9" w14:textId="77777777" w:rsidR="00945C39" w:rsidRPr="00C469EA" w:rsidRDefault="00945C39" w:rsidP="00112EB2">
            <w:pPr>
              <w:jc w:val="both"/>
              <w:rPr>
                <w:sz w:val="18"/>
                <w:szCs w:val="18"/>
              </w:rPr>
            </w:pPr>
          </w:p>
          <w:p w14:paraId="5A2ABFFC" w14:textId="77777777" w:rsidR="00945C39" w:rsidRPr="00C469EA" w:rsidRDefault="00945C39" w:rsidP="00112EB2">
            <w:pPr>
              <w:jc w:val="both"/>
              <w:rPr>
                <w:sz w:val="18"/>
                <w:szCs w:val="18"/>
              </w:rPr>
            </w:pPr>
          </w:p>
          <w:p w14:paraId="351409D4" w14:textId="77777777" w:rsidR="00945C39" w:rsidRPr="00C469EA" w:rsidRDefault="00945C39" w:rsidP="00112EB2">
            <w:pPr>
              <w:jc w:val="both"/>
              <w:rPr>
                <w:sz w:val="18"/>
                <w:szCs w:val="18"/>
              </w:rPr>
            </w:pPr>
          </w:p>
          <w:p w14:paraId="5CC9D757" w14:textId="77777777" w:rsidR="00945C39" w:rsidRPr="00C469EA" w:rsidRDefault="00945C39" w:rsidP="00112EB2">
            <w:pPr>
              <w:jc w:val="both"/>
              <w:rPr>
                <w:sz w:val="18"/>
                <w:szCs w:val="18"/>
              </w:rPr>
            </w:pPr>
          </w:p>
          <w:p w14:paraId="46570FD4" w14:textId="77777777" w:rsidR="00945C39" w:rsidRPr="00C469EA" w:rsidRDefault="00945C39" w:rsidP="00112EB2">
            <w:pPr>
              <w:jc w:val="both"/>
              <w:rPr>
                <w:sz w:val="18"/>
                <w:szCs w:val="18"/>
              </w:rPr>
            </w:pPr>
          </w:p>
          <w:p w14:paraId="15070F16" w14:textId="77777777" w:rsidR="00945C39" w:rsidRPr="00C469EA" w:rsidRDefault="00945C39" w:rsidP="00112EB2">
            <w:pPr>
              <w:jc w:val="both"/>
              <w:rPr>
                <w:sz w:val="18"/>
                <w:szCs w:val="18"/>
              </w:rPr>
            </w:pPr>
          </w:p>
          <w:p w14:paraId="4ADA7504" w14:textId="77777777" w:rsidR="00945C39" w:rsidRPr="00C469EA" w:rsidRDefault="00945C39" w:rsidP="00112EB2">
            <w:pPr>
              <w:jc w:val="both"/>
              <w:rPr>
                <w:sz w:val="18"/>
                <w:szCs w:val="18"/>
              </w:rPr>
            </w:pPr>
          </w:p>
          <w:p w14:paraId="39C7F2DF" w14:textId="77777777" w:rsidR="00945C39" w:rsidRPr="00C469EA" w:rsidRDefault="00945C39" w:rsidP="00112EB2">
            <w:pPr>
              <w:jc w:val="both"/>
              <w:rPr>
                <w:sz w:val="18"/>
                <w:szCs w:val="18"/>
              </w:rPr>
            </w:pPr>
          </w:p>
          <w:p w14:paraId="46BD1560" w14:textId="77777777" w:rsidR="00945C39" w:rsidRPr="00C469EA" w:rsidRDefault="00945C39" w:rsidP="00112EB2">
            <w:pPr>
              <w:jc w:val="both"/>
              <w:rPr>
                <w:sz w:val="18"/>
                <w:szCs w:val="18"/>
              </w:rPr>
            </w:pPr>
          </w:p>
          <w:p w14:paraId="5EE9DED6" w14:textId="77777777" w:rsidR="00945C39" w:rsidRPr="00C469EA" w:rsidRDefault="00945C39" w:rsidP="00112EB2">
            <w:pPr>
              <w:jc w:val="both"/>
              <w:rPr>
                <w:sz w:val="18"/>
                <w:szCs w:val="18"/>
              </w:rPr>
            </w:pPr>
          </w:p>
          <w:p w14:paraId="4D16A536" w14:textId="77777777" w:rsidR="00945C39" w:rsidRPr="00C469EA" w:rsidRDefault="00945C39" w:rsidP="00112EB2">
            <w:pPr>
              <w:jc w:val="both"/>
              <w:rPr>
                <w:sz w:val="18"/>
                <w:szCs w:val="18"/>
              </w:rPr>
            </w:pPr>
          </w:p>
          <w:p w14:paraId="78CCF0EA"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69433B37" w14:textId="77777777" w:rsidR="00945C39" w:rsidRPr="00C469EA" w:rsidRDefault="00945C39" w:rsidP="00112EB2">
            <w:pPr>
              <w:jc w:val="both"/>
              <w:rPr>
                <w:rFonts w:eastAsia="Times New Roman" w:cs="Calibri"/>
                <w:sz w:val="18"/>
                <w:szCs w:val="18"/>
              </w:rPr>
            </w:pPr>
            <w:r w:rsidRPr="00C469EA">
              <w:rPr>
                <w:sz w:val="18"/>
                <w:szCs w:val="18"/>
              </w:rPr>
              <w:lastRenderedPageBreak/>
              <w:t>Pas de pêcherie et d’interaction avec le requin taupe bleu de l’Atlantique Sud</w:t>
            </w:r>
          </w:p>
        </w:tc>
      </w:tr>
      <w:tr w:rsidR="00945C39" w:rsidRPr="00C469EA" w14:paraId="7D78D1C7"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21366E3"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1D5F0B54" w14:textId="77777777" w:rsidR="00945C39" w:rsidRPr="000632D8" w:rsidRDefault="00945C39" w:rsidP="00112EB2">
            <w:pPr>
              <w:jc w:val="center"/>
              <w:rPr>
                <w:rFonts w:ascii="Cambria" w:hAnsi="Cambria"/>
                <w:b/>
                <w:bCs/>
                <w:sz w:val="18"/>
                <w:szCs w:val="18"/>
              </w:rPr>
            </w:pPr>
          </w:p>
          <w:p w14:paraId="6242487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23E2EAD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17</w:t>
            </w:r>
          </w:p>
        </w:tc>
        <w:tc>
          <w:tcPr>
            <w:tcW w:w="1165" w:type="dxa"/>
            <w:tcBorders>
              <w:top w:val="single" w:sz="4" w:space="0" w:color="auto"/>
              <w:left w:val="single" w:sz="4" w:space="0" w:color="auto"/>
              <w:bottom w:val="single" w:sz="4" w:space="0" w:color="auto"/>
              <w:right w:val="single" w:sz="4" w:space="0" w:color="auto"/>
            </w:tcBorders>
            <w:vAlign w:val="center"/>
          </w:tcPr>
          <w:p w14:paraId="53587D11"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04C2E72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La collecte d'échantillons biologiques pendant les opérations de pêche commerciale devra être conforme à la Recommandation de l'ICCAT sur l'échantillonnage biologique des espèces interdites de requins par des observateurs scientifiques (Rec. 1310). </w:t>
            </w:r>
          </w:p>
        </w:tc>
        <w:tc>
          <w:tcPr>
            <w:tcW w:w="1566" w:type="dxa"/>
            <w:tcBorders>
              <w:top w:val="single" w:sz="4" w:space="0" w:color="auto"/>
              <w:left w:val="single" w:sz="4" w:space="0" w:color="auto"/>
              <w:bottom w:val="single" w:sz="4" w:space="0" w:color="auto"/>
              <w:right w:val="single" w:sz="4" w:space="0" w:color="auto"/>
            </w:tcBorders>
            <w:vAlign w:val="center"/>
          </w:tcPr>
          <w:p w14:paraId="442A347B"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222C3BCF"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15FF47F9" w14:textId="77777777" w:rsidR="00945C39" w:rsidRPr="00C469EA" w:rsidRDefault="00945C39" w:rsidP="00112EB2">
            <w:pPr>
              <w:jc w:val="both"/>
              <w:rPr>
                <w:rFonts w:eastAsia="Times New Roman" w:cs="Calibri"/>
                <w:sz w:val="18"/>
                <w:szCs w:val="18"/>
              </w:rPr>
            </w:pPr>
            <w:r w:rsidRPr="00C469EA">
              <w:rPr>
                <w:sz w:val="18"/>
                <w:szCs w:val="18"/>
              </w:rPr>
              <w:t>Pas de pêcherie et d’interaction avec le requin taupe bleu de l’Atlantique Sud</w:t>
            </w:r>
          </w:p>
        </w:tc>
      </w:tr>
      <w:tr w:rsidR="00945C39" w:rsidRPr="00C469EA" w14:paraId="02A334F4"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F14B396"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783A315E" w14:textId="77777777" w:rsidR="00945C39" w:rsidRPr="000632D8" w:rsidRDefault="00945C39" w:rsidP="00112EB2">
            <w:pPr>
              <w:jc w:val="center"/>
              <w:rPr>
                <w:rFonts w:ascii="Cambria" w:hAnsi="Cambria"/>
                <w:b/>
                <w:bCs/>
                <w:sz w:val="18"/>
                <w:szCs w:val="18"/>
              </w:rPr>
            </w:pPr>
          </w:p>
          <w:p w14:paraId="6B84E5F9"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647760FD"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17</w:t>
            </w:r>
          </w:p>
          <w:p w14:paraId="52D0BA87" w14:textId="77777777" w:rsidR="00945C39" w:rsidRPr="00C469EA" w:rsidRDefault="00945C39" w:rsidP="00112EB2">
            <w:pPr>
              <w:jc w:val="center"/>
              <w:rPr>
                <w:rFonts w:eastAsia="Times New Roman" w:cs="Calibri"/>
                <w:b/>
                <w:bCs/>
                <w:sz w:val="18"/>
                <w:szCs w:val="18"/>
              </w:rPr>
            </w:pPr>
          </w:p>
        </w:tc>
        <w:tc>
          <w:tcPr>
            <w:tcW w:w="1165" w:type="dxa"/>
            <w:tcBorders>
              <w:top w:val="single" w:sz="4" w:space="0" w:color="auto"/>
              <w:left w:val="single" w:sz="4" w:space="0" w:color="auto"/>
              <w:bottom w:val="single" w:sz="4" w:space="0" w:color="auto"/>
              <w:right w:val="single" w:sz="4" w:space="0" w:color="auto"/>
            </w:tcBorders>
            <w:vAlign w:val="center"/>
          </w:tcPr>
          <w:p w14:paraId="2C90A71C"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44679D63"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devraient encourager la collecte de données biologiques et d’échantillons biologiques des spécimens de </w:t>
            </w:r>
            <w:r w:rsidRPr="00C469EA">
              <w:rPr>
                <w:b/>
                <w:bCs/>
                <w:sz w:val="18"/>
                <w:szCs w:val="18"/>
              </w:rPr>
              <w:t>requin-taupe bleu de l’Atlantique Sud</w:t>
            </w:r>
            <w:r w:rsidRPr="00C469EA">
              <w:rPr>
                <w:sz w:val="18"/>
                <w:szCs w:val="18"/>
              </w:rPr>
              <w:t xml:space="preserve"> morts à la remontée, tels que les muscles, les vertèbres et les tissus reproducteurs, conformément aux dispositions de la présente Recommandation et selon les recommandations du SCRS.</w:t>
            </w:r>
          </w:p>
        </w:tc>
        <w:tc>
          <w:tcPr>
            <w:tcW w:w="1566" w:type="dxa"/>
            <w:tcBorders>
              <w:top w:val="single" w:sz="4" w:space="0" w:color="auto"/>
              <w:left w:val="single" w:sz="4" w:space="0" w:color="auto"/>
              <w:bottom w:val="single" w:sz="4" w:space="0" w:color="auto"/>
              <w:right w:val="single" w:sz="4" w:space="0" w:color="auto"/>
            </w:tcBorders>
            <w:vAlign w:val="center"/>
          </w:tcPr>
          <w:p w14:paraId="560DABFD"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658BFE9F"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46B40150" w14:textId="77777777" w:rsidR="00945C39" w:rsidRPr="00C469EA" w:rsidRDefault="00945C39" w:rsidP="00112EB2">
            <w:pPr>
              <w:jc w:val="both"/>
              <w:rPr>
                <w:rFonts w:eastAsia="Times New Roman" w:cs="Calibri"/>
                <w:sz w:val="18"/>
                <w:szCs w:val="18"/>
              </w:rPr>
            </w:pPr>
            <w:r w:rsidRPr="00C469EA">
              <w:rPr>
                <w:sz w:val="18"/>
                <w:szCs w:val="18"/>
              </w:rPr>
              <w:t>Pas de pêcherie et d’interaction avec le requin taupe bleu de l’Atlantique Sud</w:t>
            </w:r>
          </w:p>
        </w:tc>
      </w:tr>
      <w:tr w:rsidR="00945C39" w:rsidRPr="00C469EA" w14:paraId="769B1722"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A3334C7"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297CA2B8" w14:textId="77777777" w:rsidR="00945C39" w:rsidRPr="000632D8" w:rsidRDefault="00945C39" w:rsidP="00112EB2">
            <w:pPr>
              <w:jc w:val="center"/>
              <w:rPr>
                <w:rFonts w:ascii="Cambria" w:hAnsi="Cambria"/>
                <w:b/>
                <w:bCs/>
                <w:sz w:val="18"/>
                <w:szCs w:val="18"/>
              </w:rPr>
            </w:pPr>
          </w:p>
          <w:p w14:paraId="2D7B30F4"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6A11DEC0"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18</w:t>
            </w:r>
          </w:p>
        </w:tc>
        <w:tc>
          <w:tcPr>
            <w:tcW w:w="1165" w:type="dxa"/>
            <w:tcBorders>
              <w:top w:val="single" w:sz="4" w:space="0" w:color="auto"/>
              <w:left w:val="single" w:sz="4" w:space="0" w:color="auto"/>
              <w:bottom w:val="single" w:sz="4" w:space="0" w:color="auto"/>
              <w:right w:val="single" w:sz="4" w:space="0" w:color="auto"/>
            </w:tcBorders>
            <w:vAlign w:val="center"/>
          </w:tcPr>
          <w:p w14:paraId="4A9B4AFC"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42987A37"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Dans le contexte de la présente Recommandation et uniquement pour les navires de moins de 15 mètres, lorsqu'il existe un problème de sécurité extraordinaire qui empêche le déploiement d'un observateur à bord, une CPC peut exceptionnellement appliquer une approche alternative telle que définie dans la Rec. Cette dérogation devra s’appliquer sans </w:t>
            </w:r>
            <w:r w:rsidRPr="00C469EA">
              <w:rPr>
                <w:sz w:val="18"/>
                <w:szCs w:val="18"/>
              </w:rPr>
              <w:lastRenderedPageBreak/>
              <w:t>préjudice de l'engagement général de toutes les CPC, tel que décrit dans cette mesure, à mettre immédiatement fin à la surpêche et à réduire les niveaux de mortalité. Toute CPC souhaitant se prévaloir de cette approche alternative doit : 1) présenter les détails de l'approche au SCRS sur la base de l'avis du SCRS pour évaluation et 2) obtenir l'approbation de la Commission (tel que stipulé dans la Rec. 16-14).</w:t>
            </w:r>
          </w:p>
        </w:tc>
        <w:tc>
          <w:tcPr>
            <w:tcW w:w="1566" w:type="dxa"/>
            <w:tcBorders>
              <w:top w:val="single" w:sz="4" w:space="0" w:color="auto"/>
              <w:left w:val="single" w:sz="4" w:space="0" w:color="auto"/>
              <w:bottom w:val="single" w:sz="4" w:space="0" w:color="auto"/>
              <w:right w:val="single" w:sz="4" w:space="0" w:color="auto"/>
            </w:tcBorders>
            <w:vAlign w:val="center"/>
          </w:tcPr>
          <w:p w14:paraId="6E95738F" w14:textId="77777777" w:rsidR="00945C39" w:rsidRPr="00C469EA" w:rsidRDefault="00945C39" w:rsidP="00112EB2">
            <w:pPr>
              <w:jc w:val="both"/>
              <w:rPr>
                <w:rFonts w:eastAsia="Times New Roman" w:cs="Calibri"/>
                <w:sz w:val="18"/>
                <w:szCs w:val="18"/>
              </w:rPr>
            </w:pPr>
            <w:r w:rsidRPr="00C469EA">
              <w:rPr>
                <w:sz w:val="18"/>
                <w:szCs w:val="18"/>
              </w:rPr>
              <w:lastRenderedPageBreak/>
              <w:t>n/a</w:t>
            </w:r>
          </w:p>
        </w:tc>
        <w:tc>
          <w:tcPr>
            <w:tcW w:w="1618" w:type="dxa"/>
            <w:tcBorders>
              <w:top w:val="single" w:sz="4" w:space="0" w:color="auto"/>
              <w:left w:val="single" w:sz="4" w:space="0" w:color="auto"/>
              <w:bottom w:val="single" w:sz="4" w:space="0" w:color="auto"/>
              <w:right w:val="single" w:sz="4" w:space="0" w:color="auto"/>
            </w:tcBorders>
          </w:tcPr>
          <w:p w14:paraId="767F1E25"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5B4728C" w14:textId="77777777" w:rsidR="00945C39" w:rsidRPr="00C469EA" w:rsidRDefault="00945C39" w:rsidP="00112EB2">
            <w:pPr>
              <w:jc w:val="both"/>
              <w:rPr>
                <w:rFonts w:eastAsia="Times New Roman" w:cs="Calibri"/>
                <w:sz w:val="18"/>
                <w:szCs w:val="18"/>
              </w:rPr>
            </w:pPr>
            <w:r w:rsidRPr="00C469EA">
              <w:rPr>
                <w:sz w:val="18"/>
                <w:szCs w:val="18"/>
              </w:rPr>
              <w:t>Pas de pêcherie et d’interaction avec le requin taupe bleu de l’Atlantique Sud</w:t>
            </w:r>
          </w:p>
        </w:tc>
      </w:tr>
      <w:tr w:rsidR="00945C39" w:rsidRPr="00C469EA" w14:paraId="0121F25A"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6D36EFC"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6855884B" w14:textId="77777777" w:rsidR="00945C39" w:rsidRPr="000632D8" w:rsidRDefault="00945C39" w:rsidP="00112EB2">
            <w:pPr>
              <w:jc w:val="center"/>
              <w:rPr>
                <w:rFonts w:ascii="Cambria" w:hAnsi="Cambria"/>
                <w:b/>
                <w:bCs/>
                <w:sz w:val="18"/>
                <w:szCs w:val="18"/>
              </w:rPr>
            </w:pPr>
          </w:p>
          <w:p w14:paraId="345AA1C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13FD24C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19</w:t>
            </w:r>
          </w:p>
        </w:tc>
        <w:tc>
          <w:tcPr>
            <w:tcW w:w="1165" w:type="dxa"/>
            <w:tcBorders>
              <w:top w:val="single" w:sz="4" w:space="0" w:color="auto"/>
              <w:left w:val="single" w:sz="4" w:space="0" w:color="auto"/>
              <w:bottom w:val="single" w:sz="4" w:space="0" w:color="auto"/>
              <w:right w:val="single" w:sz="4" w:space="0" w:color="auto"/>
            </w:tcBorders>
            <w:vAlign w:val="center"/>
          </w:tcPr>
          <w:p w14:paraId="71791686"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4D61F4E9"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En outre, les CPC sont encouragées à enquêter sur la mortalité à bord et après la remise à l'eau du requin-taupe bleu, y compris, mais pas exclusivement, au moyen de l'incorporation de minuteurs d’hameçons et de programmes de marquage par satellite.</w:t>
            </w:r>
          </w:p>
        </w:tc>
        <w:tc>
          <w:tcPr>
            <w:tcW w:w="1566" w:type="dxa"/>
            <w:tcBorders>
              <w:top w:val="single" w:sz="4" w:space="0" w:color="auto"/>
              <w:left w:val="single" w:sz="4" w:space="0" w:color="auto"/>
              <w:bottom w:val="single" w:sz="4" w:space="0" w:color="auto"/>
              <w:right w:val="single" w:sz="4" w:space="0" w:color="auto"/>
            </w:tcBorders>
            <w:vAlign w:val="center"/>
          </w:tcPr>
          <w:p w14:paraId="41FD6D94"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3261A5ED" w14:textId="77777777" w:rsidR="00945C39" w:rsidRPr="00C469EA" w:rsidRDefault="00945C39" w:rsidP="00112EB2">
            <w:pPr>
              <w:jc w:val="both"/>
              <w:rPr>
                <w:sz w:val="18"/>
                <w:szCs w:val="18"/>
              </w:rPr>
            </w:pPr>
          </w:p>
          <w:p w14:paraId="672742CC" w14:textId="77777777" w:rsidR="00945C39" w:rsidRPr="00C469EA" w:rsidRDefault="00945C39" w:rsidP="00112EB2">
            <w:pPr>
              <w:jc w:val="both"/>
              <w:rPr>
                <w:sz w:val="18"/>
                <w:szCs w:val="18"/>
              </w:rPr>
            </w:pPr>
          </w:p>
          <w:p w14:paraId="683A73CF" w14:textId="77777777" w:rsidR="00945C39" w:rsidRPr="00C469EA" w:rsidRDefault="00945C39" w:rsidP="00112EB2">
            <w:pPr>
              <w:jc w:val="both"/>
              <w:rPr>
                <w:sz w:val="18"/>
                <w:szCs w:val="18"/>
              </w:rPr>
            </w:pPr>
          </w:p>
          <w:p w14:paraId="2579B507" w14:textId="77777777" w:rsidR="00945C39" w:rsidRPr="00C469EA" w:rsidRDefault="00945C39" w:rsidP="00112EB2">
            <w:pPr>
              <w:jc w:val="both"/>
              <w:rPr>
                <w:sz w:val="18"/>
                <w:szCs w:val="18"/>
              </w:rPr>
            </w:pPr>
          </w:p>
          <w:p w14:paraId="49228570"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4C6606DC" w14:textId="77777777" w:rsidR="00945C39" w:rsidRPr="00C469EA" w:rsidRDefault="00945C39" w:rsidP="00112EB2">
            <w:pPr>
              <w:jc w:val="both"/>
              <w:rPr>
                <w:rFonts w:eastAsia="Times New Roman" w:cs="Calibri"/>
                <w:sz w:val="18"/>
                <w:szCs w:val="18"/>
              </w:rPr>
            </w:pPr>
            <w:r w:rsidRPr="00C469EA">
              <w:rPr>
                <w:sz w:val="18"/>
                <w:szCs w:val="18"/>
              </w:rPr>
              <w:t>Pas de pêcherie et d’interaction avec le requin taupe bleu</w:t>
            </w:r>
          </w:p>
        </w:tc>
      </w:tr>
      <w:tr w:rsidR="00945C39" w:rsidRPr="00C469EA" w14:paraId="3F5818EF" w14:textId="77777777" w:rsidTr="00112EB2">
        <w:trPr>
          <w:trHeight w:val="74"/>
          <w:jc w:val="center"/>
        </w:trPr>
        <w:tc>
          <w:tcPr>
            <w:tcW w:w="1255" w:type="dxa"/>
            <w:tcBorders>
              <w:top w:val="single" w:sz="4" w:space="0" w:color="auto"/>
              <w:left w:val="single" w:sz="4" w:space="0" w:color="auto"/>
              <w:bottom w:val="single" w:sz="12" w:space="0" w:color="auto"/>
              <w:right w:val="single" w:sz="4" w:space="0" w:color="auto"/>
            </w:tcBorders>
            <w:noWrap/>
            <w:vAlign w:val="center"/>
          </w:tcPr>
          <w:p w14:paraId="0E5B24AA" w14:textId="77777777" w:rsidR="00945C39" w:rsidRPr="000632D8" w:rsidRDefault="00945C39" w:rsidP="00112EB2">
            <w:pPr>
              <w:jc w:val="center"/>
              <w:rPr>
                <w:rFonts w:ascii="Cambria" w:hAnsi="Cambria"/>
                <w:b/>
                <w:bCs/>
                <w:sz w:val="18"/>
                <w:szCs w:val="18"/>
              </w:rPr>
            </w:pPr>
            <w:r w:rsidRPr="000632D8">
              <w:rPr>
                <w:rFonts w:ascii="Cambria" w:hAnsi="Cambria"/>
                <w:b/>
                <w:sz w:val="18"/>
                <w:szCs w:val="18"/>
              </w:rPr>
              <w:t>22-11</w:t>
            </w:r>
          </w:p>
          <w:p w14:paraId="599A498D" w14:textId="77777777" w:rsidR="00945C39" w:rsidRPr="000632D8" w:rsidRDefault="00945C39" w:rsidP="00112EB2">
            <w:pPr>
              <w:jc w:val="center"/>
              <w:rPr>
                <w:rFonts w:ascii="Cambria" w:hAnsi="Cambria"/>
                <w:b/>
                <w:bCs/>
                <w:sz w:val="18"/>
                <w:szCs w:val="18"/>
              </w:rPr>
            </w:pPr>
          </w:p>
          <w:p w14:paraId="0F04899E"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(Requin-taupe bleu du Sud)</w:t>
            </w:r>
          </w:p>
        </w:tc>
        <w:tc>
          <w:tcPr>
            <w:tcW w:w="815" w:type="dxa"/>
            <w:tcBorders>
              <w:top w:val="single" w:sz="4" w:space="0" w:color="auto"/>
              <w:left w:val="single" w:sz="4" w:space="0" w:color="auto"/>
              <w:bottom w:val="single" w:sz="12" w:space="0" w:color="auto"/>
              <w:right w:val="single" w:sz="4" w:space="0" w:color="auto"/>
            </w:tcBorders>
            <w:noWrap/>
            <w:vAlign w:val="center"/>
          </w:tcPr>
          <w:p w14:paraId="3C203709"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21. a)</w:t>
            </w:r>
          </w:p>
        </w:tc>
        <w:tc>
          <w:tcPr>
            <w:tcW w:w="1165" w:type="dxa"/>
            <w:tcBorders>
              <w:top w:val="single" w:sz="4" w:space="0" w:color="auto"/>
              <w:left w:val="single" w:sz="4" w:space="0" w:color="auto"/>
              <w:bottom w:val="single" w:sz="12" w:space="0" w:color="auto"/>
              <w:right w:val="single" w:sz="4" w:space="0" w:color="auto"/>
            </w:tcBorders>
            <w:vAlign w:val="center"/>
          </w:tcPr>
          <w:p w14:paraId="3AEC166F"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12" w:space="0" w:color="auto"/>
              <w:right w:val="single" w:sz="4" w:space="0" w:color="auto"/>
            </w:tcBorders>
            <w:vAlign w:val="center"/>
          </w:tcPr>
          <w:p w14:paraId="0E2562B7"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 SCRS devra fournir à la Commission, d'ici 2024, et dès que de nouvelles informations seront disponibles, un avis actualisé sur les mesures d'atténuation visant à réduire davantage la mortalité du requin-taupe bleu. À cette fin, d’ici le 30 avril 2024, les CPC devront soumettre au SCRS des informations par pêcherie sur les mesures techniques et autres mesures de gestion qu'elles ont mises en œuvre afin de réduire la mortalité totale par pêche du </w:t>
            </w:r>
            <w:r w:rsidRPr="00C469EA">
              <w:rPr>
                <w:b/>
                <w:bCs/>
                <w:sz w:val="18"/>
                <w:szCs w:val="18"/>
              </w:rPr>
              <w:t>requin-taupe bleu de l'Atlantique Sud</w:t>
            </w:r>
            <w:r w:rsidRPr="00C469EA">
              <w:rPr>
                <w:sz w:val="18"/>
                <w:szCs w:val="18"/>
              </w:rPr>
              <w:t xml:space="preserve">, à l’exception des CPC qui ont déjà fourni cette </w:t>
            </w:r>
            <w:r w:rsidRPr="00C469EA">
              <w:rPr>
                <w:sz w:val="18"/>
                <w:szCs w:val="18"/>
              </w:rPr>
              <w:lastRenderedPageBreak/>
              <w:t>information au Secrétariat de l'ICCAT.</w:t>
            </w:r>
          </w:p>
        </w:tc>
        <w:tc>
          <w:tcPr>
            <w:tcW w:w="1566" w:type="dxa"/>
            <w:tcBorders>
              <w:top w:val="single" w:sz="4" w:space="0" w:color="auto"/>
              <w:left w:val="single" w:sz="4" w:space="0" w:color="auto"/>
              <w:bottom w:val="single" w:sz="12" w:space="0" w:color="auto"/>
              <w:right w:val="single" w:sz="4" w:space="0" w:color="auto"/>
            </w:tcBorders>
            <w:vAlign w:val="center"/>
          </w:tcPr>
          <w:p w14:paraId="4B48B769" w14:textId="77777777" w:rsidR="00945C39" w:rsidRPr="00C469EA" w:rsidRDefault="00945C39" w:rsidP="00112EB2">
            <w:pPr>
              <w:jc w:val="both"/>
              <w:rPr>
                <w:rFonts w:eastAsia="Times New Roman" w:cs="Calibri"/>
                <w:sz w:val="18"/>
                <w:szCs w:val="18"/>
              </w:rPr>
            </w:pPr>
            <w:r w:rsidRPr="00C469EA">
              <w:rPr>
                <w:sz w:val="18"/>
                <w:szCs w:val="18"/>
              </w:rPr>
              <w:lastRenderedPageBreak/>
              <w:t>n/a</w:t>
            </w:r>
          </w:p>
        </w:tc>
        <w:tc>
          <w:tcPr>
            <w:tcW w:w="1618" w:type="dxa"/>
            <w:tcBorders>
              <w:top w:val="single" w:sz="4" w:space="0" w:color="auto"/>
              <w:left w:val="single" w:sz="4" w:space="0" w:color="auto"/>
              <w:bottom w:val="single" w:sz="12" w:space="0" w:color="auto"/>
              <w:right w:val="single" w:sz="4" w:space="0" w:color="auto"/>
            </w:tcBorders>
          </w:tcPr>
          <w:p w14:paraId="3FB10213" w14:textId="77777777" w:rsidR="00945C39" w:rsidRPr="00C469EA" w:rsidRDefault="00945C39" w:rsidP="00112EB2">
            <w:pPr>
              <w:jc w:val="both"/>
              <w:rPr>
                <w:sz w:val="18"/>
                <w:szCs w:val="18"/>
              </w:rPr>
            </w:pPr>
          </w:p>
          <w:p w14:paraId="04A95EF5" w14:textId="77777777" w:rsidR="00945C39" w:rsidRPr="00C469EA" w:rsidRDefault="00945C39" w:rsidP="00112EB2">
            <w:pPr>
              <w:jc w:val="both"/>
              <w:rPr>
                <w:sz w:val="18"/>
                <w:szCs w:val="18"/>
              </w:rPr>
            </w:pPr>
          </w:p>
          <w:p w14:paraId="70AC9E7D" w14:textId="77777777" w:rsidR="00945C39" w:rsidRPr="00C469EA" w:rsidRDefault="00945C39" w:rsidP="00112EB2">
            <w:pPr>
              <w:jc w:val="both"/>
              <w:rPr>
                <w:sz w:val="18"/>
                <w:szCs w:val="18"/>
              </w:rPr>
            </w:pPr>
          </w:p>
          <w:p w14:paraId="2949182C" w14:textId="77777777" w:rsidR="00945C39" w:rsidRPr="00C469EA" w:rsidRDefault="00945C39" w:rsidP="00112EB2">
            <w:pPr>
              <w:jc w:val="both"/>
              <w:rPr>
                <w:sz w:val="18"/>
                <w:szCs w:val="18"/>
              </w:rPr>
            </w:pPr>
          </w:p>
          <w:p w14:paraId="74312613" w14:textId="77777777" w:rsidR="00945C39" w:rsidRPr="00C469EA" w:rsidRDefault="00945C39" w:rsidP="00112EB2">
            <w:pPr>
              <w:jc w:val="both"/>
              <w:rPr>
                <w:sz w:val="18"/>
                <w:szCs w:val="18"/>
              </w:rPr>
            </w:pPr>
          </w:p>
          <w:p w14:paraId="1C8E9BCB" w14:textId="77777777" w:rsidR="00945C39" w:rsidRPr="00C469EA" w:rsidRDefault="00945C39" w:rsidP="00112EB2">
            <w:pPr>
              <w:jc w:val="both"/>
              <w:rPr>
                <w:sz w:val="18"/>
                <w:szCs w:val="18"/>
              </w:rPr>
            </w:pPr>
          </w:p>
          <w:p w14:paraId="25FB7C03" w14:textId="77777777" w:rsidR="00945C39" w:rsidRPr="00C469EA" w:rsidRDefault="00945C39" w:rsidP="00112EB2">
            <w:pPr>
              <w:jc w:val="both"/>
              <w:rPr>
                <w:sz w:val="18"/>
                <w:szCs w:val="18"/>
              </w:rPr>
            </w:pPr>
          </w:p>
          <w:p w14:paraId="3BD13A95" w14:textId="77777777" w:rsidR="00945C39" w:rsidRPr="00C469EA" w:rsidRDefault="00945C39" w:rsidP="00112EB2">
            <w:pPr>
              <w:jc w:val="both"/>
              <w:rPr>
                <w:sz w:val="18"/>
                <w:szCs w:val="18"/>
              </w:rPr>
            </w:pPr>
          </w:p>
          <w:p w14:paraId="64C14882" w14:textId="77777777" w:rsidR="00945C39" w:rsidRPr="00C469EA" w:rsidRDefault="00945C39" w:rsidP="00112EB2">
            <w:pPr>
              <w:jc w:val="both"/>
              <w:rPr>
                <w:sz w:val="18"/>
                <w:szCs w:val="18"/>
              </w:rPr>
            </w:pPr>
          </w:p>
          <w:p w14:paraId="66079005" w14:textId="77777777" w:rsidR="00945C39" w:rsidRPr="00C469EA" w:rsidRDefault="00945C39" w:rsidP="00112EB2">
            <w:pPr>
              <w:jc w:val="both"/>
              <w:rPr>
                <w:sz w:val="18"/>
                <w:szCs w:val="18"/>
              </w:rPr>
            </w:pPr>
          </w:p>
          <w:p w14:paraId="4B2D0621" w14:textId="77777777" w:rsidR="00945C39" w:rsidRPr="00C469EA" w:rsidRDefault="00945C39" w:rsidP="00112EB2">
            <w:pPr>
              <w:jc w:val="both"/>
              <w:rPr>
                <w:sz w:val="18"/>
                <w:szCs w:val="18"/>
              </w:rPr>
            </w:pPr>
          </w:p>
          <w:p w14:paraId="1950F290"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12" w:space="0" w:color="auto"/>
              <w:right w:val="single" w:sz="4" w:space="0" w:color="auto"/>
            </w:tcBorders>
            <w:vAlign w:val="center"/>
          </w:tcPr>
          <w:p w14:paraId="5176383B" w14:textId="77777777" w:rsidR="00945C39" w:rsidRPr="00C469EA" w:rsidRDefault="00945C39" w:rsidP="00112EB2">
            <w:pPr>
              <w:jc w:val="both"/>
              <w:rPr>
                <w:rFonts w:eastAsia="Times New Roman" w:cs="Calibri"/>
                <w:sz w:val="18"/>
                <w:szCs w:val="18"/>
              </w:rPr>
            </w:pPr>
            <w:r w:rsidRPr="00C469EA">
              <w:rPr>
                <w:sz w:val="18"/>
                <w:szCs w:val="18"/>
              </w:rPr>
              <w:lastRenderedPageBreak/>
              <w:t>Pas de pêcherie interagissant avec le requin taupe bleu de l’Atlantique sud.</w:t>
            </w:r>
          </w:p>
        </w:tc>
      </w:tr>
      <w:tr w:rsidR="00945C39" w:rsidRPr="00C469EA" w14:paraId="6182F5FB" w14:textId="77777777" w:rsidTr="00112EB2">
        <w:trPr>
          <w:trHeight w:val="118"/>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31C15913"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REQUIN PEAU BLEUE DE L’ATLANTIQUE NORD</w:t>
            </w:r>
          </w:p>
        </w:tc>
      </w:tr>
      <w:tr w:rsidR="00945C39" w:rsidRPr="00C469EA" w14:paraId="758C3566" w14:textId="77777777" w:rsidTr="00112EB2">
        <w:trPr>
          <w:trHeight w:val="118"/>
          <w:jc w:val="center"/>
        </w:trPr>
        <w:tc>
          <w:tcPr>
            <w:tcW w:w="1255" w:type="dxa"/>
            <w:tcBorders>
              <w:top w:val="single" w:sz="12" w:space="0" w:color="auto"/>
              <w:left w:val="single" w:sz="4" w:space="0" w:color="auto"/>
              <w:bottom w:val="single" w:sz="4" w:space="0" w:color="auto"/>
              <w:right w:val="single" w:sz="4" w:space="0" w:color="auto"/>
            </w:tcBorders>
            <w:noWrap/>
            <w:vAlign w:val="center"/>
          </w:tcPr>
          <w:p w14:paraId="78239458"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23-10</w:t>
            </w:r>
          </w:p>
          <w:p w14:paraId="07FEDEF8" w14:textId="77777777" w:rsidR="00945C39" w:rsidRPr="000632D8" w:rsidRDefault="00945C39" w:rsidP="00112EB2">
            <w:pPr>
              <w:jc w:val="center"/>
              <w:rPr>
                <w:rFonts w:ascii="Cambria" w:hAnsi="Cambria"/>
                <w:b/>
                <w:sz w:val="18"/>
                <w:szCs w:val="18"/>
              </w:rPr>
            </w:pPr>
          </w:p>
          <w:p w14:paraId="57BC9241"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peau bleue du Nord)</w:t>
            </w:r>
          </w:p>
        </w:tc>
        <w:tc>
          <w:tcPr>
            <w:tcW w:w="815" w:type="dxa"/>
            <w:tcBorders>
              <w:top w:val="single" w:sz="12" w:space="0" w:color="auto"/>
              <w:left w:val="single" w:sz="4" w:space="0" w:color="auto"/>
              <w:bottom w:val="single" w:sz="4" w:space="0" w:color="auto"/>
              <w:right w:val="single" w:sz="4" w:space="0" w:color="auto"/>
            </w:tcBorders>
            <w:noWrap/>
            <w:vAlign w:val="center"/>
          </w:tcPr>
          <w:p w14:paraId="7843B05C"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3</w:t>
            </w:r>
          </w:p>
        </w:tc>
        <w:tc>
          <w:tcPr>
            <w:tcW w:w="1165" w:type="dxa"/>
            <w:tcBorders>
              <w:top w:val="single" w:sz="12" w:space="0" w:color="auto"/>
              <w:left w:val="single" w:sz="4" w:space="0" w:color="auto"/>
              <w:bottom w:val="single" w:sz="4" w:space="0" w:color="auto"/>
              <w:right w:val="single" w:sz="4" w:space="0" w:color="auto"/>
            </w:tcBorders>
            <w:vAlign w:val="center"/>
          </w:tcPr>
          <w:p w14:paraId="57D1B713" w14:textId="77777777" w:rsidR="00945C39" w:rsidRPr="00C469EA" w:rsidRDefault="00945C39" w:rsidP="00112EB2">
            <w:pPr>
              <w:rPr>
                <w:rFonts w:eastAsia="Times New Roman" w:cs="Calibri"/>
                <w:sz w:val="18"/>
                <w:szCs w:val="18"/>
              </w:rPr>
            </w:pPr>
            <w:r w:rsidRPr="000632D8">
              <w:rPr>
                <w:rFonts w:ascii="Cambria" w:hAnsi="Cambria"/>
                <w:sz w:val="18"/>
                <w:szCs w:val="18"/>
              </w:rPr>
              <w:t>Abroge et remplace les Recs. 21-10, 19-07 et 16-12</w:t>
            </w:r>
          </w:p>
        </w:tc>
        <w:tc>
          <w:tcPr>
            <w:tcW w:w="2666" w:type="dxa"/>
            <w:tcBorders>
              <w:top w:val="single" w:sz="12" w:space="0" w:color="auto"/>
              <w:left w:val="single" w:sz="4" w:space="0" w:color="auto"/>
              <w:bottom w:val="single" w:sz="4" w:space="0" w:color="auto"/>
              <w:right w:val="single" w:sz="4" w:space="0" w:color="auto"/>
            </w:tcBorders>
            <w:vAlign w:val="center"/>
          </w:tcPr>
          <w:p w14:paraId="23694545" w14:textId="77777777" w:rsidR="00945C39" w:rsidRPr="00C469EA" w:rsidRDefault="00945C39" w:rsidP="00112EB2">
            <w:pPr>
              <w:spacing w:line="220" w:lineRule="exact"/>
              <w:ind w:right="113"/>
              <w:jc w:val="both"/>
              <w:rPr>
                <w:rFonts w:eastAsia="Times New Roman" w:cs="Calibri"/>
                <w:sz w:val="18"/>
                <w:szCs w:val="18"/>
              </w:rPr>
            </w:pPr>
            <w:r w:rsidRPr="00C469EA">
              <w:rPr>
                <w:sz w:val="18"/>
                <w:szCs w:val="18"/>
              </w:rPr>
              <w:t xml:space="preserve">Les CPC suivantes devront être soumises aux limites de capture suivantes pour le </w:t>
            </w:r>
            <w:r w:rsidRPr="00C469EA">
              <w:rPr>
                <w:b/>
                <w:bCs/>
                <w:sz w:val="18"/>
                <w:szCs w:val="18"/>
              </w:rPr>
              <w:t xml:space="preserve">requin peau bleue de l'Atlantique Nord </w:t>
            </w:r>
            <w:r w:rsidRPr="00C469EA">
              <w:rPr>
                <w:sz w:val="18"/>
                <w:szCs w:val="18"/>
              </w:rPr>
              <w:t>:</w:t>
            </w:r>
          </w:p>
          <w:p w14:paraId="18933B17" w14:textId="77777777" w:rsidR="00945C39" w:rsidRPr="00C469EA" w:rsidRDefault="00945C39" w:rsidP="00112EB2">
            <w:pPr>
              <w:spacing w:line="220" w:lineRule="exact"/>
              <w:ind w:right="113"/>
              <w:jc w:val="both"/>
              <w:rPr>
                <w:rFonts w:eastAsia="Times New Roman" w:cs="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967"/>
            </w:tblGrid>
            <w:tr w:rsidR="00945C39" w:rsidRPr="00C469EA" w14:paraId="62A242AE" w14:textId="77777777" w:rsidTr="00112EB2">
              <w:trPr>
                <w:jc w:val="center"/>
              </w:trPr>
              <w:tc>
                <w:tcPr>
                  <w:tcW w:w="1450" w:type="dxa"/>
                </w:tcPr>
                <w:p w14:paraId="634E9EB8" w14:textId="77777777" w:rsidR="00945C39" w:rsidRPr="00C469EA" w:rsidRDefault="00945C39" w:rsidP="00112EB2">
                  <w:pPr>
                    <w:jc w:val="both"/>
                    <w:rPr>
                      <w:i/>
                      <w:iCs/>
                      <w:sz w:val="18"/>
                      <w:szCs w:val="18"/>
                    </w:rPr>
                  </w:pPr>
                  <w:r w:rsidRPr="00C469EA">
                    <w:rPr>
                      <w:i/>
                      <w:sz w:val="18"/>
                      <w:szCs w:val="18"/>
                    </w:rPr>
                    <w:t>CPC</w:t>
                  </w:r>
                </w:p>
              </w:tc>
              <w:tc>
                <w:tcPr>
                  <w:tcW w:w="967" w:type="dxa"/>
                </w:tcPr>
                <w:p w14:paraId="5A2BEFFA" w14:textId="77777777" w:rsidR="00945C39" w:rsidRPr="00C469EA" w:rsidRDefault="00945C39" w:rsidP="00112EB2">
                  <w:pPr>
                    <w:jc w:val="both"/>
                    <w:rPr>
                      <w:i/>
                      <w:iCs/>
                      <w:sz w:val="18"/>
                      <w:szCs w:val="18"/>
                    </w:rPr>
                  </w:pPr>
                  <w:r w:rsidRPr="00C469EA">
                    <w:rPr>
                      <w:i/>
                      <w:sz w:val="18"/>
                      <w:szCs w:val="18"/>
                    </w:rPr>
                    <w:t>t</w:t>
                  </w:r>
                </w:p>
              </w:tc>
            </w:tr>
            <w:tr w:rsidR="00945C39" w:rsidRPr="00C469EA" w14:paraId="14E8A9D9" w14:textId="77777777" w:rsidTr="00112EB2">
              <w:trPr>
                <w:jc w:val="center"/>
              </w:trPr>
              <w:tc>
                <w:tcPr>
                  <w:tcW w:w="1450" w:type="dxa"/>
                </w:tcPr>
                <w:p w14:paraId="05E4E688" w14:textId="77777777" w:rsidR="00945C39" w:rsidRPr="00C469EA" w:rsidRDefault="00945C39" w:rsidP="00112EB2">
                  <w:pPr>
                    <w:jc w:val="both"/>
                    <w:rPr>
                      <w:sz w:val="18"/>
                      <w:szCs w:val="18"/>
                    </w:rPr>
                  </w:pPr>
                  <w:r w:rsidRPr="00C469EA">
                    <w:rPr>
                      <w:sz w:val="18"/>
                      <w:szCs w:val="18"/>
                    </w:rPr>
                    <w:t>UE*</w:t>
                  </w:r>
                </w:p>
              </w:tc>
              <w:tc>
                <w:tcPr>
                  <w:tcW w:w="967" w:type="dxa"/>
                </w:tcPr>
                <w:p w14:paraId="396C904D" w14:textId="77777777" w:rsidR="00945C39" w:rsidRPr="00C469EA" w:rsidRDefault="00945C39" w:rsidP="00112EB2">
                  <w:pPr>
                    <w:jc w:val="both"/>
                    <w:rPr>
                      <w:sz w:val="18"/>
                      <w:szCs w:val="18"/>
                    </w:rPr>
                  </w:pPr>
                  <w:r w:rsidRPr="00C469EA">
                    <w:rPr>
                      <w:sz w:val="18"/>
                      <w:szCs w:val="18"/>
                    </w:rPr>
                    <w:t>24.449 t</w:t>
                  </w:r>
                </w:p>
              </w:tc>
            </w:tr>
            <w:tr w:rsidR="00945C39" w:rsidRPr="00C469EA" w14:paraId="48FD93B2" w14:textId="77777777" w:rsidTr="00112EB2">
              <w:trPr>
                <w:jc w:val="center"/>
              </w:trPr>
              <w:tc>
                <w:tcPr>
                  <w:tcW w:w="1450" w:type="dxa"/>
                </w:tcPr>
                <w:p w14:paraId="3CC8B56F" w14:textId="77777777" w:rsidR="00945C39" w:rsidRPr="00C469EA" w:rsidRDefault="00945C39" w:rsidP="00112EB2">
                  <w:pPr>
                    <w:jc w:val="both"/>
                    <w:rPr>
                      <w:sz w:val="18"/>
                      <w:szCs w:val="18"/>
                    </w:rPr>
                  </w:pPr>
                  <w:r w:rsidRPr="00C469EA">
                    <w:rPr>
                      <w:sz w:val="18"/>
                      <w:szCs w:val="18"/>
                    </w:rPr>
                    <w:t>Japon**</w:t>
                  </w:r>
                </w:p>
              </w:tc>
              <w:tc>
                <w:tcPr>
                  <w:tcW w:w="967" w:type="dxa"/>
                </w:tcPr>
                <w:p w14:paraId="7AE547BA" w14:textId="77777777" w:rsidR="00945C39" w:rsidRPr="00C469EA" w:rsidRDefault="00945C39" w:rsidP="00112EB2">
                  <w:pPr>
                    <w:jc w:val="both"/>
                    <w:rPr>
                      <w:sz w:val="18"/>
                      <w:szCs w:val="18"/>
                    </w:rPr>
                  </w:pPr>
                  <w:r w:rsidRPr="00C469EA">
                    <w:rPr>
                      <w:sz w:val="18"/>
                      <w:szCs w:val="18"/>
                    </w:rPr>
                    <w:t>3.012 t</w:t>
                  </w:r>
                </w:p>
              </w:tc>
            </w:tr>
            <w:tr w:rsidR="00945C39" w:rsidRPr="00C469EA" w14:paraId="70342CE7" w14:textId="77777777" w:rsidTr="00112EB2">
              <w:trPr>
                <w:jc w:val="center"/>
              </w:trPr>
              <w:tc>
                <w:tcPr>
                  <w:tcW w:w="1450" w:type="dxa"/>
                </w:tcPr>
                <w:p w14:paraId="4317E782" w14:textId="77777777" w:rsidR="00945C39" w:rsidRPr="00C469EA" w:rsidRDefault="00945C39" w:rsidP="00112EB2">
                  <w:pPr>
                    <w:jc w:val="both"/>
                    <w:rPr>
                      <w:sz w:val="18"/>
                      <w:szCs w:val="18"/>
                    </w:rPr>
                  </w:pPr>
                  <w:r w:rsidRPr="00C469EA">
                    <w:rPr>
                      <w:sz w:val="18"/>
                      <w:szCs w:val="18"/>
                    </w:rPr>
                    <w:t>Maroc***</w:t>
                  </w:r>
                </w:p>
              </w:tc>
              <w:tc>
                <w:tcPr>
                  <w:tcW w:w="967" w:type="dxa"/>
                </w:tcPr>
                <w:p w14:paraId="071949E3" w14:textId="77777777" w:rsidR="00945C39" w:rsidRPr="00C469EA" w:rsidRDefault="00945C39" w:rsidP="00112EB2">
                  <w:pPr>
                    <w:jc w:val="both"/>
                    <w:rPr>
                      <w:sz w:val="18"/>
                      <w:szCs w:val="18"/>
                    </w:rPr>
                  </w:pPr>
                  <w:r w:rsidRPr="00C469EA">
                    <w:rPr>
                      <w:sz w:val="18"/>
                      <w:szCs w:val="18"/>
                    </w:rPr>
                    <w:t>1.644 t</w:t>
                  </w:r>
                </w:p>
              </w:tc>
            </w:tr>
            <w:tr w:rsidR="00945C39" w:rsidRPr="00C469EA" w14:paraId="1BA6A8EB" w14:textId="77777777" w:rsidTr="00112EB2">
              <w:trPr>
                <w:jc w:val="center"/>
              </w:trPr>
              <w:tc>
                <w:tcPr>
                  <w:tcW w:w="1450" w:type="dxa"/>
                </w:tcPr>
                <w:p w14:paraId="1CAB96E7" w14:textId="77777777" w:rsidR="00945C39" w:rsidRPr="00C469EA" w:rsidRDefault="00945C39" w:rsidP="00112EB2">
                  <w:pPr>
                    <w:jc w:val="both"/>
                    <w:rPr>
                      <w:sz w:val="18"/>
                      <w:szCs w:val="18"/>
                    </w:rPr>
                  </w:pPr>
                  <w:r w:rsidRPr="00C469EA">
                    <w:rPr>
                      <w:sz w:val="18"/>
                      <w:szCs w:val="18"/>
                    </w:rPr>
                    <w:t>Royaume-Uni</w:t>
                  </w:r>
                </w:p>
              </w:tc>
              <w:tc>
                <w:tcPr>
                  <w:tcW w:w="967" w:type="dxa"/>
                </w:tcPr>
                <w:p w14:paraId="7DC8CE7E" w14:textId="77777777" w:rsidR="00945C39" w:rsidRPr="00C469EA" w:rsidRDefault="00945C39" w:rsidP="00112EB2">
                  <w:pPr>
                    <w:jc w:val="both"/>
                    <w:rPr>
                      <w:sz w:val="18"/>
                      <w:szCs w:val="18"/>
                    </w:rPr>
                  </w:pPr>
                  <w:r w:rsidRPr="00C469EA">
                    <w:rPr>
                      <w:sz w:val="18"/>
                      <w:szCs w:val="18"/>
                    </w:rPr>
                    <w:t>25 t</w:t>
                  </w:r>
                </w:p>
              </w:tc>
            </w:tr>
          </w:tbl>
          <w:p w14:paraId="63AAFDA2" w14:textId="77777777" w:rsidR="00945C39" w:rsidRPr="00C469EA" w:rsidRDefault="00945C39" w:rsidP="00112EB2">
            <w:pPr>
              <w:spacing w:line="220" w:lineRule="exact"/>
              <w:ind w:right="113"/>
              <w:jc w:val="both"/>
              <w:rPr>
                <w:rFonts w:eastAsia="Times New Roman" w:cs="Calibri"/>
                <w:sz w:val="18"/>
                <w:szCs w:val="18"/>
              </w:rPr>
            </w:pPr>
          </w:p>
          <w:p w14:paraId="31D12DE2" w14:textId="77777777" w:rsidR="00945C39" w:rsidRPr="00C469EA" w:rsidRDefault="00945C39" w:rsidP="00112EB2">
            <w:pPr>
              <w:spacing w:line="220" w:lineRule="exact"/>
              <w:ind w:right="113"/>
              <w:jc w:val="both"/>
              <w:rPr>
                <w:sz w:val="18"/>
                <w:szCs w:val="18"/>
              </w:rPr>
            </w:pPr>
            <w:r w:rsidRPr="00C469EA">
              <w:rPr>
                <w:sz w:val="18"/>
                <w:szCs w:val="18"/>
              </w:rPr>
              <w:t xml:space="preserve">* Cela tient compte d’un transfert annuel de 348 t au Maroc jusqu'à la prochaine évaluation du stock de </w:t>
            </w:r>
            <w:r w:rsidRPr="00C469EA">
              <w:rPr>
                <w:b/>
                <w:bCs/>
                <w:sz w:val="18"/>
                <w:szCs w:val="18"/>
              </w:rPr>
              <w:t>requin peau bleue de l'Atlantique Nord</w:t>
            </w:r>
            <w:r w:rsidRPr="00C469EA">
              <w:rPr>
                <w:sz w:val="18"/>
                <w:szCs w:val="18"/>
              </w:rPr>
              <w:t xml:space="preserve"> par le SCRS, et ne préjuge pas des futures discussions sur l'allocation.</w:t>
            </w:r>
          </w:p>
          <w:p w14:paraId="40D9FE82" w14:textId="77777777" w:rsidR="00945C39" w:rsidRPr="00C469EA" w:rsidRDefault="00945C39" w:rsidP="00112EB2">
            <w:pPr>
              <w:spacing w:line="220" w:lineRule="exact"/>
              <w:ind w:right="113"/>
              <w:jc w:val="both"/>
              <w:rPr>
                <w:rFonts w:eastAsia="Times New Roman" w:cs="Calibri"/>
                <w:sz w:val="18"/>
                <w:szCs w:val="18"/>
              </w:rPr>
            </w:pPr>
            <w:r w:rsidRPr="00C469EA">
              <w:rPr>
                <w:sz w:val="18"/>
                <w:szCs w:val="18"/>
              </w:rPr>
              <w:t xml:space="preserve"> </w:t>
            </w:r>
          </w:p>
          <w:p w14:paraId="06059F0A" w14:textId="77777777" w:rsidR="00945C39" w:rsidRPr="00C469EA" w:rsidRDefault="00945C39" w:rsidP="00112EB2">
            <w:pPr>
              <w:spacing w:line="220" w:lineRule="exact"/>
              <w:ind w:right="113"/>
              <w:jc w:val="both"/>
              <w:rPr>
                <w:rFonts w:eastAsia="Times New Roman" w:cs="Calibri"/>
                <w:sz w:val="18"/>
                <w:szCs w:val="18"/>
              </w:rPr>
            </w:pPr>
            <w:r w:rsidRPr="00C469EA">
              <w:rPr>
                <w:sz w:val="18"/>
                <w:szCs w:val="18"/>
              </w:rPr>
              <w:t xml:space="preserve">** Cela tient compte d’un transfert annuel de 43 t au Maroc jusqu'à la prochaine évaluation du stock de </w:t>
            </w:r>
            <w:r w:rsidRPr="00C469EA">
              <w:rPr>
                <w:b/>
                <w:bCs/>
                <w:sz w:val="18"/>
                <w:szCs w:val="18"/>
              </w:rPr>
              <w:t>requin peau bleue de l'Atlantique Nord</w:t>
            </w:r>
            <w:r w:rsidRPr="00C469EA">
              <w:rPr>
                <w:sz w:val="18"/>
                <w:szCs w:val="18"/>
              </w:rPr>
              <w:t xml:space="preserve"> par le SCRS, et ne préjuge pas des futures discussions sur l'allocation.</w:t>
            </w:r>
          </w:p>
          <w:p w14:paraId="20B305FF" w14:textId="77777777" w:rsidR="00945C39" w:rsidRPr="00C469EA" w:rsidRDefault="00945C39" w:rsidP="00112EB2">
            <w:pPr>
              <w:spacing w:line="220" w:lineRule="exact"/>
              <w:ind w:right="113"/>
              <w:jc w:val="both"/>
              <w:rPr>
                <w:rFonts w:eastAsia="Times New Roman" w:cs="Calibri"/>
                <w:sz w:val="18"/>
                <w:szCs w:val="18"/>
              </w:rPr>
            </w:pPr>
          </w:p>
          <w:p w14:paraId="0EF9C66E" w14:textId="77777777" w:rsidR="00945C39" w:rsidRPr="00C469EA" w:rsidRDefault="00945C39" w:rsidP="00112EB2">
            <w:pPr>
              <w:spacing w:line="220" w:lineRule="exact"/>
              <w:ind w:right="113"/>
              <w:jc w:val="both"/>
              <w:rPr>
                <w:rFonts w:eastAsia="Times New Roman" w:cs="Calibri"/>
                <w:sz w:val="18"/>
                <w:szCs w:val="18"/>
              </w:rPr>
            </w:pPr>
            <w:r w:rsidRPr="00C469EA">
              <w:rPr>
                <w:sz w:val="18"/>
                <w:szCs w:val="18"/>
              </w:rPr>
              <w:lastRenderedPageBreak/>
              <w:t xml:space="preserve">*** Cela comprend des transferts annuels de 348 t de l’UE et de 43 t du Japon jusqu'à la prochaine évaluation du stock de </w:t>
            </w:r>
            <w:r w:rsidRPr="00C469EA">
              <w:rPr>
                <w:b/>
                <w:bCs/>
                <w:sz w:val="18"/>
                <w:szCs w:val="18"/>
              </w:rPr>
              <w:t>requin peau bleue de l'Atlantique Nord</w:t>
            </w:r>
            <w:r w:rsidRPr="00C469EA">
              <w:rPr>
                <w:sz w:val="18"/>
                <w:szCs w:val="18"/>
              </w:rPr>
              <w:t xml:space="preserve"> par le SCRS, et ne préjuge pas des futures discussions sur l'allocation.</w:t>
            </w:r>
          </w:p>
        </w:tc>
        <w:tc>
          <w:tcPr>
            <w:tcW w:w="1566" w:type="dxa"/>
            <w:tcBorders>
              <w:top w:val="single" w:sz="12" w:space="0" w:color="auto"/>
              <w:left w:val="single" w:sz="4" w:space="0" w:color="auto"/>
              <w:bottom w:val="single" w:sz="4" w:space="0" w:color="auto"/>
              <w:right w:val="single" w:sz="4" w:space="0" w:color="auto"/>
            </w:tcBorders>
            <w:vAlign w:val="center"/>
          </w:tcPr>
          <w:p w14:paraId="1F3E25AE" w14:textId="77777777" w:rsidR="00945C39" w:rsidRPr="00C469EA" w:rsidRDefault="00945C39" w:rsidP="00112EB2">
            <w:pPr>
              <w:jc w:val="both"/>
              <w:rPr>
                <w:rFonts w:eastAsia="Times New Roman" w:cs="Calibri"/>
                <w:sz w:val="18"/>
                <w:szCs w:val="18"/>
              </w:rPr>
            </w:pPr>
            <w:r w:rsidRPr="00C469EA">
              <w:rPr>
                <w:sz w:val="18"/>
                <w:szCs w:val="18"/>
              </w:rPr>
              <w:lastRenderedPageBreak/>
              <w:t>N/A</w:t>
            </w:r>
          </w:p>
        </w:tc>
        <w:tc>
          <w:tcPr>
            <w:tcW w:w="1618" w:type="dxa"/>
            <w:tcBorders>
              <w:top w:val="single" w:sz="12" w:space="0" w:color="auto"/>
              <w:left w:val="single" w:sz="4" w:space="0" w:color="auto"/>
              <w:bottom w:val="single" w:sz="4" w:space="0" w:color="auto"/>
              <w:right w:val="single" w:sz="4" w:space="0" w:color="auto"/>
            </w:tcBorders>
            <w:vAlign w:val="center"/>
          </w:tcPr>
          <w:p w14:paraId="2E385523" w14:textId="77777777" w:rsidR="00945C39" w:rsidRPr="00C469EA" w:rsidRDefault="00945C39" w:rsidP="00112EB2">
            <w:pPr>
              <w:jc w:val="both"/>
              <w:rPr>
                <w:rFonts w:eastAsia="Times New Roman" w:cs="Calibri"/>
                <w:sz w:val="18"/>
                <w:szCs w:val="18"/>
              </w:rPr>
            </w:pPr>
          </w:p>
        </w:tc>
        <w:tc>
          <w:tcPr>
            <w:tcW w:w="2041" w:type="dxa"/>
            <w:tcBorders>
              <w:top w:val="single" w:sz="12" w:space="0" w:color="auto"/>
              <w:left w:val="single" w:sz="4" w:space="0" w:color="auto"/>
              <w:bottom w:val="single" w:sz="4" w:space="0" w:color="auto"/>
              <w:right w:val="single" w:sz="4" w:space="0" w:color="auto"/>
            </w:tcBorders>
            <w:vAlign w:val="center"/>
          </w:tcPr>
          <w:p w14:paraId="4226D9C9" w14:textId="77777777" w:rsidR="00945C39" w:rsidRPr="00C469EA" w:rsidRDefault="00945C39" w:rsidP="00112EB2">
            <w:pPr>
              <w:jc w:val="both"/>
              <w:rPr>
                <w:rFonts w:eastAsia="Times New Roman" w:cs="Calibri"/>
                <w:sz w:val="18"/>
                <w:szCs w:val="18"/>
              </w:rPr>
            </w:pPr>
            <w:r w:rsidRPr="00C469EA">
              <w:rPr>
                <w:sz w:val="18"/>
                <w:szCs w:val="18"/>
              </w:rPr>
              <w:t>Le Sénégal n’est pas dans le tableau</w:t>
            </w:r>
          </w:p>
          <w:p w14:paraId="677DC517" w14:textId="77777777" w:rsidR="00945C39" w:rsidRPr="00C469EA" w:rsidRDefault="00945C39" w:rsidP="00112EB2">
            <w:pPr>
              <w:jc w:val="both"/>
              <w:rPr>
                <w:rFonts w:eastAsia="Times New Roman" w:cs="Calibri"/>
                <w:sz w:val="18"/>
                <w:szCs w:val="18"/>
              </w:rPr>
            </w:pPr>
          </w:p>
          <w:p w14:paraId="5EFEF1B9" w14:textId="77777777" w:rsidR="00945C39" w:rsidRPr="00C469EA" w:rsidRDefault="00945C39" w:rsidP="00112EB2">
            <w:pPr>
              <w:jc w:val="both"/>
              <w:rPr>
                <w:rFonts w:eastAsia="Times New Roman" w:cs="Calibri"/>
                <w:sz w:val="18"/>
                <w:szCs w:val="18"/>
              </w:rPr>
            </w:pPr>
          </w:p>
        </w:tc>
      </w:tr>
      <w:tr w:rsidR="00945C39" w:rsidRPr="00C469EA" w14:paraId="5EE60CA4" w14:textId="77777777" w:rsidTr="00112EB2">
        <w:trPr>
          <w:trHeight w:val="118"/>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EE9792D" w14:textId="77777777" w:rsidR="00945C39" w:rsidRPr="000632D8" w:rsidRDefault="00945C39" w:rsidP="00112EB2">
            <w:pPr>
              <w:jc w:val="center"/>
              <w:rPr>
                <w:rFonts w:ascii="Cambria" w:eastAsia="Times New Roman" w:hAnsi="Cambria" w:cs="Calibri"/>
                <w:b/>
                <w:sz w:val="18"/>
                <w:szCs w:val="18"/>
              </w:rPr>
            </w:pPr>
            <w:r w:rsidRPr="000632D8">
              <w:rPr>
                <w:rFonts w:ascii="Cambria" w:hAnsi="Cambria"/>
                <w:b/>
                <w:sz w:val="18"/>
                <w:szCs w:val="18"/>
              </w:rPr>
              <w:t>23-10</w:t>
            </w:r>
          </w:p>
          <w:p w14:paraId="7DDA7535" w14:textId="77777777" w:rsidR="00945C39" w:rsidRPr="000632D8" w:rsidRDefault="00945C39" w:rsidP="00112EB2">
            <w:pPr>
              <w:jc w:val="center"/>
              <w:rPr>
                <w:rFonts w:ascii="Cambria" w:hAnsi="Cambria"/>
                <w:b/>
                <w:sz w:val="18"/>
                <w:szCs w:val="18"/>
              </w:rPr>
            </w:pPr>
          </w:p>
          <w:p w14:paraId="40CF657E"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peau bleue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6F757AB2"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4</w:t>
            </w:r>
          </w:p>
        </w:tc>
        <w:tc>
          <w:tcPr>
            <w:tcW w:w="1165" w:type="dxa"/>
            <w:tcBorders>
              <w:top w:val="single" w:sz="4" w:space="0" w:color="auto"/>
              <w:left w:val="single" w:sz="4" w:space="0" w:color="auto"/>
              <w:bottom w:val="single" w:sz="4" w:space="0" w:color="auto"/>
              <w:right w:val="single" w:sz="4" w:space="0" w:color="auto"/>
            </w:tcBorders>
            <w:vAlign w:val="center"/>
          </w:tcPr>
          <w:p w14:paraId="08F0FC66" w14:textId="77777777" w:rsidR="00945C39" w:rsidRPr="00C469EA" w:rsidDel="005D25B7" w:rsidRDefault="00945C39" w:rsidP="00112EB2">
            <w:pPr>
              <w:jc w:val="center"/>
              <w:rPr>
                <w:rFonts w:eastAsia="Times New Roman" w:cs="Calibri"/>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200F80BD" w14:textId="77777777" w:rsidR="00945C39" w:rsidRPr="00C469EA" w:rsidRDefault="00945C39" w:rsidP="00112EB2">
            <w:pPr>
              <w:spacing w:line="220" w:lineRule="exact"/>
              <w:ind w:right="113"/>
              <w:jc w:val="both"/>
              <w:rPr>
                <w:rFonts w:eastAsia="Times New Roman" w:cs="Calibri"/>
                <w:sz w:val="18"/>
                <w:szCs w:val="18"/>
              </w:rPr>
            </w:pPr>
            <w:r w:rsidRPr="00C469EA">
              <w:rPr>
                <w:sz w:val="18"/>
                <w:szCs w:val="18"/>
              </w:rPr>
              <w:t>Toutes les autres CPC devront s’efforcer de maintenir leurs captures en-dessous du niveau de leurs captures annuelles les plus élevées des dix dernières années.</w:t>
            </w:r>
          </w:p>
        </w:tc>
        <w:tc>
          <w:tcPr>
            <w:tcW w:w="1566" w:type="dxa"/>
            <w:tcBorders>
              <w:top w:val="single" w:sz="4" w:space="0" w:color="auto"/>
              <w:left w:val="single" w:sz="4" w:space="0" w:color="auto"/>
              <w:bottom w:val="single" w:sz="4" w:space="0" w:color="auto"/>
              <w:right w:val="single" w:sz="4" w:space="0" w:color="auto"/>
            </w:tcBorders>
            <w:vAlign w:val="center"/>
          </w:tcPr>
          <w:p w14:paraId="0DCAA888"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top w:val="single" w:sz="4" w:space="0" w:color="auto"/>
              <w:left w:val="single" w:sz="4" w:space="0" w:color="auto"/>
              <w:bottom w:val="single" w:sz="4" w:space="0" w:color="auto"/>
              <w:right w:val="single" w:sz="4" w:space="0" w:color="auto"/>
            </w:tcBorders>
            <w:vAlign w:val="center"/>
          </w:tcPr>
          <w:p w14:paraId="32B02307"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2A3C912C" w14:textId="77777777" w:rsidR="00945C39" w:rsidRPr="00C469EA" w:rsidRDefault="00945C39" w:rsidP="00112EB2">
            <w:pPr>
              <w:jc w:val="both"/>
              <w:rPr>
                <w:sz w:val="18"/>
                <w:szCs w:val="18"/>
              </w:rPr>
            </w:pPr>
          </w:p>
          <w:p w14:paraId="7099FF5A" w14:textId="77777777" w:rsidR="00945C39" w:rsidRPr="00C469EA" w:rsidRDefault="00945C39" w:rsidP="00112EB2">
            <w:pPr>
              <w:jc w:val="both"/>
              <w:rPr>
                <w:rFonts w:eastAsia="Times New Roman" w:cs="Calibri"/>
                <w:sz w:val="18"/>
                <w:szCs w:val="18"/>
              </w:rPr>
            </w:pPr>
            <w:r w:rsidRPr="00C469EA">
              <w:rPr>
                <w:sz w:val="18"/>
                <w:szCs w:val="18"/>
              </w:rPr>
              <w:t>Pas de pêche et de capture de cette espèce (captures nulles)</w:t>
            </w:r>
          </w:p>
        </w:tc>
      </w:tr>
      <w:tr w:rsidR="00945C39" w:rsidRPr="00C469EA" w14:paraId="6066086D" w14:textId="77777777" w:rsidTr="00112EB2">
        <w:trPr>
          <w:trHeight w:val="118"/>
          <w:jc w:val="center"/>
        </w:trPr>
        <w:tc>
          <w:tcPr>
            <w:tcW w:w="1255" w:type="dxa"/>
            <w:noWrap/>
            <w:vAlign w:val="center"/>
            <w:hideMark/>
          </w:tcPr>
          <w:p w14:paraId="3A7FCD9D" w14:textId="77777777" w:rsidR="00945C39" w:rsidRPr="000632D8" w:rsidRDefault="00945C39" w:rsidP="00112EB2">
            <w:pPr>
              <w:jc w:val="center"/>
              <w:rPr>
                <w:rFonts w:ascii="Cambria" w:hAnsi="Cambria"/>
                <w:b/>
                <w:sz w:val="18"/>
                <w:szCs w:val="18"/>
              </w:rPr>
            </w:pPr>
            <w:bookmarkStart w:id="3" w:name="_Hlk160873773"/>
            <w:bookmarkStart w:id="4" w:name="_Hlk157068077"/>
            <w:bookmarkStart w:id="5" w:name="_Hlk157597167"/>
            <w:r w:rsidRPr="000632D8">
              <w:rPr>
                <w:rFonts w:ascii="Cambria" w:hAnsi="Cambria"/>
                <w:b/>
                <w:sz w:val="18"/>
                <w:szCs w:val="18"/>
              </w:rPr>
              <w:t>23-10</w:t>
            </w:r>
          </w:p>
          <w:p w14:paraId="53FFD84D" w14:textId="77777777" w:rsidR="00945C39" w:rsidRPr="000632D8" w:rsidRDefault="00945C39" w:rsidP="00112EB2">
            <w:pPr>
              <w:jc w:val="center"/>
              <w:rPr>
                <w:rFonts w:ascii="Cambria" w:eastAsia="Times New Roman" w:hAnsi="Cambria" w:cs="Calibri"/>
                <w:b/>
                <w:sz w:val="18"/>
                <w:szCs w:val="18"/>
              </w:rPr>
            </w:pPr>
          </w:p>
          <w:p w14:paraId="1919DAC4"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peau bleue du Nord)</w:t>
            </w:r>
          </w:p>
        </w:tc>
        <w:tc>
          <w:tcPr>
            <w:tcW w:w="815" w:type="dxa"/>
            <w:noWrap/>
            <w:vAlign w:val="center"/>
            <w:hideMark/>
          </w:tcPr>
          <w:p w14:paraId="0FEA4E0C"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6</w:t>
            </w:r>
          </w:p>
        </w:tc>
        <w:tc>
          <w:tcPr>
            <w:tcW w:w="1165" w:type="dxa"/>
            <w:vAlign w:val="center"/>
          </w:tcPr>
          <w:p w14:paraId="2AC0E8B8"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Voir ci-dessus</w:t>
            </w:r>
          </w:p>
        </w:tc>
        <w:tc>
          <w:tcPr>
            <w:tcW w:w="2666" w:type="dxa"/>
            <w:vAlign w:val="center"/>
            <w:hideMark/>
          </w:tcPr>
          <w:p w14:paraId="45ACA3D3"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r w:rsidRPr="00C469EA">
              <w:rPr>
                <w:sz w:val="18"/>
                <w:szCs w:val="18"/>
              </w:rPr>
              <w:t xml:space="preserve">Chaque CPC devra s'assurer que ses navires pêchant le </w:t>
            </w:r>
            <w:r w:rsidRPr="00C469EA">
              <w:rPr>
                <w:b/>
                <w:bCs/>
                <w:sz w:val="18"/>
                <w:szCs w:val="18"/>
              </w:rPr>
              <w:t>requin peau bleue de l’Atlantique Nord</w:t>
            </w:r>
            <w:r w:rsidRPr="00C469EA">
              <w:rPr>
                <w:sz w:val="18"/>
                <w:szCs w:val="18"/>
              </w:rPr>
              <w:t xml:space="preserve"> en association avec les pêcheries de l'ICCAT dans la zone de la Convention consignent leur prise conformément aux exigences énoncées dans la Recommandation de l'ICCAT relative à l’enregistrement des captures par les navires de pêche dans la zone de la Convention ICCAT (Rec. 03-13). </w:t>
            </w:r>
          </w:p>
          <w:p w14:paraId="0B15AC59"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p>
          <w:p w14:paraId="59818BE0"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r w:rsidRPr="00C469EA">
              <w:rPr>
                <w:sz w:val="18"/>
                <w:szCs w:val="18"/>
              </w:rPr>
              <w:t xml:space="preserve">(La Rec. 03-13 stipule ce qui suit : Chaque Partie contractante, Partie, Entité ou Entité de pêche non contractante coopérante de pavillon veillera à ce que tous les navires de pêche battant son pavillon et autorisés à pêcher les espèces gérées par l'ICCAT dans la zone de la </w:t>
            </w:r>
            <w:r w:rsidRPr="00C469EA">
              <w:rPr>
                <w:sz w:val="18"/>
                <w:szCs w:val="18"/>
              </w:rPr>
              <w:lastRenderedPageBreak/>
              <w:t>Convention soient soumis à un système d’enregistrement des données. Tous les bateaux de pêche commerciaux de plus de 24 mètres de longueur hors-tout devront conserver un journal de bord, relié ou électronique, contenant les informations requises dans le Manuel d'opérations de l'ICCAT pour les statistiques et l'échantillonnage. Dans le cas des bateaux de pêche sportifs, d’autres systèmes de collecte de données comparables peuvent être acceptables.)</w:t>
            </w:r>
          </w:p>
          <w:p w14:paraId="59DFFD6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p>
        </w:tc>
        <w:tc>
          <w:tcPr>
            <w:tcW w:w="1566" w:type="dxa"/>
            <w:vAlign w:val="center"/>
            <w:hideMark/>
          </w:tcPr>
          <w:p w14:paraId="0108F08D" w14:textId="77777777" w:rsidR="00945C39" w:rsidRPr="00C469EA" w:rsidRDefault="00945C39" w:rsidP="00112EB2">
            <w:pPr>
              <w:jc w:val="both"/>
              <w:rPr>
                <w:rFonts w:eastAsia="Times New Roman" w:cs="Calibri"/>
                <w:sz w:val="18"/>
                <w:szCs w:val="18"/>
              </w:rPr>
            </w:pPr>
            <w:r w:rsidRPr="00C469EA">
              <w:rPr>
                <w:sz w:val="18"/>
                <w:szCs w:val="18"/>
              </w:rPr>
              <w:lastRenderedPageBreak/>
              <w:t xml:space="preserve">Oui </w:t>
            </w:r>
          </w:p>
        </w:tc>
        <w:tc>
          <w:tcPr>
            <w:tcW w:w="1618" w:type="dxa"/>
            <w:vAlign w:val="center"/>
          </w:tcPr>
          <w:p w14:paraId="4F00F111"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722CFA95" w14:textId="77777777" w:rsidR="00945C39" w:rsidRPr="00C469EA" w:rsidRDefault="00945C39" w:rsidP="00112EB2">
            <w:pPr>
              <w:jc w:val="both"/>
              <w:rPr>
                <w:rFonts w:eastAsia="Times New Roman" w:cs="Calibri"/>
                <w:sz w:val="18"/>
                <w:szCs w:val="18"/>
              </w:rPr>
            </w:pPr>
          </w:p>
        </w:tc>
        <w:tc>
          <w:tcPr>
            <w:tcW w:w="2041" w:type="dxa"/>
            <w:vAlign w:val="center"/>
            <w:hideMark/>
          </w:tcPr>
          <w:p w14:paraId="42961087" w14:textId="77777777" w:rsidR="00945C39" w:rsidRPr="00C469EA" w:rsidRDefault="00945C39" w:rsidP="00112EB2">
            <w:pPr>
              <w:jc w:val="both"/>
              <w:rPr>
                <w:sz w:val="18"/>
                <w:szCs w:val="18"/>
              </w:rPr>
            </w:pPr>
          </w:p>
          <w:p w14:paraId="1204E230" w14:textId="77777777" w:rsidR="00945C39" w:rsidRPr="00C469EA" w:rsidRDefault="00945C39" w:rsidP="00112EB2">
            <w:pPr>
              <w:jc w:val="both"/>
              <w:rPr>
                <w:rFonts w:eastAsia="Times New Roman" w:cs="Calibri"/>
                <w:sz w:val="18"/>
                <w:szCs w:val="18"/>
              </w:rPr>
            </w:pPr>
            <w:r w:rsidRPr="00C469EA">
              <w:rPr>
                <w:sz w:val="18"/>
                <w:szCs w:val="18"/>
              </w:rPr>
              <w:t>Tous les navires de pêche sont dotés d’un journal de pêche conforme à la Rec 03-13.</w:t>
            </w:r>
          </w:p>
        </w:tc>
      </w:tr>
      <w:tr w:rsidR="00945C39" w:rsidRPr="00C469EA" w14:paraId="3920887C" w14:textId="77777777" w:rsidTr="00112EB2">
        <w:trPr>
          <w:trHeight w:val="118"/>
          <w:jc w:val="center"/>
        </w:trPr>
        <w:tc>
          <w:tcPr>
            <w:tcW w:w="1255" w:type="dxa"/>
            <w:noWrap/>
            <w:vAlign w:val="center"/>
          </w:tcPr>
          <w:p w14:paraId="455E3841" w14:textId="77777777" w:rsidR="00945C39" w:rsidRPr="000632D8" w:rsidRDefault="00945C39" w:rsidP="00112EB2">
            <w:pPr>
              <w:jc w:val="center"/>
              <w:rPr>
                <w:rFonts w:ascii="Cambria" w:hAnsi="Cambria"/>
                <w:b/>
                <w:sz w:val="18"/>
                <w:szCs w:val="18"/>
              </w:rPr>
            </w:pPr>
            <w:bookmarkStart w:id="6" w:name="_Hlk160874017"/>
            <w:bookmarkEnd w:id="3"/>
            <w:r w:rsidRPr="000632D8">
              <w:rPr>
                <w:rFonts w:ascii="Cambria" w:hAnsi="Cambria"/>
                <w:b/>
                <w:sz w:val="18"/>
                <w:szCs w:val="18"/>
              </w:rPr>
              <w:t>23-10</w:t>
            </w:r>
          </w:p>
          <w:p w14:paraId="4AA0FCB7" w14:textId="77777777" w:rsidR="00945C39" w:rsidRPr="000632D8" w:rsidRDefault="00945C39" w:rsidP="00112EB2">
            <w:pPr>
              <w:jc w:val="center"/>
              <w:rPr>
                <w:rFonts w:ascii="Cambria" w:eastAsia="Times New Roman" w:hAnsi="Cambria" w:cs="Calibri"/>
                <w:b/>
                <w:sz w:val="18"/>
                <w:szCs w:val="18"/>
              </w:rPr>
            </w:pPr>
          </w:p>
          <w:p w14:paraId="1D0BCFED"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peau bleue du Nord)</w:t>
            </w:r>
          </w:p>
        </w:tc>
        <w:tc>
          <w:tcPr>
            <w:tcW w:w="815" w:type="dxa"/>
            <w:noWrap/>
            <w:vAlign w:val="center"/>
          </w:tcPr>
          <w:p w14:paraId="69346999"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7</w:t>
            </w:r>
          </w:p>
        </w:tc>
        <w:tc>
          <w:tcPr>
            <w:tcW w:w="1165" w:type="dxa"/>
            <w:vAlign w:val="center"/>
          </w:tcPr>
          <w:p w14:paraId="1AC3FCC2"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vAlign w:val="center"/>
          </w:tcPr>
          <w:p w14:paraId="6BC460B6"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r w:rsidRPr="00C469EA">
              <w:rPr>
                <w:sz w:val="18"/>
                <w:szCs w:val="18"/>
              </w:rPr>
              <w:t xml:space="preserve">Les CPC devront mettre en œuvre des programmes de collecte de données qui garantissent la déclaration à l'ICCAT de données précises de prise, d’effort, de taille et de rejets sur le </w:t>
            </w:r>
            <w:r w:rsidRPr="00C469EA">
              <w:rPr>
                <w:b/>
                <w:bCs/>
                <w:sz w:val="18"/>
                <w:szCs w:val="18"/>
              </w:rPr>
              <w:t>requin peau bleue de l’Atlantique Nord</w:t>
            </w:r>
            <w:r w:rsidRPr="00C469EA">
              <w:rPr>
                <w:sz w:val="18"/>
                <w:szCs w:val="18"/>
              </w:rPr>
              <w:t>, en pleine conformité avec les exigences de l'ICCAT en matière de soumission des données de la tâche 1 et de la tâche 2.</w:t>
            </w:r>
          </w:p>
        </w:tc>
        <w:tc>
          <w:tcPr>
            <w:tcW w:w="1566" w:type="dxa"/>
            <w:vAlign w:val="center"/>
          </w:tcPr>
          <w:p w14:paraId="67BF15D5"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vAlign w:val="center"/>
          </w:tcPr>
          <w:p w14:paraId="28B585FD" w14:textId="77777777" w:rsidR="00945C39" w:rsidRPr="00C469EA" w:rsidRDefault="00945C39" w:rsidP="00112EB2">
            <w:pPr>
              <w:pStyle w:val="CommentText"/>
              <w:jc w:val="both"/>
              <w:rPr>
                <w:rFonts w:eastAsia="Times New Roman" w:cs="Calibri"/>
                <w:sz w:val="18"/>
                <w:szCs w:val="18"/>
              </w:rPr>
            </w:pPr>
          </w:p>
        </w:tc>
        <w:tc>
          <w:tcPr>
            <w:tcW w:w="2041" w:type="dxa"/>
            <w:vAlign w:val="center"/>
          </w:tcPr>
          <w:p w14:paraId="56E20D2E" w14:textId="77777777" w:rsidR="00945C39" w:rsidRPr="00C469EA" w:rsidRDefault="00945C39" w:rsidP="00112EB2">
            <w:pPr>
              <w:pStyle w:val="CommentText"/>
              <w:jc w:val="both"/>
              <w:rPr>
                <w:rFonts w:eastAsia="Times New Roman" w:cs="Calibri"/>
                <w:sz w:val="18"/>
                <w:szCs w:val="18"/>
              </w:rPr>
            </w:pPr>
          </w:p>
        </w:tc>
      </w:tr>
      <w:bookmarkEnd w:id="6"/>
      <w:tr w:rsidR="00945C39" w:rsidRPr="00C469EA" w14:paraId="025C2506"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3020D0AB"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23-10</w:t>
            </w:r>
          </w:p>
          <w:p w14:paraId="75F1FEDE" w14:textId="77777777" w:rsidR="00945C39" w:rsidRPr="000632D8" w:rsidRDefault="00945C39" w:rsidP="00112EB2">
            <w:pPr>
              <w:jc w:val="center"/>
              <w:rPr>
                <w:rFonts w:ascii="Cambria" w:eastAsia="Times New Roman" w:hAnsi="Cambria" w:cs="Calibri"/>
                <w:b/>
                <w:sz w:val="18"/>
                <w:szCs w:val="18"/>
              </w:rPr>
            </w:pPr>
          </w:p>
          <w:p w14:paraId="5FCB872D"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1E0DC55B"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 xml:space="preserve">8 </w:t>
            </w:r>
          </w:p>
        </w:tc>
        <w:tc>
          <w:tcPr>
            <w:tcW w:w="1165" w:type="dxa"/>
            <w:tcBorders>
              <w:top w:val="single" w:sz="4" w:space="0" w:color="auto"/>
              <w:left w:val="single" w:sz="4" w:space="0" w:color="auto"/>
              <w:bottom w:val="single" w:sz="4" w:space="0" w:color="auto"/>
              <w:right w:val="single" w:sz="4" w:space="0" w:color="auto"/>
            </w:tcBorders>
            <w:vAlign w:val="center"/>
          </w:tcPr>
          <w:p w14:paraId="1158FF24"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1E40BBB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Dans les cas où le </w:t>
            </w:r>
            <w:r w:rsidRPr="00C469EA">
              <w:rPr>
                <w:b/>
                <w:bCs/>
                <w:sz w:val="18"/>
                <w:szCs w:val="18"/>
              </w:rPr>
              <w:t>requin peau bleue de l'Atlantique Nord</w:t>
            </w:r>
            <w:r w:rsidRPr="00C469EA">
              <w:rPr>
                <w:sz w:val="18"/>
                <w:szCs w:val="18"/>
              </w:rPr>
              <w:t xml:space="preserve"> n'est pas conservé, les CPC devront déployer tous les efforts raisonnables afin que les spécimens capturés accidentellement dans les pêcheries de l'ICCAT soient remis à l'eau sains et saufs et dès que possible.</w:t>
            </w:r>
          </w:p>
        </w:tc>
        <w:tc>
          <w:tcPr>
            <w:tcW w:w="1566" w:type="dxa"/>
            <w:tcBorders>
              <w:top w:val="single" w:sz="4" w:space="0" w:color="auto"/>
              <w:left w:val="single" w:sz="4" w:space="0" w:color="auto"/>
              <w:bottom w:val="single" w:sz="4" w:space="0" w:color="auto"/>
              <w:right w:val="single" w:sz="4" w:space="0" w:color="auto"/>
            </w:tcBorders>
            <w:vAlign w:val="center"/>
          </w:tcPr>
          <w:p w14:paraId="346DC800"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vAlign w:val="center"/>
          </w:tcPr>
          <w:p w14:paraId="729E7925"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449A75C7"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74A53E83" w14:textId="77777777" w:rsidR="00945C39" w:rsidRPr="00C469EA" w:rsidRDefault="00945C39" w:rsidP="00112EB2">
            <w:pPr>
              <w:jc w:val="both"/>
              <w:rPr>
                <w:rFonts w:eastAsia="Times New Roman" w:cs="Calibri"/>
                <w:sz w:val="18"/>
                <w:szCs w:val="18"/>
              </w:rPr>
            </w:pPr>
            <w:r w:rsidRPr="00C469EA">
              <w:rPr>
                <w:sz w:val="18"/>
                <w:szCs w:val="18"/>
              </w:rPr>
              <w:t>Aucune capture de requin peau bleue de l’Atlantique Nord</w:t>
            </w:r>
          </w:p>
        </w:tc>
      </w:tr>
      <w:bookmarkEnd w:id="1"/>
      <w:bookmarkEnd w:id="4"/>
      <w:bookmarkEnd w:id="5"/>
      <w:tr w:rsidR="00945C39" w:rsidRPr="00C469EA" w14:paraId="1D76B51A"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24050D5B"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23-10</w:t>
            </w:r>
          </w:p>
          <w:p w14:paraId="70DE1C0C" w14:textId="77777777" w:rsidR="00945C39" w:rsidRPr="000632D8" w:rsidRDefault="00945C39" w:rsidP="00112EB2">
            <w:pPr>
              <w:jc w:val="center"/>
              <w:rPr>
                <w:rFonts w:ascii="Cambria" w:eastAsia="Times New Roman" w:hAnsi="Cambria" w:cs="Calibri"/>
                <w:b/>
                <w:sz w:val="18"/>
                <w:szCs w:val="18"/>
              </w:rPr>
            </w:pPr>
          </w:p>
          <w:p w14:paraId="13E6EDDA"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lastRenderedPageBreak/>
              <w:t>(Requin peau bleue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1D3F707B"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lastRenderedPageBreak/>
              <w:t>8</w:t>
            </w:r>
          </w:p>
          <w:p w14:paraId="25CADF93" w14:textId="77777777" w:rsidR="00945C39" w:rsidRPr="00C469EA" w:rsidRDefault="00945C39" w:rsidP="00112EB2">
            <w:pPr>
              <w:jc w:val="center"/>
              <w:rPr>
                <w:rFonts w:eastAsia="Times New Roman" w:cs="Calibri"/>
                <w:b/>
                <w:bCs/>
                <w:sz w:val="18"/>
                <w:szCs w:val="18"/>
              </w:rPr>
            </w:pPr>
          </w:p>
        </w:tc>
        <w:tc>
          <w:tcPr>
            <w:tcW w:w="1165" w:type="dxa"/>
            <w:tcBorders>
              <w:top w:val="single" w:sz="4" w:space="0" w:color="auto"/>
              <w:left w:val="single" w:sz="4" w:space="0" w:color="auto"/>
              <w:bottom w:val="single" w:sz="4" w:space="0" w:color="auto"/>
              <w:right w:val="single" w:sz="4" w:space="0" w:color="auto"/>
            </w:tcBorders>
            <w:vAlign w:val="center"/>
          </w:tcPr>
          <w:p w14:paraId="72EFC96A" w14:textId="77777777" w:rsidR="00945C39" w:rsidRPr="00C469EA" w:rsidDel="005D25B7" w:rsidRDefault="00945C39" w:rsidP="00112EB2">
            <w:pPr>
              <w:jc w:val="center"/>
              <w:rPr>
                <w:rFonts w:eastAsia="Times New Roman" w:cs="Calibri"/>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740EDE7E"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déclarer au Secrétariat de l'ICCAT, conformément aux exigences de déclaration des données de l'ICCAT, le nombre de </w:t>
            </w:r>
            <w:r w:rsidRPr="00C469EA">
              <w:rPr>
                <w:sz w:val="18"/>
                <w:szCs w:val="18"/>
              </w:rPr>
              <w:lastRenderedPageBreak/>
              <w:t>spécimens remis à l'eau, y compris leur état au moment de la remise à l'eau (c'est-à-dire les rejets morts et les remises à l'eau de spécimens vivants).</w:t>
            </w:r>
          </w:p>
        </w:tc>
        <w:tc>
          <w:tcPr>
            <w:tcW w:w="1566" w:type="dxa"/>
            <w:tcBorders>
              <w:top w:val="single" w:sz="4" w:space="0" w:color="auto"/>
              <w:left w:val="single" w:sz="4" w:space="0" w:color="auto"/>
              <w:bottom w:val="single" w:sz="4" w:space="0" w:color="auto"/>
              <w:right w:val="single" w:sz="4" w:space="0" w:color="auto"/>
            </w:tcBorders>
            <w:vAlign w:val="center"/>
          </w:tcPr>
          <w:p w14:paraId="797A72B1" w14:textId="77777777" w:rsidR="00945C39" w:rsidRPr="00C469EA" w:rsidRDefault="00945C39" w:rsidP="00112EB2">
            <w:pPr>
              <w:jc w:val="both"/>
              <w:rPr>
                <w:rFonts w:eastAsia="Times New Roman" w:cs="Calibri"/>
                <w:sz w:val="18"/>
                <w:szCs w:val="18"/>
              </w:rPr>
            </w:pPr>
            <w:r w:rsidRPr="00C469EA">
              <w:rPr>
                <w:sz w:val="18"/>
                <w:szCs w:val="18"/>
              </w:rPr>
              <w:lastRenderedPageBreak/>
              <w:t>Non</w:t>
            </w:r>
          </w:p>
        </w:tc>
        <w:tc>
          <w:tcPr>
            <w:tcW w:w="1618" w:type="dxa"/>
            <w:tcBorders>
              <w:top w:val="single" w:sz="4" w:space="0" w:color="auto"/>
              <w:left w:val="single" w:sz="4" w:space="0" w:color="auto"/>
              <w:bottom w:val="single" w:sz="4" w:space="0" w:color="auto"/>
              <w:right w:val="single" w:sz="4" w:space="0" w:color="auto"/>
            </w:tcBorders>
            <w:vAlign w:val="center"/>
          </w:tcPr>
          <w:p w14:paraId="698EF84B"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w:t>
            </w:r>
            <w:r w:rsidRPr="00C469EA">
              <w:rPr>
                <w:rFonts w:eastAsia="MS Mincho"/>
                <w:sz w:val="18"/>
                <w:szCs w:val="18"/>
                <w:lang w:eastAsia="fr-FR" w:bidi="fr-FR"/>
              </w:rPr>
              <w:lastRenderedPageBreak/>
              <w:t xml:space="preserve">les mesures de conservation </w:t>
            </w:r>
            <w:r>
              <w:rPr>
                <w:rFonts w:eastAsia="MS Mincho"/>
                <w:sz w:val="18"/>
                <w:szCs w:val="18"/>
                <w:lang w:eastAsia="fr-FR" w:bidi="fr-FR"/>
              </w:rPr>
              <w:t>des requins et raies</w:t>
            </w:r>
          </w:p>
          <w:p w14:paraId="2CD84929"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07B83AA" w14:textId="77777777" w:rsidR="00945C39" w:rsidRPr="00C469EA" w:rsidRDefault="00945C39" w:rsidP="00112EB2">
            <w:pPr>
              <w:jc w:val="both"/>
              <w:rPr>
                <w:rFonts w:eastAsia="Times New Roman" w:cs="Calibri"/>
                <w:sz w:val="18"/>
                <w:szCs w:val="18"/>
              </w:rPr>
            </w:pPr>
            <w:r w:rsidRPr="00C469EA">
              <w:rPr>
                <w:sz w:val="18"/>
                <w:szCs w:val="18"/>
              </w:rPr>
              <w:lastRenderedPageBreak/>
              <w:t>Aucune capture de requin peau bleue de l’Atlantique Nord</w:t>
            </w:r>
          </w:p>
        </w:tc>
      </w:tr>
      <w:tr w:rsidR="00945C39" w:rsidRPr="00C469EA" w14:paraId="64D0CF87"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E0E5D97"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23-10</w:t>
            </w:r>
          </w:p>
          <w:p w14:paraId="38296992" w14:textId="77777777" w:rsidR="00945C39" w:rsidRPr="000632D8" w:rsidRDefault="00945C39" w:rsidP="00112EB2">
            <w:pPr>
              <w:jc w:val="center"/>
              <w:rPr>
                <w:rFonts w:ascii="Cambria" w:eastAsia="Times New Roman" w:hAnsi="Cambria" w:cs="Calibri"/>
                <w:b/>
                <w:sz w:val="18"/>
                <w:szCs w:val="18"/>
              </w:rPr>
            </w:pPr>
          </w:p>
          <w:p w14:paraId="27C3E413"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Nord)</w:t>
            </w:r>
          </w:p>
        </w:tc>
        <w:tc>
          <w:tcPr>
            <w:tcW w:w="815" w:type="dxa"/>
            <w:tcBorders>
              <w:top w:val="single" w:sz="4" w:space="0" w:color="auto"/>
              <w:left w:val="single" w:sz="4" w:space="0" w:color="auto"/>
              <w:bottom w:val="single" w:sz="4" w:space="0" w:color="auto"/>
              <w:right w:val="single" w:sz="4" w:space="0" w:color="auto"/>
            </w:tcBorders>
            <w:noWrap/>
            <w:vAlign w:val="center"/>
          </w:tcPr>
          <w:p w14:paraId="2111852C"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 xml:space="preserve">9 </w:t>
            </w:r>
          </w:p>
        </w:tc>
        <w:tc>
          <w:tcPr>
            <w:tcW w:w="1165" w:type="dxa"/>
            <w:tcBorders>
              <w:top w:val="single" w:sz="4" w:space="0" w:color="auto"/>
              <w:left w:val="single" w:sz="4" w:space="0" w:color="auto"/>
              <w:bottom w:val="single" w:sz="4" w:space="0" w:color="auto"/>
              <w:right w:val="single" w:sz="4" w:space="0" w:color="auto"/>
            </w:tcBorders>
            <w:vAlign w:val="center"/>
          </w:tcPr>
          <w:p w14:paraId="382E9B69"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6F0CEE59"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inclure, dans leur feuille de contrôle de la mise en œuvre des mesures s'appliquant aux requins soumis à l'ICCAT en vertu de la Recommandation 18-06, des informations sur les mesures qu’elles ont prises au niveau national en vue de contrôler les captures et de conserver et gérer durablement le </w:t>
            </w:r>
            <w:r w:rsidRPr="00C469EA">
              <w:rPr>
                <w:b/>
                <w:bCs/>
                <w:sz w:val="18"/>
                <w:szCs w:val="18"/>
              </w:rPr>
              <w:t>requin peau bleue de l’Atlantique Nord.</w:t>
            </w:r>
          </w:p>
        </w:tc>
        <w:tc>
          <w:tcPr>
            <w:tcW w:w="1566" w:type="dxa"/>
            <w:tcBorders>
              <w:top w:val="single" w:sz="4" w:space="0" w:color="auto"/>
              <w:left w:val="single" w:sz="4" w:space="0" w:color="auto"/>
              <w:bottom w:val="single" w:sz="4" w:space="0" w:color="auto"/>
              <w:right w:val="single" w:sz="4" w:space="0" w:color="auto"/>
            </w:tcBorders>
            <w:vAlign w:val="center"/>
          </w:tcPr>
          <w:p w14:paraId="5E20B90D"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vAlign w:val="center"/>
          </w:tcPr>
          <w:p w14:paraId="28681725"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3C4C9DBD"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624C3772" w14:textId="77777777" w:rsidR="00945C39" w:rsidRPr="00C469EA" w:rsidRDefault="00945C39" w:rsidP="00112EB2">
            <w:pPr>
              <w:jc w:val="both"/>
              <w:rPr>
                <w:sz w:val="18"/>
                <w:szCs w:val="18"/>
              </w:rPr>
            </w:pPr>
          </w:p>
          <w:p w14:paraId="20F7FDD0" w14:textId="77777777" w:rsidR="00945C39" w:rsidRPr="00C469EA" w:rsidRDefault="00945C39" w:rsidP="00112EB2">
            <w:pPr>
              <w:jc w:val="both"/>
              <w:rPr>
                <w:rFonts w:eastAsia="Times New Roman" w:cs="Calibri"/>
                <w:sz w:val="18"/>
                <w:szCs w:val="18"/>
              </w:rPr>
            </w:pPr>
            <w:r w:rsidRPr="00C469EA">
              <w:rPr>
                <w:sz w:val="18"/>
                <w:szCs w:val="18"/>
              </w:rPr>
              <w:t>Aucune pêche du requin peau bleue de l’Atlantique Nord</w:t>
            </w:r>
          </w:p>
        </w:tc>
      </w:tr>
      <w:tr w:rsidR="00945C39" w:rsidRPr="00C469EA" w14:paraId="2D6A282A" w14:textId="77777777" w:rsidTr="00112EB2">
        <w:trPr>
          <w:trHeight w:val="88"/>
          <w:jc w:val="center"/>
        </w:trPr>
        <w:tc>
          <w:tcPr>
            <w:tcW w:w="1255" w:type="dxa"/>
            <w:tcBorders>
              <w:bottom w:val="single" w:sz="12" w:space="0" w:color="auto"/>
            </w:tcBorders>
            <w:noWrap/>
            <w:vAlign w:val="center"/>
          </w:tcPr>
          <w:p w14:paraId="39B66C5F"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23-10</w:t>
            </w:r>
          </w:p>
          <w:p w14:paraId="26685BCB" w14:textId="77777777" w:rsidR="00945C39" w:rsidRPr="000632D8" w:rsidRDefault="00945C39" w:rsidP="00112EB2">
            <w:pPr>
              <w:jc w:val="center"/>
              <w:rPr>
                <w:rFonts w:ascii="Cambria" w:eastAsia="Times New Roman" w:hAnsi="Cambria" w:cs="Calibri"/>
                <w:b/>
                <w:sz w:val="18"/>
                <w:szCs w:val="18"/>
              </w:rPr>
            </w:pPr>
          </w:p>
          <w:p w14:paraId="0C964813"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Nord)</w:t>
            </w:r>
          </w:p>
        </w:tc>
        <w:tc>
          <w:tcPr>
            <w:tcW w:w="815" w:type="dxa"/>
            <w:tcBorders>
              <w:bottom w:val="single" w:sz="12" w:space="0" w:color="auto"/>
            </w:tcBorders>
            <w:noWrap/>
            <w:vAlign w:val="center"/>
          </w:tcPr>
          <w:p w14:paraId="7C57C5C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10</w:t>
            </w:r>
          </w:p>
        </w:tc>
        <w:tc>
          <w:tcPr>
            <w:tcW w:w="1165" w:type="dxa"/>
            <w:tcBorders>
              <w:bottom w:val="single" w:sz="12" w:space="0" w:color="auto"/>
            </w:tcBorders>
            <w:vAlign w:val="center"/>
          </w:tcPr>
          <w:p w14:paraId="4E4AA0E8" w14:textId="77777777" w:rsidR="00945C39" w:rsidRPr="00C469EA" w:rsidRDefault="00945C39" w:rsidP="00112EB2">
            <w:pPr>
              <w:widowControl w:val="0"/>
              <w:kinsoku w:val="0"/>
              <w:overflowPunct w:val="0"/>
              <w:autoSpaceDE w:val="0"/>
              <w:autoSpaceDN w:val="0"/>
              <w:adjustRightInd w:val="0"/>
              <w:spacing w:line="220" w:lineRule="exact"/>
              <w:ind w:right="113"/>
              <w:jc w:val="center"/>
              <w:rPr>
                <w:sz w:val="18"/>
                <w:szCs w:val="18"/>
              </w:rPr>
            </w:pPr>
            <w:r w:rsidRPr="000632D8">
              <w:rPr>
                <w:rFonts w:ascii="Cambria" w:hAnsi="Cambria"/>
                <w:sz w:val="18"/>
                <w:szCs w:val="18"/>
              </w:rPr>
              <w:t>Voir ci-dessus</w:t>
            </w:r>
          </w:p>
        </w:tc>
        <w:tc>
          <w:tcPr>
            <w:tcW w:w="2666" w:type="dxa"/>
            <w:tcBorders>
              <w:bottom w:val="single" w:sz="12" w:space="0" w:color="auto"/>
            </w:tcBorders>
            <w:vAlign w:val="center"/>
          </w:tcPr>
          <w:p w14:paraId="200BC0D2"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sont encouragées à entreprendre des travaux de recherche scientifique qui fournissent des informations sur les paramètres biologiques et écologiques clés, le cycle vital, les migrations, la survie suivant la remise à l'eau et les caractéristiques comportementales du </w:t>
            </w:r>
            <w:r w:rsidRPr="00C469EA">
              <w:rPr>
                <w:b/>
                <w:bCs/>
                <w:sz w:val="18"/>
                <w:szCs w:val="18"/>
              </w:rPr>
              <w:t>requin peau bleue du Nord</w:t>
            </w:r>
            <w:r w:rsidRPr="00C469EA">
              <w:rPr>
                <w:sz w:val="18"/>
                <w:szCs w:val="18"/>
              </w:rPr>
              <w:t>. Ces informations devront être -mises à la disposition du SCRS.</w:t>
            </w:r>
          </w:p>
        </w:tc>
        <w:tc>
          <w:tcPr>
            <w:tcW w:w="1566" w:type="dxa"/>
            <w:tcBorders>
              <w:bottom w:val="single" w:sz="12" w:space="0" w:color="auto"/>
            </w:tcBorders>
            <w:vAlign w:val="center"/>
          </w:tcPr>
          <w:p w14:paraId="7DF0F846" w14:textId="77777777" w:rsidR="00945C39" w:rsidRPr="00C469EA" w:rsidRDefault="00945C39" w:rsidP="00112EB2">
            <w:pPr>
              <w:jc w:val="both"/>
              <w:rPr>
                <w:rFonts w:eastAsia="Times New Roman" w:cs="Calibri"/>
                <w:sz w:val="18"/>
                <w:szCs w:val="18"/>
              </w:rPr>
            </w:pPr>
            <w:r w:rsidRPr="00C469EA">
              <w:rPr>
                <w:sz w:val="18"/>
                <w:szCs w:val="18"/>
              </w:rPr>
              <w:t>N/A</w:t>
            </w:r>
          </w:p>
        </w:tc>
        <w:tc>
          <w:tcPr>
            <w:tcW w:w="1618" w:type="dxa"/>
            <w:tcBorders>
              <w:bottom w:val="single" w:sz="12" w:space="0" w:color="auto"/>
            </w:tcBorders>
            <w:vAlign w:val="center"/>
          </w:tcPr>
          <w:p w14:paraId="20719A48" w14:textId="77777777" w:rsidR="00945C39" w:rsidRPr="00C469EA" w:rsidRDefault="00945C39" w:rsidP="00112EB2">
            <w:pPr>
              <w:jc w:val="both"/>
              <w:rPr>
                <w:rFonts w:eastAsia="Times New Roman" w:cs="Calibri"/>
                <w:sz w:val="18"/>
                <w:szCs w:val="18"/>
              </w:rPr>
            </w:pPr>
          </w:p>
        </w:tc>
        <w:tc>
          <w:tcPr>
            <w:tcW w:w="2041" w:type="dxa"/>
            <w:tcBorders>
              <w:bottom w:val="single" w:sz="12" w:space="0" w:color="auto"/>
            </w:tcBorders>
            <w:vAlign w:val="center"/>
          </w:tcPr>
          <w:p w14:paraId="41387195" w14:textId="77777777" w:rsidR="00945C39" w:rsidRPr="00C469EA" w:rsidRDefault="00945C39" w:rsidP="00112EB2">
            <w:pPr>
              <w:jc w:val="both"/>
              <w:rPr>
                <w:rFonts w:eastAsia="Times New Roman" w:cs="Calibri"/>
                <w:sz w:val="18"/>
                <w:szCs w:val="18"/>
              </w:rPr>
            </w:pPr>
            <w:r w:rsidRPr="00C469EA">
              <w:rPr>
                <w:sz w:val="18"/>
                <w:szCs w:val="18"/>
              </w:rPr>
              <w:t xml:space="preserve">Pas de captures, </w:t>
            </w:r>
            <w:r>
              <w:rPr>
                <w:sz w:val="18"/>
                <w:szCs w:val="18"/>
              </w:rPr>
              <w:t xml:space="preserve">de </w:t>
            </w:r>
            <w:r w:rsidRPr="00C469EA">
              <w:rPr>
                <w:sz w:val="18"/>
                <w:szCs w:val="18"/>
              </w:rPr>
              <w:t xml:space="preserve">travaux de recherche et </w:t>
            </w:r>
            <w:r>
              <w:rPr>
                <w:sz w:val="18"/>
                <w:szCs w:val="18"/>
              </w:rPr>
              <w:t>d’</w:t>
            </w:r>
            <w:r w:rsidRPr="00C469EA">
              <w:rPr>
                <w:sz w:val="18"/>
                <w:szCs w:val="18"/>
              </w:rPr>
              <w:t>informations</w:t>
            </w:r>
            <w:r>
              <w:rPr>
                <w:sz w:val="18"/>
                <w:szCs w:val="18"/>
              </w:rPr>
              <w:t>, donc</w:t>
            </w:r>
            <w:r w:rsidRPr="00C469EA">
              <w:rPr>
                <w:sz w:val="18"/>
                <w:szCs w:val="18"/>
              </w:rPr>
              <w:t xml:space="preserve"> sans objet.</w:t>
            </w:r>
          </w:p>
        </w:tc>
      </w:tr>
      <w:tr w:rsidR="00945C39" w:rsidRPr="00C469EA" w14:paraId="23C41F0A" w14:textId="77777777" w:rsidTr="00112EB2">
        <w:trPr>
          <w:trHeight w:val="118"/>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5C938E3A" w14:textId="77777777" w:rsidR="00945C39" w:rsidRPr="00C469EA" w:rsidRDefault="00945C39" w:rsidP="00112EB2">
            <w:pPr>
              <w:jc w:val="both"/>
              <w:rPr>
                <w:rFonts w:cs="Times New Roman"/>
                <w:b/>
                <w:bCs/>
                <w:sz w:val="18"/>
                <w:szCs w:val="18"/>
              </w:rPr>
            </w:pPr>
            <w:r w:rsidRPr="000632D8">
              <w:rPr>
                <w:rFonts w:ascii="Cambria" w:hAnsi="Cambria" w:cs="Times New Roman"/>
                <w:b/>
                <w:sz w:val="18"/>
                <w:szCs w:val="18"/>
              </w:rPr>
              <w:t>REQUIN PEAU BLEUE DE L’ATLANTIQUE SUD</w:t>
            </w:r>
          </w:p>
        </w:tc>
      </w:tr>
      <w:tr w:rsidR="00945C39" w:rsidRPr="00C469EA" w14:paraId="09940284" w14:textId="77777777" w:rsidTr="00112EB2">
        <w:trPr>
          <w:trHeight w:val="118"/>
          <w:jc w:val="center"/>
        </w:trPr>
        <w:tc>
          <w:tcPr>
            <w:tcW w:w="1255" w:type="dxa"/>
            <w:tcBorders>
              <w:top w:val="single" w:sz="12" w:space="0" w:color="auto"/>
              <w:left w:val="single" w:sz="4" w:space="0" w:color="auto"/>
              <w:bottom w:val="single" w:sz="4" w:space="0" w:color="auto"/>
              <w:right w:val="single" w:sz="4" w:space="0" w:color="auto"/>
            </w:tcBorders>
            <w:noWrap/>
            <w:vAlign w:val="center"/>
          </w:tcPr>
          <w:p w14:paraId="35E77F8D" w14:textId="77777777" w:rsidR="00945C39" w:rsidRPr="000632D8" w:rsidRDefault="00945C39" w:rsidP="00112EB2">
            <w:pPr>
              <w:jc w:val="center"/>
              <w:rPr>
                <w:rFonts w:ascii="Cambria" w:eastAsia="Times New Roman" w:hAnsi="Cambria" w:cs="Calibri"/>
                <w:b/>
                <w:bCs/>
                <w:sz w:val="18"/>
                <w:szCs w:val="18"/>
              </w:rPr>
            </w:pPr>
            <w:bookmarkStart w:id="7" w:name="_Hlk157598162"/>
            <w:r w:rsidRPr="000632D8">
              <w:rPr>
                <w:rFonts w:ascii="Cambria" w:hAnsi="Cambria"/>
                <w:b/>
                <w:sz w:val="18"/>
                <w:szCs w:val="18"/>
              </w:rPr>
              <w:t>23-11</w:t>
            </w:r>
          </w:p>
          <w:p w14:paraId="0D15118D" w14:textId="77777777" w:rsidR="00945C39" w:rsidRPr="000632D8" w:rsidRDefault="00945C39" w:rsidP="00112EB2">
            <w:pPr>
              <w:rPr>
                <w:rFonts w:ascii="Cambria" w:eastAsia="Times New Roman" w:hAnsi="Cambria" w:cs="Calibri"/>
                <w:b/>
                <w:bCs/>
                <w:sz w:val="18"/>
                <w:szCs w:val="18"/>
              </w:rPr>
            </w:pPr>
          </w:p>
          <w:p w14:paraId="7C4F1314"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peau bleue du Sud)</w:t>
            </w:r>
          </w:p>
        </w:tc>
        <w:tc>
          <w:tcPr>
            <w:tcW w:w="815" w:type="dxa"/>
            <w:tcBorders>
              <w:top w:val="single" w:sz="12" w:space="0" w:color="auto"/>
              <w:left w:val="single" w:sz="4" w:space="0" w:color="auto"/>
              <w:bottom w:val="single" w:sz="4" w:space="0" w:color="auto"/>
              <w:right w:val="single" w:sz="4" w:space="0" w:color="auto"/>
            </w:tcBorders>
            <w:noWrap/>
            <w:vAlign w:val="center"/>
          </w:tcPr>
          <w:p w14:paraId="009BE3B3"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3</w:t>
            </w:r>
          </w:p>
        </w:tc>
        <w:tc>
          <w:tcPr>
            <w:tcW w:w="1165" w:type="dxa"/>
            <w:tcBorders>
              <w:top w:val="single" w:sz="12" w:space="0" w:color="auto"/>
              <w:left w:val="single" w:sz="4" w:space="0" w:color="auto"/>
              <w:bottom w:val="single" w:sz="4" w:space="0" w:color="auto"/>
              <w:right w:val="single" w:sz="4" w:space="0" w:color="auto"/>
            </w:tcBorders>
            <w:vAlign w:val="center"/>
          </w:tcPr>
          <w:p w14:paraId="777B0033"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Abroge et remplace les Recs. 21-11 et 19-08.</w:t>
            </w:r>
          </w:p>
        </w:tc>
        <w:tc>
          <w:tcPr>
            <w:tcW w:w="2666" w:type="dxa"/>
            <w:tcBorders>
              <w:top w:val="single" w:sz="12" w:space="0" w:color="auto"/>
              <w:left w:val="single" w:sz="4" w:space="0" w:color="auto"/>
              <w:bottom w:val="single" w:sz="4" w:space="0" w:color="auto"/>
              <w:right w:val="single" w:sz="4" w:space="0" w:color="auto"/>
            </w:tcBorders>
            <w:vAlign w:val="center"/>
          </w:tcPr>
          <w:p w14:paraId="44C38AE1" w14:textId="77777777" w:rsidR="00945C39" w:rsidRPr="00C469EA" w:rsidRDefault="00945C39" w:rsidP="00112EB2">
            <w:pPr>
              <w:spacing w:line="220" w:lineRule="exact"/>
              <w:ind w:right="113"/>
              <w:jc w:val="both"/>
              <w:rPr>
                <w:rFonts w:eastAsia="Times New Roman" w:cs="Calibri"/>
                <w:sz w:val="18"/>
                <w:szCs w:val="18"/>
              </w:rPr>
            </w:pPr>
            <w:r w:rsidRPr="00C469EA">
              <w:rPr>
                <w:sz w:val="18"/>
                <w:szCs w:val="18"/>
              </w:rPr>
              <w:t xml:space="preserve">Les CPC suivantes devront être soumises aux limites de capture suivantes pour le </w:t>
            </w:r>
            <w:r w:rsidRPr="00C469EA">
              <w:rPr>
                <w:b/>
                <w:bCs/>
                <w:sz w:val="18"/>
                <w:szCs w:val="18"/>
              </w:rPr>
              <w:t xml:space="preserve">requin peau bleue de l'Atlantique Sud </w:t>
            </w:r>
            <w:r w:rsidRPr="00C469EA">
              <w:rPr>
                <w:sz w:val="18"/>
                <w:szCs w:val="18"/>
              </w:rPr>
              <w:t>:</w:t>
            </w:r>
          </w:p>
          <w:p w14:paraId="1CB3C3C4" w14:textId="77777777" w:rsidR="00945C39" w:rsidRPr="00C469EA" w:rsidRDefault="00945C39" w:rsidP="00112EB2">
            <w:pPr>
              <w:spacing w:line="220" w:lineRule="exact"/>
              <w:ind w:right="113"/>
              <w:jc w:val="both"/>
              <w:rPr>
                <w:rFonts w:eastAsia="Times New Roman" w:cs="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852"/>
            </w:tblGrid>
            <w:tr w:rsidR="00945C39" w:rsidRPr="00C469EA" w14:paraId="055B094B" w14:textId="77777777" w:rsidTr="00112EB2">
              <w:trPr>
                <w:jc w:val="center"/>
              </w:trPr>
              <w:tc>
                <w:tcPr>
                  <w:tcW w:w="1470" w:type="dxa"/>
                </w:tcPr>
                <w:p w14:paraId="3769EA81" w14:textId="77777777" w:rsidR="00945C39" w:rsidRPr="00C469EA" w:rsidRDefault="00945C39" w:rsidP="00112EB2">
                  <w:pPr>
                    <w:jc w:val="both"/>
                    <w:rPr>
                      <w:i/>
                      <w:iCs/>
                      <w:sz w:val="18"/>
                      <w:szCs w:val="18"/>
                    </w:rPr>
                  </w:pPr>
                  <w:r w:rsidRPr="00C469EA">
                    <w:rPr>
                      <w:i/>
                      <w:sz w:val="18"/>
                      <w:szCs w:val="18"/>
                    </w:rPr>
                    <w:lastRenderedPageBreak/>
                    <w:t>CPC</w:t>
                  </w:r>
                </w:p>
              </w:tc>
              <w:tc>
                <w:tcPr>
                  <w:tcW w:w="852" w:type="dxa"/>
                </w:tcPr>
                <w:p w14:paraId="75562875" w14:textId="77777777" w:rsidR="00945C39" w:rsidRPr="00C469EA" w:rsidRDefault="00945C39" w:rsidP="00112EB2">
                  <w:pPr>
                    <w:jc w:val="both"/>
                    <w:rPr>
                      <w:i/>
                      <w:iCs/>
                      <w:sz w:val="18"/>
                      <w:szCs w:val="18"/>
                    </w:rPr>
                  </w:pPr>
                  <w:r w:rsidRPr="00C469EA">
                    <w:rPr>
                      <w:i/>
                      <w:sz w:val="18"/>
                      <w:szCs w:val="18"/>
                    </w:rPr>
                    <w:t>t</w:t>
                  </w:r>
                </w:p>
              </w:tc>
            </w:tr>
            <w:tr w:rsidR="00945C39" w:rsidRPr="00C469EA" w14:paraId="10ADF311" w14:textId="77777777" w:rsidTr="00112EB2">
              <w:trPr>
                <w:jc w:val="center"/>
              </w:trPr>
              <w:tc>
                <w:tcPr>
                  <w:tcW w:w="1470" w:type="dxa"/>
                </w:tcPr>
                <w:p w14:paraId="10802E3B" w14:textId="77777777" w:rsidR="00945C39" w:rsidRPr="00C469EA" w:rsidRDefault="00945C39" w:rsidP="00112EB2">
                  <w:pPr>
                    <w:jc w:val="both"/>
                    <w:rPr>
                      <w:sz w:val="18"/>
                      <w:szCs w:val="18"/>
                    </w:rPr>
                  </w:pPr>
                  <w:r w:rsidRPr="00C469EA">
                    <w:rPr>
                      <w:sz w:val="18"/>
                      <w:szCs w:val="18"/>
                    </w:rPr>
                    <w:t>UE</w:t>
                  </w:r>
                </w:p>
              </w:tc>
              <w:tc>
                <w:tcPr>
                  <w:tcW w:w="852" w:type="dxa"/>
                </w:tcPr>
                <w:p w14:paraId="207A58D0" w14:textId="77777777" w:rsidR="00945C39" w:rsidRPr="00C469EA" w:rsidRDefault="00945C39" w:rsidP="00112EB2">
                  <w:pPr>
                    <w:jc w:val="both"/>
                    <w:rPr>
                      <w:sz w:val="18"/>
                      <w:szCs w:val="18"/>
                    </w:rPr>
                  </w:pPr>
                  <w:r w:rsidRPr="00C469EA">
                    <w:rPr>
                      <w:sz w:val="18"/>
                      <w:szCs w:val="18"/>
                    </w:rPr>
                    <w:t>17.405 t</w:t>
                  </w:r>
                </w:p>
              </w:tc>
            </w:tr>
            <w:tr w:rsidR="00945C39" w:rsidRPr="00C469EA" w14:paraId="004D6AB6" w14:textId="77777777" w:rsidTr="00112EB2">
              <w:trPr>
                <w:jc w:val="center"/>
              </w:trPr>
              <w:tc>
                <w:tcPr>
                  <w:tcW w:w="1470" w:type="dxa"/>
                </w:tcPr>
                <w:p w14:paraId="7C527BEF" w14:textId="77777777" w:rsidR="00945C39" w:rsidRPr="00C469EA" w:rsidRDefault="00945C39" w:rsidP="00112EB2">
                  <w:pPr>
                    <w:jc w:val="both"/>
                    <w:rPr>
                      <w:sz w:val="18"/>
                      <w:szCs w:val="18"/>
                    </w:rPr>
                  </w:pPr>
                  <w:r w:rsidRPr="00C469EA">
                    <w:rPr>
                      <w:sz w:val="18"/>
                      <w:szCs w:val="18"/>
                    </w:rPr>
                    <w:t>Brésil</w:t>
                  </w:r>
                </w:p>
              </w:tc>
              <w:tc>
                <w:tcPr>
                  <w:tcW w:w="852" w:type="dxa"/>
                </w:tcPr>
                <w:p w14:paraId="036978D6" w14:textId="77777777" w:rsidR="00945C39" w:rsidRPr="00C469EA" w:rsidRDefault="00945C39" w:rsidP="00112EB2">
                  <w:pPr>
                    <w:jc w:val="both"/>
                    <w:rPr>
                      <w:sz w:val="18"/>
                      <w:szCs w:val="18"/>
                    </w:rPr>
                  </w:pPr>
                  <w:r w:rsidRPr="00C469EA">
                    <w:rPr>
                      <w:sz w:val="18"/>
                      <w:szCs w:val="18"/>
                    </w:rPr>
                    <w:t>3.481 t</w:t>
                  </w:r>
                </w:p>
              </w:tc>
            </w:tr>
            <w:tr w:rsidR="00945C39" w:rsidRPr="00C469EA" w14:paraId="0F544095" w14:textId="77777777" w:rsidTr="00112EB2">
              <w:trPr>
                <w:jc w:val="center"/>
              </w:trPr>
              <w:tc>
                <w:tcPr>
                  <w:tcW w:w="1470" w:type="dxa"/>
                </w:tcPr>
                <w:p w14:paraId="350367BD" w14:textId="77777777" w:rsidR="00945C39" w:rsidRPr="00C469EA" w:rsidRDefault="00945C39" w:rsidP="00112EB2">
                  <w:pPr>
                    <w:jc w:val="both"/>
                    <w:rPr>
                      <w:sz w:val="18"/>
                      <w:szCs w:val="18"/>
                    </w:rPr>
                  </w:pPr>
                  <w:r w:rsidRPr="00C469EA">
                    <w:rPr>
                      <w:sz w:val="18"/>
                      <w:szCs w:val="18"/>
                    </w:rPr>
                    <w:t>Namibie</w:t>
                  </w:r>
                </w:p>
              </w:tc>
              <w:tc>
                <w:tcPr>
                  <w:tcW w:w="852" w:type="dxa"/>
                </w:tcPr>
                <w:p w14:paraId="5EAF8A29" w14:textId="77777777" w:rsidR="00945C39" w:rsidRPr="00C469EA" w:rsidRDefault="00945C39" w:rsidP="00112EB2">
                  <w:pPr>
                    <w:jc w:val="both"/>
                    <w:rPr>
                      <w:sz w:val="18"/>
                      <w:szCs w:val="18"/>
                    </w:rPr>
                  </w:pPr>
                  <w:r w:rsidRPr="00C469EA">
                    <w:rPr>
                      <w:sz w:val="18"/>
                      <w:szCs w:val="18"/>
                    </w:rPr>
                    <w:t>3.238 t</w:t>
                  </w:r>
                </w:p>
              </w:tc>
            </w:tr>
            <w:tr w:rsidR="00945C39" w:rsidRPr="00C469EA" w14:paraId="2109E573" w14:textId="77777777" w:rsidTr="00112EB2">
              <w:trPr>
                <w:jc w:val="center"/>
              </w:trPr>
              <w:tc>
                <w:tcPr>
                  <w:tcW w:w="1470" w:type="dxa"/>
                </w:tcPr>
                <w:p w14:paraId="2E3E4702" w14:textId="77777777" w:rsidR="00945C39" w:rsidRPr="00C469EA" w:rsidRDefault="00945C39" w:rsidP="00112EB2">
                  <w:pPr>
                    <w:jc w:val="both"/>
                    <w:rPr>
                      <w:sz w:val="18"/>
                      <w:szCs w:val="18"/>
                    </w:rPr>
                  </w:pPr>
                  <w:r w:rsidRPr="00C469EA">
                    <w:rPr>
                      <w:sz w:val="18"/>
                      <w:szCs w:val="18"/>
                    </w:rPr>
                    <w:t>Japon</w:t>
                  </w:r>
                </w:p>
              </w:tc>
              <w:tc>
                <w:tcPr>
                  <w:tcW w:w="852" w:type="dxa"/>
                </w:tcPr>
                <w:p w14:paraId="2636D804" w14:textId="77777777" w:rsidR="00945C39" w:rsidRPr="00C469EA" w:rsidRDefault="00945C39" w:rsidP="00112EB2">
                  <w:pPr>
                    <w:jc w:val="both"/>
                    <w:rPr>
                      <w:sz w:val="18"/>
                      <w:szCs w:val="18"/>
                    </w:rPr>
                  </w:pPr>
                  <w:r w:rsidRPr="00C469EA">
                    <w:rPr>
                      <w:sz w:val="18"/>
                      <w:szCs w:val="18"/>
                    </w:rPr>
                    <w:t>1.520 t</w:t>
                  </w:r>
                </w:p>
              </w:tc>
            </w:tr>
            <w:tr w:rsidR="00945C39" w:rsidRPr="00C469EA" w14:paraId="2CC1FC40" w14:textId="77777777" w:rsidTr="00112EB2">
              <w:trPr>
                <w:jc w:val="center"/>
              </w:trPr>
              <w:tc>
                <w:tcPr>
                  <w:tcW w:w="1470" w:type="dxa"/>
                </w:tcPr>
                <w:p w14:paraId="13B43802" w14:textId="77777777" w:rsidR="00945C39" w:rsidRPr="00C469EA" w:rsidRDefault="00945C39" w:rsidP="00112EB2">
                  <w:pPr>
                    <w:jc w:val="both"/>
                    <w:rPr>
                      <w:sz w:val="18"/>
                      <w:szCs w:val="18"/>
                    </w:rPr>
                  </w:pPr>
                  <w:r w:rsidRPr="00C469EA">
                    <w:rPr>
                      <w:sz w:val="18"/>
                      <w:szCs w:val="18"/>
                    </w:rPr>
                    <w:t>Taipei chinois</w:t>
                  </w:r>
                </w:p>
              </w:tc>
              <w:tc>
                <w:tcPr>
                  <w:tcW w:w="852" w:type="dxa"/>
                </w:tcPr>
                <w:p w14:paraId="03D5664B" w14:textId="77777777" w:rsidR="00945C39" w:rsidRPr="00C469EA" w:rsidRDefault="00945C39" w:rsidP="00112EB2">
                  <w:pPr>
                    <w:jc w:val="both"/>
                    <w:rPr>
                      <w:sz w:val="18"/>
                      <w:szCs w:val="18"/>
                    </w:rPr>
                  </w:pPr>
                  <w:r w:rsidRPr="00C469EA">
                    <w:rPr>
                      <w:sz w:val="18"/>
                      <w:szCs w:val="18"/>
                    </w:rPr>
                    <w:t>867 t</w:t>
                  </w:r>
                </w:p>
              </w:tc>
            </w:tr>
          </w:tbl>
          <w:p w14:paraId="28F6F526" w14:textId="77777777" w:rsidR="00945C39" w:rsidRPr="00C469EA" w:rsidRDefault="00945C39" w:rsidP="00112EB2">
            <w:pPr>
              <w:jc w:val="both"/>
              <w:rPr>
                <w:rFonts w:eastAsia="Times New Roman" w:cs="Calibri"/>
                <w:sz w:val="18"/>
                <w:szCs w:val="18"/>
                <w:lang w:val="en-GB"/>
              </w:rPr>
            </w:pPr>
          </w:p>
        </w:tc>
        <w:tc>
          <w:tcPr>
            <w:tcW w:w="1566" w:type="dxa"/>
            <w:tcBorders>
              <w:top w:val="single" w:sz="12" w:space="0" w:color="auto"/>
              <w:left w:val="single" w:sz="4" w:space="0" w:color="auto"/>
              <w:bottom w:val="single" w:sz="4" w:space="0" w:color="auto"/>
              <w:right w:val="single" w:sz="4" w:space="0" w:color="auto"/>
            </w:tcBorders>
            <w:vAlign w:val="center"/>
          </w:tcPr>
          <w:p w14:paraId="25277ABD" w14:textId="77777777" w:rsidR="00945C39" w:rsidRPr="00C469EA" w:rsidRDefault="00945C39" w:rsidP="00112EB2">
            <w:pPr>
              <w:jc w:val="both"/>
              <w:rPr>
                <w:rFonts w:eastAsia="Times New Roman" w:cs="Calibri"/>
                <w:sz w:val="18"/>
                <w:szCs w:val="18"/>
              </w:rPr>
            </w:pPr>
            <w:r w:rsidRPr="00C469EA">
              <w:rPr>
                <w:sz w:val="18"/>
                <w:szCs w:val="18"/>
              </w:rPr>
              <w:lastRenderedPageBreak/>
              <w:t>N/A</w:t>
            </w:r>
          </w:p>
        </w:tc>
        <w:tc>
          <w:tcPr>
            <w:tcW w:w="1618" w:type="dxa"/>
            <w:tcBorders>
              <w:top w:val="single" w:sz="12" w:space="0" w:color="auto"/>
              <w:left w:val="single" w:sz="4" w:space="0" w:color="auto"/>
              <w:bottom w:val="single" w:sz="4" w:space="0" w:color="auto"/>
              <w:right w:val="single" w:sz="4" w:space="0" w:color="auto"/>
            </w:tcBorders>
            <w:vAlign w:val="center"/>
          </w:tcPr>
          <w:p w14:paraId="769C6685" w14:textId="77777777" w:rsidR="00945C39" w:rsidRPr="00C469EA" w:rsidRDefault="00945C39" w:rsidP="00112EB2">
            <w:pPr>
              <w:jc w:val="both"/>
              <w:rPr>
                <w:rFonts w:eastAsia="Times New Roman" w:cs="Calibri"/>
                <w:sz w:val="18"/>
                <w:szCs w:val="18"/>
              </w:rPr>
            </w:pPr>
          </w:p>
        </w:tc>
        <w:tc>
          <w:tcPr>
            <w:tcW w:w="2041" w:type="dxa"/>
            <w:tcBorders>
              <w:top w:val="single" w:sz="12" w:space="0" w:color="auto"/>
              <w:left w:val="single" w:sz="4" w:space="0" w:color="auto"/>
              <w:bottom w:val="single" w:sz="4" w:space="0" w:color="auto"/>
              <w:right w:val="single" w:sz="4" w:space="0" w:color="auto"/>
            </w:tcBorders>
            <w:vAlign w:val="center"/>
          </w:tcPr>
          <w:p w14:paraId="6915EF8E" w14:textId="77777777" w:rsidR="00945C39" w:rsidRPr="00C469EA" w:rsidRDefault="00945C39" w:rsidP="00112EB2">
            <w:pPr>
              <w:jc w:val="both"/>
              <w:rPr>
                <w:rFonts w:eastAsia="Times New Roman" w:cs="Calibri"/>
                <w:sz w:val="18"/>
                <w:szCs w:val="18"/>
              </w:rPr>
            </w:pPr>
            <w:r w:rsidRPr="00C469EA">
              <w:rPr>
                <w:sz w:val="18"/>
                <w:szCs w:val="18"/>
              </w:rPr>
              <w:t>Le Sénégal ne figure pas dans le tableau.</w:t>
            </w:r>
          </w:p>
        </w:tc>
      </w:tr>
      <w:tr w:rsidR="00945C39" w:rsidRPr="00C469EA" w14:paraId="22241AC8" w14:textId="77777777" w:rsidTr="00112EB2">
        <w:trPr>
          <w:trHeight w:val="118"/>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0E3132F6" w14:textId="77777777" w:rsidR="00945C39" w:rsidRPr="000632D8" w:rsidRDefault="00945C39" w:rsidP="00112EB2">
            <w:pPr>
              <w:jc w:val="center"/>
              <w:rPr>
                <w:rFonts w:ascii="Cambria" w:eastAsia="Times New Roman" w:hAnsi="Cambria" w:cs="Calibri"/>
                <w:b/>
                <w:bCs/>
                <w:sz w:val="18"/>
                <w:szCs w:val="18"/>
              </w:rPr>
            </w:pPr>
            <w:r w:rsidRPr="000632D8">
              <w:rPr>
                <w:rFonts w:ascii="Cambria" w:hAnsi="Cambria"/>
                <w:b/>
                <w:sz w:val="18"/>
                <w:szCs w:val="18"/>
              </w:rPr>
              <w:t>23-11</w:t>
            </w:r>
          </w:p>
          <w:p w14:paraId="107CB2E7" w14:textId="77777777" w:rsidR="00945C39" w:rsidRPr="000632D8" w:rsidRDefault="00945C39" w:rsidP="00112EB2">
            <w:pPr>
              <w:rPr>
                <w:rFonts w:ascii="Cambria" w:eastAsia="Times New Roman" w:hAnsi="Cambria" w:cs="Calibri"/>
                <w:b/>
                <w:bCs/>
                <w:sz w:val="18"/>
                <w:szCs w:val="18"/>
              </w:rPr>
            </w:pPr>
          </w:p>
          <w:p w14:paraId="1AE80FDA"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peau bleue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53B4E00E"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3</w:t>
            </w:r>
          </w:p>
          <w:p w14:paraId="5D046C53" w14:textId="77777777" w:rsidR="00945C39" w:rsidRPr="00C469EA" w:rsidDel="00D73EFE" w:rsidRDefault="00945C39" w:rsidP="00112EB2">
            <w:pPr>
              <w:jc w:val="center"/>
              <w:rPr>
                <w:rFonts w:eastAsia="Times New Roman" w:cs="Calibri"/>
                <w:b/>
                <w:sz w:val="18"/>
                <w:szCs w:val="18"/>
              </w:rPr>
            </w:pPr>
          </w:p>
        </w:tc>
        <w:tc>
          <w:tcPr>
            <w:tcW w:w="1165" w:type="dxa"/>
            <w:tcBorders>
              <w:top w:val="single" w:sz="4" w:space="0" w:color="auto"/>
              <w:left w:val="single" w:sz="4" w:space="0" w:color="auto"/>
              <w:bottom w:val="single" w:sz="4" w:space="0" w:color="auto"/>
              <w:right w:val="single" w:sz="4" w:space="0" w:color="auto"/>
            </w:tcBorders>
            <w:vAlign w:val="center"/>
          </w:tcPr>
          <w:p w14:paraId="0DBC93EE" w14:textId="77777777" w:rsidR="00945C39" w:rsidRPr="00C469EA" w:rsidDel="005D25B7" w:rsidRDefault="00945C39" w:rsidP="00112EB2">
            <w:pPr>
              <w:jc w:val="center"/>
              <w:rPr>
                <w:rFonts w:eastAsia="Times New Roman" w:cs="Calibri"/>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1683DAE5" w14:textId="77777777" w:rsidR="00945C39" w:rsidRPr="00C469EA" w:rsidRDefault="00945C39" w:rsidP="00112EB2">
            <w:pPr>
              <w:spacing w:line="220" w:lineRule="exact"/>
              <w:ind w:right="113"/>
              <w:jc w:val="both"/>
              <w:rPr>
                <w:rFonts w:eastAsia="Times New Roman" w:cs="Calibri"/>
                <w:sz w:val="18"/>
                <w:szCs w:val="18"/>
              </w:rPr>
            </w:pPr>
            <w:r w:rsidRPr="00C469EA">
              <w:rPr>
                <w:sz w:val="18"/>
                <w:szCs w:val="18"/>
              </w:rPr>
              <w:t>a) Toutes les autres CPC devront s’efforcer de maintenir ou réduire leurs captures.</w:t>
            </w:r>
          </w:p>
        </w:tc>
        <w:tc>
          <w:tcPr>
            <w:tcW w:w="1566" w:type="dxa"/>
            <w:tcBorders>
              <w:top w:val="single" w:sz="4" w:space="0" w:color="auto"/>
              <w:left w:val="single" w:sz="4" w:space="0" w:color="auto"/>
              <w:bottom w:val="single" w:sz="4" w:space="0" w:color="auto"/>
              <w:right w:val="single" w:sz="4" w:space="0" w:color="auto"/>
            </w:tcBorders>
            <w:vAlign w:val="center"/>
          </w:tcPr>
          <w:p w14:paraId="5B7136F7"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tcBorders>
              <w:top w:val="single" w:sz="4" w:space="0" w:color="auto"/>
              <w:left w:val="single" w:sz="4" w:space="0" w:color="auto"/>
              <w:bottom w:val="single" w:sz="4" w:space="0" w:color="auto"/>
              <w:right w:val="single" w:sz="4" w:space="0" w:color="auto"/>
            </w:tcBorders>
            <w:vAlign w:val="center"/>
          </w:tcPr>
          <w:p w14:paraId="21568F47"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10C35FB4" w14:textId="77777777" w:rsidR="00945C39" w:rsidRPr="00C469EA" w:rsidRDefault="00945C39" w:rsidP="00112EB2">
            <w:pPr>
              <w:jc w:val="both"/>
              <w:rPr>
                <w:sz w:val="18"/>
                <w:szCs w:val="18"/>
              </w:rPr>
            </w:pPr>
          </w:p>
          <w:p w14:paraId="323B25C1" w14:textId="77777777" w:rsidR="00945C39" w:rsidRPr="00C469EA" w:rsidRDefault="00945C39" w:rsidP="00112EB2">
            <w:pPr>
              <w:jc w:val="both"/>
              <w:rPr>
                <w:rFonts w:eastAsia="Times New Roman" w:cs="Calibri"/>
                <w:sz w:val="18"/>
                <w:szCs w:val="18"/>
              </w:rPr>
            </w:pPr>
            <w:r w:rsidRPr="00C469EA">
              <w:rPr>
                <w:sz w:val="18"/>
                <w:szCs w:val="18"/>
              </w:rPr>
              <w:t>Pas de captures (captures nulles) d’interaction avec le requin peau bleue de l’Atlantique Sud</w:t>
            </w:r>
          </w:p>
        </w:tc>
      </w:tr>
      <w:tr w:rsidR="00945C39" w:rsidRPr="00C469EA" w14:paraId="7BAB6A36" w14:textId="77777777" w:rsidTr="00112EB2">
        <w:trPr>
          <w:trHeight w:val="118"/>
          <w:jc w:val="center"/>
        </w:trPr>
        <w:tc>
          <w:tcPr>
            <w:tcW w:w="1255" w:type="dxa"/>
            <w:noWrap/>
            <w:vAlign w:val="center"/>
            <w:hideMark/>
          </w:tcPr>
          <w:p w14:paraId="5E2430F0" w14:textId="77777777" w:rsidR="00945C39" w:rsidRPr="000632D8" w:rsidRDefault="00945C39" w:rsidP="00112EB2">
            <w:pPr>
              <w:jc w:val="center"/>
              <w:rPr>
                <w:rFonts w:ascii="Cambria" w:eastAsia="Times New Roman" w:hAnsi="Cambria" w:cs="Calibri"/>
                <w:b/>
                <w:bCs/>
                <w:sz w:val="18"/>
                <w:szCs w:val="18"/>
              </w:rPr>
            </w:pPr>
            <w:bookmarkStart w:id="8" w:name="_Hlk157067935"/>
            <w:bookmarkEnd w:id="7"/>
            <w:r w:rsidRPr="000632D8">
              <w:rPr>
                <w:rFonts w:ascii="Cambria" w:hAnsi="Cambria"/>
                <w:b/>
                <w:sz w:val="18"/>
                <w:szCs w:val="18"/>
              </w:rPr>
              <w:t>23-11</w:t>
            </w:r>
          </w:p>
          <w:p w14:paraId="2D764F90" w14:textId="77777777" w:rsidR="00945C39" w:rsidRPr="000632D8" w:rsidRDefault="00945C39" w:rsidP="00112EB2">
            <w:pPr>
              <w:rPr>
                <w:rFonts w:ascii="Cambria" w:eastAsia="Times New Roman" w:hAnsi="Cambria" w:cs="Calibri"/>
                <w:b/>
                <w:bCs/>
                <w:sz w:val="18"/>
                <w:szCs w:val="18"/>
              </w:rPr>
            </w:pPr>
          </w:p>
          <w:p w14:paraId="2ED72221"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(Requin peau bleue du Sud)</w:t>
            </w:r>
          </w:p>
        </w:tc>
        <w:tc>
          <w:tcPr>
            <w:tcW w:w="815" w:type="dxa"/>
            <w:noWrap/>
            <w:vAlign w:val="center"/>
            <w:hideMark/>
          </w:tcPr>
          <w:p w14:paraId="0E450529" w14:textId="77777777" w:rsidR="00945C39" w:rsidRPr="00C469EA" w:rsidRDefault="00945C39" w:rsidP="00112EB2">
            <w:pPr>
              <w:jc w:val="center"/>
              <w:rPr>
                <w:rFonts w:eastAsia="Times New Roman" w:cs="Calibri"/>
                <w:b/>
                <w:sz w:val="18"/>
                <w:szCs w:val="18"/>
              </w:rPr>
            </w:pPr>
            <w:r w:rsidRPr="000632D8">
              <w:rPr>
                <w:rFonts w:ascii="Cambria" w:hAnsi="Cambria"/>
                <w:b/>
                <w:sz w:val="18"/>
                <w:szCs w:val="18"/>
              </w:rPr>
              <w:t>5</w:t>
            </w:r>
          </w:p>
        </w:tc>
        <w:tc>
          <w:tcPr>
            <w:tcW w:w="1165" w:type="dxa"/>
            <w:vAlign w:val="center"/>
          </w:tcPr>
          <w:p w14:paraId="08E3C014" w14:textId="77777777" w:rsidR="00945C39" w:rsidRPr="00C469EA" w:rsidRDefault="00945C39" w:rsidP="00112EB2">
            <w:pPr>
              <w:jc w:val="center"/>
              <w:rPr>
                <w:rFonts w:eastAsia="Times New Roman" w:cs="Calibri"/>
                <w:sz w:val="18"/>
                <w:szCs w:val="18"/>
              </w:rPr>
            </w:pPr>
            <w:r w:rsidRPr="000632D8">
              <w:rPr>
                <w:rFonts w:ascii="Cambria" w:hAnsi="Cambria"/>
                <w:sz w:val="18"/>
                <w:szCs w:val="18"/>
              </w:rPr>
              <w:t>Voir ci-dessus</w:t>
            </w:r>
          </w:p>
        </w:tc>
        <w:tc>
          <w:tcPr>
            <w:tcW w:w="2666" w:type="dxa"/>
            <w:vAlign w:val="center"/>
            <w:hideMark/>
          </w:tcPr>
          <w:p w14:paraId="244C6C00"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r w:rsidRPr="00C469EA">
              <w:rPr>
                <w:sz w:val="18"/>
                <w:szCs w:val="18"/>
              </w:rPr>
              <w:t xml:space="preserve">Chaque CPC devra s'assurer que ses navires pêchant le </w:t>
            </w:r>
            <w:r w:rsidRPr="00C469EA">
              <w:rPr>
                <w:b/>
                <w:bCs/>
                <w:sz w:val="18"/>
                <w:szCs w:val="18"/>
              </w:rPr>
              <w:t>requin peau bleue de l’Atlantique Sud</w:t>
            </w:r>
            <w:r w:rsidRPr="00C469EA">
              <w:rPr>
                <w:sz w:val="18"/>
                <w:szCs w:val="18"/>
              </w:rPr>
              <w:t xml:space="preserve"> en association avec les pêcheries de l'ICCAT dans la zone de la Convention consignent leur prise conformément aux exigences énoncées dans la Recommandation de l'ICCAT relative à l’enregistrement des captures par les navires de pêche dans la zone de la Convention ICCAT (Rec. 03-13). </w:t>
            </w:r>
          </w:p>
          <w:p w14:paraId="22D80056"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p>
          <w:p w14:paraId="5391AFE5"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r w:rsidRPr="00C469EA">
              <w:rPr>
                <w:sz w:val="18"/>
                <w:szCs w:val="18"/>
              </w:rPr>
              <w:t xml:space="preserve">(La Rec. 03-13 stipule ce qui suit : Chaque Partie contractante, Partie, Entité ou Entité de pêche non contractante coopérante de pavillon veillera à ce que tous les navires de pêche battant son pavillon et autorisés à </w:t>
            </w:r>
            <w:r w:rsidRPr="00C469EA">
              <w:rPr>
                <w:sz w:val="18"/>
                <w:szCs w:val="18"/>
              </w:rPr>
              <w:lastRenderedPageBreak/>
              <w:t>pêcher les espèces gérées par l'ICCAT dans la zone de la Convention soient soumis à un système d’enregistrement des données. Tous les bateaux de pêche commerciaux de plus de 24 mètres de longueur hors-tout devront conserver un journal de bord, relié ou électronique, contenant les informations requises dans le Manuel d'opérations de l'ICCAT pour les statistiques et l'échantillonnage. Dans le cas des bateaux de pêche sportifs, d’autres systèmes de collecte de données comparables peuvent être acceptables.)</w:t>
            </w:r>
          </w:p>
          <w:p w14:paraId="1715B711"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p>
        </w:tc>
        <w:tc>
          <w:tcPr>
            <w:tcW w:w="1566" w:type="dxa"/>
            <w:vAlign w:val="center"/>
            <w:hideMark/>
          </w:tcPr>
          <w:p w14:paraId="371CB69B" w14:textId="77777777" w:rsidR="00945C39" w:rsidRPr="00C469EA" w:rsidRDefault="00945C39" w:rsidP="00112EB2">
            <w:pPr>
              <w:jc w:val="both"/>
              <w:rPr>
                <w:rFonts w:eastAsia="Times New Roman" w:cs="Calibri"/>
                <w:sz w:val="18"/>
                <w:szCs w:val="18"/>
              </w:rPr>
            </w:pPr>
            <w:r w:rsidRPr="00C469EA">
              <w:rPr>
                <w:sz w:val="18"/>
                <w:szCs w:val="18"/>
              </w:rPr>
              <w:lastRenderedPageBreak/>
              <w:t xml:space="preserve">Oui </w:t>
            </w:r>
          </w:p>
        </w:tc>
        <w:tc>
          <w:tcPr>
            <w:tcW w:w="1618" w:type="dxa"/>
            <w:vAlign w:val="center"/>
          </w:tcPr>
          <w:p w14:paraId="63963152" w14:textId="77777777" w:rsidR="00945C39" w:rsidRDefault="00945C39" w:rsidP="00112EB2">
            <w:pPr>
              <w:jc w:val="both"/>
              <w:rPr>
                <w:rFonts w:eastAsia="Times New Roman" w:cs="Calibri"/>
                <w:sz w:val="18"/>
                <w:szCs w:val="18"/>
              </w:rPr>
            </w:pPr>
            <w:r w:rsidRPr="00C469EA">
              <w:rPr>
                <w:rFonts w:eastAsia="Times New Roman" w:cs="Calibri"/>
                <w:sz w:val="18"/>
                <w:szCs w:val="18"/>
              </w:rPr>
              <w:t>Arrêté 03564 du 02 mars 2017</w:t>
            </w:r>
          </w:p>
          <w:p w14:paraId="13EF0EE7" w14:textId="77777777" w:rsidR="00945C39" w:rsidRDefault="00945C39" w:rsidP="00112EB2">
            <w:pPr>
              <w:jc w:val="both"/>
              <w:rPr>
                <w:rFonts w:eastAsia="Times New Roman" w:cs="Calibri"/>
                <w:sz w:val="18"/>
                <w:szCs w:val="18"/>
              </w:rPr>
            </w:pPr>
          </w:p>
          <w:p w14:paraId="551B6DE9"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1854741D" w14:textId="77777777" w:rsidR="00945C39" w:rsidRPr="00C469EA" w:rsidRDefault="00945C39" w:rsidP="00112EB2">
            <w:pPr>
              <w:jc w:val="both"/>
              <w:rPr>
                <w:rFonts w:eastAsia="Times New Roman" w:cs="Calibri"/>
                <w:sz w:val="18"/>
                <w:szCs w:val="18"/>
              </w:rPr>
            </w:pPr>
          </w:p>
        </w:tc>
        <w:tc>
          <w:tcPr>
            <w:tcW w:w="2041" w:type="dxa"/>
            <w:vAlign w:val="center"/>
            <w:hideMark/>
          </w:tcPr>
          <w:p w14:paraId="7AF748A9" w14:textId="77777777" w:rsidR="00945C39" w:rsidRPr="00C469EA" w:rsidRDefault="00945C39" w:rsidP="00112EB2">
            <w:pPr>
              <w:jc w:val="both"/>
              <w:rPr>
                <w:rFonts w:eastAsia="Times New Roman" w:cs="Calibri"/>
                <w:sz w:val="18"/>
                <w:szCs w:val="18"/>
              </w:rPr>
            </w:pPr>
            <w:r w:rsidRPr="00C469EA">
              <w:rPr>
                <w:sz w:val="18"/>
                <w:szCs w:val="18"/>
              </w:rPr>
              <w:t>Tous les navires de pêche sont dotés d’un journal de pêche conforme</w:t>
            </w:r>
          </w:p>
        </w:tc>
      </w:tr>
      <w:tr w:rsidR="00945C39" w:rsidRPr="00C469EA" w14:paraId="41FBA221" w14:textId="77777777" w:rsidTr="00112EB2">
        <w:trPr>
          <w:trHeight w:val="118"/>
          <w:jc w:val="center"/>
        </w:trPr>
        <w:tc>
          <w:tcPr>
            <w:tcW w:w="1255" w:type="dxa"/>
            <w:noWrap/>
            <w:vAlign w:val="center"/>
          </w:tcPr>
          <w:p w14:paraId="7A168C54" w14:textId="77777777" w:rsidR="00945C39" w:rsidRPr="000632D8" w:rsidRDefault="00945C39" w:rsidP="00112EB2">
            <w:pPr>
              <w:jc w:val="center"/>
              <w:rPr>
                <w:rFonts w:ascii="Cambria" w:eastAsia="Times New Roman" w:hAnsi="Cambria" w:cs="Calibri"/>
                <w:b/>
                <w:bCs/>
                <w:sz w:val="18"/>
                <w:szCs w:val="18"/>
              </w:rPr>
            </w:pPr>
            <w:r w:rsidRPr="000632D8">
              <w:rPr>
                <w:rFonts w:ascii="Cambria" w:hAnsi="Cambria"/>
                <w:b/>
                <w:sz w:val="18"/>
                <w:szCs w:val="18"/>
              </w:rPr>
              <w:t>23-11</w:t>
            </w:r>
          </w:p>
          <w:p w14:paraId="4E127650" w14:textId="77777777" w:rsidR="00945C39" w:rsidRPr="000632D8" w:rsidRDefault="00945C39" w:rsidP="00112EB2">
            <w:pPr>
              <w:rPr>
                <w:rFonts w:ascii="Cambria" w:eastAsia="Times New Roman" w:hAnsi="Cambria" w:cs="Calibri"/>
                <w:b/>
                <w:bCs/>
                <w:sz w:val="18"/>
                <w:szCs w:val="18"/>
              </w:rPr>
            </w:pPr>
          </w:p>
          <w:p w14:paraId="3551C86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Sud)</w:t>
            </w:r>
          </w:p>
        </w:tc>
        <w:tc>
          <w:tcPr>
            <w:tcW w:w="815" w:type="dxa"/>
            <w:noWrap/>
            <w:vAlign w:val="center"/>
          </w:tcPr>
          <w:p w14:paraId="1D8131F8"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6</w:t>
            </w:r>
          </w:p>
        </w:tc>
        <w:tc>
          <w:tcPr>
            <w:tcW w:w="1165" w:type="dxa"/>
            <w:vAlign w:val="center"/>
          </w:tcPr>
          <w:p w14:paraId="0066ACD2"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vAlign w:val="center"/>
          </w:tcPr>
          <w:p w14:paraId="7E00B0D4"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eastAsia="Times New Roman" w:cs="Calibri"/>
                <w:sz w:val="18"/>
                <w:szCs w:val="18"/>
              </w:rPr>
            </w:pPr>
            <w:r w:rsidRPr="00C469EA">
              <w:rPr>
                <w:sz w:val="18"/>
                <w:szCs w:val="18"/>
              </w:rPr>
              <w:t xml:space="preserve">Les CPC devront mettre en œuvre des programmes de collecte de données qui garantissent la déclaration à l'ICCAT de données précises de prise, d’effort, de taille et de rejets sur le </w:t>
            </w:r>
            <w:r w:rsidRPr="00C469EA">
              <w:rPr>
                <w:b/>
                <w:bCs/>
                <w:sz w:val="18"/>
                <w:szCs w:val="18"/>
              </w:rPr>
              <w:t>requin peau bleue de l’Atlantique Sud</w:t>
            </w:r>
            <w:r w:rsidRPr="00C469EA">
              <w:rPr>
                <w:sz w:val="18"/>
                <w:szCs w:val="18"/>
              </w:rPr>
              <w:t>, en pleine conformité avec les exigences de l'ICCAT en matière de soumission des données de la tâche 1 et de la tâche 2.</w:t>
            </w:r>
          </w:p>
        </w:tc>
        <w:tc>
          <w:tcPr>
            <w:tcW w:w="1566" w:type="dxa"/>
            <w:vAlign w:val="center"/>
          </w:tcPr>
          <w:p w14:paraId="7B8CAC3A" w14:textId="77777777" w:rsidR="00945C39" w:rsidRPr="00C469EA" w:rsidRDefault="00945C39" w:rsidP="00112EB2">
            <w:pPr>
              <w:jc w:val="both"/>
              <w:rPr>
                <w:rFonts w:eastAsia="Times New Roman" w:cs="Calibri"/>
                <w:sz w:val="18"/>
                <w:szCs w:val="18"/>
              </w:rPr>
            </w:pPr>
            <w:r w:rsidRPr="00C469EA">
              <w:rPr>
                <w:sz w:val="18"/>
                <w:szCs w:val="18"/>
              </w:rPr>
              <w:t xml:space="preserve">Oui </w:t>
            </w:r>
          </w:p>
        </w:tc>
        <w:tc>
          <w:tcPr>
            <w:tcW w:w="1618" w:type="dxa"/>
            <w:vAlign w:val="center"/>
          </w:tcPr>
          <w:p w14:paraId="5EB814FF" w14:textId="77777777" w:rsidR="00945C39" w:rsidRPr="00C469EA" w:rsidRDefault="00945C39" w:rsidP="00112EB2">
            <w:pPr>
              <w:pStyle w:val="CommentText"/>
              <w:jc w:val="both"/>
              <w:rPr>
                <w:rFonts w:eastAsia="Times New Roman" w:cs="Calibri"/>
                <w:sz w:val="18"/>
                <w:szCs w:val="18"/>
              </w:rPr>
            </w:pPr>
          </w:p>
        </w:tc>
        <w:tc>
          <w:tcPr>
            <w:tcW w:w="2041" w:type="dxa"/>
            <w:vAlign w:val="center"/>
          </w:tcPr>
          <w:p w14:paraId="570A5214" w14:textId="77777777" w:rsidR="00945C39" w:rsidRPr="00C469EA" w:rsidRDefault="00945C39" w:rsidP="00112EB2">
            <w:pPr>
              <w:pStyle w:val="CommentText"/>
              <w:jc w:val="both"/>
              <w:rPr>
                <w:sz w:val="18"/>
                <w:szCs w:val="18"/>
              </w:rPr>
            </w:pPr>
            <w:r w:rsidRPr="00C469EA">
              <w:rPr>
                <w:sz w:val="18"/>
                <w:szCs w:val="18"/>
              </w:rPr>
              <w:t>Programme de collecte existant mais pas de captures.</w:t>
            </w:r>
          </w:p>
        </w:tc>
      </w:tr>
      <w:tr w:rsidR="00945C39" w:rsidRPr="00C469EA" w14:paraId="701E0CA5"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D87B629" w14:textId="77777777" w:rsidR="00945C39" w:rsidRPr="000632D8" w:rsidRDefault="00945C39" w:rsidP="00112EB2">
            <w:pPr>
              <w:jc w:val="center"/>
              <w:rPr>
                <w:rFonts w:ascii="Cambria" w:eastAsia="Times New Roman" w:hAnsi="Cambria" w:cs="Calibri"/>
                <w:b/>
                <w:bCs/>
                <w:sz w:val="18"/>
                <w:szCs w:val="18"/>
              </w:rPr>
            </w:pPr>
            <w:r w:rsidRPr="000632D8">
              <w:rPr>
                <w:rFonts w:ascii="Cambria" w:hAnsi="Cambria"/>
                <w:b/>
                <w:sz w:val="18"/>
                <w:szCs w:val="18"/>
              </w:rPr>
              <w:t>23-11</w:t>
            </w:r>
          </w:p>
          <w:p w14:paraId="0A642B7F" w14:textId="77777777" w:rsidR="00945C39" w:rsidRPr="000632D8" w:rsidRDefault="00945C39" w:rsidP="00112EB2">
            <w:pPr>
              <w:rPr>
                <w:rFonts w:ascii="Cambria" w:eastAsia="Times New Roman" w:hAnsi="Cambria" w:cs="Calibri"/>
                <w:b/>
                <w:bCs/>
                <w:sz w:val="18"/>
                <w:szCs w:val="18"/>
              </w:rPr>
            </w:pPr>
          </w:p>
          <w:p w14:paraId="3FE5707E"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601964F1"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 xml:space="preserve">7 </w:t>
            </w:r>
          </w:p>
        </w:tc>
        <w:tc>
          <w:tcPr>
            <w:tcW w:w="1165" w:type="dxa"/>
            <w:tcBorders>
              <w:top w:val="single" w:sz="4" w:space="0" w:color="auto"/>
              <w:left w:val="single" w:sz="4" w:space="0" w:color="auto"/>
              <w:bottom w:val="single" w:sz="4" w:space="0" w:color="auto"/>
              <w:right w:val="single" w:sz="4" w:space="0" w:color="auto"/>
            </w:tcBorders>
            <w:vAlign w:val="center"/>
          </w:tcPr>
          <w:p w14:paraId="49426337" w14:textId="77777777" w:rsidR="00945C39" w:rsidRPr="00C469EA" w:rsidRDefault="00945C39" w:rsidP="00112EB2">
            <w:pPr>
              <w:widowControl w:val="0"/>
              <w:kinsoku w:val="0"/>
              <w:overflowPunct w:val="0"/>
              <w:autoSpaceDE w:val="0"/>
              <w:autoSpaceDN w:val="0"/>
              <w:adjustRightInd w:val="0"/>
              <w:spacing w:line="220" w:lineRule="exact"/>
              <w:ind w:right="113"/>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12E523E1"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Dans les cas où le </w:t>
            </w:r>
            <w:r w:rsidRPr="00C469EA">
              <w:rPr>
                <w:b/>
                <w:bCs/>
                <w:sz w:val="18"/>
                <w:szCs w:val="18"/>
              </w:rPr>
              <w:t>requin peau bleue de l'Atlantique Sud</w:t>
            </w:r>
            <w:r w:rsidRPr="00C469EA">
              <w:rPr>
                <w:sz w:val="18"/>
                <w:szCs w:val="18"/>
              </w:rPr>
              <w:t xml:space="preserve"> n'est pas conservé, les CPC devront déployer tous les efforts raisonnables afin que les spécimens capturés accidentellement dans les pêcheries de l'ICCAT soient remis à l'eau sains et saufs et dès que possible.</w:t>
            </w:r>
          </w:p>
        </w:tc>
        <w:tc>
          <w:tcPr>
            <w:tcW w:w="1566" w:type="dxa"/>
            <w:tcBorders>
              <w:top w:val="single" w:sz="4" w:space="0" w:color="auto"/>
              <w:left w:val="single" w:sz="4" w:space="0" w:color="auto"/>
              <w:bottom w:val="single" w:sz="4" w:space="0" w:color="auto"/>
              <w:right w:val="single" w:sz="4" w:space="0" w:color="auto"/>
            </w:tcBorders>
            <w:vAlign w:val="center"/>
          </w:tcPr>
          <w:p w14:paraId="7B9E1B9E"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vAlign w:val="center"/>
          </w:tcPr>
          <w:p w14:paraId="7B967508"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56149ED4" w14:textId="77777777" w:rsidR="00945C39" w:rsidRPr="00C469EA" w:rsidRDefault="00945C39" w:rsidP="00112EB2">
            <w:pPr>
              <w:jc w:val="both"/>
              <w:rPr>
                <w:rFonts w:eastAsia="Times New Roman" w:cs="Calibri"/>
                <w:sz w:val="18"/>
                <w:szCs w:val="18"/>
              </w:rPr>
            </w:pPr>
            <w:r w:rsidRPr="00C469EA">
              <w:rPr>
                <w:sz w:val="18"/>
                <w:szCs w:val="18"/>
              </w:rPr>
              <w:t>Pas de captures et pas de remise à l’eau sans objet.</w:t>
            </w:r>
          </w:p>
        </w:tc>
      </w:tr>
      <w:tr w:rsidR="00945C39" w:rsidRPr="00C469EA" w14:paraId="31E0B9F3"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4BD809C8" w14:textId="77777777" w:rsidR="00945C39" w:rsidRPr="000632D8" w:rsidRDefault="00945C39" w:rsidP="00112EB2">
            <w:pPr>
              <w:jc w:val="center"/>
              <w:rPr>
                <w:rFonts w:ascii="Cambria" w:eastAsia="Times New Roman" w:hAnsi="Cambria" w:cs="Calibri"/>
                <w:b/>
                <w:bCs/>
                <w:sz w:val="18"/>
                <w:szCs w:val="18"/>
              </w:rPr>
            </w:pPr>
            <w:r w:rsidRPr="000632D8">
              <w:rPr>
                <w:rFonts w:ascii="Cambria" w:hAnsi="Cambria"/>
                <w:b/>
                <w:sz w:val="18"/>
                <w:szCs w:val="18"/>
              </w:rPr>
              <w:lastRenderedPageBreak/>
              <w:t>23-11</w:t>
            </w:r>
          </w:p>
          <w:p w14:paraId="39FC109A" w14:textId="77777777" w:rsidR="00945C39" w:rsidRPr="000632D8" w:rsidRDefault="00945C39" w:rsidP="00112EB2">
            <w:pPr>
              <w:rPr>
                <w:rFonts w:ascii="Cambria" w:eastAsia="Times New Roman" w:hAnsi="Cambria" w:cs="Calibri"/>
                <w:b/>
                <w:bCs/>
                <w:sz w:val="18"/>
                <w:szCs w:val="18"/>
              </w:rPr>
            </w:pPr>
          </w:p>
          <w:p w14:paraId="1615C0B6"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5B8EB4A5" w14:textId="77777777" w:rsidR="00945C39" w:rsidRPr="000632D8" w:rsidRDefault="00945C39" w:rsidP="00112EB2">
            <w:pPr>
              <w:jc w:val="center"/>
              <w:rPr>
                <w:rFonts w:ascii="Cambria" w:hAnsi="Cambria"/>
                <w:b/>
                <w:sz w:val="18"/>
                <w:szCs w:val="18"/>
              </w:rPr>
            </w:pPr>
            <w:r w:rsidRPr="000632D8">
              <w:rPr>
                <w:rFonts w:ascii="Cambria" w:hAnsi="Cambria"/>
                <w:b/>
                <w:sz w:val="18"/>
                <w:szCs w:val="18"/>
              </w:rPr>
              <w:t>7</w:t>
            </w:r>
          </w:p>
          <w:p w14:paraId="0CB5166E" w14:textId="77777777" w:rsidR="00945C39" w:rsidRPr="00C469EA" w:rsidRDefault="00945C39" w:rsidP="00112EB2">
            <w:pPr>
              <w:jc w:val="center"/>
              <w:rPr>
                <w:rFonts w:eastAsia="Times New Roman" w:cs="Calibri"/>
                <w:b/>
                <w:bCs/>
                <w:sz w:val="18"/>
                <w:szCs w:val="18"/>
              </w:rPr>
            </w:pPr>
          </w:p>
        </w:tc>
        <w:tc>
          <w:tcPr>
            <w:tcW w:w="1165" w:type="dxa"/>
            <w:tcBorders>
              <w:top w:val="single" w:sz="4" w:space="0" w:color="auto"/>
              <w:left w:val="single" w:sz="4" w:space="0" w:color="auto"/>
              <w:bottom w:val="single" w:sz="4" w:space="0" w:color="auto"/>
              <w:right w:val="single" w:sz="4" w:space="0" w:color="auto"/>
            </w:tcBorders>
            <w:vAlign w:val="center"/>
          </w:tcPr>
          <w:p w14:paraId="1A2A3070" w14:textId="77777777" w:rsidR="00945C39" w:rsidRPr="00C469EA" w:rsidDel="005D25B7" w:rsidRDefault="00945C39" w:rsidP="00112EB2">
            <w:pPr>
              <w:jc w:val="center"/>
              <w:rPr>
                <w:rFonts w:eastAsia="Times New Roman" w:cs="Calibri"/>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5F90EE2F"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Les CPC devront déclarer au Secrétariat de l'ICCAT, conformément aux exigences de déclaration des données de l'ICCAT, le nombre de spécimens remis à l'eau, y compris leur état au moment de la remise à l'eau (vivant, mort, moribond, non connu).</w:t>
            </w:r>
          </w:p>
        </w:tc>
        <w:tc>
          <w:tcPr>
            <w:tcW w:w="1566" w:type="dxa"/>
            <w:tcBorders>
              <w:top w:val="single" w:sz="4" w:space="0" w:color="auto"/>
              <w:left w:val="single" w:sz="4" w:space="0" w:color="auto"/>
              <w:bottom w:val="single" w:sz="4" w:space="0" w:color="auto"/>
              <w:right w:val="single" w:sz="4" w:space="0" w:color="auto"/>
            </w:tcBorders>
            <w:vAlign w:val="center"/>
          </w:tcPr>
          <w:p w14:paraId="560E7570"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vAlign w:val="center"/>
          </w:tcPr>
          <w:p w14:paraId="03BC26E7"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642D1DE5" w14:textId="77777777" w:rsidR="00945C39" w:rsidRPr="00C469EA" w:rsidRDefault="00945C39" w:rsidP="00112EB2">
            <w:pPr>
              <w:jc w:val="both"/>
              <w:rPr>
                <w:rFonts w:eastAsia="Times New Roman" w:cs="Calibri"/>
                <w:sz w:val="18"/>
                <w:szCs w:val="18"/>
              </w:rPr>
            </w:pPr>
            <w:r w:rsidRPr="00C469EA">
              <w:rPr>
                <w:sz w:val="18"/>
                <w:szCs w:val="18"/>
              </w:rPr>
              <w:t>Pas de captures, déclaration de remise à l’eau sans objet.</w:t>
            </w:r>
          </w:p>
        </w:tc>
      </w:tr>
      <w:bookmarkEnd w:id="8"/>
      <w:tr w:rsidR="00945C39" w:rsidRPr="00C469EA" w14:paraId="5400FDF7" w14:textId="77777777" w:rsidTr="00112EB2">
        <w:trPr>
          <w:trHeight w:val="7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154A7E5D" w14:textId="77777777" w:rsidR="00945C39" w:rsidRPr="000632D8" w:rsidRDefault="00945C39" w:rsidP="00112EB2">
            <w:pPr>
              <w:jc w:val="center"/>
              <w:rPr>
                <w:rFonts w:ascii="Cambria" w:eastAsia="Times New Roman" w:hAnsi="Cambria" w:cs="Calibri"/>
                <w:b/>
                <w:bCs/>
                <w:sz w:val="18"/>
                <w:szCs w:val="18"/>
              </w:rPr>
            </w:pPr>
            <w:r w:rsidRPr="000632D8">
              <w:rPr>
                <w:rFonts w:ascii="Cambria" w:hAnsi="Cambria"/>
                <w:b/>
                <w:sz w:val="18"/>
                <w:szCs w:val="18"/>
              </w:rPr>
              <w:t>23-11</w:t>
            </w:r>
          </w:p>
          <w:p w14:paraId="65DE7C84" w14:textId="77777777" w:rsidR="00945C39" w:rsidRPr="000632D8" w:rsidRDefault="00945C39" w:rsidP="00112EB2">
            <w:pPr>
              <w:rPr>
                <w:rFonts w:ascii="Cambria" w:eastAsia="Times New Roman" w:hAnsi="Cambria" w:cs="Calibri"/>
                <w:b/>
                <w:bCs/>
                <w:sz w:val="18"/>
                <w:szCs w:val="18"/>
              </w:rPr>
            </w:pPr>
          </w:p>
          <w:p w14:paraId="235BBFC7"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Sud)</w:t>
            </w:r>
          </w:p>
        </w:tc>
        <w:tc>
          <w:tcPr>
            <w:tcW w:w="815" w:type="dxa"/>
            <w:tcBorders>
              <w:top w:val="single" w:sz="4" w:space="0" w:color="auto"/>
              <w:left w:val="single" w:sz="4" w:space="0" w:color="auto"/>
              <w:bottom w:val="single" w:sz="4" w:space="0" w:color="auto"/>
              <w:right w:val="single" w:sz="4" w:space="0" w:color="auto"/>
            </w:tcBorders>
            <w:noWrap/>
            <w:vAlign w:val="center"/>
          </w:tcPr>
          <w:p w14:paraId="11D8F76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 xml:space="preserve">8 </w:t>
            </w:r>
          </w:p>
        </w:tc>
        <w:tc>
          <w:tcPr>
            <w:tcW w:w="1165" w:type="dxa"/>
            <w:tcBorders>
              <w:top w:val="single" w:sz="4" w:space="0" w:color="auto"/>
              <w:left w:val="single" w:sz="4" w:space="0" w:color="auto"/>
              <w:bottom w:val="single" w:sz="4" w:space="0" w:color="auto"/>
              <w:right w:val="single" w:sz="4" w:space="0" w:color="auto"/>
            </w:tcBorders>
            <w:vAlign w:val="center"/>
          </w:tcPr>
          <w:p w14:paraId="4B972605" w14:textId="77777777" w:rsidR="00945C39" w:rsidRPr="00C469EA" w:rsidRDefault="00945C39" w:rsidP="00112EB2">
            <w:pPr>
              <w:widowControl w:val="0"/>
              <w:kinsoku w:val="0"/>
              <w:overflowPunct w:val="0"/>
              <w:autoSpaceDE w:val="0"/>
              <w:autoSpaceDN w:val="0"/>
              <w:adjustRightInd w:val="0"/>
              <w:spacing w:line="220" w:lineRule="exact"/>
              <w:ind w:right="113"/>
              <w:jc w:val="center"/>
              <w:rPr>
                <w:rFonts w:cs="Cambria"/>
                <w:spacing w:val="-1"/>
                <w:sz w:val="18"/>
                <w:szCs w:val="18"/>
              </w:rPr>
            </w:pPr>
            <w:r w:rsidRPr="000632D8">
              <w:rPr>
                <w:rFonts w:ascii="Cambria" w:hAnsi="Cambria"/>
                <w:sz w:val="18"/>
                <w:szCs w:val="18"/>
              </w:rPr>
              <w:t>Voir ci-dessus</w:t>
            </w:r>
          </w:p>
        </w:tc>
        <w:tc>
          <w:tcPr>
            <w:tcW w:w="2666" w:type="dxa"/>
            <w:tcBorders>
              <w:top w:val="single" w:sz="4" w:space="0" w:color="auto"/>
              <w:left w:val="single" w:sz="4" w:space="0" w:color="auto"/>
              <w:bottom w:val="single" w:sz="4" w:space="0" w:color="auto"/>
              <w:right w:val="single" w:sz="4" w:space="0" w:color="auto"/>
            </w:tcBorders>
            <w:vAlign w:val="center"/>
          </w:tcPr>
          <w:p w14:paraId="009A693C" w14:textId="77777777" w:rsidR="00945C39" w:rsidRPr="00C469EA" w:rsidRDefault="00945C39" w:rsidP="00112EB2">
            <w:pPr>
              <w:widowControl w:val="0"/>
              <w:kinsoku w:val="0"/>
              <w:overflowPunct w:val="0"/>
              <w:autoSpaceDE w:val="0"/>
              <w:autoSpaceDN w:val="0"/>
              <w:adjustRightInd w:val="0"/>
              <w:spacing w:line="220" w:lineRule="exact"/>
              <w:ind w:right="113"/>
              <w:jc w:val="both"/>
              <w:rPr>
                <w:rFonts w:cs="Cambria"/>
                <w:spacing w:val="-1"/>
                <w:sz w:val="18"/>
                <w:szCs w:val="18"/>
              </w:rPr>
            </w:pPr>
            <w:r w:rsidRPr="00C469EA">
              <w:rPr>
                <w:sz w:val="18"/>
                <w:szCs w:val="18"/>
              </w:rPr>
              <w:t xml:space="preserve">Les CPC devront inclure, dans leur feuille de contrôle de la mise en œuvre des mesures s'appliquant aux requins qu’elles présentent à l'ICCAT, des informations sur les mesures prises au niveau national pour effectuer un suivi des captures et conserver et gérer durablement le </w:t>
            </w:r>
            <w:r w:rsidRPr="00C469EA">
              <w:rPr>
                <w:b/>
                <w:bCs/>
                <w:sz w:val="18"/>
                <w:szCs w:val="18"/>
              </w:rPr>
              <w:t>requin peau bleue de l’Atlantique Sud.</w:t>
            </w:r>
            <w:r w:rsidRPr="00C469EA">
              <w:rPr>
                <w:sz w:val="18"/>
                <w:szCs w:val="18"/>
              </w:rPr>
              <w:t xml:space="preserve"> </w:t>
            </w:r>
          </w:p>
        </w:tc>
        <w:tc>
          <w:tcPr>
            <w:tcW w:w="1566" w:type="dxa"/>
            <w:tcBorders>
              <w:top w:val="single" w:sz="4" w:space="0" w:color="auto"/>
              <w:left w:val="single" w:sz="4" w:space="0" w:color="auto"/>
              <w:bottom w:val="single" w:sz="4" w:space="0" w:color="auto"/>
              <w:right w:val="single" w:sz="4" w:space="0" w:color="auto"/>
            </w:tcBorders>
            <w:vAlign w:val="center"/>
          </w:tcPr>
          <w:p w14:paraId="3EC3C6FD" w14:textId="77777777" w:rsidR="00945C39" w:rsidRPr="00C469EA" w:rsidRDefault="00945C39" w:rsidP="00112EB2">
            <w:pPr>
              <w:jc w:val="both"/>
              <w:rPr>
                <w:rFonts w:eastAsia="Times New Roman" w:cs="Calibri"/>
                <w:sz w:val="18"/>
                <w:szCs w:val="18"/>
              </w:rPr>
            </w:pPr>
            <w:r w:rsidRPr="00C469EA">
              <w:rPr>
                <w:sz w:val="18"/>
                <w:szCs w:val="18"/>
              </w:rPr>
              <w:t>Non</w:t>
            </w:r>
          </w:p>
        </w:tc>
        <w:tc>
          <w:tcPr>
            <w:tcW w:w="1618" w:type="dxa"/>
            <w:tcBorders>
              <w:top w:val="single" w:sz="4" w:space="0" w:color="auto"/>
              <w:left w:val="single" w:sz="4" w:space="0" w:color="auto"/>
              <w:bottom w:val="single" w:sz="4" w:space="0" w:color="auto"/>
              <w:right w:val="single" w:sz="4" w:space="0" w:color="auto"/>
            </w:tcBorders>
            <w:vAlign w:val="center"/>
          </w:tcPr>
          <w:p w14:paraId="77B5A77B" w14:textId="77777777" w:rsidR="00945C39" w:rsidRPr="00C469EA" w:rsidRDefault="00945C39" w:rsidP="00112EB2">
            <w:pPr>
              <w:jc w:val="both"/>
              <w:rPr>
                <w:rFonts w:eastAsia="Times New Roman" w:cs="Calibri"/>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EE7219B" w14:textId="77777777" w:rsidR="00945C39" w:rsidRPr="00C469EA" w:rsidRDefault="00945C39" w:rsidP="00112EB2">
            <w:pPr>
              <w:jc w:val="both"/>
              <w:rPr>
                <w:rFonts w:eastAsia="Times New Roman" w:cs="Calibri"/>
                <w:sz w:val="18"/>
                <w:szCs w:val="18"/>
              </w:rPr>
            </w:pPr>
            <w:r w:rsidRPr="00C469EA">
              <w:rPr>
                <w:sz w:val="18"/>
                <w:szCs w:val="18"/>
              </w:rPr>
              <w:t>Aucune pêche du requin peau bleue de l’Atlantique du nord</w:t>
            </w:r>
          </w:p>
        </w:tc>
      </w:tr>
      <w:tr w:rsidR="00945C39" w:rsidRPr="00C469EA" w14:paraId="41F7A6C2" w14:textId="77777777" w:rsidTr="00112EB2">
        <w:trPr>
          <w:trHeight w:val="88"/>
          <w:jc w:val="center"/>
        </w:trPr>
        <w:tc>
          <w:tcPr>
            <w:tcW w:w="1255" w:type="dxa"/>
            <w:tcBorders>
              <w:bottom w:val="single" w:sz="12" w:space="0" w:color="auto"/>
            </w:tcBorders>
            <w:noWrap/>
            <w:vAlign w:val="center"/>
          </w:tcPr>
          <w:p w14:paraId="451BD195" w14:textId="77777777" w:rsidR="00945C39" w:rsidRPr="000632D8" w:rsidRDefault="00945C39" w:rsidP="00112EB2">
            <w:pPr>
              <w:jc w:val="center"/>
              <w:rPr>
                <w:rFonts w:ascii="Cambria" w:eastAsia="Times New Roman" w:hAnsi="Cambria" w:cs="Calibri"/>
                <w:b/>
                <w:bCs/>
                <w:sz w:val="18"/>
                <w:szCs w:val="18"/>
              </w:rPr>
            </w:pPr>
            <w:r w:rsidRPr="000632D8">
              <w:rPr>
                <w:rFonts w:ascii="Cambria" w:hAnsi="Cambria"/>
                <w:b/>
                <w:sz w:val="18"/>
                <w:szCs w:val="18"/>
              </w:rPr>
              <w:t>23-11</w:t>
            </w:r>
          </w:p>
          <w:p w14:paraId="57442DB3" w14:textId="77777777" w:rsidR="00945C39" w:rsidRPr="000632D8" w:rsidRDefault="00945C39" w:rsidP="00112EB2">
            <w:pPr>
              <w:rPr>
                <w:rFonts w:ascii="Cambria" w:eastAsia="Times New Roman" w:hAnsi="Cambria" w:cs="Calibri"/>
                <w:b/>
                <w:bCs/>
                <w:sz w:val="18"/>
                <w:szCs w:val="18"/>
              </w:rPr>
            </w:pPr>
          </w:p>
          <w:p w14:paraId="6D9A0D6F"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(Requin peau bleue du Sud)</w:t>
            </w:r>
          </w:p>
        </w:tc>
        <w:tc>
          <w:tcPr>
            <w:tcW w:w="815" w:type="dxa"/>
            <w:tcBorders>
              <w:bottom w:val="single" w:sz="12" w:space="0" w:color="auto"/>
            </w:tcBorders>
            <w:noWrap/>
            <w:vAlign w:val="center"/>
          </w:tcPr>
          <w:p w14:paraId="4A023A42" w14:textId="77777777" w:rsidR="00945C39" w:rsidRPr="00C469EA" w:rsidRDefault="00945C39" w:rsidP="00112EB2">
            <w:pPr>
              <w:jc w:val="center"/>
              <w:rPr>
                <w:rFonts w:eastAsia="Times New Roman" w:cs="Calibri"/>
                <w:b/>
                <w:bCs/>
                <w:sz w:val="18"/>
                <w:szCs w:val="18"/>
              </w:rPr>
            </w:pPr>
            <w:r w:rsidRPr="000632D8">
              <w:rPr>
                <w:rFonts w:ascii="Cambria" w:hAnsi="Cambria"/>
                <w:b/>
                <w:sz w:val="18"/>
                <w:szCs w:val="18"/>
              </w:rPr>
              <w:t>9</w:t>
            </w:r>
          </w:p>
        </w:tc>
        <w:tc>
          <w:tcPr>
            <w:tcW w:w="1165" w:type="dxa"/>
            <w:tcBorders>
              <w:bottom w:val="single" w:sz="12" w:space="0" w:color="auto"/>
            </w:tcBorders>
            <w:vAlign w:val="center"/>
          </w:tcPr>
          <w:p w14:paraId="5281D536" w14:textId="77777777" w:rsidR="00945C39" w:rsidRPr="00C469EA" w:rsidRDefault="00945C39" w:rsidP="00112EB2">
            <w:pPr>
              <w:widowControl w:val="0"/>
              <w:kinsoku w:val="0"/>
              <w:overflowPunct w:val="0"/>
              <w:autoSpaceDE w:val="0"/>
              <w:autoSpaceDN w:val="0"/>
              <w:adjustRightInd w:val="0"/>
              <w:spacing w:line="220" w:lineRule="exact"/>
              <w:ind w:right="113"/>
              <w:jc w:val="center"/>
              <w:rPr>
                <w:sz w:val="18"/>
                <w:szCs w:val="18"/>
              </w:rPr>
            </w:pPr>
            <w:r w:rsidRPr="000632D8">
              <w:rPr>
                <w:rFonts w:ascii="Cambria" w:hAnsi="Cambria"/>
                <w:sz w:val="18"/>
                <w:szCs w:val="18"/>
              </w:rPr>
              <w:t>Voir ci-dessus</w:t>
            </w:r>
          </w:p>
        </w:tc>
        <w:tc>
          <w:tcPr>
            <w:tcW w:w="2666" w:type="dxa"/>
            <w:tcBorders>
              <w:bottom w:val="single" w:sz="12" w:space="0" w:color="auto"/>
            </w:tcBorders>
            <w:vAlign w:val="center"/>
          </w:tcPr>
          <w:p w14:paraId="59DD4D49" w14:textId="77777777" w:rsidR="00945C39" w:rsidRPr="00C469EA" w:rsidRDefault="00945C39" w:rsidP="00112EB2">
            <w:pPr>
              <w:widowControl w:val="0"/>
              <w:kinsoku w:val="0"/>
              <w:overflowPunct w:val="0"/>
              <w:autoSpaceDE w:val="0"/>
              <w:autoSpaceDN w:val="0"/>
              <w:adjustRightInd w:val="0"/>
              <w:spacing w:line="220" w:lineRule="exact"/>
              <w:ind w:right="113"/>
              <w:jc w:val="both"/>
              <w:rPr>
                <w:sz w:val="18"/>
                <w:szCs w:val="18"/>
              </w:rPr>
            </w:pPr>
            <w:r w:rsidRPr="00C469EA">
              <w:rPr>
                <w:sz w:val="18"/>
                <w:szCs w:val="18"/>
              </w:rPr>
              <w:t xml:space="preserve">Les CPC sont encouragées à entreprendre des travaux de recherche scientifique qui fourniraient des informations sur les paramètres biologiques et écologiques clés, le cycle vital, les migrations, la survie suivant la remise à l'eau et les caractéristiques comportementales du </w:t>
            </w:r>
            <w:r w:rsidRPr="00C469EA">
              <w:rPr>
                <w:b/>
                <w:bCs/>
                <w:sz w:val="18"/>
                <w:szCs w:val="18"/>
              </w:rPr>
              <w:t>requin peau bleue du Sud</w:t>
            </w:r>
            <w:r w:rsidRPr="00C469EA">
              <w:rPr>
                <w:sz w:val="18"/>
                <w:szCs w:val="18"/>
              </w:rPr>
              <w:t>. Ces informations devront être mises à la disposition du SCRS.</w:t>
            </w:r>
          </w:p>
        </w:tc>
        <w:tc>
          <w:tcPr>
            <w:tcW w:w="1566" w:type="dxa"/>
            <w:tcBorders>
              <w:bottom w:val="single" w:sz="12" w:space="0" w:color="auto"/>
            </w:tcBorders>
            <w:vAlign w:val="center"/>
          </w:tcPr>
          <w:p w14:paraId="19EACD1A" w14:textId="77777777" w:rsidR="00945C39" w:rsidRPr="00C469EA" w:rsidRDefault="00945C39" w:rsidP="00112EB2">
            <w:pPr>
              <w:jc w:val="both"/>
              <w:rPr>
                <w:rFonts w:eastAsia="Times New Roman" w:cs="Calibri"/>
                <w:sz w:val="18"/>
                <w:szCs w:val="18"/>
              </w:rPr>
            </w:pPr>
            <w:r w:rsidRPr="00C469EA">
              <w:rPr>
                <w:sz w:val="18"/>
                <w:szCs w:val="18"/>
              </w:rPr>
              <w:t xml:space="preserve">Non </w:t>
            </w:r>
          </w:p>
        </w:tc>
        <w:tc>
          <w:tcPr>
            <w:tcW w:w="1618" w:type="dxa"/>
            <w:tcBorders>
              <w:bottom w:val="single" w:sz="12" w:space="0" w:color="auto"/>
            </w:tcBorders>
            <w:vAlign w:val="center"/>
          </w:tcPr>
          <w:p w14:paraId="5FCB2148" w14:textId="77777777" w:rsidR="00945C39" w:rsidRPr="00C469EA" w:rsidRDefault="00945C39" w:rsidP="00112EB2">
            <w:pPr>
              <w:jc w:val="both"/>
              <w:rPr>
                <w:rFonts w:eastAsia="Times New Roman" w:cs="Calibri"/>
                <w:sz w:val="18"/>
                <w:szCs w:val="18"/>
              </w:rPr>
            </w:pPr>
          </w:p>
        </w:tc>
        <w:tc>
          <w:tcPr>
            <w:tcW w:w="2041" w:type="dxa"/>
            <w:tcBorders>
              <w:bottom w:val="single" w:sz="12" w:space="0" w:color="auto"/>
            </w:tcBorders>
            <w:vAlign w:val="center"/>
          </w:tcPr>
          <w:p w14:paraId="0EC8A1E6" w14:textId="77777777" w:rsidR="00945C39" w:rsidRPr="00C469EA" w:rsidRDefault="00945C39" w:rsidP="00112EB2">
            <w:pPr>
              <w:jc w:val="both"/>
              <w:rPr>
                <w:rFonts w:eastAsia="Times New Roman" w:cs="Calibri"/>
                <w:sz w:val="18"/>
                <w:szCs w:val="18"/>
              </w:rPr>
            </w:pPr>
            <w:r w:rsidRPr="00C469EA">
              <w:rPr>
                <w:sz w:val="18"/>
                <w:szCs w:val="18"/>
              </w:rPr>
              <w:t>Pas de captures, informations sans objet. Pas de captures, travaux de recherche et informations sans objet.</w:t>
            </w:r>
          </w:p>
        </w:tc>
      </w:tr>
      <w:tr w:rsidR="00945C39" w:rsidRPr="00C469EA" w14:paraId="2BA05B04" w14:textId="77777777" w:rsidTr="00112EB2">
        <w:trPr>
          <w:trHeight w:val="88"/>
          <w:jc w:val="center"/>
        </w:trPr>
        <w:tc>
          <w:tcPr>
            <w:tcW w:w="111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54C52EC7" w14:textId="77777777" w:rsidR="00945C39" w:rsidRPr="00C469EA" w:rsidRDefault="00945C39" w:rsidP="00112EB2">
            <w:pPr>
              <w:jc w:val="both"/>
              <w:rPr>
                <w:sz w:val="18"/>
                <w:szCs w:val="18"/>
              </w:rPr>
            </w:pPr>
            <w:r>
              <w:rPr>
                <w:rFonts w:eastAsia="Times New Roman" w:cs="Calibri"/>
                <w:b/>
                <w:bCs/>
                <w:color w:val="000000" w:themeColor="text1"/>
                <w:sz w:val="18"/>
                <w:szCs w:val="18"/>
              </w:rPr>
              <w:t>REQUIN-BALEINE</w:t>
            </w:r>
          </w:p>
        </w:tc>
      </w:tr>
      <w:tr w:rsidR="00945C39" w:rsidRPr="00C469EA" w14:paraId="535EEB5F" w14:textId="77777777" w:rsidTr="00112EB2">
        <w:trPr>
          <w:trHeight w:val="88"/>
          <w:jc w:val="center"/>
        </w:trPr>
        <w:tc>
          <w:tcPr>
            <w:tcW w:w="1255" w:type="dxa"/>
            <w:tcBorders>
              <w:top w:val="single" w:sz="12" w:space="0" w:color="auto"/>
            </w:tcBorders>
            <w:shd w:val="clear" w:color="auto" w:fill="C1E4F5" w:themeFill="accent1" w:themeFillTint="33"/>
            <w:noWrap/>
            <w:vAlign w:val="center"/>
          </w:tcPr>
          <w:p w14:paraId="41D0704F" w14:textId="77777777" w:rsidR="00945C39" w:rsidRPr="007024B5" w:rsidRDefault="00945C39"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747167F4" w14:textId="77777777" w:rsidR="00945C39" w:rsidRPr="007024B5" w:rsidRDefault="00945C39" w:rsidP="00112EB2">
            <w:pPr>
              <w:jc w:val="center"/>
              <w:rPr>
                <w:rFonts w:eastAsia="Times New Roman" w:cs="Calibri"/>
                <w:b/>
                <w:bCs/>
                <w:color w:val="000000" w:themeColor="text1"/>
                <w:sz w:val="18"/>
                <w:szCs w:val="18"/>
              </w:rPr>
            </w:pPr>
          </w:p>
          <w:p w14:paraId="3DADF300" w14:textId="77777777" w:rsidR="00945C39"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lastRenderedPageBreak/>
              <w:t>(Requin-baleine</w:t>
            </w:r>
            <w:r w:rsidRPr="007024B5">
              <w:rPr>
                <w:rFonts w:eastAsia="Times New Roman" w:cs="Calibri"/>
                <w:b/>
                <w:bCs/>
                <w:color w:val="000000" w:themeColor="text1"/>
                <w:sz w:val="18"/>
                <w:szCs w:val="18"/>
              </w:rPr>
              <w:t>)</w:t>
            </w:r>
          </w:p>
        </w:tc>
        <w:tc>
          <w:tcPr>
            <w:tcW w:w="815" w:type="dxa"/>
            <w:tcBorders>
              <w:top w:val="single" w:sz="12" w:space="0" w:color="auto"/>
            </w:tcBorders>
            <w:shd w:val="clear" w:color="auto" w:fill="C1E4F5" w:themeFill="accent1" w:themeFillTint="33"/>
            <w:noWrap/>
            <w:vAlign w:val="center"/>
          </w:tcPr>
          <w:p w14:paraId="55502E7A" w14:textId="77777777" w:rsidR="00945C39" w:rsidRPr="000632D8" w:rsidRDefault="00945C39" w:rsidP="00112EB2">
            <w:pPr>
              <w:jc w:val="center"/>
              <w:rPr>
                <w:rFonts w:ascii="Cambria" w:hAnsi="Cambria"/>
                <w:b/>
                <w:sz w:val="18"/>
                <w:szCs w:val="18"/>
              </w:rPr>
            </w:pPr>
            <w:r>
              <w:rPr>
                <w:rFonts w:eastAsia="Times New Roman" w:cs="Calibri"/>
                <w:b/>
                <w:bCs/>
                <w:color w:val="000000" w:themeColor="text1"/>
                <w:sz w:val="18"/>
                <w:szCs w:val="18"/>
              </w:rPr>
              <w:lastRenderedPageBreak/>
              <w:t>1</w:t>
            </w:r>
          </w:p>
        </w:tc>
        <w:tc>
          <w:tcPr>
            <w:tcW w:w="1165" w:type="dxa"/>
            <w:tcBorders>
              <w:top w:val="single" w:sz="12" w:space="0" w:color="auto"/>
            </w:tcBorders>
            <w:shd w:val="clear" w:color="auto" w:fill="C1E4F5" w:themeFill="accent1" w:themeFillTint="33"/>
            <w:vAlign w:val="center"/>
          </w:tcPr>
          <w:p w14:paraId="0013D23F" w14:textId="77777777" w:rsidR="00945C39" w:rsidRPr="000632D8" w:rsidRDefault="00945C39" w:rsidP="00112EB2">
            <w:pPr>
              <w:widowControl w:val="0"/>
              <w:kinsoku w:val="0"/>
              <w:overflowPunct w:val="0"/>
              <w:autoSpaceDE w:val="0"/>
              <w:autoSpaceDN w:val="0"/>
              <w:adjustRightInd w:val="0"/>
              <w:spacing w:line="220" w:lineRule="exact"/>
              <w:ind w:right="113"/>
              <w:jc w:val="center"/>
              <w:rPr>
                <w:rFonts w:ascii="Cambria" w:hAnsi="Cambria"/>
                <w:sz w:val="18"/>
                <w:szCs w:val="18"/>
              </w:rPr>
            </w:pPr>
          </w:p>
        </w:tc>
        <w:tc>
          <w:tcPr>
            <w:tcW w:w="2666" w:type="dxa"/>
            <w:tcBorders>
              <w:top w:val="single" w:sz="12" w:space="0" w:color="auto"/>
            </w:tcBorders>
            <w:shd w:val="clear" w:color="auto" w:fill="C1E4F5" w:themeFill="accent1" w:themeFillTint="33"/>
            <w:vAlign w:val="center"/>
          </w:tcPr>
          <w:p w14:paraId="137558C9" w14:textId="77777777" w:rsidR="00945C39" w:rsidRPr="00C469EA" w:rsidRDefault="00945C39" w:rsidP="00112EB2">
            <w:pPr>
              <w:widowControl w:val="0"/>
              <w:kinsoku w:val="0"/>
              <w:overflowPunct w:val="0"/>
              <w:autoSpaceDE w:val="0"/>
              <w:autoSpaceDN w:val="0"/>
              <w:adjustRightInd w:val="0"/>
              <w:spacing w:line="220" w:lineRule="exact"/>
              <w:ind w:right="113"/>
              <w:jc w:val="both"/>
              <w:rPr>
                <w:sz w:val="18"/>
                <w:szCs w:val="18"/>
              </w:rPr>
            </w:pPr>
            <w:r w:rsidRPr="00B57EEC">
              <w:rPr>
                <w:sz w:val="18"/>
                <w:szCs w:val="18"/>
              </w:rPr>
              <w:t xml:space="preserve">Les CPC devront interdire aux navires de pêche sous leur pavillon de conserver à bord, de transborder ou de débarquer, en totalité ou en partie, tout spécimen de </w:t>
            </w:r>
            <w:r w:rsidRPr="00B57EEC">
              <w:rPr>
                <w:b/>
                <w:bCs/>
                <w:sz w:val="18"/>
                <w:szCs w:val="18"/>
              </w:rPr>
              <w:lastRenderedPageBreak/>
              <w:t>requin-baleine</w:t>
            </w:r>
            <w:r w:rsidRPr="00B57EEC">
              <w:rPr>
                <w:sz w:val="18"/>
                <w:szCs w:val="18"/>
              </w:rPr>
              <w:t xml:space="preserve"> (</w:t>
            </w:r>
            <w:r w:rsidRPr="00B57EEC">
              <w:rPr>
                <w:i/>
                <w:iCs/>
                <w:sz w:val="18"/>
                <w:szCs w:val="18"/>
              </w:rPr>
              <w:t>Rhincodon typus</w:t>
            </w:r>
            <w:r w:rsidRPr="00B57EEC">
              <w:rPr>
                <w:sz w:val="18"/>
                <w:szCs w:val="18"/>
              </w:rPr>
              <w:t>) capturé dans les pêcheries de l'ICCAT</w:t>
            </w:r>
            <w:r>
              <w:rPr>
                <w:sz w:val="18"/>
                <w:szCs w:val="18"/>
              </w:rPr>
              <w:t>.</w:t>
            </w:r>
          </w:p>
        </w:tc>
        <w:tc>
          <w:tcPr>
            <w:tcW w:w="1566" w:type="dxa"/>
            <w:tcBorders>
              <w:top w:val="single" w:sz="12" w:space="0" w:color="auto"/>
            </w:tcBorders>
            <w:shd w:val="clear" w:color="auto" w:fill="C1E4F5" w:themeFill="accent1" w:themeFillTint="33"/>
            <w:vAlign w:val="center"/>
          </w:tcPr>
          <w:p w14:paraId="17DBDCB5" w14:textId="77777777" w:rsidR="00945C39" w:rsidRPr="00C469EA" w:rsidRDefault="00945C39" w:rsidP="00112EB2">
            <w:pPr>
              <w:jc w:val="both"/>
              <w:rPr>
                <w:sz w:val="18"/>
                <w:szCs w:val="18"/>
              </w:rPr>
            </w:pPr>
            <w:r w:rsidRPr="00BA222E">
              <w:rPr>
                <w:sz w:val="18"/>
                <w:szCs w:val="18"/>
              </w:rPr>
              <w:lastRenderedPageBreak/>
              <w:t xml:space="preserve">Oui </w:t>
            </w:r>
          </w:p>
        </w:tc>
        <w:tc>
          <w:tcPr>
            <w:tcW w:w="1618" w:type="dxa"/>
            <w:tcBorders>
              <w:top w:val="single" w:sz="12" w:space="0" w:color="auto"/>
            </w:tcBorders>
            <w:shd w:val="clear" w:color="auto" w:fill="C1E4F5" w:themeFill="accent1" w:themeFillTint="33"/>
            <w:vAlign w:val="center"/>
          </w:tcPr>
          <w:p w14:paraId="68AECA09"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w:t>
            </w:r>
            <w:r w:rsidRPr="00C469EA">
              <w:rPr>
                <w:rFonts w:eastAsia="MS Mincho"/>
                <w:sz w:val="18"/>
                <w:szCs w:val="18"/>
                <w:lang w:eastAsia="fr-FR" w:bidi="fr-FR"/>
              </w:rPr>
              <w:lastRenderedPageBreak/>
              <w:t xml:space="preserve">conservation </w:t>
            </w:r>
            <w:r>
              <w:rPr>
                <w:rFonts w:eastAsia="MS Mincho"/>
                <w:sz w:val="18"/>
                <w:szCs w:val="18"/>
                <w:lang w:eastAsia="fr-FR" w:bidi="fr-FR"/>
              </w:rPr>
              <w:t>des requins et raies</w:t>
            </w:r>
          </w:p>
          <w:p w14:paraId="1489B174" w14:textId="77777777" w:rsidR="00945C39" w:rsidRPr="00C469EA" w:rsidRDefault="00945C39" w:rsidP="00112EB2">
            <w:pPr>
              <w:jc w:val="both"/>
              <w:rPr>
                <w:rFonts w:eastAsia="Times New Roman" w:cs="Calibri"/>
                <w:sz w:val="18"/>
                <w:szCs w:val="18"/>
              </w:rPr>
            </w:pPr>
            <w:r>
              <w:rPr>
                <w:rFonts w:eastAsia="Times New Roman" w:cs="Calibri"/>
                <w:sz w:val="18"/>
                <w:szCs w:val="18"/>
              </w:rPr>
              <w:t>on</w:t>
            </w:r>
          </w:p>
        </w:tc>
        <w:tc>
          <w:tcPr>
            <w:tcW w:w="2041" w:type="dxa"/>
            <w:tcBorders>
              <w:top w:val="single" w:sz="12" w:space="0" w:color="auto"/>
            </w:tcBorders>
            <w:shd w:val="clear" w:color="auto" w:fill="C1E4F5" w:themeFill="accent1" w:themeFillTint="33"/>
            <w:vAlign w:val="center"/>
          </w:tcPr>
          <w:p w14:paraId="01696BE9" w14:textId="77777777" w:rsidR="00945C39" w:rsidRDefault="00945C39" w:rsidP="00112EB2">
            <w:pPr>
              <w:jc w:val="both"/>
              <w:rPr>
                <w:sz w:val="18"/>
                <w:szCs w:val="18"/>
              </w:rPr>
            </w:pPr>
          </w:p>
          <w:p w14:paraId="445D8909" w14:textId="77777777" w:rsidR="00945C39" w:rsidRPr="00C469EA" w:rsidRDefault="00945C39" w:rsidP="00112EB2">
            <w:pPr>
              <w:jc w:val="both"/>
              <w:rPr>
                <w:sz w:val="18"/>
                <w:szCs w:val="18"/>
              </w:rPr>
            </w:pPr>
          </w:p>
        </w:tc>
      </w:tr>
      <w:tr w:rsidR="00945C39" w:rsidRPr="00C469EA" w14:paraId="1722B568" w14:textId="77777777" w:rsidTr="00112EB2">
        <w:trPr>
          <w:trHeight w:val="88"/>
          <w:jc w:val="center"/>
        </w:trPr>
        <w:tc>
          <w:tcPr>
            <w:tcW w:w="1255" w:type="dxa"/>
            <w:shd w:val="clear" w:color="auto" w:fill="C1E4F5" w:themeFill="accent1" w:themeFillTint="33"/>
            <w:noWrap/>
            <w:vAlign w:val="center"/>
          </w:tcPr>
          <w:p w14:paraId="7B787D4A" w14:textId="77777777" w:rsidR="00945C39" w:rsidRPr="007024B5" w:rsidRDefault="00945C39"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586B81A8" w14:textId="77777777" w:rsidR="00945C39" w:rsidRPr="007024B5" w:rsidRDefault="00945C39" w:rsidP="00112EB2">
            <w:pPr>
              <w:jc w:val="center"/>
              <w:rPr>
                <w:rFonts w:eastAsia="Times New Roman" w:cs="Calibri"/>
                <w:b/>
                <w:bCs/>
                <w:color w:val="000000" w:themeColor="text1"/>
                <w:sz w:val="18"/>
                <w:szCs w:val="18"/>
              </w:rPr>
            </w:pPr>
          </w:p>
          <w:p w14:paraId="2F59FAF3" w14:textId="77777777" w:rsidR="00945C39" w:rsidRPr="007024B5"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(Requin-baleine</w:t>
            </w:r>
            <w:r w:rsidRPr="007024B5">
              <w:rPr>
                <w:rFonts w:eastAsia="Times New Roman" w:cs="Calibri"/>
                <w:b/>
                <w:bCs/>
                <w:color w:val="000000" w:themeColor="text1"/>
                <w:sz w:val="18"/>
                <w:szCs w:val="18"/>
              </w:rPr>
              <w:t>)</w:t>
            </w:r>
          </w:p>
        </w:tc>
        <w:tc>
          <w:tcPr>
            <w:tcW w:w="815" w:type="dxa"/>
            <w:shd w:val="clear" w:color="auto" w:fill="C1E4F5" w:themeFill="accent1" w:themeFillTint="33"/>
            <w:noWrap/>
            <w:vAlign w:val="center"/>
          </w:tcPr>
          <w:p w14:paraId="29FD0BDA" w14:textId="77777777" w:rsidR="00945C39"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2</w:t>
            </w:r>
          </w:p>
        </w:tc>
        <w:tc>
          <w:tcPr>
            <w:tcW w:w="1165" w:type="dxa"/>
            <w:shd w:val="clear" w:color="auto" w:fill="C1E4F5" w:themeFill="accent1" w:themeFillTint="33"/>
            <w:vAlign w:val="center"/>
          </w:tcPr>
          <w:p w14:paraId="6BBC8049" w14:textId="77777777" w:rsidR="00945C39" w:rsidRPr="000632D8" w:rsidRDefault="00945C39" w:rsidP="00112EB2">
            <w:pPr>
              <w:widowControl w:val="0"/>
              <w:kinsoku w:val="0"/>
              <w:overflowPunct w:val="0"/>
              <w:autoSpaceDE w:val="0"/>
              <w:autoSpaceDN w:val="0"/>
              <w:adjustRightInd w:val="0"/>
              <w:spacing w:line="220" w:lineRule="exact"/>
              <w:ind w:right="113"/>
              <w:jc w:val="center"/>
              <w:rPr>
                <w:rFonts w:ascii="Cambria" w:hAnsi="Cambria"/>
                <w:sz w:val="18"/>
                <w:szCs w:val="18"/>
              </w:rPr>
            </w:pPr>
          </w:p>
        </w:tc>
        <w:tc>
          <w:tcPr>
            <w:tcW w:w="2666" w:type="dxa"/>
            <w:shd w:val="clear" w:color="auto" w:fill="C1E4F5" w:themeFill="accent1" w:themeFillTint="33"/>
            <w:vAlign w:val="center"/>
          </w:tcPr>
          <w:p w14:paraId="39926569" w14:textId="77777777" w:rsidR="00945C39" w:rsidRPr="00B57EEC" w:rsidRDefault="00945C39" w:rsidP="00112EB2">
            <w:pPr>
              <w:widowControl w:val="0"/>
              <w:kinsoku w:val="0"/>
              <w:overflowPunct w:val="0"/>
              <w:autoSpaceDE w:val="0"/>
              <w:autoSpaceDN w:val="0"/>
              <w:adjustRightInd w:val="0"/>
              <w:spacing w:line="220" w:lineRule="exact"/>
              <w:ind w:right="113"/>
              <w:jc w:val="both"/>
              <w:rPr>
                <w:sz w:val="18"/>
                <w:szCs w:val="18"/>
              </w:rPr>
            </w:pPr>
            <w:r w:rsidRPr="00B57EEC">
              <w:rPr>
                <w:sz w:val="18"/>
                <w:szCs w:val="18"/>
              </w:rPr>
              <w:t>Les CPC devront interdire aux navires de pêche sous leur pavillon de caler un filet de senne sur un banc de thonidés associé à un</w:t>
            </w:r>
            <w:r w:rsidRPr="00B57EEC">
              <w:rPr>
                <w:b/>
                <w:bCs/>
                <w:sz w:val="18"/>
                <w:szCs w:val="18"/>
              </w:rPr>
              <w:t xml:space="preserve"> requin-baleine</w:t>
            </w:r>
            <w:r w:rsidRPr="00B57EEC">
              <w:rPr>
                <w:sz w:val="18"/>
                <w:szCs w:val="18"/>
              </w:rPr>
              <w:t xml:space="preserve"> si l'animal a été observé avant le début de l’opération</w:t>
            </w:r>
            <w:r>
              <w:rPr>
                <w:sz w:val="18"/>
                <w:szCs w:val="18"/>
              </w:rPr>
              <w:t>.</w:t>
            </w:r>
          </w:p>
        </w:tc>
        <w:tc>
          <w:tcPr>
            <w:tcW w:w="1566" w:type="dxa"/>
            <w:shd w:val="clear" w:color="auto" w:fill="C1E4F5" w:themeFill="accent1" w:themeFillTint="33"/>
            <w:vAlign w:val="center"/>
          </w:tcPr>
          <w:p w14:paraId="40492E68" w14:textId="77777777" w:rsidR="00945C39" w:rsidRPr="00BA222E" w:rsidRDefault="00945C39" w:rsidP="00112EB2">
            <w:pPr>
              <w:jc w:val="both"/>
              <w:rPr>
                <w:sz w:val="18"/>
                <w:szCs w:val="18"/>
              </w:rPr>
            </w:pPr>
            <w:r w:rsidRPr="00BA222E">
              <w:rPr>
                <w:sz w:val="18"/>
                <w:szCs w:val="18"/>
              </w:rPr>
              <w:t>Oui ou non</w:t>
            </w:r>
          </w:p>
        </w:tc>
        <w:tc>
          <w:tcPr>
            <w:tcW w:w="1618" w:type="dxa"/>
            <w:shd w:val="clear" w:color="auto" w:fill="C1E4F5" w:themeFill="accent1" w:themeFillTint="33"/>
            <w:vAlign w:val="center"/>
          </w:tcPr>
          <w:p w14:paraId="52862DA3"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0091A89A" w14:textId="77777777" w:rsidR="00945C39" w:rsidRPr="00C469EA" w:rsidRDefault="00945C39" w:rsidP="00112EB2">
            <w:pPr>
              <w:jc w:val="both"/>
              <w:rPr>
                <w:rFonts w:eastAsia="Times New Roman" w:cs="Calibri"/>
                <w:sz w:val="18"/>
                <w:szCs w:val="18"/>
              </w:rPr>
            </w:pPr>
          </w:p>
        </w:tc>
        <w:tc>
          <w:tcPr>
            <w:tcW w:w="2041" w:type="dxa"/>
            <w:shd w:val="clear" w:color="auto" w:fill="C1E4F5" w:themeFill="accent1" w:themeFillTint="33"/>
            <w:vAlign w:val="center"/>
          </w:tcPr>
          <w:p w14:paraId="6EFDBC03" w14:textId="77777777" w:rsidR="00945C39" w:rsidRPr="00BA222E" w:rsidRDefault="00945C39" w:rsidP="00112EB2">
            <w:pPr>
              <w:jc w:val="both"/>
              <w:rPr>
                <w:sz w:val="18"/>
                <w:szCs w:val="18"/>
              </w:rPr>
            </w:pPr>
          </w:p>
        </w:tc>
      </w:tr>
      <w:tr w:rsidR="00945C39" w:rsidRPr="00C469EA" w14:paraId="37126714" w14:textId="77777777" w:rsidTr="00112EB2">
        <w:trPr>
          <w:trHeight w:val="88"/>
          <w:jc w:val="center"/>
        </w:trPr>
        <w:tc>
          <w:tcPr>
            <w:tcW w:w="1255" w:type="dxa"/>
            <w:shd w:val="clear" w:color="auto" w:fill="C1E4F5" w:themeFill="accent1" w:themeFillTint="33"/>
            <w:noWrap/>
            <w:vAlign w:val="center"/>
          </w:tcPr>
          <w:p w14:paraId="29960E9B" w14:textId="77777777" w:rsidR="00945C39" w:rsidRPr="007024B5" w:rsidRDefault="00945C39"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7CBB1025" w14:textId="77777777" w:rsidR="00945C39" w:rsidRPr="007024B5" w:rsidRDefault="00945C39" w:rsidP="00112EB2">
            <w:pPr>
              <w:jc w:val="center"/>
              <w:rPr>
                <w:rFonts w:eastAsia="Times New Roman" w:cs="Calibri"/>
                <w:b/>
                <w:bCs/>
                <w:color w:val="000000" w:themeColor="text1"/>
                <w:sz w:val="18"/>
                <w:szCs w:val="18"/>
              </w:rPr>
            </w:pPr>
          </w:p>
          <w:p w14:paraId="2F67525B" w14:textId="77777777" w:rsidR="00945C39" w:rsidRPr="007024B5"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(Requin-baleine</w:t>
            </w:r>
            <w:r w:rsidRPr="007024B5">
              <w:rPr>
                <w:rFonts w:eastAsia="Times New Roman" w:cs="Calibri"/>
                <w:b/>
                <w:bCs/>
                <w:color w:val="000000" w:themeColor="text1"/>
                <w:sz w:val="18"/>
                <w:szCs w:val="18"/>
              </w:rPr>
              <w:t>)</w:t>
            </w:r>
          </w:p>
        </w:tc>
        <w:tc>
          <w:tcPr>
            <w:tcW w:w="815" w:type="dxa"/>
            <w:shd w:val="clear" w:color="auto" w:fill="C1E4F5" w:themeFill="accent1" w:themeFillTint="33"/>
            <w:noWrap/>
            <w:vAlign w:val="center"/>
          </w:tcPr>
          <w:p w14:paraId="29CF2ABA" w14:textId="77777777" w:rsidR="00945C39"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3</w:t>
            </w:r>
          </w:p>
        </w:tc>
        <w:tc>
          <w:tcPr>
            <w:tcW w:w="1165" w:type="dxa"/>
            <w:shd w:val="clear" w:color="auto" w:fill="C1E4F5" w:themeFill="accent1" w:themeFillTint="33"/>
            <w:vAlign w:val="center"/>
          </w:tcPr>
          <w:p w14:paraId="0BA6E7DB" w14:textId="77777777" w:rsidR="00945C39" w:rsidRPr="000632D8" w:rsidRDefault="00945C39" w:rsidP="00112EB2">
            <w:pPr>
              <w:widowControl w:val="0"/>
              <w:kinsoku w:val="0"/>
              <w:overflowPunct w:val="0"/>
              <w:autoSpaceDE w:val="0"/>
              <w:autoSpaceDN w:val="0"/>
              <w:adjustRightInd w:val="0"/>
              <w:spacing w:line="220" w:lineRule="exact"/>
              <w:ind w:right="113"/>
              <w:jc w:val="center"/>
              <w:rPr>
                <w:rFonts w:ascii="Cambria" w:hAnsi="Cambria"/>
                <w:sz w:val="18"/>
                <w:szCs w:val="18"/>
              </w:rPr>
            </w:pPr>
          </w:p>
        </w:tc>
        <w:tc>
          <w:tcPr>
            <w:tcW w:w="2666" w:type="dxa"/>
            <w:shd w:val="clear" w:color="auto" w:fill="C1E4F5" w:themeFill="accent1" w:themeFillTint="33"/>
            <w:vAlign w:val="center"/>
          </w:tcPr>
          <w:p w14:paraId="1D197E93" w14:textId="77777777" w:rsidR="00945C39" w:rsidRPr="00B57EEC" w:rsidRDefault="00945C39" w:rsidP="00112EB2">
            <w:pPr>
              <w:widowControl w:val="0"/>
              <w:kinsoku w:val="0"/>
              <w:overflowPunct w:val="0"/>
              <w:autoSpaceDE w:val="0"/>
              <w:autoSpaceDN w:val="0"/>
              <w:adjustRightInd w:val="0"/>
              <w:spacing w:line="220" w:lineRule="exact"/>
              <w:ind w:right="113"/>
              <w:jc w:val="both"/>
              <w:rPr>
                <w:sz w:val="18"/>
                <w:szCs w:val="18"/>
              </w:rPr>
            </w:pPr>
            <w:r w:rsidRPr="00B57EEC">
              <w:rPr>
                <w:sz w:val="18"/>
                <w:szCs w:val="18"/>
              </w:rPr>
              <w:t xml:space="preserve">Les CPC devront exiger que, lorsqu'un </w:t>
            </w:r>
            <w:r w:rsidRPr="00B57EEC">
              <w:rPr>
                <w:b/>
                <w:bCs/>
                <w:sz w:val="18"/>
                <w:szCs w:val="18"/>
              </w:rPr>
              <w:t>requin-baleine</w:t>
            </w:r>
            <w:r w:rsidRPr="00B57EEC">
              <w:rPr>
                <w:sz w:val="18"/>
                <w:szCs w:val="18"/>
              </w:rPr>
              <w:t xml:space="preserve"> est accidentellement encerclé dans un filet de senne, le capitaine du navire de pêche prenne toutes les mesures raisonnables pour assurer sa remise l’eau en toute sécurité</w:t>
            </w:r>
            <w:r>
              <w:rPr>
                <w:sz w:val="18"/>
                <w:szCs w:val="18"/>
              </w:rPr>
              <w:t>.</w:t>
            </w:r>
          </w:p>
        </w:tc>
        <w:tc>
          <w:tcPr>
            <w:tcW w:w="1566" w:type="dxa"/>
            <w:shd w:val="clear" w:color="auto" w:fill="C1E4F5" w:themeFill="accent1" w:themeFillTint="33"/>
            <w:vAlign w:val="center"/>
          </w:tcPr>
          <w:p w14:paraId="761981D9" w14:textId="77777777" w:rsidR="00945C39" w:rsidRPr="00BA222E" w:rsidRDefault="00945C39" w:rsidP="00112EB2">
            <w:pPr>
              <w:jc w:val="both"/>
              <w:rPr>
                <w:sz w:val="18"/>
                <w:szCs w:val="18"/>
              </w:rPr>
            </w:pPr>
            <w:r w:rsidRPr="00BA222E">
              <w:rPr>
                <w:sz w:val="18"/>
                <w:szCs w:val="18"/>
              </w:rPr>
              <w:t xml:space="preserve">Oui </w:t>
            </w:r>
          </w:p>
        </w:tc>
        <w:tc>
          <w:tcPr>
            <w:tcW w:w="1618" w:type="dxa"/>
            <w:shd w:val="clear" w:color="auto" w:fill="C1E4F5" w:themeFill="accent1" w:themeFillTint="33"/>
            <w:vAlign w:val="center"/>
          </w:tcPr>
          <w:p w14:paraId="4B9767BA"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0A733B31" w14:textId="77777777" w:rsidR="00945C39" w:rsidRPr="00C469EA" w:rsidRDefault="00945C39" w:rsidP="00112EB2">
            <w:pPr>
              <w:jc w:val="both"/>
              <w:rPr>
                <w:rFonts w:eastAsia="Times New Roman" w:cs="Calibri"/>
                <w:sz w:val="18"/>
                <w:szCs w:val="18"/>
              </w:rPr>
            </w:pPr>
          </w:p>
        </w:tc>
        <w:tc>
          <w:tcPr>
            <w:tcW w:w="2041" w:type="dxa"/>
            <w:shd w:val="clear" w:color="auto" w:fill="C1E4F5" w:themeFill="accent1" w:themeFillTint="33"/>
            <w:vAlign w:val="center"/>
          </w:tcPr>
          <w:p w14:paraId="01B27A81" w14:textId="77777777" w:rsidR="00945C39" w:rsidRPr="00BA222E" w:rsidRDefault="00945C39" w:rsidP="00112EB2">
            <w:pPr>
              <w:jc w:val="both"/>
              <w:rPr>
                <w:sz w:val="18"/>
                <w:szCs w:val="18"/>
              </w:rPr>
            </w:pPr>
          </w:p>
        </w:tc>
      </w:tr>
      <w:tr w:rsidR="00945C39" w:rsidRPr="00C469EA" w14:paraId="188C09E4" w14:textId="77777777" w:rsidTr="00112EB2">
        <w:trPr>
          <w:trHeight w:val="88"/>
          <w:jc w:val="center"/>
        </w:trPr>
        <w:tc>
          <w:tcPr>
            <w:tcW w:w="1255" w:type="dxa"/>
            <w:shd w:val="clear" w:color="auto" w:fill="C1E4F5" w:themeFill="accent1" w:themeFillTint="33"/>
            <w:noWrap/>
            <w:vAlign w:val="center"/>
          </w:tcPr>
          <w:p w14:paraId="5809374B" w14:textId="77777777" w:rsidR="00945C39" w:rsidRPr="007024B5" w:rsidRDefault="00945C39"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749B1E98" w14:textId="77777777" w:rsidR="00945C39" w:rsidRPr="007024B5" w:rsidRDefault="00945C39" w:rsidP="00112EB2">
            <w:pPr>
              <w:jc w:val="center"/>
              <w:rPr>
                <w:rFonts w:eastAsia="Times New Roman" w:cs="Calibri"/>
                <w:b/>
                <w:bCs/>
                <w:color w:val="000000" w:themeColor="text1"/>
                <w:sz w:val="18"/>
                <w:szCs w:val="18"/>
              </w:rPr>
            </w:pPr>
          </w:p>
          <w:p w14:paraId="7DF1B210" w14:textId="77777777" w:rsidR="00945C39" w:rsidRPr="007024B5"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(Requin-baleine</w:t>
            </w:r>
            <w:r w:rsidRPr="007024B5">
              <w:rPr>
                <w:rFonts w:eastAsia="Times New Roman" w:cs="Calibri"/>
                <w:b/>
                <w:bCs/>
                <w:color w:val="000000" w:themeColor="text1"/>
                <w:sz w:val="18"/>
                <w:szCs w:val="18"/>
              </w:rPr>
              <w:t>)</w:t>
            </w:r>
          </w:p>
        </w:tc>
        <w:tc>
          <w:tcPr>
            <w:tcW w:w="815" w:type="dxa"/>
            <w:shd w:val="clear" w:color="auto" w:fill="C1E4F5" w:themeFill="accent1" w:themeFillTint="33"/>
            <w:noWrap/>
            <w:vAlign w:val="center"/>
          </w:tcPr>
          <w:p w14:paraId="3C4911F7" w14:textId="77777777" w:rsidR="00945C39"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4</w:t>
            </w:r>
          </w:p>
        </w:tc>
        <w:tc>
          <w:tcPr>
            <w:tcW w:w="1165" w:type="dxa"/>
            <w:shd w:val="clear" w:color="auto" w:fill="C1E4F5" w:themeFill="accent1" w:themeFillTint="33"/>
            <w:vAlign w:val="center"/>
          </w:tcPr>
          <w:p w14:paraId="5A42F7D6" w14:textId="77777777" w:rsidR="00945C39" w:rsidRPr="000632D8" w:rsidRDefault="00945C39" w:rsidP="00112EB2">
            <w:pPr>
              <w:widowControl w:val="0"/>
              <w:kinsoku w:val="0"/>
              <w:overflowPunct w:val="0"/>
              <w:autoSpaceDE w:val="0"/>
              <w:autoSpaceDN w:val="0"/>
              <w:adjustRightInd w:val="0"/>
              <w:spacing w:line="220" w:lineRule="exact"/>
              <w:ind w:right="113"/>
              <w:jc w:val="center"/>
              <w:rPr>
                <w:rFonts w:ascii="Cambria" w:hAnsi="Cambria"/>
                <w:sz w:val="18"/>
                <w:szCs w:val="18"/>
              </w:rPr>
            </w:pPr>
          </w:p>
        </w:tc>
        <w:tc>
          <w:tcPr>
            <w:tcW w:w="2666" w:type="dxa"/>
            <w:shd w:val="clear" w:color="auto" w:fill="C1E4F5" w:themeFill="accent1" w:themeFillTint="33"/>
            <w:vAlign w:val="center"/>
          </w:tcPr>
          <w:p w14:paraId="562AB50B" w14:textId="77777777" w:rsidR="00945C39" w:rsidRPr="00B57EEC" w:rsidRDefault="00945C39" w:rsidP="00112EB2">
            <w:pPr>
              <w:widowControl w:val="0"/>
              <w:kinsoku w:val="0"/>
              <w:overflowPunct w:val="0"/>
              <w:autoSpaceDE w:val="0"/>
              <w:autoSpaceDN w:val="0"/>
              <w:adjustRightInd w:val="0"/>
              <w:spacing w:line="220" w:lineRule="exact"/>
              <w:ind w:right="113"/>
              <w:jc w:val="both"/>
              <w:rPr>
                <w:sz w:val="18"/>
                <w:szCs w:val="18"/>
              </w:rPr>
            </w:pPr>
            <w:r w:rsidRPr="00B57EEC">
              <w:rPr>
                <w:sz w:val="18"/>
                <w:szCs w:val="18"/>
              </w:rPr>
              <w:t xml:space="preserve">Jusqu'à ce que des lignes directrices relatives à la manipulation et à la remise à l’eau en toute sécurité soient élaborées et adoptées conformément au paragraphe 9 ci-dessous, les CPC devraient sommer les capitaines des navires battant leur pavillon, de prendre des mesures pour assurer la manipulation et la remise à l'eau en toute sécurité d’un </w:t>
            </w:r>
            <w:r w:rsidRPr="00D9268E">
              <w:rPr>
                <w:b/>
                <w:bCs/>
                <w:sz w:val="18"/>
                <w:szCs w:val="18"/>
              </w:rPr>
              <w:t>requin-baleine</w:t>
            </w:r>
            <w:r w:rsidRPr="00B57EEC">
              <w:rPr>
                <w:sz w:val="18"/>
                <w:szCs w:val="18"/>
              </w:rPr>
              <w:t xml:space="preserve"> comme l'exige le paragraphe 3 et, tout en assurant la sécurité de l'équipage, d’appliquer les directives énoncées à l'</w:t>
            </w:r>
            <w:r w:rsidRPr="00B57EEC">
              <w:rPr>
                <w:b/>
                <w:bCs/>
                <w:sz w:val="18"/>
                <w:szCs w:val="18"/>
              </w:rPr>
              <w:t>annexe 1.</w:t>
            </w:r>
          </w:p>
        </w:tc>
        <w:tc>
          <w:tcPr>
            <w:tcW w:w="1566" w:type="dxa"/>
            <w:shd w:val="clear" w:color="auto" w:fill="C1E4F5" w:themeFill="accent1" w:themeFillTint="33"/>
            <w:vAlign w:val="center"/>
          </w:tcPr>
          <w:p w14:paraId="3F703AD7" w14:textId="77777777" w:rsidR="00945C39" w:rsidRPr="00BA222E" w:rsidRDefault="00945C39" w:rsidP="00112EB2">
            <w:pPr>
              <w:jc w:val="both"/>
              <w:rPr>
                <w:sz w:val="18"/>
                <w:szCs w:val="18"/>
              </w:rPr>
            </w:pPr>
            <w:r w:rsidRPr="00BA222E">
              <w:rPr>
                <w:sz w:val="18"/>
                <w:szCs w:val="18"/>
              </w:rPr>
              <w:t xml:space="preserve">Oui </w:t>
            </w:r>
          </w:p>
        </w:tc>
        <w:tc>
          <w:tcPr>
            <w:tcW w:w="1618" w:type="dxa"/>
            <w:shd w:val="clear" w:color="auto" w:fill="C1E4F5" w:themeFill="accent1" w:themeFillTint="33"/>
            <w:vAlign w:val="center"/>
          </w:tcPr>
          <w:p w14:paraId="4F8E2DC2" w14:textId="77777777" w:rsidR="00945C39" w:rsidRPr="00C469EA" w:rsidRDefault="00945C39" w:rsidP="00112EB2">
            <w:pPr>
              <w:jc w:val="both"/>
              <w:rPr>
                <w:sz w:val="18"/>
                <w:szCs w:val="18"/>
              </w:rPr>
            </w:pPr>
            <w:r w:rsidRPr="00C469EA">
              <w:rPr>
                <w:rFonts w:eastAsia="MS Mincho"/>
                <w:sz w:val="18"/>
                <w:szCs w:val="18"/>
                <w:lang w:eastAsia="fr-FR" w:bidi="fr-FR"/>
              </w:rPr>
              <w:t>Arrêté n°</w:t>
            </w:r>
            <w:r>
              <w:rPr>
                <w:rFonts w:eastAsia="MS Mincho"/>
                <w:sz w:val="18"/>
                <w:szCs w:val="18"/>
                <w:lang w:eastAsia="fr-FR" w:bidi="fr-FR"/>
              </w:rPr>
              <w:t>29318 du 19 aout 2025</w:t>
            </w:r>
            <w:r w:rsidRPr="00C469EA">
              <w:rPr>
                <w:rFonts w:eastAsia="MS Mincho"/>
                <w:sz w:val="18"/>
                <w:szCs w:val="18"/>
                <w:lang w:eastAsia="fr-FR" w:bidi="fr-FR"/>
              </w:rPr>
              <w:t xml:space="preserve"> du Ministre chargé de la Pêche fixant les mesures de conservation </w:t>
            </w:r>
            <w:r>
              <w:rPr>
                <w:rFonts w:eastAsia="MS Mincho"/>
                <w:sz w:val="18"/>
                <w:szCs w:val="18"/>
                <w:lang w:eastAsia="fr-FR" w:bidi="fr-FR"/>
              </w:rPr>
              <w:t>des requins et raies</w:t>
            </w:r>
          </w:p>
          <w:p w14:paraId="1C7E5BA6" w14:textId="77777777" w:rsidR="00945C39" w:rsidRPr="00C469EA" w:rsidRDefault="00945C39" w:rsidP="00112EB2">
            <w:pPr>
              <w:jc w:val="both"/>
              <w:rPr>
                <w:rFonts w:eastAsia="Times New Roman" w:cs="Calibri"/>
                <w:sz w:val="18"/>
                <w:szCs w:val="18"/>
              </w:rPr>
            </w:pPr>
          </w:p>
        </w:tc>
        <w:tc>
          <w:tcPr>
            <w:tcW w:w="2041" w:type="dxa"/>
            <w:shd w:val="clear" w:color="auto" w:fill="C1E4F5" w:themeFill="accent1" w:themeFillTint="33"/>
            <w:vAlign w:val="center"/>
          </w:tcPr>
          <w:p w14:paraId="368E9F8F" w14:textId="77777777" w:rsidR="00945C39" w:rsidRPr="00BA222E" w:rsidRDefault="00945C39" w:rsidP="00112EB2">
            <w:pPr>
              <w:jc w:val="both"/>
              <w:rPr>
                <w:sz w:val="18"/>
                <w:szCs w:val="18"/>
              </w:rPr>
            </w:pPr>
          </w:p>
        </w:tc>
      </w:tr>
      <w:tr w:rsidR="00945C39" w:rsidRPr="00C469EA" w14:paraId="4CFEB0E5" w14:textId="77777777" w:rsidTr="00112EB2">
        <w:trPr>
          <w:trHeight w:val="88"/>
          <w:jc w:val="center"/>
        </w:trPr>
        <w:tc>
          <w:tcPr>
            <w:tcW w:w="1255" w:type="dxa"/>
            <w:shd w:val="clear" w:color="auto" w:fill="C1E4F5" w:themeFill="accent1" w:themeFillTint="33"/>
            <w:noWrap/>
            <w:vAlign w:val="center"/>
          </w:tcPr>
          <w:p w14:paraId="4F643A9B" w14:textId="77777777" w:rsidR="00945C39" w:rsidRPr="007024B5" w:rsidRDefault="00945C39"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lastRenderedPageBreak/>
              <w:t>23-12</w:t>
            </w:r>
          </w:p>
          <w:p w14:paraId="532930C9" w14:textId="77777777" w:rsidR="00945C39" w:rsidRPr="007024B5" w:rsidRDefault="00945C39" w:rsidP="00112EB2">
            <w:pPr>
              <w:jc w:val="center"/>
              <w:rPr>
                <w:rFonts w:eastAsia="Times New Roman" w:cs="Calibri"/>
                <w:b/>
                <w:bCs/>
                <w:color w:val="000000" w:themeColor="text1"/>
                <w:sz w:val="18"/>
                <w:szCs w:val="18"/>
              </w:rPr>
            </w:pPr>
          </w:p>
          <w:p w14:paraId="6E417F1C" w14:textId="77777777" w:rsidR="00945C39" w:rsidRPr="007024B5"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(Requin-baleine</w:t>
            </w:r>
            <w:r w:rsidRPr="007024B5">
              <w:rPr>
                <w:rFonts w:eastAsia="Times New Roman" w:cs="Calibri"/>
                <w:b/>
                <w:bCs/>
                <w:color w:val="000000" w:themeColor="text1"/>
                <w:sz w:val="18"/>
                <w:szCs w:val="18"/>
              </w:rPr>
              <w:t>)</w:t>
            </w:r>
          </w:p>
        </w:tc>
        <w:tc>
          <w:tcPr>
            <w:tcW w:w="815" w:type="dxa"/>
            <w:shd w:val="clear" w:color="auto" w:fill="C1E4F5" w:themeFill="accent1" w:themeFillTint="33"/>
            <w:noWrap/>
            <w:vAlign w:val="center"/>
          </w:tcPr>
          <w:p w14:paraId="61B64B2F" w14:textId="77777777" w:rsidR="00945C39" w:rsidRDefault="00945C39"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5</w:t>
            </w:r>
          </w:p>
        </w:tc>
        <w:tc>
          <w:tcPr>
            <w:tcW w:w="1165" w:type="dxa"/>
            <w:shd w:val="clear" w:color="auto" w:fill="C1E4F5" w:themeFill="accent1" w:themeFillTint="33"/>
            <w:vAlign w:val="center"/>
          </w:tcPr>
          <w:p w14:paraId="296F2736" w14:textId="77777777" w:rsidR="00945C39" w:rsidRPr="000632D8" w:rsidRDefault="00945C39" w:rsidP="00112EB2">
            <w:pPr>
              <w:widowControl w:val="0"/>
              <w:kinsoku w:val="0"/>
              <w:overflowPunct w:val="0"/>
              <w:autoSpaceDE w:val="0"/>
              <w:autoSpaceDN w:val="0"/>
              <w:adjustRightInd w:val="0"/>
              <w:spacing w:line="220" w:lineRule="exact"/>
              <w:ind w:right="113"/>
              <w:jc w:val="center"/>
              <w:rPr>
                <w:rFonts w:ascii="Cambria" w:hAnsi="Cambria"/>
                <w:sz w:val="18"/>
                <w:szCs w:val="18"/>
              </w:rPr>
            </w:pPr>
          </w:p>
        </w:tc>
        <w:tc>
          <w:tcPr>
            <w:tcW w:w="2666" w:type="dxa"/>
            <w:shd w:val="clear" w:color="auto" w:fill="C1E4F5" w:themeFill="accent1" w:themeFillTint="33"/>
            <w:vAlign w:val="center"/>
          </w:tcPr>
          <w:p w14:paraId="284013FE" w14:textId="77777777" w:rsidR="00945C39" w:rsidRPr="00945C39" w:rsidRDefault="00945C39" w:rsidP="00112EB2">
            <w:pPr>
              <w:widowControl w:val="0"/>
              <w:kinsoku w:val="0"/>
              <w:overflowPunct w:val="0"/>
              <w:autoSpaceDE w:val="0"/>
              <w:autoSpaceDN w:val="0"/>
              <w:adjustRightInd w:val="0"/>
              <w:spacing w:line="220" w:lineRule="exact"/>
              <w:ind w:right="113"/>
              <w:jc w:val="both"/>
              <w:rPr>
                <w:sz w:val="18"/>
                <w:szCs w:val="18"/>
                <w:lang w:val="fr-FR"/>
              </w:rPr>
            </w:pPr>
            <w:r w:rsidRPr="00945C39">
              <w:rPr>
                <w:sz w:val="18"/>
                <w:szCs w:val="18"/>
                <w:lang w:val="fr-FR"/>
              </w:rPr>
              <w:t xml:space="preserve">Les CPC devront veiller à ce que, conformément aux exigences de la Recommandation de l’ICCAT visant à établir des normes minimales pour les programmes d’observateurs scientifiques à bord de navires de pêche (Rec. 16-14), les interactions avec les </w:t>
            </w:r>
            <w:r w:rsidRPr="00945C39">
              <w:rPr>
                <w:b/>
                <w:bCs/>
                <w:sz w:val="18"/>
                <w:szCs w:val="18"/>
                <w:lang w:val="fr-FR"/>
              </w:rPr>
              <w:t xml:space="preserve">requins-baleines </w:t>
            </w:r>
            <w:r w:rsidRPr="00945C39">
              <w:rPr>
                <w:sz w:val="18"/>
                <w:szCs w:val="18"/>
                <w:lang w:val="fr-FR"/>
              </w:rPr>
              <w:t xml:space="preserve">au cours des opérations de pêche à la senne soient enregistrées dans le cadre de leurs programmes d'observateurs nationaux. Les informations suivantes seront également collectées : i) comment et pourquoi l'encerclement s'est produit, ii) le nombre de spécimens impliqués dans l'interaction, iii) le lieu de l'interaction, iv) les mesures prises pour assurer la manipulation et la remise en liberté en toute sécurité des spécimens encerclés dans la senne et v) une évaluation de l'état de vie du/des spécimen(s) de </w:t>
            </w:r>
            <w:r w:rsidRPr="00945C39">
              <w:rPr>
                <w:b/>
                <w:bCs/>
                <w:sz w:val="18"/>
                <w:szCs w:val="18"/>
                <w:lang w:val="fr-FR"/>
              </w:rPr>
              <w:t>requin-baleine</w:t>
            </w:r>
            <w:r w:rsidRPr="00945C39">
              <w:rPr>
                <w:sz w:val="18"/>
                <w:szCs w:val="18"/>
                <w:lang w:val="fr-FR"/>
              </w:rPr>
              <w:t xml:space="preserve"> au moment de sa remise en liberté (vivant/mort/moribond/incertain)</w:t>
            </w:r>
          </w:p>
        </w:tc>
        <w:tc>
          <w:tcPr>
            <w:tcW w:w="1566" w:type="dxa"/>
            <w:shd w:val="clear" w:color="auto" w:fill="C1E4F5" w:themeFill="accent1" w:themeFillTint="33"/>
            <w:vAlign w:val="center"/>
          </w:tcPr>
          <w:p w14:paraId="3D4BB4CA" w14:textId="77777777" w:rsidR="00945C39" w:rsidRPr="00BA222E" w:rsidRDefault="00945C39" w:rsidP="00112EB2">
            <w:pPr>
              <w:jc w:val="both"/>
              <w:rPr>
                <w:sz w:val="18"/>
                <w:szCs w:val="18"/>
              </w:rPr>
            </w:pPr>
            <w:r w:rsidRPr="00BA222E">
              <w:rPr>
                <w:sz w:val="18"/>
                <w:szCs w:val="18"/>
              </w:rPr>
              <w:t xml:space="preserve">Oui </w:t>
            </w:r>
          </w:p>
        </w:tc>
        <w:tc>
          <w:tcPr>
            <w:tcW w:w="1618" w:type="dxa"/>
            <w:shd w:val="clear" w:color="auto" w:fill="C1E4F5" w:themeFill="accent1" w:themeFillTint="33"/>
            <w:vAlign w:val="center"/>
          </w:tcPr>
          <w:p w14:paraId="1C638818" w14:textId="77777777" w:rsidR="00945C39" w:rsidRPr="00945C39" w:rsidRDefault="00945C39" w:rsidP="00112EB2">
            <w:pPr>
              <w:jc w:val="both"/>
              <w:rPr>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p w14:paraId="3168CAF9" w14:textId="77777777" w:rsidR="00945C39" w:rsidRPr="00945C39" w:rsidRDefault="00945C39" w:rsidP="00112EB2">
            <w:pPr>
              <w:jc w:val="both"/>
              <w:rPr>
                <w:rFonts w:eastAsia="Times New Roman" w:cs="Calibri"/>
                <w:sz w:val="18"/>
                <w:szCs w:val="18"/>
                <w:lang w:val="fr-FR"/>
              </w:rPr>
            </w:pPr>
          </w:p>
        </w:tc>
        <w:tc>
          <w:tcPr>
            <w:tcW w:w="2041" w:type="dxa"/>
            <w:shd w:val="clear" w:color="auto" w:fill="C1E4F5" w:themeFill="accent1" w:themeFillTint="33"/>
            <w:vAlign w:val="center"/>
          </w:tcPr>
          <w:p w14:paraId="1C3F8C86" w14:textId="77777777" w:rsidR="00945C39" w:rsidRPr="00BA222E" w:rsidRDefault="00945C39" w:rsidP="00112EB2">
            <w:pPr>
              <w:jc w:val="both"/>
              <w:rPr>
                <w:sz w:val="18"/>
                <w:szCs w:val="18"/>
              </w:rPr>
            </w:pPr>
            <w:r w:rsidRPr="00BA222E">
              <w:rPr>
                <w:sz w:val="18"/>
                <w:szCs w:val="18"/>
              </w:rPr>
              <w:t>.</w:t>
            </w:r>
          </w:p>
        </w:tc>
      </w:tr>
      <w:tr w:rsidR="00945C39" w:rsidRPr="00C469EA" w14:paraId="652FDC87" w14:textId="77777777" w:rsidTr="00112EB2">
        <w:trPr>
          <w:trHeight w:val="88"/>
          <w:jc w:val="center"/>
        </w:trPr>
        <w:tc>
          <w:tcPr>
            <w:tcW w:w="1255" w:type="dxa"/>
            <w:shd w:val="clear" w:color="auto" w:fill="C1E4F5" w:themeFill="accent1" w:themeFillTint="33"/>
            <w:noWrap/>
            <w:vAlign w:val="center"/>
          </w:tcPr>
          <w:p w14:paraId="61D50E37" w14:textId="77777777" w:rsidR="00945C39" w:rsidRPr="007024B5" w:rsidRDefault="00945C39"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458F49B1" w14:textId="77777777" w:rsidR="00945C39" w:rsidRPr="007024B5" w:rsidRDefault="00945C39" w:rsidP="00112EB2">
            <w:pPr>
              <w:jc w:val="center"/>
              <w:rPr>
                <w:rFonts w:eastAsia="Times New Roman" w:cs="Calibri"/>
                <w:b/>
                <w:bCs/>
                <w:color w:val="000000" w:themeColor="text1"/>
                <w:sz w:val="18"/>
                <w:szCs w:val="18"/>
              </w:rPr>
            </w:pPr>
          </w:p>
          <w:p w14:paraId="250AF2DB" w14:textId="77777777" w:rsidR="00945C39" w:rsidRPr="007024B5"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(Requin-baleine</w:t>
            </w:r>
            <w:r w:rsidRPr="007024B5">
              <w:rPr>
                <w:rFonts w:eastAsia="Times New Roman" w:cs="Calibri"/>
                <w:b/>
                <w:bCs/>
                <w:color w:val="000000" w:themeColor="text1"/>
                <w:sz w:val="18"/>
                <w:szCs w:val="18"/>
              </w:rPr>
              <w:t>)</w:t>
            </w:r>
          </w:p>
        </w:tc>
        <w:tc>
          <w:tcPr>
            <w:tcW w:w="815" w:type="dxa"/>
            <w:shd w:val="clear" w:color="auto" w:fill="C1E4F5" w:themeFill="accent1" w:themeFillTint="33"/>
            <w:noWrap/>
            <w:vAlign w:val="center"/>
          </w:tcPr>
          <w:p w14:paraId="30137016" w14:textId="77777777" w:rsidR="00945C39" w:rsidRPr="007024B5" w:rsidRDefault="00945C39"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6</w:t>
            </w:r>
          </w:p>
        </w:tc>
        <w:tc>
          <w:tcPr>
            <w:tcW w:w="1165" w:type="dxa"/>
            <w:shd w:val="clear" w:color="auto" w:fill="C1E4F5" w:themeFill="accent1" w:themeFillTint="33"/>
            <w:vAlign w:val="center"/>
          </w:tcPr>
          <w:p w14:paraId="74BFBC21" w14:textId="77777777" w:rsidR="00945C39" w:rsidRPr="000632D8" w:rsidRDefault="00945C39" w:rsidP="00112EB2">
            <w:pPr>
              <w:widowControl w:val="0"/>
              <w:kinsoku w:val="0"/>
              <w:overflowPunct w:val="0"/>
              <w:autoSpaceDE w:val="0"/>
              <w:autoSpaceDN w:val="0"/>
              <w:adjustRightInd w:val="0"/>
              <w:spacing w:line="220" w:lineRule="exact"/>
              <w:ind w:right="113"/>
              <w:jc w:val="center"/>
              <w:rPr>
                <w:rFonts w:ascii="Cambria" w:hAnsi="Cambria"/>
                <w:sz w:val="18"/>
                <w:szCs w:val="18"/>
              </w:rPr>
            </w:pPr>
          </w:p>
        </w:tc>
        <w:tc>
          <w:tcPr>
            <w:tcW w:w="2666" w:type="dxa"/>
            <w:shd w:val="clear" w:color="auto" w:fill="C1E4F5" w:themeFill="accent1" w:themeFillTint="33"/>
            <w:vAlign w:val="center"/>
          </w:tcPr>
          <w:p w14:paraId="7AA12A68" w14:textId="77777777" w:rsidR="00945C39" w:rsidRPr="00945C39" w:rsidRDefault="00945C39" w:rsidP="00112EB2">
            <w:pPr>
              <w:widowControl w:val="0"/>
              <w:kinsoku w:val="0"/>
              <w:overflowPunct w:val="0"/>
              <w:autoSpaceDE w:val="0"/>
              <w:autoSpaceDN w:val="0"/>
              <w:adjustRightInd w:val="0"/>
              <w:spacing w:line="220" w:lineRule="exact"/>
              <w:ind w:right="113"/>
              <w:jc w:val="both"/>
              <w:rPr>
                <w:sz w:val="18"/>
                <w:szCs w:val="18"/>
                <w:lang w:val="fr-FR"/>
              </w:rPr>
            </w:pPr>
            <w:r w:rsidRPr="00945C39">
              <w:rPr>
                <w:sz w:val="18"/>
                <w:szCs w:val="18"/>
                <w:lang w:val="fr-FR"/>
              </w:rPr>
              <w:t xml:space="preserve">Les CPC devront déclarer les données et les informations recueillies au titre du paragraphe 5 dans leurs rapports annuels et, dans le cas des données recueillies dans le cadre des programmes d'observateurs, au Secrétariat, conformément aux exigences de l’ICCAT en matière de déclaration des </w:t>
            </w:r>
            <w:r w:rsidRPr="00945C39">
              <w:rPr>
                <w:sz w:val="18"/>
                <w:szCs w:val="18"/>
                <w:lang w:val="fr-FR"/>
              </w:rPr>
              <w:lastRenderedPageBreak/>
              <w:t>données.</w:t>
            </w:r>
          </w:p>
        </w:tc>
        <w:tc>
          <w:tcPr>
            <w:tcW w:w="1566" w:type="dxa"/>
            <w:shd w:val="clear" w:color="auto" w:fill="C1E4F5" w:themeFill="accent1" w:themeFillTint="33"/>
            <w:vAlign w:val="center"/>
          </w:tcPr>
          <w:p w14:paraId="13E4D1B1" w14:textId="77777777" w:rsidR="00945C39" w:rsidRPr="00BA222E" w:rsidRDefault="00945C39" w:rsidP="00112EB2">
            <w:pPr>
              <w:jc w:val="both"/>
              <w:rPr>
                <w:sz w:val="18"/>
                <w:szCs w:val="18"/>
              </w:rPr>
            </w:pPr>
            <w:r w:rsidRPr="00BA222E">
              <w:rPr>
                <w:sz w:val="18"/>
                <w:szCs w:val="18"/>
              </w:rPr>
              <w:lastRenderedPageBreak/>
              <w:t xml:space="preserve">Oui </w:t>
            </w:r>
          </w:p>
        </w:tc>
        <w:tc>
          <w:tcPr>
            <w:tcW w:w="1618" w:type="dxa"/>
            <w:shd w:val="clear" w:color="auto" w:fill="C1E4F5" w:themeFill="accent1" w:themeFillTint="33"/>
            <w:vAlign w:val="center"/>
          </w:tcPr>
          <w:p w14:paraId="4C4D3B28" w14:textId="77777777" w:rsidR="00945C39" w:rsidRPr="00945C39" w:rsidRDefault="00945C39" w:rsidP="00112EB2">
            <w:pPr>
              <w:jc w:val="both"/>
              <w:rPr>
                <w:sz w:val="18"/>
                <w:szCs w:val="18"/>
                <w:lang w:val="fr-FR"/>
              </w:rPr>
            </w:pPr>
            <w:r w:rsidRPr="00945C39">
              <w:rPr>
                <w:rFonts w:eastAsia="MS Mincho"/>
                <w:sz w:val="18"/>
                <w:szCs w:val="18"/>
                <w:lang w:val="fr-FR" w:eastAsia="fr-FR" w:bidi="fr-FR"/>
              </w:rPr>
              <w:t>Arrêté n°29318 du 19 aout 2025 du Ministre chargé de la Pêche fixant les mesures de conservation des requins et raies</w:t>
            </w:r>
          </w:p>
          <w:p w14:paraId="49E34ECA" w14:textId="77777777" w:rsidR="00945C39" w:rsidRPr="00945C39" w:rsidRDefault="00945C39" w:rsidP="00112EB2">
            <w:pPr>
              <w:jc w:val="both"/>
              <w:rPr>
                <w:rFonts w:eastAsia="Times New Roman" w:cs="Calibri"/>
                <w:sz w:val="18"/>
                <w:szCs w:val="18"/>
                <w:lang w:val="fr-FR"/>
              </w:rPr>
            </w:pPr>
          </w:p>
        </w:tc>
        <w:tc>
          <w:tcPr>
            <w:tcW w:w="2041" w:type="dxa"/>
            <w:shd w:val="clear" w:color="auto" w:fill="C1E4F5" w:themeFill="accent1" w:themeFillTint="33"/>
            <w:vAlign w:val="center"/>
          </w:tcPr>
          <w:p w14:paraId="30526C62" w14:textId="77777777" w:rsidR="00945C39" w:rsidRPr="00945C39" w:rsidRDefault="00945C39" w:rsidP="00112EB2">
            <w:pPr>
              <w:jc w:val="both"/>
              <w:rPr>
                <w:sz w:val="18"/>
                <w:szCs w:val="18"/>
                <w:lang w:val="fr-FR"/>
              </w:rPr>
            </w:pPr>
          </w:p>
          <w:p w14:paraId="6514ACA3" w14:textId="77777777" w:rsidR="00945C39" w:rsidRPr="00BA222E" w:rsidRDefault="00945C39" w:rsidP="00112EB2">
            <w:pPr>
              <w:jc w:val="both"/>
              <w:rPr>
                <w:sz w:val="18"/>
                <w:szCs w:val="18"/>
              </w:rPr>
            </w:pPr>
            <w:r>
              <w:rPr>
                <w:sz w:val="18"/>
                <w:szCs w:val="18"/>
              </w:rPr>
              <w:t>Aucune interaction relevée</w:t>
            </w:r>
          </w:p>
        </w:tc>
      </w:tr>
    </w:tbl>
    <w:p w14:paraId="782C15C9" w14:textId="77777777" w:rsidR="00945C39" w:rsidRPr="00A61D3F" w:rsidRDefault="00945C39" w:rsidP="00945C39">
      <w:pPr>
        <w:tabs>
          <w:tab w:val="left" w:pos="3611"/>
        </w:tabs>
        <w:rPr>
          <w:rFonts w:cs="Times New Roman"/>
          <w:sz w:val="20"/>
          <w:szCs w:val="20"/>
        </w:rPr>
      </w:pPr>
    </w:p>
    <w:p w14:paraId="58D9C2E4" w14:textId="77777777" w:rsidR="00B72CFE" w:rsidRPr="00200E4E" w:rsidRDefault="00B72CFE" w:rsidP="00B72CFE">
      <w:pPr>
        <w:tabs>
          <w:tab w:val="left" w:pos="3611"/>
        </w:tabs>
        <w:rPr>
          <w:rFonts w:cs="Times New Roman"/>
          <w:sz w:val="18"/>
          <w:szCs w:val="18"/>
        </w:rPr>
      </w:pPr>
      <w:r w:rsidRPr="00200E4E">
        <w:rPr>
          <w:rFonts w:cs="Times New Roman"/>
          <w:sz w:val="18"/>
          <w:szCs w:val="18"/>
        </w:rPr>
        <w:t>`</w:t>
      </w:r>
    </w:p>
    <w:p w14:paraId="6D2EB501" w14:textId="77777777" w:rsidR="002670A4" w:rsidRPr="00EB42F1" w:rsidRDefault="002670A4" w:rsidP="002670A4">
      <w:pPr>
        <w:tabs>
          <w:tab w:val="left" w:pos="3611"/>
        </w:tabs>
        <w:suppressAutoHyphens/>
        <w:spacing w:after="0" w:line="240" w:lineRule="auto"/>
        <w:rPr>
          <w:rFonts w:ascii="Cambria" w:eastAsia="MS Mincho" w:hAnsi="Cambria" w:cs="Times New Roman"/>
          <w:kern w:val="0"/>
          <w:sz w:val="18"/>
          <w:szCs w:val="18"/>
          <w:lang w:val="es-ES"/>
          <w14:ligatures w14:val="none"/>
        </w:rPr>
      </w:pPr>
    </w:p>
    <w:sectPr w:rsidR="002670A4" w:rsidRPr="00EB42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E2A5" w14:textId="77777777" w:rsidR="00DB2307" w:rsidRDefault="00DB2307" w:rsidP="00DB2307">
      <w:pPr>
        <w:spacing w:after="0" w:line="240" w:lineRule="auto"/>
      </w:pPr>
      <w:r>
        <w:separator/>
      </w:r>
    </w:p>
  </w:endnote>
  <w:endnote w:type="continuationSeparator" w:id="0">
    <w:p w14:paraId="57E15C44" w14:textId="77777777" w:rsidR="00DB2307" w:rsidRDefault="00DB2307"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BC6D" w14:textId="77777777" w:rsidR="00DB2307" w:rsidRDefault="00DB2307" w:rsidP="00DB2307">
      <w:pPr>
        <w:spacing w:after="0" w:line="240" w:lineRule="auto"/>
      </w:pPr>
      <w:r>
        <w:separator/>
      </w:r>
    </w:p>
  </w:footnote>
  <w:footnote w:type="continuationSeparator" w:id="0">
    <w:p w14:paraId="6036F353" w14:textId="77777777" w:rsidR="00DB2307" w:rsidRDefault="00DB2307"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006CDDE3"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COC_314</w:t>
    </w:r>
    <w:r w:rsidR="00E66DA2" w:rsidRPr="00E66DA2">
      <w:rPr>
        <w:rFonts w:ascii="Cambria" w:hAnsi="Cambria"/>
        <w:b/>
        <w:bCs/>
        <w:sz w:val="20"/>
        <w:szCs w:val="20"/>
      </w:rPr>
      <w:t>_ADD</w:t>
    </w:r>
    <w:r w:rsidR="00DC073B">
      <w:rPr>
        <w:rFonts w:ascii="Cambria" w:hAnsi="Cambria"/>
        <w:b/>
        <w:bCs/>
        <w:sz w:val="20"/>
        <w:szCs w:val="20"/>
      </w:rPr>
      <w:t>2</w:t>
    </w:r>
    <w:r w:rsidRPr="00E66DA2">
      <w:rPr>
        <w:rFonts w:ascii="Cambria" w:hAnsi="Cambria"/>
        <w:b/>
        <w:bCs/>
        <w:sz w:val="20"/>
        <w:szCs w:val="20"/>
      </w:rPr>
      <w:t xml:space="preserve">/2025 </w:t>
    </w:r>
  </w:p>
  <w:p w14:paraId="5CEAE167" w14:textId="0024B9B7" w:rsidR="00DB2307" w:rsidRDefault="00E66DA2" w:rsidP="00DB2307">
    <w:pPr>
      <w:pStyle w:val="Header"/>
      <w:jc w:val="right"/>
      <w:rPr>
        <w:rFonts w:ascii="Cambria" w:hAnsi="Cambria"/>
        <w:b/>
        <w:bCs/>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Pr="00E66DA2">
      <w:rPr>
        <w:rFonts w:ascii="Cambria" w:hAnsi="Cambria"/>
        <w:b/>
        <w:bCs/>
        <w:sz w:val="20"/>
        <w:szCs w:val="20"/>
      </w:rPr>
      <w:t>2</w:t>
    </w:r>
    <w:r w:rsidR="00DB2307" w:rsidRPr="00E66DA2">
      <w:rPr>
        <w:rFonts w:ascii="Cambria" w:hAnsi="Cambria"/>
        <w:b/>
        <w:bCs/>
        <w:sz w:val="20"/>
        <w:szCs w:val="20"/>
      </w:rPr>
      <w:t>:</w:t>
    </w:r>
    <w:r w:rsidRPr="00E66DA2">
      <w:rPr>
        <w:rFonts w:ascii="Cambria" w:hAnsi="Cambria"/>
        <w:b/>
        <w:bCs/>
        <w:sz w:val="20"/>
        <w:szCs w:val="20"/>
      </w:rPr>
      <w:t>45</w:t>
    </w:r>
  </w:p>
  <w:p w14:paraId="4776F3FC" w14:textId="77777777" w:rsidR="00DC073B" w:rsidRPr="00E66DA2" w:rsidRDefault="00DC073B" w:rsidP="00DB2307">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703380"/>
    <w:multiLevelType w:val="hybridMultilevel"/>
    <w:tmpl w:val="D834E0D0"/>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137B8"/>
    <w:multiLevelType w:val="hybridMultilevel"/>
    <w:tmpl w:val="9BF224B4"/>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3BD39E0"/>
    <w:multiLevelType w:val="hybridMultilevel"/>
    <w:tmpl w:val="AB8A52EC"/>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5D292D"/>
    <w:multiLevelType w:val="hybridMultilevel"/>
    <w:tmpl w:val="36B4EBA4"/>
    <w:lvl w:ilvl="0" w:tplc="08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7"/>
  </w:num>
  <w:num w:numId="2" w16cid:durableId="569582109">
    <w:abstractNumId w:val="10"/>
  </w:num>
  <w:num w:numId="3" w16cid:durableId="938180291">
    <w:abstractNumId w:val="20"/>
  </w:num>
  <w:num w:numId="4" w16cid:durableId="1040127775">
    <w:abstractNumId w:val="19"/>
  </w:num>
  <w:num w:numId="5" w16cid:durableId="171723804">
    <w:abstractNumId w:val="7"/>
  </w:num>
  <w:num w:numId="6" w16cid:durableId="1225457798">
    <w:abstractNumId w:val="5"/>
  </w:num>
  <w:num w:numId="7" w16cid:durableId="1926107493">
    <w:abstractNumId w:val="11"/>
  </w:num>
  <w:num w:numId="8" w16cid:durableId="801267529">
    <w:abstractNumId w:val="6"/>
  </w:num>
  <w:num w:numId="9" w16cid:durableId="457912321">
    <w:abstractNumId w:val="12"/>
  </w:num>
  <w:num w:numId="10" w16cid:durableId="1008865931">
    <w:abstractNumId w:val="0"/>
  </w:num>
  <w:num w:numId="11" w16cid:durableId="1880897535">
    <w:abstractNumId w:val="3"/>
  </w:num>
  <w:num w:numId="12" w16cid:durableId="442387350">
    <w:abstractNumId w:val="15"/>
  </w:num>
  <w:num w:numId="13" w16cid:durableId="2072725135">
    <w:abstractNumId w:val="1"/>
  </w:num>
  <w:num w:numId="14" w16cid:durableId="1098717588">
    <w:abstractNumId w:val="18"/>
  </w:num>
  <w:num w:numId="15" w16cid:durableId="171770359">
    <w:abstractNumId w:val="8"/>
  </w:num>
  <w:num w:numId="16" w16cid:durableId="885486515">
    <w:abstractNumId w:val="13"/>
  </w:num>
  <w:num w:numId="17" w16cid:durableId="1226575444">
    <w:abstractNumId w:val="9"/>
  </w:num>
  <w:num w:numId="18" w16cid:durableId="1497309681">
    <w:abstractNumId w:val="14"/>
  </w:num>
  <w:num w:numId="19" w16cid:durableId="1298031472">
    <w:abstractNumId w:val="2"/>
  </w:num>
  <w:num w:numId="20" w16cid:durableId="113524123">
    <w:abstractNumId w:val="16"/>
  </w:num>
  <w:num w:numId="21" w16cid:durableId="109061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75D07"/>
    <w:rsid w:val="0024401F"/>
    <w:rsid w:val="002670A4"/>
    <w:rsid w:val="002813B0"/>
    <w:rsid w:val="00370557"/>
    <w:rsid w:val="007901BA"/>
    <w:rsid w:val="008136E4"/>
    <w:rsid w:val="00817416"/>
    <w:rsid w:val="00945C39"/>
    <w:rsid w:val="00963363"/>
    <w:rsid w:val="00B152BD"/>
    <w:rsid w:val="00B72CFE"/>
    <w:rsid w:val="00DB2307"/>
    <w:rsid w:val="00DC073B"/>
    <w:rsid w:val="00E66DA2"/>
    <w:rsid w:val="00EB42F1"/>
    <w:rsid w:val="00F35393"/>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qFormat/>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uiPriority w:val="99"/>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iPriority w:val="99"/>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5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uiPriority w:val="1"/>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B72CFE"/>
  </w:style>
  <w:style w:type="character" w:styleId="Mention">
    <w:name w:val="Mention"/>
    <w:basedOn w:val="DefaultParagraphFont"/>
    <w:uiPriority w:val="99"/>
    <w:unhideWhenUsed/>
    <w:rsid w:val="00B72CF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7736</Words>
  <Characters>44101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Jose Antonio Acuña</cp:lastModifiedBy>
  <cp:revision>5</cp:revision>
  <dcterms:created xsi:type="dcterms:W3CDTF">2025-11-17T15:42:00Z</dcterms:created>
  <dcterms:modified xsi:type="dcterms:W3CDTF">2025-11-18T08:39:00Z</dcterms:modified>
</cp:coreProperties>
</file>