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F3B6" w14:textId="009ACC2B" w:rsidR="003A4772" w:rsidRPr="00787B7A" w:rsidRDefault="00C47B80" w:rsidP="00C47B80">
      <w:pPr>
        <w:pStyle w:val="Default"/>
        <w:jc w:val="right"/>
        <w:rPr>
          <w:rFonts w:ascii="Cambria" w:eastAsia="Arial" w:hAnsi="Cambria"/>
          <w:b/>
          <w:bCs/>
          <w:color w:val="auto"/>
          <w:sz w:val="20"/>
          <w:szCs w:val="20"/>
        </w:rPr>
      </w:pPr>
      <w:bookmarkStart w:id="0" w:name="_Hlk123827672"/>
      <w:r w:rsidRPr="00787B7A">
        <w:rPr>
          <w:rFonts w:ascii="Cambria" w:hAnsi="Cambria"/>
          <w:b/>
          <w:bCs/>
          <w:color w:val="auto"/>
          <w:sz w:val="20"/>
          <w:szCs w:val="20"/>
        </w:rPr>
        <w:t>Original : anglais</w:t>
      </w:r>
    </w:p>
    <w:p w14:paraId="3C9E054B" w14:textId="77777777" w:rsidR="00C47B80" w:rsidRPr="00787B7A" w:rsidRDefault="00C47B80" w:rsidP="00C47B80">
      <w:pPr>
        <w:pStyle w:val="Default"/>
        <w:jc w:val="right"/>
        <w:rPr>
          <w:rFonts w:ascii="Cambria" w:eastAsia="Arial" w:hAnsi="Cambria"/>
          <w:b/>
          <w:bCs/>
          <w:color w:val="auto"/>
          <w:sz w:val="20"/>
          <w:szCs w:val="20"/>
        </w:rPr>
      </w:pPr>
    </w:p>
    <w:p w14:paraId="3E800295" w14:textId="20E3FC9A" w:rsidR="00261BC4" w:rsidRPr="00787B7A" w:rsidRDefault="00261BC4" w:rsidP="00261BC4">
      <w:pPr>
        <w:spacing w:after="0" w:line="240" w:lineRule="auto"/>
        <w:jc w:val="center"/>
        <w:rPr>
          <w:rFonts w:ascii="Cambria" w:hAnsi="Cambria"/>
          <w:i/>
          <w:iCs/>
          <w:sz w:val="20"/>
          <w:szCs w:val="20"/>
        </w:rPr>
      </w:pPr>
      <w:r w:rsidRPr="00787B7A">
        <w:rPr>
          <w:rFonts w:ascii="Cambria" w:hAnsi="Cambria"/>
          <w:b/>
          <w:sz w:val="20"/>
          <w:szCs w:val="20"/>
        </w:rPr>
        <w:t xml:space="preserve">Réponses </w:t>
      </w:r>
      <w:r w:rsidRPr="00787B7A">
        <w:rPr>
          <w:rFonts w:ascii="Cambria" w:hAnsi="Cambria"/>
          <w:b/>
          <w:bCs/>
          <w:sz w:val="20"/>
          <w:szCs w:val="20"/>
        </w:rPr>
        <w:t>de Parties, Entités ou Entités de pêche non</w:t>
      </w:r>
      <w:r w:rsidR="009512FD">
        <w:rPr>
          <w:rFonts w:ascii="Cambria" w:hAnsi="Cambria"/>
          <w:b/>
          <w:bCs/>
          <w:sz w:val="20"/>
          <w:szCs w:val="20"/>
        </w:rPr>
        <w:t xml:space="preserve"> </w:t>
      </w:r>
      <w:r w:rsidRPr="00787B7A">
        <w:rPr>
          <w:rFonts w:ascii="Cambria" w:hAnsi="Cambria"/>
          <w:b/>
          <w:bCs/>
          <w:sz w:val="20"/>
          <w:szCs w:val="20"/>
        </w:rPr>
        <w:t>contractantes (Non-CPC</w:t>
      </w:r>
      <w:r w:rsidRPr="00787B7A">
        <w:rPr>
          <w:rFonts w:ascii="Cambria" w:hAnsi="Cambria"/>
          <w:sz w:val="20"/>
          <w:szCs w:val="20"/>
        </w:rPr>
        <w:t>)</w:t>
      </w:r>
    </w:p>
    <w:p w14:paraId="3EF11EA2" w14:textId="4FEFD66F" w:rsidR="00261BC4" w:rsidRPr="00787B7A" w:rsidRDefault="00261BC4" w:rsidP="00C47B80">
      <w:pPr>
        <w:spacing w:after="0" w:line="240" w:lineRule="auto"/>
        <w:jc w:val="center"/>
        <w:rPr>
          <w:rFonts w:ascii="Cambria" w:hAnsi="Cambria"/>
          <w:b/>
          <w:bCs/>
          <w:sz w:val="20"/>
          <w:szCs w:val="20"/>
        </w:rPr>
      </w:pPr>
      <w:r w:rsidRPr="00787B7A">
        <w:rPr>
          <w:rFonts w:ascii="Cambria" w:hAnsi="Cambria"/>
          <w:b/>
          <w:bCs/>
          <w:sz w:val="20"/>
          <w:szCs w:val="20"/>
        </w:rPr>
        <w:t>aux courriers de l’ICCAT concernant l’application</w:t>
      </w:r>
    </w:p>
    <w:p w14:paraId="62121ED7" w14:textId="46FC480C" w:rsidR="00C47B80" w:rsidRPr="00787B7A" w:rsidRDefault="00C47B80" w:rsidP="00996FB4">
      <w:pPr>
        <w:spacing w:after="0" w:line="240" w:lineRule="auto"/>
        <w:jc w:val="center"/>
        <w:rPr>
          <w:rFonts w:ascii="Cambria" w:hAnsi="Cambria"/>
          <w:i/>
          <w:iCs/>
          <w:sz w:val="20"/>
          <w:szCs w:val="20"/>
        </w:rPr>
      </w:pPr>
    </w:p>
    <w:p w14:paraId="092D42E8" w14:textId="1AD9AAA9" w:rsidR="00996FB4" w:rsidRPr="00787B7A" w:rsidRDefault="00996FB4" w:rsidP="00996FB4">
      <w:pPr>
        <w:spacing w:after="0" w:line="240" w:lineRule="auto"/>
        <w:jc w:val="center"/>
        <w:rPr>
          <w:rFonts w:ascii="Cambria" w:hAnsi="Cambria"/>
          <w:i/>
          <w:iCs/>
          <w:sz w:val="20"/>
          <w:szCs w:val="20"/>
        </w:rPr>
      </w:pPr>
      <w:r w:rsidRPr="00787B7A">
        <w:rPr>
          <w:rFonts w:ascii="Cambria" w:hAnsi="Cambria"/>
          <w:i/>
          <w:iCs/>
          <w:sz w:val="20"/>
          <w:szCs w:val="20"/>
        </w:rPr>
        <w:t>(Secrétariat de l’ICCAT)</w:t>
      </w:r>
    </w:p>
    <w:p w14:paraId="286C7C40" w14:textId="170889CF" w:rsidR="00996FB4" w:rsidRPr="00787B7A" w:rsidRDefault="00996FB4" w:rsidP="00996FB4">
      <w:pPr>
        <w:tabs>
          <w:tab w:val="left" w:pos="7392"/>
        </w:tabs>
        <w:spacing w:after="0" w:line="240" w:lineRule="auto"/>
        <w:jc w:val="both"/>
        <w:rPr>
          <w:rFonts w:ascii="Cambria" w:hAnsi="Cambria"/>
          <w:sz w:val="20"/>
          <w:szCs w:val="20"/>
        </w:rPr>
      </w:pPr>
    </w:p>
    <w:p w14:paraId="64E75F0A" w14:textId="3D9B914F" w:rsidR="00996FB4" w:rsidRPr="00787B7A" w:rsidRDefault="00996FB4" w:rsidP="00996FB4">
      <w:pPr>
        <w:spacing w:after="0" w:line="240" w:lineRule="auto"/>
        <w:jc w:val="both"/>
        <w:rPr>
          <w:rFonts w:ascii="Cambria" w:hAnsi="Cambria"/>
          <w:sz w:val="20"/>
          <w:szCs w:val="20"/>
        </w:rPr>
      </w:pPr>
      <w:r w:rsidRPr="00787B7A">
        <w:rPr>
          <w:rFonts w:ascii="Cambria" w:hAnsi="Cambria"/>
          <w:sz w:val="20"/>
          <w:szCs w:val="20"/>
        </w:rPr>
        <w:t>Conformément à la</w:t>
      </w:r>
      <w:r w:rsidR="009F433B" w:rsidRPr="00787B7A">
        <w:rPr>
          <w:rFonts w:ascii="Cambria" w:hAnsi="Cambria"/>
          <w:sz w:val="20"/>
          <w:szCs w:val="20"/>
        </w:rPr>
        <w:t xml:space="preserve"> </w:t>
      </w:r>
      <w:hyperlink r:id="rId6" w:history="1">
        <w:r w:rsidRPr="00787B7A">
          <w:rPr>
            <w:rStyle w:val="Hyperlink"/>
            <w:rFonts w:ascii="Cambria" w:hAnsi="Cambria"/>
            <w:i/>
            <w:iCs/>
            <w:sz w:val="20"/>
            <w:szCs w:val="20"/>
            <w:u w:val="none"/>
          </w:rPr>
          <w:t>Recommandation de l’ICCAT remplaçant la Recommandation 03-20 sur les critères visant à l’octroi du statut de Partie, Entité ou Entité de pêche non contractante coopérante à l’ICCAT</w:t>
        </w:r>
        <w:r w:rsidR="009F433B" w:rsidRPr="00787B7A">
          <w:rPr>
            <w:rStyle w:val="Hyperlink"/>
            <w:rFonts w:ascii="Cambria" w:hAnsi="Cambria"/>
            <w:i/>
            <w:iCs/>
            <w:sz w:val="20"/>
            <w:szCs w:val="20"/>
            <w:u w:val="none"/>
          </w:rPr>
          <w:t xml:space="preserve"> (Rec</w:t>
        </w:r>
        <w:r w:rsidR="008228DF" w:rsidRPr="00787B7A">
          <w:rPr>
            <w:rStyle w:val="Hyperlink"/>
            <w:rFonts w:ascii="Cambria" w:hAnsi="Cambria"/>
            <w:i/>
            <w:iCs/>
            <w:sz w:val="20"/>
            <w:szCs w:val="20"/>
            <w:u w:val="none"/>
          </w:rPr>
          <w:t>.</w:t>
        </w:r>
        <w:r w:rsidR="009F433B" w:rsidRPr="00787B7A">
          <w:rPr>
            <w:rStyle w:val="Hyperlink"/>
            <w:rFonts w:ascii="Cambria" w:hAnsi="Cambria"/>
            <w:i/>
            <w:iCs/>
            <w:sz w:val="20"/>
            <w:szCs w:val="20"/>
            <w:u w:val="none"/>
          </w:rPr>
          <w:t xml:space="preserve"> 21-24)</w:t>
        </w:r>
      </w:hyperlink>
      <w:r w:rsidRPr="00787B7A">
        <w:rPr>
          <w:rFonts w:ascii="Cambria" w:hAnsi="Cambria"/>
          <w:sz w:val="20"/>
          <w:szCs w:val="20"/>
        </w:rPr>
        <w:t>, le Secrétaire exécutif a adressé des lettres</w:t>
      </w:r>
      <w:r w:rsidR="0024145D" w:rsidRPr="00787B7A">
        <w:rPr>
          <w:rFonts w:ascii="Cambria" w:hAnsi="Cambria"/>
          <w:sz w:val="20"/>
          <w:szCs w:val="20"/>
        </w:rPr>
        <w:t> </w:t>
      </w:r>
      <w:r w:rsidRPr="00787B7A">
        <w:rPr>
          <w:rFonts w:ascii="Cambria" w:hAnsi="Cambria"/>
          <w:sz w:val="20"/>
          <w:szCs w:val="20"/>
        </w:rPr>
        <w:t xml:space="preserve">: à la Dominique, à la République dominicaine, à la Jamaïque, au Monténégro, à Sainte-Lucie et à Saint </w:t>
      </w:r>
      <w:proofErr w:type="spellStart"/>
      <w:r w:rsidRPr="00787B7A">
        <w:rPr>
          <w:rFonts w:ascii="Cambria" w:hAnsi="Cambria"/>
          <w:sz w:val="20"/>
          <w:szCs w:val="20"/>
        </w:rPr>
        <w:t>Kitts</w:t>
      </w:r>
      <w:proofErr w:type="spellEnd"/>
      <w:r w:rsidRPr="00787B7A">
        <w:rPr>
          <w:rFonts w:ascii="Cambria" w:hAnsi="Cambria"/>
          <w:sz w:val="20"/>
          <w:szCs w:val="20"/>
        </w:rPr>
        <w:t xml:space="preserve"> et Nevis. </w:t>
      </w:r>
    </w:p>
    <w:p w14:paraId="1B3600E4" w14:textId="77777777" w:rsidR="00996FB4" w:rsidRPr="00787B7A" w:rsidRDefault="00996FB4" w:rsidP="00996FB4">
      <w:pPr>
        <w:spacing w:after="0" w:line="240" w:lineRule="auto"/>
        <w:jc w:val="both"/>
        <w:rPr>
          <w:rFonts w:ascii="Cambria" w:hAnsi="Cambria"/>
          <w:sz w:val="20"/>
          <w:szCs w:val="20"/>
        </w:rPr>
      </w:pPr>
    </w:p>
    <w:p w14:paraId="40BFF0DC" w14:textId="75A004F7" w:rsidR="00AC06D6" w:rsidRPr="00787B7A" w:rsidRDefault="00FA36AE" w:rsidP="00996FB4">
      <w:pPr>
        <w:spacing w:after="0" w:line="240" w:lineRule="auto"/>
        <w:jc w:val="both"/>
        <w:rPr>
          <w:rFonts w:ascii="Cambria" w:hAnsi="Cambria"/>
          <w:sz w:val="20"/>
          <w:szCs w:val="20"/>
        </w:rPr>
      </w:pPr>
      <w:r w:rsidRPr="00787B7A">
        <w:rPr>
          <w:rFonts w:ascii="Cambria" w:hAnsi="Cambria"/>
          <w:sz w:val="20"/>
          <w:szCs w:val="20"/>
        </w:rPr>
        <w:t>La Jamaïque a soumis les données statistiques avant la publication des courriers du Secrétaire exécutif, et la Dominique les a transmises par la suite. Aucune autre réponse n’a été reçue.</w:t>
      </w:r>
    </w:p>
    <w:p w14:paraId="5E686B68" w14:textId="77777777" w:rsidR="00FA36AE" w:rsidRPr="00787B7A" w:rsidRDefault="00FA36AE" w:rsidP="00996FB4">
      <w:pPr>
        <w:spacing w:after="0" w:line="240" w:lineRule="auto"/>
        <w:jc w:val="both"/>
        <w:rPr>
          <w:rFonts w:ascii="Cambria" w:hAnsi="Cambria"/>
          <w:sz w:val="20"/>
          <w:szCs w:val="20"/>
        </w:rPr>
      </w:pPr>
    </w:p>
    <w:p w14:paraId="661A4101" w14:textId="545CEB26" w:rsidR="00191B4C" w:rsidRPr="00787B7A" w:rsidRDefault="00E905E9" w:rsidP="00996FB4">
      <w:pPr>
        <w:spacing w:after="0" w:line="240" w:lineRule="auto"/>
        <w:jc w:val="both"/>
        <w:rPr>
          <w:rFonts w:ascii="Cambria" w:hAnsi="Cambria"/>
          <w:sz w:val="20"/>
          <w:szCs w:val="20"/>
        </w:rPr>
      </w:pPr>
      <w:r w:rsidRPr="00787B7A">
        <w:rPr>
          <w:rFonts w:ascii="Cambria" w:hAnsi="Cambria"/>
          <w:sz w:val="20"/>
          <w:szCs w:val="20"/>
        </w:rPr>
        <w:t>Le Président du Comité d’application a adressé des courriers à la Colombie et à Gibraltar, sollicitant des informations supplémentaires sur la gestion et les captures de thonidés et d’espèces apparentées, et de thon rouge, respectivement. Un accusé de réception a été reçu de la Colombie. La réponse de Gibraltar est jointe au présent document.</w:t>
      </w:r>
    </w:p>
    <w:p w14:paraId="5FF14B57" w14:textId="77777777" w:rsidR="00E905E9" w:rsidRPr="00787B7A" w:rsidRDefault="00E905E9" w:rsidP="00996FB4">
      <w:pPr>
        <w:spacing w:after="0" w:line="240" w:lineRule="auto"/>
        <w:jc w:val="both"/>
        <w:rPr>
          <w:rFonts w:ascii="Cambria" w:hAnsi="Cambria"/>
          <w:sz w:val="20"/>
          <w:szCs w:val="20"/>
        </w:rPr>
      </w:pPr>
    </w:p>
    <w:p w14:paraId="009B4D95" w14:textId="4B04F506" w:rsidR="00996FB4" w:rsidRPr="00787B7A" w:rsidRDefault="00996FB4" w:rsidP="00996FB4">
      <w:pPr>
        <w:spacing w:after="0" w:line="240" w:lineRule="auto"/>
        <w:jc w:val="both"/>
        <w:rPr>
          <w:rFonts w:ascii="Cambria" w:hAnsi="Cambria"/>
          <w:sz w:val="20"/>
          <w:szCs w:val="20"/>
        </w:rPr>
      </w:pPr>
      <w:proofErr w:type="spellStart"/>
      <w:r w:rsidRPr="00787B7A">
        <w:rPr>
          <w:rFonts w:ascii="Cambria" w:hAnsi="Cambria"/>
          <w:sz w:val="20"/>
          <w:szCs w:val="20"/>
        </w:rPr>
        <w:t>Veuillez vous</w:t>
      </w:r>
      <w:proofErr w:type="spellEnd"/>
      <w:r w:rsidRPr="00787B7A">
        <w:rPr>
          <w:rFonts w:ascii="Cambria" w:hAnsi="Cambria"/>
          <w:sz w:val="20"/>
          <w:szCs w:val="20"/>
        </w:rPr>
        <w:t xml:space="preserve"> reporter au « Rapport du Secrétariat au Comité d’application des mesures de conservation et de gestion de l’ICCAT » [COC_303/2025] pour consulter les informations relatives aux données de captures reçues de Parties, Entités ou Entités de pêche non contractantes ne disposant pas du statut de coopérant.</w:t>
      </w:r>
    </w:p>
    <w:p w14:paraId="3DCB8643" w14:textId="77777777" w:rsidR="00996FB4" w:rsidRPr="00787B7A" w:rsidRDefault="00996FB4" w:rsidP="00996FB4">
      <w:pPr>
        <w:spacing w:after="0" w:line="240" w:lineRule="auto"/>
        <w:jc w:val="both"/>
        <w:rPr>
          <w:rFonts w:ascii="Cambria" w:hAnsi="Cambria"/>
          <w:sz w:val="20"/>
          <w:szCs w:val="20"/>
        </w:rPr>
      </w:pPr>
    </w:p>
    <w:p w14:paraId="24F569DA" w14:textId="60FBFAA5" w:rsidR="00996FB4" w:rsidRPr="00787B7A" w:rsidRDefault="00996FB4" w:rsidP="00996FB4">
      <w:pPr>
        <w:spacing w:after="0" w:line="240" w:lineRule="auto"/>
        <w:jc w:val="both"/>
        <w:rPr>
          <w:rFonts w:ascii="Cambria" w:hAnsi="Cambria"/>
          <w:sz w:val="20"/>
          <w:szCs w:val="20"/>
        </w:rPr>
      </w:pPr>
      <w:r w:rsidRPr="00787B7A">
        <w:rPr>
          <w:rFonts w:ascii="Cambria" w:hAnsi="Cambria"/>
        </w:rPr>
        <w:br w:type="page"/>
      </w:r>
    </w:p>
    <w:p w14:paraId="49391500" w14:textId="77777777" w:rsidR="001B7D96" w:rsidRPr="00787B7A" w:rsidRDefault="001B7D96" w:rsidP="001B7D96">
      <w:pPr>
        <w:tabs>
          <w:tab w:val="left" w:pos="5640"/>
          <w:tab w:val="right" w:pos="10198"/>
        </w:tabs>
        <w:spacing w:after="0"/>
        <w:jc w:val="center"/>
        <w:rPr>
          <w:rFonts w:ascii="Cambria" w:hAnsi="Cambria"/>
          <w:b/>
          <w:bCs/>
          <w:sz w:val="20"/>
          <w:szCs w:val="20"/>
        </w:rPr>
      </w:pPr>
    </w:p>
    <w:p w14:paraId="4DE82DC6" w14:textId="2AE25DE6" w:rsidR="00704874" w:rsidRPr="00787B7A" w:rsidRDefault="00704874" w:rsidP="00704874">
      <w:pPr>
        <w:tabs>
          <w:tab w:val="left" w:pos="5640"/>
          <w:tab w:val="right" w:pos="10198"/>
        </w:tabs>
        <w:jc w:val="center"/>
        <w:rPr>
          <w:rFonts w:ascii="Cambria" w:hAnsi="Cambria"/>
          <w:b/>
          <w:bCs/>
          <w:sz w:val="20"/>
          <w:szCs w:val="20"/>
        </w:rPr>
      </w:pPr>
      <w:r w:rsidRPr="00787B7A">
        <w:rPr>
          <w:rFonts w:ascii="Cambria" w:hAnsi="Cambria"/>
          <w:b/>
          <w:bCs/>
          <w:sz w:val="20"/>
          <w:szCs w:val="20"/>
        </w:rPr>
        <w:t>Réponse de Gibraltar à la lettre du Président du COC</w:t>
      </w:r>
    </w:p>
    <w:p w14:paraId="41601B27" w14:textId="77777777" w:rsidR="00704874" w:rsidRPr="00787B7A" w:rsidRDefault="00704874" w:rsidP="00704874">
      <w:pPr>
        <w:spacing w:after="0" w:line="240" w:lineRule="auto"/>
        <w:jc w:val="right"/>
        <w:rPr>
          <w:rFonts w:ascii="Cambria" w:eastAsia="Arial" w:hAnsi="Cambria" w:cs="Arial"/>
          <w:sz w:val="20"/>
          <w:szCs w:val="20"/>
          <w:lang w:eastAsia="en-GB"/>
        </w:rPr>
      </w:pPr>
    </w:p>
    <w:p w14:paraId="527547A9" w14:textId="35DED556" w:rsidR="00754694" w:rsidRPr="00787B7A" w:rsidRDefault="00AC06D6" w:rsidP="00C5400E">
      <w:pPr>
        <w:spacing w:after="0" w:line="240" w:lineRule="auto"/>
        <w:rPr>
          <w:rFonts w:ascii="Cambria" w:eastAsia="Arial" w:hAnsi="Cambria" w:cs="Arial"/>
          <w:sz w:val="20"/>
          <w:szCs w:val="20"/>
        </w:rPr>
      </w:pPr>
      <w:r w:rsidRPr="00787B7A">
        <w:rPr>
          <w:rFonts w:ascii="Cambria" w:hAnsi="Cambria"/>
          <w:sz w:val="20"/>
          <w:szCs w:val="20"/>
        </w:rPr>
        <w:t>Département de l’environnement,</w:t>
      </w:r>
    </w:p>
    <w:p w14:paraId="0EFFF5D2" w14:textId="532BCD71" w:rsidR="00704874" w:rsidRPr="00787B7A" w:rsidRDefault="00AC06D6" w:rsidP="00C5400E">
      <w:pPr>
        <w:spacing w:after="0" w:line="240" w:lineRule="auto"/>
        <w:rPr>
          <w:rFonts w:ascii="Cambria" w:eastAsia="Arial" w:hAnsi="Cambria" w:cs="Arial"/>
          <w:sz w:val="20"/>
          <w:szCs w:val="20"/>
        </w:rPr>
      </w:pPr>
      <w:r w:rsidRPr="00787B7A">
        <w:rPr>
          <w:rFonts w:ascii="Cambria" w:hAnsi="Cambria"/>
          <w:sz w:val="20"/>
          <w:szCs w:val="20"/>
        </w:rPr>
        <w:t>de l’alimentation et des affaires rurales</w:t>
      </w:r>
    </w:p>
    <w:p w14:paraId="1B5A96EC" w14:textId="13390EF8" w:rsidR="00704874" w:rsidRPr="00787B7A" w:rsidRDefault="00704874" w:rsidP="00704874">
      <w:pPr>
        <w:spacing w:after="0" w:line="240" w:lineRule="auto"/>
        <w:jc w:val="right"/>
        <w:rPr>
          <w:rFonts w:ascii="Cambria" w:eastAsia="Arial" w:hAnsi="Cambria" w:cs="Arial"/>
          <w:sz w:val="20"/>
          <w:szCs w:val="20"/>
          <w:lang w:val="en-GB"/>
        </w:rPr>
      </w:pPr>
      <w:r w:rsidRPr="00787B7A">
        <w:rPr>
          <w:rFonts w:ascii="Cambria" w:hAnsi="Cambria"/>
          <w:sz w:val="20"/>
          <w:szCs w:val="20"/>
          <w:lang w:val="en-GB"/>
        </w:rPr>
        <w:t>Seacole Wing</w:t>
      </w:r>
    </w:p>
    <w:p w14:paraId="7D5C9465" w14:textId="77777777" w:rsidR="00704874" w:rsidRPr="00787B7A" w:rsidRDefault="00704874" w:rsidP="00704874">
      <w:pPr>
        <w:spacing w:after="0" w:line="240" w:lineRule="auto"/>
        <w:jc w:val="right"/>
        <w:rPr>
          <w:rFonts w:ascii="Cambria" w:eastAsia="Arial" w:hAnsi="Cambria" w:cs="Arial"/>
          <w:sz w:val="20"/>
          <w:szCs w:val="20"/>
          <w:lang w:val="en-GB"/>
        </w:rPr>
      </w:pPr>
      <w:r w:rsidRPr="00787B7A">
        <w:rPr>
          <w:rFonts w:ascii="Cambria" w:hAnsi="Cambria"/>
          <w:sz w:val="20"/>
          <w:szCs w:val="20"/>
          <w:lang w:val="en-GB"/>
        </w:rPr>
        <w:t xml:space="preserve">2 Marsham Street, </w:t>
      </w:r>
      <w:proofErr w:type="spellStart"/>
      <w:r w:rsidRPr="00787B7A">
        <w:rPr>
          <w:rFonts w:ascii="Cambria" w:hAnsi="Cambria"/>
          <w:sz w:val="20"/>
          <w:szCs w:val="20"/>
          <w:lang w:val="en-GB"/>
        </w:rPr>
        <w:t>Londres</w:t>
      </w:r>
      <w:proofErr w:type="spellEnd"/>
    </w:p>
    <w:p w14:paraId="63B5EB50" w14:textId="77777777" w:rsidR="00704874" w:rsidRPr="00787B7A" w:rsidRDefault="00704874" w:rsidP="00704874">
      <w:pPr>
        <w:spacing w:after="0" w:line="240" w:lineRule="auto"/>
        <w:jc w:val="right"/>
        <w:rPr>
          <w:rFonts w:ascii="Cambria" w:eastAsia="Arial" w:hAnsi="Cambria" w:cs="Arial"/>
          <w:sz w:val="20"/>
          <w:szCs w:val="20"/>
          <w:lang w:val="en-GB"/>
        </w:rPr>
      </w:pPr>
      <w:r w:rsidRPr="00787B7A">
        <w:rPr>
          <w:rFonts w:ascii="Cambria" w:hAnsi="Cambria"/>
          <w:sz w:val="20"/>
          <w:szCs w:val="20"/>
          <w:lang w:val="en-GB"/>
        </w:rPr>
        <w:t>SW1P 4DF</w:t>
      </w:r>
    </w:p>
    <w:p w14:paraId="55114962" w14:textId="77777777" w:rsidR="00704874" w:rsidRPr="00787B7A" w:rsidRDefault="00704874" w:rsidP="00704874">
      <w:pPr>
        <w:spacing w:after="0" w:line="240" w:lineRule="atLeast"/>
        <w:jc w:val="right"/>
        <w:rPr>
          <w:rFonts w:ascii="Cambria" w:hAnsi="Cambria"/>
          <w:sz w:val="20"/>
          <w:szCs w:val="20"/>
        </w:rPr>
      </w:pPr>
      <w:r w:rsidRPr="00787B7A">
        <w:rPr>
          <w:rFonts w:ascii="Cambria" w:hAnsi="Cambria"/>
          <w:sz w:val="20"/>
          <w:szCs w:val="20"/>
        </w:rPr>
        <w:t>www.gov.uk/defra</w:t>
      </w:r>
    </w:p>
    <w:p w14:paraId="71A8342F" w14:textId="77777777" w:rsidR="00704874" w:rsidRPr="00787B7A" w:rsidRDefault="00704874" w:rsidP="00704874">
      <w:pPr>
        <w:spacing w:after="0" w:line="240" w:lineRule="atLeast"/>
        <w:rPr>
          <w:rFonts w:ascii="Cambria" w:hAnsi="Cambria"/>
          <w:sz w:val="20"/>
          <w:szCs w:val="20"/>
        </w:rPr>
      </w:pPr>
    </w:p>
    <w:p w14:paraId="5CE6DAE5" w14:textId="4866452B" w:rsidR="00704874" w:rsidRPr="00787B7A" w:rsidRDefault="00704874" w:rsidP="00704874">
      <w:pPr>
        <w:spacing w:after="0" w:line="240" w:lineRule="atLeast"/>
        <w:jc w:val="right"/>
        <w:rPr>
          <w:rFonts w:ascii="Cambria" w:hAnsi="Cambria"/>
          <w:sz w:val="20"/>
          <w:szCs w:val="20"/>
        </w:rPr>
      </w:pPr>
      <w:r w:rsidRPr="00787B7A">
        <w:rPr>
          <w:rFonts w:ascii="Cambria" w:hAnsi="Cambria"/>
          <w:sz w:val="20"/>
          <w:szCs w:val="20"/>
        </w:rPr>
        <w:t>le 15 septembre 2025</w:t>
      </w:r>
    </w:p>
    <w:p w14:paraId="72F2DF88" w14:textId="77777777" w:rsidR="00704874" w:rsidRPr="00787B7A" w:rsidRDefault="00704874" w:rsidP="00704874">
      <w:pPr>
        <w:tabs>
          <w:tab w:val="left" w:pos="6946"/>
        </w:tabs>
        <w:spacing w:after="0" w:line="240" w:lineRule="auto"/>
        <w:jc w:val="both"/>
        <w:rPr>
          <w:rFonts w:ascii="Cambria" w:eastAsia="Arial" w:hAnsi="Cambria" w:cs="Arial"/>
          <w:sz w:val="20"/>
          <w:szCs w:val="20"/>
        </w:rPr>
      </w:pPr>
    </w:p>
    <w:p w14:paraId="429D7CCE" w14:textId="77777777" w:rsidR="00191B4C" w:rsidRPr="00787B7A" w:rsidRDefault="00191B4C" w:rsidP="00191B4C">
      <w:pPr>
        <w:pStyle w:val="Default"/>
        <w:rPr>
          <w:rFonts w:ascii="Cambria" w:eastAsia="Arial" w:hAnsi="Cambria"/>
          <w:sz w:val="20"/>
          <w:szCs w:val="20"/>
        </w:rPr>
      </w:pPr>
    </w:p>
    <w:p w14:paraId="1C7FE08A" w14:textId="2685BE69" w:rsidR="00191B4C" w:rsidRPr="00787B7A" w:rsidRDefault="00191B4C" w:rsidP="00191B4C">
      <w:pPr>
        <w:pStyle w:val="Default"/>
        <w:rPr>
          <w:rFonts w:ascii="Cambria" w:eastAsia="Arial" w:hAnsi="Cambria"/>
          <w:sz w:val="20"/>
          <w:szCs w:val="20"/>
        </w:rPr>
      </w:pPr>
      <w:r w:rsidRPr="00787B7A">
        <w:rPr>
          <w:rFonts w:ascii="Cambria" w:hAnsi="Cambria"/>
          <w:sz w:val="20"/>
          <w:szCs w:val="20"/>
        </w:rPr>
        <w:t>Cher Derek,</w:t>
      </w:r>
    </w:p>
    <w:p w14:paraId="55BA36D7" w14:textId="77777777" w:rsidR="00191B4C" w:rsidRPr="00787B7A" w:rsidRDefault="00191B4C" w:rsidP="00191B4C">
      <w:pPr>
        <w:pStyle w:val="Default"/>
        <w:rPr>
          <w:rFonts w:ascii="Cambria" w:eastAsia="Arial" w:hAnsi="Cambria"/>
          <w:sz w:val="20"/>
          <w:szCs w:val="20"/>
        </w:rPr>
      </w:pPr>
    </w:p>
    <w:p w14:paraId="70D5E054" w14:textId="77777777" w:rsidR="00191B4C" w:rsidRPr="00787B7A" w:rsidRDefault="00191B4C" w:rsidP="00191B4C">
      <w:pPr>
        <w:pStyle w:val="Default"/>
        <w:rPr>
          <w:rFonts w:ascii="Cambria" w:eastAsia="Arial" w:hAnsi="Cambria"/>
          <w:b/>
          <w:bCs/>
          <w:sz w:val="20"/>
          <w:szCs w:val="20"/>
        </w:rPr>
      </w:pPr>
      <w:r w:rsidRPr="00787B7A">
        <w:rPr>
          <w:rFonts w:ascii="Cambria" w:hAnsi="Cambria"/>
          <w:b/>
          <w:bCs/>
          <w:sz w:val="20"/>
          <w:szCs w:val="20"/>
        </w:rPr>
        <w:t>Objet : Gestion et captures de thon rouge à Gibraltar</w:t>
      </w:r>
    </w:p>
    <w:p w14:paraId="3CFDB609" w14:textId="77777777" w:rsidR="00191B4C" w:rsidRPr="00787B7A" w:rsidRDefault="00191B4C" w:rsidP="00191B4C">
      <w:pPr>
        <w:pStyle w:val="Default"/>
        <w:rPr>
          <w:rFonts w:ascii="Cambria" w:eastAsia="Arial" w:hAnsi="Cambria"/>
          <w:b/>
          <w:bCs/>
          <w:sz w:val="20"/>
          <w:szCs w:val="20"/>
        </w:rPr>
      </w:pPr>
    </w:p>
    <w:p w14:paraId="580BDA52" w14:textId="77777777" w:rsidR="00191B4C" w:rsidRPr="00787B7A" w:rsidRDefault="00191B4C" w:rsidP="00A20056">
      <w:pPr>
        <w:pStyle w:val="Default"/>
        <w:jc w:val="both"/>
        <w:rPr>
          <w:rFonts w:ascii="Cambria" w:eastAsia="Arial" w:hAnsi="Cambria"/>
          <w:sz w:val="20"/>
          <w:szCs w:val="20"/>
        </w:rPr>
      </w:pPr>
      <w:r w:rsidRPr="00787B7A">
        <w:rPr>
          <w:rFonts w:ascii="Cambria" w:hAnsi="Cambria"/>
          <w:sz w:val="20"/>
          <w:szCs w:val="20"/>
        </w:rPr>
        <w:t xml:space="preserve">Suite à votre lettre du 28 juillet, j'ai le plaisir de joindre une réponse détaillée de mes collègues de Gibraltar. Veuillez noter que cette réponse s'ajoute aux données statistiques que M. </w:t>
      </w:r>
      <w:proofErr w:type="spellStart"/>
      <w:r w:rsidRPr="00787B7A">
        <w:rPr>
          <w:rFonts w:ascii="Cambria" w:hAnsi="Cambria"/>
          <w:sz w:val="20"/>
          <w:szCs w:val="20"/>
        </w:rPr>
        <w:t>Warr</w:t>
      </w:r>
      <w:proofErr w:type="spellEnd"/>
      <w:r w:rsidRPr="00787B7A">
        <w:rPr>
          <w:rFonts w:ascii="Cambria" w:hAnsi="Cambria"/>
          <w:sz w:val="20"/>
          <w:szCs w:val="20"/>
        </w:rPr>
        <w:t xml:space="preserve"> a soumises aujourd'hui à l'adresse électronique </w:t>
      </w:r>
      <w:hyperlink r:id="rId7" w:history="1">
        <w:r w:rsidRPr="00787B7A">
          <w:rPr>
            <w:rStyle w:val="Hyperlink"/>
            <w:rFonts w:ascii="Cambria" w:hAnsi="Cambria"/>
            <w:sz w:val="20"/>
            <w:szCs w:val="20"/>
            <w:u w:val="none"/>
          </w:rPr>
          <w:t>stats_info@iccat.int</w:t>
        </w:r>
      </w:hyperlink>
      <w:r w:rsidRPr="00787B7A">
        <w:rPr>
          <w:rFonts w:ascii="Cambria" w:hAnsi="Cambria"/>
          <w:sz w:val="20"/>
          <w:szCs w:val="20"/>
        </w:rPr>
        <w:t>, conformément à la circulaire nº01071/2024 de l'ICCAT.</w:t>
      </w:r>
    </w:p>
    <w:p w14:paraId="0849263E" w14:textId="77777777" w:rsidR="00191B4C" w:rsidRPr="00787B7A" w:rsidRDefault="00191B4C" w:rsidP="00A20056">
      <w:pPr>
        <w:pStyle w:val="Default"/>
        <w:jc w:val="both"/>
        <w:rPr>
          <w:rFonts w:ascii="Cambria" w:eastAsia="Arial" w:hAnsi="Cambria"/>
          <w:sz w:val="20"/>
          <w:szCs w:val="20"/>
        </w:rPr>
      </w:pPr>
    </w:p>
    <w:p w14:paraId="59C35387" w14:textId="0B865F0D" w:rsidR="00191B4C" w:rsidRPr="00787B7A" w:rsidRDefault="00191B4C" w:rsidP="00A20056">
      <w:pPr>
        <w:pStyle w:val="Default"/>
        <w:jc w:val="both"/>
        <w:rPr>
          <w:rFonts w:ascii="Cambria" w:eastAsia="Arial" w:hAnsi="Cambria"/>
          <w:sz w:val="20"/>
          <w:szCs w:val="20"/>
        </w:rPr>
      </w:pPr>
      <w:r w:rsidRPr="00787B7A">
        <w:rPr>
          <w:rFonts w:ascii="Cambria" w:hAnsi="Cambria"/>
          <w:sz w:val="20"/>
          <w:szCs w:val="20"/>
        </w:rPr>
        <w:t xml:space="preserve">Comme M. </w:t>
      </w:r>
      <w:proofErr w:type="spellStart"/>
      <w:r w:rsidRPr="00787B7A">
        <w:rPr>
          <w:rFonts w:ascii="Cambria" w:hAnsi="Cambria"/>
          <w:sz w:val="20"/>
          <w:szCs w:val="20"/>
        </w:rPr>
        <w:t>Warr</w:t>
      </w:r>
      <w:proofErr w:type="spellEnd"/>
      <w:r w:rsidRPr="00787B7A">
        <w:rPr>
          <w:rFonts w:ascii="Cambria" w:hAnsi="Cambria"/>
          <w:sz w:val="20"/>
          <w:szCs w:val="20"/>
        </w:rPr>
        <w:t xml:space="preserve"> l'a indiqué dans sa réponse, au moment de la rédaction de la présente, la saison de pêche au thon rouge à Gibraltar n'était pas encore tout à fait terminée, mais nous avons préféré vous répondre rapidement et nous pouvons bien sûr vous fournir toute mise à jour des données de capture après la fermeture prévue de la saison le </w:t>
      </w:r>
      <w:r w:rsidR="001B7D96" w:rsidRPr="00787B7A">
        <w:rPr>
          <w:rFonts w:ascii="Cambria" w:hAnsi="Cambria"/>
          <w:sz w:val="20"/>
          <w:szCs w:val="20"/>
        </w:rPr>
        <w:t xml:space="preserve">mardi </w:t>
      </w:r>
      <w:r w:rsidRPr="00787B7A">
        <w:rPr>
          <w:rFonts w:ascii="Cambria" w:hAnsi="Cambria"/>
          <w:sz w:val="20"/>
          <w:szCs w:val="20"/>
        </w:rPr>
        <w:t>14 octobre.</w:t>
      </w:r>
    </w:p>
    <w:p w14:paraId="134361C7" w14:textId="77777777" w:rsidR="00191B4C" w:rsidRPr="00787B7A" w:rsidRDefault="00191B4C" w:rsidP="00A20056">
      <w:pPr>
        <w:pStyle w:val="Default"/>
        <w:jc w:val="both"/>
        <w:rPr>
          <w:rFonts w:ascii="Cambria" w:eastAsia="Arial" w:hAnsi="Cambria"/>
          <w:sz w:val="20"/>
          <w:szCs w:val="20"/>
        </w:rPr>
      </w:pPr>
    </w:p>
    <w:p w14:paraId="356856C8" w14:textId="77777777" w:rsidR="00191B4C" w:rsidRPr="00787B7A" w:rsidRDefault="00191B4C" w:rsidP="00A20056">
      <w:pPr>
        <w:pStyle w:val="Default"/>
        <w:jc w:val="both"/>
        <w:rPr>
          <w:rFonts w:ascii="Cambria" w:eastAsia="Arial" w:hAnsi="Cambria"/>
          <w:sz w:val="20"/>
          <w:szCs w:val="20"/>
        </w:rPr>
      </w:pPr>
      <w:r w:rsidRPr="00787B7A">
        <w:rPr>
          <w:rFonts w:ascii="Cambria" w:hAnsi="Cambria"/>
          <w:sz w:val="20"/>
          <w:szCs w:val="20"/>
        </w:rPr>
        <w:t>J'espère que ces deux soumissions fournissent toutes les informations demandées, mais n'hésitez pas à me faire savoir si vous avez besoin de plus d'informations avant les réunions du Comité d’application de novembre.</w:t>
      </w:r>
    </w:p>
    <w:p w14:paraId="077FCA00" w14:textId="77777777" w:rsidR="00191B4C" w:rsidRPr="00787B7A" w:rsidRDefault="00191B4C" w:rsidP="00A20056">
      <w:pPr>
        <w:pStyle w:val="Default"/>
        <w:jc w:val="both"/>
        <w:rPr>
          <w:rFonts w:ascii="Cambria" w:eastAsia="Arial" w:hAnsi="Cambria"/>
          <w:sz w:val="20"/>
          <w:szCs w:val="20"/>
        </w:rPr>
      </w:pPr>
    </w:p>
    <w:p w14:paraId="7ED61058" w14:textId="0D86E2EA" w:rsidR="00191B4C" w:rsidRPr="00787B7A" w:rsidRDefault="00191B4C" w:rsidP="00A20056">
      <w:pPr>
        <w:pStyle w:val="Default"/>
        <w:jc w:val="both"/>
        <w:rPr>
          <w:rFonts w:ascii="Cambria" w:eastAsia="Arial" w:hAnsi="Cambria"/>
          <w:sz w:val="20"/>
          <w:szCs w:val="20"/>
        </w:rPr>
      </w:pPr>
      <w:r w:rsidRPr="00787B7A">
        <w:rPr>
          <w:rFonts w:ascii="Cambria" w:hAnsi="Cambria"/>
          <w:sz w:val="20"/>
          <w:szCs w:val="20"/>
        </w:rPr>
        <w:t>Je remercie mes collègues de Gibraltar pour leur coopération continue et leur assistance dans cette affaire, et je vous remercie à nouveau pour votre lettre.</w:t>
      </w:r>
    </w:p>
    <w:p w14:paraId="753DEA10" w14:textId="77777777" w:rsidR="00191B4C" w:rsidRPr="00787B7A" w:rsidRDefault="00191B4C" w:rsidP="00A20056">
      <w:pPr>
        <w:pStyle w:val="Default"/>
        <w:jc w:val="both"/>
        <w:rPr>
          <w:rFonts w:ascii="Cambria" w:eastAsia="Arial" w:hAnsi="Cambria"/>
          <w:sz w:val="20"/>
          <w:szCs w:val="20"/>
        </w:rPr>
      </w:pPr>
    </w:p>
    <w:p w14:paraId="63496FCE" w14:textId="77777777" w:rsidR="00191B4C" w:rsidRPr="00787B7A" w:rsidRDefault="00191B4C" w:rsidP="00A20056">
      <w:pPr>
        <w:pStyle w:val="Default"/>
        <w:jc w:val="both"/>
        <w:rPr>
          <w:rFonts w:ascii="Cambria" w:eastAsia="Arial" w:hAnsi="Cambria"/>
          <w:sz w:val="20"/>
          <w:szCs w:val="20"/>
        </w:rPr>
      </w:pPr>
      <w:r w:rsidRPr="00787B7A">
        <w:rPr>
          <w:rFonts w:ascii="Cambria" w:hAnsi="Cambria"/>
          <w:sz w:val="20"/>
          <w:szCs w:val="20"/>
        </w:rPr>
        <w:t>Cordialement,</w:t>
      </w:r>
    </w:p>
    <w:p w14:paraId="7BC671B7" w14:textId="77777777" w:rsidR="00191B4C" w:rsidRPr="00787B7A" w:rsidRDefault="00191B4C" w:rsidP="00704874">
      <w:pPr>
        <w:pStyle w:val="Default"/>
        <w:rPr>
          <w:rFonts w:ascii="Cambria" w:eastAsia="Arial" w:hAnsi="Cambria"/>
          <w:color w:val="auto"/>
          <w:sz w:val="20"/>
          <w:szCs w:val="20"/>
        </w:rPr>
      </w:pPr>
    </w:p>
    <w:p w14:paraId="328DDAB7" w14:textId="77777777" w:rsidR="008760F8" w:rsidRPr="00787B7A" w:rsidRDefault="008760F8" w:rsidP="00704874">
      <w:pPr>
        <w:pStyle w:val="Default"/>
        <w:rPr>
          <w:rFonts w:ascii="Cambria" w:eastAsia="Arial" w:hAnsi="Cambria"/>
          <w:color w:val="auto"/>
          <w:sz w:val="20"/>
          <w:szCs w:val="20"/>
        </w:rPr>
      </w:pPr>
    </w:p>
    <w:p w14:paraId="19568845" w14:textId="65E0C7DD" w:rsidR="4DEB1D4F" w:rsidRPr="00787B7A" w:rsidRDefault="4DEB1D4F" w:rsidP="00704874">
      <w:pPr>
        <w:pStyle w:val="Default"/>
        <w:rPr>
          <w:rFonts w:ascii="Cambria" w:hAnsi="Cambria"/>
          <w:sz w:val="20"/>
          <w:szCs w:val="20"/>
        </w:rPr>
      </w:pPr>
    </w:p>
    <w:p w14:paraId="4576DE95" w14:textId="77777777" w:rsidR="006123ED" w:rsidRPr="00787B7A" w:rsidRDefault="006123ED" w:rsidP="00704874">
      <w:pPr>
        <w:pStyle w:val="Default"/>
        <w:rPr>
          <w:rFonts w:ascii="Cambria" w:hAnsi="Cambria"/>
          <w:sz w:val="20"/>
          <w:szCs w:val="20"/>
        </w:rPr>
      </w:pPr>
    </w:p>
    <w:p w14:paraId="611B5293" w14:textId="77777777" w:rsidR="00191B4C" w:rsidRPr="00787B7A" w:rsidRDefault="00191B4C" w:rsidP="00704874">
      <w:pPr>
        <w:pStyle w:val="Default"/>
        <w:rPr>
          <w:rFonts w:ascii="Cambria" w:eastAsia="Arial" w:hAnsi="Cambria"/>
          <w:color w:val="auto"/>
          <w:sz w:val="20"/>
          <w:szCs w:val="20"/>
        </w:rPr>
      </w:pPr>
      <w:r w:rsidRPr="00787B7A">
        <w:rPr>
          <w:rFonts w:ascii="Cambria" w:hAnsi="Cambria"/>
          <w:color w:val="auto"/>
          <w:sz w:val="20"/>
          <w:szCs w:val="20"/>
        </w:rPr>
        <w:t>Marc Owen</w:t>
      </w:r>
    </w:p>
    <w:p w14:paraId="37A8E833" w14:textId="7A95D50D" w:rsidR="00606A6A" w:rsidRPr="00787B7A" w:rsidRDefault="003C001F" w:rsidP="00704874">
      <w:pPr>
        <w:pStyle w:val="Default"/>
        <w:rPr>
          <w:rFonts w:ascii="Cambria" w:eastAsia="Arial" w:hAnsi="Cambria"/>
          <w:color w:val="auto"/>
          <w:sz w:val="20"/>
          <w:szCs w:val="20"/>
        </w:rPr>
      </w:pPr>
      <w:r w:rsidRPr="00787B7A">
        <w:rPr>
          <w:rFonts w:ascii="Cambria" w:hAnsi="Cambria"/>
          <w:color w:val="auto"/>
          <w:sz w:val="20"/>
          <w:szCs w:val="20"/>
        </w:rPr>
        <w:t>Chef de la délégation du Royaume-Uni auprès de l’ICCAT</w:t>
      </w:r>
    </w:p>
    <w:p w14:paraId="309B02BA" w14:textId="77777777" w:rsidR="009919E6" w:rsidRPr="00787B7A" w:rsidRDefault="009919E6" w:rsidP="00704874">
      <w:pPr>
        <w:pStyle w:val="Default"/>
        <w:rPr>
          <w:rFonts w:ascii="Cambria" w:eastAsia="Arial" w:hAnsi="Cambria"/>
          <w:color w:val="auto"/>
          <w:sz w:val="20"/>
          <w:szCs w:val="20"/>
        </w:rPr>
      </w:pPr>
    </w:p>
    <w:p w14:paraId="51F23397" w14:textId="7502F81A" w:rsidR="00E6166A" w:rsidRPr="00787B7A" w:rsidRDefault="00E6166A" w:rsidP="00704874">
      <w:pPr>
        <w:pStyle w:val="Default"/>
        <w:rPr>
          <w:rFonts w:ascii="Cambria" w:eastAsia="Arial" w:hAnsi="Cambria"/>
          <w:color w:val="auto"/>
          <w:sz w:val="20"/>
          <w:szCs w:val="20"/>
        </w:rPr>
      </w:pPr>
    </w:p>
    <w:p w14:paraId="52EEA819" w14:textId="77777777" w:rsidR="00D72EAA" w:rsidRPr="00787B7A" w:rsidRDefault="00D72EAA" w:rsidP="00704874">
      <w:pPr>
        <w:pStyle w:val="Default"/>
        <w:rPr>
          <w:rFonts w:ascii="Cambria" w:eastAsia="Arial" w:hAnsi="Cambria"/>
          <w:color w:val="auto"/>
          <w:sz w:val="20"/>
          <w:szCs w:val="20"/>
        </w:rPr>
      </w:pPr>
    </w:p>
    <w:p w14:paraId="2C85FFBD" w14:textId="2FADB252" w:rsidR="003D55C2" w:rsidRPr="00787B7A" w:rsidRDefault="003D55C2" w:rsidP="00704874">
      <w:pPr>
        <w:pStyle w:val="Default"/>
        <w:rPr>
          <w:rFonts w:ascii="Cambria" w:eastAsia="Arial" w:hAnsi="Cambria"/>
          <w:color w:val="auto"/>
          <w:sz w:val="20"/>
          <w:szCs w:val="20"/>
        </w:rPr>
      </w:pPr>
    </w:p>
    <w:p w14:paraId="59C15FBD" w14:textId="77777777" w:rsidR="000E0E53" w:rsidRPr="00787B7A" w:rsidRDefault="000E0E53" w:rsidP="00704874">
      <w:pPr>
        <w:pStyle w:val="Default"/>
        <w:ind w:left="1440" w:hanging="1440"/>
        <w:rPr>
          <w:rFonts w:ascii="Cambria" w:hAnsi="Cambria"/>
          <w:sz w:val="20"/>
          <w:szCs w:val="20"/>
        </w:rPr>
      </w:pPr>
    </w:p>
    <w:p w14:paraId="712EA59A" w14:textId="77777777" w:rsidR="00C47B80" w:rsidRPr="00787B7A" w:rsidRDefault="00C47B80" w:rsidP="00704874">
      <w:pPr>
        <w:pStyle w:val="Default"/>
        <w:ind w:left="1440" w:hanging="1440"/>
        <w:rPr>
          <w:rFonts w:ascii="Cambria" w:hAnsi="Cambria"/>
          <w:sz w:val="20"/>
          <w:szCs w:val="20"/>
        </w:rPr>
      </w:pPr>
    </w:p>
    <w:p w14:paraId="38C1C98F" w14:textId="77777777" w:rsidR="00C47B80" w:rsidRPr="00787B7A" w:rsidRDefault="00C47B80" w:rsidP="00704874">
      <w:pPr>
        <w:pStyle w:val="Default"/>
        <w:ind w:left="1440" w:hanging="1440"/>
        <w:rPr>
          <w:rFonts w:ascii="Cambria" w:hAnsi="Cambria"/>
          <w:sz w:val="20"/>
          <w:szCs w:val="20"/>
        </w:rPr>
      </w:pPr>
    </w:p>
    <w:p w14:paraId="7DFC8942" w14:textId="77777777" w:rsidR="00C47B80" w:rsidRPr="00787B7A" w:rsidRDefault="00C47B80" w:rsidP="00704874">
      <w:pPr>
        <w:pStyle w:val="Default"/>
        <w:ind w:left="1440" w:hanging="1440"/>
        <w:rPr>
          <w:rFonts w:ascii="Cambria" w:hAnsi="Cambria"/>
          <w:sz w:val="20"/>
          <w:szCs w:val="20"/>
        </w:rPr>
      </w:pPr>
    </w:p>
    <w:p w14:paraId="690879B8" w14:textId="77777777" w:rsidR="00C47B80" w:rsidRPr="00787B7A" w:rsidRDefault="00C47B80" w:rsidP="00704874">
      <w:pPr>
        <w:pStyle w:val="Default"/>
        <w:ind w:left="1440" w:hanging="1440"/>
        <w:rPr>
          <w:rFonts w:ascii="Cambria" w:hAnsi="Cambria"/>
          <w:sz w:val="20"/>
          <w:szCs w:val="20"/>
        </w:rPr>
      </w:pPr>
    </w:p>
    <w:p w14:paraId="7A9D93F0" w14:textId="77777777" w:rsidR="00C47B80" w:rsidRPr="00787B7A" w:rsidRDefault="00C47B80" w:rsidP="00704874">
      <w:pPr>
        <w:pStyle w:val="Default"/>
        <w:ind w:left="1440" w:hanging="1440"/>
        <w:rPr>
          <w:rFonts w:ascii="Cambria" w:hAnsi="Cambria"/>
          <w:sz w:val="20"/>
          <w:szCs w:val="20"/>
        </w:rPr>
      </w:pPr>
    </w:p>
    <w:p w14:paraId="09840C02" w14:textId="77777777" w:rsidR="00C47B80" w:rsidRPr="00787B7A" w:rsidRDefault="00C47B80" w:rsidP="00704874">
      <w:pPr>
        <w:pStyle w:val="Default"/>
        <w:ind w:left="1440" w:hanging="1440"/>
        <w:rPr>
          <w:rFonts w:ascii="Cambria" w:hAnsi="Cambria"/>
          <w:sz w:val="20"/>
          <w:szCs w:val="20"/>
        </w:rPr>
      </w:pPr>
    </w:p>
    <w:p w14:paraId="6F66CBA8" w14:textId="3F21D8CC" w:rsidR="00B67784" w:rsidRPr="00787B7A" w:rsidRDefault="00434D76" w:rsidP="00191B4C">
      <w:pPr>
        <w:pStyle w:val="Default"/>
        <w:ind w:left="426" w:hanging="426"/>
        <w:rPr>
          <w:rFonts w:ascii="Cambria" w:hAnsi="Cambria"/>
          <w:sz w:val="20"/>
          <w:szCs w:val="20"/>
        </w:rPr>
      </w:pPr>
      <w:r w:rsidRPr="00787B7A">
        <w:rPr>
          <w:rFonts w:ascii="Cambria" w:hAnsi="Cambria"/>
          <w:b/>
          <w:bCs/>
          <w:sz w:val="20"/>
          <w:szCs w:val="20"/>
        </w:rPr>
        <w:t>cc:</w:t>
      </w:r>
      <w:r w:rsidRPr="00787B7A">
        <w:rPr>
          <w:rFonts w:ascii="Cambria" w:hAnsi="Cambria"/>
          <w:sz w:val="20"/>
          <w:szCs w:val="20"/>
        </w:rPr>
        <w:tab/>
        <w:t xml:space="preserve">M. Stephen </w:t>
      </w:r>
      <w:proofErr w:type="spellStart"/>
      <w:r w:rsidRPr="00787B7A">
        <w:rPr>
          <w:rFonts w:ascii="Cambria" w:hAnsi="Cambria"/>
          <w:sz w:val="20"/>
          <w:szCs w:val="20"/>
        </w:rPr>
        <w:t>Warr</w:t>
      </w:r>
      <w:proofErr w:type="spellEnd"/>
      <w:r w:rsidRPr="00787B7A">
        <w:rPr>
          <w:rFonts w:ascii="Cambria" w:hAnsi="Cambria"/>
          <w:sz w:val="20"/>
          <w:szCs w:val="20"/>
        </w:rPr>
        <w:t>, haut fonctionnaire chargé de l'environnement, Gibraltar</w:t>
      </w:r>
    </w:p>
    <w:p w14:paraId="22D03F90" w14:textId="77777777" w:rsidR="00B67784" w:rsidRPr="00787B7A" w:rsidRDefault="00434D76" w:rsidP="00704874">
      <w:pPr>
        <w:pStyle w:val="Default"/>
        <w:ind w:left="426"/>
        <w:rPr>
          <w:rFonts w:ascii="Cambria" w:hAnsi="Cambria"/>
          <w:sz w:val="20"/>
          <w:szCs w:val="20"/>
        </w:rPr>
      </w:pPr>
      <w:r w:rsidRPr="00787B7A">
        <w:rPr>
          <w:rFonts w:ascii="Cambria" w:hAnsi="Cambria"/>
          <w:sz w:val="20"/>
          <w:szCs w:val="20"/>
        </w:rPr>
        <w:t>M. E. Penas, Président de la Commission</w:t>
      </w:r>
    </w:p>
    <w:p w14:paraId="1006A65B" w14:textId="38C0AB73" w:rsidR="00434D76" w:rsidRPr="00787B7A" w:rsidRDefault="00434D76" w:rsidP="00704874">
      <w:pPr>
        <w:pStyle w:val="Default"/>
        <w:ind w:left="426"/>
        <w:rPr>
          <w:rFonts w:ascii="Cambria" w:hAnsi="Cambria"/>
          <w:sz w:val="20"/>
          <w:szCs w:val="20"/>
        </w:rPr>
      </w:pPr>
      <w:r w:rsidRPr="00787B7A">
        <w:rPr>
          <w:rFonts w:ascii="Cambria" w:hAnsi="Cambria"/>
          <w:sz w:val="20"/>
          <w:szCs w:val="20"/>
        </w:rPr>
        <w:t>M. S. Ota (Japon), Président de la Sous-commission 2</w:t>
      </w:r>
      <w:bookmarkEnd w:id="0"/>
    </w:p>
    <w:p w14:paraId="6477DECF" w14:textId="77777777" w:rsidR="00760092" w:rsidRPr="00787B7A" w:rsidRDefault="00760092" w:rsidP="00704874">
      <w:pPr>
        <w:pStyle w:val="Default"/>
        <w:jc w:val="both"/>
        <w:rPr>
          <w:rFonts w:ascii="Cambria" w:hAnsi="Cambria"/>
          <w:b/>
          <w:bCs/>
          <w:color w:val="auto"/>
          <w:sz w:val="20"/>
          <w:szCs w:val="20"/>
        </w:rPr>
      </w:pPr>
    </w:p>
    <w:p w14:paraId="0CA401F2" w14:textId="6388046C" w:rsidR="00760092" w:rsidRPr="00787B7A" w:rsidRDefault="00704874" w:rsidP="00704874">
      <w:pPr>
        <w:pStyle w:val="Default"/>
        <w:jc w:val="both"/>
        <w:rPr>
          <w:rFonts w:ascii="Cambria" w:hAnsi="Cambria"/>
          <w:color w:val="auto"/>
          <w:sz w:val="20"/>
          <w:szCs w:val="20"/>
        </w:rPr>
      </w:pPr>
      <w:r w:rsidRPr="00787B7A">
        <w:rPr>
          <w:rFonts w:ascii="Cambria" w:hAnsi="Cambria"/>
          <w:b/>
          <w:bCs/>
          <w:color w:val="auto"/>
          <w:sz w:val="20"/>
          <w:szCs w:val="20"/>
        </w:rPr>
        <w:t>Pièce jointe:</w:t>
      </w:r>
      <w:r w:rsidRPr="00787B7A">
        <w:rPr>
          <w:rFonts w:ascii="Cambria" w:hAnsi="Cambria"/>
          <w:color w:val="auto"/>
          <w:sz w:val="20"/>
          <w:szCs w:val="20"/>
        </w:rPr>
        <w:t xml:space="preserve"> courrier et soumission des données de Gibraltar en date du 15 septembre 2025.</w:t>
      </w:r>
    </w:p>
    <w:p w14:paraId="741E9499" w14:textId="77777777" w:rsidR="00760092" w:rsidRPr="00787B7A" w:rsidRDefault="00760092">
      <w:pPr>
        <w:rPr>
          <w:rFonts w:ascii="Cambria" w:hAnsi="Cambria" w:cs="Arial"/>
          <w:sz w:val="20"/>
          <w:szCs w:val="20"/>
        </w:rPr>
      </w:pPr>
      <w:r w:rsidRPr="00787B7A">
        <w:rPr>
          <w:rFonts w:ascii="Cambria" w:hAnsi="Cambria"/>
          <w:sz w:val="20"/>
          <w:szCs w:val="20"/>
        </w:rPr>
        <w:br w:type="page"/>
      </w:r>
    </w:p>
    <w:p w14:paraId="164FA64A" w14:textId="77777777" w:rsidR="00572343" w:rsidRPr="00787B7A" w:rsidRDefault="00572343" w:rsidP="00C47B80">
      <w:pPr>
        <w:pStyle w:val="BodyText"/>
        <w:jc w:val="right"/>
        <w:rPr>
          <w:rFonts w:ascii="Cambria" w:hAnsi="Cambria"/>
          <w:w w:val="110"/>
        </w:rPr>
      </w:pPr>
    </w:p>
    <w:p w14:paraId="0C0DB4E0" w14:textId="76A6A975" w:rsidR="002916C5" w:rsidRPr="00787B7A" w:rsidRDefault="002916C5" w:rsidP="002916C5">
      <w:pPr>
        <w:pStyle w:val="BodyText"/>
        <w:jc w:val="right"/>
        <w:rPr>
          <w:rFonts w:ascii="Cambria" w:hAnsi="Cambria"/>
          <w:b/>
          <w:bCs/>
        </w:rPr>
      </w:pPr>
      <w:r w:rsidRPr="00787B7A">
        <w:rPr>
          <w:rFonts w:ascii="Cambria" w:hAnsi="Cambria"/>
          <w:b/>
          <w:bCs/>
        </w:rPr>
        <w:t>Pièce jointe</w:t>
      </w:r>
    </w:p>
    <w:p w14:paraId="5AA51E4B" w14:textId="77777777" w:rsidR="00754694" w:rsidRPr="00787B7A" w:rsidRDefault="00754694" w:rsidP="002916C5">
      <w:pPr>
        <w:pStyle w:val="BodyText"/>
        <w:jc w:val="right"/>
        <w:rPr>
          <w:rFonts w:ascii="Cambria" w:hAnsi="Cambria"/>
          <w:b/>
          <w:bCs/>
        </w:rPr>
      </w:pPr>
    </w:p>
    <w:p w14:paraId="7CA0142B" w14:textId="41F35237" w:rsidR="00754694" w:rsidRPr="00787B7A" w:rsidRDefault="00754694" w:rsidP="00754694">
      <w:pPr>
        <w:pStyle w:val="BodyText"/>
        <w:jc w:val="center"/>
        <w:rPr>
          <w:rFonts w:ascii="Cambria" w:hAnsi="Cambria"/>
          <w:b/>
          <w:bCs/>
        </w:rPr>
      </w:pPr>
      <w:r w:rsidRPr="00787B7A">
        <w:rPr>
          <w:rFonts w:ascii="Cambria" w:hAnsi="Cambria"/>
          <w:b/>
          <w:bCs/>
        </w:rPr>
        <w:t>Courrier de Gibraltar</w:t>
      </w:r>
    </w:p>
    <w:p w14:paraId="2C033067" w14:textId="77777777" w:rsidR="00754694" w:rsidRPr="00787B7A" w:rsidRDefault="00754694" w:rsidP="00754694">
      <w:pPr>
        <w:pStyle w:val="BodyText"/>
        <w:jc w:val="center"/>
        <w:rPr>
          <w:rFonts w:ascii="Cambria" w:hAnsi="Cambria"/>
          <w:b/>
          <w:bCs/>
          <w:w w:val="110"/>
        </w:rPr>
      </w:pPr>
    </w:p>
    <w:p w14:paraId="2362B672" w14:textId="6D630D9A" w:rsidR="00C47B80" w:rsidRPr="00787B7A" w:rsidRDefault="00191B4C" w:rsidP="00572343">
      <w:pPr>
        <w:pStyle w:val="BodyText"/>
        <w:jc w:val="center"/>
        <w:rPr>
          <w:rFonts w:ascii="Cambria" w:hAnsi="Cambria"/>
        </w:rPr>
      </w:pPr>
      <w:r w:rsidRPr="00787B7A">
        <w:rPr>
          <w:rFonts w:ascii="Cambria" w:hAnsi="Cambria"/>
        </w:rPr>
        <w:t>Département de l'environnement, de la durabilité, du changement climatique et du patrimoine</w:t>
      </w:r>
    </w:p>
    <w:p w14:paraId="1CFDF906" w14:textId="77777777" w:rsidR="00C47B80" w:rsidRPr="00787B7A" w:rsidRDefault="00C47B80" w:rsidP="00572343">
      <w:pPr>
        <w:pStyle w:val="BodyText"/>
        <w:jc w:val="center"/>
        <w:rPr>
          <w:rFonts w:ascii="Cambria" w:hAnsi="Cambria"/>
        </w:rPr>
      </w:pPr>
      <w:r w:rsidRPr="00787B7A">
        <w:rPr>
          <w:rFonts w:ascii="Cambria" w:hAnsi="Cambria"/>
        </w:rPr>
        <w:t>Le Gouvernement de Sa Majesté de Gibraltar</w:t>
      </w:r>
    </w:p>
    <w:p w14:paraId="56472B34" w14:textId="77777777" w:rsidR="00C47B80" w:rsidRPr="00787B7A" w:rsidRDefault="00C47B80" w:rsidP="00572343">
      <w:pPr>
        <w:pStyle w:val="BodyText"/>
        <w:jc w:val="center"/>
        <w:rPr>
          <w:rFonts w:ascii="Cambria" w:hAnsi="Cambria"/>
        </w:rPr>
      </w:pPr>
    </w:p>
    <w:p w14:paraId="0351436F" w14:textId="5B4BAF8F" w:rsidR="00C47B80" w:rsidRPr="00787B7A" w:rsidRDefault="00C47B80" w:rsidP="00C47B80">
      <w:pPr>
        <w:pStyle w:val="BodyText"/>
        <w:jc w:val="right"/>
        <w:rPr>
          <w:rFonts w:ascii="Cambria" w:hAnsi="Cambria"/>
          <w:w w:val="110"/>
        </w:rPr>
      </w:pPr>
      <w:r w:rsidRPr="00787B7A">
        <w:rPr>
          <w:rFonts w:ascii="Cambria" w:hAnsi="Cambria"/>
        </w:rPr>
        <w:t>le 15 septembre 2025</w:t>
      </w:r>
    </w:p>
    <w:p w14:paraId="5F94AF1F" w14:textId="77777777" w:rsidR="00C47B80" w:rsidRPr="00787B7A" w:rsidRDefault="00C47B80" w:rsidP="00C47B80">
      <w:pPr>
        <w:pStyle w:val="BodyText"/>
        <w:jc w:val="right"/>
        <w:rPr>
          <w:rFonts w:ascii="Cambria" w:hAnsi="Cambria"/>
        </w:rPr>
      </w:pPr>
    </w:p>
    <w:p w14:paraId="660F2223" w14:textId="77777777" w:rsidR="00C47B80" w:rsidRPr="00787B7A" w:rsidRDefault="00C47B80" w:rsidP="00C47B80">
      <w:pPr>
        <w:pStyle w:val="BodyText"/>
        <w:jc w:val="both"/>
        <w:rPr>
          <w:rFonts w:ascii="Cambria" w:hAnsi="Cambria"/>
        </w:rPr>
      </w:pPr>
    </w:p>
    <w:p w14:paraId="71D8A2A4" w14:textId="77777777" w:rsidR="00191B4C" w:rsidRPr="00787B7A" w:rsidRDefault="00191B4C" w:rsidP="00191B4C">
      <w:pPr>
        <w:pStyle w:val="BodyText"/>
        <w:jc w:val="both"/>
        <w:rPr>
          <w:rFonts w:ascii="Cambria" w:hAnsi="Cambria"/>
        </w:rPr>
      </w:pPr>
      <w:r w:rsidRPr="00787B7A">
        <w:rPr>
          <w:rFonts w:ascii="Cambria" w:hAnsi="Cambria"/>
        </w:rPr>
        <w:t>M. Marc Owen</w:t>
      </w:r>
    </w:p>
    <w:p w14:paraId="1EE4574E" w14:textId="77777777" w:rsidR="00191B4C" w:rsidRPr="00787B7A" w:rsidRDefault="00191B4C" w:rsidP="00191B4C">
      <w:pPr>
        <w:pStyle w:val="BodyText"/>
        <w:jc w:val="both"/>
        <w:rPr>
          <w:rFonts w:ascii="Cambria" w:hAnsi="Cambria"/>
        </w:rPr>
      </w:pPr>
      <w:r w:rsidRPr="00787B7A">
        <w:rPr>
          <w:rFonts w:ascii="Cambria" w:hAnsi="Cambria"/>
        </w:rPr>
        <w:t>Chef d’équipe, Pêches internationales</w:t>
      </w:r>
    </w:p>
    <w:p w14:paraId="635CFC6E" w14:textId="392EA21F" w:rsidR="00677DF6" w:rsidRPr="00787B7A" w:rsidRDefault="00191B4C" w:rsidP="00191B4C">
      <w:pPr>
        <w:pStyle w:val="BodyText"/>
        <w:jc w:val="both"/>
        <w:rPr>
          <w:rFonts w:ascii="Cambria" w:hAnsi="Cambria"/>
        </w:rPr>
      </w:pPr>
      <w:r w:rsidRPr="00787B7A">
        <w:rPr>
          <w:rFonts w:ascii="Cambria" w:hAnsi="Cambria"/>
        </w:rPr>
        <w:t>Département de l’environnement, de l’alimentation et des affaires rurales</w:t>
      </w:r>
    </w:p>
    <w:p w14:paraId="38F60A34" w14:textId="196218C5" w:rsidR="00191B4C" w:rsidRPr="00787B7A" w:rsidRDefault="00191B4C" w:rsidP="00191B4C">
      <w:pPr>
        <w:pStyle w:val="BodyText"/>
        <w:jc w:val="both"/>
        <w:rPr>
          <w:rFonts w:ascii="Cambria" w:hAnsi="Cambria"/>
          <w:lang w:val="en-GB"/>
        </w:rPr>
      </w:pPr>
      <w:r w:rsidRPr="00787B7A">
        <w:rPr>
          <w:rFonts w:ascii="Cambria" w:hAnsi="Cambria"/>
          <w:lang w:val="en-GB"/>
        </w:rPr>
        <w:t>pt Floor, Seacole Wing, 2 Marsham Street</w:t>
      </w:r>
    </w:p>
    <w:p w14:paraId="2731D71E" w14:textId="51F22F93" w:rsidR="00C47B80" w:rsidRPr="00787B7A" w:rsidRDefault="00191B4C" w:rsidP="00191B4C">
      <w:pPr>
        <w:pStyle w:val="BodyText"/>
        <w:jc w:val="both"/>
        <w:rPr>
          <w:rFonts w:ascii="Cambria" w:hAnsi="Cambria"/>
        </w:rPr>
      </w:pPr>
      <w:r w:rsidRPr="00787B7A">
        <w:rPr>
          <w:rFonts w:ascii="Cambria" w:hAnsi="Cambria"/>
        </w:rPr>
        <w:t>Londres SW 1P 4DF</w:t>
      </w:r>
    </w:p>
    <w:p w14:paraId="3E166A86" w14:textId="77777777" w:rsidR="00C47B80" w:rsidRPr="00787B7A" w:rsidRDefault="00C47B80" w:rsidP="00C47B80">
      <w:pPr>
        <w:pStyle w:val="BodyText"/>
        <w:jc w:val="both"/>
        <w:rPr>
          <w:rFonts w:ascii="Cambria" w:hAnsi="Cambria"/>
        </w:rPr>
      </w:pPr>
    </w:p>
    <w:p w14:paraId="7D015B3C" w14:textId="77777777" w:rsidR="00C47B80" w:rsidRPr="00787B7A" w:rsidRDefault="00C47B80" w:rsidP="00C47B80">
      <w:pPr>
        <w:pStyle w:val="BodyText"/>
        <w:jc w:val="both"/>
        <w:rPr>
          <w:rFonts w:ascii="Cambria" w:hAnsi="Cambria"/>
          <w:b/>
          <w:bCs/>
          <w:w w:val="110"/>
        </w:rPr>
      </w:pPr>
    </w:p>
    <w:p w14:paraId="381614B8" w14:textId="2131E90E" w:rsidR="00C47B80" w:rsidRPr="00787B7A" w:rsidRDefault="00C47B80" w:rsidP="00C47B80">
      <w:pPr>
        <w:pStyle w:val="BodyText"/>
        <w:jc w:val="both"/>
        <w:rPr>
          <w:rFonts w:ascii="Cambria" w:hAnsi="Cambria"/>
          <w:b/>
          <w:bCs/>
        </w:rPr>
      </w:pPr>
      <w:r w:rsidRPr="00787B7A">
        <w:rPr>
          <w:rFonts w:ascii="Cambria" w:hAnsi="Cambria"/>
          <w:b/>
          <w:bCs/>
        </w:rPr>
        <w:t>Objet : Gestion et captures de thon rouge à Gibraltar</w:t>
      </w:r>
    </w:p>
    <w:p w14:paraId="42259D80" w14:textId="77777777" w:rsidR="00C47B80" w:rsidRPr="00787B7A" w:rsidRDefault="00C47B80" w:rsidP="00C47B80">
      <w:pPr>
        <w:pStyle w:val="BodyText"/>
        <w:jc w:val="both"/>
        <w:rPr>
          <w:rFonts w:ascii="Cambria" w:hAnsi="Cambria"/>
          <w:b/>
          <w:bCs/>
        </w:rPr>
      </w:pPr>
    </w:p>
    <w:p w14:paraId="464E4886" w14:textId="77777777" w:rsidR="00191B4C" w:rsidRPr="00787B7A" w:rsidRDefault="00191B4C" w:rsidP="00191B4C">
      <w:pPr>
        <w:pStyle w:val="BodyText"/>
        <w:jc w:val="both"/>
        <w:rPr>
          <w:rFonts w:ascii="Cambria" w:hAnsi="Cambria"/>
        </w:rPr>
      </w:pPr>
      <w:r w:rsidRPr="00787B7A">
        <w:rPr>
          <w:rFonts w:ascii="Cambria" w:hAnsi="Cambria"/>
        </w:rPr>
        <w:t>Cher M. Owen,</w:t>
      </w:r>
    </w:p>
    <w:p w14:paraId="44411399" w14:textId="77777777" w:rsidR="00191B4C" w:rsidRPr="00787B7A" w:rsidRDefault="00191B4C" w:rsidP="00191B4C">
      <w:pPr>
        <w:pStyle w:val="BodyText"/>
        <w:jc w:val="both"/>
        <w:rPr>
          <w:rFonts w:ascii="Cambria" w:hAnsi="Cambria"/>
        </w:rPr>
      </w:pPr>
    </w:p>
    <w:p w14:paraId="0F99A309" w14:textId="77777777" w:rsidR="00191B4C" w:rsidRPr="00787B7A" w:rsidRDefault="00191B4C" w:rsidP="00191B4C">
      <w:pPr>
        <w:pStyle w:val="BodyText"/>
        <w:jc w:val="both"/>
        <w:rPr>
          <w:rFonts w:ascii="Cambria" w:hAnsi="Cambria"/>
        </w:rPr>
      </w:pPr>
      <w:r w:rsidRPr="00787B7A">
        <w:rPr>
          <w:rFonts w:ascii="Cambria" w:hAnsi="Cambria"/>
        </w:rPr>
        <w:t>Nous nous référons à la lettre du Président du Comité d'application de l'ICCAT, datée du 28 juillet 2025, qui vous a été adressée en ce qui concerne la gestion et les captures de thon rouge (BFT) à Gibraltar.</w:t>
      </w:r>
    </w:p>
    <w:p w14:paraId="14104A91" w14:textId="77777777" w:rsidR="00191B4C" w:rsidRPr="00787B7A" w:rsidRDefault="00191B4C" w:rsidP="00191B4C">
      <w:pPr>
        <w:pStyle w:val="BodyText"/>
        <w:jc w:val="both"/>
        <w:rPr>
          <w:rFonts w:ascii="Cambria" w:hAnsi="Cambria"/>
        </w:rPr>
      </w:pPr>
    </w:p>
    <w:p w14:paraId="50095C4A" w14:textId="57E6D208" w:rsidR="00191B4C" w:rsidRPr="00787B7A" w:rsidRDefault="00191B4C" w:rsidP="00191B4C">
      <w:pPr>
        <w:pStyle w:val="BodyText"/>
        <w:jc w:val="both"/>
        <w:rPr>
          <w:rFonts w:ascii="Cambria" w:hAnsi="Cambria"/>
        </w:rPr>
      </w:pPr>
      <w:r w:rsidRPr="00787B7A">
        <w:rPr>
          <w:rFonts w:ascii="Cambria" w:hAnsi="Cambria"/>
        </w:rPr>
        <w:t xml:space="preserve">Il est à nouveau très rassurant de noter que la Commission apprécie la transparence et l'engagement démontrés par Gibraltar pour fournir toutes les données statistiques nécessaires concernant le thon rouge ainsi que les mesures de gestion mises en œuvre à Gibraltar à ce jour. Dans le cadre de notre engagement continu à coopérer pleinement avec le Secrétariat de l’ICCAT, veuillez noter que les statistiques de captures de thon rouge les plus récentes </w:t>
      </w:r>
      <w:r w:rsidR="00C86AE6" w:rsidRPr="00787B7A">
        <w:rPr>
          <w:rFonts w:ascii="Cambria" w:hAnsi="Cambria"/>
        </w:rPr>
        <w:t>jusqu’à présent</w:t>
      </w:r>
      <w:r w:rsidRPr="00787B7A">
        <w:rPr>
          <w:rFonts w:ascii="Cambria" w:hAnsi="Cambria"/>
        </w:rPr>
        <w:t xml:space="preserve"> (Formulaire ST02-T1NC - Version2025b)</w:t>
      </w:r>
      <w:r w:rsidR="00250A56" w:rsidRPr="00787B7A">
        <w:rPr>
          <w:rFonts w:ascii="Cambria" w:hAnsi="Cambria"/>
        </w:rPr>
        <w:t>,</w:t>
      </w:r>
      <w:r w:rsidRPr="00787B7A">
        <w:rPr>
          <w:rFonts w:ascii="Cambria" w:hAnsi="Cambria"/>
        </w:rPr>
        <w:t xml:space="preserve"> correspondant à la saison ouverte du thon rouge de cette année (2025)</w:t>
      </w:r>
      <w:r w:rsidR="00250A56" w:rsidRPr="00787B7A">
        <w:rPr>
          <w:rFonts w:ascii="Cambria" w:hAnsi="Cambria"/>
        </w:rPr>
        <w:t>,</w:t>
      </w:r>
      <w:r w:rsidRPr="00787B7A">
        <w:rPr>
          <w:rFonts w:ascii="Cambria" w:hAnsi="Cambria"/>
        </w:rPr>
        <w:t xml:space="preserve"> ont été transmises par le Département au compte de messagerie électronique </w:t>
      </w:r>
      <w:hyperlink r:id="rId8">
        <w:r w:rsidRPr="00787B7A">
          <w:rPr>
            <w:rStyle w:val="Hyperlink"/>
            <w:rFonts w:ascii="Cambria" w:hAnsi="Cambria"/>
            <w:u w:val="none"/>
          </w:rPr>
          <w:t>stats_info@iccat.int</w:t>
        </w:r>
      </w:hyperlink>
      <w:r w:rsidRPr="00787B7A">
        <w:rPr>
          <w:rFonts w:ascii="Cambria" w:hAnsi="Cambria"/>
        </w:rPr>
        <w:t xml:space="preserve"> conformément à la circulaire nº 00756/2025 de l’ICCAT.</w:t>
      </w:r>
    </w:p>
    <w:p w14:paraId="122664E4" w14:textId="77777777" w:rsidR="00191B4C" w:rsidRPr="00787B7A" w:rsidRDefault="00191B4C" w:rsidP="00191B4C">
      <w:pPr>
        <w:pStyle w:val="BodyText"/>
        <w:jc w:val="both"/>
        <w:rPr>
          <w:rFonts w:ascii="Cambria" w:hAnsi="Cambria"/>
        </w:rPr>
      </w:pPr>
    </w:p>
    <w:p w14:paraId="65F948C8" w14:textId="1C3E992F" w:rsidR="00191B4C" w:rsidRPr="00787B7A" w:rsidRDefault="00191B4C" w:rsidP="00191B4C">
      <w:pPr>
        <w:pStyle w:val="BodyText"/>
        <w:jc w:val="both"/>
        <w:rPr>
          <w:rFonts w:ascii="Cambria" w:hAnsi="Cambria"/>
        </w:rPr>
      </w:pPr>
      <w:r w:rsidRPr="00787B7A">
        <w:rPr>
          <w:rFonts w:ascii="Cambria" w:hAnsi="Cambria"/>
        </w:rPr>
        <w:t>Comme il est désormais de coutume et à titre d'information complémentaire, une vue d'ensemble des statistiques de la saison de pêche du thon rouge jusqu'au 15 septembre 2025 a été fournie dans une Annexe à cette lettre. Des données de capture supplémentaires (le cas échéant) seront fournies au Secrétariat une fois la saison clôturée le 14 octobre 2025.</w:t>
      </w:r>
    </w:p>
    <w:p w14:paraId="276A0536" w14:textId="77777777" w:rsidR="00191B4C" w:rsidRPr="00787B7A" w:rsidRDefault="00191B4C" w:rsidP="00191B4C">
      <w:pPr>
        <w:pStyle w:val="BodyText"/>
        <w:jc w:val="both"/>
        <w:rPr>
          <w:rFonts w:ascii="Cambria" w:hAnsi="Cambria"/>
        </w:rPr>
      </w:pPr>
    </w:p>
    <w:p w14:paraId="2956B951" w14:textId="77777777" w:rsidR="00191B4C" w:rsidRPr="00787B7A" w:rsidRDefault="00191B4C" w:rsidP="00191B4C">
      <w:pPr>
        <w:pStyle w:val="BodyText"/>
        <w:jc w:val="both"/>
        <w:rPr>
          <w:rFonts w:ascii="Cambria" w:hAnsi="Cambria"/>
        </w:rPr>
      </w:pPr>
      <w:r w:rsidRPr="00787B7A">
        <w:rPr>
          <w:rFonts w:ascii="Cambria" w:hAnsi="Cambria"/>
        </w:rPr>
        <w:t>Nous saisissons cette opportunité pour réitérer une fois de plus notre profond désir de poursuivre notre coopération et notre engagement positif avec le Secrétariat de l'ICCAT à l'avenir, et d'envisager la possibilité d'étendre l'ICCAT à Gibraltar.</w:t>
      </w:r>
    </w:p>
    <w:p w14:paraId="29402514" w14:textId="0861F51A" w:rsidR="00191B4C" w:rsidRPr="00787B7A" w:rsidRDefault="00191B4C" w:rsidP="00191B4C">
      <w:pPr>
        <w:pStyle w:val="BodyText"/>
        <w:jc w:val="both"/>
        <w:rPr>
          <w:rFonts w:ascii="Cambria" w:hAnsi="Cambria"/>
        </w:rPr>
      </w:pPr>
    </w:p>
    <w:p w14:paraId="630EB14F" w14:textId="25FF7199" w:rsidR="00191B4C" w:rsidRPr="00787B7A" w:rsidRDefault="00191B4C" w:rsidP="00C47B80">
      <w:pPr>
        <w:pStyle w:val="BodyText"/>
        <w:jc w:val="both"/>
        <w:rPr>
          <w:rFonts w:ascii="Cambria" w:hAnsi="Cambria"/>
        </w:rPr>
      </w:pPr>
      <w:r w:rsidRPr="00787B7A">
        <w:rPr>
          <w:rFonts w:ascii="Cambria" w:hAnsi="Cambria"/>
        </w:rPr>
        <w:t>Nous restons à votre disposition pour tout complément d’informations sur les points susmentionnés et les données statistiques fournies.</w:t>
      </w:r>
    </w:p>
    <w:p w14:paraId="14D57547" w14:textId="77777777" w:rsidR="00C47B80" w:rsidRPr="00787B7A" w:rsidRDefault="00C47B80" w:rsidP="00C47B80">
      <w:pPr>
        <w:pStyle w:val="BodyText"/>
        <w:jc w:val="both"/>
        <w:rPr>
          <w:rFonts w:ascii="Cambria" w:hAnsi="Cambria"/>
        </w:rPr>
      </w:pPr>
    </w:p>
    <w:p w14:paraId="5C00E2E8" w14:textId="77777777" w:rsidR="00C47B80" w:rsidRPr="00787B7A" w:rsidRDefault="00C47B80" w:rsidP="00C47B80">
      <w:pPr>
        <w:pStyle w:val="BodyText"/>
        <w:jc w:val="both"/>
        <w:rPr>
          <w:rFonts w:ascii="Cambria" w:hAnsi="Cambria"/>
        </w:rPr>
      </w:pPr>
      <w:r w:rsidRPr="00787B7A">
        <w:rPr>
          <w:rFonts w:ascii="Cambria" w:hAnsi="Cambria"/>
        </w:rPr>
        <w:t>Cordialement,</w:t>
      </w:r>
    </w:p>
    <w:p w14:paraId="290DCE60" w14:textId="77777777" w:rsidR="00C47B80" w:rsidRPr="00787B7A" w:rsidRDefault="00C47B80" w:rsidP="00C47B80">
      <w:pPr>
        <w:pStyle w:val="BodyText"/>
        <w:jc w:val="both"/>
        <w:rPr>
          <w:rFonts w:ascii="Cambria" w:hAnsi="Cambria"/>
        </w:rPr>
      </w:pPr>
    </w:p>
    <w:p w14:paraId="11B30887" w14:textId="1EE0823A" w:rsidR="00C47B80" w:rsidRPr="00787B7A" w:rsidRDefault="000B03D3" w:rsidP="00C47B80">
      <w:pPr>
        <w:pStyle w:val="BodyText"/>
        <w:jc w:val="both"/>
        <w:rPr>
          <w:rFonts w:ascii="Cambria" w:hAnsi="Cambria"/>
        </w:rPr>
      </w:pPr>
      <w:r w:rsidRPr="00787B7A">
        <w:rPr>
          <w:rFonts w:ascii="Cambria" w:hAnsi="Cambria"/>
        </w:rPr>
        <w:t>(signature et sceau)</w:t>
      </w:r>
    </w:p>
    <w:p w14:paraId="1C5AD9BE" w14:textId="77777777" w:rsidR="00C47B80" w:rsidRPr="00787B7A" w:rsidRDefault="00C47B80" w:rsidP="00C47B80">
      <w:pPr>
        <w:pStyle w:val="BodyText"/>
        <w:jc w:val="both"/>
        <w:rPr>
          <w:rFonts w:ascii="Cambria" w:hAnsi="Cambria"/>
        </w:rPr>
      </w:pPr>
    </w:p>
    <w:p w14:paraId="6460186D" w14:textId="249C7EF1" w:rsidR="00C47B80" w:rsidRPr="00787B7A" w:rsidRDefault="00C47B80" w:rsidP="00C47B80">
      <w:pPr>
        <w:pStyle w:val="BodyText"/>
        <w:jc w:val="both"/>
        <w:rPr>
          <w:rFonts w:ascii="Cambria" w:hAnsi="Cambria"/>
        </w:rPr>
      </w:pPr>
      <w:r w:rsidRPr="00787B7A">
        <w:rPr>
          <w:rFonts w:ascii="Cambria" w:hAnsi="Cambria"/>
        </w:rPr>
        <w:t xml:space="preserve">Stephen </w:t>
      </w:r>
      <w:proofErr w:type="spellStart"/>
      <w:r w:rsidRPr="00787B7A">
        <w:rPr>
          <w:rFonts w:ascii="Cambria" w:hAnsi="Cambria"/>
        </w:rPr>
        <w:t>Warr</w:t>
      </w:r>
      <w:proofErr w:type="spellEnd"/>
    </w:p>
    <w:p w14:paraId="5595F599" w14:textId="77777777" w:rsidR="00C47B80" w:rsidRPr="00787B7A" w:rsidRDefault="00C47B80" w:rsidP="00C47B80">
      <w:pPr>
        <w:pStyle w:val="BodyText"/>
        <w:jc w:val="both"/>
        <w:rPr>
          <w:rFonts w:ascii="Cambria" w:hAnsi="Cambria"/>
        </w:rPr>
      </w:pPr>
      <w:r w:rsidRPr="00787B7A">
        <w:rPr>
          <w:rFonts w:ascii="Cambria" w:hAnsi="Cambria"/>
        </w:rPr>
        <w:t>Directeur général (Ag)</w:t>
      </w:r>
    </w:p>
    <w:p w14:paraId="74FBCCEA" w14:textId="77777777" w:rsidR="00C47B80" w:rsidRPr="00787B7A" w:rsidRDefault="00C47B80" w:rsidP="00C47B80">
      <w:pPr>
        <w:pStyle w:val="BodyText"/>
        <w:jc w:val="both"/>
        <w:rPr>
          <w:rFonts w:ascii="Cambria" w:hAnsi="Cambria"/>
        </w:rPr>
      </w:pPr>
      <w:r w:rsidRPr="00787B7A">
        <w:rPr>
          <w:rFonts w:ascii="Cambria" w:hAnsi="Cambria"/>
        </w:rPr>
        <w:t>Département de l'environnement, de la durabilité, du changement climatique et du patrimoine</w:t>
      </w:r>
    </w:p>
    <w:p w14:paraId="7AF12125" w14:textId="77777777" w:rsidR="00C47B80" w:rsidRPr="00787B7A" w:rsidRDefault="00C47B80" w:rsidP="00C47B80">
      <w:pPr>
        <w:pStyle w:val="BodyText"/>
        <w:jc w:val="both"/>
        <w:rPr>
          <w:rFonts w:ascii="Cambria" w:hAnsi="Cambria"/>
        </w:rPr>
      </w:pPr>
    </w:p>
    <w:p w14:paraId="65202337" w14:textId="77777777" w:rsidR="000B03D3" w:rsidRPr="00787B7A" w:rsidRDefault="000B03D3" w:rsidP="00C47B80">
      <w:pPr>
        <w:pStyle w:val="BodyText"/>
        <w:jc w:val="both"/>
        <w:rPr>
          <w:rFonts w:ascii="Cambria" w:hAnsi="Cambria"/>
        </w:rPr>
      </w:pPr>
    </w:p>
    <w:p w14:paraId="0F917743" w14:textId="19D975AA" w:rsidR="00C47B80" w:rsidRPr="00787B7A" w:rsidRDefault="00C47B80" w:rsidP="000B03D3">
      <w:pPr>
        <w:pStyle w:val="BodyText"/>
        <w:ind w:left="426" w:hanging="426"/>
        <w:jc w:val="both"/>
        <w:rPr>
          <w:rFonts w:ascii="Cambria" w:hAnsi="Cambria"/>
        </w:rPr>
      </w:pPr>
      <w:r w:rsidRPr="00787B7A">
        <w:rPr>
          <w:rFonts w:ascii="Cambria" w:hAnsi="Cambria"/>
        </w:rPr>
        <w:t>cc:</w:t>
      </w:r>
      <w:r w:rsidRPr="00787B7A">
        <w:rPr>
          <w:rFonts w:ascii="Cambria" w:hAnsi="Cambria"/>
        </w:rPr>
        <w:tab/>
        <w:t>Le très honorable professeur John Cortes MBE</w:t>
      </w:r>
      <w:r w:rsidR="004F1785" w:rsidRPr="00787B7A">
        <w:rPr>
          <w:rFonts w:ascii="Cambria" w:hAnsi="Cambria"/>
        </w:rPr>
        <w:t>,</w:t>
      </w:r>
      <w:r w:rsidRPr="00787B7A">
        <w:rPr>
          <w:rFonts w:ascii="Cambria" w:hAnsi="Cambria"/>
        </w:rPr>
        <w:t xml:space="preserve"> Ministre de l'environnement, le Gouvernement de Sa Majesté de Gibraltar.</w:t>
      </w:r>
    </w:p>
    <w:p w14:paraId="5A9911B1" w14:textId="77777777" w:rsidR="00C47B80" w:rsidRPr="00787B7A" w:rsidRDefault="00C47B80" w:rsidP="00C47B80">
      <w:pPr>
        <w:pStyle w:val="BodyText"/>
        <w:jc w:val="both"/>
        <w:rPr>
          <w:rFonts w:ascii="Cambria" w:hAnsi="Cambria"/>
          <w:w w:val="110"/>
        </w:rPr>
      </w:pPr>
    </w:p>
    <w:p w14:paraId="3D4890A9" w14:textId="77777777" w:rsidR="00C47B80" w:rsidRPr="00787B7A" w:rsidRDefault="00C47B80" w:rsidP="00C47B80">
      <w:pPr>
        <w:pStyle w:val="BodyText"/>
        <w:jc w:val="both"/>
        <w:rPr>
          <w:rFonts w:ascii="Cambria" w:hAnsi="Cambria"/>
          <w:w w:val="110"/>
        </w:rPr>
      </w:pPr>
    </w:p>
    <w:p w14:paraId="23E289AC" w14:textId="77777777" w:rsidR="00C47B80" w:rsidRPr="00787B7A" w:rsidRDefault="00C47B80" w:rsidP="00C47B80">
      <w:pPr>
        <w:pStyle w:val="BodyText"/>
        <w:ind w:left="230"/>
        <w:rPr>
          <w:rFonts w:ascii="Cambria" w:hAnsi="Cambria"/>
          <w:w w:val="110"/>
        </w:rPr>
      </w:pPr>
      <w:r w:rsidRPr="00787B7A">
        <w:rPr>
          <w:rFonts w:ascii="Cambria" w:hAnsi="Cambria"/>
        </w:rPr>
        <w:br w:type="page"/>
      </w:r>
    </w:p>
    <w:p w14:paraId="49045453" w14:textId="77777777" w:rsidR="004F1785" w:rsidRPr="00787B7A" w:rsidRDefault="004F1785" w:rsidP="00754694">
      <w:pPr>
        <w:spacing w:after="0" w:line="240" w:lineRule="auto"/>
        <w:ind w:left="1541" w:hanging="1541"/>
        <w:jc w:val="center"/>
        <w:rPr>
          <w:rFonts w:ascii="Cambria" w:hAnsi="Cambria"/>
          <w:b/>
          <w:bCs/>
          <w:sz w:val="20"/>
          <w:szCs w:val="20"/>
        </w:rPr>
      </w:pPr>
    </w:p>
    <w:p w14:paraId="08572841" w14:textId="4683CAB5" w:rsidR="00754694" w:rsidRPr="00787B7A" w:rsidRDefault="00754694" w:rsidP="00754694">
      <w:pPr>
        <w:spacing w:after="0" w:line="240" w:lineRule="auto"/>
        <w:ind w:left="1541" w:hanging="1541"/>
        <w:jc w:val="center"/>
        <w:rPr>
          <w:rFonts w:ascii="Cambria" w:hAnsi="Cambria"/>
          <w:b/>
          <w:bCs/>
          <w:w w:val="105"/>
          <w:sz w:val="20"/>
          <w:szCs w:val="20"/>
        </w:rPr>
      </w:pPr>
      <w:r w:rsidRPr="00787B7A">
        <w:rPr>
          <w:rFonts w:ascii="Cambria" w:hAnsi="Cambria"/>
          <w:b/>
          <w:bCs/>
          <w:sz w:val="20"/>
          <w:szCs w:val="20"/>
        </w:rPr>
        <w:t>Soumission des données de Gibraltar</w:t>
      </w:r>
    </w:p>
    <w:p w14:paraId="02BE2205" w14:textId="77777777" w:rsidR="00754694" w:rsidRPr="00787B7A" w:rsidRDefault="00754694" w:rsidP="00C47B80">
      <w:pPr>
        <w:spacing w:after="0" w:line="240" w:lineRule="auto"/>
        <w:ind w:left="1541"/>
        <w:jc w:val="right"/>
        <w:rPr>
          <w:rFonts w:ascii="Cambria" w:hAnsi="Cambria"/>
          <w:b/>
          <w:w w:val="105"/>
          <w:sz w:val="20"/>
          <w:szCs w:val="20"/>
        </w:rPr>
      </w:pPr>
    </w:p>
    <w:p w14:paraId="57590D87" w14:textId="0DB563B0" w:rsidR="00C47B80" w:rsidRPr="00787B7A" w:rsidRDefault="00C47B80" w:rsidP="00C47B80">
      <w:pPr>
        <w:spacing w:after="0" w:line="240" w:lineRule="auto"/>
        <w:ind w:left="1541"/>
        <w:jc w:val="right"/>
        <w:rPr>
          <w:rFonts w:ascii="Cambria" w:hAnsi="Cambria"/>
          <w:b/>
          <w:w w:val="105"/>
          <w:sz w:val="20"/>
          <w:szCs w:val="20"/>
        </w:rPr>
      </w:pPr>
      <w:r w:rsidRPr="00787B7A">
        <w:rPr>
          <w:rFonts w:ascii="Cambria" w:hAnsi="Cambria"/>
          <w:b/>
          <w:sz w:val="20"/>
          <w:szCs w:val="20"/>
        </w:rPr>
        <w:t>Annexe au courrier de Gibraltar</w:t>
      </w:r>
    </w:p>
    <w:p w14:paraId="65674C01" w14:textId="77777777" w:rsidR="00C47B80" w:rsidRPr="00787B7A" w:rsidRDefault="00C47B80" w:rsidP="00C47B80">
      <w:pPr>
        <w:spacing w:after="0" w:line="240" w:lineRule="auto"/>
        <w:ind w:left="1541"/>
        <w:jc w:val="right"/>
        <w:rPr>
          <w:rFonts w:ascii="Cambria" w:hAnsi="Cambria"/>
          <w:b/>
          <w:w w:val="105"/>
          <w:sz w:val="20"/>
          <w:szCs w:val="20"/>
        </w:rPr>
      </w:pPr>
    </w:p>
    <w:p w14:paraId="3E6B57F0" w14:textId="4623D46F" w:rsidR="00C47B80" w:rsidRPr="00787B7A" w:rsidRDefault="00C47B80" w:rsidP="00C47B80">
      <w:pPr>
        <w:spacing w:after="0" w:line="240" w:lineRule="auto"/>
        <w:jc w:val="center"/>
        <w:rPr>
          <w:rFonts w:ascii="Cambria" w:hAnsi="Cambria"/>
          <w:b/>
          <w:sz w:val="20"/>
          <w:szCs w:val="20"/>
        </w:rPr>
      </w:pPr>
      <w:r w:rsidRPr="00787B7A">
        <w:rPr>
          <w:rFonts w:ascii="Cambria" w:hAnsi="Cambria"/>
          <w:b/>
          <w:sz w:val="20"/>
          <w:szCs w:val="20"/>
        </w:rPr>
        <w:t>Statistiques récapitulatives de la saison ouverte du thon rouge pour la période 2015-2024</w:t>
      </w:r>
    </w:p>
    <w:p w14:paraId="37195806" w14:textId="77777777" w:rsidR="00C47B80" w:rsidRPr="00787B7A" w:rsidRDefault="00C47B80" w:rsidP="00C47B80">
      <w:pPr>
        <w:pStyle w:val="BodyText"/>
        <w:rPr>
          <w:rFonts w:ascii="Cambria" w:hAnsi="Cambria"/>
        </w:rPr>
      </w:pPr>
    </w:p>
    <w:tbl>
      <w:tblPr>
        <w:tblW w:w="9617" w:type="dxa"/>
        <w:tblInd w:w="-5" w:type="dxa"/>
        <w:tblLook w:val="04A0" w:firstRow="1" w:lastRow="0" w:firstColumn="1" w:lastColumn="0" w:noHBand="0" w:noVBand="1"/>
      </w:tblPr>
      <w:tblGrid>
        <w:gridCol w:w="4407"/>
        <w:gridCol w:w="811"/>
        <w:gridCol w:w="897"/>
        <w:gridCol w:w="897"/>
        <w:gridCol w:w="811"/>
        <w:gridCol w:w="897"/>
        <w:gridCol w:w="897"/>
      </w:tblGrid>
      <w:tr w:rsidR="000B03D3" w:rsidRPr="00787B7A" w14:paraId="64257BF1" w14:textId="0AFD8E42" w:rsidTr="007D14E4">
        <w:trPr>
          <w:trHeight w:val="262"/>
        </w:trPr>
        <w:tc>
          <w:tcPr>
            <w:tcW w:w="4407" w:type="dxa"/>
            <w:tcBorders>
              <w:top w:val="single" w:sz="4" w:space="0" w:color="auto"/>
              <w:left w:val="single" w:sz="4" w:space="0" w:color="auto"/>
              <w:bottom w:val="single" w:sz="4" w:space="0" w:color="auto"/>
              <w:right w:val="single" w:sz="4" w:space="0" w:color="auto"/>
            </w:tcBorders>
            <w:noWrap/>
            <w:vAlign w:val="bottom"/>
            <w:hideMark/>
          </w:tcPr>
          <w:p w14:paraId="1D4187E8" w14:textId="77777777" w:rsidR="000B03D3" w:rsidRPr="00787B7A" w:rsidRDefault="000B03D3" w:rsidP="00C001B8">
            <w:pPr>
              <w:spacing w:after="0" w:line="240" w:lineRule="atLeast"/>
              <w:rPr>
                <w:rFonts w:ascii="Cambria" w:eastAsia="Times New Roman" w:hAnsi="Cambria" w:cs="Calibri"/>
                <w:b/>
                <w:bCs/>
                <w:sz w:val="20"/>
                <w:szCs w:val="20"/>
              </w:rPr>
            </w:pPr>
            <w:r w:rsidRPr="00787B7A">
              <w:rPr>
                <w:rFonts w:ascii="Cambria" w:hAnsi="Cambria"/>
                <w:b/>
                <w:bCs/>
                <w:sz w:val="20"/>
                <w:szCs w:val="20"/>
              </w:rPr>
              <w:t>Année</w:t>
            </w:r>
          </w:p>
        </w:tc>
        <w:tc>
          <w:tcPr>
            <w:tcW w:w="811" w:type="dxa"/>
            <w:tcBorders>
              <w:top w:val="single" w:sz="4" w:space="0" w:color="auto"/>
              <w:left w:val="nil"/>
              <w:bottom w:val="single" w:sz="4" w:space="0" w:color="auto"/>
              <w:right w:val="single" w:sz="4" w:space="0" w:color="auto"/>
            </w:tcBorders>
            <w:noWrap/>
            <w:vAlign w:val="bottom"/>
            <w:hideMark/>
          </w:tcPr>
          <w:p w14:paraId="76079470" w14:textId="1E846ADE"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2015</w:t>
            </w:r>
          </w:p>
        </w:tc>
        <w:tc>
          <w:tcPr>
            <w:tcW w:w="897" w:type="dxa"/>
            <w:tcBorders>
              <w:top w:val="single" w:sz="4" w:space="0" w:color="auto"/>
              <w:left w:val="nil"/>
              <w:bottom w:val="single" w:sz="4" w:space="0" w:color="auto"/>
              <w:right w:val="single" w:sz="4" w:space="0" w:color="auto"/>
            </w:tcBorders>
            <w:noWrap/>
            <w:vAlign w:val="bottom"/>
            <w:hideMark/>
          </w:tcPr>
          <w:p w14:paraId="1BD67FA1" w14:textId="6B5EC8F5"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2016</w:t>
            </w:r>
          </w:p>
        </w:tc>
        <w:tc>
          <w:tcPr>
            <w:tcW w:w="897" w:type="dxa"/>
            <w:tcBorders>
              <w:top w:val="single" w:sz="4" w:space="0" w:color="auto"/>
              <w:left w:val="nil"/>
              <w:bottom w:val="single" w:sz="4" w:space="0" w:color="auto"/>
              <w:right w:val="single" w:sz="4" w:space="0" w:color="auto"/>
            </w:tcBorders>
          </w:tcPr>
          <w:p w14:paraId="0EEB0F8B" w14:textId="756D3E13"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2017</w:t>
            </w:r>
          </w:p>
        </w:tc>
        <w:tc>
          <w:tcPr>
            <w:tcW w:w="825" w:type="dxa"/>
            <w:tcBorders>
              <w:top w:val="single" w:sz="4" w:space="0" w:color="auto"/>
              <w:left w:val="nil"/>
              <w:bottom w:val="single" w:sz="4" w:space="0" w:color="auto"/>
              <w:right w:val="single" w:sz="4" w:space="0" w:color="auto"/>
            </w:tcBorders>
          </w:tcPr>
          <w:p w14:paraId="6AC008FB" w14:textId="3CFD19C2"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2018</w:t>
            </w:r>
          </w:p>
        </w:tc>
        <w:tc>
          <w:tcPr>
            <w:tcW w:w="883" w:type="dxa"/>
            <w:tcBorders>
              <w:top w:val="single" w:sz="4" w:space="0" w:color="auto"/>
              <w:left w:val="nil"/>
              <w:bottom w:val="single" w:sz="4" w:space="0" w:color="auto"/>
              <w:right w:val="single" w:sz="4" w:space="0" w:color="auto"/>
            </w:tcBorders>
          </w:tcPr>
          <w:p w14:paraId="36EE638B" w14:textId="0B740BCF"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2019</w:t>
            </w:r>
          </w:p>
        </w:tc>
        <w:tc>
          <w:tcPr>
            <w:tcW w:w="897" w:type="dxa"/>
            <w:tcBorders>
              <w:top w:val="single" w:sz="4" w:space="0" w:color="auto"/>
              <w:left w:val="single" w:sz="4" w:space="0" w:color="auto"/>
              <w:bottom w:val="single" w:sz="4" w:space="0" w:color="auto"/>
              <w:right w:val="single" w:sz="4" w:space="0" w:color="auto"/>
            </w:tcBorders>
          </w:tcPr>
          <w:p w14:paraId="3C4724B0" w14:textId="17956F2E"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2020</w:t>
            </w:r>
          </w:p>
        </w:tc>
      </w:tr>
      <w:tr w:rsidR="000B03D3" w:rsidRPr="00787B7A" w14:paraId="0C15EB75" w14:textId="10573BF2" w:rsidTr="007D14E4">
        <w:trPr>
          <w:trHeight w:val="217"/>
        </w:trPr>
        <w:tc>
          <w:tcPr>
            <w:tcW w:w="4407" w:type="dxa"/>
            <w:tcBorders>
              <w:top w:val="nil"/>
              <w:left w:val="single" w:sz="4" w:space="0" w:color="auto"/>
              <w:bottom w:val="single" w:sz="4" w:space="0" w:color="auto"/>
              <w:right w:val="single" w:sz="4" w:space="0" w:color="auto"/>
            </w:tcBorders>
            <w:noWrap/>
            <w:vAlign w:val="bottom"/>
            <w:hideMark/>
          </w:tcPr>
          <w:p w14:paraId="0D10C8EF" w14:textId="77777777" w:rsidR="000B03D3" w:rsidRPr="00787B7A" w:rsidRDefault="000B03D3" w:rsidP="00C001B8">
            <w:pPr>
              <w:spacing w:after="0" w:line="240" w:lineRule="atLeast"/>
              <w:rPr>
                <w:rFonts w:ascii="Cambria" w:eastAsia="Times New Roman" w:hAnsi="Cambria" w:cs="Calibri"/>
                <w:sz w:val="20"/>
                <w:szCs w:val="20"/>
              </w:rPr>
            </w:pPr>
            <w:r w:rsidRPr="00787B7A">
              <w:rPr>
                <w:rFonts w:ascii="Cambria" w:hAnsi="Cambria"/>
                <w:sz w:val="20"/>
                <w:szCs w:val="20"/>
              </w:rPr>
              <w:t>Total admissible de captures (t)</w:t>
            </w:r>
          </w:p>
        </w:tc>
        <w:tc>
          <w:tcPr>
            <w:tcW w:w="811" w:type="dxa"/>
            <w:tcBorders>
              <w:top w:val="nil"/>
              <w:left w:val="nil"/>
              <w:bottom w:val="single" w:sz="4" w:space="0" w:color="auto"/>
              <w:right w:val="single" w:sz="4" w:space="0" w:color="auto"/>
            </w:tcBorders>
            <w:noWrap/>
            <w:vAlign w:val="bottom"/>
          </w:tcPr>
          <w:p w14:paraId="57F94061" w14:textId="0568C79E"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13</w:t>
            </w:r>
          </w:p>
        </w:tc>
        <w:tc>
          <w:tcPr>
            <w:tcW w:w="897" w:type="dxa"/>
            <w:tcBorders>
              <w:top w:val="nil"/>
              <w:left w:val="nil"/>
              <w:bottom w:val="single" w:sz="4" w:space="0" w:color="auto"/>
              <w:right w:val="single" w:sz="4" w:space="0" w:color="auto"/>
            </w:tcBorders>
            <w:noWrap/>
            <w:vAlign w:val="bottom"/>
          </w:tcPr>
          <w:p w14:paraId="1027B4FD" w14:textId="2961A90D"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13</w:t>
            </w:r>
          </w:p>
        </w:tc>
        <w:tc>
          <w:tcPr>
            <w:tcW w:w="897" w:type="dxa"/>
            <w:tcBorders>
              <w:top w:val="nil"/>
              <w:left w:val="nil"/>
              <w:bottom w:val="single" w:sz="4" w:space="0" w:color="auto"/>
              <w:right w:val="single" w:sz="4" w:space="0" w:color="auto"/>
            </w:tcBorders>
          </w:tcPr>
          <w:p w14:paraId="5E570907" w14:textId="3740727A"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15,5</w:t>
            </w:r>
          </w:p>
        </w:tc>
        <w:tc>
          <w:tcPr>
            <w:tcW w:w="825" w:type="dxa"/>
            <w:tcBorders>
              <w:top w:val="nil"/>
              <w:left w:val="nil"/>
              <w:bottom w:val="single" w:sz="4" w:space="0" w:color="auto"/>
              <w:right w:val="single" w:sz="4" w:space="0" w:color="auto"/>
            </w:tcBorders>
          </w:tcPr>
          <w:p w14:paraId="4C023772" w14:textId="2862011B"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15,5</w:t>
            </w:r>
          </w:p>
        </w:tc>
        <w:tc>
          <w:tcPr>
            <w:tcW w:w="883" w:type="dxa"/>
            <w:tcBorders>
              <w:top w:val="single" w:sz="4" w:space="0" w:color="auto"/>
              <w:left w:val="nil"/>
              <w:bottom w:val="single" w:sz="4" w:space="0" w:color="auto"/>
              <w:right w:val="single" w:sz="4" w:space="0" w:color="auto"/>
            </w:tcBorders>
          </w:tcPr>
          <w:p w14:paraId="70E5E302" w14:textId="49FD2A20" w:rsidR="000B03D3" w:rsidRPr="00787B7A" w:rsidRDefault="000B03D3"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16,74</w:t>
            </w:r>
          </w:p>
        </w:tc>
        <w:tc>
          <w:tcPr>
            <w:tcW w:w="897" w:type="dxa"/>
            <w:tcBorders>
              <w:top w:val="single" w:sz="4" w:space="0" w:color="auto"/>
              <w:left w:val="single" w:sz="4" w:space="0" w:color="auto"/>
              <w:bottom w:val="single" w:sz="4" w:space="0" w:color="auto"/>
              <w:right w:val="single" w:sz="4" w:space="0" w:color="auto"/>
            </w:tcBorders>
          </w:tcPr>
          <w:p w14:paraId="7DA37BBE" w14:textId="3AAE38DB" w:rsidR="000B03D3" w:rsidRPr="00787B7A" w:rsidRDefault="000B03D3" w:rsidP="000B03D3">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19,81</w:t>
            </w:r>
          </w:p>
        </w:tc>
      </w:tr>
      <w:tr w:rsidR="000B03D3" w:rsidRPr="00787B7A" w14:paraId="595CBB10" w14:textId="03CF1725" w:rsidTr="007D14E4">
        <w:trPr>
          <w:trHeight w:val="262"/>
        </w:trPr>
        <w:tc>
          <w:tcPr>
            <w:tcW w:w="4407" w:type="dxa"/>
            <w:tcBorders>
              <w:top w:val="nil"/>
              <w:left w:val="single" w:sz="4" w:space="0" w:color="auto"/>
              <w:bottom w:val="single" w:sz="4" w:space="0" w:color="auto"/>
              <w:right w:val="single" w:sz="4" w:space="0" w:color="auto"/>
            </w:tcBorders>
            <w:noWrap/>
            <w:vAlign w:val="bottom"/>
            <w:hideMark/>
          </w:tcPr>
          <w:p w14:paraId="3FF68F37" w14:textId="77777777" w:rsidR="000B03D3" w:rsidRPr="00787B7A" w:rsidRDefault="000B03D3" w:rsidP="00C001B8">
            <w:pPr>
              <w:spacing w:after="0" w:line="240" w:lineRule="atLeast"/>
              <w:rPr>
                <w:rFonts w:ascii="Cambria" w:eastAsia="Times New Roman" w:hAnsi="Cambria" w:cs="Calibri"/>
                <w:sz w:val="20"/>
                <w:szCs w:val="20"/>
              </w:rPr>
            </w:pPr>
            <w:r w:rsidRPr="00787B7A">
              <w:rPr>
                <w:rFonts w:ascii="Cambria" w:hAnsi="Cambria"/>
                <w:sz w:val="20"/>
                <w:szCs w:val="20"/>
              </w:rPr>
              <w:t>Débarquements/ Captures réelles (kg)</w:t>
            </w:r>
          </w:p>
        </w:tc>
        <w:tc>
          <w:tcPr>
            <w:tcW w:w="811" w:type="dxa"/>
            <w:tcBorders>
              <w:top w:val="nil"/>
              <w:left w:val="nil"/>
              <w:bottom w:val="single" w:sz="4" w:space="0" w:color="auto"/>
              <w:right w:val="single" w:sz="4" w:space="0" w:color="auto"/>
            </w:tcBorders>
            <w:noWrap/>
            <w:vAlign w:val="bottom"/>
          </w:tcPr>
          <w:p w14:paraId="70E11528" w14:textId="53B5B3AD"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12.746</w:t>
            </w:r>
          </w:p>
        </w:tc>
        <w:tc>
          <w:tcPr>
            <w:tcW w:w="897" w:type="dxa"/>
            <w:tcBorders>
              <w:top w:val="nil"/>
              <w:left w:val="nil"/>
              <w:bottom w:val="single" w:sz="4" w:space="0" w:color="auto"/>
              <w:right w:val="single" w:sz="4" w:space="0" w:color="auto"/>
            </w:tcBorders>
            <w:noWrap/>
            <w:vAlign w:val="bottom"/>
          </w:tcPr>
          <w:p w14:paraId="05F59A1E" w14:textId="7CBADD6B"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13.894*</w:t>
            </w:r>
          </w:p>
        </w:tc>
        <w:tc>
          <w:tcPr>
            <w:tcW w:w="897" w:type="dxa"/>
            <w:tcBorders>
              <w:top w:val="nil"/>
              <w:left w:val="nil"/>
              <w:bottom w:val="single" w:sz="4" w:space="0" w:color="auto"/>
              <w:right w:val="single" w:sz="4" w:space="0" w:color="auto"/>
            </w:tcBorders>
          </w:tcPr>
          <w:p w14:paraId="3A262AAB" w14:textId="6F1EBB50"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16.190*</w:t>
            </w:r>
          </w:p>
        </w:tc>
        <w:tc>
          <w:tcPr>
            <w:tcW w:w="825" w:type="dxa"/>
            <w:tcBorders>
              <w:top w:val="nil"/>
              <w:left w:val="nil"/>
              <w:bottom w:val="single" w:sz="4" w:space="0" w:color="auto"/>
              <w:right w:val="single" w:sz="4" w:space="0" w:color="auto"/>
            </w:tcBorders>
          </w:tcPr>
          <w:p w14:paraId="653FBDAE" w14:textId="0A6DD91B"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14.603</w:t>
            </w:r>
          </w:p>
        </w:tc>
        <w:tc>
          <w:tcPr>
            <w:tcW w:w="883" w:type="dxa"/>
            <w:tcBorders>
              <w:top w:val="single" w:sz="4" w:space="0" w:color="auto"/>
              <w:left w:val="nil"/>
              <w:bottom w:val="single" w:sz="4" w:space="0" w:color="auto"/>
              <w:right w:val="single" w:sz="4" w:space="0" w:color="auto"/>
            </w:tcBorders>
          </w:tcPr>
          <w:p w14:paraId="234F089B" w14:textId="66DC834B"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17.378*</w:t>
            </w:r>
          </w:p>
        </w:tc>
        <w:tc>
          <w:tcPr>
            <w:tcW w:w="897" w:type="dxa"/>
            <w:tcBorders>
              <w:top w:val="single" w:sz="4" w:space="0" w:color="auto"/>
              <w:left w:val="single" w:sz="4" w:space="0" w:color="auto"/>
              <w:bottom w:val="single" w:sz="4" w:space="0" w:color="auto"/>
              <w:right w:val="single" w:sz="4" w:space="0" w:color="auto"/>
            </w:tcBorders>
          </w:tcPr>
          <w:p w14:paraId="3AB7A84E" w14:textId="34A5BEDF"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20.020*</w:t>
            </w:r>
          </w:p>
        </w:tc>
      </w:tr>
      <w:tr w:rsidR="000B03D3" w:rsidRPr="00787B7A" w14:paraId="72940BD0" w14:textId="32C08537" w:rsidTr="007D14E4">
        <w:trPr>
          <w:trHeight w:val="262"/>
        </w:trPr>
        <w:tc>
          <w:tcPr>
            <w:tcW w:w="4407" w:type="dxa"/>
            <w:tcBorders>
              <w:top w:val="nil"/>
              <w:left w:val="single" w:sz="4" w:space="0" w:color="auto"/>
              <w:bottom w:val="single" w:sz="4" w:space="0" w:color="auto"/>
              <w:right w:val="single" w:sz="4" w:space="0" w:color="auto"/>
            </w:tcBorders>
            <w:noWrap/>
            <w:vAlign w:val="bottom"/>
            <w:hideMark/>
          </w:tcPr>
          <w:p w14:paraId="55814282" w14:textId="77777777" w:rsidR="000B03D3" w:rsidRPr="00787B7A" w:rsidRDefault="000B03D3" w:rsidP="00C001B8">
            <w:pPr>
              <w:spacing w:after="0" w:line="240" w:lineRule="atLeast"/>
              <w:rPr>
                <w:rFonts w:ascii="Cambria" w:eastAsia="Times New Roman" w:hAnsi="Cambria" w:cs="Calibri"/>
                <w:sz w:val="20"/>
                <w:szCs w:val="20"/>
              </w:rPr>
            </w:pPr>
            <w:r w:rsidRPr="00787B7A">
              <w:rPr>
                <w:rFonts w:ascii="Cambria" w:hAnsi="Cambria"/>
                <w:sz w:val="20"/>
                <w:szCs w:val="20"/>
              </w:rPr>
              <w:t>Poids moyen (kg)</w:t>
            </w:r>
          </w:p>
        </w:tc>
        <w:tc>
          <w:tcPr>
            <w:tcW w:w="811" w:type="dxa"/>
            <w:tcBorders>
              <w:top w:val="nil"/>
              <w:left w:val="nil"/>
              <w:bottom w:val="single" w:sz="4" w:space="0" w:color="auto"/>
              <w:right w:val="single" w:sz="4" w:space="0" w:color="auto"/>
            </w:tcBorders>
            <w:noWrap/>
            <w:vAlign w:val="bottom"/>
          </w:tcPr>
          <w:p w14:paraId="5AE14C11" w14:textId="2EF260DA"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47</w:t>
            </w:r>
          </w:p>
        </w:tc>
        <w:tc>
          <w:tcPr>
            <w:tcW w:w="897" w:type="dxa"/>
            <w:tcBorders>
              <w:top w:val="nil"/>
              <w:left w:val="nil"/>
              <w:bottom w:val="single" w:sz="4" w:space="0" w:color="auto"/>
              <w:right w:val="single" w:sz="4" w:space="0" w:color="auto"/>
            </w:tcBorders>
            <w:noWrap/>
            <w:vAlign w:val="bottom"/>
          </w:tcPr>
          <w:p w14:paraId="10301606" w14:textId="74BBF926"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88</w:t>
            </w:r>
          </w:p>
        </w:tc>
        <w:tc>
          <w:tcPr>
            <w:tcW w:w="897" w:type="dxa"/>
            <w:tcBorders>
              <w:top w:val="nil"/>
              <w:left w:val="nil"/>
              <w:bottom w:val="single" w:sz="4" w:space="0" w:color="auto"/>
              <w:right w:val="single" w:sz="4" w:space="0" w:color="auto"/>
            </w:tcBorders>
          </w:tcPr>
          <w:p w14:paraId="1FC9A299" w14:textId="24958057"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98</w:t>
            </w:r>
          </w:p>
        </w:tc>
        <w:tc>
          <w:tcPr>
            <w:tcW w:w="825" w:type="dxa"/>
            <w:tcBorders>
              <w:top w:val="nil"/>
              <w:left w:val="nil"/>
              <w:bottom w:val="single" w:sz="4" w:space="0" w:color="auto"/>
              <w:right w:val="single" w:sz="4" w:space="0" w:color="auto"/>
            </w:tcBorders>
          </w:tcPr>
          <w:p w14:paraId="156F86D3" w14:textId="751DAD1A"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121</w:t>
            </w:r>
          </w:p>
        </w:tc>
        <w:tc>
          <w:tcPr>
            <w:tcW w:w="883" w:type="dxa"/>
            <w:tcBorders>
              <w:top w:val="single" w:sz="4" w:space="0" w:color="auto"/>
              <w:left w:val="nil"/>
              <w:bottom w:val="single" w:sz="4" w:space="0" w:color="auto"/>
              <w:right w:val="single" w:sz="4" w:space="0" w:color="auto"/>
            </w:tcBorders>
          </w:tcPr>
          <w:p w14:paraId="586F19C4" w14:textId="58110E7D"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117</w:t>
            </w:r>
          </w:p>
        </w:tc>
        <w:tc>
          <w:tcPr>
            <w:tcW w:w="897" w:type="dxa"/>
            <w:tcBorders>
              <w:top w:val="single" w:sz="4" w:space="0" w:color="auto"/>
              <w:left w:val="single" w:sz="4" w:space="0" w:color="auto"/>
              <w:bottom w:val="single" w:sz="4" w:space="0" w:color="auto"/>
              <w:right w:val="single" w:sz="4" w:space="0" w:color="auto"/>
            </w:tcBorders>
          </w:tcPr>
          <w:p w14:paraId="1EC35065" w14:textId="579DA2EF"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83</w:t>
            </w:r>
          </w:p>
        </w:tc>
      </w:tr>
      <w:tr w:rsidR="000B03D3" w:rsidRPr="00787B7A" w14:paraId="09256E85" w14:textId="45EFFC1F" w:rsidTr="007D14E4">
        <w:trPr>
          <w:trHeight w:val="262"/>
        </w:trPr>
        <w:tc>
          <w:tcPr>
            <w:tcW w:w="4407" w:type="dxa"/>
            <w:tcBorders>
              <w:top w:val="nil"/>
              <w:left w:val="single" w:sz="4" w:space="0" w:color="auto"/>
              <w:bottom w:val="single" w:sz="4" w:space="0" w:color="auto"/>
              <w:right w:val="single" w:sz="4" w:space="0" w:color="auto"/>
            </w:tcBorders>
            <w:noWrap/>
            <w:vAlign w:val="bottom"/>
            <w:hideMark/>
          </w:tcPr>
          <w:p w14:paraId="34962F7C" w14:textId="77777777" w:rsidR="000B03D3" w:rsidRPr="00787B7A" w:rsidRDefault="000B03D3" w:rsidP="00C001B8">
            <w:pPr>
              <w:spacing w:after="0" w:line="240" w:lineRule="atLeast"/>
              <w:rPr>
                <w:rFonts w:ascii="Cambria" w:eastAsia="Times New Roman" w:hAnsi="Cambria" w:cs="Calibri"/>
                <w:sz w:val="20"/>
                <w:szCs w:val="20"/>
              </w:rPr>
            </w:pPr>
            <w:r w:rsidRPr="00787B7A">
              <w:rPr>
                <w:rFonts w:ascii="Cambria" w:hAnsi="Cambria"/>
                <w:sz w:val="20"/>
                <w:szCs w:val="20"/>
              </w:rPr>
              <w:t>Spécimen le plus grand (kg)</w:t>
            </w:r>
          </w:p>
        </w:tc>
        <w:tc>
          <w:tcPr>
            <w:tcW w:w="811" w:type="dxa"/>
            <w:tcBorders>
              <w:top w:val="nil"/>
              <w:left w:val="nil"/>
              <w:bottom w:val="single" w:sz="4" w:space="0" w:color="auto"/>
              <w:right w:val="single" w:sz="4" w:space="0" w:color="auto"/>
            </w:tcBorders>
            <w:noWrap/>
            <w:vAlign w:val="bottom"/>
          </w:tcPr>
          <w:p w14:paraId="00A88AE2" w14:textId="0D05656F"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271</w:t>
            </w:r>
          </w:p>
        </w:tc>
        <w:tc>
          <w:tcPr>
            <w:tcW w:w="897" w:type="dxa"/>
            <w:tcBorders>
              <w:top w:val="nil"/>
              <w:left w:val="nil"/>
              <w:bottom w:val="single" w:sz="4" w:space="0" w:color="auto"/>
              <w:right w:val="single" w:sz="4" w:space="0" w:color="auto"/>
            </w:tcBorders>
            <w:noWrap/>
            <w:vAlign w:val="bottom"/>
          </w:tcPr>
          <w:p w14:paraId="5CE4A39E" w14:textId="2F621E99"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274</w:t>
            </w:r>
          </w:p>
        </w:tc>
        <w:tc>
          <w:tcPr>
            <w:tcW w:w="897" w:type="dxa"/>
            <w:tcBorders>
              <w:top w:val="nil"/>
              <w:left w:val="nil"/>
              <w:bottom w:val="single" w:sz="4" w:space="0" w:color="auto"/>
              <w:right w:val="single" w:sz="4" w:space="0" w:color="auto"/>
            </w:tcBorders>
          </w:tcPr>
          <w:p w14:paraId="4A65C1FC" w14:textId="56DC37AB"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279</w:t>
            </w:r>
          </w:p>
        </w:tc>
        <w:tc>
          <w:tcPr>
            <w:tcW w:w="825" w:type="dxa"/>
            <w:tcBorders>
              <w:top w:val="nil"/>
              <w:left w:val="nil"/>
              <w:bottom w:val="single" w:sz="4" w:space="0" w:color="auto"/>
              <w:right w:val="single" w:sz="4" w:space="0" w:color="auto"/>
            </w:tcBorders>
          </w:tcPr>
          <w:p w14:paraId="3CCFC0D5" w14:textId="3BEC797B"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299</w:t>
            </w:r>
          </w:p>
        </w:tc>
        <w:tc>
          <w:tcPr>
            <w:tcW w:w="883" w:type="dxa"/>
            <w:tcBorders>
              <w:top w:val="single" w:sz="4" w:space="0" w:color="auto"/>
              <w:left w:val="nil"/>
              <w:bottom w:val="single" w:sz="4" w:space="0" w:color="auto"/>
              <w:right w:val="single" w:sz="4" w:space="0" w:color="auto"/>
            </w:tcBorders>
          </w:tcPr>
          <w:p w14:paraId="5A346609" w14:textId="1B488025"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267</w:t>
            </w:r>
          </w:p>
        </w:tc>
        <w:tc>
          <w:tcPr>
            <w:tcW w:w="897" w:type="dxa"/>
            <w:tcBorders>
              <w:top w:val="single" w:sz="4" w:space="0" w:color="auto"/>
              <w:left w:val="single" w:sz="4" w:space="0" w:color="auto"/>
              <w:bottom w:val="single" w:sz="4" w:space="0" w:color="auto"/>
              <w:right w:val="single" w:sz="4" w:space="0" w:color="auto"/>
            </w:tcBorders>
          </w:tcPr>
          <w:p w14:paraId="22A80B67" w14:textId="2A6A3A7D"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341</w:t>
            </w:r>
          </w:p>
        </w:tc>
      </w:tr>
      <w:tr w:rsidR="000B03D3" w:rsidRPr="00787B7A" w14:paraId="3BDBBC52" w14:textId="23CA359A" w:rsidTr="007D14E4">
        <w:trPr>
          <w:trHeight w:val="271"/>
        </w:trPr>
        <w:tc>
          <w:tcPr>
            <w:tcW w:w="4407" w:type="dxa"/>
            <w:tcBorders>
              <w:top w:val="nil"/>
              <w:left w:val="single" w:sz="4" w:space="0" w:color="auto"/>
              <w:bottom w:val="single" w:sz="4" w:space="0" w:color="auto"/>
              <w:right w:val="single" w:sz="4" w:space="0" w:color="auto"/>
            </w:tcBorders>
            <w:noWrap/>
            <w:vAlign w:val="bottom"/>
            <w:hideMark/>
          </w:tcPr>
          <w:p w14:paraId="3BCB5277" w14:textId="77777777" w:rsidR="006D75F4" w:rsidRPr="00787B7A" w:rsidRDefault="000B03D3" w:rsidP="00C001B8">
            <w:pPr>
              <w:spacing w:after="0" w:line="240" w:lineRule="atLeast"/>
              <w:rPr>
                <w:rFonts w:ascii="Cambria" w:eastAsia="Times New Roman" w:hAnsi="Cambria" w:cs="Calibri"/>
                <w:sz w:val="20"/>
                <w:szCs w:val="20"/>
              </w:rPr>
            </w:pPr>
            <w:r w:rsidRPr="00787B7A">
              <w:rPr>
                <w:rFonts w:ascii="Cambria" w:hAnsi="Cambria"/>
                <w:sz w:val="20"/>
                <w:szCs w:val="20"/>
              </w:rPr>
              <w:t>Total des pêcheurs récréatifs/</w:t>
            </w:r>
          </w:p>
          <w:p w14:paraId="7C0D8E33" w14:textId="031445ED" w:rsidR="000B03D3" w:rsidRPr="00787B7A" w:rsidRDefault="000B03D3" w:rsidP="00C001B8">
            <w:pPr>
              <w:spacing w:after="0" w:line="240" w:lineRule="atLeast"/>
              <w:rPr>
                <w:rFonts w:ascii="Cambria" w:eastAsia="Times New Roman" w:hAnsi="Cambria" w:cs="Calibri"/>
                <w:sz w:val="20"/>
                <w:szCs w:val="20"/>
              </w:rPr>
            </w:pPr>
            <w:r w:rsidRPr="00787B7A">
              <w:rPr>
                <w:rFonts w:ascii="Cambria" w:hAnsi="Cambria"/>
                <w:sz w:val="20"/>
                <w:szCs w:val="20"/>
              </w:rPr>
              <w:t>sportifs autorisés à débarquer du BFT</w:t>
            </w:r>
          </w:p>
        </w:tc>
        <w:tc>
          <w:tcPr>
            <w:tcW w:w="811" w:type="dxa"/>
            <w:tcBorders>
              <w:top w:val="nil"/>
              <w:left w:val="nil"/>
              <w:bottom w:val="single" w:sz="4" w:space="0" w:color="auto"/>
              <w:right w:val="single" w:sz="4" w:space="0" w:color="auto"/>
            </w:tcBorders>
            <w:noWrap/>
            <w:vAlign w:val="center"/>
          </w:tcPr>
          <w:p w14:paraId="2F1528F9" w14:textId="5E951FC6"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91</w:t>
            </w:r>
          </w:p>
        </w:tc>
        <w:tc>
          <w:tcPr>
            <w:tcW w:w="897" w:type="dxa"/>
            <w:tcBorders>
              <w:top w:val="nil"/>
              <w:left w:val="nil"/>
              <w:bottom w:val="single" w:sz="4" w:space="0" w:color="auto"/>
              <w:right w:val="single" w:sz="4" w:space="0" w:color="auto"/>
            </w:tcBorders>
            <w:noWrap/>
            <w:vAlign w:val="center"/>
          </w:tcPr>
          <w:p w14:paraId="59D1A867" w14:textId="48CB0877"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75</w:t>
            </w:r>
          </w:p>
        </w:tc>
        <w:tc>
          <w:tcPr>
            <w:tcW w:w="897" w:type="dxa"/>
            <w:tcBorders>
              <w:top w:val="nil"/>
              <w:left w:val="nil"/>
              <w:bottom w:val="single" w:sz="4" w:space="0" w:color="auto"/>
              <w:right w:val="single" w:sz="4" w:space="0" w:color="auto"/>
            </w:tcBorders>
            <w:vAlign w:val="center"/>
          </w:tcPr>
          <w:p w14:paraId="5B36705A" w14:textId="7E98538E"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65</w:t>
            </w:r>
          </w:p>
        </w:tc>
        <w:tc>
          <w:tcPr>
            <w:tcW w:w="825" w:type="dxa"/>
            <w:tcBorders>
              <w:top w:val="nil"/>
              <w:left w:val="nil"/>
              <w:bottom w:val="single" w:sz="4" w:space="0" w:color="auto"/>
              <w:right w:val="single" w:sz="4" w:space="0" w:color="auto"/>
            </w:tcBorders>
            <w:vAlign w:val="center"/>
          </w:tcPr>
          <w:p w14:paraId="52810CFA" w14:textId="03536DAD"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61</w:t>
            </w:r>
          </w:p>
        </w:tc>
        <w:tc>
          <w:tcPr>
            <w:tcW w:w="883" w:type="dxa"/>
            <w:tcBorders>
              <w:top w:val="single" w:sz="4" w:space="0" w:color="auto"/>
              <w:left w:val="nil"/>
              <w:bottom w:val="single" w:sz="4" w:space="0" w:color="auto"/>
              <w:right w:val="single" w:sz="4" w:space="0" w:color="auto"/>
            </w:tcBorders>
            <w:vAlign w:val="center"/>
          </w:tcPr>
          <w:p w14:paraId="2AFAD5C8" w14:textId="22E1D6B6"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76</w:t>
            </w:r>
          </w:p>
        </w:tc>
        <w:tc>
          <w:tcPr>
            <w:tcW w:w="897" w:type="dxa"/>
            <w:tcBorders>
              <w:top w:val="single" w:sz="4" w:space="0" w:color="auto"/>
              <w:left w:val="single" w:sz="4" w:space="0" w:color="auto"/>
              <w:bottom w:val="single" w:sz="4" w:space="0" w:color="auto"/>
              <w:right w:val="single" w:sz="4" w:space="0" w:color="auto"/>
            </w:tcBorders>
            <w:vAlign w:val="center"/>
          </w:tcPr>
          <w:p w14:paraId="1F771DDA" w14:textId="7E174BAF"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111</w:t>
            </w:r>
          </w:p>
        </w:tc>
      </w:tr>
      <w:tr w:rsidR="000B03D3" w:rsidRPr="00787B7A" w14:paraId="62E6B56F" w14:textId="37C103EB" w:rsidTr="007D14E4">
        <w:trPr>
          <w:trHeight w:val="262"/>
        </w:trPr>
        <w:tc>
          <w:tcPr>
            <w:tcW w:w="4407" w:type="dxa"/>
            <w:tcBorders>
              <w:top w:val="nil"/>
              <w:left w:val="single" w:sz="4" w:space="0" w:color="auto"/>
              <w:bottom w:val="single" w:sz="4" w:space="0" w:color="auto"/>
              <w:right w:val="single" w:sz="4" w:space="0" w:color="auto"/>
            </w:tcBorders>
            <w:noWrap/>
            <w:vAlign w:val="bottom"/>
            <w:hideMark/>
          </w:tcPr>
          <w:p w14:paraId="77D46609" w14:textId="77777777" w:rsidR="000B03D3" w:rsidRPr="00787B7A" w:rsidRDefault="000B03D3" w:rsidP="00C001B8">
            <w:pPr>
              <w:spacing w:after="0" w:line="240" w:lineRule="atLeast"/>
              <w:rPr>
                <w:rFonts w:ascii="Cambria" w:eastAsia="Times New Roman" w:hAnsi="Cambria" w:cs="Calibri"/>
                <w:sz w:val="20"/>
                <w:szCs w:val="20"/>
              </w:rPr>
            </w:pPr>
            <w:r w:rsidRPr="00787B7A">
              <w:rPr>
                <w:rFonts w:ascii="Cambria" w:hAnsi="Cambria"/>
                <w:sz w:val="20"/>
                <w:szCs w:val="20"/>
              </w:rPr>
              <w:t>Jours totaux en saison ouverte</w:t>
            </w:r>
          </w:p>
        </w:tc>
        <w:tc>
          <w:tcPr>
            <w:tcW w:w="811" w:type="dxa"/>
            <w:tcBorders>
              <w:top w:val="nil"/>
              <w:left w:val="nil"/>
              <w:bottom w:val="single" w:sz="4" w:space="0" w:color="auto"/>
              <w:right w:val="single" w:sz="4" w:space="0" w:color="auto"/>
            </w:tcBorders>
            <w:noWrap/>
            <w:vAlign w:val="bottom"/>
          </w:tcPr>
          <w:p w14:paraId="2A5B55B7" w14:textId="0C05B44B"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123</w:t>
            </w:r>
          </w:p>
        </w:tc>
        <w:tc>
          <w:tcPr>
            <w:tcW w:w="897" w:type="dxa"/>
            <w:tcBorders>
              <w:top w:val="nil"/>
              <w:left w:val="nil"/>
              <w:bottom w:val="single" w:sz="4" w:space="0" w:color="auto"/>
              <w:right w:val="single" w:sz="4" w:space="0" w:color="auto"/>
            </w:tcBorders>
            <w:noWrap/>
            <w:vAlign w:val="bottom"/>
          </w:tcPr>
          <w:p w14:paraId="0CF41D6F" w14:textId="6EF57B07"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121</w:t>
            </w:r>
          </w:p>
        </w:tc>
        <w:tc>
          <w:tcPr>
            <w:tcW w:w="897" w:type="dxa"/>
            <w:tcBorders>
              <w:top w:val="nil"/>
              <w:left w:val="nil"/>
              <w:bottom w:val="single" w:sz="4" w:space="0" w:color="auto"/>
              <w:right w:val="single" w:sz="4" w:space="0" w:color="auto"/>
            </w:tcBorders>
          </w:tcPr>
          <w:p w14:paraId="0C19D789" w14:textId="649E4303"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69,5</w:t>
            </w:r>
          </w:p>
        </w:tc>
        <w:tc>
          <w:tcPr>
            <w:tcW w:w="825" w:type="dxa"/>
            <w:tcBorders>
              <w:top w:val="single" w:sz="4" w:space="0" w:color="auto"/>
              <w:left w:val="nil"/>
              <w:bottom w:val="single" w:sz="4" w:space="0" w:color="auto"/>
              <w:right w:val="single" w:sz="4" w:space="0" w:color="auto"/>
            </w:tcBorders>
          </w:tcPr>
          <w:p w14:paraId="566E5CB0" w14:textId="388511BA"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93</w:t>
            </w:r>
          </w:p>
        </w:tc>
        <w:tc>
          <w:tcPr>
            <w:tcW w:w="883" w:type="dxa"/>
            <w:tcBorders>
              <w:top w:val="single" w:sz="4" w:space="0" w:color="auto"/>
              <w:left w:val="single" w:sz="4" w:space="0" w:color="auto"/>
              <w:bottom w:val="single" w:sz="4" w:space="0" w:color="auto"/>
              <w:right w:val="single" w:sz="4" w:space="0" w:color="auto"/>
            </w:tcBorders>
          </w:tcPr>
          <w:p w14:paraId="298BB4AC" w14:textId="5EF7F4CD"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39,5</w:t>
            </w:r>
          </w:p>
        </w:tc>
        <w:tc>
          <w:tcPr>
            <w:tcW w:w="897" w:type="dxa"/>
            <w:tcBorders>
              <w:top w:val="single" w:sz="4" w:space="0" w:color="auto"/>
              <w:left w:val="single" w:sz="4" w:space="0" w:color="auto"/>
              <w:bottom w:val="single" w:sz="4" w:space="0" w:color="auto"/>
              <w:right w:val="single" w:sz="4" w:space="0" w:color="auto"/>
            </w:tcBorders>
          </w:tcPr>
          <w:p w14:paraId="02C03268" w14:textId="733B7405" w:rsidR="000B03D3" w:rsidRPr="00787B7A" w:rsidRDefault="000B03D3" w:rsidP="00C001B8">
            <w:pPr>
              <w:spacing w:after="0" w:line="240" w:lineRule="atLeast"/>
              <w:jc w:val="center"/>
              <w:rPr>
                <w:rFonts w:ascii="Cambria" w:eastAsia="Times New Roman" w:hAnsi="Cambria" w:cs="Calibri"/>
                <w:sz w:val="20"/>
                <w:szCs w:val="20"/>
              </w:rPr>
            </w:pPr>
            <w:r w:rsidRPr="00787B7A">
              <w:rPr>
                <w:rFonts w:ascii="Cambria" w:hAnsi="Cambria"/>
                <w:sz w:val="20"/>
                <w:szCs w:val="20"/>
              </w:rPr>
              <w:t>91</w:t>
            </w:r>
          </w:p>
        </w:tc>
      </w:tr>
    </w:tbl>
    <w:p w14:paraId="192AD020" w14:textId="69775029" w:rsidR="000B03D3" w:rsidRPr="00787B7A" w:rsidRDefault="000B03D3" w:rsidP="000B03D3">
      <w:pPr>
        <w:spacing w:after="0" w:line="240" w:lineRule="atLeast"/>
        <w:rPr>
          <w:rFonts w:ascii="Cambria" w:hAnsi="Cambria"/>
          <w:sz w:val="20"/>
          <w:szCs w:val="20"/>
        </w:rPr>
      </w:pPr>
    </w:p>
    <w:tbl>
      <w:tblPr>
        <w:tblW w:w="8931" w:type="dxa"/>
        <w:tblInd w:w="-5" w:type="dxa"/>
        <w:tblLook w:val="04A0" w:firstRow="1" w:lastRow="0" w:firstColumn="1" w:lastColumn="0" w:noHBand="0" w:noVBand="1"/>
      </w:tblPr>
      <w:tblGrid>
        <w:gridCol w:w="4395"/>
        <w:gridCol w:w="897"/>
        <w:gridCol w:w="897"/>
        <w:gridCol w:w="897"/>
        <w:gridCol w:w="811"/>
        <w:gridCol w:w="1034"/>
      </w:tblGrid>
      <w:tr w:rsidR="00CA4DAB" w:rsidRPr="00787B7A" w14:paraId="6FFA9E82" w14:textId="2C344AF8" w:rsidTr="0024145D">
        <w:trPr>
          <w:trHeight w:val="262"/>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1AFF8141" w14:textId="77777777" w:rsidR="00CA4DAB" w:rsidRPr="00787B7A" w:rsidRDefault="00CA4DAB" w:rsidP="00C001B8">
            <w:pPr>
              <w:spacing w:after="0" w:line="240" w:lineRule="atLeast"/>
              <w:rPr>
                <w:rFonts w:ascii="Cambria" w:eastAsia="Times New Roman" w:hAnsi="Cambria" w:cs="Calibri"/>
                <w:b/>
                <w:bCs/>
                <w:sz w:val="20"/>
                <w:szCs w:val="20"/>
              </w:rPr>
            </w:pPr>
            <w:r w:rsidRPr="00787B7A">
              <w:rPr>
                <w:rFonts w:ascii="Cambria" w:hAnsi="Cambria"/>
                <w:b/>
                <w:bCs/>
                <w:sz w:val="20"/>
                <w:szCs w:val="20"/>
              </w:rPr>
              <w:t>Année</w:t>
            </w:r>
          </w:p>
        </w:tc>
        <w:tc>
          <w:tcPr>
            <w:tcW w:w="897" w:type="dxa"/>
            <w:tcBorders>
              <w:top w:val="single" w:sz="4" w:space="0" w:color="auto"/>
              <w:left w:val="nil"/>
              <w:bottom w:val="single" w:sz="4" w:space="0" w:color="auto"/>
              <w:right w:val="single" w:sz="4" w:space="0" w:color="auto"/>
            </w:tcBorders>
            <w:noWrap/>
            <w:vAlign w:val="bottom"/>
            <w:hideMark/>
          </w:tcPr>
          <w:p w14:paraId="570E4FBD" w14:textId="77777777"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2021</w:t>
            </w:r>
          </w:p>
        </w:tc>
        <w:tc>
          <w:tcPr>
            <w:tcW w:w="897" w:type="dxa"/>
            <w:tcBorders>
              <w:top w:val="single" w:sz="4" w:space="0" w:color="auto"/>
              <w:left w:val="nil"/>
              <w:bottom w:val="single" w:sz="4" w:space="0" w:color="auto"/>
              <w:right w:val="single" w:sz="4" w:space="0" w:color="auto"/>
            </w:tcBorders>
            <w:noWrap/>
            <w:vAlign w:val="bottom"/>
            <w:hideMark/>
          </w:tcPr>
          <w:p w14:paraId="5B15D72E" w14:textId="77777777"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2022</w:t>
            </w:r>
          </w:p>
        </w:tc>
        <w:tc>
          <w:tcPr>
            <w:tcW w:w="897" w:type="dxa"/>
            <w:tcBorders>
              <w:top w:val="single" w:sz="4" w:space="0" w:color="auto"/>
              <w:left w:val="nil"/>
              <w:bottom w:val="single" w:sz="4" w:space="0" w:color="auto"/>
              <w:right w:val="single" w:sz="4" w:space="0" w:color="auto"/>
            </w:tcBorders>
          </w:tcPr>
          <w:p w14:paraId="6FECF186" w14:textId="77777777"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2023</w:t>
            </w:r>
          </w:p>
        </w:tc>
        <w:tc>
          <w:tcPr>
            <w:tcW w:w="811" w:type="dxa"/>
            <w:tcBorders>
              <w:top w:val="single" w:sz="4" w:space="0" w:color="auto"/>
              <w:left w:val="nil"/>
              <w:bottom w:val="single" w:sz="4" w:space="0" w:color="auto"/>
              <w:right w:val="single" w:sz="4" w:space="0" w:color="auto"/>
            </w:tcBorders>
          </w:tcPr>
          <w:p w14:paraId="5A72321B" w14:textId="51995BC2"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2024</w:t>
            </w:r>
          </w:p>
        </w:tc>
        <w:tc>
          <w:tcPr>
            <w:tcW w:w="1034" w:type="dxa"/>
            <w:tcBorders>
              <w:top w:val="single" w:sz="4" w:space="0" w:color="auto"/>
              <w:bottom w:val="single" w:sz="4" w:space="0" w:color="auto"/>
              <w:right w:val="single" w:sz="4" w:space="0" w:color="auto"/>
            </w:tcBorders>
          </w:tcPr>
          <w:p w14:paraId="6D2CC6D6" w14:textId="77055C4E"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2025**</w:t>
            </w:r>
          </w:p>
        </w:tc>
      </w:tr>
      <w:tr w:rsidR="00CA4DAB" w:rsidRPr="00787B7A" w14:paraId="45BC7146" w14:textId="69D4E92A" w:rsidTr="0024145D">
        <w:trPr>
          <w:trHeight w:val="217"/>
        </w:trPr>
        <w:tc>
          <w:tcPr>
            <w:tcW w:w="4395" w:type="dxa"/>
            <w:tcBorders>
              <w:top w:val="nil"/>
              <w:left w:val="single" w:sz="4" w:space="0" w:color="auto"/>
              <w:bottom w:val="single" w:sz="4" w:space="0" w:color="auto"/>
              <w:right w:val="single" w:sz="4" w:space="0" w:color="auto"/>
            </w:tcBorders>
            <w:noWrap/>
            <w:vAlign w:val="bottom"/>
            <w:hideMark/>
          </w:tcPr>
          <w:p w14:paraId="7C9FD2BD" w14:textId="77777777" w:rsidR="00CA4DAB" w:rsidRPr="00787B7A" w:rsidRDefault="00CA4DAB" w:rsidP="00C001B8">
            <w:pPr>
              <w:spacing w:after="0" w:line="240" w:lineRule="atLeast"/>
              <w:rPr>
                <w:rFonts w:ascii="Cambria" w:eastAsia="Times New Roman" w:hAnsi="Cambria" w:cs="Calibri"/>
                <w:sz w:val="20"/>
                <w:szCs w:val="20"/>
              </w:rPr>
            </w:pPr>
            <w:r w:rsidRPr="00787B7A">
              <w:rPr>
                <w:rFonts w:ascii="Cambria" w:hAnsi="Cambria"/>
                <w:sz w:val="20"/>
                <w:szCs w:val="20"/>
              </w:rPr>
              <w:t>Total admissible de captures (t)</w:t>
            </w:r>
          </w:p>
        </w:tc>
        <w:tc>
          <w:tcPr>
            <w:tcW w:w="897" w:type="dxa"/>
            <w:tcBorders>
              <w:top w:val="nil"/>
              <w:left w:val="nil"/>
              <w:bottom w:val="single" w:sz="4" w:space="0" w:color="auto"/>
              <w:right w:val="single" w:sz="4" w:space="0" w:color="auto"/>
            </w:tcBorders>
            <w:noWrap/>
            <w:vAlign w:val="bottom"/>
          </w:tcPr>
          <w:p w14:paraId="1A64A40F" w14:textId="77777777"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21</w:t>
            </w:r>
          </w:p>
        </w:tc>
        <w:tc>
          <w:tcPr>
            <w:tcW w:w="897" w:type="dxa"/>
            <w:tcBorders>
              <w:top w:val="nil"/>
              <w:left w:val="nil"/>
              <w:bottom w:val="single" w:sz="4" w:space="0" w:color="auto"/>
              <w:right w:val="single" w:sz="4" w:space="0" w:color="auto"/>
            </w:tcBorders>
            <w:noWrap/>
            <w:vAlign w:val="bottom"/>
          </w:tcPr>
          <w:p w14:paraId="21F68F9E" w14:textId="77777777"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22,5</w:t>
            </w:r>
          </w:p>
        </w:tc>
        <w:tc>
          <w:tcPr>
            <w:tcW w:w="897" w:type="dxa"/>
            <w:tcBorders>
              <w:top w:val="nil"/>
              <w:left w:val="nil"/>
              <w:bottom w:val="single" w:sz="4" w:space="0" w:color="auto"/>
              <w:right w:val="single" w:sz="4" w:space="0" w:color="auto"/>
            </w:tcBorders>
          </w:tcPr>
          <w:p w14:paraId="0AF074C5" w14:textId="77777777"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25</w:t>
            </w:r>
          </w:p>
        </w:tc>
        <w:tc>
          <w:tcPr>
            <w:tcW w:w="811" w:type="dxa"/>
            <w:tcBorders>
              <w:top w:val="nil"/>
              <w:left w:val="nil"/>
              <w:bottom w:val="single" w:sz="4" w:space="0" w:color="auto"/>
              <w:right w:val="single" w:sz="4" w:space="0" w:color="auto"/>
            </w:tcBorders>
          </w:tcPr>
          <w:p w14:paraId="178BAEEC" w14:textId="4027FCD8"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25</w:t>
            </w:r>
          </w:p>
        </w:tc>
        <w:tc>
          <w:tcPr>
            <w:tcW w:w="1034" w:type="dxa"/>
            <w:tcBorders>
              <w:top w:val="single" w:sz="4" w:space="0" w:color="auto"/>
              <w:bottom w:val="single" w:sz="4" w:space="0" w:color="auto"/>
              <w:right w:val="single" w:sz="4" w:space="0" w:color="auto"/>
            </w:tcBorders>
          </w:tcPr>
          <w:p w14:paraId="2801DFFA" w14:textId="44B2652C" w:rsidR="00CA4DAB" w:rsidRPr="00787B7A" w:rsidRDefault="00CA4DAB" w:rsidP="00C001B8">
            <w:pPr>
              <w:spacing w:after="0" w:line="240" w:lineRule="atLeast"/>
              <w:jc w:val="center"/>
              <w:rPr>
                <w:rFonts w:ascii="Cambria" w:eastAsia="Times New Roman" w:hAnsi="Cambria" w:cs="Calibri"/>
                <w:b/>
                <w:bCs/>
                <w:sz w:val="20"/>
                <w:szCs w:val="20"/>
              </w:rPr>
            </w:pPr>
            <w:r w:rsidRPr="00787B7A">
              <w:rPr>
                <w:rFonts w:ascii="Cambria" w:hAnsi="Cambria"/>
                <w:b/>
                <w:bCs/>
                <w:sz w:val="20"/>
                <w:szCs w:val="20"/>
              </w:rPr>
              <w:t>26</w:t>
            </w:r>
          </w:p>
        </w:tc>
      </w:tr>
      <w:tr w:rsidR="00CA4DAB" w:rsidRPr="00787B7A" w14:paraId="2566BCEE" w14:textId="6AFA4CFD" w:rsidTr="0024145D">
        <w:trPr>
          <w:trHeight w:val="262"/>
        </w:trPr>
        <w:tc>
          <w:tcPr>
            <w:tcW w:w="4395" w:type="dxa"/>
            <w:tcBorders>
              <w:top w:val="nil"/>
              <w:left w:val="single" w:sz="4" w:space="0" w:color="auto"/>
              <w:bottom w:val="single" w:sz="4" w:space="0" w:color="auto"/>
              <w:right w:val="single" w:sz="4" w:space="0" w:color="auto"/>
            </w:tcBorders>
            <w:noWrap/>
            <w:vAlign w:val="bottom"/>
            <w:hideMark/>
          </w:tcPr>
          <w:p w14:paraId="69525DBF" w14:textId="77777777" w:rsidR="00CA4DAB" w:rsidRPr="00787B7A" w:rsidRDefault="00CA4DAB" w:rsidP="00CA4DAB">
            <w:pPr>
              <w:spacing w:after="0" w:line="240" w:lineRule="atLeast"/>
              <w:rPr>
                <w:rFonts w:ascii="Cambria" w:eastAsia="Times New Roman" w:hAnsi="Cambria" w:cs="Calibri"/>
                <w:sz w:val="20"/>
                <w:szCs w:val="20"/>
              </w:rPr>
            </w:pPr>
            <w:r w:rsidRPr="00787B7A">
              <w:rPr>
                <w:rFonts w:ascii="Cambria" w:hAnsi="Cambria"/>
                <w:sz w:val="20"/>
                <w:szCs w:val="20"/>
              </w:rPr>
              <w:t>Débarquements/ Captures réelles (kg)</w:t>
            </w:r>
          </w:p>
        </w:tc>
        <w:tc>
          <w:tcPr>
            <w:tcW w:w="897" w:type="dxa"/>
            <w:tcBorders>
              <w:top w:val="nil"/>
              <w:left w:val="nil"/>
              <w:bottom w:val="single" w:sz="4" w:space="0" w:color="auto"/>
              <w:right w:val="single" w:sz="4" w:space="0" w:color="auto"/>
            </w:tcBorders>
            <w:noWrap/>
            <w:vAlign w:val="bottom"/>
          </w:tcPr>
          <w:p w14:paraId="17E367FE" w14:textId="71621C98"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21.576*</w:t>
            </w:r>
          </w:p>
        </w:tc>
        <w:tc>
          <w:tcPr>
            <w:tcW w:w="897" w:type="dxa"/>
            <w:tcBorders>
              <w:top w:val="nil"/>
              <w:left w:val="nil"/>
              <w:bottom w:val="single" w:sz="4" w:space="0" w:color="auto"/>
              <w:right w:val="single" w:sz="4" w:space="0" w:color="auto"/>
            </w:tcBorders>
            <w:noWrap/>
            <w:vAlign w:val="bottom"/>
          </w:tcPr>
          <w:p w14:paraId="0A193B91" w14:textId="5BEFF1C5"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24.902*</w:t>
            </w:r>
          </w:p>
        </w:tc>
        <w:tc>
          <w:tcPr>
            <w:tcW w:w="897" w:type="dxa"/>
            <w:tcBorders>
              <w:top w:val="nil"/>
              <w:left w:val="nil"/>
              <w:bottom w:val="single" w:sz="4" w:space="0" w:color="auto"/>
              <w:right w:val="single" w:sz="4" w:space="0" w:color="auto"/>
            </w:tcBorders>
          </w:tcPr>
          <w:p w14:paraId="050ED750" w14:textId="1F1B0AD4"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27.739*</w:t>
            </w:r>
          </w:p>
        </w:tc>
        <w:tc>
          <w:tcPr>
            <w:tcW w:w="811" w:type="dxa"/>
            <w:tcBorders>
              <w:top w:val="nil"/>
              <w:left w:val="nil"/>
              <w:bottom w:val="single" w:sz="4" w:space="0" w:color="auto"/>
              <w:right w:val="single" w:sz="4" w:space="0" w:color="auto"/>
            </w:tcBorders>
          </w:tcPr>
          <w:p w14:paraId="0CB12E9A" w14:textId="5F6F0D95"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24.555</w:t>
            </w:r>
          </w:p>
        </w:tc>
        <w:tc>
          <w:tcPr>
            <w:tcW w:w="1034" w:type="dxa"/>
            <w:tcBorders>
              <w:top w:val="single" w:sz="4" w:space="0" w:color="auto"/>
              <w:bottom w:val="single" w:sz="4" w:space="0" w:color="auto"/>
              <w:right w:val="single" w:sz="4" w:space="0" w:color="auto"/>
            </w:tcBorders>
          </w:tcPr>
          <w:p w14:paraId="1F687794" w14:textId="28406262"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25.028</w:t>
            </w:r>
          </w:p>
        </w:tc>
      </w:tr>
      <w:tr w:rsidR="00CA4DAB" w:rsidRPr="00787B7A" w14:paraId="137398CA" w14:textId="05C03160" w:rsidTr="0024145D">
        <w:trPr>
          <w:trHeight w:val="262"/>
        </w:trPr>
        <w:tc>
          <w:tcPr>
            <w:tcW w:w="4395" w:type="dxa"/>
            <w:tcBorders>
              <w:top w:val="nil"/>
              <w:left w:val="single" w:sz="4" w:space="0" w:color="auto"/>
              <w:bottom w:val="single" w:sz="4" w:space="0" w:color="auto"/>
              <w:right w:val="single" w:sz="4" w:space="0" w:color="auto"/>
            </w:tcBorders>
            <w:noWrap/>
            <w:vAlign w:val="bottom"/>
            <w:hideMark/>
          </w:tcPr>
          <w:p w14:paraId="716AB805" w14:textId="77777777" w:rsidR="00CA4DAB" w:rsidRPr="00787B7A" w:rsidRDefault="00CA4DAB" w:rsidP="00CA4DAB">
            <w:pPr>
              <w:spacing w:after="0" w:line="240" w:lineRule="atLeast"/>
              <w:rPr>
                <w:rFonts w:ascii="Cambria" w:eastAsia="Times New Roman" w:hAnsi="Cambria" w:cs="Calibri"/>
                <w:sz w:val="20"/>
                <w:szCs w:val="20"/>
              </w:rPr>
            </w:pPr>
            <w:r w:rsidRPr="00787B7A">
              <w:rPr>
                <w:rFonts w:ascii="Cambria" w:hAnsi="Cambria"/>
                <w:sz w:val="20"/>
                <w:szCs w:val="20"/>
              </w:rPr>
              <w:t>Poids moyen (kg)</w:t>
            </w:r>
          </w:p>
        </w:tc>
        <w:tc>
          <w:tcPr>
            <w:tcW w:w="897" w:type="dxa"/>
            <w:tcBorders>
              <w:top w:val="nil"/>
              <w:left w:val="nil"/>
              <w:bottom w:val="single" w:sz="4" w:space="0" w:color="auto"/>
              <w:right w:val="single" w:sz="4" w:space="0" w:color="auto"/>
            </w:tcBorders>
            <w:noWrap/>
            <w:vAlign w:val="bottom"/>
          </w:tcPr>
          <w:p w14:paraId="2622958C"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128</w:t>
            </w:r>
          </w:p>
        </w:tc>
        <w:tc>
          <w:tcPr>
            <w:tcW w:w="897" w:type="dxa"/>
            <w:tcBorders>
              <w:top w:val="nil"/>
              <w:left w:val="nil"/>
              <w:bottom w:val="single" w:sz="4" w:space="0" w:color="auto"/>
              <w:right w:val="single" w:sz="4" w:space="0" w:color="auto"/>
            </w:tcBorders>
            <w:noWrap/>
            <w:vAlign w:val="bottom"/>
          </w:tcPr>
          <w:p w14:paraId="17CFEDE9"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128</w:t>
            </w:r>
          </w:p>
        </w:tc>
        <w:tc>
          <w:tcPr>
            <w:tcW w:w="897" w:type="dxa"/>
            <w:tcBorders>
              <w:top w:val="nil"/>
              <w:left w:val="nil"/>
              <w:bottom w:val="single" w:sz="4" w:space="0" w:color="auto"/>
              <w:right w:val="single" w:sz="4" w:space="0" w:color="auto"/>
            </w:tcBorders>
          </w:tcPr>
          <w:p w14:paraId="1EE6B327"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184</w:t>
            </w:r>
          </w:p>
        </w:tc>
        <w:tc>
          <w:tcPr>
            <w:tcW w:w="811" w:type="dxa"/>
            <w:tcBorders>
              <w:top w:val="nil"/>
              <w:left w:val="nil"/>
              <w:bottom w:val="single" w:sz="4" w:space="0" w:color="auto"/>
              <w:right w:val="single" w:sz="4" w:space="0" w:color="auto"/>
            </w:tcBorders>
          </w:tcPr>
          <w:p w14:paraId="603A9893" w14:textId="4268E47F"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177</w:t>
            </w:r>
          </w:p>
        </w:tc>
        <w:tc>
          <w:tcPr>
            <w:tcW w:w="1034" w:type="dxa"/>
            <w:tcBorders>
              <w:top w:val="single" w:sz="4" w:space="0" w:color="auto"/>
              <w:bottom w:val="single" w:sz="4" w:space="0" w:color="auto"/>
              <w:right w:val="single" w:sz="4" w:space="0" w:color="auto"/>
            </w:tcBorders>
          </w:tcPr>
          <w:p w14:paraId="3932E3BA" w14:textId="490B217E"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173</w:t>
            </w:r>
          </w:p>
        </w:tc>
      </w:tr>
      <w:tr w:rsidR="00CA4DAB" w:rsidRPr="00787B7A" w14:paraId="00F35217" w14:textId="705724B8" w:rsidTr="0024145D">
        <w:trPr>
          <w:trHeight w:val="262"/>
        </w:trPr>
        <w:tc>
          <w:tcPr>
            <w:tcW w:w="4395" w:type="dxa"/>
            <w:tcBorders>
              <w:top w:val="nil"/>
              <w:left w:val="single" w:sz="4" w:space="0" w:color="auto"/>
              <w:bottom w:val="single" w:sz="4" w:space="0" w:color="auto"/>
              <w:right w:val="single" w:sz="4" w:space="0" w:color="auto"/>
            </w:tcBorders>
            <w:noWrap/>
            <w:vAlign w:val="bottom"/>
            <w:hideMark/>
          </w:tcPr>
          <w:p w14:paraId="54B94B02" w14:textId="77777777" w:rsidR="00CA4DAB" w:rsidRPr="00787B7A" w:rsidRDefault="00CA4DAB" w:rsidP="00CA4DAB">
            <w:pPr>
              <w:spacing w:after="0" w:line="240" w:lineRule="atLeast"/>
              <w:rPr>
                <w:rFonts w:ascii="Cambria" w:eastAsia="Times New Roman" w:hAnsi="Cambria" w:cs="Calibri"/>
                <w:sz w:val="20"/>
                <w:szCs w:val="20"/>
              </w:rPr>
            </w:pPr>
            <w:r w:rsidRPr="00787B7A">
              <w:rPr>
                <w:rFonts w:ascii="Cambria" w:hAnsi="Cambria"/>
                <w:sz w:val="20"/>
                <w:szCs w:val="20"/>
              </w:rPr>
              <w:t>Spécimen le plus grand (kg)</w:t>
            </w:r>
          </w:p>
        </w:tc>
        <w:tc>
          <w:tcPr>
            <w:tcW w:w="897" w:type="dxa"/>
            <w:tcBorders>
              <w:top w:val="nil"/>
              <w:left w:val="nil"/>
              <w:bottom w:val="single" w:sz="4" w:space="0" w:color="auto"/>
              <w:right w:val="single" w:sz="4" w:space="0" w:color="auto"/>
            </w:tcBorders>
            <w:noWrap/>
            <w:vAlign w:val="bottom"/>
          </w:tcPr>
          <w:p w14:paraId="637F6C75"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328</w:t>
            </w:r>
          </w:p>
        </w:tc>
        <w:tc>
          <w:tcPr>
            <w:tcW w:w="897" w:type="dxa"/>
            <w:tcBorders>
              <w:top w:val="nil"/>
              <w:left w:val="nil"/>
              <w:bottom w:val="single" w:sz="4" w:space="0" w:color="auto"/>
              <w:right w:val="single" w:sz="4" w:space="0" w:color="auto"/>
            </w:tcBorders>
            <w:noWrap/>
            <w:vAlign w:val="bottom"/>
          </w:tcPr>
          <w:p w14:paraId="2A70B174"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350</w:t>
            </w:r>
          </w:p>
        </w:tc>
        <w:tc>
          <w:tcPr>
            <w:tcW w:w="897" w:type="dxa"/>
            <w:tcBorders>
              <w:top w:val="nil"/>
              <w:left w:val="nil"/>
              <w:bottom w:val="single" w:sz="4" w:space="0" w:color="auto"/>
              <w:right w:val="single" w:sz="4" w:space="0" w:color="auto"/>
            </w:tcBorders>
          </w:tcPr>
          <w:p w14:paraId="405466AA"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376</w:t>
            </w:r>
          </w:p>
        </w:tc>
        <w:tc>
          <w:tcPr>
            <w:tcW w:w="811" w:type="dxa"/>
            <w:tcBorders>
              <w:top w:val="nil"/>
              <w:left w:val="nil"/>
              <w:bottom w:val="single" w:sz="4" w:space="0" w:color="auto"/>
              <w:right w:val="single" w:sz="4" w:space="0" w:color="auto"/>
            </w:tcBorders>
          </w:tcPr>
          <w:p w14:paraId="5FCB09E1" w14:textId="60AB5733"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323</w:t>
            </w:r>
          </w:p>
        </w:tc>
        <w:tc>
          <w:tcPr>
            <w:tcW w:w="1034" w:type="dxa"/>
            <w:tcBorders>
              <w:top w:val="single" w:sz="4" w:space="0" w:color="auto"/>
              <w:bottom w:val="single" w:sz="4" w:space="0" w:color="auto"/>
              <w:right w:val="single" w:sz="4" w:space="0" w:color="auto"/>
            </w:tcBorders>
          </w:tcPr>
          <w:p w14:paraId="5A2891FD" w14:textId="4B10BB16"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334</w:t>
            </w:r>
          </w:p>
        </w:tc>
      </w:tr>
      <w:tr w:rsidR="00CA4DAB" w:rsidRPr="00787B7A" w14:paraId="3DE1802B" w14:textId="61758D85" w:rsidTr="0024145D">
        <w:trPr>
          <w:trHeight w:val="262"/>
        </w:trPr>
        <w:tc>
          <w:tcPr>
            <w:tcW w:w="4395" w:type="dxa"/>
            <w:tcBorders>
              <w:top w:val="nil"/>
              <w:left w:val="single" w:sz="4" w:space="0" w:color="auto"/>
              <w:bottom w:val="single" w:sz="4" w:space="0" w:color="auto"/>
              <w:right w:val="single" w:sz="4" w:space="0" w:color="auto"/>
            </w:tcBorders>
            <w:noWrap/>
            <w:vAlign w:val="bottom"/>
            <w:hideMark/>
          </w:tcPr>
          <w:p w14:paraId="11A0F707" w14:textId="77777777" w:rsidR="00CA4DAB" w:rsidRPr="00787B7A" w:rsidRDefault="00CA4DAB" w:rsidP="00CA4DAB">
            <w:pPr>
              <w:spacing w:after="0" w:line="240" w:lineRule="atLeast"/>
              <w:rPr>
                <w:rFonts w:ascii="Cambria" w:eastAsia="Times New Roman" w:hAnsi="Cambria" w:cs="Calibri"/>
                <w:sz w:val="20"/>
                <w:szCs w:val="20"/>
              </w:rPr>
            </w:pPr>
            <w:r w:rsidRPr="00787B7A">
              <w:rPr>
                <w:rFonts w:ascii="Cambria" w:hAnsi="Cambria"/>
                <w:sz w:val="20"/>
                <w:szCs w:val="20"/>
              </w:rPr>
              <w:t>Total des pêcheurs sportifs/récréatifs autorisés à débarquer du BFT</w:t>
            </w:r>
          </w:p>
        </w:tc>
        <w:tc>
          <w:tcPr>
            <w:tcW w:w="897" w:type="dxa"/>
            <w:tcBorders>
              <w:top w:val="nil"/>
              <w:left w:val="nil"/>
              <w:bottom w:val="single" w:sz="4" w:space="0" w:color="auto"/>
              <w:right w:val="single" w:sz="4" w:space="0" w:color="auto"/>
            </w:tcBorders>
            <w:noWrap/>
            <w:vAlign w:val="bottom"/>
          </w:tcPr>
          <w:p w14:paraId="673183A2"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85</w:t>
            </w:r>
          </w:p>
        </w:tc>
        <w:tc>
          <w:tcPr>
            <w:tcW w:w="897" w:type="dxa"/>
            <w:tcBorders>
              <w:top w:val="nil"/>
              <w:left w:val="nil"/>
              <w:bottom w:val="single" w:sz="4" w:space="0" w:color="auto"/>
              <w:right w:val="single" w:sz="4" w:space="0" w:color="auto"/>
            </w:tcBorders>
            <w:noWrap/>
            <w:vAlign w:val="bottom"/>
          </w:tcPr>
          <w:p w14:paraId="7193DD1D"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98</w:t>
            </w:r>
          </w:p>
        </w:tc>
        <w:tc>
          <w:tcPr>
            <w:tcW w:w="897" w:type="dxa"/>
            <w:tcBorders>
              <w:top w:val="nil"/>
              <w:left w:val="nil"/>
              <w:bottom w:val="single" w:sz="4" w:space="0" w:color="auto"/>
              <w:right w:val="single" w:sz="4" w:space="0" w:color="auto"/>
            </w:tcBorders>
          </w:tcPr>
          <w:p w14:paraId="5096A269"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109</w:t>
            </w:r>
          </w:p>
        </w:tc>
        <w:tc>
          <w:tcPr>
            <w:tcW w:w="811" w:type="dxa"/>
            <w:tcBorders>
              <w:top w:val="nil"/>
              <w:left w:val="nil"/>
              <w:bottom w:val="single" w:sz="4" w:space="0" w:color="auto"/>
              <w:right w:val="single" w:sz="4" w:space="0" w:color="auto"/>
            </w:tcBorders>
          </w:tcPr>
          <w:p w14:paraId="398B6774" w14:textId="4D2AE3FD"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139</w:t>
            </w:r>
          </w:p>
        </w:tc>
        <w:tc>
          <w:tcPr>
            <w:tcW w:w="1034" w:type="dxa"/>
            <w:tcBorders>
              <w:top w:val="single" w:sz="4" w:space="0" w:color="auto"/>
              <w:bottom w:val="single" w:sz="4" w:space="0" w:color="auto"/>
              <w:right w:val="single" w:sz="4" w:space="0" w:color="auto"/>
            </w:tcBorders>
          </w:tcPr>
          <w:p w14:paraId="75C315C2" w14:textId="5BE60C70"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143</w:t>
            </w:r>
          </w:p>
        </w:tc>
      </w:tr>
      <w:tr w:rsidR="00CA4DAB" w:rsidRPr="00787B7A" w14:paraId="64DE2517" w14:textId="5826A9A3" w:rsidTr="0024145D">
        <w:trPr>
          <w:trHeight w:val="262"/>
        </w:trPr>
        <w:tc>
          <w:tcPr>
            <w:tcW w:w="4395" w:type="dxa"/>
            <w:tcBorders>
              <w:top w:val="nil"/>
              <w:left w:val="single" w:sz="4" w:space="0" w:color="auto"/>
              <w:bottom w:val="single" w:sz="4" w:space="0" w:color="auto"/>
              <w:right w:val="single" w:sz="4" w:space="0" w:color="auto"/>
            </w:tcBorders>
            <w:noWrap/>
            <w:vAlign w:val="bottom"/>
            <w:hideMark/>
          </w:tcPr>
          <w:p w14:paraId="0EFECC4A" w14:textId="77777777" w:rsidR="00CA4DAB" w:rsidRPr="00787B7A" w:rsidRDefault="00CA4DAB" w:rsidP="00CA4DAB">
            <w:pPr>
              <w:spacing w:after="0" w:line="240" w:lineRule="atLeast"/>
              <w:rPr>
                <w:rFonts w:ascii="Cambria" w:eastAsia="Times New Roman" w:hAnsi="Cambria" w:cs="Calibri"/>
                <w:sz w:val="20"/>
                <w:szCs w:val="20"/>
              </w:rPr>
            </w:pPr>
            <w:r w:rsidRPr="00787B7A">
              <w:rPr>
                <w:rFonts w:ascii="Cambria" w:hAnsi="Cambria"/>
                <w:sz w:val="20"/>
                <w:szCs w:val="20"/>
              </w:rPr>
              <w:t>Jours totaux en saison ouverte</w:t>
            </w:r>
          </w:p>
        </w:tc>
        <w:tc>
          <w:tcPr>
            <w:tcW w:w="897" w:type="dxa"/>
            <w:tcBorders>
              <w:top w:val="nil"/>
              <w:left w:val="nil"/>
              <w:bottom w:val="single" w:sz="4" w:space="0" w:color="auto"/>
              <w:right w:val="single" w:sz="4" w:space="0" w:color="auto"/>
            </w:tcBorders>
            <w:noWrap/>
            <w:vAlign w:val="bottom"/>
          </w:tcPr>
          <w:p w14:paraId="5FEFDE1D"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32</w:t>
            </w:r>
          </w:p>
        </w:tc>
        <w:tc>
          <w:tcPr>
            <w:tcW w:w="897" w:type="dxa"/>
            <w:tcBorders>
              <w:top w:val="nil"/>
              <w:left w:val="nil"/>
              <w:bottom w:val="single" w:sz="4" w:space="0" w:color="auto"/>
              <w:right w:val="single" w:sz="4" w:space="0" w:color="auto"/>
            </w:tcBorders>
            <w:noWrap/>
            <w:vAlign w:val="bottom"/>
          </w:tcPr>
          <w:p w14:paraId="1028F753"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71</w:t>
            </w:r>
          </w:p>
        </w:tc>
        <w:tc>
          <w:tcPr>
            <w:tcW w:w="897" w:type="dxa"/>
            <w:tcBorders>
              <w:top w:val="nil"/>
              <w:left w:val="nil"/>
              <w:bottom w:val="single" w:sz="4" w:space="0" w:color="auto"/>
              <w:right w:val="single" w:sz="4" w:space="0" w:color="auto"/>
            </w:tcBorders>
          </w:tcPr>
          <w:p w14:paraId="0EA4D723" w14:textId="77777777"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33</w:t>
            </w:r>
          </w:p>
        </w:tc>
        <w:tc>
          <w:tcPr>
            <w:tcW w:w="811" w:type="dxa"/>
            <w:tcBorders>
              <w:top w:val="nil"/>
              <w:left w:val="nil"/>
              <w:bottom w:val="single" w:sz="4" w:space="0" w:color="auto"/>
              <w:right w:val="single" w:sz="4" w:space="0" w:color="auto"/>
            </w:tcBorders>
          </w:tcPr>
          <w:p w14:paraId="62DC4EF6" w14:textId="24E6515F"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80</w:t>
            </w:r>
          </w:p>
        </w:tc>
        <w:tc>
          <w:tcPr>
            <w:tcW w:w="1034" w:type="dxa"/>
            <w:tcBorders>
              <w:top w:val="single" w:sz="4" w:space="0" w:color="auto"/>
              <w:bottom w:val="single" w:sz="4" w:space="0" w:color="auto"/>
              <w:right w:val="single" w:sz="4" w:space="0" w:color="auto"/>
            </w:tcBorders>
          </w:tcPr>
          <w:p w14:paraId="5E46BD49" w14:textId="23780F8A" w:rsidR="00CA4DAB" w:rsidRPr="00787B7A" w:rsidRDefault="00CA4DAB" w:rsidP="00CA4DAB">
            <w:pPr>
              <w:spacing w:after="0" w:line="240" w:lineRule="atLeast"/>
              <w:jc w:val="center"/>
              <w:rPr>
                <w:rFonts w:ascii="Cambria" w:eastAsia="Times New Roman" w:hAnsi="Cambria" w:cs="Calibri"/>
                <w:sz w:val="20"/>
                <w:szCs w:val="20"/>
              </w:rPr>
            </w:pPr>
            <w:r w:rsidRPr="00787B7A">
              <w:rPr>
                <w:rFonts w:ascii="Cambria" w:hAnsi="Cambria"/>
                <w:sz w:val="20"/>
                <w:szCs w:val="20"/>
              </w:rPr>
              <w:t>57</w:t>
            </w:r>
          </w:p>
        </w:tc>
      </w:tr>
    </w:tbl>
    <w:p w14:paraId="2E370878" w14:textId="79CBA2FF" w:rsidR="000B03D3" w:rsidRPr="00787B7A" w:rsidRDefault="000B03D3" w:rsidP="000B03D3">
      <w:pPr>
        <w:pStyle w:val="ListParagraph"/>
        <w:spacing w:after="0" w:line="240" w:lineRule="atLeast"/>
        <w:ind w:left="0"/>
        <w:jc w:val="both"/>
        <w:rPr>
          <w:rFonts w:ascii="Cambria" w:hAnsi="Cambria" w:cs="Lato Regular"/>
          <w:sz w:val="16"/>
          <w:szCs w:val="16"/>
        </w:rPr>
      </w:pPr>
      <w:r w:rsidRPr="00787B7A">
        <w:rPr>
          <w:rFonts w:ascii="Cambria" w:hAnsi="Cambria"/>
          <w:sz w:val="16"/>
          <w:szCs w:val="16"/>
        </w:rPr>
        <w:t>Note explicative</w:t>
      </w:r>
      <w:r w:rsidR="004F1785" w:rsidRPr="00787B7A">
        <w:rPr>
          <w:rFonts w:ascii="Cambria" w:hAnsi="Cambria"/>
          <w:sz w:val="16"/>
          <w:szCs w:val="16"/>
        </w:rPr>
        <w:t> :</w:t>
      </w:r>
    </w:p>
    <w:p w14:paraId="104CB63E" w14:textId="1F02AEA1" w:rsidR="000B03D3" w:rsidRPr="00787B7A" w:rsidRDefault="000B03D3" w:rsidP="000B03D3">
      <w:pPr>
        <w:pStyle w:val="ListParagraph"/>
        <w:spacing w:after="0" w:line="240" w:lineRule="atLeast"/>
        <w:ind w:left="0"/>
        <w:jc w:val="both"/>
        <w:rPr>
          <w:rFonts w:ascii="Cambria" w:hAnsi="Cambria" w:cs="Lato Regular"/>
          <w:sz w:val="16"/>
          <w:szCs w:val="16"/>
        </w:rPr>
      </w:pPr>
      <w:r w:rsidRPr="00787B7A">
        <w:rPr>
          <w:rFonts w:ascii="Cambria" w:hAnsi="Cambria"/>
          <w:sz w:val="16"/>
          <w:szCs w:val="16"/>
        </w:rPr>
        <w:t>*Les captures réelles sont légèrement supérieures au TAC en raison du temps administratif nécessaire pour donner effet à la fermeture de la saison.</w:t>
      </w:r>
    </w:p>
    <w:p w14:paraId="2FA90E3D" w14:textId="4EA7A6CD" w:rsidR="000B03D3" w:rsidRPr="009F433B" w:rsidRDefault="000B03D3" w:rsidP="000B03D3">
      <w:pPr>
        <w:pStyle w:val="ListParagraph"/>
        <w:spacing w:after="0" w:line="240" w:lineRule="atLeast"/>
        <w:ind w:left="0"/>
        <w:jc w:val="both"/>
        <w:rPr>
          <w:rFonts w:ascii="Cambria" w:hAnsi="Cambria" w:cs="Lato Regular"/>
          <w:sz w:val="16"/>
          <w:szCs w:val="16"/>
        </w:rPr>
      </w:pPr>
      <w:r w:rsidRPr="00787B7A">
        <w:rPr>
          <w:rFonts w:ascii="Cambria" w:hAnsi="Cambria"/>
          <w:sz w:val="16"/>
          <w:szCs w:val="16"/>
        </w:rPr>
        <w:t>**La saison se termine le 14 octobre 2025, sauf si le TAC est atteint avant.</w:t>
      </w:r>
    </w:p>
    <w:sectPr w:rsidR="000B03D3" w:rsidRPr="009F433B" w:rsidSect="00704874">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328F" w14:textId="77777777" w:rsidR="007F5CA7" w:rsidRDefault="007F5CA7" w:rsidP="00704874">
      <w:pPr>
        <w:spacing w:after="0" w:line="240" w:lineRule="auto"/>
      </w:pPr>
      <w:r>
        <w:separator/>
      </w:r>
    </w:p>
  </w:endnote>
  <w:endnote w:type="continuationSeparator" w:id="0">
    <w:p w14:paraId="6D667F53" w14:textId="77777777" w:rsidR="007F5CA7" w:rsidRDefault="007F5CA7" w:rsidP="0070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Regular">
    <w:charset w:val="00"/>
    <w:family w:val="auto"/>
    <w:pitch w:val="variable"/>
    <w:sig w:usb0="E10002FF" w:usb1="5000ECFF" w:usb2="0000002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6429" w14:textId="47366C59" w:rsidR="00704874" w:rsidRDefault="00704874" w:rsidP="00704874">
    <w:pPr>
      <w:pStyle w:val="Footer"/>
      <w:jc w:val="center"/>
    </w:pPr>
    <w:r w:rsidRPr="005A7809">
      <w:rPr>
        <w:rFonts w:ascii="Cambria" w:eastAsia="Calibri" w:hAnsi="Cambria" w:cs="Calibri"/>
        <w:sz w:val="20"/>
        <w:szCs w:val="20"/>
      </w:rPr>
      <w:fldChar w:fldCharType="begin"/>
    </w:r>
    <w:r w:rsidRPr="005A7809">
      <w:rPr>
        <w:rFonts w:ascii="Cambria" w:eastAsia="Calibri" w:hAnsi="Cambria" w:cs="Calibri"/>
        <w:sz w:val="20"/>
        <w:szCs w:val="20"/>
      </w:rPr>
      <w:instrText xml:space="preserve"> PAGE </w:instrText>
    </w:r>
    <w:r w:rsidRPr="005A7809">
      <w:rPr>
        <w:rFonts w:ascii="Cambria" w:eastAsia="Calibri" w:hAnsi="Cambria" w:cs="Calibri"/>
        <w:sz w:val="20"/>
        <w:szCs w:val="20"/>
      </w:rPr>
      <w:fldChar w:fldCharType="separate"/>
    </w:r>
    <w:r>
      <w:rPr>
        <w:rFonts w:ascii="Cambria" w:eastAsia="Calibri" w:hAnsi="Cambria" w:cs="Calibri"/>
        <w:sz w:val="20"/>
        <w:szCs w:val="20"/>
      </w:rPr>
      <w:t>2</w:t>
    </w:r>
    <w:r w:rsidRPr="005A7809">
      <w:rPr>
        <w:rFonts w:ascii="Cambria" w:eastAsia="Calibri" w:hAnsi="Cambria" w:cs="Calibri"/>
        <w:sz w:val="20"/>
        <w:szCs w:val="20"/>
      </w:rPr>
      <w:fldChar w:fldCharType="end"/>
    </w:r>
    <w:r>
      <w:rPr>
        <w:rFonts w:ascii="Cambria" w:hAnsi="Cambria"/>
        <w:sz w:val="20"/>
        <w:szCs w:val="20"/>
      </w:rPr>
      <w:t xml:space="preserve"> / </w:t>
    </w:r>
    <w:r w:rsidRPr="005A7809">
      <w:rPr>
        <w:rFonts w:ascii="Cambria" w:eastAsia="Calibri" w:hAnsi="Cambria" w:cs="Calibri"/>
        <w:sz w:val="20"/>
        <w:szCs w:val="20"/>
      </w:rPr>
      <w:fldChar w:fldCharType="begin"/>
    </w:r>
    <w:r w:rsidRPr="005A7809">
      <w:rPr>
        <w:rFonts w:ascii="Cambria" w:eastAsia="Calibri" w:hAnsi="Cambria" w:cs="Calibri"/>
        <w:sz w:val="20"/>
        <w:szCs w:val="20"/>
      </w:rPr>
      <w:instrText xml:space="preserve"> NUMPAGES  </w:instrText>
    </w:r>
    <w:r w:rsidRPr="005A7809">
      <w:rPr>
        <w:rFonts w:ascii="Cambria" w:eastAsia="Calibri" w:hAnsi="Cambria" w:cs="Calibri"/>
        <w:sz w:val="20"/>
        <w:szCs w:val="20"/>
      </w:rPr>
      <w:fldChar w:fldCharType="separate"/>
    </w:r>
    <w:r>
      <w:rPr>
        <w:rFonts w:ascii="Cambria" w:eastAsia="Calibri" w:hAnsi="Cambria" w:cs="Calibri"/>
        <w:sz w:val="20"/>
        <w:szCs w:val="20"/>
      </w:rPr>
      <w:t>3</w:t>
    </w:r>
    <w:r w:rsidRPr="005A7809">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C2FB" w14:textId="77777777" w:rsidR="007F5CA7" w:rsidRDefault="007F5CA7" w:rsidP="00704874">
      <w:pPr>
        <w:spacing w:after="0" w:line="240" w:lineRule="auto"/>
      </w:pPr>
      <w:r>
        <w:separator/>
      </w:r>
    </w:p>
  </w:footnote>
  <w:footnote w:type="continuationSeparator" w:id="0">
    <w:p w14:paraId="60183978" w14:textId="77777777" w:rsidR="007F5CA7" w:rsidRDefault="007F5CA7" w:rsidP="0070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FE6E" w14:textId="3FAFFFE5" w:rsidR="00704874" w:rsidRPr="00793F38" w:rsidRDefault="00704874" w:rsidP="00704874">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bCs/>
        <w:sz w:val="20"/>
        <w:szCs w:val="20"/>
      </w:rPr>
      <w:t>COC_310/2025</w:t>
    </w:r>
  </w:p>
  <w:bookmarkEnd w:id="1"/>
  <w:bookmarkEnd w:id="2"/>
  <w:bookmarkEnd w:id="3"/>
  <w:bookmarkEnd w:id="4"/>
  <w:bookmarkEnd w:id="5"/>
  <w:bookmarkEnd w:id="6"/>
  <w:p w14:paraId="07F17883" w14:textId="42E7F363" w:rsidR="00704874" w:rsidRDefault="009F433B" w:rsidP="00704874">
    <w:pPr>
      <w:pStyle w:val="Header"/>
      <w:jc w:val="right"/>
    </w:pPr>
    <w:r>
      <w:rPr>
        <w:rFonts w:ascii="Cambria" w:hAnsi="Cambria"/>
        <w:b/>
        <w:bCs/>
        <w:sz w:val="16"/>
        <w:szCs w:val="16"/>
      </w:rPr>
      <w:fldChar w:fldCharType="begin"/>
    </w:r>
    <w:r>
      <w:rPr>
        <w:rFonts w:ascii="Cambria" w:hAnsi="Cambria"/>
        <w:b/>
        <w:bCs/>
        <w:sz w:val="16"/>
        <w:szCs w:val="16"/>
      </w:rPr>
      <w:instrText xml:space="preserve"> TIME  \@ "dd/MM/yyyy HH:mm" </w:instrText>
    </w:r>
    <w:r>
      <w:rPr>
        <w:rFonts w:ascii="Cambria" w:hAnsi="Cambria"/>
        <w:b/>
        <w:bCs/>
        <w:sz w:val="16"/>
        <w:szCs w:val="16"/>
      </w:rPr>
      <w:fldChar w:fldCharType="separate"/>
    </w:r>
    <w:r w:rsidR="009512FD">
      <w:rPr>
        <w:rFonts w:ascii="Cambria" w:hAnsi="Cambria"/>
        <w:b/>
        <w:bCs/>
        <w:noProof/>
        <w:sz w:val="16"/>
        <w:szCs w:val="16"/>
      </w:rPr>
      <w:t>24/10/2025 09:49</w:t>
    </w:r>
    <w:r>
      <w:rPr>
        <w:rFonts w:ascii="Cambria" w:hAnsi="Cambria"/>
        <w:b/>
        <w:bCs/>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2"/>
    <w:rsid w:val="00004ADD"/>
    <w:rsid w:val="000517FB"/>
    <w:rsid w:val="00052499"/>
    <w:rsid w:val="00065145"/>
    <w:rsid w:val="000773A2"/>
    <w:rsid w:val="00093D8E"/>
    <w:rsid w:val="000A49B8"/>
    <w:rsid w:val="000B03D3"/>
    <w:rsid w:val="000E0E53"/>
    <w:rsid w:val="000E6DA6"/>
    <w:rsid w:val="000F0195"/>
    <w:rsid w:val="000F234C"/>
    <w:rsid w:val="000F2A49"/>
    <w:rsid w:val="00104198"/>
    <w:rsid w:val="00105D72"/>
    <w:rsid w:val="00116F0E"/>
    <w:rsid w:val="00123F10"/>
    <w:rsid w:val="001323A0"/>
    <w:rsid w:val="0013790C"/>
    <w:rsid w:val="001574DE"/>
    <w:rsid w:val="00172A45"/>
    <w:rsid w:val="00175AB3"/>
    <w:rsid w:val="00190119"/>
    <w:rsid w:val="00191B4C"/>
    <w:rsid w:val="001A7318"/>
    <w:rsid w:val="001B7D96"/>
    <w:rsid w:val="001C6578"/>
    <w:rsid w:val="001D4162"/>
    <w:rsid w:val="001F1DB7"/>
    <w:rsid w:val="00201C7E"/>
    <w:rsid w:val="00233314"/>
    <w:rsid w:val="0024145D"/>
    <w:rsid w:val="00250A56"/>
    <w:rsid w:val="00261BC4"/>
    <w:rsid w:val="00261C29"/>
    <w:rsid w:val="002803E8"/>
    <w:rsid w:val="002916C5"/>
    <w:rsid w:val="0029403D"/>
    <w:rsid w:val="002B0EC7"/>
    <w:rsid w:val="002E6A69"/>
    <w:rsid w:val="00311F1B"/>
    <w:rsid w:val="00317BD0"/>
    <w:rsid w:val="003407A0"/>
    <w:rsid w:val="003524B9"/>
    <w:rsid w:val="00362FF1"/>
    <w:rsid w:val="00383DD8"/>
    <w:rsid w:val="003860E0"/>
    <w:rsid w:val="00394E17"/>
    <w:rsid w:val="003A4772"/>
    <w:rsid w:val="003B3E07"/>
    <w:rsid w:val="003C001F"/>
    <w:rsid w:val="003D1D42"/>
    <w:rsid w:val="003D55C2"/>
    <w:rsid w:val="003E5110"/>
    <w:rsid w:val="003F4921"/>
    <w:rsid w:val="0040388B"/>
    <w:rsid w:val="00434D76"/>
    <w:rsid w:val="00483E0B"/>
    <w:rsid w:val="004926DF"/>
    <w:rsid w:val="00494C73"/>
    <w:rsid w:val="004979A8"/>
    <w:rsid w:val="004B02D3"/>
    <w:rsid w:val="004B7495"/>
    <w:rsid w:val="004D29EB"/>
    <w:rsid w:val="004E229A"/>
    <w:rsid w:val="004E4BCE"/>
    <w:rsid w:val="004F1785"/>
    <w:rsid w:val="004F1BE3"/>
    <w:rsid w:val="005152E2"/>
    <w:rsid w:val="0055434A"/>
    <w:rsid w:val="0056213B"/>
    <w:rsid w:val="00571E79"/>
    <w:rsid w:val="00572343"/>
    <w:rsid w:val="00573118"/>
    <w:rsid w:val="00594E14"/>
    <w:rsid w:val="005B564A"/>
    <w:rsid w:val="005E70B8"/>
    <w:rsid w:val="005F533B"/>
    <w:rsid w:val="005F735F"/>
    <w:rsid w:val="00602160"/>
    <w:rsid w:val="00606A6A"/>
    <w:rsid w:val="006123ED"/>
    <w:rsid w:val="0062310E"/>
    <w:rsid w:val="00630A1C"/>
    <w:rsid w:val="00632431"/>
    <w:rsid w:val="00650D49"/>
    <w:rsid w:val="00674860"/>
    <w:rsid w:val="00677DF6"/>
    <w:rsid w:val="0069789C"/>
    <w:rsid w:val="006C4C1C"/>
    <w:rsid w:val="006D75F4"/>
    <w:rsid w:val="006E3054"/>
    <w:rsid w:val="006F79F5"/>
    <w:rsid w:val="00701380"/>
    <w:rsid w:val="00703887"/>
    <w:rsid w:val="00704874"/>
    <w:rsid w:val="007052FE"/>
    <w:rsid w:val="00716747"/>
    <w:rsid w:val="0072155D"/>
    <w:rsid w:val="00746417"/>
    <w:rsid w:val="00754694"/>
    <w:rsid w:val="0075780A"/>
    <w:rsid w:val="00760092"/>
    <w:rsid w:val="00787B7A"/>
    <w:rsid w:val="007D14E4"/>
    <w:rsid w:val="007D5EDE"/>
    <w:rsid w:val="007D6018"/>
    <w:rsid w:val="007F5CA7"/>
    <w:rsid w:val="008228DF"/>
    <w:rsid w:val="008266DA"/>
    <w:rsid w:val="00836812"/>
    <w:rsid w:val="00867331"/>
    <w:rsid w:val="008760F8"/>
    <w:rsid w:val="00876522"/>
    <w:rsid w:val="008A7A00"/>
    <w:rsid w:val="008A7CCC"/>
    <w:rsid w:val="008E4E5E"/>
    <w:rsid w:val="0091439F"/>
    <w:rsid w:val="00925C92"/>
    <w:rsid w:val="0094011F"/>
    <w:rsid w:val="009512FD"/>
    <w:rsid w:val="00952123"/>
    <w:rsid w:val="00957445"/>
    <w:rsid w:val="00961883"/>
    <w:rsid w:val="00962181"/>
    <w:rsid w:val="00975101"/>
    <w:rsid w:val="009919E6"/>
    <w:rsid w:val="00996FB4"/>
    <w:rsid w:val="009A7F29"/>
    <w:rsid w:val="009B56DC"/>
    <w:rsid w:val="009F433B"/>
    <w:rsid w:val="00A04CB2"/>
    <w:rsid w:val="00A07667"/>
    <w:rsid w:val="00A20056"/>
    <w:rsid w:val="00A269C2"/>
    <w:rsid w:val="00A52845"/>
    <w:rsid w:val="00A81441"/>
    <w:rsid w:val="00AA452E"/>
    <w:rsid w:val="00AA73D5"/>
    <w:rsid w:val="00AC06D6"/>
    <w:rsid w:val="00AD6301"/>
    <w:rsid w:val="00AE4B18"/>
    <w:rsid w:val="00AF1F9E"/>
    <w:rsid w:val="00B03547"/>
    <w:rsid w:val="00B041B6"/>
    <w:rsid w:val="00B22A2E"/>
    <w:rsid w:val="00B416F8"/>
    <w:rsid w:val="00B64C9F"/>
    <w:rsid w:val="00B65986"/>
    <w:rsid w:val="00B67784"/>
    <w:rsid w:val="00B93394"/>
    <w:rsid w:val="00B97392"/>
    <w:rsid w:val="00BA6C5A"/>
    <w:rsid w:val="00BB0005"/>
    <w:rsid w:val="00BB73CF"/>
    <w:rsid w:val="00BC013A"/>
    <w:rsid w:val="00BC1716"/>
    <w:rsid w:val="00BF7609"/>
    <w:rsid w:val="00C0665F"/>
    <w:rsid w:val="00C112C8"/>
    <w:rsid w:val="00C11596"/>
    <w:rsid w:val="00C34CBF"/>
    <w:rsid w:val="00C35DBF"/>
    <w:rsid w:val="00C36251"/>
    <w:rsid w:val="00C450C2"/>
    <w:rsid w:val="00C47B80"/>
    <w:rsid w:val="00C53971"/>
    <w:rsid w:val="00C5400E"/>
    <w:rsid w:val="00C610A6"/>
    <w:rsid w:val="00C71CB6"/>
    <w:rsid w:val="00C77B5C"/>
    <w:rsid w:val="00C86AE6"/>
    <w:rsid w:val="00C90EAF"/>
    <w:rsid w:val="00CA4DAB"/>
    <w:rsid w:val="00CA540E"/>
    <w:rsid w:val="00CE4060"/>
    <w:rsid w:val="00D149B4"/>
    <w:rsid w:val="00D21CA8"/>
    <w:rsid w:val="00D230D8"/>
    <w:rsid w:val="00D41895"/>
    <w:rsid w:val="00D72EAA"/>
    <w:rsid w:val="00D7573C"/>
    <w:rsid w:val="00D75BAA"/>
    <w:rsid w:val="00D90E6E"/>
    <w:rsid w:val="00D93A16"/>
    <w:rsid w:val="00DD28DB"/>
    <w:rsid w:val="00DD7CBA"/>
    <w:rsid w:val="00DE20AD"/>
    <w:rsid w:val="00DE3A8C"/>
    <w:rsid w:val="00E06BB9"/>
    <w:rsid w:val="00E119D8"/>
    <w:rsid w:val="00E2351A"/>
    <w:rsid w:val="00E279B9"/>
    <w:rsid w:val="00E40E1F"/>
    <w:rsid w:val="00E426B3"/>
    <w:rsid w:val="00E471FD"/>
    <w:rsid w:val="00E6166A"/>
    <w:rsid w:val="00E64BBF"/>
    <w:rsid w:val="00E6580E"/>
    <w:rsid w:val="00E74800"/>
    <w:rsid w:val="00E8089D"/>
    <w:rsid w:val="00E83C32"/>
    <w:rsid w:val="00E8544D"/>
    <w:rsid w:val="00E905E9"/>
    <w:rsid w:val="00EF30D9"/>
    <w:rsid w:val="00F057B8"/>
    <w:rsid w:val="00F116D0"/>
    <w:rsid w:val="00F25269"/>
    <w:rsid w:val="00F63937"/>
    <w:rsid w:val="00F6524B"/>
    <w:rsid w:val="00FA36AE"/>
    <w:rsid w:val="00FA506B"/>
    <w:rsid w:val="00FB49CE"/>
    <w:rsid w:val="00FE3046"/>
    <w:rsid w:val="030F4AE3"/>
    <w:rsid w:val="04B6678D"/>
    <w:rsid w:val="05B3B496"/>
    <w:rsid w:val="06BE33EB"/>
    <w:rsid w:val="0D1CDB56"/>
    <w:rsid w:val="0DC1CBCE"/>
    <w:rsid w:val="1004DA1F"/>
    <w:rsid w:val="101FB123"/>
    <w:rsid w:val="11BB8184"/>
    <w:rsid w:val="12221D1E"/>
    <w:rsid w:val="12566963"/>
    <w:rsid w:val="1269A821"/>
    <w:rsid w:val="133108C4"/>
    <w:rsid w:val="13EFFB2E"/>
    <w:rsid w:val="1521CAF2"/>
    <w:rsid w:val="15D2F959"/>
    <w:rsid w:val="16061C44"/>
    <w:rsid w:val="1A3DBAB9"/>
    <w:rsid w:val="1D762FA7"/>
    <w:rsid w:val="1ED73E54"/>
    <w:rsid w:val="1FF62436"/>
    <w:rsid w:val="218040C5"/>
    <w:rsid w:val="21BB201A"/>
    <w:rsid w:val="23837020"/>
    <w:rsid w:val="2618F27B"/>
    <w:rsid w:val="265315D5"/>
    <w:rsid w:val="277FB107"/>
    <w:rsid w:val="29B657EE"/>
    <w:rsid w:val="2DC4FCD9"/>
    <w:rsid w:val="2E67857F"/>
    <w:rsid w:val="2EF9F935"/>
    <w:rsid w:val="2F60CD3A"/>
    <w:rsid w:val="2F8DFA0D"/>
    <w:rsid w:val="2FD60335"/>
    <w:rsid w:val="30CBE1B9"/>
    <w:rsid w:val="30E7FECA"/>
    <w:rsid w:val="379C349C"/>
    <w:rsid w:val="38C44C28"/>
    <w:rsid w:val="3937C592"/>
    <w:rsid w:val="397937F5"/>
    <w:rsid w:val="3D8BB193"/>
    <w:rsid w:val="3FA6D3EE"/>
    <w:rsid w:val="40AD1CDA"/>
    <w:rsid w:val="40B635B0"/>
    <w:rsid w:val="4160C882"/>
    <w:rsid w:val="43B42764"/>
    <w:rsid w:val="43CDC168"/>
    <w:rsid w:val="459650DD"/>
    <w:rsid w:val="45FD190C"/>
    <w:rsid w:val="47384F58"/>
    <w:rsid w:val="484C2127"/>
    <w:rsid w:val="4BFB6DBB"/>
    <w:rsid w:val="4DEB1D4F"/>
    <w:rsid w:val="4EA9BF50"/>
    <w:rsid w:val="4EFD09C3"/>
    <w:rsid w:val="4FE84A46"/>
    <w:rsid w:val="56BF78FF"/>
    <w:rsid w:val="589D2F15"/>
    <w:rsid w:val="61EB97B9"/>
    <w:rsid w:val="6305E82D"/>
    <w:rsid w:val="65195D0C"/>
    <w:rsid w:val="662293E8"/>
    <w:rsid w:val="666B88D0"/>
    <w:rsid w:val="67790BAC"/>
    <w:rsid w:val="692330A6"/>
    <w:rsid w:val="695965E1"/>
    <w:rsid w:val="6BAF4AFE"/>
    <w:rsid w:val="6C953E72"/>
    <w:rsid w:val="6D07B807"/>
    <w:rsid w:val="6DDFA210"/>
    <w:rsid w:val="6E6670C5"/>
    <w:rsid w:val="6E95AFB4"/>
    <w:rsid w:val="6EDCD1F8"/>
    <w:rsid w:val="703F58C9"/>
    <w:rsid w:val="742ED765"/>
    <w:rsid w:val="771C6B71"/>
    <w:rsid w:val="7728D58A"/>
    <w:rsid w:val="77501D8E"/>
    <w:rsid w:val="79A6346E"/>
    <w:rsid w:val="79ED4E5C"/>
    <w:rsid w:val="7A155A43"/>
    <w:rsid w:val="7B8490D4"/>
    <w:rsid w:val="7C5D0BA8"/>
    <w:rsid w:val="7E3BD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B6D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7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A4772"/>
    <w:rPr>
      <w:sz w:val="16"/>
      <w:szCs w:val="16"/>
    </w:rPr>
  </w:style>
  <w:style w:type="paragraph" w:styleId="CommentText">
    <w:name w:val="annotation text"/>
    <w:basedOn w:val="Normal"/>
    <w:link w:val="CommentTextChar"/>
    <w:uiPriority w:val="99"/>
    <w:unhideWhenUsed/>
    <w:rsid w:val="003A4772"/>
    <w:pPr>
      <w:spacing w:line="240" w:lineRule="auto"/>
    </w:pPr>
    <w:rPr>
      <w:sz w:val="20"/>
      <w:szCs w:val="20"/>
    </w:rPr>
  </w:style>
  <w:style w:type="character" w:customStyle="1" w:styleId="CommentTextChar">
    <w:name w:val="Comment Text Char"/>
    <w:basedOn w:val="DefaultParagraphFont"/>
    <w:link w:val="CommentText"/>
    <w:uiPriority w:val="99"/>
    <w:rsid w:val="003A4772"/>
    <w:rPr>
      <w:sz w:val="20"/>
      <w:szCs w:val="20"/>
    </w:rPr>
  </w:style>
  <w:style w:type="paragraph" w:styleId="CommentSubject">
    <w:name w:val="annotation subject"/>
    <w:basedOn w:val="CommentText"/>
    <w:next w:val="CommentText"/>
    <w:link w:val="CommentSubjectChar"/>
    <w:uiPriority w:val="99"/>
    <w:semiHidden/>
    <w:unhideWhenUsed/>
    <w:rsid w:val="003A4772"/>
    <w:rPr>
      <w:b/>
      <w:bCs/>
    </w:rPr>
  </w:style>
  <w:style w:type="character" w:customStyle="1" w:styleId="CommentSubjectChar">
    <w:name w:val="Comment Subject Char"/>
    <w:basedOn w:val="CommentTextChar"/>
    <w:link w:val="CommentSubject"/>
    <w:uiPriority w:val="99"/>
    <w:semiHidden/>
    <w:rsid w:val="003A4772"/>
    <w:rPr>
      <w:b/>
      <w:bCs/>
      <w:sz w:val="20"/>
      <w:szCs w:val="20"/>
    </w:rPr>
  </w:style>
  <w:style w:type="paragraph" w:styleId="BalloonText">
    <w:name w:val="Balloon Text"/>
    <w:basedOn w:val="Normal"/>
    <w:link w:val="BalloonTextChar"/>
    <w:uiPriority w:val="99"/>
    <w:semiHidden/>
    <w:unhideWhenUsed/>
    <w:rsid w:val="003A4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72"/>
    <w:rPr>
      <w:rFonts w:ascii="Segoe UI" w:hAnsi="Segoe UI" w:cs="Segoe UI"/>
      <w:sz w:val="18"/>
      <w:szCs w:val="18"/>
    </w:rPr>
  </w:style>
  <w:style w:type="character" w:styleId="Hyperlink">
    <w:name w:val="Hyperlink"/>
    <w:basedOn w:val="DefaultParagraphFont"/>
    <w:uiPriority w:val="99"/>
    <w:unhideWhenUsed/>
    <w:rsid w:val="00E471FD"/>
    <w:rPr>
      <w:color w:val="0563C1" w:themeColor="hyperlink"/>
      <w:u w:val="single"/>
    </w:rPr>
  </w:style>
  <w:style w:type="character" w:styleId="UnresolvedMention">
    <w:name w:val="Unresolved Mention"/>
    <w:basedOn w:val="DefaultParagraphFont"/>
    <w:uiPriority w:val="99"/>
    <w:unhideWhenUsed/>
    <w:rsid w:val="00E471FD"/>
    <w:rPr>
      <w:color w:val="605E5C"/>
      <w:shd w:val="clear" w:color="auto" w:fill="E1DFDD"/>
    </w:rPr>
  </w:style>
  <w:style w:type="character" w:styleId="SmartLink">
    <w:name w:val="Smart Link"/>
    <w:basedOn w:val="DefaultParagraphFont"/>
    <w:uiPriority w:val="99"/>
    <w:semiHidden/>
    <w:unhideWhenUsed/>
    <w:rsid w:val="00D230D8"/>
    <w:rPr>
      <w:color w:val="0000FF"/>
      <w:u w:val="single"/>
      <w:shd w:val="clear" w:color="auto" w:fill="F3F2F1"/>
    </w:rPr>
  </w:style>
  <w:style w:type="character" w:styleId="Mention">
    <w:name w:val="Mention"/>
    <w:basedOn w:val="DefaultParagraphFont"/>
    <w:uiPriority w:val="99"/>
    <w:unhideWhenUsed/>
    <w:rsid w:val="00D93A16"/>
    <w:rPr>
      <w:color w:val="2B579A"/>
      <w:shd w:val="clear" w:color="auto" w:fill="E1DFDD"/>
    </w:rPr>
  </w:style>
  <w:style w:type="character" w:customStyle="1" w:styleId="eop">
    <w:name w:val="eop"/>
    <w:basedOn w:val="DefaultParagraphFont"/>
    <w:uiPriority w:val="1"/>
    <w:rsid w:val="3D8BB193"/>
  </w:style>
  <w:style w:type="paragraph" w:customStyle="1" w:styleId="paragraph">
    <w:name w:val="paragraph"/>
    <w:basedOn w:val="Normal"/>
    <w:uiPriority w:val="1"/>
    <w:rsid w:val="3D8BB193"/>
    <w:pPr>
      <w:spacing w:beforeAutospacing="1"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C77B5C"/>
    <w:pPr>
      <w:spacing w:after="0" w:line="240" w:lineRule="auto"/>
    </w:pPr>
  </w:style>
  <w:style w:type="paragraph" w:styleId="Header">
    <w:name w:val="header"/>
    <w:basedOn w:val="Normal"/>
    <w:link w:val="HeaderChar"/>
    <w:uiPriority w:val="99"/>
    <w:unhideWhenUsed/>
    <w:rsid w:val="0070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74"/>
  </w:style>
  <w:style w:type="paragraph" w:styleId="Footer">
    <w:name w:val="footer"/>
    <w:basedOn w:val="Normal"/>
    <w:link w:val="FooterChar"/>
    <w:uiPriority w:val="99"/>
    <w:unhideWhenUsed/>
    <w:rsid w:val="0070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74"/>
  </w:style>
  <w:style w:type="paragraph" w:styleId="BodyText">
    <w:name w:val="Body Text"/>
    <w:basedOn w:val="Normal"/>
    <w:link w:val="BodyTextChar"/>
    <w:uiPriority w:val="1"/>
    <w:qFormat/>
    <w:rsid w:val="00C47B8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C47B80"/>
    <w:rPr>
      <w:rFonts w:ascii="Arial" w:eastAsia="Arial" w:hAnsi="Arial" w:cs="Arial"/>
      <w:sz w:val="20"/>
      <w:szCs w:val="20"/>
      <w:lang w:val="fr-FR"/>
    </w:rPr>
  </w:style>
  <w:style w:type="paragraph" w:styleId="ListParagraph">
    <w:name w:val="List Paragraph"/>
    <w:basedOn w:val="Normal"/>
    <w:uiPriority w:val="34"/>
    <w:qFormat/>
    <w:rsid w:val="000B03D3"/>
    <w:pPr>
      <w:spacing w:after="200" w:line="276" w:lineRule="auto"/>
      <w:ind w:left="720"/>
    </w:pPr>
    <w:rPr>
      <w:rFonts w:ascii="Calibri" w:eastAsia="Calibri" w:hAnsi="Calibri" w:cs="Calibri"/>
      <w:lang w:eastAsia="en-GB"/>
    </w:rPr>
  </w:style>
  <w:style w:type="character" w:styleId="FollowedHyperlink">
    <w:name w:val="FollowedHyperlink"/>
    <w:basedOn w:val="DefaultParagraphFont"/>
    <w:uiPriority w:val="99"/>
    <w:semiHidden/>
    <w:unhideWhenUsed/>
    <w:rsid w:val="00996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6004">
      <w:bodyDiv w:val="1"/>
      <w:marLeft w:val="0"/>
      <w:marRight w:val="0"/>
      <w:marTop w:val="0"/>
      <w:marBottom w:val="0"/>
      <w:divBdr>
        <w:top w:val="none" w:sz="0" w:space="0" w:color="auto"/>
        <w:left w:val="none" w:sz="0" w:space="0" w:color="auto"/>
        <w:bottom w:val="none" w:sz="0" w:space="0" w:color="auto"/>
        <w:right w:val="none" w:sz="0" w:space="0" w:color="auto"/>
      </w:divBdr>
    </w:div>
    <w:div w:id="1698310898">
      <w:bodyDiv w:val="1"/>
      <w:marLeft w:val="0"/>
      <w:marRight w:val="0"/>
      <w:marTop w:val="0"/>
      <w:marBottom w:val="0"/>
      <w:divBdr>
        <w:top w:val="none" w:sz="0" w:space="0" w:color="auto"/>
        <w:left w:val="none" w:sz="0" w:space="0" w:color="auto"/>
        <w:bottom w:val="none" w:sz="0" w:space="0" w:color="auto"/>
        <w:right w:val="none" w:sz="0" w:space="0" w:color="auto"/>
      </w:divBdr>
    </w:div>
    <w:div w:id="1873690516">
      <w:bodyDiv w:val="1"/>
      <w:marLeft w:val="0"/>
      <w:marRight w:val="0"/>
      <w:marTop w:val="0"/>
      <w:marBottom w:val="0"/>
      <w:divBdr>
        <w:top w:val="none" w:sz="0" w:space="0" w:color="auto"/>
        <w:left w:val="none" w:sz="0" w:space="0" w:color="auto"/>
        <w:bottom w:val="none" w:sz="0" w:space="0" w:color="auto"/>
        <w:right w:val="none" w:sz="0" w:space="0" w:color="auto"/>
      </w:divBdr>
      <w:divsChild>
        <w:div w:id="203472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s_info@iccat.int" TargetMode="External"/><Relationship Id="rId3" Type="http://schemas.openxmlformats.org/officeDocument/2006/relationships/webSettings" Target="webSettings.xml"/><Relationship Id="rId7" Type="http://schemas.openxmlformats.org/officeDocument/2006/relationships/hyperlink" Target="mailto:stats_info@iccat.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at.int/Documents/Recs/compendiopdf-f/2021-24-f.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5887</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2025-10-23T10:23:00Z</dcterms:created>
  <dcterms:modified xsi:type="dcterms:W3CDTF">2025-10-24T07:50:00Z</dcterms:modified>
</cp:coreProperties>
</file>