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2C6C2" w14:textId="77777777" w:rsidR="009C1B92" w:rsidRPr="00F152D6" w:rsidRDefault="009C1B92" w:rsidP="00CE0AB9">
      <w:pPr>
        <w:jc w:val="right"/>
        <w:rPr>
          <w:rFonts w:asciiTheme="majorHAnsi" w:hAnsiTheme="majorHAnsi"/>
          <w:b/>
          <w:sz w:val="20"/>
          <w:szCs w:val="20"/>
        </w:rPr>
      </w:pPr>
    </w:p>
    <w:p w14:paraId="0361CB21" w14:textId="4990A9CC" w:rsidR="00471200" w:rsidRPr="00F152D6" w:rsidRDefault="00471200" w:rsidP="00CE0AB9">
      <w:pPr>
        <w:jc w:val="right"/>
        <w:rPr>
          <w:rFonts w:asciiTheme="majorHAnsi" w:hAnsiTheme="majorHAnsi"/>
          <w:b/>
          <w:sz w:val="20"/>
          <w:szCs w:val="20"/>
        </w:rPr>
      </w:pPr>
      <w:r w:rsidRPr="00F152D6">
        <w:rPr>
          <w:rFonts w:asciiTheme="majorHAnsi" w:hAnsiTheme="majorHAnsi"/>
          <w:b/>
          <w:sz w:val="20"/>
          <w:szCs w:val="20"/>
        </w:rPr>
        <w:t>Original :</w:t>
      </w:r>
      <w:r w:rsidR="00D915ED" w:rsidRPr="00F152D6">
        <w:rPr>
          <w:rFonts w:asciiTheme="majorHAnsi" w:hAnsiTheme="majorHAnsi"/>
          <w:b/>
          <w:sz w:val="20"/>
          <w:szCs w:val="20"/>
        </w:rPr>
        <w:t xml:space="preserve"> </w:t>
      </w:r>
      <w:r w:rsidRPr="00F152D6">
        <w:rPr>
          <w:rFonts w:asciiTheme="majorHAnsi" w:hAnsiTheme="majorHAnsi"/>
          <w:b/>
          <w:bCs/>
          <w:sz w:val="20"/>
          <w:szCs w:val="20"/>
        </w:rPr>
        <w:t>anglais</w:t>
      </w:r>
    </w:p>
    <w:p w14:paraId="59BA62BD" w14:textId="77777777" w:rsidR="007A7EC3" w:rsidRPr="00F152D6" w:rsidRDefault="007A7EC3" w:rsidP="008C3200">
      <w:pPr>
        <w:jc w:val="center"/>
        <w:rPr>
          <w:rFonts w:asciiTheme="majorHAnsi" w:hAnsiTheme="majorHAnsi"/>
          <w:b/>
          <w:bCs/>
          <w:sz w:val="20"/>
          <w:szCs w:val="20"/>
        </w:rPr>
      </w:pPr>
    </w:p>
    <w:p w14:paraId="64CCC6E8" w14:textId="6AFDA489" w:rsidR="005032D1" w:rsidRPr="00F152D6" w:rsidRDefault="001671D8" w:rsidP="005032D1">
      <w:pPr>
        <w:jc w:val="center"/>
        <w:rPr>
          <w:rFonts w:asciiTheme="majorHAnsi" w:hAnsiTheme="majorHAnsi"/>
          <w:b/>
          <w:sz w:val="20"/>
          <w:szCs w:val="20"/>
        </w:rPr>
      </w:pPr>
      <w:bookmarkStart w:id="0" w:name="_Hlk214728030"/>
      <w:r w:rsidRPr="00F152D6">
        <w:rPr>
          <w:rFonts w:asciiTheme="majorHAnsi" w:hAnsiTheme="majorHAnsi"/>
          <w:b/>
          <w:sz w:val="20"/>
          <w:szCs w:val="20"/>
        </w:rPr>
        <w:t xml:space="preserve">Mesures </w:t>
      </w:r>
      <w:r w:rsidR="00AC226C" w:rsidRPr="00F152D6">
        <w:rPr>
          <w:rFonts w:asciiTheme="majorHAnsi" w:hAnsiTheme="majorHAnsi"/>
          <w:b/>
          <w:sz w:val="20"/>
          <w:szCs w:val="20"/>
        </w:rPr>
        <w:t>d</w:t>
      </w:r>
      <w:r w:rsidRPr="00F152D6">
        <w:rPr>
          <w:rFonts w:asciiTheme="majorHAnsi" w:hAnsiTheme="majorHAnsi"/>
          <w:b/>
          <w:sz w:val="20"/>
          <w:szCs w:val="20"/>
        </w:rPr>
        <w:t>’application élaboré</w:t>
      </w:r>
      <w:r w:rsidR="0015060B" w:rsidRPr="00F152D6">
        <w:rPr>
          <w:rFonts w:asciiTheme="majorHAnsi" w:hAnsiTheme="majorHAnsi"/>
          <w:b/>
          <w:sz w:val="20"/>
          <w:szCs w:val="20"/>
        </w:rPr>
        <w:t>e</w:t>
      </w:r>
      <w:r w:rsidR="00AC226C" w:rsidRPr="00F152D6">
        <w:rPr>
          <w:rFonts w:asciiTheme="majorHAnsi" w:hAnsiTheme="majorHAnsi"/>
          <w:b/>
          <w:sz w:val="20"/>
          <w:szCs w:val="20"/>
        </w:rPr>
        <w:t>s</w:t>
      </w:r>
      <w:r w:rsidRPr="00F152D6">
        <w:rPr>
          <w:rFonts w:asciiTheme="majorHAnsi" w:hAnsiTheme="majorHAnsi"/>
          <w:b/>
          <w:sz w:val="20"/>
          <w:szCs w:val="20"/>
        </w:rPr>
        <w:t xml:space="preserve"> par le Président du COC en consultation avec le groupe d’amis du Président du COC</w:t>
      </w:r>
    </w:p>
    <w:p w14:paraId="06B42C46" w14:textId="77777777" w:rsidR="009C1B92" w:rsidRPr="00F152D6" w:rsidRDefault="009C1B92" w:rsidP="005032D1">
      <w:pPr>
        <w:jc w:val="center"/>
        <w:rPr>
          <w:rFonts w:asciiTheme="majorHAnsi" w:hAnsiTheme="majorHAnsi"/>
          <w:b/>
          <w:sz w:val="20"/>
          <w:szCs w:val="20"/>
        </w:rPr>
      </w:pPr>
    </w:p>
    <w:p w14:paraId="01523F13" w14:textId="6FBBA6A5" w:rsidR="009C1B92" w:rsidRPr="00F152D6" w:rsidRDefault="009C1B92" w:rsidP="005032D1">
      <w:pPr>
        <w:jc w:val="center"/>
        <w:rPr>
          <w:rFonts w:asciiTheme="majorHAnsi" w:hAnsiTheme="majorHAnsi"/>
          <w:bCs/>
          <w:i/>
          <w:iCs/>
          <w:sz w:val="20"/>
          <w:szCs w:val="20"/>
        </w:rPr>
      </w:pPr>
      <w:r w:rsidRPr="00F152D6">
        <w:rPr>
          <w:rFonts w:asciiTheme="majorHAnsi" w:hAnsiTheme="majorHAnsi"/>
          <w:bCs/>
          <w:i/>
          <w:iCs/>
          <w:sz w:val="20"/>
          <w:szCs w:val="20"/>
        </w:rPr>
        <w:t>(Soumis par le Secrétariat de l’ICCAT)</w:t>
      </w:r>
    </w:p>
    <w:bookmarkEnd w:id="0"/>
    <w:p w14:paraId="4B87F543" w14:textId="5433C0A4" w:rsidR="00553B55" w:rsidRPr="00F152D6" w:rsidRDefault="00553B55" w:rsidP="00553B55">
      <w:pPr>
        <w:jc w:val="center"/>
        <w:rPr>
          <w:rFonts w:asciiTheme="majorHAnsi" w:hAnsiTheme="majorHAnsi"/>
          <w:b/>
          <w:sz w:val="20"/>
          <w:szCs w:val="20"/>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857"/>
      </w:tblGrid>
      <w:tr w:rsidR="00920A74" w:rsidRPr="00F152D6" w14:paraId="579D4450" w14:textId="77777777" w:rsidTr="00397291">
        <w:trPr>
          <w:trHeight w:val="287"/>
          <w:jc w:val="center"/>
        </w:trPr>
        <w:tc>
          <w:tcPr>
            <w:tcW w:w="1555" w:type="dxa"/>
            <w:noWrap/>
            <w:vAlign w:val="center"/>
            <w:hideMark/>
          </w:tcPr>
          <w:p w14:paraId="39D8DB5D" w14:textId="77777777" w:rsidR="00920A74" w:rsidRPr="00F152D6" w:rsidRDefault="00920A74" w:rsidP="00920A74">
            <w:pPr>
              <w:rPr>
                <w:rFonts w:asciiTheme="majorHAnsi" w:hAnsiTheme="majorHAnsi"/>
                <w:color w:val="000000"/>
                <w:sz w:val="20"/>
                <w:szCs w:val="20"/>
              </w:rPr>
            </w:pPr>
            <w:r w:rsidRPr="00F152D6">
              <w:rPr>
                <w:rFonts w:asciiTheme="majorHAnsi" w:hAnsiTheme="majorHAnsi"/>
                <w:color w:val="000000"/>
                <w:sz w:val="20"/>
                <w:szCs w:val="20"/>
              </w:rPr>
              <w:t>Albanie</w:t>
            </w:r>
          </w:p>
        </w:tc>
        <w:tc>
          <w:tcPr>
            <w:tcW w:w="7857" w:type="dxa"/>
            <w:vAlign w:val="center"/>
            <w:hideMark/>
          </w:tcPr>
          <w:p w14:paraId="4F645853" w14:textId="11E24F93" w:rsidR="00920A74" w:rsidRPr="00F152D6" w:rsidRDefault="00E66AF4" w:rsidP="00920A74">
            <w:pPr>
              <w:jc w:val="both"/>
              <w:rPr>
                <w:rFonts w:asciiTheme="majorHAnsi" w:hAnsiTheme="majorHAnsi"/>
                <w:color w:val="000000"/>
                <w:sz w:val="20"/>
                <w:szCs w:val="20"/>
              </w:rPr>
            </w:pPr>
            <w:r w:rsidRPr="00F152D6">
              <w:rPr>
                <w:rFonts w:asciiTheme="majorHAnsi" w:hAnsiTheme="majorHAnsi"/>
                <w:b/>
                <w:bCs/>
                <w:color w:val="000000"/>
                <w:sz w:val="20"/>
                <w:szCs w:val="20"/>
              </w:rPr>
              <w:t>Lettre</w:t>
            </w:r>
            <w:r w:rsidRPr="00F152D6">
              <w:rPr>
                <w:rFonts w:asciiTheme="majorHAnsi" w:hAnsiTheme="majorHAnsi"/>
                <w:color w:val="000000"/>
                <w:sz w:val="20"/>
                <w:szCs w:val="20"/>
              </w:rPr>
              <w:t xml:space="preserve"> faisant état de la déclaration après les délais impartis, mise en œuvre de la</w:t>
            </w:r>
            <w:hyperlink r:id="rId8" w:history="1">
              <w:r w:rsidRPr="00F152D6">
                <w:rPr>
                  <w:rStyle w:val="Hyperlink"/>
                  <w:rFonts w:asciiTheme="majorHAnsi" w:hAnsiTheme="majorHAnsi"/>
                  <w:sz w:val="20"/>
                  <w:szCs w:val="20"/>
                  <w:u w:val="none"/>
                </w:rPr>
                <w:t xml:space="preserve"> Rec. 16-14.</w:t>
              </w:r>
            </w:hyperlink>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Demander un </w:t>
            </w:r>
            <w:r w:rsidRPr="00F152D6">
              <w:rPr>
                <w:rFonts w:asciiTheme="majorHAnsi" w:hAnsiTheme="majorHAnsi"/>
                <w:b/>
                <w:color w:val="000000"/>
                <w:sz w:val="20"/>
                <w:szCs w:val="20"/>
              </w:rPr>
              <w:t>plan d'action</w:t>
            </w:r>
            <w:r w:rsidRPr="00F152D6">
              <w:rPr>
                <w:rFonts w:asciiTheme="majorHAnsi" w:hAnsiTheme="majorHAnsi"/>
                <w:color w:val="000000"/>
                <w:sz w:val="20"/>
                <w:szCs w:val="20"/>
              </w:rPr>
              <w:t xml:space="preserve"> sur les mesures à prendre pour satisfaire aux exigences de mise en œuvre de la</w:t>
            </w:r>
            <w:r w:rsidR="00B0657B" w:rsidRPr="00F152D6">
              <w:rPr>
                <w:rFonts w:asciiTheme="majorHAnsi" w:hAnsiTheme="majorHAnsi"/>
                <w:color w:val="000000"/>
                <w:sz w:val="20"/>
                <w:szCs w:val="20"/>
              </w:rPr>
              <w:t xml:space="preserve"> </w:t>
            </w:r>
            <w:hyperlink r:id="rId9" w:history="1">
              <w:r w:rsidR="00B0657B" w:rsidRPr="00F152D6">
                <w:rPr>
                  <w:rStyle w:val="Hyperlink"/>
                  <w:rFonts w:asciiTheme="majorHAnsi" w:hAnsiTheme="majorHAnsi"/>
                  <w:sz w:val="20"/>
                  <w:szCs w:val="20"/>
                  <w:u w:val="none"/>
                </w:rPr>
                <w:t>Rec. 16-14</w:t>
              </w:r>
            </w:hyperlink>
            <w:r w:rsidR="00B0657B" w:rsidRPr="00F152D6">
              <w:rPr>
                <w:rFonts w:asciiTheme="majorHAnsi" w:hAnsiTheme="majorHAnsi"/>
                <w:color w:val="000000"/>
                <w:sz w:val="20"/>
                <w:szCs w:val="20"/>
              </w:rPr>
              <w:t>.</w:t>
            </w:r>
          </w:p>
        </w:tc>
      </w:tr>
      <w:tr w:rsidR="00920A74" w:rsidRPr="00F152D6" w14:paraId="1A65ABD9" w14:textId="77777777" w:rsidTr="00397291">
        <w:trPr>
          <w:trHeight w:val="300"/>
          <w:jc w:val="center"/>
        </w:trPr>
        <w:tc>
          <w:tcPr>
            <w:tcW w:w="1555" w:type="dxa"/>
            <w:noWrap/>
            <w:vAlign w:val="center"/>
            <w:hideMark/>
          </w:tcPr>
          <w:p w14:paraId="47529AF0" w14:textId="77777777" w:rsidR="00920A74" w:rsidRPr="00F152D6" w:rsidRDefault="00920A74" w:rsidP="00920A74">
            <w:pPr>
              <w:rPr>
                <w:rFonts w:asciiTheme="majorHAnsi" w:hAnsiTheme="majorHAnsi"/>
                <w:color w:val="000000"/>
                <w:sz w:val="20"/>
                <w:szCs w:val="20"/>
              </w:rPr>
            </w:pPr>
            <w:r w:rsidRPr="00F152D6">
              <w:rPr>
                <w:rFonts w:asciiTheme="majorHAnsi" w:hAnsiTheme="majorHAnsi"/>
                <w:color w:val="000000"/>
                <w:sz w:val="20"/>
                <w:szCs w:val="20"/>
              </w:rPr>
              <w:t>Algérie</w:t>
            </w:r>
          </w:p>
        </w:tc>
        <w:tc>
          <w:tcPr>
            <w:tcW w:w="7857" w:type="dxa"/>
            <w:vAlign w:val="center"/>
            <w:hideMark/>
          </w:tcPr>
          <w:p w14:paraId="470EB5EA" w14:textId="2E6562AC" w:rsidR="00547CBD" w:rsidRPr="00F152D6" w:rsidRDefault="00E66AF4" w:rsidP="00B36E2C">
            <w:pPr>
              <w:jc w:val="both"/>
              <w:rPr>
                <w:rFonts w:asciiTheme="majorHAnsi" w:hAnsiTheme="majorHAnsi"/>
                <w:color w:val="000000"/>
                <w:sz w:val="20"/>
                <w:szCs w:val="20"/>
              </w:rPr>
            </w:pPr>
            <w:r w:rsidRPr="00F152D6">
              <w:rPr>
                <w:rFonts w:asciiTheme="majorHAnsi" w:hAnsiTheme="majorHAnsi"/>
                <w:b/>
                <w:color w:val="000000"/>
                <w:sz w:val="20"/>
                <w:szCs w:val="20"/>
              </w:rPr>
              <w:t>Lettre</w:t>
            </w:r>
            <w:r w:rsidRPr="00F152D6">
              <w:rPr>
                <w:rFonts w:asciiTheme="majorHAnsi" w:hAnsiTheme="majorHAnsi"/>
                <w:color w:val="000000"/>
                <w:sz w:val="20"/>
                <w:szCs w:val="20"/>
              </w:rPr>
              <w:t xml:space="preserve"> sur la déclaration après les délais impartis, la mise en œuvre du programme d'observateur scientifique (</w:t>
            </w:r>
            <w:hyperlink r:id="rId10"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et la non-soumission d'informations par le biais du formulaire ST-09, prenant note du fait que, bien que l'Algérie ait informé le COC des mesures alternatives en place pour mettre en œuvre la </w:t>
            </w:r>
            <w:hyperlink r:id="rId11" w:history="1">
              <w:r w:rsidR="00B71C58" w:rsidRPr="00F152D6">
                <w:rPr>
                  <w:rStyle w:val="Hyperlink"/>
                  <w:rFonts w:asciiTheme="majorHAnsi" w:hAnsiTheme="majorHAnsi"/>
                  <w:sz w:val="20"/>
                  <w:szCs w:val="20"/>
                  <w:u w:val="none"/>
                </w:rPr>
                <w:t>Rec. 16-14</w:t>
              </w:r>
            </w:hyperlink>
            <w:r w:rsidR="00B71C58" w:rsidRPr="00F152D6">
              <w:rPr>
                <w:rFonts w:asciiTheme="majorHAnsi" w:hAnsiTheme="majorHAnsi"/>
                <w:color w:val="000000"/>
                <w:sz w:val="20"/>
                <w:szCs w:val="20"/>
              </w:rPr>
              <w:t xml:space="preserve">, </w:t>
            </w:r>
            <w:r w:rsidRPr="00F152D6">
              <w:rPr>
                <w:rFonts w:asciiTheme="majorHAnsi" w:hAnsiTheme="majorHAnsi"/>
                <w:color w:val="000000"/>
                <w:sz w:val="20"/>
                <w:szCs w:val="20"/>
              </w:rPr>
              <w:t>elle n'a pas suivi le processus prévu au paragr. 4 pour obtenir l'approbation du SCRS qui est nécessaire pour que l'exception s'applique.</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Demander un </w:t>
            </w:r>
            <w:r w:rsidRPr="00F152D6">
              <w:rPr>
                <w:rFonts w:asciiTheme="majorHAnsi" w:hAnsiTheme="majorHAnsi"/>
                <w:b/>
                <w:color w:val="000000"/>
                <w:sz w:val="20"/>
                <w:szCs w:val="20"/>
              </w:rPr>
              <w:t>plan d'action</w:t>
            </w:r>
            <w:r w:rsidRPr="00F152D6">
              <w:rPr>
                <w:rFonts w:asciiTheme="majorHAnsi" w:hAnsiTheme="majorHAnsi"/>
                <w:color w:val="000000"/>
                <w:sz w:val="20"/>
                <w:szCs w:val="20"/>
              </w:rPr>
              <w:t xml:space="preserve"> sur les mesures à prendre pour satisfaire aux exigences de mise en œuvre de la </w:t>
            </w:r>
            <w:hyperlink r:id="rId12" w:history="1">
              <w:r w:rsidR="00B71C58"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w:t>
            </w:r>
          </w:p>
        </w:tc>
      </w:tr>
      <w:tr w:rsidR="00EE1F75" w:rsidRPr="00F152D6" w14:paraId="18461ED7" w14:textId="77777777" w:rsidTr="00397291">
        <w:trPr>
          <w:trHeight w:val="301"/>
          <w:jc w:val="center"/>
        </w:trPr>
        <w:tc>
          <w:tcPr>
            <w:tcW w:w="1555" w:type="dxa"/>
            <w:noWrap/>
            <w:vAlign w:val="center"/>
            <w:hideMark/>
          </w:tcPr>
          <w:p w14:paraId="497E7581"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Angola</w:t>
            </w:r>
          </w:p>
        </w:tc>
        <w:tc>
          <w:tcPr>
            <w:tcW w:w="7857" w:type="dxa"/>
            <w:vAlign w:val="center"/>
            <w:hideMark/>
          </w:tcPr>
          <w:p w14:paraId="136EAF41" w14:textId="0594FA04" w:rsidR="00547CBD" w:rsidRPr="00F152D6" w:rsidRDefault="00E66AF4" w:rsidP="005032D1">
            <w:pPr>
              <w:jc w:val="both"/>
              <w:rPr>
                <w:rFonts w:asciiTheme="majorHAnsi" w:hAnsiTheme="majorHAnsi"/>
                <w:color w:val="000000"/>
                <w:sz w:val="20"/>
                <w:szCs w:val="20"/>
              </w:rPr>
            </w:pPr>
            <w:r w:rsidRPr="00F152D6">
              <w:rPr>
                <w:rFonts w:asciiTheme="majorHAnsi" w:hAnsiTheme="majorHAnsi"/>
                <w:b/>
                <w:color w:val="000000"/>
                <w:sz w:val="20"/>
                <w:szCs w:val="20"/>
              </w:rPr>
              <w:t>Lettre</w:t>
            </w:r>
            <w:r w:rsidRPr="00F152D6">
              <w:rPr>
                <w:rFonts w:asciiTheme="majorHAnsi" w:hAnsiTheme="majorHAnsi"/>
                <w:color w:val="000000"/>
                <w:sz w:val="20"/>
                <w:szCs w:val="20"/>
              </w:rPr>
              <w:t xml:space="preserve"> prenant note de l'amélioration continue du respect des obligations de déclaration, tout en notant la poursuite du non-respect de la couverture de 5% d'observateurs scientifiques requise en vertu de la </w:t>
            </w:r>
            <w:hyperlink r:id="rId13" w:history="1">
              <w:r w:rsidR="00B71C58" w:rsidRPr="00F152D6">
                <w:rPr>
                  <w:rStyle w:val="Hyperlink"/>
                  <w:rFonts w:asciiTheme="majorHAnsi" w:hAnsiTheme="majorHAnsi"/>
                  <w:sz w:val="20"/>
                  <w:szCs w:val="20"/>
                  <w:u w:val="none"/>
                </w:rPr>
                <w:t>Rec. 16-14</w:t>
              </w:r>
            </w:hyperlink>
            <w:r w:rsidR="00B71C58" w:rsidRPr="00F152D6">
              <w:rPr>
                <w:rFonts w:asciiTheme="majorHAnsi" w:hAnsiTheme="majorHAnsi"/>
                <w:color w:val="000000"/>
                <w:sz w:val="20"/>
                <w:szCs w:val="20"/>
              </w:rPr>
              <w:t xml:space="preserve"> </w:t>
            </w:r>
            <w:r w:rsidRPr="00F152D6">
              <w:rPr>
                <w:rFonts w:asciiTheme="majorHAnsi" w:hAnsiTheme="majorHAnsi"/>
                <w:color w:val="000000"/>
                <w:sz w:val="20"/>
                <w:szCs w:val="20"/>
              </w:rPr>
              <w:t>et la soumission du formulaire ST-09.</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Demander toute </w:t>
            </w:r>
            <w:r w:rsidRPr="00F152D6">
              <w:rPr>
                <w:rFonts w:asciiTheme="majorHAnsi" w:hAnsiTheme="majorHAnsi"/>
                <w:b/>
                <w:color w:val="000000"/>
                <w:sz w:val="20"/>
                <w:szCs w:val="20"/>
              </w:rPr>
              <w:t>mise à jour</w:t>
            </w:r>
            <w:r w:rsidRPr="00F152D6">
              <w:rPr>
                <w:rFonts w:asciiTheme="majorHAnsi" w:hAnsiTheme="majorHAnsi"/>
                <w:color w:val="000000"/>
                <w:sz w:val="20"/>
                <w:szCs w:val="20"/>
              </w:rPr>
              <w:t xml:space="preserve"> applicable au </w:t>
            </w:r>
            <w:r w:rsidRPr="00F152D6">
              <w:rPr>
                <w:rFonts w:asciiTheme="majorHAnsi" w:hAnsiTheme="majorHAnsi"/>
                <w:b/>
                <w:color w:val="000000"/>
                <w:sz w:val="20"/>
                <w:szCs w:val="20"/>
              </w:rPr>
              <w:t>plan d'action</w:t>
            </w:r>
            <w:r w:rsidRPr="00F152D6">
              <w:rPr>
                <w:rFonts w:asciiTheme="majorHAnsi" w:hAnsiTheme="majorHAnsi"/>
                <w:color w:val="000000"/>
                <w:sz w:val="20"/>
                <w:szCs w:val="20"/>
              </w:rPr>
              <w:t xml:space="preserve"> précédemment soumis.</w:t>
            </w:r>
          </w:p>
        </w:tc>
      </w:tr>
      <w:tr w:rsidR="00EE1F75" w:rsidRPr="00F152D6" w14:paraId="0F1E2071" w14:textId="77777777" w:rsidTr="00397291">
        <w:trPr>
          <w:trHeight w:val="300"/>
          <w:jc w:val="center"/>
        </w:trPr>
        <w:tc>
          <w:tcPr>
            <w:tcW w:w="1555" w:type="dxa"/>
            <w:noWrap/>
            <w:vAlign w:val="center"/>
            <w:hideMark/>
          </w:tcPr>
          <w:p w14:paraId="5519E9DB"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Barbade</w:t>
            </w:r>
          </w:p>
        </w:tc>
        <w:tc>
          <w:tcPr>
            <w:tcW w:w="7857" w:type="dxa"/>
            <w:vAlign w:val="center"/>
            <w:hideMark/>
          </w:tcPr>
          <w:p w14:paraId="5E2D68E6" w14:textId="25E3E6FE" w:rsidR="00547CBD" w:rsidRPr="00F152D6" w:rsidRDefault="00E66AF4" w:rsidP="00EE1F75">
            <w:pPr>
              <w:jc w:val="both"/>
              <w:rPr>
                <w:rFonts w:asciiTheme="majorHAnsi" w:hAnsiTheme="majorHAnsi"/>
                <w:color w:val="000000"/>
                <w:sz w:val="20"/>
                <w:szCs w:val="20"/>
              </w:rPr>
            </w:pPr>
            <w:r w:rsidRPr="00F152D6">
              <w:rPr>
                <w:rFonts w:asciiTheme="majorHAnsi" w:hAnsiTheme="majorHAnsi"/>
                <w:b/>
                <w:color w:val="000000"/>
                <w:sz w:val="20"/>
                <w:szCs w:val="20"/>
              </w:rPr>
              <w:t>Lettre</w:t>
            </w:r>
            <w:r w:rsidRPr="00F152D6">
              <w:rPr>
                <w:rFonts w:asciiTheme="majorHAnsi" w:hAnsiTheme="majorHAnsi"/>
                <w:color w:val="000000"/>
                <w:sz w:val="20"/>
                <w:szCs w:val="20"/>
              </w:rPr>
              <w:t xml:space="preserve"> sur l'absence de programme d'observateur scientifique (</w:t>
            </w:r>
            <w:hyperlink r:id="rId14" w:history="1">
              <w:r w:rsidR="00B71C58"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et tout en prenant note de la réponse écrite de la Barbade concernant l'EMS sur le navire, note qu'elle n'a pas suivi le processus prévu au paragr. 4 de la </w:t>
            </w:r>
            <w:hyperlink r:id="rId15" w:history="1">
              <w:r w:rsidR="00B71C58" w:rsidRPr="00F152D6">
                <w:rPr>
                  <w:rStyle w:val="Hyperlink"/>
                  <w:rFonts w:asciiTheme="majorHAnsi" w:hAnsiTheme="majorHAnsi"/>
                  <w:sz w:val="20"/>
                  <w:szCs w:val="20"/>
                  <w:u w:val="none"/>
                </w:rPr>
                <w:t>Rec. 16-14</w:t>
              </w:r>
            </w:hyperlink>
            <w:r w:rsidR="00B71C58" w:rsidRPr="00F152D6">
              <w:rPr>
                <w:rFonts w:asciiTheme="majorHAnsi" w:hAnsiTheme="majorHAnsi"/>
                <w:color w:val="000000"/>
                <w:sz w:val="20"/>
                <w:szCs w:val="20"/>
              </w:rPr>
              <w:t xml:space="preserve"> </w:t>
            </w:r>
            <w:r w:rsidRPr="00F152D6">
              <w:rPr>
                <w:rFonts w:asciiTheme="majorHAnsi" w:hAnsiTheme="majorHAnsi"/>
                <w:color w:val="000000"/>
                <w:sz w:val="20"/>
                <w:szCs w:val="20"/>
              </w:rPr>
              <w:t>nécessaire pour obtenir l'approbation par le SCRS des mesures alternatives au lieu des observateurs scientifiques embarqués.</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 Lettre demandant également toute </w:t>
            </w:r>
            <w:r w:rsidRPr="00F152D6">
              <w:rPr>
                <w:rFonts w:asciiTheme="majorHAnsi" w:hAnsiTheme="majorHAnsi"/>
                <w:b/>
                <w:color w:val="000000"/>
                <w:sz w:val="20"/>
                <w:szCs w:val="20"/>
              </w:rPr>
              <w:t>mise à jour</w:t>
            </w:r>
            <w:r w:rsidRPr="00F152D6">
              <w:rPr>
                <w:rFonts w:asciiTheme="majorHAnsi" w:hAnsiTheme="majorHAnsi"/>
                <w:color w:val="000000"/>
                <w:sz w:val="20"/>
                <w:szCs w:val="20"/>
              </w:rPr>
              <w:t xml:space="preserve"> applicable au </w:t>
            </w:r>
            <w:r w:rsidRPr="00F152D6">
              <w:rPr>
                <w:rFonts w:asciiTheme="majorHAnsi" w:hAnsiTheme="majorHAnsi"/>
                <w:b/>
                <w:color w:val="000000"/>
                <w:sz w:val="20"/>
                <w:szCs w:val="20"/>
              </w:rPr>
              <w:t>plan d'action</w:t>
            </w:r>
            <w:r w:rsidRPr="00F152D6">
              <w:rPr>
                <w:rFonts w:asciiTheme="majorHAnsi" w:hAnsiTheme="majorHAnsi"/>
                <w:color w:val="000000"/>
                <w:sz w:val="20"/>
                <w:szCs w:val="20"/>
              </w:rPr>
              <w:t xml:space="preserve"> soumis en 2025, et prenant note en outre de l'examen en cours par l'ICCAT au sujet d</w:t>
            </w:r>
            <w:r w:rsidR="00406EB9" w:rsidRPr="00F152D6">
              <w:rPr>
                <w:rFonts w:asciiTheme="majorHAnsi" w:hAnsiTheme="majorHAnsi"/>
                <w:color w:val="000000"/>
                <w:sz w:val="20"/>
                <w:szCs w:val="20"/>
              </w:rPr>
              <w:t xml:space="preserve">u soulagement </w:t>
            </w:r>
            <w:r w:rsidRPr="00F152D6">
              <w:rPr>
                <w:rFonts w:asciiTheme="majorHAnsi" w:hAnsiTheme="majorHAnsi"/>
                <w:color w:val="000000"/>
                <w:sz w:val="20"/>
                <w:szCs w:val="20"/>
              </w:rPr>
              <w:t xml:space="preserve">potentiel </w:t>
            </w:r>
            <w:r w:rsidR="00406EB9" w:rsidRPr="00F152D6">
              <w:rPr>
                <w:rFonts w:asciiTheme="majorHAnsi" w:hAnsiTheme="majorHAnsi"/>
                <w:color w:val="000000"/>
                <w:sz w:val="20"/>
                <w:szCs w:val="20"/>
              </w:rPr>
              <w:t>d</w:t>
            </w:r>
            <w:r w:rsidRPr="00F152D6">
              <w:rPr>
                <w:rFonts w:asciiTheme="majorHAnsi" w:hAnsiTheme="majorHAnsi"/>
                <w:color w:val="000000"/>
                <w:sz w:val="20"/>
                <w:szCs w:val="20"/>
              </w:rPr>
              <w:t>es CPC ayant des surconsommations importantes d'istiophoridés.</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 </w:t>
            </w:r>
          </w:p>
        </w:tc>
      </w:tr>
      <w:tr w:rsidR="00EE1F75" w:rsidRPr="00F152D6" w14:paraId="05DF15A3" w14:textId="77777777" w:rsidTr="00397291">
        <w:trPr>
          <w:trHeight w:val="423"/>
          <w:jc w:val="center"/>
        </w:trPr>
        <w:tc>
          <w:tcPr>
            <w:tcW w:w="1555" w:type="dxa"/>
            <w:noWrap/>
            <w:vAlign w:val="center"/>
            <w:hideMark/>
          </w:tcPr>
          <w:p w14:paraId="11CF3D36"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Belize</w:t>
            </w:r>
          </w:p>
        </w:tc>
        <w:tc>
          <w:tcPr>
            <w:tcW w:w="7857" w:type="dxa"/>
            <w:vAlign w:val="center"/>
            <w:hideMark/>
          </w:tcPr>
          <w:p w14:paraId="566BEFE5" w14:textId="1B4DEABE" w:rsidR="00EE1F75" w:rsidRPr="00F152D6" w:rsidRDefault="00E66AF4" w:rsidP="00EE1F75">
            <w:pPr>
              <w:jc w:val="both"/>
              <w:rPr>
                <w:rFonts w:asciiTheme="majorHAnsi" w:hAnsiTheme="majorHAnsi"/>
                <w:color w:val="000000"/>
                <w:sz w:val="20"/>
                <w:szCs w:val="20"/>
              </w:rPr>
            </w:pPr>
            <w:r w:rsidRPr="00F152D6">
              <w:rPr>
                <w:rFonts w:asciiTheme="majorHAnsi" w:hAnsiTheme="majorHAnsi"/>
                <w:b/>
                <w:bCs/>
                <w:color w:val="000000"/>
                <w:sz w:val="20"/>
                <w:szCs w:val="20"/>
              </w:rPr>
              <w:t>Lettre</w:t>
            </w:r>
            <w:r w:rsidRPr="00F152D6">
              <w:rPr>
                <w:rFonts w:asciiTheme="majorHAnsi" w:hAnsiTheme="majorHAnsi"/>
                <w:color w:val="000000"/>
                <w:sz w:val="20"/>
                <w:szCs w:val="20"/>
              </w:rPr>
              <w:t xml:space="preserve"> concernant la déclaration. </w:t>
            </w:r>
          </w:p>
        </w:tc>
      </w:tr>
      <w:tr w:rsidR="00EE1F75" w:rsidRPr="00F152D6" w14:paraId="797D21A0" w14:textId="77777777" w:rsidTr="00397291">
        <w:trPr>
          <w:trHeight w:val="323"/>
          <w:jc w:val="center"/>
        </w:trPr>
        <w:tc>
          <w:tcPr>
            <w:tcW w:w="1555" w:type="dxa"/>
            <w:noWrap/>
            <w:vAlign w:val="center"/>
            <w:hideMark/>
          </w:tcPr>
          <w:p w14:paraId="5A4DC1D7"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Brésil</w:t>
            </w:r>
          </w:p>
        </w:tc>
        <w:tc>
          <w:tcPr>
            <w:tcW w:w="7857" w:type="dxa"/>
            <w:vAlign w:val="center"/>
            <w:hideMark/>
          </w:tcPr>
          <w:p w14:paraId="741234B6" w14:textId="6722F1FC" w:rsidR="00EE1F75" w:rsidRPr="00F152D6" w:rsidRDefault="00E66AF4" w:rsidP="00F152D6">
            <w:pPr>
              <w:jc w:val="both"/>
              <w:rPr>
                <w:rFonts w:asciiTheme="majorHAnsi" w:hAnsiTheme="majorHAnsi"/>
                <w:color w:val="000000"/>
                <w:sz w:val="20"/>
                <w:szCs w:val="20"/>
                <w:lang w:eastAsia="en-GB"/>
              </w:rPr>
            </w:pPr>
            <w:r w:rsidRPr="00F152D6">
              <w:rPr>
                <w:rFonts w:asciiTheme="majorHAnsi" w:hAnsiTheme="majorHAnsi"/>
                <w:b/>
                <w:color w:val="000000"/>
                <w:sz w:val="20"/>
                <w:szCs w:val="20"/>
              </w:rPr>
              <w:t>Lettre</w:t>
            </w:r>
            <w:r w:rsidRPr="00F152D6">
              <w:rPr>
                <w:rFonts w:asciiTheme="majorHAnsi" w:hAnsiTheme="majorHAnsi"/>
                <w:color w:val="000000"/>
                <w:sz w:val="20"/>
                <w:szCs w:val="20"/>
              </w:rPr>
              <w:t xml:space="preserve"> sur la déclaration et la mise en œuvre des exigences en matière d’observateurs scientifiques (</w:t>
            </w:r>
            <w:hyperlink r:id="rId16" w:history="1">
              <w:r w:rsidR="00B71C58"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et demandant des informations sur la méthodologie statistique utilisée pour estimer les rejets morts et les remises à l'eau vivantes du requin-taupe bleu de l'Atlantique Sud (Rec. 22-11).</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Demander un </w:t>
            </w:r>
            <w:r w:rsidRPr="00F152D6">
              <w:rPr>
                <w:rFonts w:asciiTheme="majorHAnsi" w:hAnsiTheme="majorHAnsi"/>
                <w:b/>
                <w:color w:val="000000"/>
                <w:sz w:val="20"/>
                <w:szCs w:val="20"/>
              </w:rPr>
              <w:t>plan d'action</w:t>
            </w:r>
            <w:r w:rsidRPr="00F152D6">
              <w:rPr>
                <w:rFonts w:asciiTheme="majorHAnsi" w:hAnsiTheme="majorHAnsi"/>
                <w:color w:val="000000"/>
                <w:sz w:val="20"/>
                <w:szCs w:val="20"/>
              </w:rPr>
              <w:t xml:space="preserve"> sur les mesures à prendre pour satisfaire aux exigences de mise en œuvre de la </w:t>
            </w:r>
            <w:hyperlink r:id="rId17" w:history="1">
              <w:r w:rsidR="00C2768E"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w:t>
            </w:r>
          </w:p>
        </w:tc>
      </w:tr>
      <w:tr w:rsidR="00EE1F75" w:rsidRPr="00F152D6" w14:paraId="5525276B" w14:textId="77777777" w:rsidTr="00397291">
        <w:trPr>
          <w:trHeight w:val="300"/>
          <w:jc w:val="center"/>
        </w:trPr>
        <w:tc>
          <w:tcPr>
            <w:tcW w:w="1555" w:type="dxa"/>
            <w:noWrap/>
            <w:vAlign w:val="center"/>
          </w:tcPr>
          <w:p w14:paraId="02DA37E5" w14:textId="30116710"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Cabo Verde</w:t>
            </w:r>
          </w:p>
        </w:tc>
        <w:tc>
          <w:tcPr>
            <w:tcW w:w="7857" w:type="dxa"/>
            <w:vAlign w:val="center"/>
          </w:tcPr>
          <w:p w14:paraId="089EF4E2" w14:textId="16DC46DA" w:rsidR="00547CBD" w:rsidRPr="00F152D6" w:rsidRDefault="00E66AF4" w:rsidP="00EE1F75">
            <w:pPr>
              <w:jc w:val="both"/>
              <w:rPr>
                <w:rFonts w:asciiTheme="majorHAnsi" w:hAnsiTheme="majorHAnsi"/>
                <w:color w:val="000000"/>
                <w:sz w:val="20"/>
                <w:szCs w:val="20"/>
              </w:rPr>
            </w:pPr>
            <w:r w:rsidRPr="00F152D6">
              <w:rPr>
                <w:rFonts w:asciiTheme="majorHAnsi" w:hAnsiTheme="majorHAnsi"/>
                <w:color w:val="000000"/>
                <w:sz w:val="20"/>
                <w:szCs w:val="20"/>
              </w:rPr>
              <w:t xml:space="preserve">Maintien de </w:t>
            </w:r>
            <w:r w:rsidRPr="00F152D6">
              <w:rPr>
                <w:rFonts w:asciiTheme="majorHAnsi" w:hAnsiTheme="majorHAnsi"/>
                <w:b/>
                <w:color w:val="000000"/>
                <w:sz w:val="20"/>
                <w:szCs w:val="20"/>
              </w:rPr>
              <w:t>l'identification</w:t>
            </w:r>
            <w:r w:rsidRPr="00F152D6">
              <w:rPr>
                <w:rFonts w:asciiTheme="majorHAnsi" w:hAnsiTheme="majorHAnsi"/>
                <w:color w:val="000000"/>
                <w:sz w:val="20"/>
                <w:szCs w:val="20"/>
              </w:rPr>
              <w:t xml:space="preserve"> en raison de problèmes récurrents de déclaration (information manquante, incomplète ou tardive), de la mise en œuvre des exigences relatives aux observateurs scientifiques internes (</w:t>
            </w:r>
            <w:hyperlink r:id="rId18" w:history="1">
              <w:r w:rsidR="0021297C"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tout en notant une amélioration dans le respect des obligations de déclaration.</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Se renseigner également sur l'autorisation du navire à pêcher l’espadon du Nord, mais Cabo Verde n'a pas de quota d’espadon du Nord.</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Réitérer la demande précédente de </w:t>
            </w:r>
            <w:r w:rsidRPr="00F152D6">
              <w:rPr>
                <w:rFonts w:asciiTheme="majorHAnsi" w:hAnsiTheme="majorHAnsi"/>
                <w:b/>
                <w:color w:val="000000"/>
                <w:sz w:val="20"/>
                <w:szCs w:val="20"/>
              </w:rPr>
              <w:t>plan d'action</w:t>
            </w:r>
            <w:r w:rsidRPr="00F152D6">
              <w:rPr>
                <w:rFonts w:asciiTheme="majorHAnsi" w:hAnsiTheme="majorHAnsi"/>
                <w:color w:val="000000"/>
                <w:sz w:val="20"/>
                <w:szCs w:val="20"/>
              </w:rPr>
              <w:t>, qui n'a pas été soumis</w:t>
            </w:r>
            <w:r w:rsidRPr="00F152D6">
              <w:rPr>
                <w:rFonts w:asciiTheme="majorHAnsi" w:hAnsiTheme="majorHAnsi"/>
                <w:b/>
                <w:color w:val="000000"/>
                <w:sz w:val="20"/>
                <w:szCs w:val="20"/>
              </w:rPr>
              <w:t>.</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Prendre note avec inquiétude de la non-participation aux réunions du COC de 2025.</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Rappeler également la possibilité d'une </w:t>
            </w:r>
            <w:r w:rsidRPr="00F152D6">
              <w:rPr>
                <w:rFonts w:asciiTheme="majorHAnsi" w:hAnsiTheme="majorHAnsi"/>
                <w:b/>
                <w:color w:val="000000"/>
                <w:sz w:val="20"/>
                <w:szCs w:val="20"/>
              </w:rPr>
              <w:t>identification</w:t>
            </w:r>
            <w:r w:rsidRPr="00F152D6">
              <w:rPr>
                <w:rFonts w:asciiTheme="majorHAnsi" w:hAnsiTheme="majorHAnsi"/>
                <w:color w:val="000000"/>
                <w:sz w:val="20"/>
                <w:szCs w:val="20"/>
              </w:rPr>
              <w:t xml:space="preserve"> au titre de la Rec. 06-13 sur les mesures commerciales si aucune amélioration n'est démontrée lors de la réunion de 2026.</w:t>
            </w:r>
          </w:p>
        </w:tc>
      </w:tr>
      <w:tr w:rsidR="00EE1F75" w:rsidRPr="00F152D6" w14:paraId="27FA1172" w14:textId="77777777" w:rsidTr="00397291">
        <w:trPr>
          <w:trHeight w:val="300"/>
          <w:jc w:val="center"/>
        </w:trPr>
        <w:tc>
          <w:tcPr>
            <w:tcW w:w="1555" w:type="dxa"/>
            <w:noWrap/>
            <w:vAlign w:val="center"/>
            <w:hideMark/>
          </w:tcPr>
          <w:p w14:paraId="507FEC89"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Canada</w:t>
            </w:r>
          </w:p>
        </w:tc>
        <w:tc>
          <w:tcPr>
            <w:tcW w:w="7857" w:type="dxa"/>
            <w:vAlign w:val="center"/>
            <w:hideMark/>
          </w:tcPr>
          <w:p w14:paraId="56A235E2" w14:textId="06CE8AC7" w:rsidR="00EE1F75" w:rsidRPr="00F152D6" w:rsidRDefault="00E66AF4" w:rsidP="00EE1F75">
            <w:pPr>
              <w:jc w:val="both"/>
              <w:rPr>
                <w:rFonts w:asciiTheme="majorHAnsi" w:hAnsiTheme="majorHAnsi"/>
                <w:color w:val="000000"/>
                <w:sz w:val="20"/>
                <w:szCs w:val="20"/>
              </w:rPr>
            </w:pPr>
            <w:r w:rsidRPr="00F152D6">
              <w:rPr>
                <w:rFonts w:asciiTheme="majorHAnsi" w:hAnsiTheme="majorHAnsi"/>
                <w:b/>
                <w:color w:val="000000"/>
                <w:sz w:val="20"/>
                <w:szCs w:val="20"/>
              </w:rPr>
              <w:t>Lettre</w:t>
            </w:r>
            <w:r w:rsidRPr="00F152D6">
              <w:rPr>
                <w:rFonts w:asciiTheme="majorHAnsi" w:hAnsiTheme="majorHAnsi"/>
                <w:color w:val="000000"/>
                <w:sz w:val="20"/>
                <w:szCs w:val="20"/>
              </w:rPr>
              <w:t xml:space="preserve"> sur le respect de l'exigence de couverture minimale de 5% prévue dans la </w:t>
            </w:r>
            <w:hyperlink r:id="rId19" w:history="1">
              <w:r w:rsidR="00B71C58" w:rsidRPr="00F152D6">
                <w:rPr>
                  <w:rStyle w:val="Hyperlink"/>
                  <w:rFonts w:asciiTheme="majorHAnsi" w:hAnsiTheme="majorHAnsi"/>
                  <w:sz w:val="20"/>
                  <w:szCs w:val="20"/>
                  <w:u w:val="none"/>
                </w:rPr>
                <w:t>Rec.</w:t>
              </w:r>
              <w:r w:rsidR="0021297C" w:rsidRPr="00F152D6">
                <w:rPr>
                  <w:rStyle w:val="Hyperlink"/>
                  <w:rFonts w:asciiTheme="majorHAnsi" w:hAnsiTheme="majorHAnsi"/>
                  <w:sz w:val="20"/>
                  <w:szCs w:val="20"/>
                  <w:u w:val="none"/>
                </w:rPr>
                <w:t> </w:t>
              </w:r>
              <w:r w:rsidR="00B71C58" w:rsidRPr="00F152D6">
                <w:rPr>
                  <w:rStyle w:val="Hyperlink"/>
                  <w:rFonts w:asciiTheme="majorHAnsi" w:hAnsiTheme="majorHAnsi"/>
                  <w:sz w:val="20"/>
                  <w:szCs w:val="20"/>
                  <w:u w:val="none"/>
                </w:rPr>
                <w:t>16-14</w:t>
              </w:r>
            </w:hyperlink>
            <w:r w:rsidRPr="00F152D6">
              <w:rPr>
                <w:rFonts w:asciiTheme="majorHAnsi" w:hAnsiTheme="majorHAnsi"/>
                <w:color w:val="000000"/>
                <w:sz w:val="20"/>
                <w:szCs w:val="20"/>
              </w:rPr>
              <w:t>.</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Demander un </w:t>
            </w:r>
            <w:r w:rsidRPr="00F152D6">
              <w:rPr>
                <w:rFonts w:asciiTheme="majorHAnsi" w:hAnsiTheme="majorHAnsi"/>
                <w:b/>
                <w:color w:val="000000"/>
                <w:sz w:val="20"/>
                <w:szCs w:val="20"/>
              </w:rPr>
              <w:t>plan d'action</w:t>
            </w:r>
            <w:r w:rsidRPr="00F152D6">
              <w:rPr>
                <w:rFonts w:asciiTheme="majorHAnsi" w:hAnsiTheme="majorHAnsi"/>
                <w:color w:val="000000"/>
                <w:sz w:val="20"/>
                <w:szCs w:val="20"/>
              </w:rPr>
              <w:t xml:space="preserve"> sur les mesures à prendre pour satisfaire aux exigences de mise en œuvre de la </w:t>
            </w:r>
            <w:hyperlink r:id="rId20" w:history="1">
              <w:r w:rsidR="00B71C58"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w:t>
            </w:r>
          </w:p>
        </w:tc>
      </w:tr>
      <w:tr w:rsidR="00EE1F75" w:rsidRPr="00F152D6" w14:paraId="46369A5D" w14:textId="77777777" w:rsidTr="00397291">
        <w:trPr>
          <w:trHeight w:val="300"/>
          <w:jc w:val="center"/>
        </w:trPr>
        <w:tc>
          <w:tcPr>
            <w:tcW w:w="1555" w:type="dxa"/>
            <w:noWrap/>
            <w:vAlign w:val="center"/>
            <w:hideMark/>
          </w:tcPr>
          <w:p w14:paraId="7CA49C1C"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 xml:space="preserve">Chine, </w:t>
            </w:r>
            <w:proofErr w:type="spellStart"/>
            <w:r w:rsidRPr="00F152D6">
              <w:rPr>
                <w:rFonts w:asciiTheme="majorHAnsi" w:hAnsiTheme="majorHAnsi"/>
                <w:color w:val="000000"/>
                <w:sz w:val="20"/>
                <w:szCs w:val="20"/>
              </w:rPr>
              <w:t>Rép</w:t>
            </w:r>
            <w:proofErr w:type="spellEnd"/>
            <w:r w:rsidRPr="00F152D6">
              <w:rPr>
                <w:rFonts w:asciiTheme="majorHAnsi" w:hAnsiTheme="majorHAnsi"/>
                <w:color w:val="000000"/>
                <w:sz w:val="20"/>
                <w:szCs w:val="20"/>
              </w:rPr>
              <w:t>. pop.</w:t>
            </w:r>
          </w:p>
        </w:tc>
        <w:tc>
          <w:tcPr>
            <w:tcW w:w="7857" w:type="dxa"/>
            <w:vAlign w:val="center"/>
            <w:hideMark/>
          </w:tcPr>
          <w:p w14:paraId="5205DE86" w14:textId="0DA40CE7" w:rsidR="00EE1F75" w:rsidRPr="00F152D6" w:rsidRDefault="00E66AF4" w:rsidP="00EE1F75">
            <w:pPr>
              <w:jc w:val="both"/>
              <w:rPr>
                <w:rFonts w:asciiTheme="majorHAnsi" w:hAnsiTheme="majorHAnsi"/>
                <w:color w:val="000000"/>
                <w:sz w:val="20"/>
                <w:szCs w:val="20"/>
              </w:rPr>
            </w:pPr>
            <w:r w:rsidRPr="00F152D6">
              <w:rPr>
                <w:rFonts w:asciiTheme="majorHAnsi" w:hAnsiTheme="majorHAnsi"/>
                <w:b/>
                <w:color w:val="000000"/>
                <w:sz w:val="20"/>
                <w:szCs w:val="20"/>
              </w:rPr>
              <w:t>Lettre</w:t>
            </w:r>
            <w:r w:rsidRPr="00F152D6">
              <w:rPr>
                <w:rFonts w:asciiTheme="majorHAnsi" w:hAnsiTheme="majorHAnsi"/>
                <w:color w:val="000000"/>
                <w:sz w:val="20"/>
                <w:szCs w:val="20"/>
              </w:rPr>
              <w:t xml:space="preserve"> sur la déclaration au titre de la Rec. 11-09 sur les oiseaux de mer (formulaire CP44).</w:t>
            </w:r>
          </w:p>
        </w:tc>
      </w:tr>
      <w:tr w:rsidR="003A4FA1" w:rsidRPr="00F152D6" w14:paraId="5ED8AF90" w14:textId="77777777" w:rsidTr="00397291">
        <w:trPr>
          <w:trHeight w:val="300"/>
          <w:jc w:val="center"/>
        </w:trPr>
        <w:tc>
          <w:tcPr>
            <w:tcW w:w="1555" w:type="dxa"/>
            <w:noWrap/>
            <w:vAlign w:val="center"/>
          </w:tcPr>
          <w:p w14:paraId="6EA30BF8" w14:textId="4AB3FF39" w:rsidR="003A4FA1" w:rsidRPr="00F152D6" w:rsidRDefault="003A4FA1" w:rsidP="003A4FA1">
            <w:pPr>
              <w:rPr>
                <w:rFonts w:asciiTheme="majorHAnsi" w:hAnsiTheme="majorHAnsi"/>
                <w:color w:val="000000"/>
                <w:sz w:val="20"/>
                <w:szCs w:val="20"/>
              </w:rPr>
            </w:pPr>
            <w:r w:rsidRPr="00F152D6">
              <w:rPr>
                <w:rFonts w:asciiTheme="majorHAnsi" w:hAnsiTheme="majorHAnsi"/>
                <w:color w:val="000000"/>
                <w:sz w:val="20"/>
                <w:szCs w:val="20"/>
              </w:rPr>
              <w:t>Costa Rica</w:t>
            </w:r>
          </w:p>
        </w:tc>
        <w:tc>
          <w:tcPr>
            <w:tcW w:w="7857" w:type="dxa"/>
            <w:vAlign w:val="center"/>
          </w:tcPr>
          <w:p w14:paraId="000F1D03" w14:textId="626E0D4A" w:rsidR="003A4FA1" w:rsidRPr="00F152D6" w:rsidRDefault="00E66AF4" w:rsidP="003A4FA1">
            <w:pPr>
              <w:jc w:val="both"/>
              <w:rPr>
                <w:rFonts w:asciiTheme="majorHAnsi" w:hAnsiTheme="majorHAnsi"/>
                <w:color w:val="000000"/>
                <w:sz w:val="20"/>
                <w:szCs w:val="20"/>
              </w:rPr>
            </w:pPr>
            <w:r w:rsidRPr="00F152D6">
              <w:rPr>
                <w:rFonts w:asciiTheme="majorHAnsi" w:hAnsiTheme="majorHAnsi"/>
                <w:b/>
                <w:color w:val="000000"/>
                <w:sz w:val="20"/>
                <w:szCs w:val="20"/>
              </w:rPr>
              <w:t>Lettre</w:t>
            </w:r>
            <w:r w:rsidRPr="00F152D6">
              <w:rPr>
                <w:rFonts w:asciiTheme="majorHAnsi" w:hAnsiTheme="majorHAnsi"/>
                <w:color w:val="000000"/>
                <w:sz w:val="20"/>
                <w:szCs w:val="20"/>
              </w:rPr>
              <w:t xml:space="preserve"> concernant la poursuite de la surconsommation d’espadon du Nord et de makaire bleu, la mise en œuvre du programme national d'observateur scientifique (</w:t>
            </w:r>
            <w:hyperlink r:id="rId21"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et notant en outre l'examen en cours par l’ICCAT </w:t>
            </w:r>
            <w:r w:rsidR="00F0123A" w:rsidRPr="00F152D6">
              <w:rPr>
                <w:rFonts w:asciiTheme="majorHAnsi" w:hAnsiTheme="majorHAnsi"/>
                <w:color w:val="000000"/>
                <w:sz w:val="20"/>
                <w:szCs w:val="20"/>
              </w:rPr>
              <w:t xml:space="preserve">du </w:t>
            </w:r>
            <w:r w:rsidR="00C8712D" w:rsidRPr="00F152D6">
              <w:rPr>
                <w:rFonts w:asciiTheme="majorHAnsi" w:hAnsiTheme="majorHAnsi"/>
                <w:sz w:val="20"/>
                <w:szCs w:val="20"/>
              </w:rPr>
              <w:t>soulagement</w:t>
            </w:r>
            <w:r w:rsidRPr="00F152D6">
              <w:rPr>
                <w:rFonts w:asciiTheme="majorHAnsi" w:hAnsiTheme="majorHAnsi"/>
                <w:sz w:val="20"/>
                <w:szCs w:val="20"/>
              </w:rPr>
              <w:t xml:space="preserve"> </w:t>
            </w:r>
            <w:r w:rsidRPr="00F152D6">
              <w:rPr>
                <w:rFonts w:asciiTheme="majorHAnsi" w:hAnsiTheme="majorHAnsi"/>
                <w:color w:val="000000"/>
                <w:sz w:val="20"/>
                <w:szCs w:val="20"/>
              </w:rPr>
              <w:t xml:space="preserve">potentiel </w:t>
            </w:r>
            <w:r w:rsidR="00C8712D" w:rsidRPr="00F152D6">
              <w:rPr>
                <w:rFonts w:asciiTheme="majorHAnsi" w:hAnsiTheme="majorHAnsi"/>
                <w:color w:val="000000"/>
                <w:sz w:val="20"/>
                <w:szCs w:val="20"/>
              </w:rPr>
              <w:t>d</w:t>
            </w:r>
            <w:r w:rsidRPr="00F152D6">
              <w:rPr>
                <w:rFonts w:asciiTheme="majorHAnsi" w:hAnsiTheme="majorHAnsi"/>
                <w:color w:val="000000"/>
                <w:sz w:val="20"/>
                <w:szCs w:val="20"/>
              </w:rPr>
              <w:t>es CPC ayant des surconsommations importantes d'istiophoridés.</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Demander un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sur les mesures à prendre pour résoudre ces questions.</w:t>
            </w:r>
          </w:p>
        </w:tc>
      </w:tr>
      <w:tr w:rsidR="00EE1F75" w:rsidRPr="00F152D6" w14:paraId="00257A05" w14:textId="77777777" w:rsidTr="00397291">
        <w:trPr>
          <w:trHeight w:val="301"/>
          <w:jc w:val="center"/>
        </w:trPr>
        <w:tc>
          <w:tcPr>
            <w:tcW w:w="1555" w:type="dxa"/>
            <w:noWrap/>
            <w:vAlign w:val="center"/>
            <w:hideMark/>
          </w:tcPr>
          <w:p w14:paraId="37CCB9E7"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Côte d'Ivoire</w:t>
            </w:r>
          </w:p>
        </w:tc>
        <w:tc>
          <w:tcPr>
            <w:tcW w:w="7857" w:type="dxa"/>
            <w:vAlign w:val="center"/>
            <w:hideMark/>
          </w:tcPr>
          <w:p w14:paraId="44049DC5" w14:textId="6F01624C" w:rsidR="00547CBD" w:rsidRPr="00F152D6" w:rsidRDefault="00E66AF4" w:rsidP="00EE1F75">
            <w:pPr>
              <w:jc w:val="both"/>
              <w:rPr>
                <w:rFonts w:asciiTheme="majorHAnsi" w:hAnsiTheme="majorHAnsi"/>
                <w:color w:val="000000"/>
                <w:sz w:val="20"/>
                <w:szCs w:val="20"/>
              </w:rPr>
            </w:pPr>
            <w:r w:rsidRPr="00F152D6">
              <w:rPr>
                <w:rFonts w:asciiTheme="majorHAnsi" w:hAnsiTheme="majorHAnsi"/>
                <w:b/>
                <w:bCs/>
                <w:color w:val="000000"/>
                <w:sz w:val="20"/>
                <w:szCs w:val="20"/>
              </w:rPr>
              <w:t>Lettre</w:t>
            </w:r>
            <w:r w:rsidRPr="00F152D6">
              <w:rPr>
                <w:rFonts w:asciiTheme="majorHAnsi" w:hAnsiTheme="majorHAnsi"/>
                <w:color w:val="000000"/>
                <w:sz w:val="20"/>
                <w:szCs w:val="20"/>
              </w:rPr>
              <w:t xml:space="preserve"> faisant état de problèmes de déclaration (information incomplète ou manquante), concernant la mise en œuvre des exigences relatives aux observateurs scientifiques nationaux (</w:t>
            </w:r>
            <w:hyperlink r:id="rId22" w:history="1">
              <w:r w:rsidR="00B71C58"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Constat positif des efforts récents de collaboration avec le </w:t>
            </w:r>
            <w:r w:rsidRPr="00F152D6">
              <w:rPr>
                <w:rFonts w:asciiTheme="majorHAnsi" w:hAnsiTheme="majorHAnsi"/>
                <w:color w:val="000000"/>
                <w:sz w:val="20"/>
                <w:szCs w:val="20"/>
              </w:rPr>
              <w:lastRenderedPageBreak/>
              <w:t>Secrétariat de l’ICCAT afin d'améliorer la capacité de déclaration et d’application.</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Lettre demandant également toute </w:t>
            </w:r>
            <w:r w:rsidRPr="00F152D6">
              <w:rPr>
                <w:rFonts w:asciiTheme="majorHAnsi" w:hAnsiTheme="majorHAnsi"/>
                <w:b/>
                <w:color w:val="000000"/>
                <w:sz w:val="20"/>
                <w:szCs w:val="20"/>
              </w:rPr>
              <w:t>mise à jour</w:t>
            </w:r>
            <w:r w:rsidRPr="00F152D6">
              <w:rPr>
                <w:rFonts w:asciiTheme="majorHAnsi" w:hAnsiTheme="majorHAnsi"/>
                <w:color w:val="000000"/>
                <w:sz w:val="20"/>
                <w:szCs w:val="20"/>
              </w:rPr>
              <w:t xml:space="preserve"> applicable au </w:t>
            </w:r>
            <w:r w:rsidRPr="00F152D6">
              <w:rPr>
                <w:rFonts w:asciiTheme="majorHAnsi" w:hAnsiTheme="majorHAnsi"/>
                <w:b/>
                <w:color w:val="000000"/>
                <w:sz w:val="20"/>
                <w:szCs w:val="20"/>
              </w:rPr>
              <w:t>plan d'action</w:t>
            </w:r>
            <w:r w:rsidRPr="00F152D6">
              <w:rPr>
                <w:rFonts w:asciiTheme="majorHAnsi" w:hAnsiTheme="majorHAnsi"/>
                <w:color w:val="000000"/>
                <w:sz w:val="20"/>
                <w:szCs w:val="20"/>
              </w:rPr>
              <w:t xml:space="preserve"> soumis en 2025.</w:t>
            </w:r>
          </w:p>
        </w:tc>
      </w:tr>
      <w:tr w:rsidR="0018746A" w:rsidRPr="00F152D6" w14:paraId="55334125" w14:textId="77777777" w:rsidTr="00397291">
        <w:trPr>
          <w:trHeight w:val="300"/>
          <w:jc w:val="center"/>
        </w:trPr>
        <w:tc>
          <w:tcPr>
            <w:tcW w:w="1555" w:type="dxa"/>
            <w:noWrap/>
            <w:vAlign w:val="center"/>
          </w:tcPr>
          <w:p w14:paraId="202D1F24" w14:textId="49D5A3AB" w:rsidR="0018746A" w:rsidRPr="00F152D6" w:rsidRDefault="0018746A" w:rsidP="00EE1F75">
            <w:pPr>
              <w:rPr>
                <w:rFonts w:asciiTheme="majorHAnsi" w:hAnsiTheme="majorHAnsi"/>
                <w:color w:val="000000"/>
                <w:sz w:val="20"/>
                <w:szCs w:val="20"/>
              </w:rPr>
            </w:pPr>
            <w:r w:rsidRPr="00F152D6">
              <w:rPr>
                <w:rFonts w:asciiTheme="majorHAnsi" w:hAnsiTheme="majorHAnsi"/>
                <w:color w:val="000000"/>
                <w:sz w:val="20"/>
                <w:szCs w:val="20"/>
              </w:rPr>
              <w:lastRenderedPageBreak/>
              <w:t>Cuba</w:t>
            </w:r>
          </w:p>
        </w:tc>
        <w:tc>
          <w:tcPr>
            <w:tcW w:w="7857" w:type="dxa"/>
            <w:vAlign w:val="center"/>
          </w:tcPr>
          <w:p w14:paraId="7E105FAC" w14:textId="64292605" w:rsidR="0018746A" w:rsidRPr="00F152D6" w:rsidRDefault="00E66AF4" w:rsidP="00EE1F75">
            <w:pPr>
              <w:jc w:val="both"/>
              <w:rPr>
                <w:rFonts w:asciiTheme="majorHAnsi" w:hAnsiTheme="majorHAnsi"/>
                <w:color w:val="000000"/>
                <w:sz w:val="20"/>
                <w:szCs w:val="20"/>
              </w:rPr>
            </w:pPr>
            <w:r w:rsidRPr="00F152D6">
              <w:rPr>
                <w:rFonts w:asciiTheme="majorHAnsi" w:hAnsiTheme="majorHAnsi"/>
                <w:b/>
                <w:bCs/>
                <w:color w:val="000000"/>
                <w:sz w:val="20"/>
                <w:szCs w:val="20"/>
              </w:rPr>
              <w:t>Aucune action nécessaire.</w:t>
            </w:r>
          </w:p>
        </w:tc>
      </w:tr>
      <w:tr w:rsidR="00EE1F75" w:rsidRPr="00F152D6" w14:paraId="053F33AC" w14:textId="77777777" w:rsidTr="00397291">
        <w:trPr>
          <w:trHeight w:val="300"/>
          <w:jc w:val="center"/>
        </w:trPr>
        <w:tc>
          <w:tcPr>
            <w:tcW w:w="1555" w:type="dxa"/>
            <w:noWrap/>
            <w:vAlign w:val="center"/>
            <w:hideMark/>
          </w:tcPr>
          <w:p w14:paraId="38C6B110" w14:textId="188933FF"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Curaçao</w:t>
            </w:r>
          </w:p>
        </w:tc>
        <w:tc>
          <w:tcPr>
            <w:tcW w:w="7857" w:type="dxa"/>
            <w:vAlign w:val="center"/>
            <w:hideMark/>
          </w:tcPr>
          <w:p w14:paraId="398382D7" w14:textId="5360073F" w:rsidR="00EE1F75" w:rsidRPr="00F152D6" w:rsidRDefault="00E66AF4" w:rsidP="00EE1F75">
            <w:pPr>
              <w:jc w:val="both"/>
              <w:rPr>
                <w:rFonts w:asciiTheme="majorHAnsi" w:hAnsiTheme="majorHAnsi"/>
                <w:color w:val="000000"/>
                <w:sz w:val="20"/>
                <w:szCs w:val="20"/>
              </w:rPr>
            </w:pPr>
            <w:r w:rsidRPr="00F152D6">
              <w:rPr>
                <w:rFonts w:asciiTheme="majorHAnsi" w:hAnsiTheme="majorHAnsi"/>
                <w:b/>
                <w:color w:val="000000"/>
                <w:sz w:val="20"/>
                <w:szCs w:val="20"/>
              </w:rPr>
              <w:t>Aucune action nécessaire</w:t>
            </w:r>
            <w:r w:rsidRPr="00F152D6">
              <w:rPr>
                <w:rFonts w:asciiTheme="majorHAnsi" w:hAnsiTheme="majorHAnsi"/>
                <w:color w:val="000000"/>
                <w:sz w:val="20"/>
                <w:szCs w:val="20"/>
              </w:rPr>
              <w:t xml:space="preserve"> </w:t>
            </w:r>
          </w:p>
        </w:tc>
      </w:tr>
      <w:tr w:rsidR="00EE1F75" w:rsidRPr="00F152D6" w14:paraId="279F45A2" w14:textId="77777777" w:rsidTr="00397291">
        <w:trPr>
          <w:trHeight w:val="301"/>
          <w:jc w:val="center"/>
        </w:trPr>
        <w:tc>
          <w:tcPr>
            <w:tcW w:w="1555" w:type="dxa"/>
            <w:noWrap/>
            <w:vAlign w:val="center"/>
            <w:hideMark/>
          </w:tcPr>
          <w:p w14:paraId="64ADFE7C"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Égypte</w:t>
            </w:r>
          </w:p>
        </w:tc>
        <w:tc>
          <w:tcPr>
            <w:tcW w:w="7857" w:type="dxa"/>
            <w:vAlign w:val="center"/>
            <w:hideMark/>
          </w:tcPr>
          <w:p w14:paraId="0208D350" w14:textId="5C1032FB" w:rsidR="00EE1F75" w:rsidRPr="00F152D6" w:rsidRDefault="00E66AF4" w:rsidP="00EE1F75">
            <w:pPr>
              <w:jc w:val="both"/>
              <w:rPr>
                <w:rFonts w:asciiTheme="majorHAnsi" w:hAnsiTheme="majorHAnsi"/>
                <w:color w:val="000000"/>
                <w:sz w:val="20"/>
                <w:szCs w:val="20"/>
              </w:rPr>
            </w:pPr>
            <w:r w:rsidRPr="00F152D6">
              <w:rPr>
                <w:rFonts w:asciiTheme="majorHAnsi" w:hAnsiTheme="majorHAnsi"/>
                <w:b/>
                <w:color w:val="000000"/>
                <w:sz w:val="20"/>
                <w:szCs w:val="20"/>
              </w:rPr>
              <w:t>Lettre</w:t>
            </w:r>
            <w:r w:rsidRPr="00F152D6">
              <w:rPr>
                <w:rFonts w:asciiTheme="majorHAnsi" w:hAnsiTheme="majorHAnsi"/>
                <w:color w:val="000000"/>
                <w:sz w:val="20"/>
                <w:szCs w:val="20"/>
              </w:rPr>
              <w:t xml:space="preserve"> sur la déclaration (information tardive ou manquante), tout en observant une amélioration positive ; notant également la mise en œuvre des exigences en matière d'observateurs scientifiques (</w:t>
            </w:r>
            <w:hyperlink r:id="rId23" w:history="1">
              <w:r w:rsidR="00B71C58"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et la surconsommation, tout en observant les mesures liées au quota prises dans la Sous-commission pertinente en 2024.</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Demander un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sur les mesures à prendre pour aborder ces questions.</w:t>
            </w:r>
          </w:p>
        </w:tc>
      </w:tr>
      <w:tr w:rsidR="00EE1F75" w:rsidRPr="00F152D6" w14:paraId="269F5922" w14:textId="77777777" w:rsidTr="00397291">
        <w:trPr>
          <w:trHeight w:val="301"/>
          <w:jc w:val="center"/>
        </w:trPr>
        <w:tc>
          <w:tcPr>
            <w:tcW w:w="1555" w:type="dxa"/>
            <w:noWrap/>
            <w:vAlign w:val="center"/>
          </w:tcPr>
          <w:p w14:paraId="243F19B8"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El Salvador</w:t>
            </w:r>
          </w:p>
        </w:tc>
        <w:tc>
          <w:tcPr>
            <w:tcW w:w="7857" w:type="dxa"/>
            <w:vAlign w:val="center"/>
          </w:tcPr>
          <w:p w14:paraId="23CA655D" w14:textId="558075BC" w:rsidR="00EE1F75" w:rsidRPr="00F152D6" w:rsidRDefault="00E66AF4" w:rsidP="00EE1F75">
            <w:pPr>
              <w:jc w:val="both"/>
              <w:rPr>
                <w:rFonts w:asciiTheme="majorHAnsi" w:hAnsiTheme="majorHAnsi"/>
                <w:i/>
                <w:color w:val="000000"/>
                <w:sz w:val="20"/>
                <w:szCs w:val="20"/>
              </w:rPr>
            </w:pPr>
            <w:r w:rsidRPr="00F152D6">
              <w:rPr>
                <w:rFonts w:asciiTheme="majorHAnsi" w:hAnsiTheme="majorHAnsi"/>
                <w:b/>
                <w:bCs/>
                <w:color w:val="000000"/>
                <w:sz w:val="20"/>
                <w:szCs w:val="20"/>
              </w:rPr>
              <w:t>Aucune action nécessaire.</w:t>
            </w:r>
          </w:p>
        </w:tc>
      </w:tr>
      <w:tr w:rsidR="00EE1F75" w:rsidRPr="00F152D6" w14:paraId="7EB79616" w14:textId="77777777" w:rsidTr="00397291">
        <w:trPr>
          <w:trHeight w:val="301"/>
          <w:jc w:val="center"/>
        </w:trPr>
        <w:tc>
          <w:tcPr>
            <w:tcW w:w="1555" w:type="dxa"/>
            <w:noWrap/>
            <w:vAlign w:val="center"/>
          </w:tcPr>
          <w:p w14:paraId="4A2B379B"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Guinée équatoriale</w:t>
            </w:r>
          </w:p>
        </w:tc>
        <w:tc>
          <w:tcPr>
            <w:tcW w:w="7857" w:type="dxa"/>
            <w:vAlign w:val="center"/>
          </w:tcPr>
          <w:p w14:paraId="77010F5F" w14:textId="20AD0D5D" w:rsidR="00EE1F75" w:rsidRPr="00F152D6" w:rsidRDefault="00E66AF4" w:rsidP="00EE1F75">
            <w:pPr>
              <w:jc w:val="both"/>
              <w:rPr>
                <w:rFonts w:asciiTheme="majorHAnsi" w:hAnsiTheme="majorHAnsi"/>
                <w:color w:val="000000"/>
                <w:sz w:val="20"/>
                <w:szCs w:val="20"/>
              </w:rPr>
            </w:pPr>
            <w:r w:rsidRPr="00F152D6">
              <w:rPr>
                <w:rFonts w:asciiTheme="majorHAnsi" w:hAnsiTheme="majorHAnsi"/>
                <w:b/>
                <w:color w:val="000000"/>
                <w:sz w:val="20"/>
                <w:szCs w:val="20"/>
              </w:rPr>
              <w:t>Lettre</w:t>
            </w:r>
            <w:r w:rsidRPr="00F152D6">
              <w:rPr>
                <w:rFonts w:asciiTheme="majorHAnsi" w:hAnsiTheme="majorHAnsi"/>
                <w:color w:val="000000"/>
                <w:sz w:val="20"/>
                <w:szCs w:val="20"/>
              </w:rPr>
              <w:t xml:space="preserve"> sur les insuffisances importantes en matière de déclaration (pas de rapport annuel, pas de données statistiques, autres), la mise en œuvre du programme d'observateurs scientifiques (</w:t>
            </w:r>
            <w:hyperlink r:id="rId24" w:history="1">
              <w:r w:rsidR="00B71C58"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et visant à réitérer les demandes d'informations contenues dans les </w:t>
            </w:r>
            <w:r w:rsidRPr="00F152D6">
              <w:rPr>
                <w:rFonts w:asciiTheme="majorHAnsi" w:hAnsiTheme="majorHAnsi"/>
                <w:b/>
                <w:color w:val="000000"/>
                <w:sz w:val="20"/>
                <w:szCs w:val="20"/>
              </w:rPr>
              <w:t>lettre</w:t>
            </w:r>
            <w:r w:rsidRPr="00F152D6">
              <w:rPr>
                <w:rFonts w:asciiTheme="majorHAnsi" w:hAnsiTheme="majorHAnsi"/>
                <w:b/>
                <w:bCs/>
                <w:color w:val="000000"/>
                <w:sz w:val="20"/>
                <w:szCs w:val="20"/>
              </w:rPr>
              <w:t>s</w:t>
            </w:r>
            <w:r w:rsidRPr="00F152D6">
              <w:rPr>
                <w:rFonts w:asciiTheme="majorHAnsi" w:hAnsiTheme="majorHAnsi"/>
                <w:color w:val="000000"/>
                <w:sz w:val="20"/>
                <w:szCs w:val="20"/>
              </w:rPr>
              <w:t xml:space="preserve"> du Président du COC à la suite des réunions de 2023 et 2024.</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Encourager la prise de contact avec le Secrétariat ou d'autres prestataires pour demander un renforcement des capacités.</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Demander un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sur les mesures à prendre pour résoudre ces questions.</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Rappeler également la possibilité d'une </w:t>
            </w:r>
            <w:r w:rsidRPr="00F152D6">
              <w:rPr>
                <w:rFonts w:asciiTheme="majorHAnsi" w:hAnsiTheme="majorHAnsi"/>
                <w:b/>
                <w:color w:val="000000"/>
                <w:sz w:val="20"/>
                <w:szCs w:val="20"/>
              </w:rPr>
              <w:t>identification</w:t>
            </w:r>
            <w:r w:rsidRPr="00F152D6">
              <w:rPr>
                <w:rFonts w:asciiTheme="majorHAnsi" w:hAnsiTheme="majorHAnsi"/>
                <w:color w:val="000000"/>
                <w:sz w:val="20"/>
                <w:szCs w:val="20"/>
              </w:rPr>
              <w:t xml:space="preserve"> au titre de la Rec. 06-13 sur les mesures commerciales si aucune amélioration n'est démontrée lors de la réunion de 2026.</w:t>
            </w:r>
          </w:p>
        </w:tc>
      </w:tr>
      <w:tr w:rsidR="00EE1F75" w:rsidRPr="00F152D6" w14:paraId="3F35C697" w14:textId="77777777" w:rsidTr="00397291">
        <w:trPr>
          <w:trHeight w:val="301"/>
          <w:jc w:val="center"/>
        </w:trPr>
        <w:tc>
          <w:tcPr>
            <w:tcW w:w="1555" w:type="dxa"/>
            <w:noWrap/>
            <w:vAlign w:val="center"/>
            <w:hideMark/>
          </w:tcPr>
          <w:p w14:paraId="6405BD74"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Union européenne</w:t>
            </w:r>
          </w:p>
        </w:tc>
        <w:tc>
          <w:tcPr>
            <w:tcW w:w="7857" w:type="dxa"/>
            <w:vAlign w:val="center"/>
            <w:hideMark/>
          </w:tcPr>
          <w:p w14:paraId="4B4207E5" w14:textId="645BF0D6" w:rsidR="00EE1F75" w:rsidRPr="00F152D6" w:rsidRDefault="00E66AF4" w:rsidP="00EE1F75">
            <w:pPr>
              <w:jc w:val="both"/>
              <w:rPr>
                <w:rFonts w:asciiTheme="majorHAnsi" w:hAnsiTheme="majorHAnsi"/>
                <w:color w:val="000000"/>
                <w:sz w:val="20"/>
                <w:szCs w:val="20"/>
              </w:rPr>
            </w:pPr>
            <w:r w:rsidRPr="00F152D6">
              <w:rPr>
                <w:rFonts w:asciiTheme="majorHAnsi" w:hAnsiTheme="majorHAnsi"/>
                <w:b/>
                <w:color w:val="000000"/>
                <w:sz w:val="20"/>
                <w:szCs w:val="20"/>
              </w:rPr>
              <w:t>Lettre</w:t>
            </w:r>
            <w:r w:rsidRPr="00F152D6">
              <w:rPr>
                <w:rFonts w:asciiTheme="majorHAnsi" w:hAnsiTheme="majorHAnsi"/>
                <w:color w:val="000000"/>
                <w:sz w:val="20"/>
                <w:szCs w:val="20"/>
              </w:rPr>
              <w:t xml:space="preserve"> pour s'enquérir de la question de la déclaration de la documentation d’importation de thon obèse et d'espadon, de la déclaration de la capacité de transport en vertu de la Rec.</w:t>
            </w:r>
            <w:r w:rsidR="00B71C58" w:rsidRPr="00F152D6">
              <w:rPr>
                <w:rFonts w:asciiTheme="majorHAnsi" w:hAnsiTheme="majorHAnsi"/>
                <w:color w:val="000000"/>
                <w:sz w:val="20"/>
                <w:szCs w:val="20"/>
              </w:rPr>
              <w:t> </w:t>
            </w:r>
            <w:r w:rsidRPr="00F152D6">
              <w:rPr>
                <w:rFonts w:asciiTheme="majorHAnsi" w:hAnsiTheme="majorHAnsi"/>
                <w:color w:val="000000"/>
                <w:sz w:val="20"/>
                <w:szCs w:val="20"/>
              </w:rPr>
              <w:t>24-01, et pour solliciter des informations supplémentaires concernant la couverture du programme national d'observateurs scientifiques (</w:t>
            </w:r>
            <w:hyperlink r:id="rId25" w:history="1">
              <w:r w:rsidR="00FA0DA4"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w:t>
            </w:r>
          </w:p>
        </w:tc>
      </w:tr>
      <w:tr w:rsidR="00EE1F75" w:rsidRPr="00F152D6" w14:paraId="49E94691" w14:textId="77777777" w:rsidTr="00397291">
        <w:trPr>
          <w:trHeight w:val="300"/>
          <w:jc w:val="center"/>
        </w:trPr>
        <w:tc>
          <w:tcPr>
            <w:tcW w:w="1555" w:type="dxa"/>
            <w:noWrap/>
            <w:vAlign w:val="center"/>
            <w:hideMark/>
          </w:tcPr>
          <w:p w14:paraId="0D106600"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France (SPM)</w:t>
            </w:r>
          </w:p>
        </w:tc>
        <w:tc>
          <w:tcPr>
            <w:tcW w:w="7857" w:type="dxa"/>
            <w:vAlign w:val="center"/>
            <w:hideMark/>
          </w:tcPr>
          <w:p w14:paraId="4925CAFE" w14:textId="527642C2" w:rsidR="00EE1F75" w:rsidRPr="00F152D6" w:rsidRDefault="00E66AF4" w:rsidP="00EE1F75">
            <w:pPr>
              <w:jc w:val="both"/>
              <w:rPr>
                <w:rFonts w:asciiTheme="majorHAnsi" w:hAnsiTheme="majorHAnsi"/>
                <w:color w:val="000000"/>
                <w:sz w:val="20"/>
                <w:szCs w:val="20"/>
              </w:rPr>
            </w:pPr>
            <w:r w:rsidRPr="00F152D6">
              <w:rPr>
                <w:rFonts w:asciiTheme="majorHAnsi" w:hAnsiTheme="majorHAnsi"/>
                <w:b/>
                <w:bCs/>
                <w:color w:val="000000"/>
                <w:sz w:val="20"/>
                <w:szCs w:val="20"/>
              </w:rPr>
              <w:t>Aucune action nécessaire.</w:t>
            </w:r>
          </w:p>
        </w:tc>
      </w:tr>
      <w:tr w:rsidR="00EE1F75" w:rsidRPr="00F152D6" w14:paraId="2F0A312A" w14:textId="77777777" w:rsidTr="00397291">
        <w:trPr>
          <w:trHeight w:val="300"/>
          <w:jc w:val="center"/>
        </w:trPr>
        <w:tc>
          <w:tcPr>
            <w:tcW w:w="1555" w:type="dxa"/>
            <w:noWrap/>
            <w:vAlign w:val="center"/>
            <w:hideMark/>
          </w:tcPr>
          <w:p w14:paraId="15450FC8"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Gabon</w:t>
            </w:r>
          </w:p>
        </w:tc>
        <w:tc>
          <w:tcPr>
            <w:tcW w:w="7857" w:type="dxa"/>
            <w:vAlign w:val="center"/>
            <w:hideMark/>
          </w:tcPr>
          <w:p w14:paraId="157B1CBD" w14:textId="0870A55B" w:rsidR="00EE1F75" w:rsidRPr="00F152D6" w:rsidRDefault="00E66AF4" w:rsidP="00EE1F75">
            <w:pPr>
              <w:jc w:val="both"/>
              <w:rPr>
                <w:rFonts w:asciiTheme="majorHAnsi" w:hAnsiTheme="majorHAnsi"/>
                <w:color w:val="000000"/>
                <w:sz w:val="20"/>
                <w:szCs w:val="20"/>
              </w:rPr>
            </w:pPr>
            <w:r w:rsidRPr="00F152D6">
              <w:rPr>
                <w:rFonts w:asciiTheme="majorHAnsi" w:hAnsiTheme="majorHAnsi"/>
                <w:b/>
                <w:bCs/>
                <w:color w:val="000000"/>
                <w:sz w:val="20"/>
                <w:szCs w:val="20"/>
              </w:rPr>
              <w:t>Lettre</w:t>
            </w:r>
            <w:r w:rsidRPr="00F152D6">
              <w:rPr>
                <w:rFonts w:asciiTheme="majorHAnsi" w:hAnsiTheme="majorHAnsi"/>
                <w:color w:val="000000"/>
                <w:sz w:val="20"/>
                <w:szCs w:val="20"/>
              </w:rPr>
              <w:t xml:space="preserve"> faisant état de la déclaration tardive, la mise en œuvre du programme d’observateurs scientifiques (</w:t>
            </w:r>
            <w:hyperlink r:id="rId26" w:history="1">
              <w:r w:rsidR="00FD6DD5"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et les mesures concernant les tortues marines.</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Demander un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sur les mesures à prendre pour résoudre ces questions.</w:t>
            </w:r>
          </w:p>
        </w:tc>
      </w:tr>
      <w:tr w:rsidR="00814E7A" w:rsidRPr="00F152D6" w14:paraId="237DF61B" w14:textId="77777777" w:rsidTr="00397291">
        <w:trPr>
          <w:trHeight w:val="300"/>
          <w:jc w:val="center"/>
        </w:trPr>
        <w:tc>
          <w:tcPr>
            <w:tcW w:w="1555" w:type="dxa"/>
            <w:noWrap/>
            <w:vAlign w:val="center"/>
          </w:tcPr>
          <w:p w14:paraId="7F81CC06" w14:textId="11909E86" w:rsidR="00814E7A" w:rsidRPr="00F152D6" w:rsidRDefault="00814E7A" w:rsidP="00814E7A">
            <w:pPr>
              <w:rPr>
                <w:rFonts w:asciiTheme="majorHAnsi" w:hAnsiTheme="majorHAnsi"/>
                <w:color w:val="000000"/>
                <w:sz w:val="20"/>
                <w:szCs w:val="20"/>
              </w:rPr>
            </w:pPr>
            <w:r w:rsidRPr="00F152D6">
              <w:rPr>
                <w:rFonts w:asciiTheme="majorHAnsi" w:hAnsiTheme="majorHAnsi"/>
                <w:color w:val="000000"/>
                <w:sz w:val="20"/>
                <w:szCs w:val="20"/>
              </w:rPr>
              <w:t>Gambie</w:t>
            </w:r>
          </w:p>
        </w:tc>
        <w:tc>
          <w:tcPr>
            <w:tcW w:w="7857" w:type="dxa"/>
            <w:vAlign w:val="center"/>
          </w:tcPr>
          <w:p w14:paraId="317D0036" w14:textId="0255990A" w:rsidR="00814E7A" w:rsidRPr="00F152D6" w:rsidRDefault="00E66AF4" w:rsidP="00814E7A">
            <w:pPr>
              <w:jc w:val="both"/>
              <w:rPr>
                <w:rFonts w:asciiTheme="majorHAnsi" w:hAnsiTheme="majorHAnsi"/>
                <w:color w:val="000000"/>
                <w:sz w:val="20"/>
                <w:szCs w:val="20"/>
              </w:rPr>
            </w:pPr>
            <w:r w:rsidRPr="00F152D6">
              <w:rPr>
                <w:rFonts w:asciiTheme="majorHAnsi" w:hAnsiTheme="majorHAnsi"/>
                <w:b/>
                <w:bCs/>
                <w:color w:val="000000"/>
                <w:sz w:val="20"/>
                <w:szCs w:val="20"/>
              </w:rPr>
              <w:t xml:space="preserve">Maintien de l’identification </w:t>
            </w:r>
            <w:r w:rsidRPr="00F152D6">
              <w:rPr>
                <w:rFonts w:asciiTheme="majorHAnsi" w:hAnsiTheme="majorHAnsi"/>
                <w:color w:val="000000"/>
                <w:sz w:val="20"/>
                <w:szCs w:val="20"/>
              </w:rPr>
              <w:t xml:space="preserve">pour d’importants problèmes récurrents en matière de déclaration (pas de rapport annuel, absence ou réception tardive d’autres rapports), absence de réponse à la </w:t>
            </w:r>
            <w:r w:rsidRPr="00F152D6">
              <w:rPr>
                <w:rFonts w:asciiTheme="majorHAnsi" w:hAnsiTheme="majorHAnsi"/>
                <w:b/>
                <w:bCs/>
                <w:color w:val="000000"/>
                <w:sz w:val="20"/>
                <w:szCs w:val="20"/>
              </w:rPr>
              <w:t>lettre</w:t>
            </w:r>
            <w:r w:rsidRPr="00F152D6">
              <w:rPr>
                <w:rFonts w:asciiTheme="majorHAnsi" w:hAnsiTheme="majorHAnsi"/>
                <w:color w:val="000000"/>
                <w:sz w:val="20"/>
                <w:szCs w:val="20"/>
              </w:rPr>
              <w:t xml:space="preserve"> du Président du COC (autre problème récurrent), aucun </w:t>
            </w:r>
            <w:r w:rsidRPr="00F152D6">
              <w:rPr>
                <w:rFonts w:asciiTheme="majorHAnsi" w:hAnsiTheme="majorHAnsi"/>
                <w:b/>
                <w:bCs/>
                <w:color w:val="000000"/>
                <w:sz w:val="20"/>
                <w:szCs w:val="20"/>
              </w:rPr>
              <w:t xml:space="preserve">plan d'action </w:t>
            </w:r>
            <w:r w:rsidRPr="00F152D6">
              <w:rPr>
                <w:rFonts w:asciiTheme="majorHAnsi" w:hAnsiTheme="majorHAnsi"/>
                <w:color w:val="000000"/>
                <w:sz w:val="20"/>
                <w:szCs w:val="20"/>
              </w:rPr>
              <w:t>soumis, encouragement à demander une assistance technique au Secrétariat, le cas échéant.</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Réitérer les demandes formulées dans les lettres du Président du COC de 2022, 2023 et 2024, y compris la demande d'une réponse complémentaire aux allégations formulées dans les documents COC-312/2023 et COC-312/2024.</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Réitérer la demande de </w:t>
            </w:r>
            <w:r w:rsidRPr="00F152D6">
              <w:rPr>
                <w:rFonts w:asciiTheme="majorHAnsi" w:hAnsiTheme="majorHAnsi"/>
                <w:b/>
                <w:bCs/>
                <w:color w:val="000000"/>
                <w:sz w:val="20"/>
                <w:szCs w:val="20"/>
              </w:rPr>
              <w:t>plan d'action.</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Prendre note de la demande expresse adressée par la Gambie au Secrétariat pour obtenir un soutien lors de la réunion du COC afin de rectifier l’application des exigences </w:t>
            </w:r>
            <w:r w:rsidR="00E266EB" w:rsidRPr="00F152D6">
              <w:rPr>
                <w:rFonts w:asciiTheme="majorHAnsi" w:hAnsiTheme="majorHAnsi"/>
                <w:color w:val="000000"/>
                <w:sz w:val="20"/>
                <w:szCs w:val="20"/>
              </w:rPr>
              <w:t xml:space="preserve">de </w:t>
            </w:r>
            <w:r w:rsidRPr="00F152D6">
              <w:rPr>
                <w:rFonts w:asciiTheme="majorHAnsi" w:hAnsiTheme="majorHAnsi"/>
                <w:color w:val="000000"/>
                <w:sz w:val="20"/>
                <w:szCs w:val="20"/>
              </w:rPr>
              <w:t>déclaration et la soumission du questionnaire sur le renforcement des capacités.</w:t>
            </w:r>
          </w:p>
        </w:tc>
      </w:tr>
      <w:tr w:rsidR="00EE1F75" w:rsidRPr="00F152D6" w14:paraId="04847BA7" w14:textId="77777777" w:rsidTr="00397291">
        <w:trPr>
          <w:trHeight w:val="300"/>
          <w:jc w:val="center"/>
        </w:trPr>
        <w:tc>
          <w:tcPr>
            <w:tcW w:w="1555" w:type="dxa"/>
            <w:noWrap/>
            <w:vAlign w:val="center"/>
            <w:hideMark/>
          </w:tcPr>
          <w:p w14:paraId="350CDC12"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Ghana</w:t>
            </w:r>
          </w:p>
        </w:tc>
        <w:tc>
          <w:tcPr>
            <w:tcW w:w="7857" w:type="dxa"/>
            <w:vAlign w:val="center"/>
            <w:hideMark/>
          </w:tcPr>
          <w:p w14:paraId="496360C7" w14:textId="089C38CE" w:rsidR="00EE1F75" w:rsidRPr="00F152D6" w:rsidRDefault="00E66AF4" w:rsidP="00EE1F75">
            <w:pPr>
              <w:jc w:val="both"/>
              <w:rPr>
                <w:rFonts w:asciiTheme="majorHAnsi" w:hAnsiTheme="majorHAnsi"/>
                <w:color w:val="000000"/>
                <w:sz w:val="20"/>
                <w:szCs w:val="20"/>
              </w:rPr>
            </w:pPr>
            <w:r w:rsidRPr="00F152D6">
              <w:rPr>
                <w:rFonts w:asciiTheme="majorHAnsi" w:hAnsiTheme="majorHAnsi"/>
                <w:b/>
                <w:bCs/>
                <w:sz w:val="20"/>
                <w:szCs w:val="20"/>
              </w:rPr>
              <w:t>Lettre</w:t>
            </w:r>
            <w:r w:rsidRPr="00F152D6">
              <w:rPr>
                <w:rFonts w:asciiTheme="majorHAnsi" w:hAnsiTheme="majorHAnsi"/>
                <w:sz w:val="20"/>
                <w:szCs w:val="20"/>
              </w:rPr>
              <w:t xml:space="preserve"> faisant état de la déclaration des données statistiques, la mise en œuvre du programme national d'observateurs scientifiques (</w:t>
            </w:r>
            <w:hyperlink r:id="rId27" w:history="1">
              <w:r w:rsidR="00E51F4B" w:rsidRPr="00F152D6">
                <w:rPr>
                  <w:rStyle w:val="Hyperlink"/>
                  <w:rFonts w:asciiTheme="majorHAnsi" w:hAnsiTheme="majorHAnsi"/>
                  <w:sz w:val="20"/>
                  <w:szCs w:val="20"/>
                  <w:u w:val="none"/>
                </w:rPr>
                <w:t>Rec. 16-14</w:t>
              </w:r>
            </w:hyperlink>
            <w:r w:rsidRPr="00F152D6">
              <w:rPr>
                <w:rFonts w:asciiTheme="majorHAnsi" w:hAnsiTheme="majorHAnsi"/>
                <w:sz w:val="20"/>
                <w:szCs w:val="20"/>
              </w:rPr>
              <w:t>).</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Demander un </w:t>
            </w:r>
            <w:r w:rsidRPr="00F152D6">
              <w:rPr>
                <w:rFonts w:asciiTheme="majorHAnsi" w:hAnsiTheme="majorHAnsi"/>
                <w:b/>
                <w:color w:val="000000"/>
                <w:sz w:val="20"/>
                <w:szCs w:val="20"/>
              </w:rPr>
              <w:t>plan d'action</w:t>
            </w:r>
            <w:r w:rsidRPr="00F152D6">
              <w:rPr>
                <w:rFonts w:asciiTheme="majorHAnsi" w:hAnsiTheme="majorHAnsi"/>
                <w:color w:val="000000"/>
                <w:sz w:val="20"/>
                <w:szCs w:val="20"/>
              </w:rPr>
              <w:t xml:space="preserve"> sur les mesures à prendre pour satisfaire aux exigences prévues par la </w:t>
            </w:r>
            <w:hyperlink r:id="rId28" w:history="1">
              <w:r w:rsidR="00E51F4B"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w:t>
            </w:r>
          </w:p>
        </w:tc>
      </w:tr>
      <w:tr w:rsidR="00EE1F75" w:rsidRPr="00F152D6" w14:paraId="0014648D" w14:textId="77777777" w:rsidTr="00397291">
        <w:trPr>
          <w:trHeight w:val="300"/>
          <w:jc w:val="center"/>
        </w:trPr>
        <w:tc>
          <w:tcPr>
            <w:tcW w:w="1555" w:type="dxa"/>
            <w:noWrap/>
            <w:vAlign w:val="center"/>
          </w:tcPr>
          <w:p w14:paraId="5768C86D" w14:textId="35E2AB26"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Grenade</w:t>
            </w:r>
          </w:p>
        </w:tc>
        <w:tc>
          <w:tcPr>
            <w:tcW w:w="7857" w:type="dxa"/>
            <w:vAlign w:val="center"/>
          </w:tcPr>
          <w:p w14:paraId="7C5EB8A8" w14:textId="66F9AB83" w:rsidR="00F6491D" w:rsidRPr="00F152D6" w:rsidRDefault="00E66AF4" w:rsidP="00EE1F75">
            <w:pPr>
              <w:jc w:val="both"/>
              <w:rPr>
                <w:rFonts w:asciiTheme="majorHAnsi" w:hAnsiTheme="majorHAnsi"/>
                <w:color w:val="000000"/>
                <w:sz w:val="20"/>
                <w:szCs w:val="20"/>
              </w:rPr>
            </w:pPr>
            <w:r w:rsidRPr="00F152D6">
              <w:rPr>
                <w:rFonts w:asciiTheme="majorHAnsi" w:hAnsiTheme="majorHAnsi"/>
                <w:color w:val="000000"/>
                <w:sz w:val="20"/>
                <w:szCs w:val="20"/>
              </w:rPr>
              <w:t>Maintien de l’</w:t>
            </w:r>
            <w:r w:rsidRPr="00F152D6">
              <w:rPr>
                <w:rFonts w:asciiTheme="majorHAnsi" w:hAnsiTheme="majorHAnsi"/>
                <w:b/>
                <w:bCs/>
                <w:color w:val="000000"/>
                <w:sz w:val="20"/>
                <w:szCs w:val="20"/>
              </w:rPr>
              <w:t>identification</w:t>
            </w:r>
            <w:r w:rsidRPr="00F152D6">
              <w:rPr>
                <w:rFonts w:asciiTheme="majorHAnsi" w:hAnsiTheme="majorHAnsi"/>
                <w:color w:val="000000"/>
                <w:sz w:val="20"/>
                <w:szCs w:val="20"/>
              </w:rPr>
              <w:t xml:space="preserve"> en raison d’importants problèmes récurrents en matière de déclaration, notamment l'absence de rapport annuel (problème récurrent) et d'autres rapports manquants ou soumis après les délais, mais constat positif de l'intervention opportune de la Grenade auprès du Secrétariat pour demander de l'aide afin de remplir les exigences de déclaration de l'ICCAT.</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Pas de réponse à la lettre du Président du COC de l’année dernière (autre problème récurrent). Recommander que la Commission envisage des actions lors de sa réunion annuelle de 2026 conformément au paragraphe 6 de la </w:t>
            </w:r>
            <w:hyperlink r:id="rId29" w:history="1">
              <w:r w:rsidRPr="00F152D6">
                <w:rPr>
                  <w:rStyle w:val="Hyperlink"/>
                  <w:rFonts w:asciiTheme="majorHAnsi" w:hAnsiTheme="majorHAnsi"/>
                  <w:sz w:val="20"/>
                  <w:szCs w:val="20"/>
                  <w:u w:val="none"/>
                </w:rPr>
                <w:t>Rec.</w:t>
              </w:r>
              <w:r w:rsidR="00E51F4B" w:rsidRPr="00F152D6">
                <w:rPr>
                  <w:rStyle w:val="Hyperlink"/>
                  <w:rFonts w:asciiTheme="majorHAnsi" w:hAnsiTheme="majorHAnsi"/>
                  <w:sz w:val="20"/>
                  <w:szCs w:val="20"/>
                  <w:u w:val="none"/>
                </w:rPr>
                <w:t> </w:t>
              </w:r>
              <w:r w:rsidRPr="00F152D6">
                <w:rPr>
                  <w:rStyle w:val="Hyperlink"/>
                  <w:rFonts w:asciiTheme="majorHAnsi" w:hAnsiTheme="majorHAnsi"/>
                  <w:sz w:val="20"/>
                  <w:szCs w:val="20"/>
                  <w:u w:val="none"/>
                </w:rPr>
                <w:t>06-13</w:t>
              </w:r>
            </w:hyperlink>
            <w:r w:rsidRPr="00F152D6">
              <w:rPr>
                <w:rFonts w:asciiTheme="majorHAnsi" w:hAnsiTheme="majorHAnsi"/>
                <w:color w:val="000000"/>
                <w:sz w:val="20"/>
                <w:szCs w:val="20"/>
              </w:rPr>
              <w:t xml:space="preserve"> conformément au </w:t>
            </w:r>
            <w:r w:rsidRPr="00F152D6">
              <w:rPr>
                <w:rFonts w:asciiTheme="majorHAnsi" w:hAnsiTheme="majorHAnsi"/>
                <w:i/>
                <w:iCs/>
                <w:color w:val="000000"/>
                <w:sz w:val="20"/>
                <w:szCs w:val="20"/>
              </w:rPr>
              <w:t xml:space="preserve">Programme de questions d’application et actions correspondantes </w:t>
            </w:r>
            <w:r w:rsidRPr="00F152D6">
              <w:rPr>
                <w:rFonts w:asciiTheme="majorHAnsi" w:hAnsiTheme="majorHAnsi"/>
                <w:color w:val="000000"/>
                <w:sz w:val="20"/>
                <w:szCs w:val="20"/>
              </w:rPr>
              <w:t>(Réf. 22-18).</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Demander un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sur les mesures à prendre pour résoudre ces questions.</w:t>
            </w:r>
          </w:p>
          <w:p w14:paraId="7280A24B" w14:textId="39B50B3C" w:rsidR="00042F54" w:rsidRPr="00F152D6" w:rsidRDefault="00042F54" w:rsidP="00EE1F75">
            <w:pPr>
              <w:jc w:val="both"/>
              <w:rPr>
                <w:rFonts w:asciiTheme="majorHAnsi" w:hAnsiTheme="majorHAnsi"/>
                <w:color w:val="000000"/>
                <w:sz w:val="20"/>
                <w:szCs w:val="20"/>
                <w:lang w:eastAsia="en-GB"/>
              </w:rPr>
            </w:pPr>
          </w:p>
          <w:p w14:paraId="69DDE12D" w14:textId="717CD090" w:rsidR="001C3208" w:rsidRPr="00F152D6" w:rsidDel="006A052A" w:rsidRDefault="00042F54" w:rsidP="00EE1F75">
            <w:pPr>
              <w:jc w:val="both"/>
              <w:rPr>
                <w:rFonts w:asciiTheme="majorHAnsi" w:hAnsiTheme="majorHAnsi"/>
                <w:color w:val="000000"/>
                <w:sz w:val="20"/>
                <w:szCs w:val="20"/>
              </w:rPr>
            </w:pPr>
            <w:r w:rsidRPr="00F152D6">
              <w:rPr>
                <w:rFonts w:asciiTheme="majorHAnsi" w:hAnsiTheme="majorHAnsi"/>
                <w:color w:val="000000"/>
                <w:sz w:val="20"/>
                <w:szCs w:val="20"/>
              </w:rPr>
              <w:t xml:space="preserve">*Le paragraphe 6 de la Rec. 06-13, stipule, dans la partie pertinente, que « Dans le cas des CPC, des mesures telles que la réduction des quotas ou des limites de capture existants devraient être mises en œuvre dans toute la mesure du possible avant que ne soit envisagée l’application de mesures commerciales restrictives. Les mesures commerciales </w:t>
            </w:r>
            <w:r w:rsidRPr="00F152D6">
              <w:rPr>
                <w:rFonts w:asciiTheme="majorHAnsi" w:hAnsiTheme="majorHAnsi"/>
                <w:color w:val="000000"/>
                <w:sz w:val="20"/>
                <w:szCs w:val="20"/>
              </w:rPr>
              <w:lastRenderedPageBreak/>
              <w:t>ne devraient être envisagées que si ces actions se sont avérées infructueuses ou ne seraient pas efficaces ».</w:t>
            </w:r>
          </w:p>
        </w:tc>
      </w:tr>
      <w:tr w:rsidR="00EE1F75" w:rsidRPr="00F152D6" w14:paraId="3CAF9BA8" w14:textId="77777777" w:rsidTr="00397291">
        <w:trPr>
          <w:trHeight w:val="300"/>
          <w:jc w:val="center"/>
        </w:trPr>
        <w:tc>
          <w:tcPr>
            <w:tcW w:w="1555" w:type="dxa"/>
            <w:noWrap/>
            <w:vAlign w:val="center"/>
            <w:hideMark/>
          </w:tcPr>
          <w:p w14:paraId="69886279"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lastRenderedPageBreak/>
              <w:t>Guatemala</w:t>
            </w:r>
          </w:p>
        </w:tc>
        <w:tc>
          <w:tcPr>
            <w:tcW w:w="7857" w:type="dxa"/>
            <w:vAlign w:val="center"/>
            <w:hideMark/>
          </w:tcPr>
          <w:p w14:paraId="3036ADA0" w14:textId="0C15ECC1" w:rsidR="00EE1F75" w:rsidRPr="00F152D6" w:rsidRDefault="00E66AF4" w:rsidP="00EE1F75">
            <w:pPr>
              <w:rPr>
                <w:rFonts w:asciiTheme="majorHAnsi" w:hAnsiTheme="majorHAnsi"/>
                <w:color w:val="000000"/>
                <w:sz w:val="20"/>
                <w:szCs w:val="20"/>
              </w:rPr>
            </w:pPr>
            <w:r w:rsidRPr="00F152D6">
              <w:rPr>
                <w:rFonts w:asciiTheme="majorHAnsi" w:hAnsiTheme="majorHAnsi"/>
                <w:b/>
                <w:bCs/>
                <w:color w:val="000000"/>
                <w:sz w:val="20"/>
                <w:szCs w:val="20"/>
              </w:rPr>
              <w:t>Lettre</w:t>
            </w:r>
            <w:r w:rsidRPr="00F152D6">
              <w:rPr>
                <w:rFonts w:asciiTheme="majorHAnsi" w:hAnsiTheme="majorHAnsi"/>
                <w:color w:val="000000"/>
                <w:sz w:val="20"/>
                <w:szCs w:val="20"/>
              </w:rPr>
              <w:t xml:space="preserve"> faisant état de la récurrence de la déclaration tardive.</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Demande d’un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sur les mesures à prendre pour résoudre ces problèmes de déclaration.</w:t>
            </w:r>
          </w:p>
        </w:tc>
      </w:tr>
      <w:tr w:rsidR="00EE1F75" w:rsidRPr="00F152D6" w14:paraId="4AD8342B" w14:textId="77777777" w:rsidTr="00397291">
        <w:trPr>
          <w:trHeight w:val="300"/>
          <w:jc w:val="center"/>
        </w:trPr>
        <w:tc>
          <w:tcPr>
            <w:tcW w:w="1555" w:type="dxa"/>
            <w:noWrap/>
            <w:vAlign w:val="center"/>
          </w:tcPr>
          <w:p w14:paraId="762D25A5" w14:textId="1A5DE3FD"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Guinée Bissau</w:t>
            </w:r>
          </w:p>
        </w:tc>
        <w:tc>
          <w:tcPr>
            <w:tcW w:w="7857" w:type="dxa"/>
            <w:vAlign w:val="center"/>
          </w:tcPr>
          <w:p w14:paraId="63908179" w14:textId="7C296134" w:rsidR="00042F54" w:rsidRPr="00F152D6" w:rsidRDefault="00E66AF4" w:rsidP="00EE1F75">
            <w:pPr>
              <w:jc w:val="both"/>
              <w:rPr>
                <w:rFonts w:asciiTheme="majorHAnsi" w:hAnsiTheme="majorHAnsi"/>
                <w:color w:val="000000"/>
                <w:sz w:val="20"/>
                <w:szCs w:val="20"/>
              </w:rPr>
            </w:pPr>
            <w:r w:rsidRPr="00F152D6">
              <w:rPr>
                <w:rFonts w:asciiTheme="majorHAnsi" w:hAnsiTheme="majorHAnsi"/>
                <w:b/>
                <w:color w:val="000000"/>
                <w:sz w:val="20"/>
                <w:szCs w:val="20"/>
              </w:rPr>
              <w:t>Maintien de l'identification</w:t>
            </w:r>
            <w:r w:rsidRPr="00F152D6">
              <w:rPr>
                <w:rFonts w:asciiTheme="majorHAnsi" w:hAnsiTheme="majorHAnsi"/>
                <w:color w:val="000000"/>
                <w:sz w:val="20"/>
                <w:szCs w:val="20"/>
              </w:rPr>
              <w:t xml:space="preserve"> en vertu de la </w:t>
            </w:r>
            <w:hyperlink r:id="rId30" w:history="1">
              <w:r w:rsidR="00C3681E" w:rsidRPr="00F152D6">
                <w:rPr>
                  <w:rStyle w:val="Hyperlink"/>
                  <w:rFonts w:asciiTheme="majorHAnsi" w:hAnsiTheme="majorHAnsi"/>
                  <w:sz w:val="20"/>
                  <w:szCs w:val="20"/>
                  <w:u w:val="none"/>
                </w:rPr>
                <w:t>Rec. 06-13</w:t>
              </w:r>
            </w:hyperlink>
            <w:r w:rsidR="00C3681E" w:rsidRPr="00F152D6">
              <w:rPr>
                <w:rFonts w:asciiTheme="majorHAnsi" w:hAnsiTheme="majorHAnsi"/>
                <w:sz w:val="20"/>
                <w:szCs w:val="20"/>
              </w:rPr>
              <w:t xml:space="preserve"> sur </w:t>
            </w:r>
            <w:r w:rsidRPr="00F152D6">
              <w:rPr>
                <w:rFonts w:asciiTheme="majorHAnsi" w:hAnsiTheme="majorHAnsi"/>
                <w:color w:val="000000"/>
                <w:sz w:val="20"/>
                <w:szCs w:val="20"/>
              </w:rPr>
              <w:t>des mesures commerciales en raison d’importants problèmes récurrents de déclaration, y compris l'absence de rapport annuel pendant neuf années consécutives, et la mise en œuvre des recommandations relatives aux istiophoridés, aux requins et aux observateurs scientifiques, mais constat positif de l'initiative de la Guinée-Bissau de se rendre au Secrétariat pour rencontrer en mai 2025 le personnel de l’ICCAT</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afin d'améliorer le respect des exigences de l’ICCAT</w:t>
            </w:r>
            <w:r w:rsidRPr="00F152D6">
              <w:rPr>
                <w:rFonts w:asciiTheme="majorHAnsi" w:hAnsiTheme="majorHAnsi"/>
                <w:sz w:val="20"/>
                <w:szCs w:val="20"/>
              </w:rPr>
              <w:t>.</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Pas de réponse à la lettre du COC depuis plusieurs années, réitér</w:t>
            </w:r>
            <w:r w:rsidR="0005567E" w:rsidRPr="00F152D6">
              <w:rPr>
                <w:rFonts w:asciiTheme="majorHAnsi" w:hAnsiTheme="majorHAnsi"/>
                <w:color w:val="000000"/>
                <w:sz w:val="20"/>
                <w:szCs w:val="20"/>
              </w:rPr>
              <w:t>er le</w:t>
            </w:r>
            <w:r w:rsidRPr="00F152D6">
              <w:rPr>
                <w:rFonts w:asciiTheme="majorHAnsi" w:hAnsiTheme="majorHAnsi"/>
                <w:color w:val="000000"/>
                <w:sz w:val="20"/>
                <w:szCs w:val="20"/>
              </w:rPr>
              <w:t xml:space="preserve">s problèmes soulevés. Demander un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pour remédier aux insuffisances en matière de déclaration et autres. Encourager la recherche d'un renforcement des capacités et d'une assistance technique par l'intermédiaire du Secrétariat. Rappeler que la Commission pourrait envisager des actions lors de sa réunion annuelle de 2026, conformément au paragr.</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6 de la </w:t>
            </w:r>
            <w:hyperlink r:id="rId31" w:history="1">
              <w:r w:rsidRPr="00F152D6">
                <w:rPr>
                  <w:rStyle w:val="Hyperlink"/>
                  <w:rFonts w:asciiTheme="majorHAnsi" w:hAnsiTheme="majorHAnsi"/>
                  <w:sz w:val="20"/>
                  <w:szCs w:val="20"/>
                  <w:u w:val="none"/>
                </w:rPr>
                <w:t>Rec. 06-13</w:t>
              </w:r>
            </w:hyperlink>
            <w:r w:rsidRPr="00F152D6">
              <w:rPr>
                <w:rFonts w:asciiTheme="majorHAnsi" w:hAnsiTheme="majorHAnsi"/>
                <w:sz w:val="20"/>
                <w:szCs w:val="20"/>
              </w:rPr>
              <w:t xml:space="preserve">, conformément au </w:t>
            </w:r>
            <w:r w:rsidRPr="00F152D6">
              <w:rPr>
                <w:rFonts w:asciiTheme="majorHAnsi" w:hAnsiTheme="majorHAnsi"/>
                <w:i/>
                <w:iCs/>
                <w:sz w:val="20"/>
                <w:szCs w:val="20"/>
              </w:rPr>
              <w:t>Programme ICCAT de questions d’application et actions correspondantes</w:t>
            </w:r>
            <w:r w:rsidRPr="00F152D6">
              <w:rPr>
                <w:rFonts w:asciiTheme="majorHAnsi" w:hAnsiTheme="majorHAnsi"/>
                <w:sz w:val="20"/>
                <w:szCs w:val="20"/>
              </w:rPr>
              <w:t xml:space="preserve"> </w:t>
            </w:r>
            <w:r w:rsidRPr="00F152D6">
              <w:rPr>
                <w:rFonts w:asciiTheme="majorHAnsi" w:hAnsiTheme="majorHAnsi"/>
                <w:color w:val="000000"/>
                <w:sz w:val="20"/>
                <w:szCs w:val="20"/>
              </w:rPr>
              <w:t>(Réf. 22-18)</w:t>
            </w:r>
            <w:r w:rsidRPr="00F152D6">
              <w:rPr>
                <w:rFonts w:asciiTheme="majorHAnsi" w:hAnsiTheme="majorHAnsi"/>
                <w:sz w:val="20"/>
                <w:szCs w:val="20"/>
              </w:rPr>
              <w:t>.</w:t>
            </w:r>
          </w:p>
          <w:p w14:paraId="29BCD7A5" w14:textId="77777777" w:rsidR="00042F54" w:rsidRPr="00F152D6" w:rsidRDefault="00042F54" w:rsidP="00EE1F75">
            <w:pPr>
              <w:jc w:val="both"/>
              <w:rPr>
                <w:rFonts w:asciiTheme="majorHAnsi" w:hAnsiTheme="majorHAnsi"/>
                <w:color w:val="000000"/>
                <w:sz w:val="20"/>
                <w:szCs w:val="20"/>
                <w:lang w:eastAsia="en-GB"/>
              </w:rPr>
            </w:pPr>
          </w:p>
          <w:p w14:paraId="3D0A2FCA" w14:textId="2CDDB11F" w:rsidR="00EE1F75" w:rsidRPr="00F152D6" w:rsidRDefault="00042F54" w:rsidP="00EE1F75">
            <w:pPr>
              <w:jc w:val="both"/>
              <w:rPr>
                <w:rFonts w:asciiTheme="majorHAnsi" w:hAnsiTheme="majorHAnsi"/>
                <w:color w:val="000000"/>
                <w:sz w:val="20"/>
                <w:szCs w:val="20"/>
              </w:rPr>
            </w:pPr>
            <w:r w:rsidRPr="00F152D6">
              <w:rPr>
                <w:rFonts w:asciiTheme="majorHAnsi" w:hAnsiTheme="majorHAnsi"/>
                <w:color w:val="000000"/>
                <w:sz w:val="20"/>
                <w:szCs w:val="20"/>
              </w:rPr>
              <w:t xml:space="preserve">*Le paragraphe 6 de la Rec. 06-13, stipule, dans la partie pertinente, que « Dans le cas des CPC, des mesures telles que la réduction des quotas ou des limites de capture existants devraient être mises en œuvre dans toute la mesure du possible avant que ne soit envisagée l’application de mesures commerciales restrictives. Les mesures commerciales ne devraient être envisagées que si ces actions se sont avérées infructueuses ou ne seraient pas efficaces ». </w:t>
            </w:r>
          </w:p>
        </w:tc>
      </w:tr>
      <w:tr w:rsidR="00F152D6" w:rsidRPr="00F152D6" w14:paraId="1BE67A7F" w14:textId="77777777" w:rsidTr="00F152D6">
        <w:trPr>
          <w:trHeight w:val="301"/>
          <w:jc w:val="center"/>
        </w:trPr>
        <w:tc>
          <w:tcPr>
            <w:tcW w:w="1555" w:type="dxa"/>
            <w:noWrap/>
            <w:vAlign w:val="center"/>
            <w:hideMark/>
          </w:tcPr>
          <w:p w14:paraId="00AF9A20" w14:textId="77777777" w:rsidR="00F152D6" w:rsidRPr="00F152D6" w:rsidRDefault="00F152D6" w:rsidP="00CC704A">
            <w:pPr>
              <w:rPr>
                <w:rFonts w:asciiTheme="majorHAnsi" w:hAnsiTheme="majorHAnsi"/>
                <w:color w:val="000000"/>
                <w:sz w:val="20"/>
                <w:szCs w:val="20"/>
              </w:rPr>
            </w:pPr>
            <w:proofErr w:type="spellStart"/>
            <w:r w:rsidRPr="00F152D6">
              <w:rPr>
                <w:rFonts w:asciiTheme="majorHAnsi" w:hAnsiTheme="majorHAnsi"/>
                <w:color w:val="000000"/>
                <w:sz w:val="20"/>
                <w:szCs w:val="20"/>
              </w:rPr>
              <w:t>Rép</w:t>
            </w:r>
            <w:proofErr w:type="spellEnd"/>
            <w:r w:rsidRPr="00F152D6">
              <w:rPr>
                <w:rFonts w:asciiTheme="majorHAnsi" w:hAnsiTheme="majorHAnsi"/>
                <w:color w:val="000000"/>
                <w:sz w:val="20"/>
                <w:szCs w:val="20"/>
              </w:rPr>
              <w:t>. de Guinée</w:t>
            </w:r>
          </w:p>
        </w:tc>
        <w:tc>
          <w:tcPr>
            <w:tcW w:w="7857" w:type="dxa"/>
            <w:vAlign w:val="center"/>
            <w:hideMark/>
          </w:tcPr>
          <w:p w14:paraId="6BB86423"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sz w:val="20"/>
                <w:szCs w:val="20"/>
              </w:rPr>
              <w:t>Lettre</w:t>
            </w:r>
            <w:r w:rsidRPr="00F152D6">
              <w:rPr>
                <w:rFonts w:asciiTheme="majorHAnsi" w:hAnsiTheme="majorHAnsi"/>
                <w:sz w:val="20"/>
                <w:szCs w:val="20"/>
              </w:rPr>
              <w:t xml:space="preserve"> faisant état de la récurrence de la déclaration tardive ou de l’absence de la présentation de rapports, tout en notant une amélioration; demande d’informations sur le transbordement au port, les prises accessoires de tortues et la mise en œuvre du programme national d'observateurs scientifiques </w:t>
            </w:r>
            <w:r w:rsidRPr="00F152D6">
              <w:rPr>
                <w:rFonts w:asciiTheme="majorHAnsi" w:hAnsiTheme="majorHAnsi"/>
                <w:color w:val="000000"/>
                <w:sz w:val="20"/>
                <w:szCs w:val="20"/>
              </w:rPr>
              <w:t>(</w:t>
            </w:r>
            <w:hyperlink r:id="rId32" w:history="1">
              <w:r w:rsidRPr="00F152D6">
                <w:rPr>
                  <w:rStyle w:val="Hyperlink"/>
                  <w:rFonts w:asciiTheme="majorHAnsi" w:hAnsiTheme="majorHAnsi"/>
                  <w:sz w:val="20"/>
                  <w:szCs w:val="20"/>
                  <w:u w:val="none"/>
                </w:rPr>
                <w:t>Rec. 21-15</w:t>
              </w:r>
            </w:hyperlink>
            <w:hyperlink r:id="rId33" w:history="1">
              <w:r w:rsidRPr="00F152D6">
                <w:rPr>
                  <w:rStyle w:val="Hyperlink"/>
                  <w:rFonts w:asciiTheme="majorHAnsi" w:hAnsiTheme="majorHAnsi"/>
                  <w:sz w:val="20"/>
                  <w:szCs w:val="20"/>
                  <w:u w:val="none"/>
                </w:rPr>
                <w:t xml:space="preserve">; Rec. 22-12; </w:t>
              </w:r>
            </w:hyperlink>
            <w:hyperlink r:id="rId34"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Réitérer la demande formulée dans la lettre du Président après la réunion de 2024, y compris le </w:t>
            </w:r>
            <w:r w:rsidRPr="00F152D6">
              <w:rPr>
                <w:rFonts w:asciiTheme="majorHAnsi" w:hAnsiTheme="majorHAnsi"/>
                <w:b/>
                <w:bCs/>
                <w:color w:val="000000"/>
                <w:sz w:val="20"/>
                <w:szCs w:val="20"/>
              </w:rPr>
              <w:t>plan d'action.</w:t>
            </w:r>
          </w:p>
        </w:tc>
      </w:tr>
      <w:tr w:rsidR="00F152D6" w:rsidRPr="00F152D6" w14:paraId="319AAD4B" w14:textId="77777777" w:rsidTr="00F152D6">
        <w:trPr>
          <w:trHeight w:val="301"/>
          <w:jc w:val="center"/>
        </w:trPr>
        <w:tc>
          <w:tcPr>
            <w:tcW w:w="1555" w:type="dxa"/>
            <w:noWrap/>
            <w:vAlign w:val="center"/>
            <w:hideMark/>
          </w:tcPr>
          <w:p w14:paraId="73F608D0"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Honduras</w:t>
            </w:r>
          </w:p>
        </w:tc>
        <w:tc>
          <w:tcPr>
            <w:tcW w:w="7857" w:type="dxa"/>
            <w:vAlign w:val="center"/>
            <w:hideMark/>
          </w:tcPr>
          <w:p w14:paraId="40BD19FC"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color w:val="000000"/>
                <w:sz w:val="20"/>
                <w:szCs w:val="20"/>
              </w:rPr>
              <w:t>Lettre</w:t>
            </w:r>
            <w:r w:rsidRPr="00F152D6">
              <w:rPr>
                <w:rFonts w:asciiTheme="majorHAnsi" w:hAnsiTheme="majorHAnsi"/>
                <w:color w:val="000000"/>
                <w:sz w:val="20"/>
                <w:szCs w:val="20"/>
              </w:rPr>
              <w:t xml:space="preserve"> faisant état d’importants problèmes de déclaration récurrents (absence de rapport annuel et d'autres rapports), demande de renseignements sur la mise en œuvre des exigences relatives aux prises accessoires de tortues (Rec. 22-12), demande de </w:t>
            </w:r>
            <w:r w:rsidRPr="00F152D6">
              <w:rPr>
                <w:rFonts w:asciiTheme="majorHAnsi" w:hAnsiTheme="majorHAnsi"/>
                <w:b/>
                <w:bCs/>
                <w:color w:val="000000"/>
                <w:sz w:val="20"/>
                <w:szCs w:val="20"/>
              </w:rPr>
              <w:t>mises à jour</w:t>
            </w:r>
            <w:r w:rsidRPr="00F152D6">
              <w:rPr>
                <w:rFonts w:asciiTheme="majorHAnsi" w:hAnsiTheme="majorHAnsi"/>
                <w:color w:val="000000"/>
                <w:sz w:val="20"/>
                <w:szCs w:val="20"/>
              </w:rPr>
              <w:t xml:space="preserve"> applicables au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précédemment soumis, note positive concernant la demande d'aide adressée par le Honduras au Secrétariat de l’ICCAT afin de se conformer aux exigences de l'ICCAT lors de la réunion annuelle de 2025. </w:t>
            </w:r>
          </w:p>
        </w:tc>
      </w:tr>
      <w:tr w:rsidR="00F152D6" w:rsidRPr="00F152D6" w14:paraId="74E3C1BE" w14:textId="77777777" w:rsidTr="00F152D6">
        <w:trPr>
          <w:trHeight w:val="300"/>
          <w:jc w:val="center"/>
        </w:trPr>
        <w:tc>
          <w:tcPr>
            <w:tcW w:w="1555" w:type="dxa"/>
            <w:noWrap/>
            <w:vAlign w:val="center"/>
            <w:hideMark/>
          </w:tcPr>
          <w:p w14:paraId="15F6DA6F"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Islande</w:t>
            </w:r>
          </w:p>
        </w:tc>
        <w:tc>
          <w:tcPr>
            <w:tcW w:w="7857" w:type="dxa"/>
            <w:vAlign w:val="center"/>
            <w:hideMark/>
          </w:tcPr>
          <w:p w14:paraId="3A26930A"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color w:val="000000"/>
                <w:sz w:val="20"/>
                <w:szCs w:val="20"/>
              </w:rPr>
              <w:t>Aucune action nécessaire</w:t>
            </w:r>
            <w:r w:rsidRPr="00F152D6">
              <w:rPr>
                <w:rFonts w:asciiTheme="majorHAnsi" w:hAnsiTheme="majorHAnsi"/>
                <w:color w:val="000000"/>
                <w:sz w:val="20"/>
                <w:szCs w:val="20"/>
              </w:rPr>
              <w:t>.</w:t>
            </w:r>
          </w:p>
        </w:tc>
      </w:tr>
      <w:tr w:rsidR="00F152D6" w:rsidRPr="00F152D6" w14:paraId="14CDB949" w14:textId="77777777" w:rsidTr="00F152D6">
        <w:trPr>
          <w:trHeight w:val="301"/>
          <w:jc w:val="center"/>
        </w:trPr>
        <w:tc>
          <w:tcPr>
            <w:tcW w:w="1555" w:type="dxa"/>
            <w:noWrap/>
            <w:vAlign w:val="center"/>
            <w:hideMark/>
          </w:tcPr>
          <w:p w14:paraId="608C916E"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Japon</w:t>
            </w:r>
          </w:p>
        </w:tc>
        <w:tc>
          <w:tcPr>
            <w:tcW w:w="7857" w:type="dxa"/>
            <w:vAlign w:val="center"/>
            <w:hideMark/>
          </w:tcPr>
          <w:p w14:paraId="0BB40919"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color w:val="000000"/>
                <w:sz w:val="20"/>
                <w:szCs w:val="20"/>
              </w:rPr>
              <w:t>Aucune action nécessaire</w:t>
            </w:r>
            <w:r w:rsidRPr="00F152D6">
              <w:rPr>
                <w:rFonts w:asciiTheme="majorHAnsi" w:hAnsiTheme="majorHAnsi"/>
                <w:color w:val="000000"/>
                <w:sz w:val="20"/>
                <w:szCs w:val="20"/>
              </w:rPr>
              <w:t>.</w:t>
            </w:r>
          </w:p>
        </w:tc>
      </w:tr>
      <w:tr w:rsidR="00F152D6" w:rsidRPr="00F152D6" w14:paraId="1AF50CEF" w14:textId="77777777" w:rsidTr="00F152D6">
        <w:trPr>
          <w:trHeight w:val="300"/>
          <w:jc w:val="center"/>
        </w:trPr>
        <w:tc>
          <w:tcPr>
            <w:tcW w:w="1555" w:type="dxa"/>
            <w:noWrap/>
            <w:vAlign w:val="center"/>
            <w:hideMark/>
          </w:tcPr>
          <w:p w14:paraId="3349D7A6"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Corée</w:t>
            </w:r>
          </w:p>
        </w:tc>
        <w:tc>
          <w:tcPr>
            <w:tcW w:w="7857" w:type="dxa"/>
            <w:vAlign w:val="center"/>
            <w:hideMark/>
          </w:tcPr>
          <w:p w14:paraId="4051BE0F" w14:textId="2672D27F" w:rsidR="00F152D6" w:rsidRPr="00F152D6" w:rsidRDefault="00F152D6" w:rsidP="00044BAD">
            <w:pPr>
              <w:jc w:val="both"/>
              <w:rPr>
                <w:rFonts w:asciiTheme="majorHAnsi" w:hAnsiTheme="majorHAnsi"/>
                <w:color w:val="000000"/>
                <w:sz w:val="20"/>
                <w:szCs w:val="20"/>
                <w:lang w:eastAsia="en-GB"/>
              </w:rPr>
            </w:pPr>
            <w:r w:rsidRPr="00F152D6">
              <w:rPr>
                <w:rFonts w:asciiTheme="majorHAnsi" w:hAnsiTheme="majorHAnsi"/>
                <w:b/>
                <w:color w:val="000000"/>
                <w:sz w:val="20"/>
                <w:szCs w:val="20"/>
              </w:rPr>
              <w:t>Aucune action nécessaire</w:t>
            </w:r>
            <w:r w:rsidRPr="00F152D6">
              <w:rPr>
                <w:rFonts w:asciiTheme="majorHAnsi" w:hAnsiTheme="majorHAnsi"/>
                <w:color w:val="000000"/>
                <w:sz w:val="20"/>
                <w:szCs w:val="20"/>
              </w:rPr>
              <w:t>.</w:t>
            </w:r>
          </w:p>
        </w:tc>
      </w:tr>
      <w:tr w:rsidR="00F152D6" w:rsidRPr="00F152D6" w14:paraId="775DE65D" w14:textId="77777777" w:rsidTr="00F152D6">
        <w:trPr>
          <w:trHeight w:val="300"/>
          <w:jc w:val="center"/>
        </w:trPr>
        <w:tc>
          <w:tcPr>
            <w:tcW w:w="1555" w:type="dxa"/>
            <w:noWrap/>
            <w:vAlign w:val="center"/>
            <w:hideMark/>
          </w:tcPr>
          <w:p w14:paraId="45FDEB3D"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Liberia</w:t>
            </w:r>
          </w:p>
        </w:tc>
        <w:tc>
          <w:tcPr>
            <w:tcW w:w="7857" w:type="dxa"/>
            <w:vAlign w:val="center"/>
            <w:hideMark/>
          </w:tcPr>
          <w:p w14:paraId="393668C3"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sz w:val="20"/>
                <w:szCs w:val="20"/>
              </w:rPr>
              <w:t>Lettre</w:t>
            </w:r>
            <w:r w:rsidRPr="00F152D6">
              <w:rPr>
                <w:rFonts w:asciiTheme="majorHAnsi" w:hAnsiTheme="majorHAnsi"/>
                <w:sz w:val="20"/>
                <w:szCs w:val="20"/>
              </w:rPr>
              <w:t xml:space="preserve"> sur la déclaration tardive ou incomplète ; demande d'un </w:t>
            </w:r>
            <w:r w:rsidRPr="00F152D6">
              <w:rPr>
                <w:rFonts w:asciiTheme="majorHAnsi" w:hAnsiTheme="majorHAnsi"/>
                <w:b/>
                <w:bCs/>
                <w:sz w:val="20"/>
                <w:szCs w:val="20"/>
              </w:rPr>
              <w:t>plan d'action actualisé</w:t>
            </w:r>
            <w:r w:rsidRPr="00F152D6">
              <w:rPr>
                <w:rFonts w:asciiTheme="majorHAnsi" w:hAnsiTheme="majorHAnsi"/>
                <w:sz w:val="20"/>
                <w:szCs w:val="20"/>
              </w:rPr>
              <w:t xml:space="preserve"> ; mise en œuvre du programme d'observateurs scientifiques </w:t>
            </w:r>
            <w:r w:rsidRPr="00F152D6">
              <w:rPr>
                <w:rFonts w:asciiTheme="majorHAnsi" w:hAnsiTheme="majorHAnsi"/>
                <w:color w:val="000000"/>
                <w:sz w:val="20"/>
                <w:szCs w:val="20"/>
              </w:rPr>
              <w:t>(</w:t>
            </w:r>
            <w:hyperlink r:id="rId35"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w:t>
            </w:r>
            <w:r w:rsidRPr="00F152D6">
              <w:rPr>
                <w:rFonts w:asciiTheme="majorHAnsi" w:hAnsiTheme="majorHAnsi"/>
                <w:sz w:val="20"/>
                <w:szCs w:val="20"/>
              </w:rPr>
              <w:t xml:space="preserve"> notant que le Liberia a auparavant indiqué qu'il dispose de navires artisanaux pêchant les thonidés et les espèces apparentées dans ses eaux, auxquels la </w:t>
            </w:r>
            <w:hyperlink r:id="rId36" w:history="1">
              <w:r w:rsidRPr="00F152D6">
                <w:rPr>
                  <w:rStyle w:val="Hyperlink"/>
                  <w:rFonts w:asciiTheme="majorHAnsi" w:hAnsiTheme="majorHAnsi"/>
                  <w:sz w:val="20"/>
                  <w:szCs w:val="20"/>
                  <w:u w:val="none"/>
                </w:rPr>
                <w:t>Rec. 16-14</w:t>
              </w:r>
            </w:hyperlink>
            <w:r w:rsidRPr="00F152D6">
              <w:rPr>
                <w:rFonts w:asciiTheme="majorHAnsi" w:hAnsiTheme="majorHAnsi"/>
                <w:sz w:val="20"/>
                <w:szCs w:val="20"/>
              </w:rPr>
              <w:t xml:space="preserve"> s'applique également, et prévoit une exemption si des mesures alternatives sont approuvées pour la CPC par le SCRS.</w:t>
            </w:r>
          </w:p>
        </w:tc>
      </w:tr>
      <w:tr w:rsidR="00F152D6" w:rsidRPr="00F152D6" w14:paraId="65CB105F" w14:textId="77777777" w:rsidTr="00F152D6">
        <w:trPr>
          <w:trHeight w:val="300"/>
          <w:jc w:val="center"/>
        </w:trPr>
        <w:tc>
          <w:tcPr>
            <w:tcW w:w="1555" w:type="dxa"/>
            <w:noWrap/>
            <w:vAlign w:val="center"/>
            <w:hideMark/>
          </w:tcPr>
          <w:p w14:paraId="685B82B5"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Libye</w:t>
            </w:r>
          </w:p>
        </w:tc>
        <w:tc>
          <w:tcPr>
            <w:tcW w:w="7857" w:type="dxa"/>
            <w:vAlign w:val="center"/>
            <w:hideMark/>
          </w:tcPr>
          <w:p w14:paraId="19B23C96"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sz w:val="20"/>
                <w:szCs w:val="20"/>
              </w:rPr>
              <w:t>Lettre</w:t>
            </w:r>
            <w:r w:rsidRPr="00F152D6">
              <w:rPr>
                <w:rFonts w:asciiTheme="majorHAnsi" w:hAnsiTheme="majorHAnsi"/>
                <w:sz w:val="20"/>
                <w:szCs w:val="20"/>
              </w:rPr>
              <w:t xml:space="preserve"> sur la déclaration tardive et l’absence de certains rapports (pas de rapport annuel), surconsommation continue de germon de la Méditerranée et d’espadon de la Méditerranée, la mise en œuvre du programme d'observateurs scientifiques </w:t>
            </w:r>
            <w:r w:rsidRPr="00F152D6">
              <w:rPr>
                <w:rFonts w:asciiTheme="majorHAnsi" w:hAnsiTheme="majorHAnsi"/>
                <w:color w:val="000000"/>
                <w:sz w:val="20"/>
                <w:szCs w:val="20"/>
              </w:rPr>
              <w:t>(</w:t>
            </w:r>
            <w:hyperlink r:id="rId37"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w:t>
            </w:r>
            <w:r w:rsidRPr="00F152D6">
              <w:rPr>
                <w:rFonts w:asciiTheme="majorHAnsi" w:hAnsiTheme="majorHAnsi"/>
                <w:sz w:val="20"/>
                <w:szCs w:val="20"/>
              </w:rPr>
              <w:t>absence de plan de pêche ou de rapport sur la fermeture de la pêche d’espadon de la Méditerranée, aucun navire actif sur la liste active d'espadon de la Méditerranée ou de germon de la Méditerranée, même si la Libye dispose d'un quota et a déclaré des captures.</w:t>
            </w:r>
            <w:r w:rsidRPr="00F152D6">
              <w:rPr>
                <w:rFonts w:asciiTheme="majorHAnsi" w:hAnsiTheme="majorHAnsi"/>
                <w:color w:val="000000"/>
                <w:sz w:val="20"/>
                <w:szCs w:val="20"/>
              </w:rPr>
              <w:t xml:space="preserve"> </w:t>
            </w:r>
            <w:r w:rsidRPr="00F152D6">
              <w:rPr>
                <w:rFonts w:asciiTheme="majorHAnsi" w:hAnsiTheme="majorHAnsi"/>
                <w:sz w:val="20"/>
                <w:szCs w:val="20"/>
              </w:rPr>
              <w:t>Demande d’</w:t>
            </w:r>
            <w:r w:rsidRPr="00F152D6">
              <w:rPr>
                <w:rFonts w:asciiTheme="majorHAnsi" w:hAnsiTheme="majorHAnsi"/>
                <w:b/>
                <w:bCs/>
                <w:sz w:val="20"/>
                <w:szCs w:val="20"/>
              </w:rPr>
              <w:t>un plan d'action</w:t>
            </w:r>
            <w:r w:rsidRPr="00F152D6">
              <w:rPr>
                <w:rFonts w:asciiTheme="majorHAnsi" w:hAnsiTheme="majorHAnsi"/>
                <w:sz w:val="20"/>
                <w:szCs w:val="20"/>
              </w:rPr>
              <w:t xml:space="preserve"> sur les mesures à prendre pour remédier aux problèmes récurrents de déclaration, à la surconsommation et à la mise en œuvre de la </w:t>
            </w:r>
            <w:hyperlink r:id="rId38" w:history="1">
              <w:r w:rsidRPr="00F152D6">
                <w:rPr>
                  <w:rStyle w:val="Hyperlink"/>
                  <w:rFonts w:asciiTheme="majorHAnsi" w:hAnsiTheme="majorHAnsi"/>
                  <w:sz w:val="20"/>
                  <w:szCs w:val="20"/>
                  <w:u w:val="none"/>
                </w:rPr>
                <w:t>Rec. 16-14</w:t>
              </w:r>
            </w:hyperlink>
          </w:p>
        </w:tc>
      </w:tr>
      <w:tr w:rsidR="00F152D6" w:rsidRPr="00F152D6" w14:paraId="1E78B580" w14:textId="77777777" w:rsidTr="00F152D6">
        <w:trPr>
          <w:trHeight w:val="300"/>
          <w:jc w:val="center"/>
        </w:trPr>
        <w:tc>
          <w:tcPr>
            <w:tcW w:w="1555" w:type="dxa"/>
            <w:noWrap/>
            <w:vAlign w:val="center"/>
            <w:hideMark/>
          </w:tcPr>
          <w:p w14:paraId="3A3FEA19"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Mauritanie</w:t>
            </w:r>
          </w:p>
        </w:tc>
        <w:tc>
          <w:tcPr>
            <w:tcW w:w="7857" w:type="dxa"/>
            <w:vAlign w:val="center"/>
            <w:hideMark/>
          </w:tcPr>
          <w:p w14:paraId="67F78A12" w14:textId="0D281F5B" w:rsidR="00F152D6" w:rsidRPr="00F152D6" w:rsidRDefault="00F152D6" w:rsidP="00044BAD">
            <w:pPr>
              <w:jc w:val="both"/>
              <w:rPr>
                <w:rFonts w:asciiTheme="majorHAnsi" w:hAnsiTheme="majorHAnsi"/>
                <w:color w:val="000000"/>
                <w:sz w:val="20"/>
                <w:szCs w:val="20"/>
                <w:lang w:eastAsia="en-GB"/>
              </w:rPr>
            </w:pPr>
            <w:r w:rsidRPr="00F152D6">
              <w:rPr>
                <w:rFonts w:asciiTheme="majorHAnsi" w:hAnsiTheme="majorHAnsi"/>
                <w:b/>
                <w:bCs/>
                <w:sz w:val="20"/>
                <w:szCs w:val="20"/>
              </w:rPr>
              <w:t>Lettre</w:t>
            </w:r>
            <w:r w:rsidRPr="00F152D6">
              <w:rPr>
                <w:rFonts w:asciiTheme="majorHAnsi" w:hAnsiTheme="majorHAnsi"/>
                <w:sz w:val="20"/>
                <w:szCs w:val="20"/>
              </w:rPr>
              <w:t xml:space="preserve"> sur les </w:t>
            </w:r>
            <w:proofErr w:type="spellStart"/>
            <w:r w:rsidRPr="00F152D6">
              <w:rPr>
                <w:rFonts w:asciiTheme="majorHAnsi" w:hAnsiTheme="majorHAnsi"/>
                <w:sz w:val="20"/>
                <w:szCs w:val="20"/>
              </w:rPr>
              <w:t>problèmes</w:t>
            </w:r>
            <w:proofErr w:type="spellEnd"/>
            <w:r w:rsidRPr="00F152D6">
              <w:rPr>
                <w:rFonts w:asciiTheme="majorHAnsi" w:hAnsiTheme="majorHAnsi"/>
                <w:sz w:val="20"/>
                <w:szCs w:val="20"/>
              </w:rPr>
              <w:t xml:space="preserve"> </w:t>
            </w:r>
            <w:proofErr w:type="spellStart"/>
            <w:r w:rsidRPr="00F152D6">
              <w:rPr>
                <w:rFonts w:asciiTheme="majorHAnsi" w:hAnsiTheme="majorHAnsi"/>
                <w:sz w:val="20"/>
                <w:szCs w:val="20"/>
              </w:rPr>
              <w:t>récurrents</w:t>
            </w:r>
            <w:proofErr w:type="spellEnd"/>
            <w:r w:rsidRPr="00F152D6">
              <w:rPr>
                <w:rFonts w:asciiTheme="majorHAnsi" w:hAnsiTheme="majorHAnsi"/>
                <w:sz w:val="20"/>
                <w:szCs w:val="20"/>
              </w:rPr>
              <w:t xml:space="preserve"> de </w:t>
            </w:r>
            <w:proofErr w:type="spellStart"/>
            <w:r w:rsidRPr="00F152D6">
              <w:rPr>
                <w:rFonts w:asciiTheme="majorHAnsi" w:hAnsiTheme="majorHAnsi"/>
                <w:sz w:val="20"/>
                <w:szCs w:val="20"/>
              </w:rPr>
              <w:t>déclaration</w:t>
            </w:r>
            <w:proofErr w:type="spellEnd"/>
            <w:r w:rsidRPr="00F152D6">
              <w:rPr>
                <w:rFonts w:asciiTheme="majorHAnsi" w:hAnsiTheme="majorHAnsi"/>
                <w:sz w:val="20"/>
                <w:szCs w:val="20"/>
              </w:rPr>
              <w:t xml:space="preserve"> (rapports tardifs ou manquants) ; mise</w:t>
            </w:r>
            <w:r w:rsidRPr="00F152D6">
              <w:rPr>
                <w:rFonts w:asciiTheme="majorHAnsi" w:hAnsiTheme="majorHAnsi"/>
                <w:sz w:val="20"/>
                <w:szCs w:val="20"/>
              </w:rPr>
              <w:br/>
              <w:t xml:space="preserve">en œuvre du programme national d'observateurs scientifiques </w:t>
            </w:r>
            <w:r w:rsidRPr="00F152D6">
              <w:rPr>
                <w:rFonts w:asciiTheme="majorHAnsi" w:hAnsiTheme="majorHAnsi"/>
                <w:color w:val="000000"/>
                <w:sz w:val="20"/>
                <w:szCs w:val="20"/>
              </w:rPr>
              <w:t>(</w:t>
            </w:r>
            <w:hyperlink r:id="rId39"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w:t>
            </w:r>
            <w:r w:rsidRPr="00F152D6">
              <w:rPr>
                <w:rFonts w:asciiTheme="majorHAnsi" w:hAnsiTheme="majorHAnsi"/>
                <w:sz w:val="20"/>
                <w:szCs w:val="20"/>
              </w:rPr>
              <w:t>, mise en œuvre de la Rec. 17-01, aucune réponse aux lettres du Président du COC de 2023 et 2024 (réitérer les demandes formulées dans ces lettres).</w:t>
            </w:r>
            <w:r w:rsidRPr="00F152D6">
              <w:rPr>
                <w:rFonts w:asciiTheme="majorHAnsi" w:hAnsiTheme="majorHAnsi"/>
                <w:color w:val="000000"/>
                <w:sz w:val="20"/>
                <w:szCs w:val="20"/>
              </w:rPr>
              <w:t xml:space="preserve"> </w:t>
            </w:r>
            <w:r w:rsidRPr="00F152D6">
              <w:rPr>
                <w:rFonts w:asciiTheme="majorHAnsi" w:hAnsiTheme="majorHAnsi"/>
                <w:sz w:val="20"/>
                <w:szCs w:val="20"/>
              </w:rPr>
              <w:t>Demande d’</w:t>
            </w:r>
            <w:r w:rsidRPr="00F152D6">
              <w:rPr>
                <w:rFonts w:asciiTheme="majorHAnsi" w:hAnsiTheme="majorHAnsi"/>
                <w:b/>
                <w:bCs/>
                <w:sz w:val="20"/>
                <w:szCs w:val="20"/>
              </w:rPr>
              <w:t>un plan d'action</w:t>
            </w:r>
            <w:r w:rsidRPr="00F152D6">
              <w:rPr>
                <w:rFonts w:asciiTheme="majorHAnsi" w:hAnsiTheme="majorHAnsi"/>
                <w:sz w:val="20"/>
                <w:szCs w:val="20"/>
              </w:rPr>
              <w:t xml:space="preserve"> sur les mesures à prendre pour remédier aux problèmes récurrents de déclaration et à la mise en œuvre de la </w:t>
            </w:r>
            <w:hyperlink r:id="rId40" w:history="1">
              <w:r w:rsidRPr="00F152D6">
                <w:rPr>
                  <w:rStyle w:val="Hyperlink"/>
                  <w:rFonts w:asciiTheme="majorHAnsi" w:hAnsiTheme="majorHAnsi"/>
                  <w:sz w:val="20"/>
                  <w:szCs w:val="20"/>
                  <w:u w:val="none"/>
                </w:rPr>
                <w:t>Rec. 16-14</w:t>
              </w:r>
            </w:hyperlink>
            <w:r w:rsidRPr="00F152D6">
              <w:rPr>
                <w:rFonts w:asciiTheme="majorHAnsi" w:hAnsiTheme="majorHAnsi"/>
                <w:sz w:val="20"/>
                <w:szCs w:val="20"/>
              </w:rPr>
              <w:t>.</w:t>
            </w:r>
          </w:p>
        </w:tc>
      </w:tr>
      <w:tr w:rsidR="00F152D6" w:rsidRPr="00F152D6" w14:paraId="36092EC2" w14:textId="77777777" w:rsidTr="00F152D6">
        <w:trPr>
          <w:trHeight w:val="300"/>
          <w:jc w:val="center"/>
        </w:trPr>
        <w:tc>
          <w:tcPr>
            <w:tcW w:w="1555" w:type="dxa"/>
            <w:noWrap/>
            <w:vAlign w:val="center"/>
            <w:hideMark/>
          </w:tcPr>
          <w:p w14:paraId="17D7A4A0"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Mexique</w:t>
            </w:r>
          </w:p>
        </w:tc>
        <w:tc>
          <w:tcPr>
            <w:tcW w:w="7857" w:type="dxa"/>
            <w:vAlign w:val="center"/>
            <w:hideMark/>
          </w:tcPr>
          <w:p w14:paraId="46D35FA6"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color w:val="000000"/>
                <w:sz w:val="20"/>
                <w:szCs w:val="20"/>
              </w:rPr>
              <w:t>Aucune action nécessaire</w:t>
            </w:r>
            <w:r w:rsidRPr="00F152D6">
              <w:rPr>
                <w:rFonts w:asciiTheme="majorHAnsi" w:hAnsiTheme="majorHAnsi"/>
                <w:color w:val="000000"/>
                <w:sz w:val="20"/>
                <w:szCs w:val="20"/>
              </w:rPr>
              <w:t>.</w:t>
            </w:r>
          </w:p>
        </w:tc>
      </w:tr>
      <w:tr w:rsidR="00F152D6" w:rsidRPr="00F152D6" w14:paraId="44632E64" w14:textId="77777777" w:rsidTr="00F152D6">
        <w:trPr>
          <w:trHeight w:val="300"/>
          <w:jc w:val="center"/>
        </w:trPr>
        <w:tc>
          <w:tcPr>
            <w:tcW w:w="1555" w:type="dxa"/>
            <w:noWrap/>
            <w:vAlign w:val="center"/>
            <w:hideMark/>
          </w:tcPr>
          <w:p w14:paraId="19539EF2"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Maroc</w:t>
            </w:r>
          </w:p>
        </w:tc>
        <w:tc>
          <w:tcPr>
            <w:tcW w:w="7857" w:type="dxa"/>
            <w:vAlign w:val="center"/>
            <w:hideMark/>
          </w:tcPr>
          <w:p w14:paraId="380574EB"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color w:val="000000"/>
                <w:sz w:val="20"/>
                <w:szCs w:val="20"/>
              </w:rPr>
              <w:t>Aucune action nécessaire</w:t>
            </w:r>
            <w:r w:rsidRPr="00F152D6">
              <w:rPr>
                <w:rFonts w:asciiTheme="majorHAnsi" w:hAnsiTheme="majorHAnsi"/>
                <w:color w:val="000000"/>
                <w:sz w:val="20"/>
                <w:szCs w:val="20"/>
              </w:rPr>
              <w:t>.</w:t>
            </w:r>
          </w:p>
        </w:tc>
      </w:tr>
      <w:tr w:rsidR="00F152D6" w:rsidRPr="00F152D6" w14:paraId="616CCC76" w14:textId="77777777" w:rsidTr="00F152D6">
        <w:trPr>
          <w:trHeight w:val="300"/>
          <w:jc w:val="center"/>
        </w:trPr>
        <w:tc>
          <w:tcPr>
            <w:tcW w:w="1555" w:type="dxa"/>
            <w:noWrap/>
            <w:vAlign w:val="center"/>
            <w:hideMark/>
          </w:tcPr>
          <w:p w14:paraId="2BF7960F"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Namibie</w:t>
            </w:r>
          </w:p>
        </w:tc>
        <w:tc>
          <w:tcPr>
            <w:tcW w:w="7857" w:type="dxa"/>
            <w:vAlign w:val="center"/>
            <w:hideMark/>
          </w:tcPr>
          <w:p w14:paraId="54448E39"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color w:val="000000"/>
                <w:sz w:val="20"/>
                <w:szCs w:val="20"/>
              </w:rPr>
              <w:t>Levée de l’identification,</w:t>
            </w:r>
            <w:r w:rsidRPr="00F152D6">
              <w:rPr>
                <w:rFonts w:asciiTheme="majorHAnsi" w:hAnsiTheme="majorHAnsi"/>
                <w:color w:val="000000"/>
                <w:sz w:val="20"/>
                <w:szCs w:val="20"/>
              </w:rPr>
              <w:t xml:space="preserve"> en notant l'amélioration continue des problèmes qui avaient motivé l’identification précédente ; demande de mises à jour régulières sur les mesures supplémentaires prises pour résoudre ces problèmes. </w:t>
            </w:r>
          </w:p>
          <w:p w14:paraId="6510F333" w14:textId="77777777" w:rsidR="00F152D6" w:rsidRPr="00F152D6" w:rsidRDefault="00F152D6" w:rsidP="00CC704A">
            <w:pPr>
              <w:jc w:val="both"/>
              <w:rPr>
                <w:rFonts w:asciiTheme="majorHAnsi" w:hAnsiTheme="majorHAnsi"/>
                <w:color w:val="000000"/>
                <w:sz w:val="20"/>
                <w:szCs w:val="20"/>
                <w:lang w:eastAsia="en-GB"/>
              </w:rPr>
            </w:pPr>
          </w:p>
          <w:p w14:paraId="2CA21783" w14:textId="26478B2C" w:rsidR="00F152D6" w:rsidRPr="00F152D6" w:rsidRDefault="00F152D6" w:rsidP="00044BAD">
            <w:pPr>
              <w:jc w:val="both"/>
              <w:rPr>
                <w:rFonts w:asciiTheme="majorHAnsi" w:hAnsiTheme="majorHAnsi"/>
                <w:color w:val="000000"/>
                <w:sz w:val="20"/>
                <w:szCs w:val="20"/>
                <w:lang w:eastAsia="en-GB"/>
              </w:rPr>
            </w:pPr>
            <w:r w:rsidRPr="00F152D6">
              <w:rPr>
                <w:rFonts w:asciiTheme="majorHAnsi" w:hAnsiTheme="majorHAnsi"/>
                <w:color w:val="000000"/>
                <w:sz w:val="20"/>
                <w:szCs w:val="20"/>
              </w:rPr>
              <w:t xml:space="preserve">Problèmes liés à la déclaration, absence d'informations sur le programme national d'observateurs en place ou sur les mesures d'atténuation concernant les tortues, surconsommation récurrente de makaire bleu et de requin-taupe bleu du Sud.  Demande d’informations sur la méthodologie statistique utilisée pour estimer les rejets morts et les remises à l'eau de spécimens vivants de requin-taupe bleu de l’Atlantique Sud (Rec. 22-11) et demande d’information sur la délivrance des documents statistiques de l’ICCAT pour le germon du Sud, qui n'existent pas dans le cadre de l'ICCAT. Demande d’un </w:t>
            </w:r>
            <w:r w:rsidRPr="00F152D6">
              <w:rPr>
                <w:rFonts w:asciiTheme="majorHAnsi" w:hAnsiTheme="majorHAnsi"/>
                <w:b/>
                <w:bCs/>
                <w:color w:val="000000"/>
                <w:sz w:val="20"/>
                <w:szCs w:val="20"/>
              </w:rPr>
              <w:t xml:space="preserve">plan d’action </w:t>
            </w:r>
            <w:r w:rsidRPr="00F152D6">
              <w:rPr>
                <w:rFonts w:asciiTheme="majorHAnsi" w:hAnsiTheme="majorHAnsi"/>
                <w:color w:val="000000"/>
                <w:sz w:val="20"/>
                <w:szCs w:val="20"/>
              </w:rPr>
              <w:t>sur les mesures à prendre pour résoudre ces problèmes récurrents.</w:t>
            </w:r>
          </w:p>
        </w:tc>
      </w:tr>
      <w:tr w:rsidR="00F152D6" w:rsidRPr="00F152D6" w14:paraId="72D7B0C7" w14:textId="77777777" w:rsidTr="00F152D6">
        <w:trPr>
          <w:trHeight w:val="300"/>
          <w:jc w:val="center"/>
        </w:trPr>
        <w:tc>
          <w:tcPr>
            <w:tcW w:w="1555" w:type="dxa"/>
            <w:noWrap/>
            <w:vAlign w:val="center"/>
            <w:hideMark/>
          </w:tcPr>
          <w:p w14:paraId="25ECBCD6"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Nicaragua</w:t>
            </w:r>
          </w:p>
        </w:tc>
        <w:tc>
          <w:tcPr>
            <w:tcW w:w="7857" w:type="dxa"/>
            <w:vAlign w:val="center"/>
            <w:hideMark/>
          </w:tcPr>
          <w:p w14:paraId="06151BC9"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color w:val="000000"/>
                <w:sz w:val="20"/>
                <w:szCs w:val="20"/>
              </w:rPr>
              <w:t>Lettre</w:t>
            </w:r>
            <w:r w:rsidRPr="00F152D6">
              <w:rPr>
                <w:rFonts w:asciiTheme="majorHAnsi" w:hAnsiTheme="majorHAnsi"/>
                <w:color w:val="000000"/>
                <w:sz w:val="20"/>
                <w:szCs w:val="20"/>
              </w:rPr>
              <w:t xml:space="preserve"> faisant état de la déclaration tardive. Demande d’un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sur les mesures à prendre pour résoudre ces problèmes récurrents de déclaration tardive.</w:t>
            </w:r>
          </w:p>
        </w:tc>
      </w:tr>
      <w:tr w:rsidR="00F152D6" w:rsidRPr="00F152D6" w14:paraId="3B114430" w14:textId="77777777" w:rsidTr="00F152D6">
        <w:trPr>
          <w:trHeight w:val="300"/>
          <w:jc w:val="center"/>
        </w:trPr>
        <w:tc>
          <w:tcPr>
            <w:tcW w:w="1555" w:type="dxa"/>
            <w:noWrap/>
            <w:vAlign w:val="center"/>
            <w:hideMark/>
          </w:tcPr>
          <w:p w14:paraId="57A5BC6D"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Nigeria</w:t>
            </w:r>
          </w:p>
        </w:tc>
        <w:tc>
          <w:tcPr>
            <w:tcW w:w="7857" w:type="dxa"/>
            <w:vAlign w:val="center"/>
            <w:hideMark/>
          </w:tcPr>
          <w:p w14:paraId="0C3A7E70"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sz w:val="20"/>
                <w:szCs w:val="20"/>
              </w:rPr>
              <w:t>Lettre</w:t>
            </w:r>
            <w:r w:rsidRPr="00F152D6">
              <w:rPr>
                <w:rFonts w:asciiTheme="majorHAnsi" w:hAnsiTheme="majorHAnsi"/>
                <w:sz w:val="20"/>
                <w:szCs w:val="20"/>
              </w:rPr>
              <w:t xml:space="preserve"> faisant état de problèmes récurrents en matière de déclaration (notamment l'absence de rapport annuel en 2023, 2024 et 2025), la mise en œuvre du programme d'observateurs scientifiques </w:t>
            </w:r>
            <w:r w:rsidRPr="00F152D6">
              <w:rPr>
                <w:rFonts w:asciiTheme="majorHAnsi" w:hAnsiTheme="majorHAnsi"/>
                <w:color w:val="000000"/>
                <w:sz w:val="20"/>
                <w:szCs w:val="20"/>
              </w:rPr>
              <w:t>(</w:t>
            </w:r>
            <w:hyperlink r:id="rId41"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w:t>
            </w:r>
            <w:r w:rsidRPr="00F152D6">
              <w:rPr>
                <w:rFonts w:asciiTheme="majorHAnsi" w:hAnsiTheme="majorHAnsi"/>
                <w:sz w:val="20"/>
                <w:szCs w:val="20"/>
              </w:rPr>
              <w:t xml:space="preserve">et les mesures relatives aux prises accessoires de tortues (Rec. 22-12), absence de réponse aux lettres du Président du COC de 2023 et 2024, aucun plan d'action soumis, demande réitérée d'un </w:t>
            </w:r>
            <w:r w:rsidRPr="00F152D6">
              <w:rPr>
                <w:rFonts w:asciiTheme="majorHAnsi" w:hAnsiTheme="majorHAnsi"/>
                <w:b/>
                <w:bCs/>
                <w:sz w:val="20"/>
                <w:szCs w:val="20"/>
              </w:rPr>
              <w:t>plan d'action</w:t>
            </w:r>
            <w:r w:rsidRPr="00F152D6">
              <w:rPr>
                <w:rFonts w:asciiTheme="majorHAnsi" w:hAnsiTheme="majorHAnsi"/>
                <w:sz w:val="20"/>
                <w:szCs w:val="20"/>
              </w:rPr>
              <w:t>, tout en notant les mesures prises lors de la réunion annuelle de 2025 pour travailler avec le Secrétariat de l’ICCAT afin de rectifier ces problèmes et d'améliorer l’application à l'avenir, et soumission du questionnaire sur le renforcement des capacités le 21 novembre 2025.</w:t>
            </w:r>
            <w:r w:rsidRPr="00F152D6">
              <w:rPr>
                <w:rFonts w:asciiTheme="majorHAnsi" w:hAnsiTheme="majorHAnsi"/>
                <w:color w:val="000000"/>
                <w:sz w:val="20"/>
                <w:szCs w:val="20"/>
              </w:rPr>
              <w:t xml:space="preserve"> </w:t>
            </w:r>
          </w:p>
        </w:tc>
      </w:tr>
      <w:tr w:rsidR="00F152D6" w:rsidRPr="00F152D6" w14:paraId="52DECBE5" w14:textId="77777777" w:rsidTr="00F152D6">
        <w:trPr>
          <w:trHeight w:val="300"/>
          <w:jc w:val="center"/>
        </w:trPr>
        <w:tc>
          <w:tcPr>
            <w:tcW w:w="1555" w:type="dxa"/>
            <w:noWrap/>
            <w:vAlign w:val="center"/>
            <w:hideMark/>
          </w:tcPr>
          <w:p w14:paraId="2071B371"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Norvège</w:t>
            </w:r>
          </w:p>
        </w:tc>
        <w:tc>
          <w:tcPr>
            <w:tcW w:w="7857" w:type="dxa"/>
            <w:vAlign w:val="center"/>
            <w:hideMark/>
          </w:tcPr>
          <w:p w14:paraId="44FDACE6"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color w:val="000000"/>
                <w:sz w:val="20"/>
                <w:szCs w:val="20"/>
              </w:rPr>
              <w:t>Aucune action nécessaire</w:t>
            </w:r>
            <w:r w:rsidRPr="00F152D6">
              <w:rPr>
                <w:rFonts w:asciiTheme="majorHAnsi" w:hAnsiTheme="majorHAnsi"/>
                <w:color w:val="000000"/>
                <w:sz w:val="20"/>
                <w:szCs w:val="20"/>
              </w:rPr>
              <w:t>.</w:t>
            </w:r>
          </w:p>
        </w:tc>
      </w:tr>
      <w:tr w:rsidR="00F152D6" w:rsidRPr="00F152D6" w14:paraId="4946E284" w14:textId="77777777" w:rsidTr="00044BAD">
        <w:trPr>
          <w:trHeight w:val="333"/>
          <w:jc w:val="center"/>
        </w:trPr>
        <w:tc>
          <w:tcPr>
            <w:tcW w:w="1555" w:type="dxa"/>
            <w:noWrap/>
            <w:vAlign w:val="center"/>
            <w:hideMark/>
          </w:tcPr>
          <w:p w14:paraId="4840EFF3"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Panama</w:t>
            </w:r>
          </w:p>
        </w:tc>
        <w:tc>
          <w:tcPr>
            <w:tcW w:w="7857" w:type="dxa"/>
            <w:vAlign w:val="center"/>
            <w:hideMark/>
          </w:tcPr>
          <w:p w14:paraId="7E421C5C"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color w:val="000000"/>
                <w:sz w:val="20"/>
                <w:szCs w:val="20"/>
              </w:rPr>
              <w:t>Aucune action nécessaire</w:t>
            </w:r>
            <w:r w:rsidRPr="00F152D6">
              <w:rPr>
                <w:rFonts w:asciiTheme="majorHAnsi" w:hAnsiTheme="majorHAnsi"/>
                <w:color w:val="000000"/>
                <w:sz w:val="20"/>
                <w:szCs w:val="20"/>
              </w:rPr>
              <w:t>.</w:t>
            </w:r>
          </w:p>
        </w:tc>
      </w:tr>
      <w:tr w:rsidR="00F152D6" w:rsidRPr="00F152D6" w14:paraId="5E512405" w14:textId="77777777" w:rsidTr="00F152D6">
        <w:trPr>
          <w:trHeight w:val="301"/>
          <w:jc w:val="center"/>
        </w:trPr>
        <w:tc>
          <w:tcPr>
            <w:tcW w:w="1555" w:type="dxa"/>
            <w:noWrap/>
            <w:vAlign w:val="center"/>
            <w:hideMark/>
          </w:tcPr>
          <w:p w14:paraId="3F6CCDC6"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Philippines</w:t>
            </w:r>
          </w:p>
        </w:tc>
        <w:tc>
          <w:tcPr>
            <w:tcW w:w="7857" w:type="dxa"/>
            <w:vAlign w:val="center"/>
            <w:hideMark/>
          </w:tcPr>
          <w:p w14:paraId="4C1F0D61"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color w:val="000000"/>
                <w:sz w:val="20"/>
                <w:szCs w:val="20"/>
              </w:rPr>
              <w:t>Lettre</w:t>
            </w:r>
            <w:r w:rsidRPr="00F152D6">
              <w:rPr>
                <w:rFonts w:asciiTheme="majorHAnsi" w:hAnsiTheme="majorHAnsi"/>
                <w:color w:val="000000"/>
                <w:sz w:val="20"/>
                <w:szCs w:val="20"/>
              </w:rPr>
              <w:t xml:space="preserve"> faisant état de la déclaration tardive.</w:t>
            </w:r>
          </w:p>
        </w:tc>
      </w:tr>
      <w:tr w:rsidR="00F152D6" w:rsidRPr="00F152D6" w14:paraId="7DC79D7B" w14:textId="77777777" w:rsidTr="00F152D6">
        <w:trPr>
          <w:trHeight w:val="300"/>
          <w:jc w:val="center"/>
        </w:trPr>
        <w:tc>
          <w:tcPr>
            <w:tcW w:w="1555" w:type="dxa"/>
            <w:noWrap/>
            <w:vAlign w:val="center"/>
            <w:hideMark/>
          </w:tcPr>
          <w:p w14:paraId="69DFAF3A"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Russie</w:t>
            </w:r>
          </w:p>
        </w:tc>
        <w:tc>
          <w:tcPr>
            <w:tcW w:w="7857" w:type="dxa"/>
            <w:vAlign w:val="center"/>
            <w:hideMark/>
          </w:tcPr>
          <w:p w14:paraId="455234FD"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color w:val="000000"/>
                <w:sz w:val="20"/>
                <w:szCs w:val="20"/>
              </w:rPr>
              <w:t>Aucune action nécessaire</w:t>
            </w:r>
            <w:r w:rsidRPr="00F152D6">
              <w:rPr>
                <w:rFonts w:asciiTheme="majorHAnsi" w:hAnsiTheme="majorHAnsi"/>
                <w:color w:val="000000"/>
                <w:sz w:val="20"/>
                <w:szCs w:val="20"/>
              </w:rPr>
              <w:t>.</w:t>
            </w:r>
          </w:p>
        </w:tc>
      </w:tr>
      <w:tr w:rsidR="00F152D6" w:rsidRPr="00F152D6" w14:paraId="65BC2DAA" w14:textId="77777777" w:rsidTr="00F152D6">
        <w:trPr>
          <w:trHeight w:val="624"/>
          <w:jc w:val="center"/>
        </w:trPr>
        <w:tc>
          <w:tcPr>
            <w:tcW w:w="1555" w:type="dxa"/>
            <w:noWrap/>
            <w:vAlign w:val="center"/>
            <w:hideMark/>
          </w:tcPr>
          <w:p w14:paraId="6DF17423"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Sao Tomé-et-Principe</w:t>
            </w:r>
          </w:p>
        </w:tc>
        <w:tc>
          <w:tcPr>
            <w:tcW w:w="7857" w:type="dxa"/>
            <w:vAlign w:val="center"/>
            <w:hideMark/>
          </w:tcPr>
          <w:p w14:paraId="630157AD"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sz w:val="20"/>
                <w:szCs w:val="20"/>
              </w:rPr>
              <w:t>Maintien de l'identification</w:t>
            </w:r>
            <w:r w:rsidRPr="00F152D6">
              <w:rPr>
                <w:rFonts w:asciiTheme="majorHAnsi" w:hAnsiTheme="majorHAnsi"/>
                <w:sz w:val="20"/>
                <w:szCs w:val="20"/>
              </w:rPr>
              <w:t xml:space="preserve"> en raison des problèmes de déclaration importants et récurrents, y compris l'absence de rapport annuel pendant cinq ans, ainsi que d’autres rapports manquants, tout en notant une certaine amélioration, l'absence de mise en œuvre du programme d'observateurs scientifiques </w:t>
            </w:r>
            <w:r w:rsidRPr="00F152D6">
              <w:rPr>
                <w:rFonts w:asciiTheme="majorHAnsi" w:hAnsiTheme="majorHAnsi"/>
                <w:color w:val="000000"/>
                <w:sz w:val="20"/>
                <w:szCs w:val="20"/>
              </w:rPr>
              <w:t>(</w:t>
            </w:r>
            <w:hyperlink r:id="rId42"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w:t>
            </w:r>
            <w:r w:rsidRPr="00F152D6">
              <w:rPr>
                <w:rFonts w:asciiTheme="majorHAnsi" w:hAnsiTheme="majorHAnsi"/>
                <w:sz w:val="20"/>
                <w:szCs w:val="20"/>
              </w:rPr>
              <w:t>, l'absence d'informations sur la mise en œuvre des exigences en matière de prises accessoires de tortues (Rec. 22-12).</w:t>
            </w:r>
            <w:r w:rsidRPr="00F152D6">
              <w:rPr>
                <w:rFonts w:asciiTheme="majorHAnsi" w:hAnsiTheme="majorHAnsi"/>
                <w:color w:val="000000"/>
                <w:sz w:val="20"/>
                <w:szCs w:val="20"/>
              </w:rPr>
              <w:t xml:space="preserve"> Pas de réponse à la lettre du Président du COC. Exprimer des préoccupations quant au rythme des progrès, étant donné que São Tomé-et-Principe a bénéficié d'une mission de renforcement des capacités menée par le Secrétariat de l’ICCAT en 2023. Demande </w:t>
            </w:r>
            <w:r w:rsidRPr="00F152D6">
              <w:rPr>
                <w:rFonts w:asciiTheme="majorHAnsi" w:hAnsiTheme="majorHAnsi"/>
                <w:b/>
                <w:color w:val="000000"/>
                <w:sz w:val="20"/>
                <w:szCs w:val="20"/>
              </w:rPr>
              <w:t xml:space="preserve">d’un plan d’action. </w:t>
            </w:r>
            <w:r w:rsidRPr="00F152D6">
              <w:rPr>
                <w:rFonts w:asciiTheme="majorHAnsi" w:hAnsiTheme="majorHAnsi"/>
                <w:color w:val="000000"/>
                <w:sz w:val="20"/>
                <w:szCs w:val="20"/>
              </w:rPr>
              <w:t xml:space="preserve">Recommander que la Commission envisage des actions lors de sa réunion annuelle de 2026 conformément au paragraphe 6 de la </w:t>
            </w:r>
            <w:hyperlink r:id="rId43" w:history="1">
              <w:r w:rsidRPr="00F152D6">
                <w:rPr>
                  <w:rStyle w:val="Hyperlink"/>
                  <w:rFonts w:asciiTheme="majorHAnsi" w:hAnsiTheme="majorHAnsi"/>
                  <w:sz w:val="20"/>
                  <w:szCs w:val="20"/>
                  <w:u w:val="none"/>
                </w:rPr>
                <w:t>Rec. 06-13</w:t>
              </w:r>
            </w:hyperlink>
            <w:r w:rsidRPr="00F152D6">
              <w:rPr>
                <w:rFonts w:asciiTheme="majorHAnsi" w:hAnsiTheme="majorHAnsi"/>
                <w:color w:val="000000"/>
                <w:sz w:val="20"/>
                <w:szCs w:val="20"/>
              </w:rPr>
              <w:t xml:space="preserve"> en vertu du </w:t>
            </w:r>
            <w:r w:rsidRPr="00F152D6">
              <w:rPr>
                <w:rFonts w:asciiTheme="majorHAnsi" w:hAnsiTheme="majorHAnsi"/>
                <w:i/>
                <w:iCs/>
                <w:color w:val="000000"/>
                <w:sz w:val="20"/>
                <w:szCs w:val="20"/>
              </w:rPr>
              <w:t>Programme de questions d’application et actions correspondantes</w:t>
            </w:r>
            <w:r w:rsidRPr="00F152D6">
              <w:rPr>
                <w:rFonts w:asciiTheme="majorHAnsi" w:hAnsiTheme="majorHAnsi"/>
                <w:color w:val="000000"/>
                <w:sz w:val="20"/>
                <w:szCs w:val="20"/>
              </w:rPr>
              <w:t xml:space="preserve"> (Réf. 22-18).</w:t>
            </w:r>
          </w:p>
          <w:p w14:paraId="5F088AA8" w14:textId="49CDB998" w:rsidR="00F152D6" w:rsidRPr="00F152D6" w:rsidRDefault="00F152D6" w:rsidP="00044BAD">
            <w:pPr>
              <w:jc w:val="both"/>
              <w:rPr>
                <w:rFonts w:asciiTheme="majorHAnsi" w:hAnsiTheme="majorHAnsi"/>
                <w:color w:val="000000"/>
                <w:sz w:val="20"/>
                <w:szCs w:val="20"/>
                <w:lang w:eastAsia="en-GB"/>
              </w:rPr>
            </w:pPr>
            <w:r w:rsidRPr="00F152D6">
              <w:rPr>
                <w:rFonts w:asciiTheme="majorHAnsi" w:hAnsiTheme="majorHAnsi"/>
                <w:color w:val="000000"/>
                <w:sz w:val="20"/>
                <w:szCs w:val="20"/>
              </w:rPr>
              <w:t xml:space="preserve">*Le paragraphe </w:t>
            </w:r>
            <w:r w:rsidRPr="00F152D6">
              <w:rPr>
                <w:rFonts w:asciiTheme="majorHAnsi" w:hAnsiTheme="majorHAnsi"/>
                <w:sz w:val="20"/>
                <w:szCs w:val="20"/>
              </w:rPr>
              <w:t xml:space="preserve">6 de la </w:t>
            </w:r>
            <w:hyperlink r:id="rId44" w:history="1">
              <w:r w:rsidRPr="00F152D6">
                <w:rPr>
                  <w:rStyle w:val="Hyperlink"/>
                  <w:rFonts w:asciiTheme="majorHAnsi" w:hAnsiTheme="majorHAnsi"/>
                  <w:sz w:val="20"/>
                  <w:szCs w:val="20"/>
                  <w:u w:val="none"/>
                </w:rPr>
                <w:t>Rec. 16-14</w:t>
              </w:r>
            </w:hyperlink>
            <w:r w:rsidRPr="00F152D6">
              <w:rPr>
                <w:rFonts w:asciiTheme="majorHAnsi" w:hAnsiTheme="majorHAnsi"/>
                <w:sz w:val="20"/>
                <w:szCs w:val="20"/>
              </w:rPr>
              <w:t>, stipule, dans la partie pertinente, « Dans le cas des CPC, des mesures telles que la réduction des quotas ou des limites de capture existants devraient être mises en œuvre dans toute la mesure du possible avant que ne soit envisagée l’application de mesures commerciales restrictives.</w:t>
            </w:r>
            <w:r w:rsidRPr="00F152D6">
              <w:rPr>
                <w:rFonts w:asciiTheme="majorHAnsi" w:hAnsiTheme="majorHAnsi"/>
                <w:color w:val="000000"/>
                <w:sz w:val="20"/>
                <w:szCs w:val="20"/>
              </w:rPr>
              <w:t xml:space="preserve"> Les mesures commerciales ne devraient être envisagées que si ces actions se sont avérées infructueuses ou ne seraient pas efficaces ».</w:t>
            </w:r>
          </w:p>
        </w:tc>
      </w:tr>
      <w:tr w:rsidR="00F152D6" w:rsidRPr="00F152D6" w14:paraId="7EFC1D3D" w14:textId="77777777" w:rsidTr="00F152D6">
        <w:trPr>
          <w:trHeight w:val="301"/>
          <w:jc w:val="center"/>
        </w:trPr>
        <w:tc>
          <w:tcPr>
            <w:tcW w:w="1555" w:type="dxa"/>
            <w:noWrap/>
            <w:vAlign w:val="center"/>
            <w:hideMark/>
          </w:tcPr>
          <w:p w14:paraId="7F30BC67"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Sénégal</w:t>
            </w:r>
          </w:p>
        </w:tc>
        <w:tc>
          <w:tcPr>
            <w:tcW w:w="7857" w:type="dxa"/>
            <w:vAlign w:val="center"/>
            <w:hideMark/>
          </w:tcPr>
          <w:p w14:paraId="49A94D02" w14:textId="7357B48B" w:rsidR="00F152D6" w:rsidRPr="00F152D6" w:rsidRDefault="00F152D6" w:rsidP="00B7583B">
            <w:pPr>
              <w:jc w:val="both"/>
              <w:rPr>
                <w:rFonts w:asciiTheme="majorHAnsi" w:hAnsiTheme="majorHAnsi"/>
                <w:color w:val="000000"/>
                <w:sz w:val="20"/>
                <w:szCs w:val="20"/>
                <w:lang w:eastAsia="en-GB"/>
              </w:rPr>
            </w:pPr>
            <w:r w:rsidRPr="00F152D6">
              <w:rPr>
                <w:rFonts w:asciiTheme="majorHAnsi" w:hAnsiTheme="majorHAnsi"/>
                <w:b/>
                <w:bCs/>
                <w:color w:val="000000"/>
                <w:sz w:val="20"/>
                <w:szCs w:val="20"/>
              </w:rPr>
              <w:t>Levée de l’identification</w:t>
            </w:r>
            <w:r w:rsidRPr="00F152D6">
              <w:rPr>
                <w:rFonts w:asciiTheme="majorHAnsi" w:hAnsiTheme="majorHAnsi"/>
                <w:color w:val="000000"/>
                <w:sz w:val="20"/>
                <w:szCs w:val="20"/>
              </w:rPr>
              <w:t xml:space="preserve"> en reconnaissance de l'amélioration constatée par rapport aux questions qui ont motivé l'identification passée, tout en maintenant la demande de soumission de toute information supplémentaire sur ces questions ; rappeler la nécessité potentielle d'un remboursement futur des surconsommations reflétées dans les données commerciales et les données </w:t>
            </w:r>
            <w:r w:rsidRPr="00CA417D">
              <w:rPr>
                <w:rFonts w:asciiTheme="majorHAnsi" w:hAnsiTheme="majorHAnsi"/>
                <w:color w:val="000000"/>
                <w:sz w:val="20"/>
                <w:szCs w:val="20"/>
              </w:rPr>
              <w:t xml:space="preserve">de </w:t>
            </w:r>
            <w:r w:rsidRPr="007B764C">
              <w:rPr>
                <w:rFonts w:asciiTheme="majorHAnsi" w:hAnsiTheme="majorHAnsi"/>
                <w:color w:val="000000"/>
                <w:sz w:val="20"/>
                <w:szCs w:val="20"/>
              </w:rPr>
              <w:t>capture</w:t>
            </w:r>
            <w:r w:rsidR="00CA417D" w:rsidRPr="007B764C">
              <w:rPr>
                <w:rFonts w:asciiTheme="majorHAnsi" w:hAnsiTheme="majorHAnsi"/>
                <w:color w:val="000000"/>
                <w:sz w:val="20"/>
                <w:szCs w:val="20"/>
              </w:rPr>
              <w:t xml:space="preserve">, </w:t>
            </w:r>
            <w:r w:rsidR="00CA417D" w:rsidRPr="007B764C">
              <w:rPr>
                <w:rFonts w:asciiTheme="majorHAnsi" w:hAnsiTheme="majorHAnsi"/>
                <w:color w:val="000000"/>
                <w:sz w:val="20"/>
                <w:szCs w:val="20"/>
                <w:u w:val="single"/>
              </w:rPr>
              <w:t>si confirmé</w:t>
            </w:r>
            <w:r w:rsidRPr="007B764C">
              <w:rPr>
                <w:rFonts w:asciiTheme="majorHAnsi" w:hAnsiTheme="majorHAnsi"/>
                <w:color w:val="000000"/>
                <w:sz w:val="20"/>
                <w:szCs w:val="20"/>
              </w:rPr>
              <w:t xml:space="preserve"> ; rechercher</w:t>
            </w:r>
            <w:r w:rsidRPr="00CA417D">
              <w:rPr>
                <w:rFonts w:asciiTheme="majorHAnsi" w:hAnsiTheme="majorHAnsi"/>
                <w:color w:val="000000"/>
                <w:sz w:val="20"/>
                <w:szCs w:val="20"/>
              </w:rPr>
              <w:t xml:space="preserve"> des</w:t>
            </w:r>
            <w:r w:rsidRPr="00F152D6">
              <w:rPr>
                <w:rFonts w:asciiTheme="majorHAnsi" w:hAnsiTheme="majorHAnsi"/>
                <w:color w:val="000000"/>
                <w:sz w:val="20"/>
                <w:szCs w:val="20"/>
              </w:rPr>
              <w:t xml:space="preserve"> informations sur les mesures prises pour lutter contre la surconsommation de thon rouge de l'Est ; indiquer qu’aucun rapport périodique n'a été soumis pour les espèces tropicales en 2024 malgré la soumission des données de la tâche T1. Constat positif du</w:t>
            </w:r>
            <w:r w:rsidRPr="00F152D6">
              <w:rPr>
                <w:rFonts w:asciiTheme="majorHAnsi" w:hAnsiTheme="majorHAnsi"/>
                <w:b/>
                <w:bCs/>
                <w:color w:val="000000"/>
                <w:sz w:val="20"/>
                <w:szCs w:val="20"/>
              </w:rPr>
              <w:t xml:space="preserve"> plan d'action</w:t>
            </w:r>
            <w:r w:rsidRPr="00F152D6">
              <w:rPr>
                <w:rFonts w:asciiTheme="majorHAnsi" w:hAnsiTheme="majorHAnsi"/>
                <w:color w:val="000000"/>
                <w:sz w:val="20"/>
                <w:szCs w:val="20"/>
              </w:rPr>
              <w:t xml:space="preserve"> soumis volontairement et accueil favorable à toute mise à jour applicable. Constat positif de la participation du Sénégal à la mission de renforcement des capacités menée par le Secrétariat de l’ICCAT en 2025 et reconnaissance positive de la communication régulière d'informations actualisées sur tout changement apporté à la mise en œuvre par le Sénégal des exigences de l’ICCAT à la suite de cette mission.</w:t>
            </w:r>
          </w:p>
        </w:tc>
      </w:tr>
      <w:tr w:rsidR="00F152D6" w:rsidRPr="00F152D6" w14:paraId="340B4B05" w14:textId="77777777" w:rsidTr="00F152D6">
        <w:trPr>
          <w:trHeight w:val="300"/>
          <w:jc w:val="center"/>
        </w:trPr>
        <w:tc>
          <w:tcPr>
            <w:tcW w:w="1555" w:type="dxa"/>
            <w:noWrap/>
            <w:vAlign w:val="center"/>
            <w:hideMark/>
          </w:tcPr>
          <w:p w14:paraId="28FAB35C"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Sierra Leone</w:t>
            </w:r>
          </w:p>
        </w:tc>
        <w:tc>
          <w:tcPr>
            <w:tcW w:w="7857" w:type="dxa"/>
            <w:vAlign w:val="center"/>
            <w:hideMark/>
          </w:tcPr>
          <w:p w14:paraId="34BF9030"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sz w:val="20"/>
                <w:szCs w:val="20"/>
              </w:rPr>
              <w:t>Lettre</w:t>
            </w:r>
            <w:r w:rsidRPr="00F152D6">
              <w:rPr>
                <w:rFonts w:asciiTheme="majorHAnsi" w:hAnsiTheme="majorHAnsi"/>
                <w:sz w:val="20"/>
                <w:szCs w:val="20"/>
              </w:rPr>
              <w:t xml:space="preserve"> concernant les problèmes persistants en matière de déclaration (retards ou données manquantes, y compris l'absence de données statistiques) ; </w:t>
            </w:r>
            <w:r w:rsidRPr="00F152D6">
              <w:rPr>
                <w:rFonts w:asciiTheme="majorHAnsi" w:hAnsiTheme="majorHAnsi"/>
                <w:b/>
                <w:bCs/>
                <w:sz w:val="20"/>
                <w:szCs w:val="20"/>
              </w:rPr>
              <w:t>lettre</w:t>
            </w:r>
            <w:r w:rsidRPr="00F152D6">
              <w:rPr>
                <w:rFonts w:asciiTheme="majorHAnsi" w:hAnsiTheme="majorHAnsi"/>
                <w:sz w:val="20"/>
                <w:szCs w:val="20"/>
              </w:rPr>
              <w:t xml:space="preserve"> abordant également la mise en œuvre du programme d'observateurs scientifiques </w:t>
            </w:r>
            <w:r w:rsidRPr="00F152D6">
              <w:rPr>
                <w:rFonts w:asciiTheme="majorHAnsi" w:hAnsiTheme="majorHAnsi"/>
                <w:color w:val="000000"/>
                <w:sz w:val="20"/>
                <w:szCs w:val="20"/>
              </w:rPr>
              <w:t xml:space="preserve"> (</w:t>
            </w:r>
            <w:hyperlink r:id="rId45"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w:t>
            </w:r>
            <w:r w:rsidRPr="00F152D6">
              <w:rPr>
                <w:rFonts w:asciiTheme="majorHAnsi" w:hAnsiTheme="majorHAnsi"/>
                <w:sz w:val="20"/>
                <w:szCs w:val="20"/>
              </w:rPr>
              <w:t xml:space="preserve">et des exigences relatives aux prises accessoires de tortues (Rec. 22-12) et réitérant la demande de </w:t>
            </w:r>
            <w:r w:rsidRPr="00F152D6">
              <w:rPr>
                <w:rFonts w:asciiTheme="majorHAnsi" w:hAnsiTheme="majorHAnsi"/>
                <w:b/>
                <w:bCs/>
                <w:sz w:val="20"/>
                <w:szCs w:val="20"/>
              </w:rPr>
              <w:t>plan d'action</w:t>
            </w:r>
            <w:r w:rsidRPr="00F152D6">
              <w:rPr>
                <w:rFonts w:asciiTheme="majorHAnsi" w:hAnsiTheme="majorHAnsi"/>
                <w:sz w:val="20"/>
                <w:szCs w:val="20"/>
              </w:rPr>
              <w:t xml:space="preserve"> ; pas de réponse à la lettre du Président du COC (problème récurrent) réitération des demandes formulées dans les lettres précédentes du Président du COC, si nécessaire).</w:t>
            </w:r>
          </w:p>
        </w:tc>
      </w:tr>
      <w:tr w:rsidR="00F152D6" w:rsidRPr="00F152D6" w14:paraId="7D8A7FFC" w14:textId="77777777" w:rsidTr="00F152D6">
        <w:trPr>
          <w:trHeight w:val="301"/>
          <w:jc w:val="center"/>
        </w:trPr>
        <w:tc>
          <w:tcPr>
            <w:tcW w:w="1555" w:type="dxa"/>
            <w:noWrap/>
            <w:vAlign w:val="center"/>
            <w:hideMark/>
          </w:tcPr>
          <w:p w14:paraId="3049C088"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Afrique du Sud</w:t>
            </w:r>
          </w:p>
        </w:tc>
        <w:tc>
          <w:tcPr>
            <w:tcW w:w="7857" w:type="dxa"/>
            <w:vAlign w:val="center"/>
            <w:hideMark/>
          </w:tcPr>
          <w:p w14:paraId="186BE059"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color w:val="000000"/>
                <w:sz w:val="20"/>
                <w:szCs w:val="20"/>
              </w:rPr>
              <w:t>Lettre</w:t>
            </w:r>
            <w:r w:rsidRPr="00F152D6">
              <w:rPr>
                <w:rFonts w:asciiTheme="majorHAnsi" w:hAnsiTheme="majorHAnsi"/>
                <w:color w:val="000000"/>
                <w:sz w:val="20"/>
                <w:szCs w:val="20"/>
              </w:rPr>
              <w:t xml:space="preserve"> faisant état de la déclaration tardive et sollicitant des informations sur la méthodologie statistique utilisée pour estimer les rejets morts et les remises à l’eau de spécimens vivants de requin-taupe bleu de l’Atlantique Sud (Rec. 22-11).</w:t>
            </w:r>
          </w:p>
        </w:tc>
      </w:tr>
      <w:tr w:rsidR="00F152D6" w:rsidRPr="00F152D6" w14:paraId="266A8068" w14:textId="77777777" w:rsidTr="00F152D6">
        <w:trPr>
          <w:trHeight w:val="300"/>
          <w:jc w:val="center"/>
        </w:trPr>
        <w:tc>
          <w:tcPr>
            <w:tcW w:w="1555" w:type="dxa"/>
            <w:noWrap/>
            <w:vAlign w:val="center"/>
            <w:hideMark/>
          </w:tcPr>
          <w:p w14:paraId="455CD597"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Saint-Vincent-et-les-Grenadines</w:t>
            </w:r>
          </w:p>
        </w:tc>
        <w:tc>
          <w:tcPr>
            <w:tcW w:w="7857" w:type="dxa"/>
            <w:vAlign w:val="center"/>
            <w:hideMark/>
          </w:tcPr>
          <w:p w14:paraId="157AE331"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sz w:val="20"/>
                <w:szCs w:val="20"/>
              </w:rPr>
              <w:t xml:space="preserve">Lettre sur les problèmes de déclaration (tardive ou manquante), sur la surconsommation d’istiophoridés et sur la mise en œuvre du programme d'observateurs scientifiques </w:t>
            </w:r>
            <w:r w:rsidRPr="00F152D6">
              <w:rPr>
                <w:rFonts w:asciiTheme="majorHAnsi" w:hAnsiTheme="majorHAnsi"/>
                <w:color w:val="000000"/>
                <w:sz w:val="20"/>
                <w:szCs w:val="20"/>
              </w:rPr>
              <w:t>(</w:t>
            </w:r>
            <w:hyperlink r:id="rId46"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Suivi des questions en suspens mentionnées dans la lettre du Président du COC en 2024, le cas échéant. Demander la mise à jour du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précédemment soumis afin d'y intégrer toute nouvelle information pertinente et de raccourcir sa taille de 300 pages, par exemple en fournissant des références à la législation avec une citation et un résumé plutôt que des documents complets.</w:t>
            </w:r>
          </w:p>
        </w:tc>
      </w:tr>
      <w:tr w:rsidR="00F152D6" w:rsidRPr="00F152D6" w14:paraId="2E1A69EB" w14:textId="77777777" w:rsidTr="00F152D6">
        <w:trPr>
          <w:trHeight w:val="300"/>
          <w:jc w:val="center"/>
        </w:trPr>
        <w:tc>
          <w:tcPr>
            <w:tcW w:w="1555" w:type="dxa"/>
            <w:noWrap/>
            <w:vAlign w:val="center"/>
            <w:hideMark/>
          </w:tcPr>
          <w:p w14:paraId="5ECCD2B2"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Syrie</w:t>
            </w:r>
          </w:p>
        </w:tc>
        <w:tc>
          <w:tcPr>
            <w:tcW w:w="7857" w:type="dxa"/>
            <w:vAlign w:val="center"/>
            <w:hideMark/>
          </w:tcPr>
          <w:p w14:paraId="72BBEA5A"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sz w:val="20"/>
                <w:szCs w:val="20"/>
              </w:rPr>
              <w:t>Lettre</w:t>
            </w:r>
            <w:r w:rsidRPr="00F152D6">
              <w:rPr>
                <w:rFonts w:asciiTheme="majorHAnsi" w:hAnsiTheme="majorHAnsi"/>
                <w:sz w:val="20"/>
                <w:szCs w:val="20"/>
              </w:rPr>
              <w:t xml:space="preserve"> sur la déclaration (signalant notamment que le rapport annuel n’a pas été reçu), mise en œuvre du programme national d'observateurs scientifiques </w:t>
            </w:r>
            <w:r w:rsidRPr="00F152D6">
              <w:rPr>
                <w:rFonts w:asciiTheme="majorHAnsi" w:hAnsiTheme="majorHAnsi"/>
                <w:color w:val="000000"/>
                <w:sz w:val="20"/>
                <w:szCs w:val="20"/>
              </w:rPr>
              <w:t>(</w:t>
            </w:r>
            <w:hyperlink r:id="rId47"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w:t>
            </w:r>
            <w:r w:rsidRPr="00F152D6">
              <w:rPr>
                <w:rFonts w:asciiTheme="majorHAnsi" w:hAnsiTheme="majorHAnsi"/>
                <w:sz w:val="20"/>
                <w:szCs w:val="20"/>
              </w:rPr>
              <w:t xml:space="preserve"> mesures concernant les tortues marines (Rec. 22-12).</w:t>
            </w:r>
            <w:r w:rsidRPr="00F152D6">
              <w:rPr>
                <w:rFonts w:asciiTheme="majorHAnsi" w:hAnsiTheme="majorHAnsi"/>
                <w:color w:val="000000"/>
                <w:sz w:val="20"/>
                <w:szCs w:val="20"/>
              </w:rPr>
              <w:t xml:space="preserve"> Demander un plan d’action sur les mesures à prendre pour résoudre ces problèmes récurrents.</w:t>
            </w:r>
          </w:p>
        </w:tc>
      </w:tr>
      <w:tr w:rsidR="00F152D6" w:rsidRPr="00F152D6" w14:paraId="22361736" w14:textId="77777777" w:rsidTr="00F152D6">
        <w:trPr>
          <w:trHeight w:val="600"/>
          <w:jc w:val="center"/>
        </w:trPr>
        <w:tc>
          <w:tcPr>
            <w:tcW w:w="1555" w:type="dxa"/>
            <w:noWrap/>
            <w:vAlign w:val="center"/>
            <w:hideMark/>
          </w:tcPr>
          <w:p w14:paraId="465E3383"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Trinité-et-Tobago</w:t>
            </w:r>
          </w:p>
        </w:tc>
        <w:tc>
          <w:tcPr>
            <w:tcW w:w="7857" w:type="dxa"/>
            <w:vAlign w:val="center"/>
            <w:hideMark/>
          </w:tcPr>
          <w:p w14:paraId="26EB0BF2"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sz w:val="20"/>
                <w:szCs w:val="20"/>
              </w:rPr>
              <w:t>Lettre</w:t>
            </w:r>
            <w:r w:rsidRPr="00F152D6">
              <w:rPr>
                <w:rFonts w:asciiTheme="majorHAnsi" w:hAnsiTheme="majorHAnsi"/>
                <w:sz w:val="20"/>
                <w:szCs w:val="20"/>
              </w:rPr>
              <w:t xml:space="preserve"> concernant la mise en œuvre du programme d'observateurs scientifiques </w:t>
            </w:r>
            <w:r w:rsidRPr="00F152D6">
              <w:rPr>
                <w:rFonts w:asciiTheme="majorHAnsi" w:hAnsiTheme="majorHAnsi"/>
                <w:color w:val="000000"/>
                <w:sz w:val="20"/>
                <w:szCs w:val="20"/>
              </w:rPr>
              <w:t>(</w:t>
            </w:r>
            <w:hyperlink r:id="rId48"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exigences relatives aux prises accessoires de tortues (Rec. 22-12) et questions relatives à la déclaration (y compris l'absence de rapport annuel). Demander la mise à jour du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précédemment soumis afin d'y intégrer toute nouvelle information pertinente et de raccourcir sa taille de 800 pages, par exemple en fournissant des références à la législation avec une citation et un résumé plutôt que des documents complets.</w:t>
            </w:r>
          </w:p>
        </w:tc>
      </w:tr>
      <w:tr w:rsidR="00F152D6" w:rsidRPr="00F152D6" w14:paraId="7A352E1B" w14:textId="77777777" w:rsidTr="00F152D6">
        <w:trPr>
          <w:trHeight w:val="300"/>
          <w:jc w:val="center"/>
        </w:trPr>
        <w:tc>
          <w:tcPr>
            <w:tcW w:w="1555" w:type="dxa"/>
            <w:noWrap/>
            <w:vAlign w:val="center"/>
            <w:hideMark/>
          </w:tcPr>
          <w:p w14:paraId="1025335C"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Tunisie</w:t>
            </w:r>
          </w:p>
        </w:tc>
        <w:tc>
          <w:tcPr>
            <w:tcW w:w="7857" w:type="dxa"/>
            <w:vAlign w:val="center"/>
            <w:hideMark/>
          </w:tcPr>
          <w:p w14:paraId="12B6645E" w14:textId="231EF674" w:rsidR="00F152D6" w:rsidRPr="00F152D6" w:rsidRDefault="00F152D6" w:rsidP="00B7583B">
            <w:pPr>
              <w:jc w:val="both"/>
              <w:rPr>
                <w:rFonts w:asciiTheme="majorHAnsi" w:hAnsiTheme="majorHAnsi"/>
                <w:color w:val="000000"/>
                <w:sz w:val="20"/>
                <w:szCs w:val="20"/>
                <w:lang w:eastAsia="en-GB"/>
              </w:rPr>
            </w:pPr>
            <w:r w:rsidRPr="00F152D6">
              <w:rPr>
                <w:rFonts w:asciiTheme="majorHAnsi" w:hAnsiTheme="majorHAnsi"/>
                <w:b/>
                <w:color w:val="000000"/>
                <w:sz w:val="20"/>
                <w:szCs w:val="20"/>
              </w:rPr>
              <w:t>Aucune action nécessaire</w:t>
            </w:r>
            <w:r w:rsidRPr="00F152D6">
              <w:rPr>
                <w:rFonts w:asciiTheme="majorHAnsi" w:hAnsiTheme="majorHAnsi"/>
                <w:color w:val="000000"/>
                <w:sz w:val="20"/>
                <w:szCs w:val="20"/>
              </w:rPr>
              <w:t>.</w:t>
            </w:r>
          </w:p>
        </w:tc>
      </w:tr>
      <w:tr w:rsidR="00F152D6" w:rsidRPr="00F152D6" w14:paraId="78D67C12" w14:textId="77777777" w:rsidTr="00F152D6">
        <w:trPr>
          <w:trHeight w:val="300"/>
          <w:jc w:val="center"/>
        </w:trPr>
        <w:tc>
          <w:tcPr>
            <w:tcW w:w="1555" w:type="dxa"/>
            <w:noWrap/>
            <w:vAlign w:val="center"/>
            <w:hideMark/>
          </w:tcPr>
          <w:p w14:paraId="6536B858"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Türkiye</w:t>
            </w:r>
          </w:p>
        </w:tc>
        <w:tc>
          <w:tcPr>
            <w:tcW w:w="7857" w:type="dxa"/>
            <w:vAlign w:val="center"/>
            <w:hideMark/>
          </w:tcPr>
          <w:p w14:paraId="7F4AEF97"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color w:val="000000"/>
                <w:sz w:val="20"/>
                <w:szCs w:val="20"/>
              </w:rPr>
              <w:t>Lettre</w:t>
            </w:r>
            <w:r w:rsidRPr="00F152D6">
              <w:rPr>
                <w:rFonts w:asciiTheme="majorHAnsi" w:hAnsiTheme="majorHAnsi"/>
                <w:color w:val="000000"/>
                <w:sz w:val="20"/>
                <w:szCs w:val="20"/>
              </w:rPr>
              <w:t xml:space="preserve"> concernant les problèmes de déclaration, tout en constatant la réponse écrite soumise.</w:t>
            </w:r>
          </w:p>
        </w:tc>
      </w:tr>
      <w:tr w:rsidR="00F152D6" w:rsidRPr="00F152D6" w14:paraId="56DB713D" w14:textId="77777777" w:rsidTr="00F152D6">
        <w:trPr>
          <w:trHeight w:val="300"/>
          <w:jc w:val="center"/>
        </w:trPr>
        <w:tc>
          <w:tcPr>
            <w:tcW w:w="1555" w:type="dxa"/>
            <w:noWrap/>
            <w:vAlign w:val="center"/>
            <w:hideMark/>
          </w:tcPr>
          <w:p w14:paraId="5762C76F"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Royaume-Uni</w:t>
            </w:r>
          </w:p>
        </w:tc>
        <w:tc>
          <w:tcPr>
            <w:tcW w:w="7857" w:type="dxa"/>
            <w:vAlign w:val="center"/>
            <w:hideMark/>
          </w:tcPr>
          <w:p w14:paraId="0389C1C6"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sz w:val="20"/>
                <w:szCs w:val="20"/>
              </w:rPr>
              <w:t>Lettre</w:t>
            </w:r>
            <w:r w:rsidRPr="00F152D6">
              <w:rPr>
                <w:rFonts w:asciiTheme="majorHAnsi" w:hAnsiTheme="majorHAnsi"/>
                <w:sz w:val="20"/>
                <w:szCs w:val="20"/>
              </w:rPr>
              <w:t xml:space="preserve"> sur la mise en œuvre d’un programme d'observateurs scientifiques </w:t>
            </w:r>
            <w:r w:rsidRPr="00F152D6">
              <w:rPr>
                <w:rFonts w:asciiTheme="majorHAnsi" w:hAnsiTheme="majorHAnsi"/>
                <w:color w:val="000000"/>
                <w:sz w:val="20"/>
                <w:szCs w:val="20"/>
              </w:rPr>
              <w:t>(</w:t>
            </w:r>
            <w:hyperlink r:id="rId49"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Demande d’un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sur les mesures à prendre pour résoudre ce problème récurrent.</w:t>
            </w:r>
          </w:p>
        </w:tc>
      </w:tr>
      <w:tr w:rsidR="00F152D6" w:rsidRPr="00F152D6" w14:paraId="7FF53B6A" w14:textId="77777777" w:rsidTr="00F152D6">
        <w:trPr>
          <w:trHeight w:val="300"/>
          <w:jc w:val="center"/>
        </w:trPr>
        <w:tc>
          <w:tcPr>
            <w:tcW w:w="1555" w:type="dxa"/>
            <w:noWrap/>
            <w:vAlign w:val="center"/>
            <w:hideMark/>
          </w:tcPr>
          <w:p w14:paraId="3B9426B9"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États-Unis</w:t>
            </w:r>
          </w:p>
        </w:tc>
        <w:tc>
          <w:tcPr>
            <w:tcW w:w="7857" w:type="dxa"/>
            <w:vAlign w:val="center"/>
            <w:hideMark/>
          </w:tcPr>
          <w:p w14:paraId="3D9E60D2"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color w:val="000000"/>
                <w:sz w:val="20"/>
                <w:szCs w:val="20"/>
              </w:rPr>
              <w:t>Lettre</w:t>
            </w:r>
            <w:r w:rsidRPr="00F152D6">
              <w:rPr>
                <w:rFonts w:asciiTheme="majorHAnsi" w:hAnsiTheme="majorHAnsi"/>
                <w:color w:val="000000"/>
                <w:sz w:val="20"/>
                <w:szCs w:val="20"/>
              </w:rPr>
              <w:t xml:space="preserve"> concernant la déclaration et la surconsommation de thon rouge de l’Atlantique Ouest.</w:t>
            </w:r>
          </w:p>
        </w:tc>
      </w:tr>
      <w:tr w:rsidR="00F152D6" w:rsidRPr="00F152D6" w14:paraId="5B509734" w14:textId="77777777" w:rsidTr="00F152D6">
        <w:trPr>
          <w:trHeight w:val="300"/>
          <w:jc w:val="center"/>
        </w:trPr>
        <w:tc>
          <w:tcPr>
            <w:tcW w:w="1555" w:type="dxa"/>
            <w:noWrap/>
            <w:vAlign w:val="center"/>
            <w:hideMark/>
          </w:tcPr>
          <w:p w14:paraId="7DF55D9F"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Uruguay</w:t>
            </w:r>
          </w:p>
        </w:tc>
        <w:tc>
          <w:tcPr>
            <w:tcW w:w="7857" w:type="dxa"/>
            <w:vAlign w:val="center"/>
            <w:hideMark/>
          </w:tcPr>
          <w:p w14:paraId="49159060"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color w:val="000000"/>
                <w:sz w:val="20"/>
                <w:szCs w:val="20"/>
              </w:rPr>
              <w:t>Aucune action nécessaire</w:t>
            </w:r>
            <w:r w:rsidRPr="00F152D6">
              <w:rPr>
                <w:rFonts w:asciiTheme="majorHAnsi" w:hAnsiTheme="majorHAnsi"/>
                <w:color w:val="000000"/>
                <w:sz w:val="20"/>
                <w:szCs w:val="20"/>
              </w:rPr>
              <w:t>.</w:t>
            </w:r>
          </w:p>
        </w:tc>
      </w:tr>
      <w:tr w:rsidR="00F152D6" w:rsidRPr="00F152D6" w14:paraId="693FCF8F" w14:textId="77777777" w:rsidTr="00F152D6">
        <w:trPr>
          <w:trHeight w:val="686"/>
          <w:jc w:val="center"/>
        </w:trPr>
        <w:tc>
          <w:tcPr>
            <w:tcW w:w="1555" w:type="dxa"/>
            <w:noWrap/>
            <w:vAlign w:val="center"/>
            <w:hideMark/>
          </w:tcPr>
          <w:p w14:paraId="3DC5880C"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Venezuela</w:t>
            </w:r>
          </w:p>
        </w:tc>
        <w:tc>
          <w:tcPr>
            <w:tcW w:w="7857" w:type="dxa"/>
            <w:vAlign w:val="center"/>
            <w:hideMark/>
          </w:tcPr>
          <w:p w14:paraId="5E010C40"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sz w:val="20"/>
                <w:szCs w:val="20"/>
              </w:rPr>
              <w:t>Lettre</w:t>
            </w:r>
            <w:r w:rsidRPr="00F152D6">
              <w:rPr>
                <w:rFonts w:asciiTheme="majorHAnsi" w:hAnsiTheme="majorHAnsi"/>
                <w:sz w:val="20"/>
                <w:szCs w:val="20"/>
              </w:rPr>
              <w:t xml:space="preserve"> concernant la déclaration, la surconsommation et la mise en œuvre du programme national d’observateurs scientifiques </w:t>
            </w:r>
            <w:r w:rsidRPr="00F152D6">
              <w:rPr>
                <w:rFonts w:asciiTheme="majorHAnsi" w:hAnsiTheme="majorHAnsi"/>
                <w:color w:val="000000"/>
                <w:sz w:val="20"/>
                <w:szCs w:val="20"/>
              </w:rPr>
              <w:t>(</w:t>
            </w:r>
            <w:hyperlink r:id="rId50"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Demander un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sur les mesures à prendre pour résoudre ces problèmes récurrents.</w:t>
            </w:r>
          </w:p>
        </w:tc>
      </w:tr>
      <w:tr w:rsidR="00F152D6" w:rsidRPr="00F152D6" w14:paraId="47718BBE" w14:textId="77777777" w:rsidTr="00B7583B">
        <w:trPr>
          <w:trHeight w:val="287"/>
          <w:jc w:val="center"/>
        </w:trPr>
        <w:tc>
          <w:tcPr>
            <w:tcW w:w="1555" w:type="dxa"/>
            <w:noWrap/>
            <w:vAlign w:val="center"/>
          </w:tcPr>
          <w:p w14:paraId="500A98C2"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Bolivie</w:t>
            </w:r>
          </w:p>
        </w:tc>
        <w:tc>
          <w:tcPr>
            <w:tcW w:w="7857" w:type="dxa"/>
            <w:vAlign w:val="center"/>
          </w:tcPr>
          <w:p w14:paraId="41933553"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color w:val="000000"/>
                <w:sz w:val="20"/>
                <w:szCs w:val="20"/>
              </w:rPr>
              <w:t>Aucune action nécessaire</w:t>
            </w:r>
            <w:r w:rsidRPr="00F152D6">
              <w:rPr>
                <w:rFonts w:asciiTheme="majorHAnsi" w:hAnsiTheme="majorHAnsi"/>
                <w:color w:val="000000"/>
                <w:sz w:val="20"/>
                <w:szCs w:val="20"/>
              </w:rPr>
              <w:t xml:space="preserve">. </w:t>
            </w:r>
          </w:p>
        </w:tc>
      </w:tr>
      <w:tr w:rsidR="00F152D6" w:rsidRPr="00F152D6" w14:paraId="08508498" w14:textId="77777777" w:rsidTr="003A35B7">
        <w:trPr>
          <w:trHeight w:val="263"/>
          <w:jc w:val="center"/>
        </w:trPr>
        <w:tc>
          <w:tcPr>
            <w:tcW w:w="1555" w:type="dxa"/>
            <w:noWrap/>
            <w:vAlign w:val="center"/>
          </w:tcPr>
          <w:p w14:paraId="6A0AC2A6"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Taipei chinois</w:t>
            </w:r>
          </w:p>
        </w:tc>
        <w:tc>
          <w:tcPr>
            <w:tcW w:w="7857" w:type="dxa"/>
            <w:vAlign w:val="center"/>
          </w:tcPr>
          <w:p w14:paraId="39DA5736"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color w:val="000000"/>
                <w:sz w:val="20"/>
                <w:szCs w:val="20"/>
              </w:rPr>
              <w:t>Lettre</w:t>
            </w:r>
            <w:r w:rsidRPr="00F152D6">
              <w:rPr>
                <w:rFonts w:asciiTheme="majorHAnsi" w:hAnsiTheme="majorHAnsi"/>
                <w:color w:val="000000"/>
                <w:sz w:val="20"/>
                <w:szCs w:val="20"/>
              </w:rPr>
              <w:t xml:space="preserve"> sur la surconsommation du germon du Sud.</w:t>
            </w:r>
          </w:p>
        </w:tc>
      </w:tr>
      <w:tr w:rsidR="00F152D6" w:rsidRPr="00F152D6" w14:paraId="539D7C98" w14:textId="77777777" w:rsidTr="00F152D6">
        <w:trPr>
          <w:trHeight w:val="900"/>
          <w:jc w:val="center"/>
        </w:trPr>
        <w:tc>
          <w:tcPr>
            <w:tcW w:w="1555" w:type="dxa"/>
            <w:noWrap/>
            <w:vAlign w:val="center"/>
          </w:tcPr>
          <w:p w14:paraId="13FB63C2"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Guyana</w:t>
            </w:r>
          </w:p>
        </w:tc>
        <w:tc>
          <w:tcPr>
            <w:tcW w:w="7857" w:type="dxa"/>
            <w:vAlign w:val="center"/>
          </w:tcPr>
          <w:p w14:paraId="2E2EC738" w14:textId="490CD2BA"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sz w:val="20"/>
                <w:szCs w:val="20"/>
              </w:rPr>
              <w:t>Lettre</w:t>
            </w:r>
            <w:r w:rsidRPr="00F152D6">
              <w:rPr>
                <w:rFonts w:asciiTheme="majorHAnsi" w:hAnsiTheme="majorHAnsi"/>
                <w:sz w:val="20"/>
                <w:szCs w:val="20"/>
              </w:rPr>
              <w:t xml:space="preserve"> faisant état de problèmes récurrents de déclaration (dont l’absence de rapport annuel et de données statistiques), la mise en œuvre des exigences liées au programme national d’observateurs scientifiques</w:t>
            </w:r>
            <w:r w:rsidR="00B7583B">
              <w:rPr>
                <w:rFonts w:asciiTheme="majorHAnsi" w:hAnsiTheme="majorHAnsi"/>
                <w:sz w:val="20"/>
                <w:szCs w:val="20"/>
              </w:rPr>
              <w:t xml:space="preserve"> </w:t>
            </w:r>
            <w:r w:rsidRPr="00F152D6">
              <w:rPr>
                <w:rStyle w:val="gmail-msoins"/>
                <w:rFonts w:asciiTheme="majorHAnsi" w:hAnsiTheme="majorHAnsi"/>
                <w:sz w:val="20"/>
                <w:szCs w:val="20"/>
              </w:rPr>
              <w:t>(</w:t>
            </w:r>
            <w:hyperlink r:id="rId51" w:history="1">
              <w:r w:rsidRPr="00F152D6">
                <w:rPr>
                  <w:rStyle w:val="Hyperlink"/>
                  <w:rFonts w:asciiTheme="majorHAnsi" w:hAnsiTheme="majorHAnsi"/>
                  <w:sz w:val="20"/>
                  <w:szCs w:val="20"/>
                  <w:u w:val="none"/>
                </w:rPr>
                <w:t>Rec. 16-14</w:t>
              </w:r>
            </w:hyperlink>
            <w:r w:rsidRPr="00F152D6">
              <w:rPr>
                <w:rStyle w:val="gmail-msoins"/>
                <w:rFonts w:asciiTheme="majorHAnsi" w:hAnsiTheme="majorHAnsi"/>
                <w:sz w:val="20"/>
                <w:szCs w:val="20"/>
              </w:rPr>
              <w:t xml:space="preserve">) </w:t>
            </w:r>
            <w:r w:rsidRPr="00F152D6">
              <w:rPr>
                <w:rFonts w:asciiTheme="majorHAnsi" w:hAnsiTheme="majorHAnsi"/>
                <w:sz w:val="20"/>
                <w:szCs w:val="20"/>
              </w:rPr>
              <w:t xml:space="preserve"> et les mesures relatives aux tortues marines (Rec. 22-12).</w:t>
            </w:r>
            <w:r w:rsidRPr="00F152D6">
              <w:rPr>
                <w:rStyle w:val="gmail-msoins"/>
                <w:rFonts w:asciiTheme="majorHAnsi" w:hAnsiTheme="majorHAnsi"/>
                <w:sz w:val="20"/>
                <w:szCs w:val="20"/>
              </w:rPr>
              <w:t xml:space="preserve"> Informer de la possibilité de non-renouvellement du statut de coopérant si aucune amélioration n'est apportée. </w:t>
            </w:r>
            <w:r w:rsidRPr="00F152D6">
              <w:rPr>
                <w:rFonts w:asciiTheme="majorHAnsi" w:hAnsiTheme="majorHAnsi"/>
                <w:color w:val="000000"/>
                <w:sz w:val="20"/>
                <w:szCs w:val="20"/>
              </w:rPr>
              <w:t xml:space="preserve">Demander un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sur les mesures à prendre pour résoudre ces questions. </w:t>
            </w:r>
            <w:r w:rsidRPr="00F152D6">
              <w:rPr>
                <w:rStyle w:val="gmail-msoins"/>
                <w:rFonts w:asciiTheme="majorHAnsi" w:hAnsiTheme="majorHAnsi"/>
                <w:sz w:val="20"/>
                <w:szCs w:val="20"/>
              </w:rPr>
              <w:t>Rappeler l'identification passée au titre de la Rec. 06-13 sur les mesures commerciales et la possibilité d'une identification future si des améliorations substantielles ne sont pas apportées.</w:t>
            </w:r>
          </w:p>
        </w:tc>
      </w:tr>
      <w:tr w:rsidR="00F152D6" w:rsidRPr="00F152D6" w14:paraId="2715FF75" w14:textId="77777777" w:rsidTr="00F152D6">
        <w:trPr>
          <w:trHeight w:val="428"/>
          <w:jc w:val="center"/>
        </w:trPr>
        <w:tc>
          <w:tcPr>
            <w:tcW w:w="1555" w:type="dxa"/>
            <w:noWrap/>
            <w:vAlign w:val="center"/>
          </w:tcPr>
          <w:p w14:paraId="5BC1B779"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Suriname</w:t>
            </w:r>
          </w:p>
        </w:tc>
        <w:tc>
          <w:tcPr>
            <w:tcW w:w="7857" w:type="dxa"/>
            <w:vAlign w:val="center"/>
          </w:tcPr>
          <w:p w14:paraId="31A87825"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sz w:val="20"/>
                <w:szCs w:val="20"/>
              </w:rPr>
              <w:t>Lettre</w:t>
            </w:r>
            <w:r w:rsidRPr="00F152D6">
              <w:rPr>
                <w:rFonts w:asciiTheme="majorHAnsi" w:hAnsiTheme="majorHAnsi"/>
                <w:sz w:val="20"/>
                <w:szCs w:val="20"/>
              </w:rPr>
              <w:t xml:space="preserve"> concernant la mise en œuvre du programme national d'observateurs scientifiques (</w:t>
            </w:r>
            <w:hyperlink r:id="rId52" w:history="1">
              <w:r w:rsidRPr="00F152D6">
                <w:rPr>
                  <w:rStyle w:val="Hyperlink"/>
                  <w:rFonts w:asciiTheme="majorHAnsi" w:hAnsiTheme="majorHAnsi"/>
                  <w:sz w:val="20"/>
                  <w:szCs w:val="20"/>
                  <w:u w:val="none"/>
                </w:rPr>
                <w:t>Rec. 16-14</w:t>
              </w:r>
            </w:hyperlink>
            <w:r w:rsidRPr="00F152D6">
              <w:rPr>
                <w:rFonts w:asciiTheme="majorHAnsi" w:hAnsiTheme="majorHAnsi"/>
                <w:sz w:val="20"/>
                <w:szCs w:val="20"/>
              </w:rPr>
              <w:t>) et concernant la déclaration.</w:t>
            </w:r>
            <w:r w:rsidRPr="00F152D6">
              <w:rPr>
                <w:rFonts w:asciiTheme="majorHAnsi" w:hAnsiTheme="majorHAnsi"/>
                <w:color w:val="000000"/>
                <w:sz w:val="20"/>
                <w:szCs w:val="20"/>
              </w:rPr>
              <w:t xml:space="preserve"> </w:t>
            </w:r>
            <w:r w:rsidRPr="00F152D6">
              <w:rPr>
                <w:rFonts w:asciiTheme="majorHAnsi" w:hAnsiTheme="majorHAnsi"/>
                <w:sz w:val="20"/>
                <w:szCs w:val="20"/>
              </w:rPr>
              <w:t xml:space="preserve">Demande d’un </w:t>
            </w:r>
            <w:r w:rsidRPr="00F152D6">
              <w:rPr>
                <w:rFonts w:asciiTheme="majorHAnsi" w:hAnsiTheme="majorHAnsi"/>
                <w:b/>
                <w:bCs/>
                <w:sz w:val="20"/>
                <w:szCs w:val="20"/>
              </w:rPr>
              <w:t>plan d’action</w:t>
            </w:r>
            <w:r w:rsidRPr="00F152D6">
              <w:rPr>
                <w:rFonts w:asciiTheme="majorHAnsi" w:hAnsiTheme="majorHAnsi"/>
                <w:sz w:val="20"/>
                <w:szCs w:val="20"/>
              </w:rPr>
              <w:t xml:space="preserve"> sur les mesures à prendre pour résoudre le problème récurrent lié à la </w:t>
            </w:r>
            <w:hyperlink r:id="rId53" w:history="1">
              <w:r w:rsidRPr="00F152D6">
                <w:rPr>
                  <w:rStyle w:val="Hyperlink"/>
                  <w:rFonts w:asciiTheme="majorHAnsi" w:hAnsiTheme="majorHAnsi"/>
                  <w:sz w:val="20"/>
                  <w:szCs w:val="20"/>
                  <w:u w:val="none"/>
                </w:rPr>
                <w:t>Rec. 16-14</w:t>
              </w:r>
            </w:hyperlink>
          </w:p>
        </w:tc>
      </w:tr>
    </w:tbl>
    <w:p w14:paraId="42FFF337" w14:textId="2EBCB10E" w:rsidR="008C3200" w:rsidRPr="00F152D6" w:rsidRDefault="008C3200" w:rsidP="00510230">
      <w:pPr>
        <w:rPr>
          <w:rFonts w:asciiTheme="majorHAnsi" w:hAnsiTheme="majorHAnsi"/>
          <w:sz w:val="20"/>
          <w:szCs w:val="20"/>
        </w:rPr>
      </w:pPr>
    </w:p>
    <w:sectPr w:rsidR="008C3200" w:rsidRPr="00F152D6" w:rsidSect="00A32960">
      <w:headerReference w:type="even" r:id="rId54"/>
      <w:headerReference w:type="default" r:id="rId55"/>
      <w:footerReference w:type="even" r:id="rId56"/>
      <w:footerReference w:type="default" r:id="rId57"/>
      <w:headerReference w:type="first" r:id="rId58"/>
      <w:footerReference w:type="first" r:id="rId5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5B675" w14:textId="77777777" w:rsidR="005F157F" w:rsidRDefault="005F157F">
      <w:r>
        <w:separator/>
      </w:r>
    </w:p>
  </w:endnote>
  <w:endnote w:type="continuationSeparator" w:id="0">
    <w:p w14:paraId="5E0FB79C" w14:textId="77777777" w:rsidR="005F157F" w:rsidRDefault="005F157F">
      <w:r>
        <w:continuationSeparator/>
      </w:r>
    </w:p>
  </w:endnote>
  <w:endnote w:type="continuationNotice" w:id="1">
    <w:p w14:paraId="55C74F38" w14:textId="77777777" w:rsidR="005F157F" w:rsidRDefault="005F1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1D31" w14:textId="77777777" w:rsidR="00EA2A43" w:rsidRDefault="00EA2A4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56CC8BB" w14:textId="77777777" w:rsidR="00EA2A43" w:rsidRDefault="00EA2A4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4685" w14:textId="24DC0B4E" w:rsidR="00EA2A43" w:rsidRPr="00A32960" w:rsidRDefault="007B764C" w:rsidP="00A32960">
    <w:pPr>
      <w:pStyle w:val="Footer"/>
      <w:jc w:val="center"/>
      <w:rPr>
        <w:rFonts w:ascii="Cambria" w:hAnsi="Cambria"/>
      </w:rPr>
    </w:pPr>
    <w:sdt>
      <w:sdtPr>
        <w:rPr>
          <w:rFonts w:ascii="Calibri" w:eastAsia="Calibri" w:hAnsi="Calibri" w:cs="Calibri"/>
          <w:szCs w:val="20"/>
        </w:rPr>
        <w:id w:val="810910487"/>
        <w:docPartObj>
          <w:docPartGallery w:val="Page Numbers (Top of Page)"/>
          <w:docPartUnique/>
        </w:docPartObj>
      </w:sdtPr>
      <w:sdtEndPr>
        <w:rPr>
          <w:rFonts w:ascii="Cambria" w:hAnsi="Cambria"/>
        </w:rPr>
      </w:sdtEndPr>
      <w:sdtContent>
        <w:r w:rsidR="00EA2A43" w:rsidRPr="00DA2BEB">
          <w:rPr>
            <w:rFonts w:ascii="Cambria" w:eastAsia="Calibri" w:hAnsi="Cambria" w:cs="Calibri"/>
          </w:rPr>
          <w:fldChar w:fldCharType="begin"/>
        </w:r>
        <w:r w:rsidR="00EA2A43" w:rsidRPr="00DA2BEB">
          <w:rPr>
            <w:rFonts w:ascii="Cambria" w:eastAsia="Calibri" w:hAnsi="Cambria" w:cs="Calibri"/>
          </w:rPr>
          <w:instrText xml:space="preserve"> PAGE </w:instrText>
        </w:r>
        <w:r w:rsidR="00EA2A43" w:rsidRPr="00DA2BEB">
          <w:rPr>
            <w:rFonts w:ascii="Cambria" w:eastAsia="Calibri" w:hAnsi="Cambria" w:cs="Calibri"/>
          </w:rPr>
          <w:fldChar w:fldCharType="separate"/>
        </w:r>
        <w:r w:rsidR="00EA2A43">
          <w:rPr>
            <w:rFonts w:ascii="Cambria" w:eastAsia="Calibri" w:hAnsi="Cambria" w:cs="Calibri"/>
          </w:rPr>
          <w:t>1</w:t>
        </w:r>
        <w:r w:rsidR="00EA2A43" w:rsidRPr="00DA2BEB">
          <w:rPr>
            <w:rFonts w:ascii="Cambria" w:eastAsia="Calibri" w:hAnsi="Cambria" w:cs="Calibri"/>
          </w:rPr>
          <w:fldChar w:fldCharType="end"/>
        </w:r>
        <w:r w:rsidR="009E5B30">
          <w:rPr>
            <w:rFonts w:ascii="Cambria" w:hAnsi="Cambria"/>
          </w:rPr>
          <w:t xml:space="preserve"> / </w:t>
        </w:r>
        <w:r w:rsidR="00EA2A43" w:rsidRPr="00DA2BEB">
          <w:rPr>
            <w:rFonts w:ascii="Cambria" w:eastAsia="Calibri" w:hAnsi="Cambria" w:cs="Calibri"/>
          </w:rPr>
          <w:fldChar w:fldCharType="begin"/>
        </w:r>
        <w:r w:rsidR="00EA2A43" w:rsidRPr="00DA2BEB">
          <w:rPr>
            <w:rFonts w:ascii="Cambria" w:eastAsia="Calibri" w:hAnsi="Cambria" w:cs="Calibri"/>
          </w:rPr>
          <w:instrText xml:space="preserve"> NUMPAGES  </w:instrText>
        </w:r>
        <w:r w:rsidR="00EA2A43" w:rsidRPr="00DA2BEB">
          <w:rPr>
            <w:rFonts w:ascii="Cambria" w:eastAsia="Calibri" w:hAnsi="Cambria" w:cs="Calibri"/>
          </w:rPr>
          <w:fldChar w:fldCharType="separate"/>
        </w:r>
        <w:r w:rsidR="00EA2A43">
          <w:rPr>
            <w:rFonts w:ascii="Cambria" w:eastAsia="Calibri" w:hAnsi="Cambria" w:cs="Calibri"/>
          </w:rPr>
          <w:t>3</w:t>
        </w:r>
        <w:r w:rsidR="00EA2A43" w:rsidRPr="00DA2BEB">
          <w:rPr>
            <w:rFonts w:ascii="Cambria" w:eastAsia="Calibri" w:hAnsi="Cambria" w:cs="Calibri"/>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D68E" w14:textId="77777777" w:rsidR="00EA2A43" w:rsidRDefault="00EA2A4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330D" w14:textId="77777777" w:rsidR="005F157F" w:rsidRDefault="005F157F">
      <w:r>
        <w:separator/>
      </w:r>
    </w:p>
  </w:footnote>
  <w:footnote w:type="continuationSeparator" w:id="0">
    <w:p w14:paraId="73F18C01" w14:textId="77777777" w:rsidR="005F157F" w:rsidRDefault="005F157F">
      <w:r>
        <w:continuationSeparator/>
      </w:r>
    </w:p>
  </w:footnote>
  <w:footnote w:type="continuationNotice" w:id="1">
    <w:p w14:paraId="313D411F" w14:textId="77777777" w:rsidR="005F157F" w:rsidRDefault="005F15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0FA8" w14:textId="77777777" w:rsidR="00EA2A43" w:rsidRDefault="00EA2A43">
    <w:pPr>
      <w:pStyle w:val="Header"/>
      <w:rPr>
        <w:rFonts w:ascii="Univers" w:hAnsi="Univers"/>
        <w:sz w:val="16"/>
      </w:rPr>
    </w:pPr>
    <w:r>
      <w:rPr>
        <w:rFonts w:ascii="Univers" w:hAnsi="Univers"/>
        <w:sz w:val="16"/>
      </w:rPr>
      <w:t>RAPPORT ICCAT 2002--2003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E5E5" w14:textId="33CE7B60" w:rsidR="00EA2A43" w:rsidRPr="00862FBD" w:rsidRDefault="00EA2A43" w:rsidP="00B2398B">
    <w:pPr>
      <w:tabs>
        <w:tab w:val="center" w:pos="4680"/>
        <w:tab w:val="left" w:pos="6520"/>
        <w:tab w:val="right" w:pos="9360"/>
        <w:tab w:val="right" w:pos="14240"/>
      </w:tabs>
      <w:jc w:val="right"/>
      <w:rPr>
        <w:rFonts w:ascii="Cambria" w:hAnsi="Cambria"/>
        <w:b/>
        <w:bCs/>
        <w:sz w:val="20"/>
        <w:szCs w:val="20"/>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COC_308_A</w:t>
    </w:r>
    <w:r w:rsidR="00652F55">
      <w:rPr>
        <w:rFonts w:ascii="Cambria" w:hAnsi="Cambria"/>
        <w:b/>
        <w:sz w:val="20"/>
      </w:rPr>
      <w:t>ppendix</w:t>
    </w:r>
    <w:r>
      <w:rPr>
        <w:rFonts w:ascii="Cambria" w:hAnsi="Cambria"/>
        <w:b/>
        <w:sz w:val="20"/>
      </w:rPr>
      <w:t>2</w:t>
    </w:r>
    <w:r w:rsidR="00EC26B1">
      <w:rPr>
        <w:rFonts w:ascii="Cambria" w:hAnsi="Cambria"/>
        <w:b/>
        <w:sz w:val="20"/>
      </w:rPr>
      <w:t>A</w:t>
    </w:r>
    <w:r>
      <w:rPr>
        <w:rFonts w:ascii="Cambria" w:hAnsi="Cambria"/>
        <w:b/>
        <w:sz w:val="20"/>
      </w:rPr>
      <w:t>/202</w:t>
    </w:r>
    <w:r w:rsidR="000429FB">
      <w:rPr>
        <w:rFonts w:ascii="Cambria" w:hAnsi="Cambria"/>
        <w:b/>
        <w:sz w:val="20"/>
      </w:rPr>
      <w:t>5</w:t>
    </w:r>
  </w:p>
  <w:p w14:paraId="623E6BB3" w14:textId="09ACFE97" w:rsidR="00EA2A43" w:rsidRPr="00A32960" w:rsidRDefault="00EA2A43" w:rsidP="00A32960">
    <w:pPr>
      <w:tabs>
        <w:tab w:val="left" w:pos="7320"/>
      </w:tabs>
      <w:spacing w:line="240" w:lineRule="exact"/>
      <w:jc w:val="right"/>
    </w:pPr>
    <w:r w:rsidRPr="00862FBD">
      <w:rPr>
        <w:rFonts w:ascii="Cambria" w:hAnsi="Cambria"/>
        <w:b/>
        <w:sz w:val="16"/>
      </w:rPr>
      <w:fldChar w:fldCharType="begin"/>
    </w:r>
    <w:r w:rsidRPr="00862FBD">
      <w:rPr>
        <w:rFonts w:ascii="Cambria" w:hAnsi="Cambria"/>
        <w:b/>
        <w:sz w:val="16"/>
      </w:rPr>
      <w:instrText xml:space="preserve"> TIME \@ "dd/MM/yyyy H:mm" </w:instrText>
    </w:r>
    <w:r w:rsidRPr="00862FBD">
      <w:rPr>
        <w:rFonts w:ascii="Cambria" w:hAnsi="Cambria"/>
        <w:b/>
        <w:sz w:val="16"/>
      </w:rPr>
      <w:fldChar w:fldCharType="separate"/>
    </w:r>
    <w:r w:rsidR="00B24905">
      <w:rPr>
        <w:rFonts w:ascii="Cambria" w:hAnsi="Cambria"/>
        <w:b/>
        <w:noProof/>
        <w:sz w:val="16"/>
      </w:rPr>
      <w:t>23/11/2025 19:48</w:t>
    </w:r>
    <w:r w:rsidRPr="00862FBD">
      <w:rPr>
        <w:rFonts w:ascii="Cambria" w:hAnsi="Cambria"/>
        <w:b/>
        <w:bCs/>
        <w:sz w:val="16"/>
        <w:szCs w:val="16"/>
        <w:lang w:val="es-ES_tradnl"/>
      </w:rPr>
      <w:fldChar w:fldCharType="end"/>
    </w:r>
    <w:bookmarkEnd w:id="1"/>
    <w:bookmarkEnd w:id="2"/>
    <w:bookmarkEnd w:id="3"/>
    <w:bookmarkEnd w:id="4"/>
    <w:bookmarkEnd w:id="5"/>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289D" w14:textId="77777777" w:rsidR="00EA2A43" w:rsidRDefault="00EA2A43">
    <w:pPr>
      <w:pStyle w:val="Header"/>
      <w:jc w:val="right"/>
      <w:rPr>
        <w:rFonts w:ascii="Univers" w:hAnsi="Univers"/>
        <w:sz w:val="16"/>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06D6"/>
    <w:multiLevelType w:val="multilevel"/>
    <w:tmpl w:val="F8C64D72"/>
    <w:lvl w:ilvl="0">
      <w:start w:val="6"/>
      <w:numFmt w:val="decimal"/>
      <w:lvlText w:val="%1"/>
      <w:lvlJc w:val="left"/>
      <w:pPr>
        <w:tabs>
          <w:tab w:val="num" w:pos="405"/>
        </w:tabs>
        <w:ind w:left="405" w:hanging="405"/>
      </w:pPr>
      <w:rPr>
        <w:rFonts w:hint="default"/>
      </w:rPr>
    </w:lvl>
    <w:lvl w:ilvl="1">
      <w:start w:val="5"/>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 w15:restartNumberingAfterBreak="0">
    <w:nsid w:val="2F9072AF"/>
    <w:multiLevelType w:val="multilevel"/>
    <w:tmpl w:val="E4EE2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7526C"/>
    <w:multiLevelType w:val="multilevel"/>
    <w:tmpl w:val="A394D1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3" w15:restartNumberingAfterBreak="0">
    <w:nsid w:val="40037A91"/>
    <w:multiLevelType w:val="hybridMultilevel"/>
    <w:tmpl w:val="75E8BD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021904"/>
    <w:multiLevelType w:val="multilevel"/>
    <w:tmpl w:val="D95C4966"/>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5" w15:restartNumberingAfterBreak="0">
    <w:nsid w:val="4D684F4F"/>
    <w:multiLevelType w:val="hybridMultilevel"/>
    <w:tmpl w:val="B8342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09610F"/>
    <w:multiLevelType w:val="hybridMultilevel"/>
    <w:tmpl w:val="8C1224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15:restartNumberingAfterBreak="0">
    <w:nsid w:val="6A120BA9"/>
    <w:multiLevelType w:val="hybridMultilevel"/>
    <w:tmpl w:val="F7C01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7C327C"/>
    <w:multiLevelType w:val="hybridMultilevel"/>
    <w:tmpl w:val="F1A03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8A286F"/>
    <w:multiLevelType w:val="hybridMultilevel"/>
    <w:tmpl w:val="CE24B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956626">
    <w:abstractNumId w:val="0"/>
  </w:num>
  <w:num w:numId="2" w16cid:durableId="2120639781">
    <w:abstractNumId w:val="4"/>
  </w:num>
  <w:num w:numId="3" w16cid:durableId="1565144336">
    <w:abstractNumId w:val="2"/>
  </w:num>
  <w:num w:numId="4" w16cid:durableId="443236202">
    <w:abstractNumId w:val="6"/>
  </w:num>
  <w:num w:numId="5" w16cid:durableId="1204753378">
    <w:abstractNumId w:val="7"/>
  </w:num>
  <w:num w:numId="6" w16cid:durableId="202669724">
    <w:abstractNumId w:val="8"/>
  </w:num>
  <w:num w:numId="7" w16cid:durableId="499392655">
    <w:abstractNumId w:val="5"/>
  </w:num>
  <w:num w:numId="8" w16cid:durableId="354624303">
    <w:abstractNumId w:val="3"/>
  </w:num>
  <w:num w:numId="9" w16cid:durableId="1397123945">
    <w:abstractNumId w:val="1"/>
  </w:num>
  <w:num w:numId="10" w16cid:durableId="7925564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7DF"/>
    <w:rsid w:val="000043D7"/>
    <w:rsid w:val="000108D6"/>
    <w:rsid w:val="0001094B"/>
    <w:rsid w:val="00011091"/>
    <w:rsid w:val="00012466"/>
    <w:rsid w:val="00014E26"/>
    <w:rsid w:val="000217D6"/>
    <w:rsid w:val="000228DA"/>
    <w:rsid w:val="000233BB"/>
    <w:rsid w:val="00026C31"/>
    <w:rsid w:val="00027982"/>
    <w:rsid w:val="000279EF"/>
    <w:rsid w:val="00033632"/>
    <w:rsid w:val="00035D6B"/>
    <w:rsid w:val="0004012A"/>
    <w:rsid w:val="000414CA"/>
    <w:rsid w:val="000429FB"/>
    <w:rsid w:val="00042F54"/>
    <w:rsid w:val="00044BAD"/>
    <w:rsid w:val="00045930"/>
    <w:rsid w:val="00045968"/>
    <w:rsid w:val="00050080"/>
    <w:rsid w:val="00053EDB"/>
    <w:rsid w:val="0005444E"/>
    <w:rsid w:val="0005567E"/>
    <w:rsid w:val="00056C0F"/>
    <w:rsid w:val="000604FB"/>
    <w:rsid w:val="000609E7"/>
    <w:rsid w:val="000620AB"/>
    <w:rsid w:val="00062E26"/>
    <w:rsid w:val="000634E8"/>
    <w:rsid w:val="00065FB7"/>
    <w:rsid w:val="0007165F"/>
    <w:rsid w:val="0007339D"/>
    <w:rsid w:val="00073C3C"/>
    <w:rsid w:val="0007575B"/>
    <w:rsid w:val="0008119A"/>
    <w:rsid w:val="0008341F"/>
    <w:rsid w:val="000839C3"/>
    <w:rsid w:val="0008567C"/>
    <w:rsid w:val="00090B89"/>
    <w:rsid w:val="00090FA8"/>
    <w:rsid w:val="00091D6E"/>
    <w:rsid w:val="000946E2"/>
    <w:rsid w:val="0009475B"/>
    <w:rsid w:val="00097353"/>
    <w:rsid w:val="000977C7"/>
    <w:rsid w:val="000A029C"/>
    <w:rsid w:val="000A2DF0"/>
    <w:rsid w:val="000A4718"/>
    <w:rsid w:val="000A47BB"/>
    <w:rsid w:val="000A5794"/>
    <w:rsid w:val="000A7C53"/>
    <w:rsid w:val="000B75DD"/>
    <w:rsid w:val="000C04E5"/>
    <w:rsid w:val="000C1222"/>
    <w:rsid w:val="000C16A2"/>
    <w:rsid w:val="000C5DDE"/>
    <w:rsid w:val="000D2B73"/>
    <w:rsid w:val="000D2C96"/>
    <w:rsid w:val="000D3A63"/>
    <w:rsid w:val="000D414E"/>
    <w:rsid w:val="000D7EFB"/>
    <w:rsid w:val="000E1409"/>
    <w:rsid w:val="00100385"/>
    <w:rsid w:val="00104F54"/>
    <w:rsid w:val="00105712"/>
    <w:rsid w:val="00110427"/>
    <w:rsid w:val="00110CE8"/>
    <w:rsid w:val="00112221"/>
    <w:rsid w:val="00113EFF"/>
    <w:rsid w:val="0012292C"/>
    <w:rsid w:val="00123E56"/>
    <w:rsid w:val="0013036C"/>
    <w:rsid w:val="0013381C"/>
    <w:rsid w:val="001363C4"/>
    <w:rsid w:val="00136B82"/>
    <w:rsid w:val="00137A56"/>
    <w:rsid w:val="001417CD"/>
    <w:rsid w:val="001422A4"/>
    <w:rsid w:val="00143F2E"/>
    <w:rsid w:val="00145267"/>
    <w:rsid w:val="00145AFB"/>
    <w:rsid w:val="00145BB3"/>
    <w:rsid w:val="001465EC"/>
    <w:rsid w:val="0015060B"/>
    <w:rsid w:val="00151AE1"/>
    <w:rsid w:val="00153CFA"/>
    <w:rsid w:val="00154805"/>
    <w:rsid w:val="00162032"/>
    <w:rsid w:val="00163C7C"/>
    <w:rsid w:val="00165A73"/>
    <w:rsid w:val="00165BE7"/>
    <w:rsid w:val="00166855"/>
    <w:rsid w:val="001671D8"/>
    <w:rsid w:val="00171ED7"/>
    <w:rsid w:val="001722A4"/>
    <w:rsid w:val="00172D58"/>
    <w:rsid w:val="00175AEB"/>
    <w:rsid w:val="001774E0"/>
    <w:rsid w:val="00177C7A"/>
    <w:rsid w:val="001811DD"/>
    <w:rsid w:val="001829D7"/>
    <w:rsid w:val="00182C82"/>
    <w:rsid w:val="00182F72"/>
    <w:rsid w:val="00183578"/>
    <w:rsid w:val="00184EDD"/>
    <w:rsid w:val="0018733C"/>
    <w:rsid w:val="0018746A"/>
    <w:rsid w:val="00187AF8"/>
    <w:rsid w:val="001911B9"/>
    <w:rsid w:val="00192564"/>
    <w:rsid w:val="00194979"/>
    <w:rsid w:val="00195D78"/>
    <w:rsid w:val="001A01E0"/>
    <w:rsid w:val="001A3160"/>
    <w:rsid w:val="001A4BDE"/>
    <w:rsid w:val="001A505D"/>
    <w:rsid w:val="001A7483"/>
    <w:rsid w:val="001B0541"/>
    <w:rsid w:val="001B0CF7"/>
    <w:rsid w:val="001B150D"/>
    <w:rsid w:val="001B1F34"/>
    <w:rsid w:val="001B3033"/>
    <w:rsid w:val="001B3D3A"/>
    <w:rsid w:val="001B4174"/>
    <w:rsid w:val="001B55A1"/>
    <w:rsid w:val="001B758B"/>
    <w:rsid w:val="001C02AE"/>
    <w:rsid w:val="001C3208"/>
    <w:rsid w:val="001C44C3"/>
    <w:rsid w:val="001C4DD5"/>
    <w:rsid w:val="001C58FF"/>
    <w:rsid w:val="001C6B5B"/>
    <w:rsid w:val="001C7F90"/>
    <w:rsid w:val="001D0E87"/>
    <w:rsid w:val="001D271A"/>
    <w:rsid w:val="001D3AED"/>
    <w:rsid w:val="001E0F20"/>
    <w:rsid w:val="001E1DEA"/>
    <w:rsid w:val="001E21FE"/>
    <w:rsid w:val="001E7977"/>
    <w:rsid w:val="001F08C4"/>
    <w:rsid w:val="001F295C"/>
    <w:rsid w:val="001F39CB"/>
    <w:rsid w:val="0020032C"/>
    <w:rsid w:val="00203884"/>
    <w:rsid w:val="00211570"/>
    <w:rsid w:val="0021172C"/>
    <w:rsid w:val="0021297C"/>
    <w:rsid w:val="00214342"/>
    <w:rsid w:val="00215803"/>
    <w:rsid w:val="0022239F"/>
    <w:rsid w:val="002238FF"/>
    <w:rsid w:val="002247CC"/>
    <w:rsid w:val="0022537D"/>
    <w:rsid w:val="0023046F"/>
    <w:rsid w:val="00232F71"/>
    <w:rsid w:val="00233EB0"/>
    <w:rsid w:val="00234EB6"/>
    <w:rsid w:val="00236B44"/>
    <w:rsid w:val="0024145E"/>
    <w:rsid w:val="0025057D"/>
    <w:rsid w:val="002516B3"/>
    <w:rsid w:val="00255F99"/>
    <w:rsid w:val="0025726A"/>
    <w:rsid w:val="00257A11"/>
    <w:rsid w:val="002634FB"/>
    <w:rsid w:val="002636A1"/>
    <w:rsid w:val="00266D01"/>
    <w:rsid w:val="00271B3B"/>
    <w:rsid w:val="00274004"/>
    <w:rsid w:val="00275C5D"/>
    <w:rsid w:val="00277637"/>
    <w:rsid w:val="0028201F"/>
    <w:rsid w:val="002838EF"/>
    <w:rsid w:val="002841C3"/>
    <w:rsid w:val="002844E6"/>
    <w:rsid w:val="00287E4A"/>
    <w:rsid w:val="00292BD4"/>
    <w:rsid w:val="002938D6"/>
    <w:rsid w:val="00293ED5"/>
    <w:rsid w:val="00294648"/>
    <w:rsid w:val="002966F7"/>
    <w:rsid w:val="002A0671"/>
    <w:rsid w:val="002A0F51"/>
    <w:rsid w:val="002A1112"/>
    <w:rsid w:val="002A1643"/>
    <w:rsid w:val="002A299A"/>
    <w:rsid w:val="002A3CAE"/>
    <w:rsid w:val="002A3DEC"/>
    <w:rsid w:val="002A42AA"/>
    <w:rsid w:val="002A5658"/>
    <w:rsid w:val="002B1383"/>
    <w:rsid w:val="002B30F2"/>
    <w:rsid w:val="002B67DA"/>
    <w:rsid w:val="002B68CB"/>
    <w:rsid w:val="002B72E4"/>
    <w:rsid w:val="002C0E98"/>
    <w:rsid w:val="002C0FBC"/>
    <w:rsid w:val="002C2422"/>
    <w:rsid w:val="002C3660"/>
    <w:rsid w:val="002C6056"/>
    <w:rsid w:val="002D25F1"/>
    <w:rsid w:val="002D4C84"/>
    <w:rsid w:val="002D5598"/>
    <w:rsid w:val="002D74D6"/>
    <w:rsid w:val="002E10C8"/>
    <w:rsid w:val="002E16D2"/>
    <w:rsid w:val="002E4ECB"/>
    <w:rsid w:val="002E4FF1"/>
    <w:rsid w:val="002E56BE"/>
    <w:rsid w:val="002E58C9"/>
    <w:rsid w:val="002E7CAD"/>
    <w:rsid w:val="002F10E0"/>
    <w:rsid w:val="002F1B7B"/>
    <w:rsid w:val="002F1D3A"/>
    <w:rsid w:val="002F2499"/>
    <w:rsid w:val="002F38AE"/>
    <w:rsid w:val="002F5335"/>
    <w:rsid w:val="002F6964"/>
    <w:rsid w:val="002F7B64"/>
    <w:rsid w:val="0030705E"/>
    <w:rsid w:val="00310B8D"/>
    <w:rsid w:val="00312279"/>
    <w:rsid w:val="003209E2"/>
    <w:rsid w:val="00323003"/>
    <w:rsid w:val="003254C7"/>
    <w:rsid w:val="003263FA"/>
    <w:rsid w:val="003266B1"/>
    <w:rsid w:val="00326A38"/>
    <w:rsid w:val="00326EFD"/>
    <w:rsid w:val="00334B37"/>
    <w:rsid w:val="00341056"/>
    <w:rsid w:val="00341414"/>
    <w:rsid w:val="003453C5"/>
    <w:rsid w:val="003560D6"/>
    <w:rsid w:val="0036101F"/>
    <w:rsid w:val="00361CF2"/>
    <w:rsid w:val="00362E2D"/>
    <w:rsid w:val="00363EF8"/>
    <w:rsid w:val="00363F67"/>
    <w:rsid w:val="003679CF"/>
    <w:rsid w:val="003729A4"/>
    <w:rsid w:val="00380523"/>
    <w:rsid w:val="00384499"/>
    <w:rsid w:val="003914D6"/>
    <w:rsid w:val="00393673"/>
    <w:rsid w:val="00393F3A"/>
    <w:rsid w:val="00394F2B"/>
    <w:rsid w:val="003956C6"/>
    <w:rsid w:val="00395E0B"/>
    <w:rsid w:val="00397291"/>
    <w:rsid w:val="003976D0"/>
    <w:rsid w:val="003A26D1"/>
    <w:rsid w:val="003A2899"/>
    <w:rsid w:val="003A35B7"/>
    <w:rsid w:val="003A45A5"/>
    <w:rsid w:val="003A4FA1"/>
    <w:rsid w:val="003B3C11"/>
    <w:rsid w:val="003B47F6"/>
    <w:rsid w:val="003C030B"/>
    <w:rsid w:val="003C349E"/>
    <w:rsid w:val="003C4389"/>
    <w:rsid w:val="003C5F5D"/>
    <w:rsid w:val="003C64D1"/>
    <w:rsid w:val="003C7AEB"/>
    <w:rsid w:val="003D009B"/>
    <w:rsid w:val="003D207A"/>
    <w:rsid w:val="003D22C4"/>
    <w:rsid w:val="003D4DCC"/>
    <w:rsid w:val="003E2B8B"/>
    <w:rsid w:val="003E4829"/>
    <w:rsid w:val="003E6A29"/>
    <w:rsid w:val="003E7923"/>
    <w:rsid w:val="003F1904"/>
    <w:rsid w:val="003F214C"/>
    <w:rsid w:val="003F40F2"/>
    <w:rsid w:val="004014CF"/>
    <w:rsid w:val="00406E67"/>
    <w:rsid w:val="00406EB9"/>
    <w:rsid w:val="00412178"/>
    <w:rsid w:val="00413E42"/>
    <w:rsid w:val="00413F16"/>
    <w:rsid w:val="0041796D"/>
    <w:rsid w:val="00421142"/>
    <w:rsid w:val="00423BE2"/>
    <w:rsid w:val="00425C58"/>
    <w:rsid w:val="004268F2"/>
    <w:rsid w:val="00426DC8"/>
    <w:rsid w:val="004306DA"/>
    <w:rsid w:val="0043194D"/>
    <w:rsid w:val="004365FF"/>
    <w:rsid w:val="0043736E"/>
    <w:rsid w:val="00441615"/>
    <w:rsid w:val="00443FB5"/>
    <w:rsid w:val="00444C34"/>
    <w:rsid w:val="004508F1"/>
    <w:rsid w:val="004551B6"/>
    <w:rsid w:val="00455495"/>
    <w:rsid w:val="00455BB9"/>
    <w:rsid w:val="00455F09"/>
    <w:rsid w:val="00457DFC"/>
    <w:rsid w:val="00461F95"/>
    <w:rsid w:val="004620A9"/>
    <w:rsid w:val="00464E5E"/>
    <w:rsid w:val="004653C1"/>
    <w:rsid w:val="00471200"/>
    <w:rsid w:val="00471815"/>
    <w:rsid w:val="00472ADB"/>
    <w:rsid w:val="00473073"/>
    <w:rsid w:val="004835FA"/>
    <w:rsid w:val="00483DAE"/>
    <w:rsid w:val="00486E54"/>
    <w:rsid w:val="00490505"/>
    <w:rsid w:val="0049351C"/>
    <w:rsid w:val="00494E89"/>
    <w:rsid w:val="004969B2"/>
    <w:rsid w:val="004978F1"/>
    <w:rsid w:val="004A1462"/>
    <w:rsid w:val="004A2309"/>
    <w:rsid w:val="004A2E8E"/>
    <w:rsid w:val="004A3BAE"/>
    <w:rsid w:val="004A6AB7"/>
    <w:rsid w:val="004B42A8"/>
    <w:rsid w:val="004C0F77"/>
    <w:rsid w:val="004D0855"/>
    <w:rsid w:val="004D24B5"/>
    <w:rsid w:val="004D29B8"/>
    <w:rsid w:val="004D6A7A"/>
    <w:rsid w:val="004D71E0"/>
    <w:rsid w:val="004E0B56"/>
    <w:rsid w:val="004E1D1B"/>
    <w:rsid w:val="004E27D9"/>
    <w:rsid w:val="004F2CFB"/>
    <w:rsid w:val="004F396B"/>
    <w:rsid w:val="004F6DDE"/>
    <w:rsid w:val="00500461"/>
    <w:rsid w:val="00500A96"/>
    <w:rsid w:val="00502D26"/>
    <w:rsid w:val="005032D1"/>
    <w:rsid w:val="00503DCC"/>
    <w:rsid w:val="005049CF"/>
    <w:rsid w:val="00506E99"/>
    <w:rsid w:val="00507DF5"/>
    <w:rsid w:val="00510230"/>
    <w:rsid w:val="00513295"/>
    <w:rsid w:val="00515DB3"/>
    <w:rsid w:val="005160FB"/>
    <w:rsid w:val="005250CC"/>
    <w:rsid w:val="005252A2"/>
    <w:rsid w:val="00527516"/>
    <w:rsid w:val="00535519"/>
    <w:rsid w:val="00540505"/>
    <w:rsid w:val="00543536"/>
    <w:rsid w:val="00544A57"/>
    <w:rsid w:val="00544A7D"/>
    <w:rsid w:val="00545ED9"/>
    <w:rsid w:val="0054663A"/>
    <w:rsid w:val="00547CBD"/>
    <w:rsid w:val="00552E7A"/>
    <w:rsid w:val="00553B55"/>
    <w:rsid w:val="005575FF"/>
    <w:rsid w:val="00560416"/>
    <w:rsid w:val="00563AFF"/>
    <w:rsid w:val="00564CA4"/>
    <w:rsid w:val="00567654"/>
    <w:rsid w:val="005702E1"/>
    <w:rsid w:val="00570D5F"/>
    <w:rsid w:val="00571A67"/>
    <w:rsid w:val="005729C7"/>
    <w:rsid w:val="00573CC6"/>
    <w:rsid w:val="00573EC7"/>
    <w:rsid w:val="00575E7F"/>
    <w:rsid w:val="00580D6A"/>
    <w:rsid w:val="0058443D"/>
    <w:rsid w:val="005862EE"/>
    <w:rsid w:val="005945A4"/>
    <w:rsid w:val="005955B6"/>
    <w:rsid w:val="005958A4"/>
    <w:rsid w:val="005964D1"/>
    <w:rsid w:val="005A0CAC"/>
    <w:rsid w:val="005B250B"/>
    <w:rsid w:val="005B27A0"/>
    <w:rsid w:val="005B2B23"/>
    <w:rsid w:val="005C03C9"/>
    <w:rsid w:val="005C097A"/>
    <w:rsid w:val="005C15A8"/>
    <w:rsid w:val="005C2E77"/>
    <w:rsid w:val="005C4183"/>
    <w:rsid w:val="005C4A2A"/>
    <w:rsid w:val="005C4F90"/>
    <w:rsid w:val="005C55D7"/>
    <w:rsid w:val="005C5F4F"/>
    <w:rsid w:val="005D16FF"/>
    <w:rsid w:val="005D1905"/>
    <w:rsid w:val="005D1E8A"/>
    <w:rsid w:val="005D2BF0"/>
    <w:rsid w:val="005D4670"/>
    <w:rsid w:val="005D5728"/>
    <w:rsid w:val="005D6109"/>
    <w:rsid w:val="005D6884"/>
    <w:rsid w:val="005D7294"/>
    <w:rsid w:val="005E19FA"/>
    <w:rsid w:val="005E1DE8"/>
    <w:rsid w:val="005E4981"/>
    <w:rsid w:val="005E740E"/>
    <w:rsid w:val="005F0E50"/>
    <w:rsid w:val="005F11BF"/>
    <w:rsid w:val="005F157F"/>
    <w:rsid w:val="005F1A39"/>
    <w:rsid w:val="005F279F"/>
    <w:rsid w:val="005F3541"/>
    <w:rsid w:val="005F4AFA"/>
    <w:rsid w:val="005F6224"/>
    <w:rsid w:val="005F7A63"/>
    <w:rsid w:val="006021BD"/>
    <w:rsid w:val="00602960"/>
    <w:rsid w:val="00602BC4"/>
    <w:rsid w:val="00604699"/>
    <w:rsid w:val="006049A4"/>
    <w:rsid w:val="00604BAC"/>
    <w:rsid w:val="00607FC2"/>
    <w:rsid w:val="00614747"/>
    <w:rsid w:val="00614F34"/>
    <w:rsid w:val="0061603B"/>
    <w:rsid w:val="0061655F"/>
    <w:rsid w:val="006170B1"/>
    <w:rsid w:val="006244C1"/>
    <w:rsid w:val="00624A90"/>
    <w:rsid w:val="00625B0E"/>
    <w:rsid w:val="00633804"/>
    <w:rsid w:val="00633F6E"/>
    <w:rsid w:val="006345C0"/>
    <w:rsid w:val="00637DDE"/>
    <w:rsid w:val="00644BF4"/>
    <w:rsid w:val="00645659"/>
    <w:rsid w:val="006457D7"/>
    <w:rsid w:val="00646F4A"/>
    <w:rsid w:val="00650884"/>
    <w:rsid w:val="00651309"/>
    <w:rsid w:val="00652F55"/>
    <w:rsid w:val="00655A6C"/>
    <w:rsid w:val="00655ACF"/>
    <w:rsid w:val="00664A1A"/>
    <w:rsid w:val="00667F00"/>
    <w:rsid w:val="00670385"/>
    <w:rsid w:val="0067242A"/>
    <w:rsid w:val="00675EFE"/>
    <w:rsid w:val="0067670F"/>
    <w:rsid w:val="00677CD9"/>
    <w:rsid w:val="0068363B"/>
    <w:rsid w:val="0068420E"/>
    <w:rsid w:val="00684C04"/>
    <w:rsid w:val="0069217F"/>
    <w:rsid w:val="006953CF"/>
    <w:rsid w:val="006953F1"/>
    <w:rsid w:val="006955C9"/>
    <w:rsid w:val="006A052A"/>
    <w:rsid w:val="006A1EB6"/>
    <w:rsid w:val="006A3998"/>
    <w:rsid w:val="006A3BFF"/>
    <w:rsid w:val="006A5722"/>
    <w:rsid w:val="006A7C7B"/>
    <w:rsid w:val="006B26B7"/>
    <w:rsid w:val="006B3B1A"/>
    <w:rsid w:val="006C18C0"/>
    <w:rsid w:val="006C1F4E"/>
    <w:rsid w:val="006C1FEC"/>
    <w:rsid w:val="006C6999"/>
    <w:rsid w:val="006D1F41"/>
    <w:rsid w:val="006D2080"/>
    <w:rsid w:val="006D2344"/>
    <w:rsid w:val="006D569A"/>
    <w:rsid w:val="006D5DA3"/>
    <w:rsid w:val="006D5DA5"/>
    <w:rsid w:val="006E32AB"/>
    <w:rsid w:val="006E6907"/>
    <w:rsid w:val="006F0107"/>
    <w:rsid w:val="006F137D"/>
    <w:rsid w:val="006F38DD"/>
    <w:rsid w:val="006F701D"/>
    <w:rsid w:val="007009E7"/>
    <w:rsid w:val="00702DDB"/>
    <w:rsid w:val="007036DB"/>
    <w:rsid w:val="007039A9"/>
    <w:rsid w:val="00703BC7"/>
    <w:rsid w:val="0070714D"/>
    <w:rsid w:val="00713DAD"/>
    <w:rsid w:val="007145FD"/>
    <w:rsid w:val="00715545"/>
    <w:rsid w:val="0071684F"/>
    <w:rsid w:val="007178A9"/>
    <w:rsid w:val="00720B60"/>
    <w:rsid w:val="00723046"/>
    <w:rsid w:val="0072560A"/>
    <w:rsid w:val="00730344"/>
    <w:rsid w:val="00733BD4"/>
    <w:rsid w:val="00733C5F"/>
    <w:rsid w:val="00735213"/>
    <w:rsid w:val="00736CA6"/>
    <w:rsid w:val="0073708D"/>
    <w:rsid w:val="00737E23"/>
    <w:rsid w:val="007405D0"/>
    <w:rsid w:val="00741284"/>
    <w:rsid w:val="00742653"/>
    <w:rsid w:val="00742C36"/>
    <w:rsid w:val="007442AD"/>
    <w:rsid w:val="007468AC"/>
    <w:rsid w:val="00746EA3"/>
    <w:rsid w:val="00750226"/>
    <w:rsid w:val="00756528"/>
    <w:rsid w:val="007578E5"/>
    <w:rsid w:val="00761ED3"/>
    <w:rsid w:val="0076211F"/>
    <w:rsid w:val="0076245B"/>
    <w:rsid w:val="007647A5"/>
    <w:rsid w:val="00766012"/>
    <w:rsid w:val="007705CB"/>
    <w:rsid w:val="00770D3E"/>
    <w:rsid w:val="0077267E"/>
    <w:rsid w:val="0077312D"/>
    <w:rsid w:val="0077320A"/>
    <w:rsid w:val="00775DEB"/>
    <w:rsid w:val="00775EED"/>
    <w:rsid w:val="00776B1F"/>
    <w:rsid w:val="00781F40"/>
    <w:rsid w:val="0078506A"/>
    <w:rsid w:val="00785274"/>
    <w:rsid w:val="00787C8A"/>
    <w:rsid w:val="007916BE"/>
    <w:rsid w:val="00793DA1"/>
    <w:rsid w:val="0079518A"/>
    <w:rsid w:val="007961E1"/>
    <w:rsid w:val="0079773C"/>
    <w:rsid w:val="00797987"/>
    <w:rsid w:val="007979AD"/>
    <w:rsid w:val="007A1243"/>
    <w:rsid w:val="007A3AA5"/>
    <w:rsid w:val="007A797F"/>
    <w:rsid w:val="007A7EC3"/>
    <w:rsid w:val="007B3DBE"/>
    <w:rsid w:val="007B3E99"/>
    <w:rsid w:val="007B44B2"/>
    <w:rsid w:val="007B53AF"/>
    <w:rsid w:val="007B622B"/>
    <w:rsid w:val="007B67E5"/>
    <w:rsid w:val="007B764C"/>
    <w:rsid w:val="007C269E"/>
    <w:rsid w:val="007C6B2F"/>
    <w:rsid w:val="007C7313"/>
    <w:rsid w:val="007D0C9A"/>
    <w:rsid w:val="007D0E79"/>
    <w:rsid w:val="007D25F0"/>
    <w:rsid w:val="007D354D"/>
    <w:rsid w:val="007D4602"/>
    <w:rsid w:val="007D777C"/>
    <w:rsid w:val="007E2A84"/>
    <w:rsid w:val="007E3547"/>
    <w:rsid w:val="007E496F"/>
    <w:rsid w:val="007E725C"/>
    <w:rsid w:val="007E7483"/>
    <w:rsid w:val="007E7AC8"/>
    <w:rsid w:val="007F2508"/>
    <w:rsid w:val="007F6369"/>
    <w:rsid w:val="00800003"/>
    <w:rsid w:val="008017E7"/>
    <w:rsid w:val="00801B09"/>
    <w:rsid w:val="00802887"/>
    <w:rsid w:val="0080532F"/>
    <w:rsid w:val="008065B2"/>
    <w:rsid w:val="0081008A"/>
    <w:rsid w:val="00814293"/>
    <w:rsid w:val="00814E7A"/>
    <w:rsid w:val="00816829"/>
    <w:rsid w:val="0082310B"/>
    <w:rsid w:val="00832700"/>
    <w:rsid w:val="0083281B"/>
    <w:rsid w:val="0083325D"/>
    <w:rsid w:val="008342F9"/>
    <w:rsid w:val="00834BA0"/>
    <w:rsid w:val="00834EB5"/>
    <w:rsid w:val="008379B4"/>
    <w:rsid w:val="00851B21"/>
    <w:rsid w:val="00851EDD"/>
    <w:rsid w:val="00851F35"/>
    <w:rsid w:val="00854BCC"/>
    <w:rsid w:val="0086027F"/>
    <w:rsid w:val="008613EC"/>
    <w:rsid w:val="00861CA4"/>
    <w:rsid w:val="008645D5"/>
    <w:rsid w:val="008750C6"/>
    <w:rsid w:val="00877470"/>
    <w:rsid w:val="00880E29"/>
    <w:rsid w:val="00881AFE"/>
    <w:rsid w:val="00881C73"/>
    <w:rsid w:val="00881F93"/>
    <w:rsid w:val="00883136"/>
    <w:rsid w:val="00883F9A"/>
    <w:rsid w:val="00884B12"/>
    <w:rsid w:val="00884F01"/>
    <w:rsid w:val="0088595C"/>
    <w:rsid w:val="008876E0"/>
    <w:rsid w:val="008905EE"/>
    <w:rsid w:val="00891553"/>
    <w:rsid w:val="008916F0"/>
    <w:rsid w:val="00892096"/>
    <w:rsid w:val="0089209C"/>
    <w:rsid w:val="008926F8"/>
    <w:rsid w:val="0089296C"/>
    <w:rsid w:val="00895146"/>
    <w:rsid w:val="008A089A"/>
    <w:rsid w:val="008A208A"/>
    <w:rsid w:val="008A32E4"/>
    <w:rsid w:val="008A344E"/>
    <w:rsid w:val="008A4BB1"/>
    <w:rsid w:val="008A572B"/>
    <w:rsid w:val="008A798C"/>
    <w:rsid w:val="008A7C4C"/>
    <w:rsid w:val="008B0E99"/>
    <w:rsid w:val="008B1359"/>
    <w:rsid w:val="008B3507"/>
    <w:rsid w:val="008B3BC6"/>
    <w:rsid w:val="008B7D7A"/>
    <w:rsid w:val="008C1B69"/>
    <w:rsid w:val="008C282F"/>
    <w:rsid w:val="008C3200"/>
    <w:rsid w:val="008C45E4"/>
    <w:rsid w:val="008C4B36"/>
    <w:rsid w:val="008C4B7D"/>
    <w:rsid w:val="008C7972"/>
    <w:rsid w:val="008D29CF"/>
    <w:rsid w:val="008D562B"/>
    <w:rsid w:val="008E05F4"/>
    <w:rsid w:val="008E12A6"/>
    <w:rsid w:val="008E13B9"/>
    <w:rsid w:val="008E3002"/>
    <w:rsid w:val="008E331A"/>
    <w:rsid w:val="008E3E46"/>
    <w:rsid w:val="008E7881"/>
    <w:rsid w:val="008F0D16"/>
    <w:rsid w:val="008F5AAA"/>
    <w:rsid w:val="009008FB"/>
    <w:rsid w:val="00905AE5"/>
    <w:rsid w:val="00914140"/>
    <w:rsid w:val="009208D7"/>
    <w:rsid w:val="00920A74"/>
    <w:rsid w:val="0092115B"/>
    <w:rsid w:val="00923F86"/>
    <w:rsid w:val="0092660A"/>
    <w:rsid w:val="009336DA"/>
    <w:rsid w:val="00933E9D"/>
    <w:rsid w:val="00936448"/>
    <w:rsid w:val="00937ED6"/>
    <w:rsid w:val="00943B17"/>
    <w:rsid w:val="00947321"/>
    <w:rsid w:val="00952CD7"/>
    <w:rsid w:val="009536BE"/>
    <w:rsid w:val="00963932"/>
    <w:rsid w:val="00970592"/>
    <w:rsid w:val="00974A4D"/>
    <w:rsid w:val="00974B76"/>
    <w:rsid w:val="00975032"/>
    <w:rsid w:val="00982B16"/>
    <w:rsid w:val="00982BE9"/>
    <w:rsid w:val="00984A3C"/>
    <w:rsid w:val="00985407"/>
    <w:rsid w:val="00991030"/>
    <w:rsid w:val="00992E06"/>
    <w:rsid w:val="009A237A"/>
    <w:rsid w:val="009A44EF"/>
    <w:rsid w:val="009A4ACB"/>
    <w:rsid w:val="009B09C8"/>
    <w:rsid w:val="009B1329"/>
    <w:rsid w:val="009B1DC6"/>
    <w:rsid w:val="009B20A3"/>
    <w:rsid w:val="009B2C5D"/>
    <w:rsid w:val="009B6146"/>
    <w:rsid w:val="009C0C54"/>
    <w:rsid w:val="009C1B92"/>
    <w:rsid w:val="009C2467"/>
    <w:rsid w:val="009C2877"/>
    <w:rsid w:val="009C5525"/>
    <w:rsid w:val="009C7F23"/>
    <w:rsid w:val="009D2245"/>
    <w:rsid w:val="009D237C"/>
    <w:rsid w:val="009D6D96"/>
    <w:rsid w:val="009E014C"/>
    <w:rsid w:val="009E2C01"/>
    <w:rsid w:val="009E5B30"/>
    <w:rsid w:val="009F0617"/>
    <w:rsid w:val="009F213D"/>
    <w:rsid w:val="009F24BB"/>
    <w:rsid w:val="009F63BB"/>
    <w:rsid w:val="009F6988"/>
    <w:rsid w:val="00A01729"/>
    <w:rsid w:val="00A033D1"/>
    <w:rsid w:val="00A06310"/>
    <w:rsid w:val="00A1333E"/>
    <w:rsid w:val="00A13EE9"/>
    <w:rsid w:val="00A1770B"/>
    <w:rsid w:val="00A20450"/>
    <w:rsid w:val="00A20595"/>
    <w:rsid w:val="00A22F07"/>
    <w:rsid w:val="00A27733"/>
    <w:rsid w:val="00A32960"/>
    <w:rsid w:val="00A32CBE"/>
    <w:rsid w:val="00A40210"/>
    <w:rsid w:val="00A51297"/>
    <w:rsid w:val="00A52EE4"/>
    <w:rsid w:val="00A6376A"/>
    <w:rsid w:val="00A64A26"/>
    <w:rsid w:val="00A65FE9"/>
    <w:rsid w:val="00A71137"/>
    <w:rsid w:val="00A730EF"/>
    <w:rsid w:val="00A80068"/>
    <w:rsid w:val="00A82055"/>
    <w:rsid w:val="00A853DB"/>
    <w:rsid w:val="00A87570"/>
    <w:rsid w:val="00A941BD"/>
    <w:rsid w:val="00A94EBE"/>
    <w:rsid w:val="00A95979"/>
    <w:rsid w:val="00AA082C"/>
    <w:rsid w:val="00AA3C75"/>
    <w:rsid w:val="00AA5083"/>
    <w:rsid w:val="00AA799A"/>
    <w:rsid w:val="00AB1031"/>
    <w:rsid w:val="00AB105D"/>
    <w:rsid w:val="00AB135B"/>
    <w:rsid w:val="00AB3B01"/>
    <w:rsid w:val="00AB7A9B"/>
    <w:rsid w:val="00AC226C"/>
    <w:rsid w:val="00AC29B6"/>
    <w:rsid w:val="00AC5493"/>
    <w:rsid w:val="00AC60F1"/>
    <w:rsid w:val="00AC7050"/>
    <w:rsid w:val="00AD0A67"/>
    <w:rsid w:val="00AD23BA"/>
    <w:rsid w:val="00AE116A"/>
    <w:rsid w:val="00AE2621"/>
    <w:rsid w:val="00AE33C1"/>
    <w:rsid w:val="00AE3E7A"/>
    <w:rsid w:val="00AE4791"/>
    <w:rsid w:val="00AF0BB1"/>
    <w:rsid w:val="00AF19B0"/>
    <w:rsid w:val="00AF21FA"/>
    <w:rsid w:val="00AF2A84"/>
    <w:rsid w:val="00AF784F"/>
    <w:rsid w:val="00AF7E40"/>
    <w:rsid w:val="00B00046"/>
    <w:rsid w:val="00B017DA"/>
    <w:rsid w:val="00B01901"/>
    <w:rsid w:val="00B0577D"/>
    <w:rsid w:val="00B0657B"/>
    <w:rsid w:val="00B13B93"/>
    <w:rsid w:val="00B14E0C"/>
    <w:rsid w:val="00B219EE"/>
    <w:rsid w:val="00B2398B"/>
    <w:rsid w:val="00B24905"/>
    <w:rsid w:val="00B27EDF"/>
    <w:rsid w:val="00B31EF0"/>
    <w:rsid w:val="00B34868"/>
    <w:rsid w:val="00B3556C"/>
    <w:rsid w:val="00B36E2C"/>
    <w:rsid w:val="00B37F3D"/>
    <w:rsid w:val="00B40814"/>
    <w:rsid w:val="00B44F87"/>
    <w:rsid w:val="00B45F32"/>
    <w:rsid w:val="00B46F4F"/>
    <w:rsid w:val="00B527DF"/>
    <w:rsid w:val="00B560ED"/>
    <w:rsid w:val="00B562DC"/>
    <w:rsid w:val="00B57724"/>
    <w:rsid w:val="00B605B2"/>
    <w:rsid w:val="00B6231A"/>
    <w:rsid w:val="00B6420A"/>
    <w:rsid w:val="00B64FFB"/>
    <w:rsid w:val="00B6681C"/>
    <w:rsid w:val="00B672A0"/>
    <w:rsid w:val="00B70CEB"/>
    <w:rsid w:val="00B71C58"/>
    <w:rsid w:val="00B744E8"/>
    <w:rsid w:val="00B7583B"/>
    <w:rsid w:val="00B8038B"/>
    <w:rsid w:val="00B81706"/>
    <w:rsid w:val="00B830CB"/>
    <w:rsid w:val="00B8388F"/>
    <w:rsid w:val="00B87E2D"/>
    <w:rsid w:val="00B94230"/>
    <w:rsid w:val="00B95E96"/>
    <w:rsid w:val="00B97166"/>
    <w:rsid w:val="00B973A4"/>
    <w:rsid w:val="00BA00FF"/>
    <w:rsid w:val="00BA149B"/>
    <w:rsid w:val="00BA1F04"/>
    <w:rsid w:val="00BA334F"/>
    <w:rsid w:val="00BA3606"/>
    <w:rsid w:val="00BB10E9"/>
    <w:rsid w:val="00BB505C"/>
    <w:rsid w:val="00BB569C"/>
    <w:rsid w:val="00BC2FCF"/>
    <w:rsid w:val="00BC6F41"/>
    <w:rsid w:val="00BD3433"/>
    <w:rsid w:val="00BD4127"/>
    <w:rsid w:val="00BD475F"/>
    <w:rsid w:val="00BD583E"/>
    <w:rsid w:val="00BE0E17"/>
    <w:rsid w:val="00BE15AC"/>
    <w:rsid w:val="00BE24FD"/>
    <w:rsid w:val="00BE3615"/>
    <w:rsid w:val="00BE49E8"/>
    <w:rsid w:val="00BE586E"/>
    <w:rsid w:val="00BF0D8A"/>
    <w:rsid w:val="00C03872"/>
    <w:rsid w:val="00C051C5"/>
    <w:rsid w:val="00C05DC1"/>
    <w:rsid w:val="00C06405"/>
    <w:rsid w:val="00C07724"/>
    <w:rsid w:val="00C07ADD"/>
    <w:rsid w:val="00C11DE0"/>
    <w:rsid w:val="00C134D5"/>
    <w:rsid w:val="00C16C63"/>
    <w:rsid w:val="00C16C91"/>
    <w:rsid w:val="00C20D9E"/>
    <w:rsid w:val="00C2274D"/>
    <w:rsid w:val="00C2280A"/>
    <w:rsid w:val="00C2768E"/>
    <w:rsid w:val="00C31926"/>
    <w:rsid w:val="00C32F23"/>
    <w:rsid w:val="00C348F6"/>
    <w:rsid w:val="00C3681E"/>
    <w:rsid w:val="00C36FB6"/>
    <w:rsid w:val="00C41D72"/>
    <w:rsid w:val="00C41EEC"/>
    <w:rsid w:val="00C42C4A"/>
    <w:rsid w:val="00C442FB"/>
    <w:rsid w:val="00C4507A"/>
    <w:rsid w:val="00C50046"/>
    <w:rsid w:val="00C50D25"/>
    <w:rsid w:val="00C53DE6"/>
    <w:rsid w:val="00C56CDC"/>
    <w:rsid w:val="00C619F5"/>
    <w:rsid w:val="00C63AF5"/>
    <w:rsid w:val="00C64EE4"/>
    <w:rsid w:val="00C6530C"/>
    <w:rsid w:val="00C6581F"/>
    <w:rsid w:val="00C701A8"/>
    <w:rsid w:val="00C70E12"/>
    <w:rsid w:val="00C71247"/>
    <w:rsid w:val="00C71359"/>
    <w:rsid w:val="00C727F7"/>
    <w:rsid w:val="00C72CA2"/>
    <w:rsid w:val="00C77C14"/>
    <w:rsid w:val="00C81836"/>
    <w:rsid w:val="00C85CE4"/>
    <w:rsid w:val="00C8712D"/>
    <w:rsid w:val="00C87ABE"/>
    <w:rsid w:val="00C93CEF"/>
    <w:rsid w:val="00C93EAC"/>
    <w:rsid w:val="00C9490C"/>
    <w:rsid w:val="00C96552"/>
    <w:rsid w:val="00CA173A"/>
    <w:rsid w:val="00CA22F5"/>
    <w:rsid w:val="00CA2D52"/>
    <w:rsid w:val="00CA3C89"/>
    <w:rsid w:val="00CA417D"/>
    <w:rsid w:val="00CA53EC"/>
    <w:rsid w:val="00CA5A6D"/>
    <w:rsid w:val="00CC0D8A"/>
    <w:rsid w:val="00CC400C"/>
    <w:rsid w:val="00CC4803"/>
    <w:rsid w:val="00CC4F88"/>
    <w:rsid w:val="00CC5525"/>
    <w:rsid w:val="00CC6ACD"/>
    <w:rsid w:val="00CD06B8"/>
    <w:rsid w:val="00CD0F4F"/>
    <w:rsid w:val="00CD1FBB"/>
    <w:rsid w:val="00CD69C9"/>
    <w:rsid w:val="00CE0AB9"/>
    <w:rsid w:val="00CE2AE1"/>
    <w:rsid w:val="00CE4DA2"/>
    <w:rsid w:val="00CF183C"/>
    <w:rsid w:val="00CF4379"/>
    <w:rsid w:val="00CF4393"/>
    <w:rsid w:val="00CF51E4"/>
    <w:rsid w:val="00CF6351"/>
    <w:rsid w:val="00D054AF"/>
    <w:rsid w:val="00D06E7F"/>
    <w:rsid w:val="00D07B76"/>
    <w:rsid w:val="00D07FB9"/>
    <w:rsid w:val="00D15052"/>
    <w:rsid w:val="00D1680A"/>
    <w:rsid w:val="00D20FF8"/>
    <w:rsid w:val="00D223BB"/>
    <w:rsid w:val="00D24B99"/>
    <w:rsid w:val="00D27A14"/>
    <w:rsid w:val="00D303B6"/>
    <w:rsid w:val="00D303F7"/>
    <w:rsid w:val="00D30C06"/>
    <w:rsid w:val="00D32508"/>
    <w:rsid w:val="00D328E8"/>
    <w:rsid w:val="00D37708"/>
    <w:rsid w:val="00D4038B"/>
    <w:rsid w:val="00D437D1"/>
    <w:rsid w:val="00D43EF8"/>
    <w:rsid w:val="00D468F8"/>
    <w:rsid w:val="00D4717E"/>
    <w:rsid w:val="00D50C2E"/>
    <w:rsid w:val="00D52117"/>
    <w:rsid w:val="00D52251"/>
    <w:rsid w:val="00D53304"/>
    <w:rsid w:val="00D678F2"/>
    <w:rsid w:val="00D70E74"/>
    <w:rsid w:val="00D71E00"/>
    <w:rsid w:val="00D7350C"/>
    <w:rsid w:val="00D740D2"/>
    <w:rsid w:val="00D7477E"/>
    <w:rsid w:val="00D7613D"/>
    <w:rsid w:val="00D77A48"/>
    <w:rsid w:val="00D81033"/>
    <w:rsid w:val="00D82092"/>
    <w:rsid w:val="00D907E8"/>
    <w:rsid w:val="00D915ED"/>
    <w:rsid w:val="00D91A2E"/>
    <w:rsid w:val="00D939A6"/>
    <w:rsid w:val="00D96831"/>
    <w:rsid w:val="00D974DF"/>
    <w:rsid w:val="00DA1B92"/>
    <w:rsid w:val="00DB0364"/>
    <w:rsid w:val="00DB09C5"/>
    <w:rsid w:val="00DB2DBA"/>
    <w:rsid w:val="00DB336E"/>
    <w:rsid w:val="00DB4DFB"/>
    <w:rsid w:val="00DB5649"/>
    <w:rsid w:val="00DB6BDD"/>
    <w:rsid w:val="00DC1665"/>
    <w:rsid w:val="00DC3101"/>
    <w:rsid w:val="00DC53A8"/>
    <w:rsid w:val="00DD0309"/>
    <w:rsid w:val="00DD1CF7"/>
    <w:rsid w:val="00DD47CA"/>
    <w:rsid w:val="00DE0F61"/>
    <w:rsid w:val="00DE509E"/>
    <w:rsid w:val="00DE54B4"/>
    <w:rsid w:val="00DE5EA6"/>
    <w:rsid w:val="00DF02E6"/>
    <w:rsid w:val="00DF74A0"/>
    <w:rsid w:val="00E00D71"/>
    <w:rsid w:val="00E011B6"/>
    <w:rsid w:val="00E025FB"/>
    <w:rsid w:val="00E02FDE"/>
    <w:rsid w:val="00E0511A"/>
    <w:rsid w:val="00E0603F"/>
    <w:rsid w:val="00E063A4"/>
    <w:rsid w:val="00E11DF0"/>
    <w:rsid w:val="00E1652B"/>
    <w:rsid w:val="00E16A74"/>
    <w:rsid w:val="00E266EB"/>
    <w:rsid w:val="00E26701"/>
    <w:rsid w:val="00E277F7"/>
    <w:rsid w:val="00E33019"/>
    <w:rsid w:val="00E3470C"/>
    <w:rsid w:val="00E36970"/>
    <w:rsid w:val="00E41F55"/>
    <w:rsid w:val="00E4262A"/>
    <w:rsid w:val="00E432A9"/>
    <w:rsid w:val="00E4337D"/>
    <w:rsid w:val="00E4411D"/>
    <w:rsid w:val="00E457FE"/>
    <w:rsid w:val="00E45E4D"/>
    <w:rsid w:val="00E51F4B"/>
    <w:rsid w:val="00E5301A"/>
    <w:rsid w:val="00E53194"/>
    <w:rsid w:val="00E62203"/>
    <w:rsid w:val="00E63B67"/>
    <w:rsid w:val="00E66A1B"/>
    <w:rsid w:val="00E66AF4"/>
    <w:rsid w:val="00E7047B"/>
    <w:rsid w:val="00E70793"/>
    <w:rsid w:val="00E70798"/>
    <w:rsid w:val="00E828F5"/>
    <w:rsid w:val="00E82E69"/>
    <w:rsid w:val="00E84749"/>
    <w:rsid w:val="00E84E31"/>
    <w:rsid w:val="00E87F4D"/>
    <w:rsid w:val="00EA03BE"/>
    <w:rsid w:val="00EA1258"/>
    <w:rsid w:val="00EA2A43"/>
    <w:rsid w:val="00EB021D"/>
    <w:rsid w:val="00EB3EFD"/>
    <w:rsid w:val="00EB4C4A"/>
    <w:rsid w:val="00EC1403"/>
    <w:rsid w:val="00EC26B1"/>
    <w:rsid w:val="00EC7CAF"/>
    <w:rsid w:val="00ED050B"/>
    <w:rsid w:val="00ED0C8F"/>
    <w:rsid w:val="00ED101A"/>
    <w:rsid w:val="00ED5162"/>
    <w:rsid w:val="00ED5C1F"/>
    <w:rsid w:val="00EE0F4D"/>
    <w:rsid w:val="00EE1723"/>
    <w:rsid w:val="00EE1F75"/>
    <w:rsid w:val="00EE2330"/>
    <w:rsid w:val="00EE3258"/>
    <w:rsid w:val="00EE430E"/>
    <w:rsid w:val="00EE574B"/>
    <w:rsid w:val="00EE73F0"/>
    <w:rsid w:val="00EF2A3B"/>
    <w:rsid w:val="00EF5ED1"/>
    <w:rsid w:val="00F0123A"/>
    <w:rsid w:val="00F02D38"/>
    <w:rsid w:val="00F05F4B"/>
    <w:rsid w:val="00F06840"/>
    <w:rsid w:val="00F1167A"/>
    <w:rsid w:val="00F13907"/>
    <w:rsid w:val="00F140BE"/>
    <w:rsid w:val="00F140DF"/>
    <w:rsid w:val="00F152D6"/>
    <w:rsid w:val="00F22306"/>
    <w:rsid w:val="00F224AA"/>
    <w:rsid w:val="00F317C0"/>
    <w:rsid w:val="00F321D7"/>
    <w:rsid w:val="00F347D3"/>
    <w:rsid w:val="00F3539B"/>
    <w:rsid w:val="00F4232F"/>
    <w:rsid w:val="00F46F7E"/>
    <w:rsid w:val="00F53909"/>
    <w:rsid w:val="00F541F0"/>
    <w:rsid w:val="00F542A6"/>
    <w:rsid w:val="00F56474"/>
    <w:rsid w:val="00F612EC"/>
    <w:rsid w:val="00F64814"/>
    <w:rsid w:val="00F6491D"/>
    <w:rsid w:val="00F6496B"/>
    <w:rsid w:val="00F65FE7"/>
    <w:rsid w:val="00F7000A"/>
    <w:rsid w:val="00F70358"/>
    <w:rsid w:val="00F707E7"/>
    <w:rsid w:val="00F71B1A"/>
    <w:rsid w:val="00F7444D"/>
    <w:rsid w:val="00F763B6"/>
    <w:rsid w:val="00F76CC8"/>
    <w:rsid w:val="00F772D1"/>
    <w:rsid w:val="00F80FD4"/>
    <w:rsid w:val="00F83830"/>
    <w:rsid w:val="00F83E47"/>
    <w:rsid w:val="00F8442D"/>
    <w:rsid w:val="00F903F3"/>
    <w:rsid w:val="00F905BC"/>
    <w:rsid w:val="00F939F5"/>
    <w:rsid w:val="00F942CD"/>
    <w:rsid w:val="00F9450C"/>
    <w:rsid w:val="00FA02AC"/>
    <w:rsid w:val="00FA0DA4"/>
    <w:rsid w:val="00FA1031"/>
    <w:rsid w:val="00FA10ED"/>
    <w:rsid w:val="00FA227F"/>
    <w:rsid w:val="00FA3E00"/>
    <w:rsid w:val="00FA6FAC"/>
    <w:rsid w:val="00FB0F3F"/>
    <w:rsid w:val="00FB1F3D"/>
    <w:rsid w:val="00FB6458"/>
    <w:rsid w:val="00FB6994"/>
    <w:rsid w:val="00FB7483"/>
    <w:rsid w:val="00FC0250"/>
    <w:rsid w:val="00FC0FB8"/>
    <w:rsid w:val="00FC3246"/>
    <w:rsid w:val="00FC509C"/>
    <w:rsid w:val="00FD4A77"/>
    <w:rsid w:val="00FD67CE"/>
    <w:rsid w:val="00FD6DD5"/>
    <w:rsid w:val="00FE27BB"/>
    <w:rsid w:val="00FE41FF"/>
    <w:rsid w:val="00FE4CEA"/>
    <w:rsid w:val="00FE73C1"/>
    <w:rsid w:val="00FF0146"/>
    <w:rsid w:val="00FF05AA"/>
    <w:rsid w:val="00FF1807"/>
    <w:rsid w:val="00FF3E6B"/>
    <w:rsid w:val="00FF3F57"/>
    <w:rsid w:val="00FF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48C88"/>
  <w15:docId w15:val="{EC80571A-290A-4490-B74D-50BD97E0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F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7F3D"/>
    <w:pPr>
      <w:jc w:val="center"/>
    </w:pPr>
    <w:rPr>
      <w:b/>
      <w:bCs/>
      <w:lang w:eastAsia="es-ES"/>
    </w:rPr>
  </w:style>
  <w:style w:type="paragraph" w:styleId="Header">
    <w:name w:val="header"/>
    <w:basedOn w:val="Normal"/>
    <w:link w:val="HeaderChar"/>
    <w:uiPriority w:val="99"/>
    <w:rsid w:val="00B37F3D"/>
    <w:pPr>
      <w:tabs>
        <w:tab w:val="center" w:pos="4153"/>
        <w:tab w:val="right" w:pos="8306"/>
      </w:tabs>
    </w:pPr>
    <w:rPr>
      <w:lang w:eastAsia="es-ES"/>
    </w:rPr>
  </w:style>
  <w:style w:type="paragraph" w:styleId="BodyText3">
    <w:name w:val="Body Text 3"/>
    <w:basedOn w:val="Normal"/>
    <w:rsid w:val="00B37F3D"/>
    <w:pPr>
      <w:tabs>
        <w:tab w:val="left" w:pos="300"/>
      </w:tabs>
    </w:pPr>
    <w:rPr>
      <w:sz w:val="22"/>
    </w:rPr>
  </w:style>
  <w:style w:type="paragraph" w:styleId="Footer">
    <w:name w:val="footer"/>
    <w:basedOn w:val="Normal"/>
    <w:link w:val="FooterChar"/>
    <w:uiPriority w:val="99"/>
    <w:rsid w:val="00B37F3D"/>
    <w:pPr>
      <w:tabs>
        <w:tab w:val="center" w:pos="4153"/>
        <w:tab w:val="right" w:pos="8306"/>
      </w:tabs>
    </w:pPr>
    <w:rPr>
      <w:sz w:val="20"/>
    </w:rPr>
  </w:style>
  <w:style w:type="character" w:styleId="PageNumber">
    <w:name w:val="page number"/>
    <w:basedOn w:val="DefaultParagraphFont"/>
    <w:rsid w:val="00B37F3D"/>
  </w:style>
  <w:style w:type="paragraph" w:styleId="BodyTextIndent">
    <w:name w:val="Body Text Indent"/>
    <w:basedOn w:val="Normal"/>
    <w:rsid w:val="00B37F3D"/>
    <w:pPr>
      <w:spacing w:after="120"/>
      <w:ind w:left="360"/>
    </w:pPr>
  </w:style>
  <w:style w:type="paragraph" w:styleId="BalloonText">
    <w:name w:val="Balloon Text"/>
    <w:basedOn w:val="Normal"/>
    <w:semiHidden/>
    <w:rsid w:val="00B37F3D"/>
    <w:rPr>
      <w:rFonts w:ascii="Tahoma" w:hAnsi="Tahoma" w:cs="Tahoma"/>
      <w:sz w:val="16"/>
      <w:szCs w:val="16"/>
    </w:rPr>
  </w:style>
  <w:style w:type="paragraph" w:styleId="Title">
    <w:name w:val="Title"/>
    <w:basedOn w:val="Normal"/>
    <w:link w:val="TitleChar"/>
    <w:qFormat/>
    <w:rsid w:val="00E828F5"/>
    <w:pPr>
      <w:jc w:val="center"/>
    </w:pPr>
    <w:rPr>
      <w:rFonts w:eastAsia="MS Mincho"/>
      <w:b/>
      <w:caps/>
      <w:sz w:val="20"/>
      <w:lang w:eastAsia="ja-JP"/>
    </w:rPr>
  </w:style>
  <w:style w:type="character" w:customStyle="1" w:styleId="TitleChar">
    <w:name w:val="Title Char"/>
    <w:basedOn w:val="DefaultParagraphFont"/>
    <w:link w:val="Title"/>
    <w:rsid w:val="00E828F5"/>
    <w:rPr>
      <w:rFonts w:eastAsia="MS Mincho"/>
      <w:b/>
      <w:caps/>
      <w:szCs w:val="24"/>
      <w:lang w:val="fr-FR" w:eastAsia="ja-JP"/>
    </w:rPr>
  </w:style>
  <w:style w:type="character" w:styleId="CommentReference">
    <w:name w:val="annotation reference"/>
    <w:basedOn w:val="DefaultParagraphFont"/>
    <w:rsid w:val="00851B21"/>
    <w:rPr>
      <w:sz w:val="16"/>
      <w:szCs w:val="16"/>
    </w:rPr>
  </w:style>
  <w:style w:type="paragraph" w:styleId="CommentText">
    <w:name w:val="annotation text"/>
    <w:basedOn w:val="Normal"/>
    <w:link w:val="CommentTextChar"/>
    <w:rsid w:val="00851B21"/>
    <w:rPr>
      <w:sz w:val="20"/>
      <w:szCs w:val="20"/>
    </w:rPr>
  </w:style>
  <w:style w:type="character" w:customStyle="1" w:styleId="CommentTextChar">
    <w:name w:val="Comment Text Char"/>
    <w:basedOn w:val="DefaultParagraphFont"/>
    <w:link w:val="CommentText"/>
    <w:rsid w:val="00851B21"/>
    <w:rPr>
      <w:lang w:val="fr-FR" w:eastAsia="en-US"/>
    </w:rPr>
  </w:style>
  <w:style w:type="paragraph" w:styleId="CommentSubject">
    <w:name w:val="annotation subject"/>
    <w:basedOn w:val="CommentText"/>
    <w:next w:val="CommentText"/>
    <w:link w:val="CommentSubjectChar"/>
    <w:rsid w:val="00851B21"/>
    <w:rPr>
      <w:b/>
      <w:bCs/>
    </w:rPr>
  </w:style>
  <w:style w:type="character" w:customStyle="1" w:styleId="CommentSubjectChar">
    <w:name w:val="Comment Subject Char"/>
    <w:basedOn w:val="CommentTextChar"/>
    <w:link w:val="CommentSubject"/>
    <w:rsid w:val="00851B21"/>
    <w:rPr>
      <w:b/>
      <w:bCs/>
      <w:lang w:val="fr-FR" w:eastAsia="en-US"/>
    </w:rPr>
  </w:style>
  <w:style w:type="paragraph" w:styleId="FootnoteText">
    <w:name w:val="footnote text"/>
    <w:basedOn w:val="Normal"/>
    <w:link w:val="FootnoteTextChar"/>
    <w:rsid w:val="00104F54"/>
    <w:rPr>
      <w:sz w:val="20"/>
      <w:szCs w:val="20"/>
    </w:rPr>
  </w:style>
  <w:style w:type="character" w:customStyle="1" w:styleId="FootnoteTextChar">
    <w:name w:val="Footnote Text Char"/>
    <w:basedOn w:val="DefaultParagraphFont"/>
    <w:link w:val="FootnoteText"/>
    <w:rsid w:val="00104F54"/>
    <w:rPr>
      <w:lang w:val="fr-FR" w:eastAsia="en-US"/>
    </w:rPr>
  </w:style>
  <w:style w:type="character" w:styleId="FootnoteReference">
    <w:name w:val="footnote reference"/>
    <w:basedOn w:val="DefaultParagraphFont"/>
    <w:rsid w:val="00104F54"/>
    <w:rPr>
      <w:vertAlign w:val="superscript"/>
    </w:rPr>
  </w:style>
  <w:style w:type="character" w:customStyle="1" w:styleId="HeaderChar">
    <w:name w:val="Header Char"/>
    <w:basedOn w:val="DefaultParagraphFont"/>
    <w:link w:val="Header"/>
    <w:uiPriority w:val="99"/>
    <w:rsid w:val="00471200"/>
    <w:rPr>
      <w:sz w:val="24"/>
      <w:szCs w:val="24"/>
      <w:lang w:val="fr-FR" w:eastAsia="es-ES"/>
    </w:rPr>
  </w:style>
  <w:style w:type="paragraph" w:styleId="NormalWeb">
    <w:name w:val="Normal (Web)"/>
    <w:basedOn w:val="Normal"/>
    <w:uiPriority w:val="99"/>
    <w:unhideWhenUsed/>
    <w:rsid w:val="00203884"/>
    <w:pPr>
      <w:spacing w:before="240" w:after="240"/>
    </w:pPr>
  </w:style>
  <w:style w:type="paragraph" w:styleId="ListParagraph">
    <w:name w:val="List Paragraph"/>
    <w:basedOn w:val="Normal"/>
    <w:uiPriority w:val="34"/>
    <w:qFormat/>
    <w:rsid w:val="007442AD"/>
    <w:pPr>
      <w:ind w:left="720"/>
      <w:contextualSpacing/>
    </w:pPr>
  </w:style>
  <w:style w:type="paragraph" w:styleId="Revision">
    <w:name w:val="Revision"/>
    <w:hidden/>
    <w:uiPriority w:val="99"/>
    <w:semiHidden/>
    <w:rsid w:val="00895146"/>
    <w:rPr>
      <w:sz w:val="24"/>
      <w:szCs w:val="24"/>
      <w:lang w:eastAsia="en-US"/>
    </w:rPr>
  </w:style>
  <w:style w:type="character" w:customStyle="1" w:styleId="FooterChar">
    <w:name w:val="Footer Char"/>
    <w:basedOn w:val="DefaultParagraphFont"/>
    <w:link w:val="Footer"/>
    <w:uiPriority w:val="99"/>
    <w:rsid w:val="00655ACF"/>
    <w:rPr>
      <w:szCs w:val="24"/>
      <w:lang w:val="fr-FR" w:eastAsia="en-US"/>
    </w:rPr>
  </w:style>
  <w:style w:type="character" w:customStyle="1" w:styleId="gmail-msodel">
    <w:name w:val="gmail-msodel"/>
    <w:basedOn w:val="DefaultParagraphFont"/>
    <w:rsid w:val="0008567C"/>
  </w:style>
  <w:style w:type="character" w:customStyle="1" w:styleId="gmail-msoins">
    <w:name w:val="gmail-msoins"/>
    <w:basedOn w:val="DefaultParagraphFont"/>
    <w:rsid w:val="0008567C"/>
  </w:style>
  <w:style w:type="character" w:styleId="Hyperlink">
    <w:name w:val="Hyperlink"/>
    <w:basedOn w:val="DefaultParagraphFont"/>
    <w:unhideWhenUsed/>
    <w:rsid w:val="008A4BB1"/>
    <w:rPr>
      <w:color w:val="0000FF" w:themeColor="hyperlink"/>
      <w:u w:val="single"/>
    </w:rPr>
  </w:style>
  <w:style w:type="character" w:styleId="UnresolvedMention">
    <w:name w:val="Unresolved Mention"/>
    <w:basedOn w:val="DefaultParagraphFont"/>
    <w:uiPriority w:val="99"/>
    <w:semiHidden/>
    <w:unhideWhenUsed/>
    <w:rsid w:val="008A4BB1"/>
    <w:rPr>
      <w:color w:val="605E5C"/>
      <w:shd w:val="clear" w:color="auto" w:fill="E1DFDD"/>
    </w:rPr>
  </w:style>
  <w:style w:type="character" w:styleId="FollowedHyperlink">
    <w:name w:val="FollowedHyperlink"/>
    <w:basedOn w:val="DefaultParagraphFont"/>
    <w:semiHidden/>
    <w:unhideWhenUsed/>
    <w:rsid w:val="00C05D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48204">
      <w:bodyDiv w:val="1"/>
      <w:marLeft w:val="0"/>
      <w:marRight w:val="0"/>
      <w:marTop w:val="0"/>
      <w:marBottom w:val="0"/>
      <w:divBdr>
        <w:top w:val="none" w:sz="0" w:space="0" w:color="auto"/>
        <w:left w:val="none" w:sz="0" w:space="0" w:color="auto"/>
        <w:bottom w:val="none" w:sz="0" w:space="0" w:color="auto"/>
        <w:right w:val="none" w:sz="0" w:space="0" w:color="auto"/>
      </w:divBdr>
    </w:div>
    <w:div w:id="865370011">
      <w:bodyDiv w:val="1"/>
      <w:marLeft w:val="0"/>
      <w:marRight w:val="0"/>
      <w:marTop w:val="0"/>
      <w:marBottom w:val="0"/>
      <w:divBdr>
        <w:top w:val="none" w:sz="0" w:space="0" w:color="auto"/>
        <w:left w:val="none" w:sz="0" w:space="0" w:color="auto"/>
        <w:bottom w:val="none" w:sz="0" w:space="0" w:color="auto"/>
        <w:right w:val="none" w:sz="0" w:space="0" w:color="auto"/>
      </w:divBdr>
    </w:div>
    <w:div w:id="894001222">
      <w:bodyDiv w:val="1"/>
      <w:marLeft w:val="0"/>
      <w:marRight w:val="0"/>
      <w:marTop w:val="0"/>
      <w:marBottom w:val="0"/>
      <w:divBdr>
        <w:top w:val="none" w:sz="0" w:space="0" w:color="auto"/>
        <w:left w:val="none" w:sz="0" w:space="0" w:color="auto"/>
        <w:bottom w:val="none" w:sz="0" w:space="0" w:color="auto"/>
        <w:right w:val="none" w:sz="0" w:space="0" w:color="auto"/>
      </w:divBdr>
    </w:div>
    <w:div w:id="981273423">
      <w:bodyDiv w:val="1"/>
      <w:marLeft w:val="0"/>
      <w:marRight w:val="0"/>
      <w:marTop w:val="0"/>
      <w:marBottom w:val="0"/>
      <w:divBdr>
        <w:top w:val="none" w:sz="0" w:space="0" w:color="auto"/>
        <w:left w:val="none" w:sz="0" w:space="0" w:color="auto"/>
        <w:bottom w:val="none" w:sz="0" w:space="0" w:color="auto"/>
        <w:right w:val="none" w:sz="0" w:space="0" w:color="auto"/>
      </w:divBdr>
      <w:divsChild>
        <w:div w:id="681277559">
          <w:marLeft w:val="0"/>
          <w:marRight w:val="0"/>
          <w:marTop w:val="0"/>
          <w:marBottom w:val="0"/>
          <w:divBdr>
            <w:top w:val="none" w:sz="0" w:space="0" w:color="auto"/>
            <w:left w:val="none" w:sz="0" w:space="0" w:color="auto"/>
            <w:bottom w:val="none" w:sz="0" w:space="0" w:color="auto"/>
            <w:right w:val="none" w:sz="0" w:space="0" w:color="auto"/>
          </w:divBdr>
        </w:div>
        <w:div w:id="723219816">
          <w:marLeft w:val="0"/>
          <w:marRight w:val="0"/>
          <w:marTop w:val="0"/>
          <w:marBottom w:val="0"/>
          <w:divBdr>
            <w:top w:val="none" w:sz="0" w:space="0" w:color="auto"/>
            <w:left w:val="none" w:sz="0" w:space="0" w:color="auto"/>
            <w:bottom w:val="none" w:sz="0" w:space="0" w:color="auto"/>
            <w:right w:val="none" w:sz="0" w:space="0" w:color="auto"/>
          </w:divBdr>
        </w:div>
      </w:divsChild>
    </w:div>
    <w:div w:id="1256401094">
      <w:bodyDiv w:val="1"/>
      <w:marLeft w:val="0"/>
      <w:marRight w:val="0"/>
      <w:marTop w:val="0"/>
      <w:marBottom w:val="0"/>
      <w:divBdr>
        <w:top w:val="none" w:sz="0" w:space="0" w:color="auto"/>
        <w:left w:val="none" w:sz="0" w:space="0" w:color="auto"/>
        <w:bottom w:val="none" w:sz="0" w:space="0" w:color="auto"/>
        <w:right w:val="none" w:sz="0" w:space="0" w:color="auto"/>
      </w:divBdr>
      <w:divsChild>
        <w:div w:id="1883513680">
          <w:marLeft w:val="0"/>
          <w:marRight w:val="0"/>
          <w:marTop w:val="0"/>
          <w:marBottom w:val="0"/>
          <w:divBdr>
            <w:top w:val="none" w:sz="0" w:space="0" w:color="auto"/>
            <w:left w:val="none" w:sz="0" w:space="0" w:color="auto"/>
            <w:bottom w:val="none" w:sz="0" w:space="0" w:color="auto"/>
            <w:right w:val="none" w:sz="0" w:space="0" w:color="auto"/>
          </w:divBdr>
          <w:divsChild>
            <w:div w:id="234055186">
              <w:marLeft w:val="0"/>
              <w:marRight w:val="0"/>
              <w:marTop w:val="0"/>
              <w:marBottom w:val="0"/>
              <w:divBdr>
                <w:top w:val="none" w:sz="0" w:space="0" w:color="auto"/>
                <w:left w:val="none" w:sz="0" w:space="0" w:color="auto"/>
                <w:bottom w:val="none" w:sz="0" w:space="0" w:color="auto"/>
                <w:right w:val="none" w:sz="0" w:space="0" w:color="auto"/>
              </w:divBdr>
              <w:divsChild>
                <w:div w:id="102505261">
                  <w:marLeft w:val="-8"/>
                  <w:marRight w:val="0"/>
                  <w:marTop w:val="0"/>
                  <w:marBottom w:val="0"/>
                  <w:divBdr>
                    <w:top w:val="none" w:sz="0" w:space="0" w:color="auto"/>
                    <w:left w:val="none" w:sz="0" w:space="0" w:color="auto"/>
                    <w:bottom w:val="none" w:sz="0" w:space="0" w:color="auto"/>
                    <w:right w:val="none" w:sz="0" w:space="0" w:color="auto"/>
                  </w:divBdr>
                  <w:divsChild>
                    <w:div w:id="884022084">
                      <w:marLeft w:val="0"/>
                      <w:marRight w:val="0"/>
                      <w:marTop w:val="0"/>
                      <w:marBottom w:val="0"/>
                      <w:divBdr>
                        <w:top w:val="none" w:sz="0" w:space="0" w:color="auto"/>
                        <w:left w:val="none" w:sz="0" w:space="0" w:color="auto"/>
                        <w:bottom w:val="none" w:sz="0" w:space="0" w:color="auto"/>
                        <w:right w:val="none" w:sz="0" w:space="0" w:color="auto"/>
                      </w:divBdr>
                      <w:divsChild>
                        <w:div w:id="1707290799">
                          <w:marLeft w:val="0"/>
                          <w:marRight w:val="-8"/>
                          <w:marTop w:val="0"/>
                          <w:marBottom w:val="0"/>
                          <w:divBdr>
                            <w:top w:val="none" w:sz="0" w:space="0" w:color="auto"/>
                            <w:left w:val="none" w:sz="0" w:space="0" w:color="auto"/>
                            <w:bottom w:val="none" w:sz="0" w:space="0" w:color="auto"/>
                            <w:right w:val="none" w:sz="0" w:space="0" w:color="auto"/>
                          </w:divBdr>
                          <w:divsChild>
                            <w:div w:id="1230654041">
                              <w:marLeft w:val="0"/>
                              <w:marRight w:val="0"/>
                              <w:marTop w:val="0"/>
                              <w:marBottom w:val="0"/>
                              <w:divBdr>
                                <w:top w:val="none" w:sz="0" w:space="0" w:color="auto"/>
                                <w:left w:val="none" w:sz="0" w:space="0" w:color="auto"/>
                                <w:bottom w:val="none" w:sz="0" w:space="0" w:color="auto"/>
                                <w:right w:val="none" w:sz="0" w:space="0" w:color="auto"/>
                              </w:divBdr>
                              <w:divsChild>
                                <w:div w:id="2074808330">
                                  <w:marLeft w:val="0"/>
                                  <w:marRight w:val="0"/>
                                  <w:marTop w:val="0"/>
                                  <w:marBottom w:val="0"/>
                                  <w:divBdr>
                                    <w:top w:val="none" w:sz="0" w:space="0" w:color="auto"/>
                                    <w:left w:val="none" w:sz="0" w:space="0" w:color="auto"/>
                                    <w:bottom w:val="none" w:sz="0" w:space="0" w:color="auto"/>
                                    <w:right w:val="none" w:sz="0" w:space="0" w:color="auto"/>
                                  </w:divBdr>
                                  <w:divsChild>
                                    <w:div w:id="289823233">
                                      <w:marLeft w:val="0"/>
                                      <w:marRight w:val="0"/>
                                      <w:marTop w:val="0"/>
                                      <w:marBottom w:val="0"/>
                                      <w:divBdr>
                                        <w:top w:val="none" w:sz="0" w:space="0" w:color="auto"/>
                                        <w:left w:val="none" w:sz="0" w:space="0" w:color="auto"/>
                                        <w:bottom w:val="none" w:sz="0" w:space="0" w:color="auto"/>
                                        <w:right w:val="none" w:sz="0" w:space="0" w:color="auto"/>
                                      </w:divBdr>
                                      <w:divsChild>
                                        <w:div w:id="164901568">
                                          <w:marLeft w:val="0"/>
                                          <w:marRight w:val="0"/>
                                          <w:marTop w:val="0"/>
                                          <w:marBottom w:val="0"/>
                                          <w:divBdr>
                                            <w:top w:val="none" w:sz="0" w:space="0" w:color="auto"/>
                                            <w:left w:val="none" w:sz="0" w:space="0" w:color="auto"/>
                                            <w:bottom w:val="none" w:sz="0" w:space="0" w:color="auto"/>
                                            <w:right w:val="none" w:sz="0" w:space="0" w:color="auto"/>
                                          </w:divBdr>
                                          <w:divsChild>
                                            <w:div w:id="1368608116">
                                              <w:marLeft w:val="0"/>
                                              <w:marRight w:val="0"/>
                                              <w:marTop w:val="0"/>
                                              <w:marBottom w:val="0"/>
                                              <w:divBdr>
                                                <w:top w:val="none" w:sz="0" w:space="0" w:color="auto"/>
                                                <w:left w:val="none" w:sz="0" w:space="0" w:color="auto"/>
                                                <w:bottom w:val="none" w:sz="0" w:space="0" w:color="auto"/>
                                                <w:right w:val="none" w:sz="0" w:space="0" w:color="auto"/>
                                              </w:divBdr>
                                              <w:divsChild>
                                                <w:div w:id="1837647519">
                                                  <w:marLeft w:val="0"/>
                                                  <w:marRight w:val="0"/>
                                                  <w:marTop w:val="0"/>
                                                  <w:marBottom w:val="0"/>
                                                  <w:divBdr>
                                                    <w:top w:val="none" w:sz="0" w:space="0" w:color="auto"/>
                                                    <w:left w:val="none" w:sz="0" w:space="0" w:color="auto"/>
                                                    <w:bottom w:val="none" w:sz="0" w:space="0" w:color="auto"/>
                                                    <w:right w:val="none" w:sz="0" w:space="0" w:color="auto"/>
                                                  </w:divBdr>
                                                  <w:divsChild>
                                                    <w:div w:id="1373115503">
                                                      <w:marLeft w:val="0"/>
                                                      <w:marRight w:val="0"/>
                                                      <w:marTop w:val="0"/>
                                                      <w:marBottom w:val="75"/>
                                                      <w:divBdr>
                                                        <w:top w:val="none" w:sz="0" w:space="0" w:color="auto"/>
                                                        <w:left w:val="none" w:sz="0" w:space="0" w:color="auto"/>
                                                        <w:bottom w:val="none" w:sz="0" w:space="0" w:color="auto"/>
                                                        <w:right w:val="none" w:sz="0" w:space="0" w:color="auto"/>
                                                      </w:divBdr>
                                                      <w:divsChild>
                                                        <w:div w:id="1801412857">
                                                          <w:marLeft w:val="0"/>
                                                          <w:marRight w:val="0"/>
                                                          <w:marTop w:val="0"/>
                                                          <w:marBottom w:val="0"/>
                                                          <w:divBdr>
                                                            <w:top w:val="none" w:sz="0" w:space="0" w:color="auto"/>
                                                            <w:left w:val="none" w:sz="0" w:space="0" w:color="auto"/>
                                                            <w:bottom w:val="none" w:sz="0" w:space="0" w:color="auto"/>
                                                            <w:right w:val="none" w:sz="0" w:space="0" w:color="auto"/>
                                                          </w:divBdr>
                                                          <w:divsChild>
                                                            <w:div w:id="159195885">
                                                              <w:marLeft w:val="0"/>
                                                              <w:marRight w:val="0"/>
                                                              <w:marTop w:val="0"/>
                                                              <w:marBottom w:val="0"/>
                                                              <w:divBdr>
                                                                <w:top w:val="none" w:sz="0" w:space="0" w:color="auto"/>
                                                                <w:left w:val="none" w:sz="0" w:space="0" w:color="auto"/>
                                                                <w:bottom w:val="none" w:sz="0" w:space="0" w:color="auto"/>
                                                                <w:right w:val="none" w:sz="0" w:space="0" w:color="auto"/>
                                                              </w:divBdr>
                                                              <w:divsChild>
                                                                <w:div w:id="387338219">
                                                                  <w:marLeft w:val="0"/>
                                                                  <w:marRight w:val="0"/>
                                                                  <w:marTop w:val="0"/>
                                                                  <w:marBottom w:val="0"/>
                                                                  <w:divBdr>
                                                                    <w:top w:val="none" w:sz="0" w:space="0" w:color="auto"/>
                                                                    <w:left w:val="none" w:sz="0" w:space="0" w:color="auto"/>
                                                                    <w:bottom w:val="none" w:sz="0" w:space="0" w:color="auto"/>
                                                                    <w:right w:val="none" w:sz="0" w:space="0" w:color="auto"/>
                                                                  </w:divBdr>
                                                                  <w:divsChild>
                                                                    <w:div w:id="1370109252">
                                                                      <w:marLeft w:val="0"/>
                                                                      <w:marRight w:val="0"/>
                                                                      <w:marTop w:val="0"/>
                                                                      <w:marBottom w:val="0"/>
                                                                      <w:divBdr>
                                                                        <w:top w:val="none" w:sz="0" w:space="0" w:color="auto"/>
                                                                        <w:left w:val="none" w:sz="0" w:space="0" w:color="auto"/>
                                                                        <w:bottom w:val="none" w:sz="0" w:space="0" w:color="auto"/>
                                                                        <w:right w:val="none" w:sz="0" w:space="0" w:color="auto"/>
                                                                      </w:divBdr>
                                                                      <w:divsChild>
                                                                        <w:div w:id="789738246">
                                                                          <w:marLeft w:val="0"/>
                                                                          <w:marRight w:val="0"/>
                                                                          <w:marTop w:val="0"/>
                                                                          <w:marBottom w:val="0"/>
                                                                          <w:divBdr>
                                                                            <w:top w:val="none" w:sz="0" w:space="0" w:color="auto"/>
                                                                            <w:left w:val="none" w:sz="0" w:space="0" w:color="auto"/>
                                                                            <w:bottom w:val="none" w:sz="0" w:space="0" w:color="auto"/>
                                                                            <w:right w:val="none" w:sz="0" w:space="0" w:color="auto"/>
                                                                          </w:divBdr>
                                                                          <w:divsChild>
                                                                            <w:div w:id="18177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27151">
      <w:bodyDiv w:val="1"/>
      <w:marLeft w:val="0"/>
      <w:marRight w:val="0"/>
      <w:marTop w:val="0"/>
      <w:marBottom w:val="0"/>
      <w:divBdr>
        <w:top w:val="none" w:sz="0" w:space="0" w:color="auto"/>
        <w:left w:val="none" w:sz="0" w:space="0" w:color="auto"/>
        <w:bottom w:val="none" w:sz="0" w:space="0" w:color="auto"/>
        <w:right w:val="none" w:sz="0" w:space="0" w:color="auto"/>
      </w:divBdr>
      <w:divsChild>
        <w:div w:id="2082286280">
          <w:marLeft w:val="0"/>
          <w:marRight w:val="0"/>
          <w:marTop w:val="0"/>
          <w:marBottom w:val="0"/>
          <w:divBdr>
            <w:top w:val="none" w:sz="0" w:space="0" w:color="auto"/>
            <w:left w:val="none" w:sz="0" w:space="0" w:color="auto"/>
            <w:bottom w:val="none" w:sz="0" w:space="0" w:color="auto"/>
            <w:right w:val="none" w:sz="0" w:space="0" w:color="auto"/>
          </w:divBdr>
          <w:divsChild>
            <w:div w:id="1091270397">
              <w:marLeft w:val="0"/>
              <w:marRight w:val="0"/>
              <w:marTop w:val="0"/>
              <w:marBottom w:val="0"/>
              <w:divBdr>
                <w:top w:val="none" w:sz="0" w:space="0" w:color="auto"/>
                <w:left w:val="none" w:sz="0" w:space="0" w:color="auto"/>
                <w:bottom w:val="none" w:sz="0" w:space="0" w:color="auto"/>
                <w:right w:val="none" w:sz="0" w:space="0" w:color="auto"/>
              </w:divBdr>
              <w:divsChild>
                <w:div w:id="1695963060">
                  <w:marLeft w:val="-8"/>
                  <w:marRight w:val="0"/>
                  <w:marTop w:val="0"/>
                  <w:marBottom w:val="0"/>
                  <w:divBdr>
                    <w:top w:val="none" w:sz="0" w:space="0" w:color="auto"/>
                    <w:left w:val="none" w:sz="0" w:space="0" w:color="auto"/>
                    <w:bottom w:val="none" w:sz="0" w:space="0" w:color="auto"/>
                    <w:right w:val="none" w:sz="0" w:space="0" w:color="auto"/>
                  </w:divBdr>
                  <w:divsChild>
                    <w:div w:id="323360842">
                      <w:marLeft w:val="0"/>
                      <w:marRight w:val="0"/>
                      <w:marTop w:val="0"/>
                      <w:marBottom w:val="0"/>
                      <w:divBdr>
                        <w:top w:val="none" w:sz="0" w:space="0" w:color="auto"/>
                        <w:left w:val="none" w:sz="0" w:space="0" w:color="auto"/>
                        <w:bottom w:val="none" w:sz="0" w:space="0" w:color="auto"/>
                        <w:right w:val="none" w:sz="0" w:space="0" w:color="auto"/>
                      </w:divBdr>
                      <w:divsChild>
                        <w:div w:id="49816746">
                          <w:marLeft w:val="0"/>
                          <w:marRight w:val="-8"/>
                          <w:marTop w:val="0"/>
                          <w:marBottom w:val="0"/>
                          <w:divBdr>
                            <w:top w:val="none" w:sz="0" w:space="0" w:color="auto"/>
                            <w:left w:val="none" w:sz="0" w:space="0" w:color="auto"/>
                            <w:bottom w:val="none" w:sz="0" w:space="0" w:color="auto"/>
                            <w:right w:val="none" w:sz="0" w:space="0" w:color="auto"/>
                          </w:divBdr>
                          <w:divsChild>
                            <w:div w:id="1750690046">
                              <w:marLeft w:val="0"/>
                              <w:marRight w:val="0"/>
                              <w:marTop w:val="0"/>
                              <w:marBottom w:val="0"/>
                              <w:divBdr>
                                <w:top w:val="none" w:sz="0" w:space="0" w:color="auto"/>
                                <w:left w:val="none" w:sz="0" w:space="0" w:color="auto"/>
                                <w:bottom w:val="none" w:sz="0" w:space="0" w:color="auto"/>
                                <w:right w:val="none" w:sz="0" w:space="0" w:color="auto"/>
                              </w:divBdr>
                              <w:divsChild>
                                <w:div w:id="395053042">
                                  <w:marLeft w:val="0"/>
                                  <w:marRight w:val="0"/>
                                  <w:marTop w:val="0"/>
                                  <w:marBottom w:val="0"/>
                                  <w:divBdr>
                                    <w:top w:val="none" w:sz="0" w:space="0" w:color="auto"/>
                                    <w:left w:val="none" w:sz="0" w:space="0" w:color="auto"/>
                                    <w:bottom w:val="none" w:sz="0" w:space="0" w:color="auto"/>
                                    <w:right w:val="none" w:sz="0" w:space="0" w:color="auto"/>
                                  </w:divBdr>
                                  <w:divsChild>
                                    <w:div w:id="1702703698">
                                      <w:marLeft w:val="0"/>
                                      <w:marRight w:val="0"/>
                                      <w:marTop w:val="0"/>
                                      <w:marBottom w:val="0"/>
                                      <w:divBdr>
                                        <w:top w:val="none" w:sz="0" w:space="0" w:color="auto"/>
                                        <w:left w:val="none" w:sz="0" w:space="0" w:color="auto"/>
                                        <w:bottom w:val="none" w:sz="0" w:space="0" w:color="auto"/>
                                        <w:right w:val="none" w:sz="0" w:space="0" w:color="auto"/>
                                      </w:divBdr>
                                      <w:divsChild>
                                        <w:div w:id="354114946">
                                          <w:marLeft w:val="0"/>
                                          <w:marRight w:val="0"/>
                                          <w:marTop w:val="0"/>
                                          <w:marBottom w:val="0"/>
                                          <w:divBdr>
                                            <w:top w:val="none" w:sz="0" w:space="0" w:color="auto"/>
                                            <w:left w:val="none" w:sz="0" w:space="0" w:color="auto"/>
                                            <w:bottom w:val="none" w:sz="0" w:space="0" w:color="auto"/>
                                            <w:right w:val="none" w:sz="0" w:space="0" w:color="auto"/>
                                          </w:divBdr>
                                          <w:divsChild>
                                            <w:div w:id="909343433">
                                              <w:marLeft w:val="0"/>
                                              <w:marRight w:val="0"/>
                                              <w:marTop w:val="0"/>
                                              <w:marBottom w:val="0"/>
                                              <w:divBdr>
                                                <w:top w:val="none" w:sz="0" w:space="0" w:color="auto"/>
                                                <w:left w:val="none" w:sz="0" w:space="0" w:color="auto"/>
                                                <w:bottom w:val="none" w:sz="0" w:space="0" w:color="auto"/>
                                                <w:right w:val="none" w:sz="0" w:space="0" w:color="auto"/>
                                              </w:divBdr>
                                              <w:divsChild>
                                                <w:div w:id="1337540447">
                                                  <w:marLeft w:val="0"/>
                                                  <w:marRight w:val="0"/>
                                                  <w:marTop w:val="0"/>
                                                  <w:marBottom w:val="0"/>
                                                  <w:divBdr>
                                                    <w:top w:val="none" w:sz="0" w:space="0" w:color="auto"/>
                                                    <w:left w:val="none" w:sz="0" w:space="0" w:color="auto"/>
                                                    <w:bottom w:val="none" w:sz="0" w:space="0" w:color="auto"/>
                                                    <w:right w:val="none" w:sz="0" w:space="0" w:color="auto"/>
                                                  </w:divBdr>
                                                  <w:divsChild>
                                                    <w:div w:id="1832868552">
                                                      <w:marLeft w:val="0"/>
                                                      <w:marRight w:val="0"/>
                                                      <w:marTop w:val="0"/>
                                                      <w:marBottom w:val="75"/>
                                                      <w:divBdr>
                                                        <w:top w:val="none" w:sz="0" w:space="0" w:color="auto"/>
                                                        <w:left w:val="none" w:sz="0" w:space="0" w:color="auto"/>
                                                        <w:bottom w:val="none" w:sz="0" w:space="0" w:color="auto"/>
                                                        <w:right w:val="none" w:sz="0" w:space="0" w:color="auto"/>
                                                      </w:divBdr>
                                                      <w:divsChild>
                                                        <w:div w:id="1074593998">
                                                          <w:marLeft w:val="0"/>
                                                          <w:marRight w:val="0"/>
                                                          <w:marTop w:val="0"/>
                                                          <w:marBottom w:val="0"/>
                                                          <w:divBdr>
                                                            <w:top w:val="none" w:sz="0" w:space="0" w:color="auto"/>
                                                            <w:left w:val="none" w:sz="0" w:space="0" w:color="auto"/>
                                                            <w:bottom w:val="none" w:sz="0" w:space="0" w:color="auto"/>
                                                            <w:right w:val="none" w:sz="0" w:space="0" w:color="auto"/>
                                                          </w:divBdr>
                                                          <w:divsChild>
                                                            <w:div w:id="2027948288">
                                                              <w:marLeft w:val="0"/>
                                                              <w:marRight w:val="0"/>
                                                              <w:marTop w:val="0"/>
                                                              <w:marBottom w:val="0"/>
                                                              <w:divBdr>
                                                                <w:top w:val="none" w:sz="0" w:space="0" w:color="auto"/>
                                                                <w:left w:val="none" w:sz="0" w:space="0" w:color="auto"/>
                                                                <w:bottom w:val="none" w:sz="0" w:space="0" w:color="auto"/>
                                                                <w:right w:val="none" w:sz="0" w:space="0" w:color="auto"/>
                                                              </w:divBdr>
                                                              <w:divsChild>
                                                                <w:div w:id="2075353878">
                                                                  <w:marLeft w:val="0"/>
                                                                  <w:marRight w:val="0"/>
                                                                  <w:marTop w:val="0"/>
                                                                  <w:marBottom w:val="0"/>
                                                                  <w:divBdr>
                                                                    <w:top w:val="none" w:sz="0" w:space="0" w:color="auto"/>
                                                                    <w:left w:val="none" w:sz="0" w:space="0" w:color="auto"/>
                                                                    <w:bottom w:val="none" w:sz="0" w:space="0" w:color="auto"/>
                                                                    <w:right w:val="none" w:sz="0" w:space="0" w:color="auto"/>
                                                                  </w:divBdr>
                                                                  <w:divsChild>
                                                                    <w:div w:id="1283457254">
                                                                      <w:marLeft w:val="0"/>
                                                                      <w:marRight w:val="0"/>
                                                                      <w:marTop w:val="0"/>
                                                                      <w:marBottom w:val="0"/>
                                                                      <w:divBdr>
                                                                        <w:top w:val="none" w:sz="0" w:space="0" w:color="auto"/>
                                                                        <w:left w:val="none" w:sz="0" w:space="0" w:color="auto"/>
                                                                        <w:bottom w:val="none" w:sz="0" w:space="0" w:color="auto"/>
                                                                        <w:right w:val="none" w:sz="0" w:space="0" w:color="auto"/>
                                                                      </w:divBdr>
                                                                      <w:divsChild>
                                                                        <w:div w:id="608052949">
                                                                          <w:marLeft w:val="0"/>
                                                                          <w:marRight w:val="0"/>
                                                                          <w:marTop w:val="0"/>
                                                                          <w:marBottom w:val="0"/>
                                                                          <w:divBdr>
                                                                            <w:top w:val="none" w:sz="0" w:space="0" w:color="auto"/>
                                                                            <w:left w:val="none" w:sz="0" w:space="0" w:color="auto"/>
                                                                            <w:bottom w:val="none" w:sz="0" w:space="0" w:color="auto"/>
                                                                            <w:right w:val="none" w:sz="0" w:space="0" w:color="auto"/>
                                                                          </w:divBdr>
                                                                          <w:divsChild>
                                                                            <w:div w:id="9740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9027156">
      <w:bodyDiv w:val="1"/>
      <w:marLeft w:val="0"/>
      <w:marRight w:val="0"/>
      <w:marTop w:val="0"/>
      <w:marBottom w:val="0"/>
      <w:divBdr>
        <w:top w:val="none" w:sz="0" w:space="0" w:color="auto"/>
        <w:left w:val="none" w:sz="0" w:space="0" w:color="auto"/>
        <w:bottom w:val="none" w:sz="0" w:space="0" w:color="auto"/>
        <w:right w:val="none" w:sz="0" w:space="0" w:color="auto"/>
      </w:divBdr>
      <w:divsChild>
        <w:div w:id="1636565213">
          <w:marLeft w:val="0"/>
          <w:marRight w:val="0"/>
          <w:marTop w:val="0"/>
          <w:marBottom w:val="0"/>
          <w:divBdr>
            <w:top w:val="none" w:sz="0" w:space="0" w:color="auto"/>
            <w:left w:val="none" w:sz="0" w:space="0" w:color="auto"/>
            <w:bottom w:val="none" w:sz="0" w:space="0" w:color="auto"/>
            <w:right w:val="none" w:sz="0" w:space="0" w:color="auto"/>
          </w:divBdr>
        </w:div>
        <w:div w:id="792753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cat.int/Documents/Recs/compendiopdf-f/2016-14-f.pdf" TargetMode="External"/><Relationship Id="rId18" Type="http://schemas.openxmlformats.org/officeDocument/2006/relationships/hyperlink" Target="https://www.iccat.int/Documents/Recs/compendiopdf-f/2016-14-f.pdf" TargetMode="External"/><Relationship Id="rId26" Type="http://schemas.openxmlformats.org/officeDocument/2006/relationships/hyperlink" Target="https://www.iccat.int/Documents/Recs/compendiopdf-f/2016-14-f.pdf" TargetMode="External"/><Relationship Id="rId39" Type="http://schemas.openxmlformats.org/officeDocument/2006/relationships/hyperlink" Target="https://www.iccat.int/Documents/Recs/compendiopdf-f/2016-14-f.pdf" TargetMode="External"/><Relationship Id="rId21" Type="http://schemas.openxmlformats.org/officeDocument/2006/relationships/hyperlink" Target="https://www.iccat.int/Documents/Recs/compendiopdf-f/2016-14-f.pdf" TargetMode="External"/><Relationship Id="rId34" Type="http://schemas.openxmlformats.org/officeDocument/2006/relationships/hyperlink" Target="https://www.iccat.int/Documents/Recs/compendiopdf-f/2016-14-f.pdf" TargetMode="External"/><Relationship Id="rId42" Type="http://schemas.openxmlformats.org/officeDocument/2006/relationships/hyperlink" Target="https://www.iccat.int/Documents/Recs/compendiopdf-f/2016-14-f.pdf" TargetMode="External"/><Relationship Id="rId47" Type="http://schemas.openxmlformats.org/officeDocument/2006/relationships/hyperlink" Target="https://www.iccat.int/Documents/Recs/compendiopdf-f/2016-14-f.pdf" TargetMode="External"/><Relationship Id="rId50" Type="http://schemas.openxmlformats.org/officeDocument/2006/relationships/hyperlink" Target="https://www.iccat.int/Documents/Recs/compendiopdf-f/2016-14-f.pdf"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ccat.int/Documents/Recs/compendiopdf-f/2016-14-f.pdf" TargetMode="External"/><Relationship Id="rId29" Type="http://schemas.openxmlformats.org/officeDocument/2006/relationships/hyperlink" Target="https://www.iccat.int/Documents/Recs/compendiopdf-f/2006-13-f.pdf" TargetMode="External"/><Relationship Id="rId11" Type="http://schemas.openxmlformats.org/officeDocument/2006/relationships/hyperlink" Target="https://www.iccat.int/Documents/Recs/compendiopdf-f/2016-14-f.pdf" TargetMode="External"/><Relationship Id="rId24" Type="http://schemas.openxmlformats.org/officeDocument/2006/relationships/hyperlink" Target="https://www.iccat.int/Documents/Recs/compendiopdf-f/2016-14-f.pdf" TargetMode="External"/><Relationship Id="rId32" Type="http://schemas.openxmlformats.org/officeDocument/2006/relationships/hyperlink" Target="https://www.iccat.int/Documents/Recs/compendiopdf-f/2021-15-f.pdf" TargetMode="External"/><Relationship Id="rId37" Type="http://schemas.openxmlformats.org/officeDocument/2006/relationships/hyperlink" Target="https://www.iccat.int/Documents/Recs/compendiopdf-f/2016-14-f.pdf" TargetMode="External"/><Relationship Id="rId40" Type="http://schemas.openxmlformats.org/officeDocument/2006/relationships/hyperlink" Target="https://www.iccat.int/Documents/Recs/compendiopdf-f/2016-14-f.pdf" TargetMode="External"/><Relationship Id="rId45" Type="http://schemas.openxmlformats.org/officeDocument/2006/relationships/hyperlink" Target="https://www.iccat.int/Documents/Recs/compendiopdf-f/2016-14-f.pdf" TargetMode="External"/><Relationship Id="rId53" Type="http://schemas.openxmlformats.org/officeDocument/2006/relationships/hyperlink" Target="https://www.iccat.int/Documents/Recs/compendiopdf-f/2016-14-f.pdf"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iccat.int/Documents/Recs/compendiopdf-f/2016-14-f.pdf" TargetMode="External"/><Relationship Id="rId14" Type="http://schemas.openxmlformats.org/officeDocument/2006/relationships/hyperlink" Target="https://www.iccat.int/Documents/Recs/compendiopdf-f/2016-14-f.pdf" TargetMode="External"/><Relationship Id="rId22" Type="http://schemas.openxmlformats.org/officeDocument/2006/relationships/hyperlink" Target="https://www.iccat.int/Documents/Recs/compendiopdf-f/2016-14-f.pdf" TargetMode="External"/><Relationship Id="rId27" Type="http://schemas.openxmlformats.org/officeDocument/2006/relationships/hyperlink" Target="https://www.iccat.int/Documents/Recs/compendiopdf-f/2016-14-f.pdf" TargetMode="External"/><Relationship Id="rId30" Type="http://schemas.openxmlformats.org/officeDocument/2006/relationships/hyperlink" Target="https://www.iccat.int/Documents/Recs/compendiopdf-f/2006-13-f.pdf" TargetMode="External"/><Relationship Id="rId35" Type="http://schemas.openxmlformats.org/officeDocument/2006/relationships/hyperlink" Target="https://www.iccat.int/Documents/Recs/compendiopdf-f/2016-14-f.pdf" TargetMode="External"/><Relationship Id="rId43" Type="http://schemas.openxmlformats.org/officeDocument/2006/relationships/hyperlink" Target="https://www.iccat.int/Documents/Recs/compendiopdf-f/2006-13-f.pdf" TargetMode="External"/><Relationship Id="rId48" Type="http://schemas.openxmlformats.org/officeDocument/2006/relationships/hyperlink" Target="https://www.iccat.int/Documents/Recs/compendiopdf-f/2016-14-f.pdf" TargetMode="External"/><Relationship Id="rId56" Type="http://schemas.openxmlformats.org/officeDocument/2006/relationships/footer" Target="footer1.xml"/><Relationship Id="rId8" Type="http://schemas.openxmlformats.org/officeDocument/2006/relationships/hyperlink" Target="https://www.iccat.int/Documents/Recs/compendiopdf-f/2016-14-f.pdf" TargetMode="External"/><Relationship Id="rId51" Type="http://schemas.openxmlformats.org/officeDocument/2006/relationships/hyperlink" Target="https://www.iccat.int/Documents/Recs/compendiopdf-f/2016-14-f.pdf" TargetMode="External"/><Relationship Id="rId3" Type="http://schemas.openxmlformats.org/officeDocument/2006/relationships/styles" Target="styles.xml"/><Relationship Id="rId12" Type="http://schemas.openxmlformats.org/officeDocument/2006/relationships/hyperlink" Target="https://www.iccat.int/Documents/Recs/compendiopdf-f/2016-14-f.pdf" TargetMode="External"/><Relationship Id="rId17" Type="http://schemas.openxmlformats.org/officeDocument/2006/relationships/hyperlink" Target="https://www.iccat.int/Documents/Recs/compendiopdf-f/2016-14-f.pdf" TargetMode="External"/><Relationship Id="rId25" Type="http://schemas.openxmlformats.org/officeDocument/2006/relationships/hyperlink" Target="https://www.iccat.int/Documents/Recs/compendiopdf-f/2016-14-f.pdf" TargetMode="External"/><Relationship Id="rId33" Type="http://schemas.openxmlformats.org/officeDocument/2006/relationships/hyperlink" Target="https://www.iccat.int/Documents/Recs/compendiopdf-f/2022-12-f.pdf" TargetMode="External"/><Relationship Id="rId38" Type="http://schemas.openxmlformats.org/officeDocument/2006/relationships/hyperlink" Target="https://www.iccat.int/Documents/Recs/compendiopdf-f/2016-14-f.pdf" TargetMode="External"/><Relationship Id="rId46" Type="http://schemas.openxmlformats.org/officeDocument/2006/relationships/hyperlink" Target="https://www.iccat.int/Documents/Recs/compendiopdf-f/2016-14-f.pdf" TargetMode="External"/><Relationship Id="rId59" Type="http://schemas.openxmlformats.org/officeDocument/2006/relationships/footer" Target="footer3.xml"/><Relationship Id="rId20" Type="http://schemas.openxmlformats.org/officeDocument/2006/relationships/hyperlink" Target="https://www.iccat.int/Documents/Recs/compendiopdf-f/2016-14-f.pdf" TargetMode="External"/><Relationship Id="rId41" Type="http://schemas.openxmlformats.org/officeDocument/2006/relationships/hyperlink" Target="https://www.iccat.int/Documents/Recs/compendiopdf-f/2016-14-f.pdf"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ccat.int/Documents/Recs/compendiopdf-f/2016-14-f.pdf" TargetMode="External"/><Relationship Id="rId23" Type="http://schemas.openxmlformats.org/officeDocument/2006/relationships/hyperlink" Target="https://www.iccat.int/Documents/Recs/compendiopdf-f/2016-14-f.pdf" TargetMode="External"/><Relationship Id="rId28" Type="http://schemas.openxmlformats.org/officeDocument/2006/relationships/hyperlink" Target="https://www.iccat.int/Documents/Recs/compendiopdf-f/2016-14-f.pdf" TargetMode="External"/><Relationship Id="rId36" Type="http://schemas.openxmlformats.org/officeDocument/2006/relationships/hyperlink" Target="https://www.iccat.int/Documents/Recs/compendiopdf-f/2016-14-f.pdf" TargetMode="External"/><Relationship Id="rId49" Type="http://schemas.openxmlformats.org/officeDocument/2006/relationships/hyperlink" Target="https://www.iccat.int/Documents/Recs/compendiopdf-f/2016-14-f.pdf" TargetMode="External"/><Relationship Id="rId57" Type="http://schemas.openxmlformats.org/officeDocument/2006/relationships/footer" Target="footer2.xml"/><Relationship Id="rId10" Type="http://schemas.openxmlformats.org/officeDocument/2006/relationships/hyperlink" Target="https://www.iccat.int/Documents/Recs/compendiopdf-f/2016-14-f.pdf" TargetMode="External"/><Relationship Id="rId31" Type="http://schemas.openxmlformats.org/officeDocument/2006/relationships/hyperlink" Target="https://www.iccat.int/Documents/Recs/compendiopdf-f/2006-13-f.pdf" TargetMode="External"/><Relationship Id="rId44" Type="http://schemas.openxmlformats.org/officeDocument/2006/relationships/hyperlink" Target="https://www.iccat.int/Documents/Recs/compendiopdf-f/2016-14-f.pdf" TargetMode="External"/><Relationship Id="rId52" Type="http://schemas.openxmlformats.org/officeDocument/2006/relationships/hyperlink" Target="https://www.iccat.int/Documents/Recs/compendiopdf-f/2016-14-f.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ccat.int/Documents/Recs/compendiopdf-f/2016-14-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D253D-6A4C-4A41-BC2F-0F54F013E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3229</Words>
  <Characters>22099</Characters>
  <Application>Microsoft Office Word</Application>
  <DocSecurity>0</DocSecurity>
  <Lines>184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Christine Peyre</cp:lastModifiedBy>
  <cp:revision>5</cp:revision>
  <dcterms:created xsi:type="dcterms:W3CDTF">2025-11-23T18:49:00Z</dcterms:created>
  <dcterms:modified xsi:type="dcterms:W3CDTF">2025-11-23T18:52:00Z</dcterms:modified>
</cp:coreProperties>
</file>