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B228D" w14:textId="77777777" w:rsidR="00C9132F" w:rsidRPr="00097901" w:rsidRDefault="00C9132F" w:rsidP="00240776">
      <w:pPr>
        <w:spacing w:after="0" w:line="240" w:lineRule="auto"/>
        <w:jc w:val="right"/>
        <w:rPr>
          <w:rFonts w:ascii="Cambria" w:hAnsi="Cambria"/>
          <w:b/>
          <w:sz w:val="20"/>
          <w:szCs w:val="20"/>
        </w:rPr>
      </w:pPr>
    </w:p>
    <w:p w14:paraId="67F014A0" w14:textId="23B5A9AD" w:rsidR="00175D7F" w:rsidRPr="00097901" w:rsidRDefault="00175D7F" w:rsidP="00240776">
      <w:pPr>
        <w:spacing w:after="0" w:line="240" w:lineRule="auto"/>
        <w:jc w:val="right"/>
        <w:rPr>
          <w:rFonts w:ascii="Cambria" w:hAnsi="Cambria"/>
          <w:b/>
          <w:bCs/>
          <w:sz w:val="20"/>
          <w:szCs w:val="20"/>
        </w:rPr>
      </w:pPr>
      <w:r w:rsidRPr="00097901">
        <w:rPr>
          <w:rFonts w:ascii="Cambria" w:hAnsi="Cambria"/>
          <w:b/>
          <w:sz w:val="20"/>
          <w:szCs w:val="20"/>
        </w:rPr>
        <w:t>Original: inglés y español</w:t>
      </w:r>
    </w:p>
    <w:p w14:paraId="0B7001A5" w14:textId="77777777" w:rsidR="00F271F6" w:rsidRPr="00097901" w:rsidRDefault="00F271F6" w:rsidP="00240776">
      <w:pPr>
        <w:spacing w:after="0" w:line="240" w:lineRule="auto"/>
        <w:jc w:val="right"/>
        <w:rPr>
          <w:rFonts w:ascii="Cambria" w:hAnsi="Cambria"/>
          <w:b/>
          <w:bCs/>
          <w:sz w:val="20"/>
          <w:szCs w:val="20"/>
        </w:rPr>
      </w:pPr>
    </w:p>
    <w:p w14:paraId="738EED15" w14:textId="7A5EF442" w:rsidR="00402366" w:rsidRPr="00097901" w:rsidRDefault="00127313" w:rsidP="00240776">
      <w:pPr>
        <w:spacing w:after="0" w:line="240" w:lineRule="auto"/>
        <w:jc w:val="center"/>
        <w:rPr>
          <w:rFonts w:ascii="Cambria" w:hAnsi="Cambria"/>
          <w:b/>
          <w:bCs/>
          <w:sz w:val="20"/>
          <w:szCs w:val="20"/>
        </w:rPr>
      </w:pPr>
      <w:r w:rsidRPr="00097901">
        <w:rPr>
          <w:rFonts w:ascii="Cambria" w:hAnsi="Cambria"/>
          <w:b/>
          <w:sz w:val="20"/>
          <w:szCs w:val="20"/>
        </w:rPr>
        <w:t>Preguntas y respuestas de las CPC sobre cuestiones de cumplimiento</w:t>
      </w:r>
    </w:p>
    <w:p w14:paraId="7066F5BE" w14:textId="514C5366" w:rsidR="005B606A" w:rsidRPr="00097901" w:rsidRDefault="00C9132F" w:rsidP="00240776">
      <w:pPr>
        <w:spacing w:after="0" w:line="240" w:lineRule="auto"/>
        <w:jc w:val="center"/>
        <w:rPr>
          <w:rFonts w:ascii="Cambria" w:hAnsi="Cambria"/>
          <w:i/>
          <w:iCs/>
          <w:sz w:val="20"/>
          <w:szCs w:val="20"/>
        </w:rPr>
      </w:pPr>
      <w:r w:rsidRPr="00097901">
        <w:rPr>
          <w:rFonts w:ascii="Cambria" w:hAnsi="Cambria"/>
          <w:i/>
          <w:sz w:val="20"/>
          <w:szCs w:val="20"/>
        </w:rPr>
        <w:t>(</w:t>
      </w:r>
      <w:r w:rsidR="005B606A" w:rsidRPr="00097901">
        <w:rPr>
          <w:rFonts w:ascii="Cambria" w:hAnsi="Cambria"/>
          <w:i/>
          <w:sz w:val="20"/>
          <w:szCs w:val="20"/>
        </w:rPr>
        <w:t>Secretaría de ICCAT</w:t>
      </w:r>
      <w:r w:rsidRPr="00097901">
        <w:rPr>
          <w:rFonts w:ascii="Cambria" w:hAnsi="Cambria"/>
          <w:i/>
          <w:sz w:val="20"/>
          <w:szCs w:val="20"/>
        </w:rPr>
        <w:t>)</w:t>
      </w:r>
    </w:p>
    <w:p w14:paraId="286BB45F" w14:textId="77777777" w:rsidR="003F4F07" w:rsidRPr="00097901" w:rsidRDefault="003F4F07" w:rsidP="00240776">
      <w:pPr>
        <w:pStyle w:val="PlainText"/>
        <w:jc w:val="both"/>
        <w:rPr>
          <w:rFonts w:ascii="Cambria" w:hAnsi="Cambria"/>
          <w:sz w:val="20"/>
          <w:szCs w:val="20"/>
        </w:rPr>
      </w:pPr>
    </w:p>
    <w:p w14:paraId="5D19C30D" w14:textId="77777777" w:rsidR="00C06B4A" w:rsidRPr="00097901" w:rsidRDefault="00C06B4A" w:rsidP="00240776">
      <w:pPr>
        <w:pStyle w:val="PlainText"/>
        <w:jc w:val="both"/>
        <w:rPr>
          <w:rFonts w:ascii="Cambria" w:hAnsi="Cambria"/>
          <w:sz w:val="20"/>
          <w:szCs w:val="20"/>
        </w:rPr>
      </w:pPr>
      <w:r w:rsidRPr="00097901">
        <w:rPr>
          <w:rFonts w:ascii="Cambria" w:hAnsi="Cambria"/>
          <w:sz w:val="20"/>
          <w:szCs w:val="20"/>
        </w:rPr>
        <w:t>Mediante la Circular ICCAT n.º 10017/2025, emitida el 8 de octubre de 2025, se invitó a las CPC a enviar preguntas a otras CPC sobre posibles cuestiones de cumplimiento.</w:t>
      </w:r>
    </w:p>
    <w:p w14:paraId="0922E85B" w14:textId="77777777" w:rsidR="00C06B4A" w:rsidRPr="00097901" w:rsidRDefault="00C06B4A" w:rsidP="00240776">
      <w:pPr>
        <w:pStyle w:val="PlainText"/>
        <w:jc w:val="both"/>
        <w:rPr>
          <w:rFonts w:ascii="Cambria" w:hAnsi="Cambria"/>
          <w:sz w:val="20"/>
          <w:szCs w:val="20"/>
        </w:rPr>
      </w:pPr>
    </w:p>
    <w:p w14:paraId="405CB8B1" w14:textId="60C3E744" w:rsidR="00C06B4A" w:rsidRPr="00097901" w:rsidRDefault="00C06B4A" w:rsidP="00240776">
      <w:pPr>
        <w:pStyle w:val="PlainText"/>
        <w:jc w:val="both"/>
        <w:rPr>
          <w:rFonts w:ascii="Cambria" w:hAnsi="Cambria"/>
          <w:sz w:val="20"/>
          <w:szCs w:val="20"/>
        </w:rPr>
      </w:pPr>
      <w:r w:rsidRPr="00097901">
        <w:rPr>
          <w:rFonts w:ascii="Cambria" w:hAnsi="Cambria"/>
          <w:sz w:val="20"/>
          <w:szCs w:val="20"/>
        </w:rPr>
        <w:t>La Secretaría recibió preguntas y comentarios de la Unión Europea y Japón. En la medida de lo posible, estas preguntas se han enviado con antelación a las CPC correspondientes, y las respuestas recibidas hasta la fecha se incluyen aquí cuando procede. Dado el tiempo disponible para preparar las respuestas, aquellas CPC que no hayan podido proporcionar una respuesta por escrito antes de la reunión podrán responder verbalmente o por escrito en la reunión del Comité de Cumplimiento (COC) o antes de esta.</w:t>
      </w:r>
    </w:p>
    <w:p w14:paraId="691322C0" w14:textId="77777777" w:rsidR="00C06B4A" w:rsidRPr="00097901" w:rsidRDefault="00C06B4A" w:rsidP="00240776">
      <w:pPr>
        <w:pStyle w:val="PlainText"/>
        <w:jc w:val="both"/>
        <w:rPr>
          <w:rFonts w:ascii="Cambria" w:hAnsi="Cambria"/>
          <w:sz w:val="20"/>
          <w:szCs w:val="20"/>
        </w:rPr>
      </w:pPr>
    </w:p>
    <w:p w14:paraId="1F7D9534" w14:textId="7B5A1F7C" w:rsidR="00DE003E" w:rsidRPr="00097901" w:rsidRDefault="00DE003E" w:rsidP="00240776">
      <w:pPr>
        <w:spacing w:after="0" w:line="240" w:lineRule="auto"/>
        <w:jc w:val="both"/>
        <w:rPr>
          <w:rFonts w:ascii="Cambria" w:eastAsia="Times New Roman" w:hAnsi="Cambria" w:cs="Times New Roman"/>
          <w:b/>
          <w:sz w:val="20"/>
          <w:szCs w:val="20"/>
        </w:rPr>
      </w:pPr>
      <w:bookmarkStart w:id="0" w:name="_Hlk181564720"/>
      <w:r w:rsidRPr="00097901">
        <w:rPr>
          <w:rFonts w:ascii="Cambria" w:hAnsi="Cambria"/>
          <w:b/>
          <w:sz w:val="20"/>
          <w:szCs w:val="20"/>
        </w:rPr>
        <w:t xml:space="preserve"> A Argelia:</w:t>
      </w:r>
    </w:p>
    <w:p w14:paraId="63FD7D87" w14:textId="77777777" w:rsidR="00240776" w:rsidRPr="00097901" w:rsidRDefault="00240776" w:rsidP="00240776">
      <w:pPr>
        <w:spacing w:after="0" w:line="240" w:lineRule="auto"/>
        <w:jc w:val="both"/>
        <w:rPr>
          <w:rFonts w:ascii="Cambria" w:eastAsia="Times New Roman" w:hAnsi="Cambria" w:cs="Times New Roman"/>
          <w:b/>
          <w:sz w:val="20"/>
          <w:szCs w:val="20"/>
        </w:rPr>
      </w:pPr>
    </w:p>
    <w:bookmarkEnd w:id="0"/>
    <w:p w14:paraId="751ED80C" w14:textId="22060D28" w:rsidR="00C06B4A" w:rsidRPr="00097901" w:rsidRDefault="00C06B4A" w:rsidP="00240776">
      <w:pPr>
        <w:spacing w:after="0" w:line="240" w:lineRule="auto"/>
        <w:jc w:val="both"/>
        <w:rPr>
          <w:rFonts w:ascii="Cambria" w:eastAsia="Times New Roman" w:hAnsi="Cambria" w:cs="Times New Roman"/>
          <w:bCs/>
          <w:sz w:val="20"/>
          <w:szCs w:val="20"/>
        </w:rPr>
      </w:pPr>
      <w:r w:rsidRPr="00097901">
        <w:rPr>
          <w:rFonts w:ascii="Cambria" w:hAnsi="Cambria"/>
          <w:sz w:val="20"/>
          <w:szCs w:val="20"/>
        </w:rPr>
        <w:t xml:space="preserve">En 2009, el COC reconoció que los buques pesqueros argelinos capturaron 820 t de atún rojo del Atlántico sin la debida autorización y que los peces se transfirieron a granjas en Túnez y Malta sin BCD validados. En 2010, durante la reunión </w:t>
      </w:r>
      <w:r w:rsidR="00B3619B" w:rsidRPr="00097901">
        <w:rPr>
          <w:rFonts w:ascii="Cambria" w:hAnsi="Cambria"/>
          <w:sz w:val="20"/>
          <w:szCs w:val="20"/>
        </w:rPr>
        <w:t>del COC</w:t>
      </w:r>
      <w:r w:rsidRPr="00097901">
        <w:rPr>
          <w:rFonts w:ascii="Cambria" w:hAnsi="Cambria"/>
          <w:sz w:val="20"/>
          <w:szCs w:val="20"/>
        </w:rPr>
        <w:t xml:space="preserve">, Malta y Túnez informaron de que los peces transferidos se habían liberado de las jaulas. En esa reunión, Argelia mencionó que había procedimientos judiciales en curso para los buques argelinos ante los tribunales argelinos. Argelia también mencionó que se informará con todo detalle al COC una vez concluida la investigación. </w:t>
      </w:r>
    </w:p>
    <w:p w14:paraId="0DED296B" w14:textId="77777777" w:rsidR="00240776" w:rsidRPr="00097901" w:rsidRDefault="00240776" w:rsidP="00240776">
      <w:pPr>
        <w:spacing w:after="0" w:line="240" w:lineRule="auto"/>
        <w:jc w:val="both"/>
        <w:rPr>
          <w:rFonts w:ascii="Cambria" w:eastAsia="Times New Roman" w:hAnsi="Cambria" w:cs="Times New Roman"/>
          <w:bCs/>
          <w:sz w:val="20"/>
          <w:szCs w:val="20"/>
        </w:rPr>
      </w:pPr>
    </w:p>
    <w:p w14:paraId="439A901C" w14:textId="51577862" w:rsidR="00947ED5" w:rsidRPr="00097901" w:rsidRDefault="00C06B4A" w:rsidP="00240776">
      <w:pPr>
        <w:spacing w:after="0" w:line="240" w:lineRule="auto"/>
        <w:jc w:val="both"/>
        <w:rPr>
          <w:rFonts w:ascii="Cambria" w:eastAsia="Times New Roman" w:hAnsi="Cambria" w:cs="Times New Roman"/>
          <w:bCs/>
          <w:sz w:val="20"/>
          <w:szCs w:val="20"/>
        </w:rPr>
      </w:pPr>
      <w:r w:rsidRPr="00097901">
        <w:rPr>
          <w:rFonts w:ascii="Cambria" w:hAnsi="Cambria"/>
          <w:sz w:val="20"/>
          <w:szCs w:val="20"/>
        </w:rPr>
        <w:t>Según los informes de reuniones anteriores, Argelia expresó su intención de informar sobre el resultado hasta la reunión anual de 2011. Sin embargo, después de eso, no hay constancia alguna sobre este tema en los informes de las reuniones de ICCAT. Japón entiende</w:t>
      </w:r>
      <w:r w:rsidR="00097901" w:rsidRPr="00097901">
        <w:rPr>
          <w:rFonts w:ascii="Cambria" w:hAnsi="Cambria"/>
          <w:sz w:val="20"/>
          <w:szCs w:val="20"/>
        </w:rPr>
        <w:t xml:space="preserve">, por tanto, </w:t>
      </w:r>
      <w:r w:rsidRPr="00097901">
        <w:rPr>
          <w:rFonts w:ascii="Cambria" w:hAnsi="Cambria"/>
          <w:sz w:val="20"/>
          <w:szCs w:val="20"/>
        </w:rPr>
        <w:t>que ICCAT no ha recibido el resultado de la investigación de Argelia.</w:t>
      </w:r>
    </w:p>
    <w:p w14:paraId="761C0EBC" w14:textId="77777777" w:rsidR="00C06B4A" w:rsidRPr="00097901" w:rsidRDefault="00C06B4A" w:rsidP="00240776">
      <w:pPr>
        <w:spacing w:after="0" w:line="240" w:lineRule="auto"/>
        <w:jc w:val="both"/>
        <w:rPr>
          <w:rFonts w:ascii="Cambria" w:eastAsia="Times New Roman" w:hAnsi="Cambria" w:cs="Times New Roman"/>
          <w:sz w:val="20"/>
          <w:szCs w:val="20"/>
        </w:rPr>
      </w:pPr>
    </w:p>
    <w:p w14:paraId="549E028A" w14:textId="77777777" w:rsidR="007B04C0" w:rsidRPr="00F75CC4" w:rsidRDefault="007B04C0" w:rsidP="007B04C0">
      <w:pPr>
        <w:spacing w:after="0" w:line="240" w:lineRule="auto"/>
        <w:jc w:val="both"/>
        <w:rPr>
          <w:rFonts w:ascii="Cambria" w:eastAsia="Times New Roman" w:hAnsi="Cambria" w:cs="Times New Roman"/>
          <w:color w:val="222222"/>
          <w:sz w:val="20"/>
          <w:szCs w:val="20"/>
          <w:u w:val="single"/>
        </w:rPr>
      </w:pPr>
      <w:r>
        <w:rPr>
          <w:rFonts w:ascii="Cambria" w:hAnsi="Cambria"/>
          <w:b/>
          <w:color w:val="222222"/>
          <w:sz w:val="20"/>
          <w:u w:val="single"/>
        </w:rPr>
        <w:t xml:space="preserve">Respuesta: </w:t>
      </w:r>
      <w:r>
        <w:rPr>
          <w:rFonts w:ascii="Cambria" w:hAnsi="Cambria"/>
          <w:color w:val="222222"/>
          <w:sz w:val="20"/>
          <w:u w:val="single"/>
        </w:rPr>
        <w:t>Argelia agradece a Japón que haya planteado esta cuestión y desea aportar las siguientes aclaraciones para demostrar que la situación mencionada no puede considerarse una falta de cumplimiento, sino que forma parte de un proceso exhaustivo y jurídicamente cerrado.</w:t>
      </w:r>
    </w:p>
    <w:p w14:paraId="4CD43FE0" w14:textId="77777777" w:rsidR="007B04C0" w:rsidRPr="00F75CC4" w:rsidRDefault="007B04C0" w:rsidP="007B04C0">
      <w:pPr>
        <w:spacing w:after="0" w:line="240" w:lineRule="auto"/>
        <w:jc w:val="both"/>
        <w:rPr>
          <w:rFonts w:ascii="Cambria" w:hAnsi="Cambria"/>
          <w:b/>
          <w:color w:val="222222"/>
          <w:sz w:val="20"/>
          <w:u w:val="single"/>
        </w:rPr>
      </w:pPr>
    </w:p>
    <w:p w14:paraId="05A342C1" w14:textId="77777777" w:rsidR="007B04C0" w:rsidRPr="00F75CC4" w:rsidRDefault="007B04C0" w:rsidP="007B04C0">
      <w:pPr>
        <w:spacing w:after="0" w:line="240" w:lineRule="auto"/>
        <w:contextualSpacing/>
        <w:jc w:val="both"/>
        <w:rPr>
          <w:rFonts w:ascii="Cambria" w:eastAsia="Times New Roman" w:hAnsi="Cambria" w:cs="Times New Roman"/>
          <w:color w:val="222222"/>
          <w:sz w:val="20"/>
          <w:szCs w:val="20"/>
          <w:u w:val="single"/>
        </w:rPr>
      </w:pPr>
      <w:r>
        <w:rPr>
          <w:rFonts w:ascii="Cambria" w:hAnsi="Cambria"/>
          <w:color w:val="222222"/>
          <w:sz w:val="20"/>
          <w:u w:val="single"/>
        </w:rPr>
        <w:t>Contexto histórico y seguimiento por parte de Argelia:</w:t>
      </w:r>
    </w:p>
    <w:p w14:paraId="63449970" w14:textId="77777777" w:rsidR="007B04C0" w:rsidRPr="00F75CC4" w:rsidRDefault="007B04C0" w:rsidP="007B04C0">
      <w:pPr>
        <w:spacing w:after="0" w:line="240" w:lineRule="auto"/>
        <w:contextualSpacing/>
        <w:jc w:val="both"/>
        <w:rPr>
          <w:rFonts w:ascii="Cambria" w:eastAsia="Times New Roman" w:hAnsi="Cambria" w:cs="Times New Roman"/>
          <w:color w:val="222222"/>
          <w:sz w:val="20"/>
          <w:szCs w:val="20"/>
          <w:u w:val="single"/>
        </w:rPr>
      </w:pPr>
    </w:p>
    <w:p w14:paraId="59BF47C9" w14:textId="77777777" w:rsidR="007B04C0" w:rsidRPr="00F75CC4" w:rsidRDefault="007B04C0" w:rsidP="007B04C0">
      <w:pPr>
        <w:numPr>
          <w:ilvl w:val="0"/>
          <w:numId w:val="9"/>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Pr>
          <w:rFonts w:ascii="Cambria" w:hAnsi="Cambria"/>
          <w:color w:val="222222"/>
          <w:sz w:val="20"/>
          <w:u w:val="single"/>
        </w:rPr>
        <w:t>De conformidad con sus obligaciones de transparencia, Argelia informó al Comité en 2009 de la apertura de una investigación judicial nacional sobre este asunto.</w:t>
      </w:r>
    </w:p>
    <w:p w14:paraId="1A31CBA7" w14:textId="77777777" w:rsidR="007B04C0" w:rsidRPr="00F75CC4" w:rsidRDefault="007B04C0" w:rsidP="007B04C0">
      <w:pPr>
        <w:numPr>
          <w:ilvl w:val="0"/>
          <w:numId w:val="9"/>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Pr>
          <w:rFonts w:ascii="Cambria" w:hAnsi="Cambria"/>
          <w:color w:val="222222"/>
          <w:sz w:val="20"/>
          <w:u w:val="single"/>
        </w:rPr>
        <w:t>En 2010, Argelia formuló una reserva formal con respecto al párrafo 8 de la Recomendación 10-04.</w:t>
      </w:r>
    </w:p>
    <w:p w14:paraId="035E9326" w14:textId="77777777" w:rsidR="007B04C0" w:rsidRPr="00F75CC4" w:rsidRDefault="007B04C0" w:rsidP="007B04C0">
      <w:pPr>
        <w:numPr>
          <w:ilvl w:val="0"/>
          <w:numId w:val="9"/>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Pr>
          <w:rFonts w:ascii="Cambria" w:hAnsi="Cambria"/>
          <w:color w:val="222222"/>
          <w:sz w:val="20"/>
          <w:u w:val="single"/>
        </w:rPr>
        <w:t>En sus declaraciones iniciales en 2011 y 2012, Argelia invocó el artículo VIII del Convenio para formular una objeción de fondo al procedimiento de adopción de la Recomendación 10-04, lamentando que se hubiera tomado una decisión que afectaba a su cuota en ausencia de su delegación técnica y sin consulta previa.</w:t>
      </w:r>
    </w:p>
    <w:p w14:paraId="5E3FC53C" w14:textId="77777777" w:rsidR="007B04C0" w:rsidRPr="00F75CC4" w:rsidRDefault="007B04C0" w:rsidP="007B04C0">
      <w:pPr>
        <w:numPr>
          <w:ilvl w:val="0"/>
          <w:numId w:val="9"/>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Pr>
          <w:rFonts w:ascii="Cambria" w:hAnsi="Cambria"/>
          <w:color w:val="222222"/>
          <w:sz w:val="20"/>
          <w:u w:val="single"/>
        </w:rPr>
        <w:t>La Recomendación 12-03 de 2012 estableció, en su párrafo 10, que el restablecimiento de la cuota de Argelia se examinaría con carácter prioritario en futuras revisiones del TAC. Con el respaldo de este compromiso por parte de las instancias de ICCAT, Argelia consideró entonces el asunto cerrado a la espera de dicho restablecimiento.</w:t>
      </w:r>
    </w:p>
    <w:p w14:paraId="4F7E83FC" w14:textId="77777777" w:rsidR="007B04C0" w:rsidRPr="00F75CC4" w:rsidRDefault="007B04C0" w:rsidP="007B04C0">
      <w:pPr>
        <w:numPr>
          <w:ilvl w:val="0"/>
          <w:numId w:val="9"/>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Pr>
          <w:rFonts w:ascii="Cambria" w:hAnsi="Cambria"/>
          <w:color w:val="222222"/>
          <w:sz w:val="20"/>
          <w:u w:val="single"/>
        </w:rPr>
        <w:t>El caso judicial concluyó con un veredicto definitivo el 19 de abril de 2015 con el número (2015/2868). Hasta la fecha, ni el Comité de cumplimiento ni ninguna de las Partes contratantes han solicitado información sobre las conclusiones de esta sentencia.</w:t>
      </w:r>
    </w:p>
    <w:p w14:paraId="439A37AF" w14:textId="77777777" w:rsidR="007B04C0" w:rsidRPr="00F75CC4" w:rsidRDefault="007B04C0" w:rsidP="007B04C0">
      <w:pPr>
        <w:spacing w:after="0" w:line="240" w:lineRule="auto"/>
        <w:contextualSpacing/>
        <w:jc w:val="both"/>
        <w:rPr>
          <w:rFonts w:ascii="Cambria" w:eastAsia="Times New Roman" w:hAnsi="Cambria" w:cs="Times New Roman"/>
          <w:b/>
          <w:bCs/>
          <w:color w:val="222222"/>
          <w:sz w:val="20"/>
          <w:szCs w:val="20"/>
          <w:u w:val="single"/>
        </w:rPr>
      </w:pPr>
    </w:p>
    <w:p w14:paraId="0E5705F3" w14:textId="77777777" w:rsidR="007B04C0" w:rsidRPr="00F75CC4" w:rsidRDefault="007B04C0" w:rsidP="007B04C0">
      <w:pPr>
        <w:spacing w:after="0" w:line="240" w:lineRule="auto"/>
        <w:contextualSpacing/>
        <w:jc w:val="both"/>
        <w:rPr>
          <w:rFonts w:ascii="Cambria" w:eastAsia="Times New Roman" w:hAnsi="Cambria" w:cs="Times New Roman"/>
          <w:color w:val="222222"/>
          <w:sz w:val="20"/>
          <w:szCs w:val="20"/>
          <w:u w:val="single"/>
        </w:rPr>
      </w:pPr>
      <w:r>
        <w:rPr>
          <w:rFonts w:ascii="Cambria" w:hAnsi="Cambria"/>
          <w:color w:val="222222"/>
          <w:sz w:val="20"/>
          <w:u w:val="single"/>
        </w:rPr>
        <w:t>Presentación de los hechos y desarrollo del proceso judicial:</w:t>
      </w:r>
    </w:p>
    <w:p w14:paraId="3B8BF8CB" w14:textId="77777777" w:rsidR="007B04C0" w:rsidRPr="00F75CC4" w:rsidRDefault="007B04C0" w:rsidP="007B04C0">
      <w:pPr>
        <w:spacing w:after="0" w:line="240" w:lineRule="auto"/>
        <w:contextualSpacing/>
        <w:jc w:val="both"/>
        <w:rPr>
          <w:rFonts w:ascii="Cambria" w:eastAsia="Times New Roman" w:hAnsi="Cambria" w:cs="Times New Roman"/>
          <w:color w:val="222222"/>
          <w:sz w:val="20"/>
          <w:szCs w:val="20"/>
          <w:u w:val="single"/>
        </w:rPr>
      </w:pPr>
    </w:p>
    <w:p w14:paraId="03D46276" w14:textId="77777777" w:rsidR="007B04C0" w:rsidRPr="00F75CC4" w:rsidRDefault="007B04C0" w:rsidP="007B04C0">
      <w:pPr>
        <w:spacing w:after="0" w:line="240" w:lineRule="auto"/>
        <w:contextualSpacing/>
        <w:jc w:val="both"/>
        <w:rPr>
          <w:rFonts w:ascii="Cambria" w:eastAsia="Times New Roman" w:hAnsi="Cambria" w:cs="Times New Roman"/>
          <w:color w:val="222222"/>
          <w:sz w:val="20"/>
          <w:szCs w:val="20"/>
          <w:u w:val="single"/>
        </w:rPr>
      </w:pPr>
      <w:r>
        <w:rPr>
          <w:rFonts w:ascii="Cambria" w:hAnsi="Cambria"/>
          <w:color w:val="222222"/>
          <w:sz w:val="20"/>
          <w:u w:val="single"/>
        </w:rPr>
        <w:t>Este asunto, inicialmente mencionado en la reunión anual de 2009 sobre la base de artículos de prensa, ha sido objeto de un riguroso seguimiento judicial.</w:t>
      </w:r>
    </w:p>
    <w:p w14:paraId="05D1ECC3" w14:textId="77777777" w:rsidR="007B04C0" w:rsidRPr="00F75CC4" w:rsidRDefault="007B04C0" w:rsidP="007B04C0">
      <w:pPr>
        <w:spacing w:after="0" w:line="240" w:lineRule="auto"/>
        <w:contextualSpacing/>
        <w:jc w:val="both"/>
        <w:rPr>
          <w:rFonts w:ascii="Cambria" w:eastAsia="Times New Roman" w:hAnsi="Cambria" w:cs="Times New Roman"/>
          <w:color w:val="222222"/>
          <w:sz w:val="20"/>
          <w:szCs w:val="20"/>
          <w:u w:val="single"/>
        </w:rPr>
      </w:pPr>
    </w:p>
    <w:p w14:paraId="6174A88A" w14:textId="77777777" w:rsidR="007B04C0" w:rsidRPr="00F75CC4" w:rsidRDefault="007B04C0" w:rsidP="007B04C0">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Pr>
          <w:rFonts w:ascii="Cambria" w:hAnsi="Cambria"/>
          <w:i/>
          <w:iCs/>
          <w:color w:val="222222"/>
          <w:sz w:val="20"/>
          <w:u w:val="single"/>
        </w:rPr>
        <w:t>Controles y marco normativo:</w:t>
      </w:r>
      <w:r>
        <w:rPr>
          <w:rFonts w:ascii="Cambria" w:hAnsi="Cambria"/>
          <w:color w:val="222222"/>
          <w:sz w:val="20"/>
          <w:u w:val="single"/>
        </w:rPr>
        <w:t xml:space="preserve"> Argelia siempre ha ejercido un control estricto de sus actividades pesqueras a través de su personal, su guardia costera y sus observadores nacionales. Los buques afectados estaban debidamente autorizados y equipados con sistemas de seguimiento (VMS).</w:t>
      </w:r>
    </w:p>
    <w:p w14:paraId="53729CB5" w14:textId="77777777" w:rsidR="007B04C0" w:rsidRPr="00F75CC4" w:rsidRDefault="007B04C0" w:rsidP="007B04C0">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Pr>
          <w:rFonts w:ascii="Cambria" w:hAnsi="Cambria"/>
          <w:i/>
          <w:iCs/>
          <w:color w:val="222222"/>
          <w:sz w:val="20"/>
          <w:u w:val="single"/>
        </w:rPr>
        <w:lastRenderedPageBreak/>
        <w:t>Interceptación</w:t>
      </w:r>
      <w:r>
        <w:rPr>
          <w:rFonts w:ascii="Cambria" w:hAnsi="Cambria"/>
          <w:color w:val="222222"/>
          <w:sz w:val="20"/>
          <w:u w:val="single"/>
        </w:rPr>
        <w:t xml:space="preserve"> y </w:t>
      </w:r>
      <w:r>
        <w:rPr>
          <w:rFonts w:ascii="Cambria" w:hAnsi="Cambria"/>
          <w:i/>
          <w:iCs/>
          <w:color w:val="222222"/>
          <w:sz w:val="20"/>
          <w:u w:val="single"/>
        </w:rPr>
        <w:t>constataciones</w:t>
      </w:r>
      <w:r>
        <w:rPr>
          <w:rFonts w:ascii="Cambria" w:hAnsi="Cambria"/>
          <w:color w:val="222222"/>
          <w:sz w:val="20"/>
          <w:u w:val="single"/>
        </w:rPr>
        <w:t>: El 12 de junio de 2009, las autoridades argelinas interceptaron dos cerqueros argelinos y tres buques con pabellón turco en aguas territoriales argelinas. Las constataciones revelaron la presencia de documentos de «</w:t>
      </w:r>
      <w:proofErr w:type="spellStart"/>
      <w:r>
        <w:rPr>
          <w:rFonts w:ascii="Cambria" w:hAnsi="Cambria"/>
          <w:color w:val="222222"/>
          <w:sz w:val="20"/>
          <w:u w:val="single"/>
        </w:rPr>
        <w:t>comunicació</w:t>
      </w:r>
      <w:proofErr w:type="spellEnd"/>
      <w:r>
        <w:rPr>
          <w:rFonts w:ascii="Cambria" w:hAnsi="Cambria"/>
          <w:color w:val="222222"/>
          <w:sz w:val="20"/>
          <w:u w:val="single"/>
        </w:rPr>
        <w:t xml:space="preserve"> previa de transferencia» debidamente cumplimentados. También había observadores nacionales a bordo de los cerqueros argelinos.</w:t>
      </w:r>
    </w:p>
    <w:p w14:paraId="6EF2BF24" w14:textId="77777777" w:rsidR="007B04C0" w:rsidRPr="00F75CC4" w:rsidRDefault="007B04C0" w:rsidP="007B04C0">
      <w:pPr>
        <w:spacing w:after="0" w:line="240" w:lineRule="auto"/>
        <w:contextualSpacing/>
        <w:jc w:val="both"/>
        <w:rPr>
          <w:rFonts w:ascii="Cambria" w:eastAsia="Times New Roman" w:hAnsi="Cambria" w:cs="Times New Roman"/>
          <w:color w:val="222222"/>
          <w:sz w:val="20"/>
          <w:szCs w:val="20"/>
          <w:u w:val="single"/>
        </w:rPr>
      </w:pPr>
    </w:p>
    <w:p w14:paraId="719BBDCA" w14:textId="77777777" w:rsidR="007B04C0" w:rsidRPr="00F75CC4" w:rsidRDefault="007B04C0" w:rsidP="007B04C0">
      <w:pPr>
        <w:spacing w:after="0" w:line="240" w:lineRule="auto"/>
        <w:contextualSpacing/>
        <w:jc w:val="both"/>
        <w:rPr>
          <w:rFonts w:ascii="Cambria" w:eastAsia="Times New Roman" w:hAnsi="Cambria" w:cs="Times New Roman"/>
          <w:color w:val="222222"/>
          <w:sz w:val="20"/>
          <w:szCs w:val="20"/>
          <w:u w:val="single"/>
        </w:rPr>
      </w:pPr>
      <w:r>
        <w:rPr>
          <w:rFonts w:ascii="Cambria" w:hAnsi="Cambria"/>
          <w:color w:val="222222"/>
          <w:sz w:val="20"/>
          <w:u w:val="single"/>
        </w:rPr>
        <w:t>También se interceptó una jaula de transporte con atún rojo vivo remolcada por un buque turco.</w:t>
      </w:r>
    </w:p>
    <w:p w14:paraId="7ECCD601" w14:textId="77777777" w:rsidR="007B04C0" w:rsidRPr="00F75CC4" w:rsidRDefault="007B04C0" w:rsidP="007B04C0">
      <w:pPr>
        <w:spacing w:after="0" w:line="240" w:lineRule="auto"/>
        <w:contextualSpacing/>
        <w:jc w:val="both"/>
        <w:rPr>
          <w:rFonts w:ascii="Cambria" w:eastAsia="Times New Roman" w:hAnsi="Cambria" w:cs="Times New Roman"/>
          <w:color w:val="222222"/>
          <w:sz w:val="20"/>
          <w:szCs w:val="20"/>
          <w:u w:val="single"/>
        </w:rPr>
      </w:pPr>
    </w:p>
    <w:p w14:paraId="133AECA9" w14:textId="77777777" w:rsidR="007B04C0" w:rsidRPr="00F75CC4" w:rsidRDefault="007B04C0" w:rsidP="007B04C0">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Pr>
          <w:rFonts w:ascii="Cambria" w:hAnsi="Cambria"/>
          <w:i/>
          <w:iCs/>
          <w:color w:val="222222"/>
          <w:sz w:val="20"/>
          <w:u w:val="single"/>
        </w:rPr>
        <w:t>Procedimiento judicial:</w:t>
      </w:r>
      <w:r>
        <w:rPr>
          <w:rFonts w:ascii="Cambria" w:hAnsi="Cambria"/>
          <w:color w:val="222222"/>
          <w:sz w:val="20"/>
          <w:u w:val="single"/>
        </w:rPr>
        <w:t> Se abrió una investigación. El 24 de junio de 2009, con el fin de preservar los recursos, la justicia ordenó la liberación de 210 t de atún rojo vivo en su medio natural y la incautación de los buques implicados (un atunero cerquero argelino y tres buques turcos, dos remolcadores y un barco de apoyo). Tras una instrucción completa, que incluyó un paso por los tribunales de primera instancia, el tribunal de apelación y el Tribunal Supremo, el 19 de abril de 2015 se dictó sentencia definitiva.</w:t>
      </w:r>
    </w:p>
    <w:p w14:paraId="5695D274" w14:textId="77777777" w:rsidR="007B04C0" w:rsidRPr="00F75CC4" w:rsidRDefault="007B04C0" w:rsidP="007B04C0">
      <w:pPr>
        <w:spacing w:after="0" w:line="240" w:lineRule="auto"/>
        <w:ind w:left="851"/>
        <w:contextualSpacing/>
        <w:jc w:val="both"/>
        <w:rPr>
          <w:rFonts w:ascii="Cambria" w:eastAsia="Times New Roman" w:hAnsi="Cambria" w:cs="Times New Roman"/>
          <w:color w:val="222222"/>
          <w:sz w:val="20"/>
          <w:szCs w:val="20"/>
          <w:u w:val="single"/>
        </w:rPr>
      </w:pPr>
    </w:p>
    <w:p w14:paraId="4CB79BC9" w14:textId="77777777" w:rsidR="007B04C0" w:rsidRPr="00F75CC4" w:rsidRDefault="007B04C0" w:rsidP="007B04C0">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Pr>
          <w:rFonts w:ascii="Cambria" w:hAnsi="Cambria"/>
          <w:i/>
          <w:iCs/>
          <w:color w:val="222222"/>
          <w:sz w:val="20"/>
          <w:u w:val="single"/>
        </w:rPr>
        <w:t>Veredicto y motivos:</w:t>
      </w:r>
      <w:r>
        <w:rPr>
          <w:rFonts w:ascii="Cambria" w:hAnsi="Cambria"/>
          <w:color w:val="222222"/>
          <w:sz w:val="20"/>
          <w:u w:val="single"/>
        </w:rPr>
        <w:t> El tribunal absolvió a las partes y levantó el embargo de los buques. Los motivos establecieron que:</w:t>
      </w:r>
    </w:p>
    <w:p w14:paraId="3AE03A39" w14:textId="77777777" w:rsidR="007B04C0" w:rsidRPr="00F75CC4" w:rsidRDefault="007B04C0" w:rsidP="007B04C0">
      <w:pPr>
        <w:spacing w:after="0" w:line="240" w:lineRule="auto"/>
        <w:ind w:left="851"/>
        <w:contextualSpacing/>
        <w:jc w:val="both"/>
        <w:rPr>
          <w:rFonts w:ascii="Cambria" w:eastAsia="Times New Roman" w:hAnsi="Cambria" w:cs="Times New Roman"/>
          <w:color w:val="222222"/>
          <w:sz w:val="20"/>
          <w:szCs w:val="20"/>
          <w:u w:val="single"/>
        </w:rPr>
      </w:pPr>
    </w:p>
    <w:p w14:paraId="47266C22" w14:textId="77777777" w:rsidR="007B04C0" w:rsidRPr="00F75CC4" w:rsidRDefault="007B04C0" w:rsidP="007B04C0">
      <w:pPr>
        <w:numPr>
          <w:ilvl w:val="1"/>
          <w:numId w:val="11"/>
        </w:numPr>
        <w:spacing w:after="0" w:line="240" w:lineRule="auto"/>
        <w:ind w:left="1276" w:hanging="283"/>
        <w:contextualSpacing/>
        <w:jc w:val="both"/>
        <w:rPr>
          <w:rFonts w:ascii="Cambria" w:eastAsia="Times New Roman" w:hAnsi="Cambria" w:cs="Times New Roman"/>
          <w:color w:val="222222"/>
          <w:sz w:val="20"/>
          <w:szCs w:val="20"/>
          <w:u w:val="single"/>
        </w:rPr>
      </w:pPr>
      <w:r>
        <w:rPr>
          <w:rFonts w:ascii="Cambria" w:hAnsi="Cambria"/>
          <w:color w:val="222222"/>
          <w:sz w:val="20"/>
          <w:u w:val="single"/>
        </w:rPr>
        <w:t>Los cerqueros argelinos tenían autorizaciones de pesca en regla y habían realizado las notificaciones previas de transferencia.</w:t>
      </w:r>
    </w:p>
    <w:p w14:paraId="280F1C82" w14:textId="77777777" w:rsidR="007B04C0" w:rsidRPr="00F75CC4" w:rsidRDefault="007B04C0" w:rsidP="007B04C0">
      <w:pPr>
        <w:numPr>
          <w:ilvl w:val="1"/>
          <w:numId w:val="11"/>
        </w:numPr>
        <w:spacing w:after="0" w:line="240" w:lineRule="auto"/>
        <w:ind w:left="1276" w:hanging="283"/>
        <w:contextualSpacing/>
        <w:jc w:val="both"/>
        <w:rPr>
          <w:rFonts w:ascii="Cambria" w:eastAsia="Times New Roman" w:hAnsi="Cambria" w:cs="Times New Roman"/>
          <w:color w:val="222222"/>
          <w:sz w:val="20"/>
          <w:szCs w:val="20"/>
          <w:u w:val="single"/>
        </w:rPr>
      </w:pPr>
      <w:r>
        <w:rPr>
          <w:rFonts w:ascii="Cambria" w:hAnsi="Cambria"/>
          <w:color w:val="222222"/>
          <w:sz w:val="20"/>
          <w:u w:val="single"/>
        </w:rPr>
        <w:t>No se constató ningún acto de pesca ilegal por parte de los buques turcos.</w:t>
      </w:r>
    </w:p>
    <w:p w14:paraId="66C57DFE" w14:textId="77777777" w:rsidR="007B04C0" w:rsidRPr="00F75CC4" w:rsidRDefault="007B04C0" w:rsidP="007B04C0">
      <w:pPr>
        <w:numPr>
          <w:ilvl w:val="1"/>
          <w:numId w:val="11"/>
        </w:numPr>
        <w:spacing w:after="0" w:line="240" w:lineRule="auto"/>
        <w:ind w:left="1276" w:hanging="283"/>
        <w:contextualSpacing/>
        <w:jc w:val="both"/>
        <w:rPr>
          <w:rFonts w:ascii="Cambria" w:eastAsia="Times New Roman" w:hAnsi="Cambria" w:cs="Times New Roman"/>
          <w:color w:val="222222"/>
          <w:sz w:val="20"/>
          <w:szCs w:val="20"/>
          <w:u w:val="single"/>
        </w:rPr>
      </w:pPr>
      <w:r>
        <w:rPr>
          <w:rFonts w:ascii="Cambria" w:hAnsi="Cambria"/>
          <w:color w:val="222222"/>
          <w:sz w:val="20"/>
          <w:u w:val="single"/>
        </w:rPr>
        <w:t>Los operadores tenían la intención de regularizar los trámites aduaneros una vez validados los documentos de captura y los buques llegaran a puerto.</w:t>
      </w:r>
    </w:p>
    <w:p w14:paraId="417F6026" w14:textId="77777777" w:rsidR="007B04C0" w:rsidRPr="00F75CC4" w:rsidRDefault="007B04C0" w:rsidP="007B04C0">
      <w:pPr>
        <w:spacing w:after="0" w:line="240" w:lineRule="auto"/>
        <w:contextualSpacing/>
        <w:jc w:val="both"/>
        <w:rPr>
          <w:rFonts w:ascii="Cambria" w:eastAsia="Times New Roman" w:hAnsi="Cambria" w:cs="Times New Roman"/>
          <w:b/>
          <w:bCs/>
          <w:color w:val="222222"/>
          <w:sz w:val="20"/>
          <w:szCs w:val="20"/>
          <w:u w:val="single"/>
        </w:rPr>
      </w:pPr>
    </w:p>
    <w:p w14:paraId="4E987AB4" w14:textId="77777777" w:rsidR="007B04C0" w:rsidRPr="00F75CC4" w:rsidRDefault="007B04C0" w:rsidP="007B04C0">
      <w:pPr>
        <w:spacing w:after="0" w:line="240" w:lineRule="auto"/>
        <w:contextualSpacing/>
        <w:jc w:val="both"/>
        <w:rPr>
          <w:rFonts w:ascii="Cambria" w:eastAsia="Times New Roman" w:hAnsi="Cambria" w:cs="Times New Roman"/>
          <w:color w:val="222222"/>
          <w:sz w:val="20"/>
          <w:szCs w:val="20"/>
          <w:u w:val="single"/>
        </w:rPr>
      </w:pPr>
      <w:r>
        <w:rPr>
          <w:rFonts w:ascii="Cambria" w:hAnsi="Cambria"/>
          <w:color w:val="222222"/>
          <w:sz w:val="20"/>
          <w:u w:val="single"/>
        </w:rPr>
        <w:t>Conclusión</w:t>
      </w:r>
    </w:p>
    <w:p w14:paraId="4AA8309E" w14:textId="77777777" w:rsidR="007B04C0" w:rsidRPr="00F75CC4" w:rsidRDefault="007B04C0" w:rsidP="007B04C0">
      <w:pPr>
        <w:spacing w:after="0" w:line="240" w:lineRule="auto"/>
        <w:contextualSpacing/>
        <w:jc w:val="both"/>
        <w:rPr>
          <w:rFonts w:ascii="Cambria" w:eastAsia="Times New Roman" w:hAnsi="Cambria" w:cs="Times New Roman"/>
          <w:color w:val="222222"/>
          <w:sz w:val="20"/>
          <w:szCs w:val="20"/>
          <w:u w:val="single"/>
        </w:rPr>
      </w:pPr>
    </w:p>
    <w:p w14:paraId="315E0673" w14:textId="77777777" w:rsidR="007B04C0" w:rsidRPr="00F75CC4" w:rsidRDefault="007B04C0" w:rsidP="007B04C0">
      <w:pPr>
        <w:spacing w:after="0" w:line="240" w:lineRule="auto"/>
        <w:contextualSpacing/>
        <w:jc w:val="both"/>
        <w:rPr>
          <w:rFonts w:ascii="Cambria" w:eastAsia="Times New Roman" w:hAnsi="Cambria" w:cs="Times New Roman"/>
          <w:color w:val="222222"/>
          <w:sz w:val="20"/>
          <w:szCs w:val="20"/>
          <w:u w:val="single"/>
        </w:rPr>
      </w:pPr>
      <w:r>
        <w:rPr>
          <w:rFonts w:ascii="Cambria" w:hAnsi="Cambria"/>
          <w:color w:val="222222"/>
          <w:sz w:val="20"/>
          <w:u w:val="single"/>
        </w:rPr>
        <w:t>En conclusión, Argelia desea destacar los siguientes puntos:</w:t>
      </w:r>
    </w:p>
    <w:p w14:paraId="7F2A3693" w14:textId="77777777" w:rsidR="007B04C0" w:rsidRPr="00F75CC4" w:rsidRDefault="007B04C0" w:rsidP="007B04C0">
      <w:pPr>
        <w:spacing w:after="0" w:line="240" w:lineRule="auto"/>
        <w:contextualSpacing/>
        <w:jc w:val="both"/>
        <w:rPr>
          <w:rFonts w:ascii="Cambria" w:eastAsia="Times New Roman" w:hAnsi="Cambria" w:cs="Times New Roman"/>
          <w:color w:val="222222"/>
          <w:sz w:val="20"/>
          <w:szCs w:val="20"/>
          <w:u w:val="single"/>
        </w:rPr>
      </w:pPr>
    </w:p>
    <w:p w14:paraId="117CAC93" w14:textId="77777777" w:rsidR="007B04C0" w:rsidRPr="00F75CC4" w:rsidRDefault="007B04C0" w:rsidP="007B04C0">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Pr>
          <w:rFonts w:ascii="Cambria" w:hAnsi="Cambria"/>
          <w:color w:val="222222"/>
          <w:sz w:val="20"/>
          <w:u w:val="single"/>
        </w:rPr>
        <w:t>En 2009, Argelia operó estrictamente dentro de su cuota nacional y sus autorizaciones de pesca.</w:t>
      </w:r>
    </w:p>
    <w:p w14:paraId="76F550F3" w14:textId="77777777" w:rsidR="007B04C0" w:rsidRPr="00F75CC4" w:rsidRDefault="007B04C0" w:rsidP="007B04C0">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Pr>
          <w:rFonts w:ascii="Cambria" w:hAnsi="Cambria"/>
          <w:color w:val="222222"/>
          <w:sz w:val="20"/>
          <w:u w:val="single"/>
        </w:rPr>
        <w:t>La investigación judicial confirmó la existencia de autorizaciones previas para la transferencia.</w:t>
      </w:r>
    </w:p>
    <w:p w14:paraId="3C2F7A68" w14:textId="77777777" w:rsidR="007B04C0" w:rsidRPr="00F75CC4" w:rsidRDefault="007B04C0" w:rsidP="007B04C0">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Pr>
          <w:rFonts w:ascii="Cambria" w:hAnsi="Cambria"/>
          <w:color w:val="222222"/>
          <w:sz w:val="20"/>
          <w:u w:val="single"/>
        </w:rPr>
        <w:t>Las medidas adoptadas por las autoridades, en particular la liberación preventiva del atún rojo, demuestran el compromiso constante de Argelia con la conservación de este recurso (atún rojo).</w:t>
      </w:r>
    </w:p>
    <w:p w14:paraId="0477B2A3" w14:textId="77777777" w:rsidR="007B04C0" w:rsidRPr="00F75CC4" w:rsidRDefault="007B04C0" w:rsidP="007B04C0">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Pr>
          <w:rFonts w:ascii="Cambria" w:hAnsi="Cambria"/>
          <w:color w:val="222222"/>
          <w:sz w:val="20"/>
          <w:u w:val="single"/>
        </w:rPr>
        <w:t>No se constató ninguna infracción ni contravención de las Recomendaciones de ICCAT durante todo el procedimiento.</w:t>
      </w:r>
    </w:p>
    <w:p w14:paraId="7F0CDC4C" w14:textId="77777777" w:rsidR="007B04C0" w:rsidRPr="00F75CC4" w:rsidRDefault="007B04C0" w:rsidP="007B04C0">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Pr>
          <w:rFonts w:ascii="Cambria" w:hAnsi="Cambria"/>
          <w:color w:val="222222"/>
          <w:sz w:val="20"/>
          <w:u w:val="single"/>
        </w:rPr>
        <w:t>El veredicto judicial definitivo de 2015 exoneró por completo a las partes implicadas.</w:t>
      </w:r>
    </w:p>
    <w:p w14:paraId="2B6C3B95" w14:textId="77777777" w:rsidR="007B04C0" w:rsidRPr="00F75CC4" w:rsidRDefault="007B04C0" w:rsidP="007B04C0">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Pr>
          <w:rFonts w:ascii="Cambria" w:hAnsi="Cambria"/>
          <w:color w:val="222222"/>
          <w:sz w:val="20"/>
          <w:u w:val="single"/>
        </w:rPr>
        <w:t>En cuanto a las capturas de atún rojo por buques argelinos con destino a instalaciones de engorde en otros países, las cantidades en cuestión han sido objeto de una liberación in vivo. Esta decisión, confirmada por las delegaciones de las Partes contratantes (CPC) de las granjas de destino, se tomó a pesar de que no se había constatado ninguna infracción ni pesca ilegal por parte de estos buques. A falta de un precedente normativo claro sobre la actividad de transferencia (exportación) en el mar, la administración pesquera optó por un enfoque preventivo. Así pues, como medida de precaución y a la espera de las aclaraciones necesarias, suspendió la expedición del resto de los documentos de captura (BCD) para el año 2009 y colaboró con las CPC correspondientes para proceder a la liberación de las capturas. (En total, se liberaron 810 t de atún rojo).</w:t>
      </w:r>
    </w:p>
    <w:p w14:paraId="72369339" w14:textId="77777777" w:rsidR="007B04C0" w:rsidRPr="00F75CC4" w:rsidRDefault="007B04C0" w:rsidP="007B04C0">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Pr>
          <w:rFonts w:ascii="Cambria" w:hAnsi="Cambria"/>
          <w:color w:val="222222"/>
          <w:sz w:val="20"/>
          <w:u w:val="single"/>
        </w:rPr>
        <w:t>Cabe informar al Comité de que, durante los años 2009 y 2010, la Comisión y la Secretaría plantearon en varias ocasiones, en las reuniones celebradas en 2009 y 2010, su preocupación por los retrasos en la expedición, transmisión y cumplimentación de los documentos de captura (BCD) por parte de varias CPC. Aunque se han realizado esfuerzos para remediar esta situación y cumplir con las recomendaciones de ICCAT, no se ha aplicado ningún mecanismo para sancionar estos retrasos.</w:t>
      </w:r>
    </w:p>
    <w:p w14:paraId="32BAF894" w14:textId="77777777" w:rsidR="007B04C0" w:rsidRPr="00F75CC4" w:rsidRDefault="007B04C0" w:rsidP="007B04C0">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Pr>
          <w:rFonts w:ascii="Cambria" w:hAnsi="Cambria"/>
          <w:color w:val="222222"/>
          <w:sz w:val="20"/>
          <w:u w:val="single"/>
        </w:rPr>
        <w:t>A diferencia de las demás Partes contratantes, Argelia ha adoptado disposiciones específicas relativas a la liberación de las capturas de atún rojo transferidas para el año 2009. Esta medida preventiva, justificada por la necesidad de mejorar y adaptar los procedimientos comerciales, tenía como objetivo expreso garantizar el estricto cumplimiento de todos los requisitos reglamentarios nacionales e internacionales aplicables.</w:t>
      </w:r>
    </w:p>
    <w:p w14:paraId="49DF1DCE" w14:textId="77777777" w:rsidR="007B04C0" w:rsidRPr="00F75CC4" w:rsidRDefault="007B04C0" w:rsidP="007B04C0">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Pr>
          <w:rFonts w:ascii="Cambria" w:hAnsi="Cambria"/>
          <w:color w:val="222222"/>
          <w:sz w:val="20"/>
          <w:u w:val="single"/>
        </w:rPr>
        <w:t xml:space="preserve">La promulgación de un texto normativo el 19 de abril de 2010, en el que se definen las cuotas de atún rojo y las condiciones para su puesta en vigor, constituyó la piedra angular del dispositivo nacional. Este ha sido objeto de importantes modificaciones y mejoras a lo largo de nueve (9) </w:t>
      </w:r>
      <w:r>
        <w:rPr>
          <w:rFonts w:ascii="Cambria" w:hAnsi="Cambria"/>
          <w:color w:val="222222"/>
          <w:sz w:val="20"/>
          <w:u w:val="single"/>
        </w:rPr>
        <w:lastRenderedPageBreak/>
        <w:t>revisiones (2012 a 2022), lo que refleja un compromiso constante por optimizar el seguimiento de la actividad e integrar oportunamente la evolución de las recomendaciones de ICCAT.</w:t>
      </w:r>
    </w:p>
    <w:p w14:paraId="0F875216" w14:textId="77777777" w:rsidR="007B04C0" w:rsidRPr="00F75CC4" w:rsidRDefault="007B04C0" w:rsidP="007B04C0">
      <w:pPr>
        <w:spacing w:after="0" w:line="240" w:lineRule="auto"/>
        <w:contextualSpacing/>
        <w:jc w:val="both"/>
        <w:rPr>
          <w:rFonts w:ascii="Cambria" w:eastAsia="Times New Roman" w:hAnsi="Cambria" w:cs="Times New Roman"/>
          <w:color w:val="222222"/>
          <w:sz w:val="20"/>
          <w:szCs w:val="20"/>
          <w:u w:val="single"/>
        </w:rPr>
      </w:pPr>
    </w:p>
    <w:p w14:paraId="5564DF32" w14:textId="77777777" w:rsidR="007B04C0" w:rsidRDefault="007B04C0" w:rsidP="007B04C0">
      <w:pPr>
        <w:spacing w:after="0" w:line="240" w:lineRule="auto"/>
        <w:contextualSpacing/>
        <w:jc w:val="both"/>
        <w:rPr>
          <w:rFonts w:ascii="Cambria" w:eastAsia="Times New Roman" w:hAnsi="Cambria" w:cs="Times New Roman"/>
          <w:color w:val="222222"/>
          <w:sz w:val="20"/>
          <w:szCs w:val="20"/>
          <w:u w:val="single"/>
        </w:rPr>
      </w:pPr>
      <w:r>
        <w:rPr>
          <w:rFonts w:ascii="Cambria" w:hAnsi="Cambria"/>
          <w:color w:val="222222"/>
          <w:sz w:val="20"/>
          <w:u w:val="single"/>
        </w:rPr>
        <w:t xml:space="preserve">En vista de lo anterior, y teniendo en cuenta el tratamiento riguroso, completo y transparente aplicado por Argelia, consideramos que este asunto no puede constituir un caso de posible incumplimiento y que ha sido resuelto definitivamente. </w:t>
      </w:r>
    </w:p>
    <w:p w14:paraId="19D36CC4" w14:textId="77777777" w:rsidR="007B04C0" w:rsidRPr="00F75CC4" w:rsidRDefault="007B04C0" w:rsidP="007B04C0">
      <w:pPr>
        <w:spacing w:after="0" w:line="240" w:lineRule="auto"/>
        <w:contextualSpacing/>
        <w:jc w:val="both"/>
        <w:rPr>
          <w:rFonts w:ascii="Cambria" w:eastAsia="Times New Roman" w:hAnsi="Cambria" w:cs="Times New Roman"/>
          <w:sz w:val="20"/>
          <w:szCs w:val="20"/>
          <w:u w:val="single"/>
        </w:rPr>
      </w:pPr>
    </w:p>
    <w:p w14:paraId="61998F6D" w14:textId="77777777" w:rsidR="00892CE8" w:rsidRPr="00097901" w:rsidRDefault="00892CE8" w:rsidP="00240776">
      <w:pPr>
        <w:spacing w:after="0" w:line="240" w:lineRule="auto"/>
        <w:jc w:val="both"/>
        <w:rPr>
          <w:rFonts w:ascii="Cambria" w:eastAsia="Times New Roman" w:hAnsi="Cambria" w:cs="Times New Roman"/>
          <w:sz w:val="20"/>
          <w:szCs w:val="20"/>
        </w:rPr>
      </w:pPr>
    </w:p>
    <w:p w14:paraId="077A60B9" w14:textId="4E019B16" w:rsidR="00DE003E" w:rsidRPr="00097901" w:rsidRDefault="00DE003E" w:rsidP="00240776">
      <w:pPr>
        <w:spacing w:after="0" w:line="240" w:lineRule="auto"/>
        <w:jc w:val="both"/>
        <w:rPr>
          <w:rFonts w:ascii="Cambria" w:eastAsia="Times New Roman" w:hAnsi="Cambria" w:cs="Times New Roman"/>
          <w:b/>
          <w:bCs/>
          <w:sz w:val="20"/>
          <w:szCs w:val="20"/>
        </w:rPr>
      </w:pPr>
      <w:r w:rsidRPr="00097901">
        <w:rPr>
          <w:rFonts w:ascii="Cambria" w:hAnsi="Cambria"/>
          <w:b/>
          <w:sz w:val="20"/>
          <w:szCs w:val="20"/>
        </w:rPr>
        <w:t xml:space="preserve">A Mauritania: </w:t>
      </w:r>
    </w:p>
    <w:p w14:paraId="1E1DF61D" w14:textId="77777777" w:rsidR="00240776" w:rsidRPr="00097901" w:rsidRDefault="00240776" w:rsidP="00240776">
      <w:pPr>
        <w:spacing w:after="0" w:line="240" w:lineRule="auto"/>
        <w:jc w:val="both"/>
        <w:rPr>
          <w:rFonts w:ascii="Cambria" w:eastAsia="Times New Roman" w:hAnsi="Cambria" w:cs="Times New Roman"/>
          <w:b/>
          <w:bCs/>
          <w:sz w:val="20"/>
          <w:szCs w:val="20"/>
        </w:rPr>
      </w:pPr>
    </w:p>
    <w:p w14:paraId="7CDD3AD9" w14:textId="4F064139" w:rsidR="00DE003E" w:rsidRPr="00097901" w:rsidRDefault="00C06B4A" w:rsidP="00240776">
      <w:pPr>
        <w:spacing w:after="0" w:line="240" w:lineRule="auto"/>
        <w:jc w:val="both"/>
        <w:rPr>
          <w:rFonts w:ascii="Cambria" w:eastAsia="Times New Roman" w:hAnsi="Cambria" w:cs="Times New Roman"/>
          <w:sz w:val="20"/>
          <w:szCs w:val="20"/>
        </w:rPr>
      </w:pPr>
      <w:r w:rsidRPr="00097901">
        <w:rPr>
          <w:rFonts w:ascii="Cambria" w:hAnsi="Cambria"/>
          <w:sz w:val="20"/>
          <w:szCs w:val="20"/>
        </w:rPr>
        <w:t xml:space="preserve">Mauritania podría explicar cómo implementa y cumple con </w:t>
      </w:r>
      <w:hyperlink r:id="rId7" w:history="1">
        <w:r w:rsidRPr="00097901">
          <w:rPr>
            <w:rStyle w:val="Hyperlink"/>
            <w:rFonts w:ascii="Cambria" w:hAnsi="Cambria"/>
            <w:i/>
            <w:iCs/>
            <w:sz w:val="20"/>
            <w:szCs w:val="20"/>
            <w:u w:val="none"/>
          </w:rPr>
          <w:t>Recomendación de ICCAT para sobre la prohibición de descarte de túnidos tropicales capturados por los cerqueros</w:t>
        </w:r>
        <w:r w:rsidRPr="00097901">
          <w:rPr>
            <w:rStyle w:val="Hyperlink"/>
            <w:rFonts w:ascii="Cambria" w:hAnsi="Cambria"/>
            <w:sz w:val="20"/>
            <w:szCs w:val="20"/>
            <w:u w:val="none"/>
          </w:rPr>
          <w:t xml:space="preserve">  (Rec. 17-01)</w:t>
        </w:r>
      </w:hyperlink>
      <w:r w:rsidRPr="00097901">
        <w:rPr>
          <w:rFonts w:ascii="Cambria" w:hAnsi="Cambria"/>
          <w:sz w:val="20"/>
          <w:szCs w:val="20"/>
        </w:rPr>
        <w:t xml:space="preserve">, a la luz del </w:t>
      </w:r>
      <w:hyperlink r:id="rId8" w:history="1">
        <w:r w:rsidRPr="00097901">
          <w:rPr>
            <w:rStyle w:val="Hyperlink"/>
            <w:rFonts w:ascii="Cambria" w:hAnsi="Cambria"/>
            <w:sz w:val="20"/>
            <w:szCs w:val="20"/>
            <w:u w:val="none"/>
          </w:rPr>
          <w:t>Decreto n°2018-088</w:t>
        </w:r>
      </w:hyperlink>
      <w:r w:rsidRPr="00097901">
        <w:rPr>
          <w:rFonts w:ascii="Cambria" w:hAnsi="Cambria"/>
          <w:sz w:val="20"/>
          <w:szCs w:val="20"/>
        </w:rPr>
        <w:t>, que parece establecer una talla mínima para el patudo y que podría entrar en contradicción con la prohibición de descartar túnidos tropicales.</w:t>
      </w:r>
    </w:p>
    <w:p w14:paraId="1B58123E" w14:textId="77777777" w:rsidR="00947ED5" w:rsidRPr="00097901" w:rsidRDefault="00947ED5" w:rsidP="00240776">
      <w:pPr>
        <w:spacing w:after="0" w:line="240" w:lineRule="auto"/>
        <w:jc w:val="both"/>
        <w:rPr>
          <w:rFonts w:ascii="Cambria" w:eastAsia="Times New Roman" w:hAnsi="Cambria" w:cs="Times New Roman"/>
          <w:sz w:val="20"/>
          <w:szCs w:val="20"/>
        </w:rPr>
      </w:pPr>
    </w:p>
    <w:p w14:paraId="59F2FA00" w14:textId="77777777" w:rsidR="00892CE8" w:rsidRPr="00097901" w:rsidRDefault="00892CE8" w:rsidP="00240776">
      <w:pPr>
        <w:spacing w:after="0" w:line="240" w:lineRule="auto"/>
        <w:jc w:val="both"/>
        <w:rPr>
          <w:rFonts w:ascii="Cambria" w:eastAsia="Times New Roman" w:hAnsi="Cambria" w:cs="Times New Roman"/>
          <w:sz w:val="20"/>
          <w:szCs w:val="20"/>
        </w:rPr>
      </w:pPr>
    </w:p>
    <w:p w14:paraId="4E278606" w14:textId="142CBAC5" w:rsidR="00DE003E" w:rsidRPr="00097901" w:rsidRDefault="00947ED5" w:rsidP="00240776">
      <w:pPr>
        <w:spacing w:after="0" w:line="240" w:lineRule="auto"/>
        <w:jc w:val="both"/>
        <w:rPr>
          <w:rFonts w:ascii="Cambria" w:eastAsia="Times New Roman" w:hAnsi="Cambria" w:cs="Times New Roman"/>
          <w:b/>
          <w:bCs/>
          <w:color w:val="222222"/>
          <w:sz w:val="20"/>
          <w:szCs w:val="20"/>
        </w:rPr>
      </w:pPr>
      <w:bookmarkStart w:id="1" w:name="_Hlk181565530"/>
      <w:r w:rsidRPr="00097901">
        <w:rPr>
          <w:rFonts w:ascii="Cambria" w:hAnsi="Cambria"/>
          <w:b/>
          <w:sz w:val="20"/>
          <w:szCs w:val="20"/>
        </w:rPr>
        <w:t xml:space="preserve">A </w:t>
      </w:r>
      <w:r w:rsidRPr="00097901">
        <w:rPr>
          <w:rFonts w:ascii="Cambria" w:hAnsi="Cambria"/>
          <w:b/>
          <w:bCs/>
          <w:sz w:val="20"/>
          <w:szCs w:val="20"/>
        </w:rPr>
        <w:t>México</w:t>
      </w:r>
      <w:r w:rsidRPr="00097901">
        <w:rPr>
          <w:rFonts w:ascii="Cambria" w:hAnsi="Cambria"/>
          <w:b/>
          <w:sz w:val="20"/>
          <w:szCs w:val="20"/>
        </w:rPr>
        <w:t>:</w:t>
      </w:r>
    </w:p>
    <w:p w14:paraId="47D7137E" w14:textId="77777777" w:rsidR="00240776" w:rsidRPr="00097901" w:rsidRDefault="00240776" w:rsidP="00240776">
      <w:pPr>
        <w:spacing w:after="0" w:line="240" w:lineRule="auto"/>
        <w:jc w:val="both"/>
        <w:rPr>
          <w:rFonts w:ascii="Cambria" w:eastAsia="Times New Roman" w:hAnsi="Cambria" w:cs="Times New Roman"/>
          <w:b/>
          <w:bCs/>
          <w:sz w:val="20"/>
          <w:szCs w:val="20"/>
        </w:rPr>
      </w:pPr>
    </w:p>
    <w:p w14:paraId="5D4D834C" w14:textId="2703828B" w:rsidR="00DE003E" w:rsidRPr="00097901" w:rsidRDefault="00C06B4A" w:rsidP="00240776">
      <w:pPr>
        <w:spacing w:after="0" w:line="240" w:lineRule="auto"/>
        <w:jc w:val="both"/>
        <w:rPr>
          <w:rFonts w:ascii="Cambria" w:eastAsia="Times New Roman" w:hAnsi="Cambria" w:cs="Times New Roman"/>
          <w:color w:val="222222"/>
          <w:sz w:val="20"/>
          <w:szCs w:val="20"/>
        </w:rPr>
      </w:pPr>
      <w:r w:rsidRPr="00097901">
        <w:rPr>
          <w:rFonts w:ascii="Cambria" w:hAnsi="Cambria"/>
          <w:sz w:val="20"/>
          <w:szCs w:val="20"/>
        </w:rPr>
        <w:t xml:space="preserve">México podría explicar cómo implementa y cumple la prohibición de retener y desembarcar tiburones oceánicos </w:t>
      </w:r>
      <w:r w:rsidR="002B6294">
        <w:rPr>
          <w:rFonts w:ascii="Cambria" w:hAnsi="Cambria"/>
          <w:sz w:val="20"/>
          <w:szCs w:val="20"/>
        </w:rPr>
        <w:t>establecida en</w:t>
      </w:r>
      <w:r w:rsidRPr="00097901">
        <w:rPr>
          <w:rFonts w:ascii="Cambria" w:hAnsi="Cambria"/>
          <w:sz w:val="20"/>
          <w:szCs w:val="20"/>
        </w:rPr>
        <w:t xml:space="preserve"> la </w:t>
      </w:r>
      <w:hyperlink r:id="rId9" w:history="1">
        <w:r w:rsidRPr="00097901">
          <w:rPr>
            <w:rStyle w:val="Hyperlink"/>
            <w:rFonts w:ascii="Cambria" w:hAnsi="Cambria"/>
            <w:sz w:val="20"/>
            <w:szCs w:val="20"/>
            <w:u w:val="none"/>
          </w:rPr>
          <w:t>R</w:t>
        </w:r>
        <w:r w:rsidRPr="00097901">
          <w:rPr>
            <w:rStyle w:val="Hyperlink"/>
            <w:rFonts w:ascii="Cambria" w:hAnsi="Cambria"/>
            <w:i/>
            <w:iCs/>
            <w:sz w:val="20"/>
            <w:szCs w:val="20"/>
            <w:u w:val="none"/>
          </w:rPr>
          <w:t>ecomendación de ICCAT sobre la conservación de los tiburones oceánicos capturados en asociación con las pesquerías en la zona del Convenio de ICCAT</w:t>
        </w:r>
        <w:r w:rsidRPr="00097901">
          <w:rPr>
            <w:rStyle w:val="Hyperlink"/>
            <w:rFonts w:ascii="Cambria" w:hAnsi="Cambria"/>
            <w:sz w:val="20"/>
            <w:szCs w:val="20"/>
            <w:u w:val="none"/>
          </w:rPr>
          <w:t xml:space="preserve"> (Rec. 10-07)</w:t>
        </w:r>
      </w:hyperlink>
      <w:r w:rsidRPr="00097901">
        <w:rPr>
          <w:rFonts w:ascii="Cambria" w:hAnsi="Cambria"/>
          <w:color w:val="222222"/>
          <w:sz w:val="20"/>
          <w:szCs w:val="20"/>
        </w:rPr>
        <w:t>, a la luz de sus declaraciones de desembarque de tiburón oceánico.</w:t>
      </w:r>
    </w:p>
    <w:bookmarkEnd w:id="1"/>
    <w:p w14:paraId="0D54597D" w14:textId="77777777" w:rsidR="00947ED5" w:rsidRPr="00097901" w:rsidRDefault="00947ED5" w:rsidP="00240776">
      <w:pPr>
        <w:spacing w:after="0" w:line="240" w:lineRule="auto"/>
        <w:jc w:val="both"/>
        <w:rPr>
          <w:rFonts w:ascii="Cambria" w:eastAsia="Times New Roman" w:hAnsi="Cambria" w:cs="Times New Roman"/>
          <w:color w:val="222222"/>
          <w:sz w:val="20"/>
          <w:szCs w:val="20"/>
        </w:rPr>
      </w:pPr>
    </w:p>
    <w:p w14:paraId="7ED93C3F" w14:textId="6D20C172" w:rsidR="002A61B7" w:rsidRPr="00097901" w:rsidRDefault="002A61B7" w:rsidP="002A61B7">
      <w:pPr>
        <w:spacing w:after="0" w:line="240" w:lineRule="auto"/>
        <w:jc w:val="both"/>
        <w:rPr>
          <w:rFonts w:ascii="Cambria" w:eastAsia="Times New Roman" w:hAnsi="Cambria" w:cs="Times New Roman"/>
          <w:color w:val="222222"/>
          <w:sz w:val="20"/>
          <w:szCs w:val="20"/>
        </w:rPr>
      </w:pPr>
      <w:bookmarkStart w:id="2" w:name="_Hlk181565837"/>
      <w:r w:rsidRPr="00097901">
        <w:rPr>
          <w:rFonts w:ascii="Cambria" w:hAnsi="Cambria"/>
          <w:b/>
          <w:i/>
          <w:color w:val="222222"/>
          <w:sz w:val="20"/>
          <w:szCs w:val="20"/>
        </w:rPr>
        <w:t>Respuesta:</w:t>
      </w:r>
      <w:r w:rsidRPr="00097901">
        <w:rPr>
          <w:rFonts w:ascii="Cambria" w:hAnsi="Cambria"/>
          <w:b/>
          <w:color w:val="222222"/>
          <w:sz w:val="20"/>
          <w:szCs w:val="20"/>
        </w:rPr>
        <w:t xml:space="preserve">  </w:t>
      </w:r>
      <w:r w:rsidRPr="00097901">
        <w:rPr>
          <w:rFonts w:ascii="Cambria" w:hAnsi="Cambria"/>
          <w:color w:val="222222"/>
          <w:sz w:val="20"/>
          <w:szCs w:val="20"/>
        </w:rPr>
        <w:t>En pleno cumplimiento a lo comprometido por México durante la pasada 24ª Reunión extraordinaria de la Comisión Internacional para la Conservación del Atún Atlántico (ICCAT) celebrada en Limassol, Chipre, 11-18 de noviembre de 2024, se ha establecido lo siguiente:</w:t>
      </w:r>
    </w:p>
    <w:p w14:paraId="7AFC1C26" w14:textId="77777777" w:rsidR="001E53C4" w:rsidRPr="00097901" w:rsidRDefault="001E53C4" w:rsidP="002A61B7">
      <w:pPr>
        <w:spacing w:after="0" w:line="240" w:lineRule="auto"/>
        <w:jc w:val="both"/>
        <w:rPr>
          <w:rFonts w:ascii="Cambria" w:eastAsia="Times New Roman" w:hAnsi="Cambria" w:cs="Times New Roman"/>
          <w:color w:val="222222"/>
          <w:sz w:val="20"/>
          <w:szCs w:val="20"/>
        </w:rPr>
      </w:pPr>
    </w:p>
    <w:p w14:paraId="6EE94A46" w14:textId="75417A78" w:rsidR="002A61B7" w:rsidRPr="00097901"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097901">
        <w:rPr>
          <w:rFonts w:ascii="Cambria" w:hAnsi="Cambria"/>
          <w:color w:val="222222"/>
          <w:sz w:val="20"/>
          <w:szCs w:val="20"/>
        </w:rPr>
        <w:t xml:space="preserve">El 2 de octubre de 2025 se publicó en el </w:t>
      </w:r>
      <w:r w:rsidRPr="00097901">
        <w:rPr>
          <w:rFonts w:ascii="Cambria" w:hAnsi="Cambria"/>
          <w:i/>
          <w:iCs/>
          <w:color w:val="222222"/>
          <w:sz w:val="20"/>
          <w:szCs w:val="20"/>
        </w:rPr>
        <w:t>Diario Oficial de la Federación</w:t>
      </w:r>
      <w:r w:rsidRPr="00097901">
        <w:rPr>
          <w:rFonts w:ascii="Cambria" w:hAnsi="Cambria"/>
          <w:color w:val="222222"/>
          <w:sz w:val="20"/>
          <w:szCs w:val="20"/>
        </w:rPr>
        <w:t xml:space="preserve"> (DOF) el “</w:t>
      </w:r>
      <w:r w:rsidR="001E04D8" w:rsidRPr="00097901">
        <w:rPr>
          <w:rFonts w:ascii="Cambria" w:hAnsi="Cambria"/>
          <w:color w:val="222222"/>
          <w:sz w:val="20"/>
          <w:szCs w:val="20"/>
        </w:rPr>
        <w:t xml:space="preserve">Acuerdo </w:t>
      </w:r>
      <w:r w:rsidRPr="00097901">
        <w:rPr>
          <w:rFonts w:ascii="Cambria" w:hAnsi="Cambria"/>
          <w:color w:val="222222"/>
          <w:sz w:val="20"/>
          <w:szCs w:val="20"/>
        </w:rPr>
        <w:t>por el que se establecen diversas disposiciones sobre la pesca incidental de tiburones en la pesca de túnidos por embarcaciones mayores con palangre en el golfo de México, mar Caribe y en la zona del Convenio de la Comisión Internacional para la Conservación del Atún Atlántico (ICCAT)”.</w:t>
      </w:r>
    </w:p>
    <w:p w14:paraId="06D35658" w14:textId="77777777" w:rsidR="002A61B7" w:rsidRPr="00097901" w:rsidRDefault="002A61B7" w:rsidP="002A61B7">
      <w:pPr>
        <w:pStyle w:val="ListParagraph"/>
        <w:spacing w:after="0" w:line="240" w:lineRule="auto"/>
        <w:jc w:val="both"/>
        <w:rPr>
          <w:rFonts w:ascii="Cambria" w:eastAsia="Times New Roman" w:hAnsi="Cambria" w:cs="Times New Roman"/>
          <w:color w:val="222222"/>
          <w:sz w:val="20"/>
          <w:szCs w:val="20"/>
        </w:rPr>
      </w:pPr>
      <w:r w:rsidRPr="00097901">
        <w:rPr>
          <w:rFonts w:ascii="Cambria" w:hAnsi="Cambria"/>
          <w:color w:val="222222"/>
          <w:sz w:val="20"/>
          <w:szCs w:val="20"/>
        </w:rPr>
        <w:t xml:space="preserve"> </w:t>
      </w:r>
    </w:p>
    <w:p w14:paraId="74A42BA2" w14:textId="2C3033BB" w:rsidR="002A61B7" w:rsidRPr="00097901"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097901">
        <w:rPr>
          <w:rFonts w:ascii="Cambria" w:hAnsi="Cambria"/>
          <w:color w:val="222222"/>
          <w:sz w:val="20"/>
          <w:szCs w:val="20"/>
        </w:rPr>
        <w:t xml:space="preserve">Este instrumento normativo de carácter vinculante fortalece la implementación nacional de las Recomendaciones 09-07, 10-07 y 10-08, asegurando su cumplimiento integral. </w:t>
      </w:r>
      <w:r w:rsidR="00F977BE">
        <w:rPr>
          <w:rFonts w:ascii="Cambria" w:hAnsi="Cambria"/>
          <w:color w:val="222222"/>
          <w:sz w:val="20"/>
          <w:szCs w:val="20"/>
        </w:rPr>
        <w:t>E</w:t>
      </w:r>
      <w:r w:rsidRPr="00097901">
        <w:rPr>
          <w:rFonts w:ascii="Cambria" w:hAnsi="Cambria"/>
          <w:color w:val="222222"/>
          <w:sz w:val="20"/>
          <w:szCs w:val="20"/>
        </w:rPr>
        <w:t>ntre sus principales disposiciones, el Acuerdo prohíbe retener a bordo, almacenar, transbordar y desembarcar, ya sea ejemplares enteros o en partes, de las siguientes especies capturadas incidentalmente en la zona del Convenio de lCCAT:</w:t>
      </w:r>
    </w:p>
    <w:p w14:paraId="592AD27F" w14:textId="77777777" w:rsidR="002A61B7" w:rsidRPr="00097901" w:rsidRDefault="002A61B7" w:rsidP="002A61B7">
      <w:pPr>
        <w:pStyle w:val="ListParagraph"/>
        <w:spacing w:after="0" w:line="240" w:lineRule="auto"/>
        <w:rPr>
          <w:rFonts w:ascii="Cambria" w:eastAsia="Times New Roman" w:hAnsi="Cambria" w:cs="Times New Roman"/>
          <w:color w:val="222222"/>
          <w:sz w:val="20"/>
          <w:szCs w:val="20"/>
        </w:rPr>
      </w:pPr>
    </w:p>
    <w:p w14:paraId="5ADA3AA9" w14:textId="77777777" w:rsidR="002A61B7" w:rsidRPr="00097901" w:rsidRDefault="002A61B7" w:rsidP="00892CE8">
      <w:pPr>
        <w:pStyle w:val="ListParagraph"/>
        <w:numPr>
          <w:ilvl w:val="0"/>
          <w:numId w:val="7"/>
        </w:numPr>
        <w:spacing w:after="0" w:line="240" w:lineRule="auto"/>
        <w:ind w:left="993" w:hanging="284"/>
        <w:jc w:val="both"/>
        <w:rPr>
          <w:rFonts w:ascii="Cambria" w:eastAsia="Times New Roman" w:hAnsi="Cambria" w:cs="Times New Roman"/>
          <w:color w:val="222222"/>
          <w:sz w:val="20"/>
          <w:szCs w:val="20"/>
        </w:rPr>
      </w:pPr>
      <w:r w:rsidRPr="00097901">
        <w:rPr>
          <w:rFonts w:ascii="Cambria" w:hAnsi="Cambria"/>
          <w:color w:val="222222"/>
          <w:sz w:val="20"/>
          <w:szCs w:val="20"/>
        </w:rPr>
        <w:t>Zorro ojón (</w:t>
      </w:r>
      <w:proofErr w:type="spellStart"/>
      <w:r w:rsidRPr="00097901">
        <w:rPr>
          <w:rFonts w:ascii="Cambria" w:hAnsi="Cambria"/>
          <w:i/>
          <w:iCs/>
          <w:color w:val="222222"/>
          <w:sz w:val="20"/>
          <w:szCs w:val="20"/>
        </w:rPr>
        <w:t>Alopias</w:t>
      </w:r>
      <w:proofErr w:type="spellEnd"/>
      <w:r w:rsidRPr="00097901">
        <w:rPr>
          <w:rFonts w:ascii="Cambria" w:hAnsi="Cambria"/>
          <w:i/>
          <w:iCs/>
          <w:color w:val="222222"/>
          <w:sz w:val="20"/>
          <w:szCs w:val="20"/>
        </w:rPr>
        <w:t xml:space="preserve"> </w:t>
      </w:r>
      <w:proofErr w:type="spellStart"/>
      <w:r w:rsidRPr="00097901">
        <w:rPr>
          <w:rFonts w:ascii="Cambria" w:hAnsi="Cambria"/>
          <w:i/>
          <w:iCs/>
          <w:color w:val="222222"/>
          <w:sz w:val="20"/>
          <w:szCs w:val="20"/>
        </w:rPr>
        <w:t>superciliosus</w:t>
      </w:r>
      <w:proofErr w:type="spellEnd"/>
      <w:r w:rsidRPr="00097901">
        <w:rPr>
          <w:rFonts w:ascii="Cambria" w:hAnsi="Cambria"/>
          <w:color w:val="222222"/>
          <w:sz w:val="20"/>
          <w:szCs w:val="20"/>
        </w:rPr>
        <w:t>).</w:t>
      </w:r>
    </w:p>
    <w:p w14:paraId="01094E26" w14:textId="06D216A0" w:rsidR="002A61B7" w:rsidRPr="00097901" w:rsidRDefault="002A61B7" w:rsidP="00892CE8">
      <w:pPr>
        <w:pStyle w:val="ListParagraph"/>
        <w:numPr>
          <w:ilvl w:val="0"/>
          <w:numId w:val="7"/>
        </w:numPr>
        <w:spacing w:after="0" w:line="240" w:lineRule="auto"/>
        <w:ind w:left="993" w:hanging="284"/>
        <w:jc w:val="both"/>
        <w:rPr>
          <w:rFonts w:ascii="Cambria" w:eastAsia="Times New Roman" w:hAnsi="Cambria" w:cs="Times New Roman"/>
          <w:color w:val="222222"/>
          <w:sz w:val="20"/>
          <w:szCs w:val="20"/>
        </w:rPr>
      </w:pPr>
      <w:r w:rsidRPr="00097901">
        <w:rPr>
          <w:rFonts w:ascii="Cambria" w:hAnsi="Cambria"/>
          <w:color w:val="222222"/>
          <w:sz w:val="20"/>
          <w:szCs w:val="20"/>
        </w:rPr>
        <w:t>Tiburón oceánico (</w:t>
      </w:r>
      <w:proofErr w:type="spellStart"/>
      <w:r w:rsidRPr="00097901">
        <w:rPr>
          <w:rFonts w:ascii="Cambria" w:hAnsi="Cambria"/>
          <w:i/>
          <w:iCs/>
          <w:color w:val="222222"/>
          <w:sz w:val="20"/>
          <w:szCs w:val="20"/>
        </w:rPr>
        <w:t>Carcharhinus</w:t>
      </w:r>
      <w:proofErr w:type="spellEnd"/>
      <w:r w:rsidRPr="00097901">
        <w:rPr>
          <w:rFonts w:ascii="Cambria" w:hAnsi="Cambria"/>
          <w:i/>
          <w:iCs/>
          <w:color w:val="222222"/>
          <w:sz w:val="20"/>
          <w:szCs w:val="20"/>
        </w:rPr>
        <w:t xml:space="preserve"> </w:t>
      </w:r>
      <w:proofErr w:type="spellStart"/>
      <w:r w:rsidRPr="00097901">
        <w:rPr>
          <w:rFonts w:ascii="Cambria" w:hAnsi="Cambria"/>
          <w:i/>
          <w:iCs/>
          <w:color w:val="222222"/>
          <w:sz w:val="20"/>
          <w:szCs w:val="20"/>
        </w:rPr>
        <w:t>longimanus</w:t>
      </w:r>
      <w:proofErr w:type="spellEnd"/>
      <w:r w:rsidRPr="00097901">
        <w:rPr>
          <w:rFonts w:ascii="Cambria" w:hAnsi="Cambria"/>
          <w:color w:val="222222"/>
          <w:sz w:val="20"/>
          <w:szCs w:val="20"/>
        </w:rPr>
        <w:t>)</w:t>
      </w:r>
      <w:r w:rsidR="00C878F0">
        <w:rPr>
          <w:rFonts w:ascii="Cambria" w:hAnsi="Cambria"/>
          <w:color w:val="222222"/>
          <w:sz w:val="20"/>
          <w:szCs w:val="20"/>
        </w:rPr>
        <w:t>,t</w:t>
      </w:r>
      <w:r w:rsidRPr="00097901">
        <w:rPr>
          <w:rFonts w:ascii="Cambria" w:hAnsi="Cambria"/>
          <w:color w:val="222222"/>
          <w:sz w:val="20"/>
          <w:szCs w:val="20"/>
        </w:rPr>
        <w:t xml:space="preserve">iburones del género Sphyrna ("peces martillo" o "cornudas") exceptuando de esta disposición a la especie Sphyrna </w:t>
      </w:r>
      <w:proofErr w:type="spellStart"/>
      <w:r w:rsidRPr="00097901">
        <w:rPr>
          <w:rFonts w:ascii="Cambria" w:hAnsi="Cambria"/>
          <w:color w:val="222222"/>
          <w:sz w:val="20"/>
          <w:szCs w:val="20"/>
        </w:rPr>
        <w:t>tiburo</w:t>
      </w:r>
      <w:proofErr w:type="spellEnd"/>
      <w:r w:rsidRPr="00097901">
        <w:rPr>
          <w:rFonts w:ascii="Cambria" w:hAnsi="Cambria"/>
          <w:color w:val="222222"/>
          <w:sz w:val="20"/>
          <w:szCs w:val="20"/>
        </w:rPr>
        <w:t>.</w:t>
      </w:r>
    </w:p>
    <w:p w14:paraId="5D07B8BB" w14:textId="1B2AA2EF" w:rsidR="002A61B7" w:rsidRPr="00097901" w:rsidRDefault="002A61B7" w:rsidP="00892CE8">
      <w:pPr>
        <w:pStyle w:val="ListParagraph"/>
        <w:numPr>
          <w:ilvl w:val="0"/>
          <w:numId w:val="7"/>
        </w:numPr>
        <w:spacing w:after="0" w:line="240" w:lineRule="auto"/>
        <w:ind w:left="993" w:hanging="284"/>
        <w:jc w:val="both"/>
        <w:rPr>
          <w:rFonts w:ascii="Cambria" w:eastAsia="Times New Roman" w:hAnsi="Cambria" w:cs="Times New Roman"/>
          <w:color w:val="222222"/>
          <w:sz w:val="20"/>
          <w:szCs w:val="20"/>
        </w:rPr>
      </w:pPr>
      <w:r w:rsidRPr="00097901">
        <w:rPr>
          <w:rFonts w:ascii="Cambria" w:hAnsi="Cambria"/>
          <w:color w:val="222222"/>
          <w:sz w:val="20"/>
          <w:szCs w:val="20"/>
        </w:rPr>
        <w:t>Tiburón jaquetón (</w:t>
      </w:r>
      <w:proofErr w:type="spellStart"/>
      <w:r w:rsidRPr="00097901">
        <w:rPr>
          <w:rFonts w:ascii="Cambria" w:hAnsi="Cambria"/>
          <w:i/>
          <w:iCs/>
          <w:color w:val="222222"/>
          <w:sz w:val="20"/>
          <w:szCs w:val="20"/>
        </w:rPr>
        <w:t>Carcharhinus</w:t>
      </w:r>
      <w:proofErr w:type="spellEnd"/>
      <w:r w:rsidRPr="00097901">
        <w:rPr>
          <w:rFonts w:ascii="Cambria" w:hAnsi="Cambria"/>
          <w:i/>
          <w:iCs/>
          <w:color w:val="222222"/>
          <w:sz w:val="20"/>
          <w:szCs w:val="20"/>
        </w:rPr>
        <w:t xml:space="preserve"> </w:t>
      </w:r>
      <w:proofErr w:type="spellStart"/>
      <w:r w:rsidRPr="00097901">
        <w:rPr>
          <w:rFonts w:ascii="Cambria" w:hAnsi="Cambria"/>
          <w:i/>
          <w:iCs/>
          <w:color w:val="222222"/>
          <w:sz w:val="20"/>
          <w:szCs w:val="20"/>
        </w:rPr>
        <w:t>falciformis</w:t>
      </w:r>
      <w:proofErr w:type="spellEnd"/>
      <w:r w:rsidRPr="00097901">
        <w:rPr>
          <w:rFonts w:ascii="Cambria" w:hAnsi="Cambria"/>
          <w:color w:val="222222"/>
          <w:sz w:val="20"/>
          <w:szCs w:val="20"/>
        </w:rPr>
        <w:t>), conocido en México como "tiburón sedoso" o "tiburón puntas negras</w:t>
      </w:r>
      <w:r w:rsidR="00B2393A">
        <w:rPr>
          <w:rFonts w:ascii="Cambria" w:hAnsi="Cambria"/>
          <w:color w:val="222222"/>
          <w:sz w:val="20"/>
          <w:szCs w:val="20"/>
        </w:rPr>
        <w:t>”.</w:t>
      </w:r>
    </w:p>
    <w:p w14:paraId="0C46CF3B" w14:textId="77777777" w:rsidR="002A61B7" w:rsidRPr="00097901" w:rsidRDefault="002A61B7" w:rsidP="002A61B7">
      <w:pPr>
        <w:pStyle w:val="ListParagraph"/>
        <w:spacing w:after="0" w:line="240" w:lineRule="auto"/>
        <w:ind w:left="1800"/>
        <w:jc w:val="both"/>
        <w:rPr>
          <w:rFonts w:ascii="Cambria" w:eastAsia="Times New Roman" w:hAnsi="Cambria" w:cs="Times New Roman"/>
          <w:color w:val="222222"/>
          <w:sz w:val="20"/>
          <w:szCs w:val="20"/>
        </w:rPr>
      </w:pPr>
    </w:p>
    <w:p w14:paraId="1388BB97" w14:textId="77777777" w:rsidR="002A61B7" w:rsidRPr="00097901"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097901">
        <w:rPr>
          <w:rFonts w:ascii="Cambria" w:hAnsi="Cambria"/>
          <w:color w:val="222222"/>
          <w:sz w:val="20"/>
          <w:szCs w:val="20"/>
        </w:rPr>
        <w:t>El Acuerdo establece que los ejemplares de tiburones indicados en el Acuerdo, así como otras especies no objetivo sujetas a régimen de protección especial que sean capturados, deberán ser liberados en las mejores condiciones de sobrevivencia, reforzando así las medidas de conservación y sostenibilidad pesquera.</w:t>
      </w:r>
    </w:p>
    <w:p w14:paraId="7F914952" w14:textId="77777777" w:rsidR="002A61B7" w:rsidRPr="00097901" w:rsidRDefault="002A61B7" w:rsidP="002A61B7">
      <w:pPr>
        <w:pStyle w:val="ListParagraph"/>
        <w:spacing w:after="0" w:line="240" w:lineRule="auto"/>
        <w:jc w:val="both"/>
        <w:rPr>
          <w:rFonts w:ascii="Cambria" w:eastAsia="Times New Roman" w:hAnsi="Cambria" w:cs="Times New Roman"/>
          <w:color w:val="222222"/>
          <w:sz w:val="20"/>
          <w:szCs w:val="20"/>
        </w:rPr>
      </w:pPr>
    </w:p>
    <w:p w14:paraId="03B6DB35" w14:textId="2E97FBAE" w:rsidR="002A61B7" w:rsidRPr="00097901"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097901">
        <w:rPr>
          <w:rFonts w:ascii="Cambria" w:hAnsi="Cambria"/>
          <w:color w:val="222222"/>
          <w:sz w:val="20"/>
          <w:szCs w:val="20"/>
        </w:rPr>
        <w:t xml:space="preserve">Las disposiciones son de observancia obligatoria para los titulares de concesiones y permisos de pesca, así como para capitanes o patrones de pesca, motoristas u operadores, pescadores y tripulantes de dichas embarcaciones y demás sujetos que realizan actividades de pesca de túnidos en aguas </w:t>
      </w:r>
      <w:r w:rsidR="005015B5">
        <w:rPr>
          <w:rFonts w:ascii="Cambria" w:hAnsi="Cambria"/>
          <w:color w:val="222222"/>
          <w:sz w:val="20"/>
          <w:szCs w:val="20"/>
        </w:rPr>
        <w:t>bajo la</w:t>
      </w:r>
      <w:r w:rsidRPr="00097901">
        <w:rPr>
          <w:rFonts w:ascii="Cambria" w:hAnsi="Cambria"/>
          <w:color w:val="222222"/>
          <w:sz w:val="20"/>
          <w:szCs w:val="20"/>
        </w:rPr>
        <w:t xml:space="preserve"> jurisdicción federal de los Estados Unidos Mexicanos del golfo de México, mar Caribe y la zona del Convenio de la Comisión Internacional para la Conservación del Atún Atlántico (ICCAT).</w:t>
      </w:r>
    </w:p>
    <w:p w14:paraId="19044305" w14:textId="77777777" w:rsidR="002A61B7" w:rsidRPr="00097901" w:rsidRDefault="002A61B7" w:rsidP="002A61B7">
      <w:pPr>
        <w:spacing w:after="0" w:line="240" w:lineRule="auto"/>
        <w:jc w:val="both"/>
        <w:rPr>
          <w:rFonts w:ascii="Cambria" w:eastAsia="Times New Roman" w:hAnsi="Cambria" w:cs="Times New Roman"/>
          <w:color w:val="222222"/>
          <w:sz w:val="20"/>
          <w:szCs w:val="20"/>
        </w:rPr>
      </w:pPr>
    </w:p>
    <w:p w14:paraId="538BC439" w14:textId="77777777" w:rsidR="002A61B7" w:rsidRPr="00097901"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097901">
        <w:rPr>
          <w:rFonts w:ascii="Cambria" w:hAnsi="Cambria"/>
          <w:color w:val="222222"/>
          <w:sz w:val="20"/>
          <w:szCs w:val="20"/>
        </w:rPr>
        <w:t>De igual manera, se prevé que las personas que incumplan estas disposiciones serán sujetas a las sanciones establecidas en la Ley General de Pesca y Acuacultura Sustentables y demás disposiciones legales aplicables.</w:t>
      </w:r>
    </w:p>
    <w:p w14:paraId="33F39B65" w14:textId="77777777" w:rsidR="002A61B7" w:rsidRPr="00097901" w:rsidRDefault="002A61B7" w:rsidP="002A61B7">
      <w:pPr>
        <w:pStyle w:val="ListParagraph"/>
        <w:spacing w:after="0" w:line="240" w:lineRule="auto"/>
        <w:rPr>
          <w:rFonts w:ascii="Cambria" w:eastAsia="Times New Roman" w:hAnsi="Cambria" w:cs="Times New Roman"/>
          <w:color w:val="222222"/>
          <w:sz w:val="20"/>
          <w:szCs w:val="20"/>
        </w:rPr>
      </w:pPr>
    </w:p>
    <w:p w14:paraId="239D3F9E" w14:textId="77777777" w:rsidR="002A61B7" w:rsidRPr="00097901"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097901">
        <w:rPr>
          <w:rFonts w:ascii="Cambria" w:hAnsi="Cambria"/>
          <w:color w:val="222222"/>
          <w:sz w:val="20"/>
          <w:szCs w:val="20"/>
        </w:rPr>
        <w:t>La vigilancia del cumplimiento de este Acuerdo estará a cargo de la Secretaría de Agricultura y Desarrollo Rural (Agricultura) por conducto de CONAPESCA, así como de la Secretaría de Marina, en el ámbito de sus respectivas competencias.</w:t>
      </w:r>
    </w:p>
    <w:p w14:paraId="629E66A4" w14:textId="77777777" w:rsidR="002A61B7" w:rsidRPr="00097901" w:rsidRDefault="002A61B7" w:rsidP="002A61B7">
      <w:pPr>
        <w:pStyle w:val="ListParagraph"/>
        <w:spacing w:after="0" w:line="240" w:lineRule="auto"/>
        <w:rPr>
          <w:rFonts w:ascii="Cambria" w:eastAsia="Times New Roman" w:hAnsi="Cambria" w:cs="Times New Roman"/>
          <w:color w:val="222222"/>
          <w:sz w:val="20"/>
          <w:szCs w:val="20"/>
        </w:rPr>
      </w:pPr>
    </w:p>
    <w:p w14:paraId="71D47E09" w14:textId="53CD3E60" w:rsidR="002A61B7" w:rsidRPr="00097901"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097901">
        <w:rPr>
          <w:rFonts w:ascii="Cambria" w:hAnsi="Cambria"/>
          <w:color w:val="222222"/>
          <w:sz w:val="20"/>
          <w:szCs w:val="20"/>
        </w:rPr>
        <w:t>Además de lo antes señalado, y como ya se ha expresado en diversas ocasiones, México cuenta</w:t>
      </w:r>
      <w:r w:rsidR="002C47A2">
        <w:rPr>
          <w:rFonts w:ascii="Cambria" w:hAnsi="Cambria"/>
          <w:color w:val="222222"/>
          <w:sz w:val="20"/>
          <w:szCs w:val="20"/>
        </w:rPr>
        <w:t>,</w:t>
      </w:r>
      <w:r w:rsidRPr="00097901">
        <w:rPr>
          <w:rFonts w:ascii="Cambria" w:hAnsi="Cambria"/>
          <w:color w:val="222222"/>
          <w:sz w:val="20"/>
          <w:szCs w:val="20"/>
        </w:rPr>
        <w:t xml:space="preserve"> entre otros, con los siguientes instrumentos normativos en materia de ordenación y protección de tiburones: </w:t>
      </w:r>
    </w:p>
    <w:p w14:paraId="7FF42503" w14:textId="77777777" w:rsidR="002A61B7" w:rsidRPr="00097901" w:rsidRDefault="002A61B7" w:rsidP="002A61B7">
      <w:pPr>
        <w:pStyle w:val="ListParagraph"/>
        <w:spacing w:after="0" w:line="240" w:lineRule="auto"/>
        <w:rPr>
          <w:rFonts w:ascii="Cambria" w:eastAsia="Times New Roman" w:hAnsi="Cambria" w:cs="Times New Roman"/>
          <w:color w:val="222222"/>
          <w:sz w:val="20"/>
          <w:szCs w:val="20"/>
        </w:rPr>
      </w:pPr>
    </w:p>
    <w:p w14:paraId="543CED22" w14:textId="77777777" w:rsidR="002A61B7" w:rsidRPr="00097901" w:rsidRDefault="002A61B7" w:rsidP="002A61B7">
      <w:pPr>
        <w:pStyle w:val="ListParagraph"/>
        <w:numPr>
          <w:ilvl w:val="0"/>
          <w:numId w:val="8"/>
        </w:numPr>
        <w:spacing w:after="0" w:line="240" w:lineRule="auto"/>
        <w:jc w:val="both"/>
        <w:rPr>
          <w:rFonts w:ascii="Cambria" w:eastAsia="Times New Roman" w:hAnsi="Cambria" w:cs="Times New Roman"/>
          <w:color w:val="222222"/>
          <w:sz w:val="20"/>
          <w:szCs w:val="20"/>
        </w:rPr>
      </w:pPr>
      <w:r w:rsidRPr="00097901">
        <w:rPr>
          <w:rFonts w:ascii="Cambria" w:hAnsi="Cambria"/>
          <w:color w:val="222222"/>
          <w:sz w:val="20"/>
          <w:szCs w:val="20"/>
        </w:rPr>
        <w:t>Norma Oficial Mexicana NOM-029-PESC-2006, Pesca responsable de tiburones y rayas.  Especificaciones para su aprovechamiento.</w:t>
      </w:r>
    </w:p>
    <w:p w14:paraId="406213BC" w14:textId="77777777" w:rsidR="002A61B7" w:rsidRPr="00097901" w:rsidRDefault="002A61B7" w:rsidP="002A61B7">
      <w:pPr>
        <w:pStyle w:val="ListParagraph"/>
        <w:numPr>
          <w:ilvl w:val="0"/>
          <w:numId w:val="8"/>
        </w:numPr>
        <w:spacing w:after="0" w:line="240" w:lineRule="auto"/>
        <w:jc w:val="both"/>
        <w:rPr>
          <w:rFonts w:ascii="Cambria" w:eastAsia="Times New Roman" w:hAnsi="Cambria" w:cs="Times New Roman"/>
          <w:color w:val="222222"/>
          <w:sz w:val="20"/>
          <w:szCs w:val="20"/>
        </w:rPr>
      </w:pPr>
      <w:r w:rsidRPr="00097901">
        <w:rPr>
          <w:rFonts w:ascii="Cambria" w:hAnsi="Cambria"/>
          <w:color w:val="222222"/>
          <w:sz w:val="20"/>
          <w:szCs w:val="20"/>
        </w:rPr>
        <w:t>Periodos de veda de tiburones y rayas en el golfo de México.</w:t>
      </w:r>
    </w:p>
    <w:p w14:paraId="0D9BD9BC" w14:textId="5036E347" w:rsidR="002A61B7" w:rsidRPr="00097901" w:rsidRDefault="002A61B7" w:rsidP="002A61B7">
      <w:pPr>
        <w:pStyle w:val="ListParagraph"/>
        <w:numPr>
          <w:ilvl w:val="0"/>
          <w:numId w:val="8"/>
        </w:numPr>
        <w:spacing w:after="0" w:line="240" w:lineRule="auto"/>
        <w:jc w:val="both"/>
        <w:rPr>
          <w:rFonts w:ascii="Cambria" w:eastAsia="Times New Roman" w:hAnsi="Cambria" w:cs="Times New Roman"/>
          <w:color w:val="222222"/>
          <w:sz w:val="20"/>
          <w:szCs w:val="20"/>
        </w:rPr>
      </w:pPr>
      <w:r w:rsidRPr="00097901">
        <w:rPr>
          <w:rFonts w:ascii="Cambria" w:hAnsi="Cambria"/>
          <w:color w:val="222222"/>
          <w:sz w:val="20"/>
          <w:szCs w:val="20"/>
        </w:rPr>
        <w:t>Plan de manejo pesquero de tiburones y rayas del golfo de México y mar Caribe</w:t>
      </w:r>
    </w:p>
    <w:p w14:paraId="2EFCAAE2" w14:textId="64BA093C" w:rsidR="002A61B7" w:rsidRPr="00097901" w:rsidRDefault="002A61B7" w:rsidP="002A61B7">
      <w:pPr>
        <w:pStyle w:val="ListParagraph"/>
        <w:numPr>
          <w:ilvl w:val="0"/>
          <w:numId w:val="8"/>
        </w:numPr>
        <w:spacing w:after="0" w:line="240" w:lineRule="auto"/>
        <w:jc w:val="both"/>
        <w:rPr>
          <w:rFonts w:ascii="Cambria" w:eastAsia="Times New Roman" w:hAnsi="Cambria" w:cs="Times New Roman"/>
          <w:color w:val="222222"/>
          <w:sz w:val="20"/>
          <w:szCs w:val="20"/>
        </w:rPr>
      </w:pPr>
      <w:r w:rsidRPr="00097901">
        <w:rPr>
          <w:rFonts w:ascii="Cambria" w:hAnsi="Cambria"/>
          <w:color w:val="222222"/>
          <w:sz w:val="20"/>
          <w:szCs w:val="20"/>
        </w:rPr>
        <w:t>Plan de acción nacional para el manejo y conservación de tiburones, rayas y especies afines en México (PANMCT, segunda edición)</w:t>
      </w:r>
    </w:p>
    <w:p w14:paraId="2E3472AD" w14:textId="77777777" w:rsidR="002A61B7" w:rsidRPr="00097901" w:rsidRDefault="002A61B7" w:rsidP="002A61B7">
      <w:pPr>
        <w:pStyle w:val="ListParagraph"/>
        <w:spacing w:after="0" w:line="240" w:lineRule="auto"/>
        <w:ind w:left="1440"/>
        <w:jc w:val="both"/>
        <w:rPr>
          <w:rFonts w:ascii="Cambria" w:eastAsia="Times New Roman" w:hAnsi="Cambria" w:cs="Times New Roman"/>
          <w:color w:val="222222"/>
          <w:sz w:val="20"/>
          <w:szCs w:val="20"/>
        </w:rPr>
      </w:pPr>
    </w:p>
    <w:p w14:paraId="4A3081A3" w14:textId="3726F069" w:rsidR="002A61B7" w:rsidRPr="00097901" w:rsidRDefault="002A61B7" w:rsidP="002A61B7">
      <w:pPr>
        <w:jc w:val="both"/>
        <w:rPr>
          <w:rFonts w:ascii="Cambria" w:eastAsia="Times New Roman" w:hAnsi="Cambria" w:cs="Times New Roman"/>
          <w:sz w:val="20"/>
          <w:szCs w:val="20"/>
        </w:rPr>
      </w:pPr>
      <w:r w:rsidRPr="00097901">
        <w:rPr>
          <w:rFonts w:ascii="Cambria" w:hAnsi="Cambria"/>
          <w:sz w:val="20"/>
          <w:szCs w:val="20"/>
        </w:rPr>
        <w:t xml:space="preserve">Lo antes citado, confirma el firme compromiso de México con el cumplimiento de las obligaciones internacionales, en materia de conservación y manejo responsable de especies altamente migratorias, particularmente de ICCAT, y </w:t>
      </w:r>
      <w:r w:rsidR="00DE1680" w:rsidRPr="00097901">
        <w:rPr>
          <w:rFonts w:ascii="Cambria" w:hAnsi="Cambria"/>
          <w:sz w:val="20"/>
          <w:szCs w:val="20"/>
        </w:rPr>
        <w:t>continúa</w:t>
      </w:r>
      <w:r w:rsidRPr="00097901">
        <w:rPr>
          <w:rFonts w:ascii="Cambria" w:hAnsi="Cambria"/>
          <w:sz w:val="20"/>
          <w:szCs w:val="20"/>
        </w:rPr>
        <w:t xml:space="preserve"> fortaleciendo los mecanismos nacionales para garantizar la trazabilidad, legal procedencia y sostenibilidad de sus pesquerías</w:t>
      </w:r>
    </w:p>
    <w:p w14:paraId="7615CC21" w14:textId="77777777" w:rsidR="00E03688" w:rsidRPr="00097901" w:rsidRDefault="00E03688" w:rsidP="00240776">
      <w:pPr>
        <w:spacing w:after="0" w:line="240" w:lineRule="auto"/>
        <w:jc w:val="both"/>
        <w:rPr>
          <w:rFonts w:ascii="Cambria" w:eastAsia="Times New Roman" w:hAnsi="Cambria" w:cs="Times New Roman"/>
          <w:b/>
          <w:bCs/>
          <w:color w:val="222222"/>
          <w:sz w:val="20"/>
          <w:szCs w:val="20"/>
        </w:rPr>
      </w:pPr>
    </w:p>
    <w:p w14:paraId="01B2E2C4" w14:textId="0CECDE38" w:rsidR="00DE003E" w:rsidRPr="00097901" w:rsidRDefault="00947ED5" w:rsidP="00240776">
      <w:pPr>
        <w:spacing w:after="0" w:line="240" w:lineRule="auto"/>
        <w:jc w:val="both"/>
        <w:rPr>
          <w:rFonts w:ascii="Cambria" w:eastAsia="Times New Roman" w:hAnsi="Cambria" w:cs="Times New Roman"/>
          <w:b/>
          <w:bCs/>
          <w:color w:val="222222"/>
          <w:sz w:val="20"/>
          <w:szCs w:val="20"/>
        </w:rPr>
      </w:pPr>
      <w:r w:rsidRPr="00097901">
        <w:rPr>
          <w:rFonts w:ascii="Cambria" w:hAnsi="Cambria"/>
          <w:b/>
          <w:color w:val="222222"/>
          <w:sz w:val="20"/>
          <w:szCs w:val="20"/>
        </w:rPr>
        <w:t xml:space="preserve">Para Namibia: </w:t>
      </w:r>
    </w:p>
    <w:p w14:paraId="093B33BF" w14:textId="77777777" w:rsidR="00240776" w:rsidRPr="00097901" w:rsidRDefault="00240776" w:rsidP="00240776">
      <w:pPr>
        <w:spacing w:after="0" w:line="240" w:lineRule="auto"/>
        <w:jc w:val="both"/>
        <w:rPr>
          <w:rFonts w:ascii="Cambria" w:eastAsia="Times New Roman" w:hAnsi="Cambria" w:cs="Times New Roman"/>
          <w:b/>
          <w:bCs/>
          <w:color w:val="222222"/>
          <w:sz w:val="20"/>
          <w:szCs w:val="20"/>
        </w:rPr>
      </w:pPr>
    </w:p>
    <w:p w14:paraId="46B218BF" w14:textId="37663C59" w:rsidR="00DE003E" w:rsidRDefault="00C06B4A" w:rsidP="00240776">
      <w:pPr>
        <w:spacing w:after="0" w:line="240" w:lineRule="auto"/>
        <w:jc w:val="both"/>
        <w:rPr>
          <w:rFonts w:ascii="Cambria" w:hAnsi="Cambria"/>
          <w:color w:val="222222"/>
          <w:sz w:val="20"/>
          <w:szCs w:val="20"/>
        </w:rPr>
      </w:pPr>
      <w:r w:rsidRPr="00097901">
        <w:rPr>
          <w:rFonts w:ascii="Cambria" w:hAnsi="Cambria"/>
          <w:sz w:val="20"/>
          <w:szCs w:val="20"/>
        </w:rPr>
        <w:t xml:space="preserve">Namibia podría explicar cómo implementa y cumple con el límite de desembarque para el marrajo dientuso del Atlántico sur </w:t>
      </w:r>
      <w:r w:rsidR="00625808">
        <w:rPr>
          <w:rFonts w:ascii="Cambria" w:hAnsi="Cambria"/>
          <w:sz w:val="20"/>
          <w:szCs w:val="20"/>
        </w:rPr>
        <w:t>establecido en</w:t>
      </w:r>
      <w:r w:rsidRPr="00097901">
        <w:rPr>
          <w:rFonts w:ascii="Cambria" w:hAnsi="Cambria"/>
          <w:sz w:val="20"/>
          <w:szCs w:val="20"/>
        </w:rPr>
        <w:t xml:space="preserve"> la </w:t>
      </w:r>
      <w:hyperlink r:id="rId10" w:history="1">
        <w:r w:rsidRPr="00097901">
          <w:rPr>
            <w:rStyle w:val="Hyperlink"/>
            <w:rFonts w:ascii="Cambria" w:hAnsi="Cambria"/>
            <w:i/>
            <w:iCs/>
            <w:sz w:val="20"/>
            <w:szCs w:val="20"/>
            <w:u w:val="none"/>
          </w:rPr>
          <w:t>Recomendación de ICCAT sobre la conservación del stock de marrajo dientuso del Atlántico sur capturado en asociación con pesquerías de ICCAT</w:t>
        </w:r>
        <w:r w:rsidRPr="00097901">
          <w:rPr>
            <w:rStyle w:val="Hyperlink"/>
            <w:rFonts w:ascii="Cambria" w:hAnsi="Cambria"/>
            <w:sz w:val="20"/>
            <w:szCs w:val="20"/>
            <w:u w:val="none"/>
          </w:rPr>
          <w:t xml:space="preserve"> (Rec. 22-11)</w:t>
        </w:r>
      </w:hyperlink>
      <w:r w:rsidRPr="00097901">
        <w:rPr>
          <w:rFonts w:ascii="Cambria" w:hAnsi="Cambria"/>
          <w:color w:val="222222"/>
          <w:sz w:val="20"/>
          <w:szCs w:val="20"/>
        </w:rPr>
        <w:t xml:space="preserve">, teniendo en cuenta su exceso en los desembarques notificados para 2023. </w:t>
      </w:r>
    </w:p>
    <w:p w14:paraId="1B36EABE" w14:textId="77777777" w:rsidR="00345C5F" w:rsidRDefault="00345C5F" w:rsidP="00240776">
      <w:pPr>
        <w:spacing w:after="0" w:line="240" w:lineRule="auto"/>
        <w:jc w:val="both"/>
        <w:rPr>
          <w:rFonts w:ascii="Cambria" w:hAnsi="Cambria"/>
          <w:color w:val="222222"/>
          <w:sz w:val="20"/>
          <w:szCs w:val="20"/>
        </w:rPr>
      </w:pPr>
    </w:p>
    <w:p w14:paraId="4321B055" w14:textId="27379E34" w:rsidR="00345C5F" w:rsidRPr="00052E06" w:rsidRDefault="00345C5F" w:rsidP="00345C5F">
      <w:pPr>
        <w:spacing w:after="0" w:line="240" w:lineRule="auto"/>
        <w:jc w:val="both"/>
        <w:rPr>
          <w:rFonts w:ascii="Cambria" w:eastAsia="Times New Roman" w:hAnsi="Cambria" w:cs="Times New Roman"/>
          <w:color w:val="222222"/>
          <w:sz w:val="20"/>
          <w:szCs w:val="20"/>
          <w:u w:val="single"/>
        </w:rPr>
      </w:pPr>
      <w:r>
        <w:rPr>
          <w:rFonts w:ascii="Cambria" w:hAnsi="Cambria"/>
          <w:b/>
          <w:i/>
          <w:color w:val="222222"/>
          <w:sz w:val="20"/>
          <w:u w:val="single"/>
        </w:rPr>
        <w:t>Respuesta:</w:t>
      </w:r>
      <w:r>
        <w:rPr>
          <w:rFonts w:ascii="Cambria" w:hAnsi="Cambria"/>
          <w:b/>
          <w:color w:val="222222"/>
          <w:sz w:val="20"/>
          <w:u w:val="single"/>
        </w:rPr>
        <w:t xml:space="preserve"> </w:t>
      </w:r>
      <w:r>
        <w:rPr>
          <w:rFonts w:ascii="Cambria" w:hAnsi="Cambria"/>
          <w:color w:val="222222"/>
          <w:sz w:val="20"/>
          <w:u w:val="single"/>
        </w:rPr>
        <w:t>Namibia reconoce que sus desembarques de marrajo dientuso (</w:t>
      </w:r>
      <w:proofErr w:type="spellStart"/>
      <w:r>
        <w:rPr>
          <w:rFonts w:ascii="Cambria" w:hAnsi="Cambria"/>
          <w:i/>
          <w:iCs/>
          <w:color w:val="222222"/>
          <w:sz w:val="20"/>
          <w:u w:val="single"/>
        </w:rPr>
        <w:t>Isurus</w:t>
      </w:r>
      <w:proofErr w:type="spellEnd"/>
      <w:r>
        <w:rPr>
          <w:rFonts w:ascii="Cambria" w:hAnsi="Cambria"/>
          <w:i/>
          <w:iCs/>
          <w:color w:val="222222"/>
          <w:sz w:val="20"/>
          <w:u w:val="single"/>
        </w:rPr>
        <w:t xml:space="preserve"> </w:t>
      </w:r>
      <w:proofErr w:type="spellStart"/>
      <w:r>
        <w:rPr>
          <w:rFonts w:ascii="Cambria" w:hAnsi="Cambria"/>
          <w:i/>
          <w:iCs/>
          <w:color w:val="222222"/>
          <w:sz w:val="20"/>
          <w:u w:val="single"/>
        </w:rPr>
        <w:t>oxyrinchus</w:t>
      </w:r>
      <w:proofErr w:type="spellEnd"/>
      <w:r>
        <w:rPr>
          <w:rFonts w:ascii="Cambria" w:hAnsi="Cambria"/>
          <w:color w:val="222222"/>
          <w:sz w:val="20"/>
          <w:u w:val="single"/>
        </w:rPr>
        <w:t xml:space="preserve">) en 2024 ascendieron a un total de 250,88 t (véase la </w:t>
      </w:r>
      <w:r>
        <w:rPr>
          <w:rFonts w:ascii="Cambria" w:hAnsi="Cambria"/>
          <w:b/>
          <w:bCs/>
          <w:color w:val="222222"/>
          <w:sz w:val="20"/>
          <w:u w:val="single"/>
        </w:rPr>
        <w:t>Figura 1</w:t>
      </w:r>
      <w:r>
        <w:rPr>
          <w:rFonts w:ascii="Cambria" w:hAnsi="Cambria"/>
          <w:color w:val="222222"/>
          <w:sz w:val="20"/>
          <w:u w:val="single"/>
        </w:rPr>
        <w:t xml:space="preserve">), cumpliendo con el límite de captura de ICCAT de </w:t>
      </w:r>
      <w:r w:rsidR="00373F14">
        <w:rPr>
          <w:rFonts w:ascii="Cambria" w:hAnsi="Cambria"/>
          <w:color w:val="222222"/>
          <w:sz w:val="20"/>
          <w:u w:val="single"/>
        </w:rPr>
        <w:br/>
      </w:r>
      <w:r>
        <w:rPr>
          <w:rFonts w:ascii="Cambria" w:hAnsi="Cambria"/>
          <w:color w:val="222222"/>
          <w:sz w:val="20"/>
          <w:u w:val="single"/>
        </w:rPr>
        <w:t>256 t. A continuación, se describen las medidas que se implementaron en 2023 para limitar el exceso de captura de marrajo dientuso, junto con el contexto de las políticas nacionales y los esfuerzos de conservación vigentes.</w:t>
      </w:r>
    </w:p>
    <w:p w14:paraId="7E7673FB" w14:textId="77777777" w:rsidR="00345C5F" w:rsidRPr="00052E06" w:rsidRDefault="00345C5F" w:rsidP="00345C5F">
      <w:pPr>
        <w:spacing w:after="0" w:line="240" w:lineRule="auto"/>
        <w:jc w:val="both"/>
        <w:rPr>
          <w:rFonts w:ascii="Cambria" w:eastAsia="Times New Roman" w:hAnsi="Cambria" w:cs="Times New Roman"/>
          <w:color w:val="222222"/>
          <w:sz w:val="20"/>
          <w:szCs w:val="20"/>
          <w:u w:val="single"/>
        </w:rPr>
      </w:pPr>
    </w:p>
    <w:p w14:paraId="214C72D9" w14:textId="4B5D0FD5" w:rsidR="00345C5F" w:rsidRPr="003156DE" w:rsidRDefault="00345C5F" w:rsidP="00373F14">
      <w:pPr>
        <w:jc w:val="both"/>
        <w:rPr>
          <w:rFonts w:ascii="Cambria" w:eastAsia="Times New Roman" w:hAnsi="Cambria" w:cs="Times New Roman"/>
          <w:b/>
          <w:bCs/>
          <w:color w:val="222222"/>
          <w:sz w:val="20"/>
          <w:szCs w:val="20"/>
          <w:u w:val="single"/>
        </w:rPr>
      </w:pPr>
      <w:r w:rsidRPr="003156DE">
        <w:rPr>
          <w:rFonts w:ascii="Cambria" w:hAnsi="Cambria"/>
          <w:b/>
          <w:color w:val="222222"/>
          <w:sz w:val="20"/>
          <w:u w:val="single"/>
        </w:rPr>
        <w:t xml:space="preserve">Figura 1. </w:t>
      </w:r>
      <w:r w:rsidRPr="003156DE">
        <w:rPr>
          <w:rFonts w:ascii="Cambria" w:hAnsi="Cambria"/>
          <w:color w:val="222222"/>
          <w:sz w:val="20"/>
          <w:u w:val="single"/>
        </w:rPr>
        <w:t>Datos de desembarque comunicados para el marrajo dientuso del Atlántico sur</w:t>
      </w:r>
      <w:r w:rsidR="003156DE">
        <w:rPr>
          <w:rFonts w:ascii="Cambria" w:hAnsi="Cambria"/>
          <w:color w:val="222222"/>
          <w:sz w:val="20"/>
          <w:u w:val="single"/>
        </w:rPr>
        <w:t xml:space="preserve"> </w:t>
      </w:r>
      <w:r w:rsidRPr="003156DE">
        <w:rPr>
          <w:rFonts w:ascii="Cambria" w:hAnsi="Cambria"/>
          <w:color w:val="222222"/>
          <w:sz w:val="20"/>
          <w:u w:val="single"/>
        </w:rPr>
        <w:t>[COC_304_TRI/2025].</w:t>
      </w:r>
    </w:p>
    <w:tbl>
      <w:tblPr>
        <w:tblW w:w="5000" w:type="pct"/>
        <w:tblLook w:val="04A0" w:firstRow="1" w:lastRow="0" w:firstColumn="1" w:lastColumn="0" w:noHBand="0" w:noVBand="1"/>
      </w:tblPr>
      <w:tblGrid>
        <w:gridCol w:w="2570"/>
        <w:gridCol w:w="900"/>
        <w:gridCol w:w="900"/>
        <w:gridCol w:w="900"/>
        <w:gridCol w:w="945"/>
        <w:gridCol w:w="900"/>
        <w:gridCol w:w="968"/>
        <w:gridCol w:w="968"/>
      </w:tblGrid>
      <w:tr w:rsidR="00345C5F" w:rsidRPr="00CB23C4" w14:paraId="3E30099A" w14:textId="77777777" w:rsidTr="00CC30F2">
        <w:trPr>
          <w:trHeight w:val="113"/>
        </w:trPr>
        <w:tc>
          <w:tcPr>
            <w:tcW w:w="1420" w:type="pct"/>
            <w:tcBorders>
              <w:top w:val="single" w:sz="8" w:space="0" w:color="auto"/>
              <w:left w:val="single" w:sz="8" w:space="0" w:color="auto"/>
              <w:bottom w:val="single" w:sz="4" w:space="0" w:color="auto"/>
              <w:right w:val="single" w:sz="8" w:space="0" w:color="auto"/>
            </w:tcBorders>
            <w:noWrap/>
            <w:vAlign w:val="bottom"/>
            <w:hideMark/>
          </w:tcPr>
          <w:p w14:paraId="0CDEC2AE" w14:textId="77777777" w:rsidR="00345C5F" w:rsidRPr="00CB23C4" w:rsidRDefault="00345C5F" w:rsidP="00CC30F2">
            <w:pPr>
              <w:spacing w:after="0" w:line="240" w:lineRule="auto"/>
              <w:rPr>
                <w:rFonts w:ascii="Cambria" w:eastAsia="Times New Roman" w:hAnsi="Cambria" w:cs="Arial"/>
                <w:b/>
                <w:bCs/>
                <w:kern w:val="0"/>
                <w:sz w:val="16"/>
                <w:szCs w:val="16"/>
                <w:u w:val="single"/>
                <w14:ligatures w14:val="none"/>
              </w:rPr>
            </w:pPr>
            <w:r>
              <w:rPr>
                <w:rFonts w:ascii="Cambria" w:hAnsi="Cambria"/>
                <w:b/>
                <w:sz w:val="16"/>
                <w:u w:val="single"/>
              </w:rPr>
              <w:t> </w:t>
            </w:r>
          </w:p>
        </w:tc>
        <w:tc>
          <w:tcPr>
            <w:tcW w:w="1491" w:type="pct"/>
            <w:gridSpan w:val="3"/>
            <w:tcBorders>
              <w:top w:val="single" w:sz="8" w:space="0" w:color="auto"/>
              <w:left w:val="nil"/>
              <w:bottom w:val="single" w:sz="4" w:space="0" w:color="auto"/>
              <w:right w:val="single" w:sz="8" w:space="0" w:color="000000"/>
            </w:tcBorders>
            <w:noWrap/>
            <w:vAlign w:val="bottom"/>
            <w:hideMark/>
          </w:tcPr>
          <w:p w14:paraId="58DF4A80" w14:textId="77777777" w:rsidR="00345C5F" w:rsidRPr="00CB23C4" w:rsidRDefault="00345C5F" w:rsidP="00CC30F2">
            <w:pPr>
              <w:spacing w:after="0" w:line="240" w:lineRule="auto"/>
              <w:jc w:val="center"/>
              <w:rPr>
                <w:rFonts w:ascii="Cambria" w:eastAsia="Times New Roman" w:hAnsi="Cambria" w:cs="Arial"/>
                <w:i/>
                <w:iCs/>
                <w:kern w:val="0"/>
                <w:sz w:val="16"/>
                <w:szCs w:val="16"/>
                <w:u w:val="single"/>
                <w14:ligatures w14:val="none"/>
              </w:rPr>
            </w:pPr>
            <w:r>
              <w:rPr>
                <w:rFonts w:ascii="Cambria" w:hAnsi="Cambria"/>
                <w:i/>
                <w:sz w:val="16"/>
                <w:u w:val="single"/>
              </w:rPr>
              <w:t>Tolerancia de retención (t)</w:t>
            </w:r>
          </w:p>
        </w:tc>
        <w:tc>
          <w:tcPr>
            <w:tcW w:w="1019" w:type="pct"/>
            <w:gridSpan w:val="2"/>
            <w:tcBorders>
              <w:top w:val="single" w:sz="8" w:space="0" w:color="auto"/>
              <w:left w:val="nil"/>
              <w:bottom w:val="single" w:sz="4" w:space="0" w:color="auto"/>
              <w:right w:val="single" w:sz="8" w:space="0" w:color="000000"/>
            </w:tcBorders>
            <w:noWrap/>
            <w:vAlign w:val="bottom"/>
            <w:hideMark/>
          </w:tcPr>
          <w:p w14:paraId="093A00AC" w14:textId="77777777" w:rsidR="00345C5F" w:rsidRPr="00CB23C4" w:rsidRDefault="00345C5F" w:rsidP="00CC30F2">
            <w:pPr>
              <w:spacing w:after="0" w:line="240" w:lineRule="auto"/>
              <w:jc w:val="center"/>
              <w:rPr>
                <w:rFonts w:ascii="Cambria" w:eastAsia="Times New Roman" w:hAnsi="Cambria" w:cs="Arial"/>
                <w:i/>
                <w:iCs/>
                <w:kern w:val="0"/>
                <w:sz w:val="16"/>
                <w:szCs w:val="16"/>
                <w:u w:val="single"/>
                <w14:ligatures w14:val="none"/>
              </w:rPr>
            </w:pPr>
            <w:r>
              <w:rPr>
                <w:rFonts w:ascii="Cambria" w:hAnsi="Cambria"/>
                <w:i/>
                <w:sz w:val="16"/>
                <w:u w:val="single"/>
              </w:rPr>
              <w:t>Capturas actuales</w:t>
            </w:r>
          </w:p>
        </w:tc>
        <w:tc>
          <w:tcPr>
            <w:tcW w:w="1070" w:type="pct"/>
            <w:gridSpan w:val="2"/>
            <w:tcBorders>
              <w:top w:val="single" w:sz="8" w:space="0" w:color="auto"/>
              <w:left w:val="nil"/>
              <w:bottom w:val="single" w:sz="4" w:space="0" w:color="auto"/>
              <w:right w:val="single" w:sz="8" w:space="0" w:color="000000"/>
            </w:tcBorders>
            <w:noWrap/>
            <w:vAlign w:val="bottom"/>
            <w:hideMark/>
          </w:tcPr>
          <w:p w14:paraId="113876BE" w14:textId="77777777" w:rsidR="00345C5F" w:rsidRPr="00CB23C4" w:rsidRDefault="00345C5F" w:rsidP="00CC30F2">
            <w:pPr>
              <w:spacing w:after="0" w:line="240" w:lineRule="auto"/>
              <w:jc w:val="center"/>
              <w:rPr>
                <w:rFonts w:ascii="Cambria" w:eastAsia="Times New Roman" w:hAnsi="Cambria" w:cs="Arial"/>
                <w:i/>
                <w:iCs/>
                <w:kern w:val="0"/>
                <w:sz w:val="16"/>
                <w:szCs w:val="16"/>
                <w:u w:val="single"/>
                <w14:ligatures w14:val="none"/>
              </w:rPr>
            </w:pPr>
            <w:r>
              <w:rPr>
                <w:rFonts w:ascii="Cambria" w:hAnsi="Cambria"/>
                <w:i/>
                <w:sz w:val="16"/>
                <w:u w:val="single"/>
              </w:rPr>
              <w:t>Saldo</w:t>
            </w:r>
          </w:p>
        </w:tc>
      </w:tr>
      <w:tr w:rsidR="00345C5F" w:rsidRPr="00052E06" w14:paraId="2BE3C9A4" w14:textId="77777777" w:rsidTr="00CC30F2">
        <w:trPr>
          <w:trHeight w:val="113"/>
        </w:trPr>
        <w:tc>
          <w:tcPr>
            <w:tcW w:w="1420" w:type="pct"/>
            <w:tcBorders>
              <w:top w:val="nil"/>
              <w:left w:val="single" w:sz="8" w:space="0" w:color="auto"/>
              <w:bottom w:val="single" w:sz="4" w:space="0" w:color="auto"/>
              <w:right w:val="single" w:sz="8" w:space="0" w:color="auto"/>
            </w:tcBorders>
            <w:noWrap/>
            <w:vAlign w:val="bottom"/>
            <w:hideMark/>
          </w:tcPr>
          <w:p w14:paraId="53ED23B9" w14:textId="77777777" w:rsidR="00345C5F" w:rsidRPr="00CB23C4" w:rsidRDefault="00345C5F" w:rsidP="00CC30F2">
            <w:pPr>
              <w:spacing w:after="0" w:line="240" w:lineRule="auto"/>
              <w:rPr>
                <w:rFonts w:ascii="Cambria" w:eastAsia="Times New Roman" w:hAnsi="Cambria" w:cs="Arial"/>
                <w:i/>
                <w:iCs/>
                <w:kern w:val="0"/>
                <w:sz w:val="16"/>
                <w:szCs w:val="16"/>
                <w:u w:val="single"/>
                <w14:ligatures w14:val="none"/>
              </w:rPr>
            </w:pPr>
            <w:r>
              <w:rPr>
                <w:rFonts w:ascii="Cambria" w:hAnsi="Cambria"/>
                <w:i/>
                <w:sz w:val="16"/>
                <w:u w:val="single"/>
              </w:rPr>
              <w:t>AÑO</w:t>
            </w:r>
          </w:p>
        </w:tc>
        <w:tc>
          <w:tcPr>
            <w:tcW w:w="497" w:type="pct"/>
            <w:tcBorders>
              <w:top w:val="single" w:sz="4" w:space="0" w:color="auto"/>
              <w:left w:val="nil"/>
              <w:bottom w:val="single" w:sz="4" w:space="0" w:color="auto"/>
              <w:right w:val="single" w:sz="4" w:space="0" w:color="auto"/>
            </w:tcBorders>
            <w:noWrap/>
            <w:vAlign w:val="bottom"/>
            <w:hideMark/>
          </w:tcPr>
          <w:p w14:paraId="4B8054AF" w14:textId="77777777" w:rsidR="00345C5F" w:rsidRPr="00CB23C4" w:rsidRDefault="00345C5F" w:rsidP="00CC30F2">
            <w:pPr>
              <w:spacing w:after="0" w:line="240" w:lineRule="auto"/>
              <w:jc w:val="center"/>
              <w:rPr>
                <w:rFonts w:ascii="Cambria" w:eastAsia="Times New Roman" w:hAnsi="Cambria" w:cs="Arial"/>
                <w:i/>
                <w:iCs/>
                <w:kern w:val="0"/>
                <w:sz w:val="16"/>
                <w:szCs w:val="16"/>
                <w:u w:val="single"/>
                <w14:ligatures w14:val="none"/>
              </w:rPr>
            </w:pPr>
            <w:r>
              <w:rPr>
                <w:rFonts w:ascii="Cambria" w:hAnsi="Cambria"/>
                <w:i/>
                <w:sz w:val="16"/>
                <w:u w:val="single"/>
              </w:rPr>
              <w:t>2023</w:t>
            </w:r>
          </w:p>
        </w:tc>
        <w:tc>
          <w:tcPr>
            <w:tcW w:w="497" w:type="pct"/>
            <w:tcBorders>
              <w:top w:val="single" w:sz="4" w:space="0" w:color="auto"/>
              <w:left w:val="nil"/>
              <w:bottom w:val="single" w:sz="4" w:space="0" w:color="auto"/>
              <w:right w:val="nil"/>
            </w:tcBorders>
            <w:noWrap/>
            <w:vAlign w:val="bottom"/>
            <w:hideMark/>
          </w:tcPr>
          <w:p w14:paraId="153DADAB" w14:textId="77777777" w:rsidR="00345C5F" w:rsidRPr="00CB23C4" w:rsidRDefault="00345C5F" w:rsidP="00CC30F2">
            <w:pPr>
              <w:spacing w:after="0" w:line="240" w:lineRule="auto"/>
              <w:jc w:val="center"/>
              <w:rPr>
                <w:rFonts w:ascii="Cambria" w:eastAsia="Times New Roman" w:hAnsi="Cambria" w:cs="Arial"/>
                <w:i/>
                <w:iCs/>
                <w:kern w:val="0"/>
                <w:sz w:val="16"/>
                <w:szCs w:val="16"/>
                <w:u w:val="single"/>
                <w14:ligatures w14:val="none"/>
              </w:rPr>
            </w:pPr>
            <w:r>
              <w:rPr>
                <w:rFonts w:ascii="Cambria" w:hAnsi="Cambria"/>
                <w:i/>
                <w:sz w:val="16"/>
                <w:u w:val="single"/>
              </w:rPr>
              <w:t>2024</w:t>
            </w:r>
          </w:p>
        </w:tc>
        <w:tc>
          <w:tcPr>
            <w:tcW w:w="497" w:type="pct"/>
            <w:tcBorders>
              <w:top w:val="single" w:sz="4" w:space="0" w:color="auto"/>
              <w:left w:val="single" w:sz="4" w:space="0" w:color="auto"/>
              <w:bottom w:val="single" w:sz="4" w:space="0" w:color="auto"/>
              <w:right w:val="single" w:sz="8" w:space="0" w:color="auto"/>
            </w:tcBorders>
            <w:noWrap/>
            <w:vAlign w:val="bottom"/>
            <w:hideMark/>
          </w:tcPr>
          <w:p w14:paraId="7A3C48C4" w14:textId="77777777" w:rsidR="00345C5F" w:rsidRPr="00CB23C4" w:rsidRDefault="00345C5F" w:rsidP="00CC30F2">
            <w:pPr>
              <w:spacing w:after="0" w:line="240" w:lineRule="auto"/>
              <w:jc w:val="center"/>
              <w:rPr>
                <w:rFonts w:ascii="Cambria" w:eastAsia="Times New Roman" w:hAnsi="Cambria" w:cs="Arial"/>
                <w:i/>
                <w:iCs/>
                <w:kern w:val="0"/>
                <w:sz w:val="16"/>
                <w:szCs w:val="16"/>
                <w:u w:val="single"/>
                <w14:ligatures w14:val="none"/>
              </w:rPr>
            </w:pPr>
            <w:r>
              <w:rPr>
                <w:rFonts w:ascii="Cambria" w:hAnsi="Cambria"/>
                <w:i/>
                <w:sz w:val="16"/>
                <w:u w:val="single"/>
              </w:rPr>
              <w:t>2025</w:t>
            </w:r>
          </w:p>
        </w:tc>
        <w:tc>
          <w:tcPr>
            <w:tcW w:w="522" w:type="pct"/>
            <w:tcBorders>
              <w:top w:val="single" w:sz="4" w:space="0" w:color="auto"/>
              <w:left w:val="nil"/>
              <w:bottom w:val="single" w:sz="4" w:space="0" w:color="auto"/>
              <w:right w:val="single" w:sz="4" w:space="0" w:color="auto"/>
            </w:tcBorders>
            <w:noWrap/>
            <w:vAlign w:val="bottom"/>
            <w:hideMark/>
          </w:tcPr>
          <w:p w14:paraId="75C08AA0" w14:textId="77777777" w:rsidR="00345C5F" w:rsidRPr="00CB23C4" w:rsidRDefault="00345C5F" w:rsidP="00CC30F2">
            <w:pPr>
              <w:spacing w:after="0" w:line="240" w:lineRule="auto"/>
              <w:jc w:val="center"/>
              <w:rPr>
                <w:rFonts w:ascii="Cambria" w:eastAsia="Times New Roman" w:hAnsi="Cambria" w:cs="Arial"/>
                <w:i/>
                <w:iCs/>
                <w:kern w:val="0"/>
                <w:sz w:val="16"/>
                <w:szCs w:val="16"/>
                <w:u w:val="single"/>
                <w14:ligatures w14:val="none"/>
              </w:rPr>
            </w:pPr>
            <w:r>
              <w:rPr>
                <w:rFonts w:ascii="Cambria" w:hAnsi="Cambria"/>
                <w:i/>
                <w:sz w:val="16"/>
                <w:u w:val="single"/>
              </w:rPr>
              <w:t>2023</w:t>
            </w:r>
          </w:p>
        </w:tc>
        <w:tc>
          <w:tcPr>
            <w:tcW w:w="497" w:type="pct"/>
            <w:tcBorders>
              <w:top w:val="single" w:sz="4" w:space="0" w:color="auto"/>
              <w:left w:val="single" w:sz="4" w:space="0" w:color="auto"/>
              <w:bottom w:val="single" w:sz="4" w:space="0" w:color="auto"/>
              <w:right w:val="single" w:sz="8" w:space="0" w:color="auto"/>
            </w:tcBorders>
            <w:noWrap/>
            <w:vAlign w:val="bottom"/>
            <w:hideMark/>
          </w:tcPr>
          <w:p w14:paraId="76930D0A" w14:textId="77777777" w:rsidR="00345C5F" w:rsidRPr="00CB23C4" w:rsidRDefault="00345C5F" w:rsidP="00CC30F2">
            <w:pPr>
              <w:spacing w:after="0" w:line="240" w:lineRule="auto"/>
              <w:jc w:val="center"/>
              <w:rPr>
                <w:rFonts w:ascii="Cambria" w:eastAsia="Times New Roman" w:hAnsi="Cambria" w:cs="Arial"/>
                <w:i/>
                <w:iCs/>
                <w:kern w:val="0"/>
                <w:sz w:val="16"/>
                <w:szCs w:val="16"/>
                <w:u w:val="single"/>
                <w14:ligatures w14:val="none"/>
              </w:rPr>
            </w:pPr>
            <w:r>
              <w:rPr>
                <w:rFonts w:ascii="Cambria" w:hAnsi="Cambria"/>
                <w:i/>
                <w:sz w:val="16"/>
                <w:u w:val="single"/>
              </w:rPr>
              <w:t>2024</w:t>
            </w:r>
          </w:p>
        </w:tc>
        <w:tc>
          <w:tcPr>
            <w:tcW w:w="535" w:type="pct"/>
            <w:tcBorders>
              <w:top w:val="single" w:sz="4" w:space="0" w:color="auto"/>
              <w:left w:val="nil"/>
              <w:bottom w:val="single" w:sz="4" w:space="0" w:color="auto"/>
              <w:right w:val="nil"/>
            </w:tcBorders>
            <w:noWrap/>
            <w:vAlign w:val="bottom"/>
            <w:hideMark/>
          </w:tcPr>
          <w:p w14:paraId="02682EA6" w14:textId="77777777" w:rsidR="00345C5F" w:rsidRPr="00CB23C4" w:rsidRDefault="00345C5F" w:rsidP="00CC30F2">
            <w:pPr>
              <w:spacing w:after="0" w:line="240" w:lineRule="auto"/>
              <w:jc w:val="center"/>
              <w:rPr>
                <w:rFonts w:ascii="Cambria" w:eastAsia="Times New Roman" w:hAnsi="Cambria" w:cs="Arial"/>
                <w:i/>
                <w:iCs/>
                <w:kern w:val="0"/>
                <w:sz w:val="16"/>
                <w:szCs w:val="16"/>
                <w:u w:val="single"/>
                <w14:ligatures w14:val="none"/>
              </w:rPr>
            </w:pPr>
            <w:r>
              <w:rPr>
                <w:rFonts w:ascii="Cambria" w:hAnsi="Cambria"/>
                <w:i/>
                <w:sz w:val="16"/>
                <w:u w:val="single"/>
              </w:rPr>
              <w:t>2023</w:t>
            </w:r>
          </w:p>
        </w:tc>
        <w:tc>
          <w:tcPr>
            <w:tcW w:w="535" w:type="pct"/>
            <w:tcBorders>
              <w:top w:val="single" w:sz="4" w:space="0" w:color="auto"/>
              <w:left w:val="single" w:sz="4" w:space="0" w:color="auto"/>
              <w:bottom w:val="single" w:sz="4" w:space="0" w:color="auto"/>
              <w:right w:val="single" w:sz="8" w:space="0" w:color="auto"/>
            </w:tcBorders>
            <w:noWrap/>
            <w:vAlign w:val="bottom"/>
            <w:hideMark/>
          </w:tcPr>
          <w:p w14:paraId="71D24D13" w14:textId="77777777" w:rsidR="00345C5F" w:rsidRPr="00CB23C4" w:rsidRDefault="00345C5F" w:rsidP="00CC30F2">
            <w:pPr>
              <w:spacing w:after="0" w:line="240" w:lineRule="auto"/>
              <w:jc w:val="center"/>
              <w:rPr>
                <w:rFonts w:ascii="Cambria" w:eastAsia="Times New Roman" w:hAnsi="Cambria" w:cs="Arial"/>
                <w:i/>
                <w:iCs/>
                <w:kern w:val="0"/>
                <w:sz w:val="16"/>
                <w:szCs w:val="16"/>
                <w:u w:val="single"/>
                <w14:ligatures w14:val="none"/>
              </w:rPr>
            </w:pPr>
            <w:r>
              <w:rPr>
                <w:rFonts w:ascii="Cambria" w:hAnsi="Cambria"/>
                <w:i/>
                <w:sz w:val="16"/>
                <w:u w:val="single"/>
              </w:rPr>
              <w:t>2024</w:t>
            </w:r>
          </w:p>
        </w:tc>
      </w:tr>
      <w:tr w:rsidR="00345C5F" w:rsidRPr="00052E06" w14:paraId="27FBA933" w14:textId="77777777" w:rsidTr="00CC30F2">
        <w:trPr>
          <w:trHeight w:val="113"/>
        </w:trPr>
        <w:tc>
          <w:tcPr>
            <w:tcW w:w="1420" w:type="pct"/>
            <w:tcBorders>
              <w:top w:val="nil"/>
              <w:left w:val="single" w:sz="8" w:space="0" w:color="auto"/>
              <w:bottom w:val="single" w:sz="8" w:space="0" w:color="auto"/>
              <w:right w:val="single" w:sz="8" w:space="0" w:color="auto"/>
            </w:tcBorders>
            <w:noWrap/>
            <w:vAlign w:val="bottom"/>
            <w:hideMark/>
          </w:tcPr>
          <w:p w14:paraId="5CBB6D2C" w14:textId="77777777" w:rsidR="00345C5F" w:rsidRPr="00CB23C4" w:rsidRDefault="00345C5F" w:rsidP="00CC30F2">
            <w:pPr>
              <w:spacing w:after="0" w:line="240" w:lineRule="auto"/>
              <w:rPr>
                <w:rFonts w:ascii="Cambria" w:eastAsia="Times New Roman" w:hAnsi="Cambria" w:cs="Arial"/>
                <w:i/>
                <w:iCs/>
                <w:kern w:val="0"/>
                <w:sz w:val="16"/>
                <w:szCs w:val="16"/>
                <w:u w:val="single"/>
                <w14:ligatures w14:val="none"/>
              </w:rPr>
            </w:pPr>
            <w:r>
              <w:rPr>
                <w:rFonts w:ascii="Cambria" w:hAnsi="Cambria"/>
                <w:i/>
                <w:sz w:val="16"/>
                <w:u w:val="single"/>
              </w:rPr>
              <w:t>Tolerancia de retención total</w:t>
            </w:r>
          </w:p>
        </w:tc>
        <w:tc>
          <w:tcPr>
            <w:tcW w:w="497" w:type="pct"/>
            <w:tcBorders>
              <w:top w:val="nil"/>
              <w:left w:val="nil"/>
              <w:bottom w:val="single" w:sz="8" w:space="0" w:color="auto"/>
              <w:right w:val="single" w:sz="4" w:space="0" w:color="auto"/>
            </w:tcBorders>
            <w:noWrap/>
            <w:vAlign w:val="bottom"/>
            <w:hideMark/>
          </w:tcPr>
          <w:p w14:paraId="1D580D99" w14:textId="77777777" w:rsidR="00345C5F" w:rsidRPr="00CB23C4" w:rsidRDefault="00345C5F" w:rsidP="00CC30F2">
            <w:pPr>
              <w:spacing w:after="0" w:line="240" w:lineRule="auto"/>
              <w:jc w:val="right"/>
              <w:rPr>
                <w:rFonts w:ascii="Cambria" w:eastAsia="Times New Roman" w:hAnsi="Cambria" w:cs="Arial"/>
                <w:i/>
                <w:iCs/>
                <w:kern w:val="0"/>
                <w:sz w:val="16"/>
                <w:szCs w:val="16"/>
                <w:u w:val="single"/>
                <w14:ligatures w14:val="none"/>
              </w:rPr>
            </w:pPr>
            <w:r>
              <w:rPr>
                <w:rFonts w:ascii="Cambria" w:hAnsi="Cambria"/>
                <w:i/>
                <w:sz w:val="16"/>
                <w:u w:val="single"/>
              </w:rPr>
              <w:t>1295</w:t>
            </w:r>
          </w:p>
        </w:tc>
        <w:tc>
          <w:tcPr>
            <w:tcW w:w="497" w:type="pct"/>
            <w:tcBorders>
              <w:top w:val="single" w:sz="4" w:space="0" w:color="auto"/>
              <w:left w:val="nil"/>
              <w:bottom w:val="single" w:sz="8" w:space="0" w:color="auto"/>
              <w:right w:val="nil"/>
            </w:tcBorders>
            <w:noWrap/>
            <w:vAlign w:val="bottom"/>
            <w:hideMark/>
          </w:tcPr>
          <w:p w14:paraId="560E6D8A" w14:textId="77777777" w:rsidR="00345C5F" w:rsidRPr="00CB23C4" w:rsidRDefault="00345C5F" w:rsidP="00CC30F2">
            <w:pPr>
              <w:spacing w:after="0" w:line="240" w:lineRule="auto"/>
              <w:jc w:val="right"/>
              <w:rPr>
                <w:rFonts w:ascii="Cambria" w:eastAsia="Times New Roman" w:hAnsi="Cambria" w:cs="Arial"/>
                <w:i/>
                <w:iCs/>
                <w:kern w:val="0"/>
                <w:sz w:val="16"/>
                <w:szCs w:val="16"/>
                <w:u w:val="single"/>
                <w14:ligatures w14:val="none"/>
              </w:rPr>
            </w:pPr>
            <w:r>
              <w:rPr>
                <w:rFonts w:ascii="Cambria" w:hAnsi="Cambria"/>
                <w:i/>
                <w:sz w:val="16"/>
                <w:u w:val="single"/>
              </w:rPr>
              <w:t>1295</w:t>
            </w:r>
          </w:p>
        </w:tc>
        <w:tc>
          <w:tcPr>
            <w:tcW w:w="497" w:type="pct"/>
            <w:tcBorders>
              <w:top w:val="single" w:sz="4" w:space="0" w:color="auto"/>
              <w:left w:val="single" w:sz="4" w:space="0" w:color="auto"/>
              <w:bottom w:val="single" w:sz="8" w:space="0" w:color="auto"/>
              <w:right w:val="single" w:sz="8" w:space="0" w:color="auto"/>
            </w:tcBorders>
            <w:noWrap/>
            <w:vAlign w:val="bottom"/>
            <w:hideMark/>
          </w:tcPr>
          <w:p w14:paraId="028D2180" w14:textId="77777777" w:rsidR="00345C5F" w:rsidRPr="00CB23C4" w:rsidRDefault="00345C5F" w:rsidP="00CC30F2">
            <w:pPr>
              <w:spacing w:after="0" w:line="240" w:lineRule="auto"/>
              <w:jc w:val="right"/>
              <w:rPr>
                <w:rFonts w:ascii="Cambria" w:eastAsia="Times New Roman" w:hAnsi="Cambria" w:cs="Arial"/>
                <w:i/>
                <w:iCs/>
                <w:kern w:val="0"/>
                <w:sz w:val="16"/>
                <w:szCs w:val="16"/>
                <w:u w:val="single"/>
                <w14:ligatures w14:val="none"/>
              </w:rPr>
            </w:pPr>
            <w:r>
              <w:rPr>
                <w:rFonts w:ascii="Cambria" w:hAnsi="Cambria"/>
                <w:i/>
                <w:sz w:val="16"/>
                <w:u w:val="single"/>
              </w:rPr>
              <w:t>1295</w:t>
            </w:r>
          </w:p>
        </w:tc>
        <w:tc>
          <w:tcPr>
            <w:tcW w:w="522" w:type="pct"/>
            <w:tcBorders>
              <w:top w:val="nil"/>
              <w:left w:val="nil"/>
              <w:bottom w:val="single" w:sz="8" w:space="0" w:color="auto"/>
              <w:right w:val="single" w:sz="4" w:space="0" w:color="auto"/>
            </w:tcBorders>
            <w:noWrap/>
            <w:vAlign w:val="bottom"/>
            <w:hideMark/>
          </w:tcPr>
          <w:p w14:paraId="7B4AE138" w14:textId="77777777" w:rsidR="00345C5F" w:rsidRPr="00CB23C4" w:rsidRDefault="00345C5F" w:rsidP="00CC30F2">
            <w:pPr>
              <w:spacing w:after="0" w:line="240" w:lineRule="auto"/>
              <w:jc w:val="right"/>
              <w:rPr>
                <w:rFonts w:ascii="Cambria" w:eastAsia="Times New Roman" w:hAnsi="Cambria" w:cs="Arial"/>
                <w:i/>
                <w:iCs/>
                <w:kern w:val="0"/>
                <w:sz w:val="16"/>
                <w:szCs w:val="16"/>
                <w:u w:val="single"/>
                <w14:ligatures w14:val="none"/>
              </w:rPr>
            </w:pPr>
            <w:r>
              <w:rPr>
                <w:rFonts w:ascii="Cambria" w:hAnsi="Cambria"/>
                <w:i/>
                <w:sz w:val="16"/>
                <w:u w:val="single"/>
              </w:rPr>
              <w:t> </w:t>
            </w:r>
          </w:p>
        </w:tc>
        <w:tc>
          <w:tcPr>
            <w:tcW w:w="497" w:type="pct"/>
            <w:tcBorders>
              <w:top w:val="single" w:sz="4" w:space="0" w:color="auto"/>
              <w:left w:val="nil"/>
              <w:bottom w:val="single" w:sz="8" w:space="0" w:color="auto"/>
              <w:right w:val="single" w:sz="8" w:space="0" w:color="auto"/>
            </w:tcBorders>
            <w:noWrap/>
            <w:vAlign w:val="bottom"/>
            <w:hideMark/>
          </w:tcPr>
          <w:p w14:paraId="02AF2A9E" w14:textId="77777777" w:rsidR="00345C5F" w:rsidRPr="00CB23C4" w:rsidRDefault="00345C5F" w:rsidP="00CC30F2">
            <w:pPr>
              <w:spacing w:after="0" w:line="240" w:lineRule="auto"/>
              <w:jc w:val="right"/>
              <w:rPr>
                <w:rFonts w:ascii="Cambria" w:eastAsia="Times New Roman" w:hAnsi="Cambria" w:cs="Arial"/>
                <w:i/>
                <w:iCs/>
                <w:kern w:val="0"/>
                <w:sz w:val="16"/>
                <w:szCs w:val="16"/>
                <w:u w:val="single"/>
                <w14:ligatures w14:val="none"/>
              </w:rPr>
            </w:pPr>
            <w:r>
              <w:rPr>
                <w:rFonts w:ascii="Cambria" w:hAnsi="Cambria"/>
                <w:i/>
                <w:sz w:val="16"/>
                <w:u w:val="single"/>
              </w:rPr>
              <w:t> </w:t>
            </w:r>
          </w:p>
        </w:tc>
        <w:tc>
          <w:tcPr>
            <w:tcW w:w="535" w:type="pct"/>
            <w:tcBorders>
              <w:top w:val="nil"/>
              <w:left w:val="nil"/>
              <w:bottom w:val="single" w:sz="8" w:space="0" w:color="auto"/>
              <w:right w:val="nil"/>
            </w:tcBorders>
            <w:noWrap/>
            <w:vAlign w:val="bottom"/>
            <w:hideMark/>
          </w:tcPr>
          <w:p w14:paraId="1502B0F7" w14:textId="77777777" w:rsidR="00345C5F" w:rsidRPr="00CB23C4" w:rsidRDefault="00345C5F" w:rsidP="00CC30F2">
            <w:pPr>
              <w:spacing w:after="0" w:line="240" w:lineRule="auto"/>
              <w:jc w:val="right"/>
              <w:rPr>
                <w:rFonts w:ascii="Cambria" w:eastAsia="Times New Roman" w:hAnsi="Cambria" w:cs="Arial"/>
                <w:i/>
                <w:iCs/>
                <w:kern w:val="0"/>
                <w:sz w:val="16"/>
                <w:szCs w:val="16"/>
                <w:u w:val="single"/>
                <w14:ligatures w14:val="none"/>
              </w:rPr>
            </w:pPr>
            <w:r>
              <w:rPr>
                <w:rFonts w:ascii="Cambria" w:hAnsi="Cambria"/>
                <w:i/>
                <w:sz w:val="16"/>
                <w:u w:val="single"/>
              </w:rPr>
              <w:t> </w:t>
            </w:r>
          </w:p>
        </w:tc>
        <w:tc>
          <w:tcPr>
            <w:tcW w:w="535" w:type="pct"/>
            <w:tcBorders>
              <w:top w:val="single" w:sz="4" w:space="0" w:color="auto"/>
              <w:left w:val="single" w:sz="4" w:space="0" w:color="auto"/>
              <w:bottom w:val="single" w:sz="8" w:space="0" w:color="auto"/>
              <w:right w:val="single" w:sz="8" w:space="0" w:color="auto"/>
            </w:tcBorders>
            <w:noWrap/>
            <w:vAlign w:val="bottom"/>
            <w:hideMark/>
          </w:tcPr>
          <w:p w14:paraId="234BA4BD" w14:textId="77777777" w:rsidR="00345C5F" w:rsidRPr="00CB23C4" w:rsidRDefault="00345C5F" w:rsidP="00CC30F2">
            <w:pPr>
              <w:spacing w:after="0" w:line="240" w:lineRule="auto"/>
              <w:jc w:val="right"/>
              <w:rPr>
                <w:rFonts w:ascii="Cambria" w:eastAsia="Times New Roman" w:hAnsi="Cambria" w:cs="Arial"/>
                <w:i/>
                <w:iCs/>
                <w:kern w:val="0"/>
                <w:sz w:val="16"/>
                <w:szCs w:val="16"/>
                <w:u w:val="single"/>
                <w14:ligatures w14:val="none"/>
              </w:rPr>
            </w:pPr>
            <w:r>
              <w:rPr>
                <w:rFonts w:ascii="Cambria" w:hAnsi="Cambria"/>
                <w:i/>
                <w:sz w:val="16"/>
                <w:u w:val="single"/>
              </w:rPr>
              <w:t> </w:t>
            </w:r>
          </w:p>
        </w:tc>
      </w:tr>
      <w:tr w:rsidR="00345C5F" w:rsidRPr="00052E06" w14:paraId="4AAF92AB" w14:textId="77777777" w:rsidTr="00CC30F2">
        <w:trPr>
          <w:trHeight w:val="113"/>
        </w:trPr>
        <w:tc>
          <w:tcPr>
            <w:tcW w:w="1420" w:type="pct"/>
            <w:tcBorders>
              <w:top w:val="nil"/>
              <w:left w:val="single" w:sz="8" w:space="0" w:color="auto"/>
              <w:bottom w:val="single" w:sz="4" w:space="0" w:color="auto"/>
              <w:right w:val="single" w:sz="8" w:space="0" w:color="auto"/>
            </w:tcBorders>
            <w:noWrap/>
            <w:vAlign w:val="bottom"/>
            <w:hideMark/>
          </w:tcPr>
          <w:p w14:paraId="7C96C864" w14:textId="77777777" w:rsidR="00345C5F" w:rsidRPr="00CB23C4" w:rsidRDefault="00345C5F" w:rsidP="00CC30F2">
            <w:pPr>
              <w:spacing w:after="0" w:line="240" w:lineRule="auto"/>
              <w:rPr>
                <w:rFonts w:ascii="Cambria" w:eastAsia="Times New Roman" w:hAnsi="Cambria" w:cs="Arial"/>
                <w:b/>
                <w:bCs/>
                <w:kern w:val="0"/>
                <w:sz w:val="16"/>
                <w:szCs w:val="16"/>
                <w:u w:val="single"/>
                <w14:ligatures w14:val="none"/>
              </w:rPr>
            </w:pPr>
            <w:r>
              <w:rPr>
                <w:rFonts w:ascii="Cambria" w:hAnsi="Cambria"/>
                <w:b/>
                <w:sz w:val="16"/>
                <w:u w:val="single"/>
              </w:rPr>
              <w:t>ANGOLA</w:t>
            </w:r>
          </w:p>
        </w:tc>
        <w:tc>
          <w:tcPr>
            <w:tcW w:w="497" w:type="pct"/>
            <w:tcBorders>
              <w:top w:val="nil"/>
              <w:left w:val="nil"/>
              <w:bottom w:val="single" w:sz="4" w:space="0" w:color="auto"/>
              <w:right w:val="single" w:sz="4" w:space="0" w:color="auto"/>
            </w:tcBorders>
            <w:noWrap/>
            <w:vAlign w:val="bottom"/>
            <w:hideMark/>
          </w:tcPr>
          <w:p w14:paraId="3F928D61"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2,00</w:t>
            </w:r>
          </w:p>
        </w:tc>
        <w:tc>
          <w:tcPr>
            <w:tcW w:w="497" w:type="pct"/>
            <w:tcBorders>
              <w:top w:val="nil"/>
              <w:left w:val="nil"/>
              <w:bottom w:val="single" w:sz="4" w:space="0" w:color="auto"/>
              <w:right w:val="nil"/>
            </w:tcBorders>
            <w:noWrap/>
            <w:vAlign w:val="bottom"/>
            <w:hideMark/>
          </w:tcPr>
          <w:p w14:paraId="74468F30"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2,00</w:t>
            </w:r>
          </w:p>
        </w:tc>
        <w:tc>
          <w:tcPr>
            <w:tcW w:w="497" w:type="pct"/>
            <w:tcBorders>
              <w:top w:val="nil"/>
              <w:left w:val="single" w:sz="4" w:space="0" w:color="auto"/>
              <w:bottom w:val="single" w:sz="4" w:space="0" w:color="auto"/>
              <w:right w:val="single" w:sz="8" w:space="0" w:color="auto"/>
            </w:tcBorders>
            <w:noWrap/>
            <w:vAlign w:val="bottom"/>
            <w:hideMark/>
          </w:tcPr>
          <w:p w14:paraId="51F0132E"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2,00</w:t>
            </w:r>
          </w:p>
        </w:tc>
        <w:tc>
          <w:tcPr>
            <w:tcW w:w="522" w:type="pct"/>
            <w:tcBorders>
              <w:top w:val="nil"/>
              <w:left w:val="nil"/>
              <w:bottom w:val="single" w:sz="4" w:space="0" w:color="auto"/>
              <w:right w:val="single" w:sz="4" w:space="0" w:color="auto"/>
            </w:tcBorders>
            <w:noWrap/>
            <w:vAlign w:val="bottom"/>
            <w:hideMark/>
          </w:tcPr>
          <w:p w14:paraId="021CB789"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0,00</w:t>
            </w:r>
          </w:p>
        </w:tc>
        <w:tc>
          <w:tcPr>
            <w:tcW w:w="497" w:type="pct"/>
            <w:tcBorders>
              <w:top w:val="nil"/>
              <w:left w:val="single" w:sz="4" w:space="0" w:color="auto"/>
              <w:bottom w:val="single" w:sz="4" w:space="0" w:color="auto"/>
              <w:right w:val="single" w:sz="8" w:space="0" w:color="auto"/>
            </w:tcBorders>
            <w:noWrap/>
            <w:vAlign w:val="bottom"/>
            <w:hideMark/>
          </w:tcPr>
          <w:p w14:paraId="22B9C4DC" w14:textId="77777777" w:rsidR="00345C5F" w:rsidRPr="00CB23C4" w:rsidRDefault="00345C5F" w:rsidP="00CC30F2">
            <w:pPr>
              <w:spacing w:after="0" w:line="240" w:lineRule="auto"/>
              <w:jc w:val="right"/>
              <w:rPr>
                <w:rFonts w:ascii="Cambria" w:eastAsia="Times New Roman" w:hAnsi="Cambria" w:cs="Arial"/>
                <w:color w:val="000000"/>
                <w:kern w:val="0"/>
                <w:sz w:val="16"/>
                <w:szCs w:val="16"/>
                <w:u w:val="single"/>
                <w14:ligatures w14:val="none"/>
              </w:rPr>
            </w:pPr>
            <w:r>
              <w:rPr>
                <w:rFonts w:ascii="Cambria" w:hAnsi="Cambria"/>
                <w:color w:val="000000"/>
                <w:sz w:val="16"/>
                <w:u w:val="single"/>
              </w:rPr>
              <w:t>2,15</w:t>
            </w:r>
          </w:p>
        </w:tc>
        <w:tc>
          <w:tcPr>
            <w:tcW w:w="535" w:type="pct"/>
            <w:tcBorders>
              <w:top w:val="nil"/>
              <w:left w:val="nil"/>
              <w:bottom w:val="single" w:sz="4" w:space="0" w:color="auto"/>
              <w:right w:val="nil"/>
            </w:tcBorders>
            <w:noWrap/>
            <w:vAlign w:val="bottom"/>
            <w:hideMark/>
          </w:tcPr>
          <w:p w14:paraId="4BC1E758"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2,00</w:t>
            </w:r>
          </w:p>
        </w:tc>
        <w:tc>
          <w:tcPr>
            <w:tcW w:w="535" w:type="pct"/>
            <w:tcBorders>
              <w:top w:val="nil"/>
              <w:left w:val="single" w:sz="4" w:space="0" w:color="auto"/>
              <w:bottom w:val="single" w:sz="4" w:space="0" w:color="auto"/>
              <w:right w:val="single" w:sz="8" w:space="0" w:color="auto"/>
            </w:tcBorders>
            <w:noWrap/>
            <w:vAlign w:val="bottom"/>
            <w:hideMark/>
          </w:tcPr>
          <w:p w14:paraId="68D4E705" w14:textId="77777777" w:rsidR="00345C5F" w:rsidRPr="00CB23C4" w:rsidRDefault="00345C5F" w:rsidP="00CC30F2">
            <w:pPr>
              <w:spacing w:after="0" w:line="240" w:lineRule="auto"/>
              <w:jc w:val="right"/>
              <w:rPr>
                <w:rFonts w:ascii="Cambria" w:eastAsia="Times New Roman" w:hAnsi="Cambria" w:cs="Arial"/>
                <w:color w:val="FF0000"/>
                <w:kern w:val="0"/>
                <w:sz w:val="16"/>
                <w:szCs w:val="16"/>
                <w:u w:val="single"/>
                <w14:ligatures w14:val="none"/>
              </w:rPr>
            </w:pPr>
            <w:r>
              <w:rPr>
                <w:rFonts w:ascii="Cambria" w:hAnsi="Cambria"/>
                <w:color w:val="FF0000"/>
                <w:sz w:val="16"/>
                <w:u w:val="single"/>
              </w:rPr>
              <w:t> </w:t>
            </w:r>
          </w:p>
        </w:tc>
      </w:tr>
      <w:tr w:rsidR="00345C5F" w:rsidRPr="00052E06" w14:paraId="275C379C" w14:textId="77777777" w:rsidTr="00CC30F2">
        <w:trPr>
          <w:trHeight w:val="113"/>
        </w:trPr>
        <w:tc>
          <w:tcPr>
            <w:tcW w:w="1420" w:type="pct"/>
            <w:tcBorders>
              <w:top w:val="nil"/>
              <w:left w:val="single" w:sz="8" w:space="0" w:color="auto"/>
              <w:bottom w:val="single" w:sz="4" w:space="0" w:color="auto"/>
              <w:right w:val="single" w:sz="8" w:space="0" w:color="auto"/>
            </w:tcBorders>
            <w:noWrap/>
            <w:vAlign w:val="bottom"/>
            <w:hideMark/>
          </w:tcPr>
          <w:p w14:paraId="4C9A7A85" w14:textId="77777777" w:rsidR="00345C5F" w:rsidRPr="00CB23C4" w:rsidRDefault="00345C5F" w:rsidP="00CC30F2">
            <w:pPr>
              <w:spacing w:after="0" w:line="240" w:lineRule="auto"/>
              <w:rPr>
                <w:rFonts w:ascii="Cambria" w:eastAsia="Times New Roman" w:hAnsi="Cambria" w:cs="Arial"/>
                <w:b/>
                <w:bCs/>
                <w:kern w:val="0"/>
                <w:sz w:val="16"/>
                <w:szCs w:val="16"/>
                <w:u w:val="single"/>
                <w14:ligatures w14:val="none"/>
              </w:rPr>
            </w:pPr>
            <w:r>
              <w:rPr>
                <w:rFonts w:ascii="Cambria" w:hAnsi="Cambria"/>
                <w:b/>
                <w:sz w:val="16"/>
                <w:u w:val="single"/>
              </w:rPr>
              <w:t>BELICE</w:t>
            </w:r>
          </w:p>
        </w:tc>
        <w:tc>
          <w:tcPr>
            <w:tcW w:w="497" w:type="pct"/>
            <w:tcBorders>
              <w:top w:val="nil"/>
              <w:left w:val="nil"/>
              <w:bottom w:val="single" w:sz="4" w:space="0" w:color="auto"/>
              <w:right w:val="single" w:sz="4" w:space="0" w:color="auto"/>
            </w:tcBorders>
            <w:noWrap/>
            <w:vAlign w:val="bottom"/>
            <w:hideMark/>
          </w:tcPr>
          <w:p w14:paraId="5D5B1655"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15,00</w:t>
            </w:r>
          </w:p>
        </w:tc>
        <w:tc>
          <w:tcPr>
            <w:tcW w:w="497" w:type="pct"/>
            <w:tcBorders>
              <w:top w:val="nil"/>
              <w:left w:val="nil"/>
              <w:bottom w:val="single" w:sz="4" w:space="0" w:color="auto"/>
              <w:right w:val="nil"/>
            </w:tcBorders>
            <w:noWrap/>
            <w:vAlign w:val="bottom"/>
            <w:hideMark/>
          </w:tcPr>
          <w:p w14:paraId="0A74A8CD"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15,00</w:t>
            </w:r>
          </w:p>
        </w:tc>
        <w:tc>
          <w:tcPr>
            <w:tcW w:w="497" w:type="pct"/>
            <w:tcBorders>
              <w:top w:val="nil"/>
              <w:left w:val="single" w:sz="4" w:space="0" w:color="auto"/>
              <w:bottom w:val="single" w:sz="4" w:space="0" w:color="auto"/>
              <w:right w:val="single" w:sz="8" w:space="0" w:color="auto"/>
            </w:tcBorders>
            <w:noWrap/>
            <w:vAlign w:val="bottom"/>
            <w:hideMark/>
          </w:tcPr>
          <w:p w14:paraId="387C85DB"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15,00</w:t>
            </w:r>
          </w:p>
        </w:tc>
        <w:tc>
          <w:tcPr>
            <w:tcW w:w="522" w:type="pct"/>
            <w:tcBorders>
              <w:top w:val="nil"/>
              <w:left w:val="nil"/>
              <w:bottom w:val="single" w:sz="4" w:space="0" w:color="auto"/>
              <w:right w:val="single" w:sz="4" w:space="0" w:color="auto"/>
            </w:tcBorders>
            <w:noWrap/>
            <w:vAlign w:val="bottom"/>
            <w:hideMark/>
          </w:tcPr>
          <w:p w14:paraId="1C28040B"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0,00</w:t>
            </w:r>
          </w:p>
        </w:tc>
        <w:tc>
          <w:tcPr>
            <w:tcW w:w="497" w:type="pct"/>
            <w:tcBorders>
              <w:top w:val="nil"/>
              <w:left w:val="single" w:sz="4" w:space="0" w:color="auto"/>
              <w:bottom w:val="single" w:sz="4" w:space="0" w:color="auto"/>
              <w:right w:val="single" w:sz="8" w:space="0" w:color="auto"/>
            </w:tcBorders>
            <w:noWrap/>
            <w:vAlign w:val="bottom"/>
            <w:hideMark/>
          </w:tcPr>
          <w:p w14:paraId="462FD989"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0,00</w:t>
            </w:r>
          </w:p>
        </w:tc>
        <w:tc>
          <w:tcPr>
            <w:tcW w:w="535" w:type="pct"/>
            <w:tcBorders>
              <w:top w:val="nil"/>
              <w:left w:val="nil"/>
              <w:bottom w:val="single" w:sz="4" w:space="0" w:color="auto"/>
              <w:right w:val="nil"/>
            </w:tcBorders>
            <w:noWrap/>
            <w:vAlign w:val="bottom"/>
            <w:hideMark/>
          </w:tcPr>
          <w:p w14:paraId="34B937CF"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15,00</w:t>
            </w:r>
          </w:p>
        </w:tc>
        <w:tc>
          <w:tcPr>
            <w:tcW w:w="535" w:type="pct"/>
            <w:tcBorders>
              <w:top w:val="nil"/>
              <w:left w:val="single" w:sz="4" w:space="0" w:color="auto"/>
              <w:bottom w:val="single" w:sz="4" w:space="0" w:color="auto"/>
              <w:right w:val="single" w:sz="8" w:space="0" w:color="auto"/>
            </w:tcBorders>
            <w:noWrap/>
            <w:vAlign w:val="bottom"/>
            <w:hideMark/>
          </w:tcPr>
          <w:p w14:paraId="409ECE46"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15,00</w:t>
            </w:r>
          </w:p>
        </w:tc>
      </w:tr>
      <w:tr w:rsidR="00345C5F" w:rsidRPr="00052E06" w14:paraId="3ED57858" w14:textId="77777777" w:rsidTr="00CC30F2">
        <w:trPr>
          <w:trHeight w:val="113"/>
        </w:trPr>
        <w:tc>
          <w:tcPr>
            <w:tcW w:w="1420" w:type="pct"/>
            <w:tcBorders>
              <w:top w:val="nil"/>
              <w:left w:val="single" w:sz="8" w:space="0" w:color="auto"/>
              <w:bottom w:val="single" w:sz="4" w:space="0" w:color="auto"/>
              <w:right w:val="single" w:sz="8" w:space="0" w:color="auto"/>
            </w:tcBorders>
            <w:noWrap/>
            <w:vAlign w:val="bottom"/>
            <w:hideMark/>
          </w:tcPr>
          <w:p w14:paraId="17CE2FE5" w14:textId="77777777" w:rsidR="00345C5F" w:rsidRPr="00CB23C4" w:rsidRDefault="00345C5F" w:rsidP="00CC30F2">
            <w:pPr>
              <w:spacing w:after="0" w:line="240" w:lineRule="auto"/>
              <w:rPr>
                <w:rFonts w:ascii="Cambria" w:eastAsia="Times New Roman" w:hAnsi="Cambria" w:cs="Arial"/>
                <w:b/>
                <w:bCs/>
                <w:kern w:val="0"/>
                <w:sz w:val="16"/>
                <w:szCs w:val="16"/>
                <w:u w:val="single"/>
                <w14:ligatures w14:val="none"/>
              </w:rPr>
            </w:pPr>
            <w:r>
              <w:rPr>
                <w:rFonts w:ascii="Cambria" w:hAnsi="Cambria"/>
                <w:b/>
                <w:sz w:val="16"/>
                <w:u w:val="single"/>
              </w:rPr>
              <w:t>BRASIL</w:t>
            </w:r>
          </w:p>
        </w:tc>
        <w:tc>
          <w:tcPr>
            <w:tcW w:w="497" w:type="pct"/>
            <w:tcBorders>
              <w:top w:val="nil"/>
              <w:left w:val="nil"/>
              <w:bottom w:val="single" w:sz="4" w:space="0" w:color="auto"/>
              <w:right w:val="single" w:sz="4" w:space="0" w:color="auto"/>
            </w:tcBorders>
            <w:noWrap/>
            <w:vAlign w:val="bottom"/>
            <w:hideMark/>
          </w:tcPr>
          <w:p w14:paraId="5C101DF6"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208,00</w:t>
            </w:r>
          </w:p>
        </w:tc>
        <w:tc>
          <w:tcPr>
            <w:tcW w:w="497" w:type="pct"/>
            <w:tcBorders>
              <w:top w:val="nil"/>
              <w:left w:val="nil"/>
              <w:bottom w:val="single" w:sz="4" w:space="0" w:color="auto"/>
              <w:right w:val="nil"/>
            </w:tcBorders>
            <w:noWrap/>
            <w:vAlign w:val="bottom"/>
            <w:hideMark/>
          </w:tcPr>
          <w:p w14:paraId="715A41ED"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208,00</w:t>
            </w:r>
          </w:p>
        </w:tc>
        <w:tc>
          <w:tcPr>
            <w:tcW w:w="497" w:type="pct"/>
            <w:tcBorders>
              <w:top w:val="nil"/>
              <w:left w:val="single" w:sz="4" w:space="0" w:color="auto"/>
              <w:bottom w:val="single" w:sz="4" w:space="0" w:color="auto"/>
              <w:right w:val="single" w:sz="8" w:space="0" w:color="auto"/>
            </w:tcBorders>
            <w:noWrap/>
            <w:vAlign w:val="bottom"/>
            <w:hideMark/>
          </w:tcPr>
          <w:p w14:paraId="2EA01FF4"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208,00</w:t>
            </w:r>
          </w:p>
        </w:tc>
        <w:tc>
          <w:tcPr>
            <w:tcW w:w="522" w:type="pct"/>
            <w:tcBorders>
              <w:top w:val="nil"/>
              <w:left w:val="nil"/>
              <w:bottom w:val="single" w:sz="4" w:space="0" w:color="auto"/>
              <w:right w:val="single" w:sz="4" w:space="0" w:color="auto"/>
            </w:tcBorders>
            <w:noWrap/>
            <w:vAlign w:val="bottom"/>
            <w:hideMark/>
          </w:tcPr>
          <w:p w14:paraId="4FF69B0C"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121,00</w:t>
            </w:r>
          </w:p>
        </w:tc>
        <w:tc>
          <w:tcPr>
            <w:tcW w:w="497" w:type="pct"/>
            <w:tcBorders>
              <w:top w:val="nil"/>
              <w:left w:val="single" w:sz="4" w:space="0" w:color="auto"/>
              <w:bottom w:val="single" w:sz="4" w:space="0" w:color="auto"/>
              <w:right w:val="single" w:sz="8" w:space="0" w:color="auto"/>
            </w:tcBorders>
            <w:noWrap/>
            <w:vAlign w:val="bottom"/>
            <w:hideMark/>
          </w:tcPr>
          <w:p w14:paraId="42A6F92B"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305,00</w:t>
            </w:r>
          </w:p>
        </w:tc>
        <w:tc>
          <w:tcPr>
            <w:tcW w:w="535" w:type="pct"/>
            <w:tcBorders>
              <w:top w:val="nil"/>
              <w:left w:val="nil"/>
              <w:bottom w:val="single" w:sz="4" w:space="0" w:color="auto"/>
              <w:right w:val="nil"/>
            </w:tcBorders>
            <w:noWrap/>
            <w:vAlign w:val="bottom"/>
            <w:hideMark/>
          </w:tcPr>
          <w:p w14:paraId="1AB1D059"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87,00</w:t>
            </w:r>
          </w:p>
        </w:tc>
        <w:tc>
          <w:tcPr>
            <w:tcW w:w="535" w:type="pct"/>
            <w:tcBorders>
              <w:top w:val="nil"/>
              <w:left w:val="single" w:sz="4" w:space="0" w:color="auto"/>
              <w:bottom w:val="single" w:sz="4" w:space="0" w:color="auto"/>
              <w:right w:val="single" w:sz="8" w:space="0" w:color="auto"/>
            </w:tcBorders>
            <w:noWrap/>
            <w:vAlign w:val="bottom"/>
            <w:hideMark/>
          </w:tcPr>
          <w:p w14:paraId="3292A520" w14:textId="77777777" w:rsidR="00345C5F" w:rsidRPr="00CB23C4" w:rsidRDefault="00345C5F" w:rsidP="00CC30F2">
            <w:pPr>
              <w:spacing w:after="0" w:line="240" w:lineRule="auto"/>
              <w:jc w:val="right"/>
              <w:rPr>
                <w:rFonts w:ascii="Cambria" w:eastAsia="Times New Roman" w:hAnsi="Cambria" w:cs="Arial"/>
                <w:color w:val="FF0000"/>
                <w:kern w:val="0"/>
                <w:sz w:val="16"/>
                <w:szCs w:val="16"/>
                <w:u w:val="single"/>
                <w14:ligatures w14:val="none"/>
              </w:rPr>
            </w:pPr>
            <w:r>
              <w:rPr>
                <w:rFonts w:ascii="Cambria" w:hAnsi="Cambria"/>
                <w:color w:val="FF0000"/>
                <w:sz w:val="16"/>
                <w:u w:val="single"/>
              </w:rPr>
              <w:t>-97,00</w:t>
            </w:r>
          </w:p>
        </w:tc>
      </w:tr>
      <w:tr w:rsidR="00345C5F" w:rsidRPr="00052E06" w14:paraId="2DF55DAB" w14:textId="77777777" w:rsidTr="00CC30F2">
        <w:trPr>
          <w:trHeight w:val="113"/>
        </w:trPr>
        <w:tc>
          <w:tcPr>
            <w:tcW w:w="1420" w:type="pct"/>
            <w:tcBorders>
              <w:top w:val="nil"/>
              <w:left w:val="single" w:sz="8" w:space="0" w:color="auto"/>
              <w:bottom w:val="single" w:sz="4" w:space="0" w:color="auto"/>
              <w:right w:val="single" w:sz="8" w:space="0" w:color="auto"/>
            </w:tcBorders>
            <w:noWrap/>
            <w:vAlign w:val="bottom"/>
            <w:hideMark/>
          </w:tcPr>
          <w:p w14:paraId="1E7698E5" w14:textId="77777777" w:rsidR="00345C5F" w:rsidRPr="00CB23C4" w:rsidRDefault="00345C5F" w:rsidP="00CC30F2">
            <w:pPr>
              <w:spacing w:after="0" w:line="240" w:lineRule="auto"/>
              <w:rPr>
                <w:rFonts w:ascii="Cambria" w:eastAsia="Times New Roman" w:hAnsi="Cambria" w:cs="Arial"/>
                <w:b/>
                <w:bCs/>
                <w:kern w:val="0"/>
                <w:sz w:val="16"/>
                <w:szCs w:val="16"/>
                <w:u w:val="single"/>
                <w14:ligatures w14:val="none"/>
              </w:rPr>
            </w:pPr>
            <w:r>
              <w:rPr>
                <w:rFonts w:ascii="Cambria" w:hAnsi="Cambria"/>
                <w:b/>
                <w:sz w:val="16"/>
                <w:u w:val="single"/>
              </w:rPr>
              <w:t>CHINA</w:t>
            </w:r>
          </w:p>
        </w:tc>
        <w:tc>
          <w:tcPr>
            <w:tcW w:w="497" w:type="pct"/>
            <w:tcBorders>
              <w:top w:val="nil"/>
              <w:left w:val="nil"/>
              <w:bottom w:val="single" w:sz="4" w:space="0" w:color="auto"/>
              <w:right w:val="single" w:sz="4" w:space="0" w:color="auto"/>
            </w:tcBorders>
            <w:noWrap/>
            <w:vAlign w:val="bottom"/>
            <w:hideMark/>
          </w:tcPr>
          <w:p w14:paraId="46D44343"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2,00</w:t>
            </w:r>
          </w:p>
        </w:tc>
        <w:tc>
          <w:tcPr>
            <w:tcW w:w="497" w:type="pct"/>
            <w:tcBorders>
              <w:top w:val="nil"/>
              <w:left w:val="nil"/>
              <w:bottom w:val="single" w:sz="4" w:space="0" w:color="auto"/>
              <w:right w:val="nil"/>
            </w:tcBorders>
            <w:noWrap/>
            <w:vAlign w:val="bottom"/>
            <w:hideMark/>
          </w:tcPr>
          <w:p w14:paraId="58253269"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2,00</w:t>
            </w:r>
          </w:p>
        </w:tc>
        <w:tc>
          <w:tcPr>
            <w:tcW w:w="497" w:type="pct"/>
            <w:tcBorders>
              <w:top w:val="nil"/>
              <w:left w:val="single" w:sz="4" w:space="0" w:color="auto"/>
              <w:bottom w:val="single" w:sz="4" w:space="0" w:color="auto"/>
              <w:right w:val="single" w:sz="8" w:space="0" w:color="auto"/>
            </w:tcBorders>
            <w:noWrap/>
            <w:vAlign w:val="bottom"/>
            <w:hideMark/>
          </w:tcPr>
          <w:p w14:paraId="260BD484"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2,00</w:t>
            </w:r>
          </w:p>
        </w:tc>
        <w:tc>
          <w:tcPr>
            <w:tcW w:w="522" w:type="pct"/>
            <w:tcBorders>
              <w:top w:val="nil"/>
              <w:left w:val="nil"/>
              <w:bottom w:val="single" w:sz="4" w:space="0" w:color="auto"/>
              <w:right w:val="single" w:sz="4" w:space="0" w:color="auto"/>
            </w:tcBorders>
            <w:noWrap/>
            <w:vAlign w:val="bottom"/>
            <w:hideMark/>
          </w:tcPr>
          <w:p w14:paraId="2EE494C9"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0,00</w:t>
            </w:r>
          </w:p>
        </w:tc>
        <w:tc>
          <w:tcPr>
            <w:tcW w:w="497" w:type="pct"/>
            <w:tcBorders>
              <w:top w:val="nil"/>
              <w:left w:val="single" w:sz="4" w:space="0" w:color="auto"/>
              <w:bottom w:val="single" w:sz="4" w:space="0" w:color="auto"/>
              <w:right w:val="single" w:sz="8" w:space="0" w:color="auto"/>
            </w:tcBorders>
            <w:noWrap/>
            <w:vAlign w:val="bottom"/>
            <w:hideMark/>
          </w:tcPr>
          <w:p w14:paraId="122CABC7"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0,00</w:t>
            </w:r>
          </w:p>
        </w:tc>
        <w:tc>
          <w:tcPr>
            <w:tcW w:w="535" w:type="pct"/>
            <w:tcBorders>
              <w:top w:val="nil"/>
              <w:left w:val="nil"/>
              <w:bottom w:val="single" w:sz="4" w:space="0" w:color="auto"/>
              <w:right w:val="nil"/>
            </w:tcBorders>
            <w:noWrap/>
            <w:vAlign w:val="bottom"/>
            <w:hideMark/>
          </w:tcPr>
          <w:p w14:paraId="56C6B314"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2,00</w:t>
            </w:r>
          </w:p>
        </w:tc>
        <w:tc>
          <w:tcPr>
            <w:tcW w:w="535" w:type="pct"/>
            <w:tcBorders>
              <w:top w:val="nil"/>
              <w:left w:val="single" w:sz="4" w:space="0" w:color="auto"/>
              <w:bottom w:val="single" w:sz="4" w:space="0" w:color="auto"/>
              <w:right w:val="single" w:sz="8" w:space="0" w:color="auto"/>
            </w:tcBorders>
            <w:noWrap/>
            <w:vAlign w:val="bottom"/>
            <w:hideMark/>
          </w:tcPr>
          <w:p w14:paraId="1FD0F28A"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2,00</w:t>
            </w:r>
          </w:p>
        </w:tc>
      </w:tr>
      <w:tr w:rsidR="00345C5F" w:rsidRPr="00052E06" w14:paraId="39BA6E5E" w14:textId="77777777" w:rsidTr="00CC30F2">
        <w:trPr>
          <w:trHeight w:val="113"/>
        </w:trPr>
        <w:tc>
          <w:tcPr>
            <w:tcW w:w="1420" w:type="pct"/>
            <w:tcBorders>
              <w:top w:val="nil"/>
              <w:left w:val="single" w:sz="8" w:space="0" w:color="auto"/>
              <w:bottom w:val="single" w:sz="4" w:space="0" w:color="auto"/>
              <w:right w:val="single" w:sz="8" w:space="0" w:color="auto"/>
            </w:tcBorders>
            <w:noWrap/>
            <w:vAlign w:val="bottom"/>
            <w:hideMark/>
          </w:tcPr>
          <w:p w14:paraId="3917322D" w14:textId="77777777" w:rsidR="00345C5F" w:rsidRPr="00CB23C4" w:rsidRDefault="00345C5F" w:rsidP="00CC30F2">
            <w:pPr>
              <w:spacing w:after="0" w:line="240" w:lineRule="auto"/>
              <w:rPr>
                <w:rFonts w:ascii="Cambria" w:eastAsia="Times New Roman" w:hAnsi="Cambria" w:cs="Arial"/>
                <w:b/>
                <w:bCs/>
                <w:kern w:val="0"/>
                <w:sz w:val="16"/>
                <w:szCs w:val="16"/>
                <w:u w:val="single"/>
                <w14:ligatures w14:val="none"/>
              </w:rPr>
            </w:pPr>
            <w:r>
              <w:rPr>
                <w:rFonts w:ascii="Cambria" w:hAnsi="Cambria"/>
                <w:b/>
                <w:sz w:val="16"/>
                <w:u w:val="single"/>
              </w:rPr>
              <w:t>TAIPEI CHINO</w:t>
            </w:r>
          </w:p>
        </w:tc>
        <w:tc>
          <w:tcPr>
            <w:tcW w:w="497" w:type="pct"/>
            <w:tcBorders>
              <w:top w:val="nil"/>
              <w:left w:val="nil"/>
              <w:bottom w:val="single" w:sz="4" w:space="0" w:color="auto"/>
              <w:right w:val="single" w:sz="4" w:space="0" w:color="auto"/>
            </w:tcBorders>
            <w:noWrap/>
            <w:vAlign w:val="bottom"/>
            <w:hideMark/>
          </w:tcPr>
          <w:p w14:paraId="49ECC602"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61,00</w:t>
            </w:r>
          </w:p>
        </w:tc>
        <w:tc>
          <w:tcPr>
            <w:tcW w:w="497" w:type="pct"/>
            <w:tcBorders>
              <w:top w:val="nil"/>
              <w:left w:val="nil"/>
              <w:bottom w:val="single" w:sz="4" w:space="0" w:color="auto"/>
              <w:right w:val="nil"/>
            </w:tcBorders>
            <w:noWrap/>
            <w:vAlign w:val="bottom"/>
            <w:hideMark/>
          </w:tcPr>
          <w:p w14:paraId="1B751684"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61,00</w:t>
            </w:r>
          </w:p>
        </w:tc>
        <w:tc>
          <w:tcPr>
            <w:tcW w:w="497" w:type="pct"/>
            <w:tcBorders>
              <w:top w:val="nil"/>
              <w:left w:val="single" w:sz="4" w:space="0" w:color="auto"/>
              <w:bottom w:val="single" w:sz="4" w:space="0" w:color="auto"/>
              <w:right w:val="single" w:sz="8" w:space="0" w:color="auto"/>
            </w:tcBorders>
            <w:noWrap/>
            <w:vAlign w:val="bottom"/>
            <w:hideMark/>
          </w:tcPr>
          <w:p w14:paraId="75ED8CFB"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61,00</w:t>
            </w:r>
          </w:p>
        </w:tc>
        <w:tc>
          <w:tcPr>
            <w:tcW w:w="522" w:type="pct"/>
            <w:tcBorders>
              <w:top w:val="nil"/>
              <w:left w:val="nil"/>
              <w:bottom w:val="single" w:sz="4" w:space="0" w:color="auto"/>
              <w:right w:val="single" w:sz="4" w:space="0" w:color="auto"/>
            </w:tcBorders>
            <w:noWrap/>
            <w:vAlign w:val="bottom"/>
            <w:hideMark/>
          </w:tcPr>
          <w:p w14:paraId="354680E1"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2,00</w:t>
            </w:r>
          </w:p>
        </w:tc>
        <w:tc>
          <w:tcPr>
            <w:tcW w:w="497" w:type="pct"/>
            <w:tcBorders>
              <w:top w:val="nil"/>
              <w:left w:val="single" w:sz="4" w:space="0" w:color="auto"/>
              <w:bottom w:val="single" w:sz="4" w:space="0" w:color="auto"/>
              <w:right w:val="single" w:sz="8" w:space="0" w:color="auto"/>
            </w:tcBorders>
            <w:noWrap/>
            <w:vAlign w:val="bottom"/>
            <w:hideMark/>
          </w:tcPr>
          <w:p w14:paraId="6CCB0FC7"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4,84</w:t>
            </w:r>
          </w:p>
        </w:tc>
        <w:tc>
          <w:tcPr>
            <w:tcW w:w="535" w:type="pct"/>
            <w:tcBorders>
              <w:top w:val="nil"/>
              <w:left w:val="nil"/>
              <w:bottom w:val="single" w:sz="4" w:space="0" w:color="auto"/>
              <w:right w:val="nil"/>
            </w:tcBorders>
            <w:noWrap/>
            <w:vAlign w:val="bottom"/>
            <w:hideMark/>
          </w:tcPr>
          <w:p w14:paraId="45292F8B"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59,00</w:t>
            </w:r>
          </w:p>
        </w:tc>
        <w:tc>
          <w:tcPr>
            <w:tcW w:w="535" w:type="pct"/>
            <w:tcBorders>
              <w:top w:val="nil"/>
              <w:left w:val="single" w:sz="4" w:space="0" w:color="auto"/>
              <w:bottom w:val="single" w:sz="4" w:space="0" w:color="auto"/>
              <w:right w:val="single" w:sz="8" w:space="0" w:color="auto"/>
            </w:tcBorders>
            <w:noWrap/>
            <w:vAlign w:val="bottom"/>
            <w:hideMark/>
          </w:tcPr>
          <w:p w14:paraId="5811B0DA"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56,16</w:t>
            </w:r>
          </w:p>
        </w:tc>
      </w:tr>
      <w:tr w:rsidR="00345C5F" w:rsidRPr="00052E06" w14:paraId="3A645ED0" w14:textId="77777777" w:rsidTr="00CC30F2">
        <w:trPr>
          <w:trHeight w:val="113"/>
        </w:trPr>
        <w:tc>
          <w:tcPr>
            <w:tcW w:w="1420" w:type="pct"/>
            <w:tcBorders>
              <w:top w:val="nil"/>
              <w:left w:val="single" w:sz="8" w:space="0" w:color="auto"/>
              <w:bottom w:val="single" w:sz="4" w:space="0" w:color="auto"/>
              <w:right w:val="single" w:sz="8" w:space="0" w:color="auto"/>
            </w:tcBorders>
            <w:noWrap/>
            <w:vAlign w:val="bottom"/>
            <w:hideMark/>
          </w:tcPr>
          <w:p w14:paraId="4028D774" w14:textId="77777777" w:rsidR="00345C5F" w:rsidRPr="00CB23C4" w:rsidRDefault="00345C5F" w:rsidP="00CC30F2">
            <w:pPr>
              <w:spacing w:after="0" w:line="240" w:lineRule="auto"/>
              <w:rPr>
                <w:rFonts w:ascii="Cambria" w:eastAsia="Times New Roman" w:hAnsi="Cambria" w:cs="Arial"/>
                <w:b/>
                <w:bCs/>
                <w:kern w:val="0"/>
                <w:sz w:val="16"/>
                <w:szCs w:val="16"/>
                <w:u w:val="single"/>
                <w14:ligatures w14:val="none"/>
              </w:rPr>
            </w:pPr>
            <w:r>
              <w:rPr>
                <w:rFonts w:ascii="Cambria" w:hAnsi="Cambria"/>
                <w:b/>
                <w:sz w:val="16"/>
                <w:u w:val="single"/>
              </w:rPr>
              <w:t>CÔTE D'IVOIRE</w:t>
            </w:r>
          </w:p>
        </w:tc>
        <w:tc>
          <w:tcPr>
            <w:tcW w:w="497" w:type="pct"/>
            <w:tcBorders>
              <w:top w:val="nil"/>
              <w:left w:val="nil"/>
              <w:bottom w:val="single" w:sz="4" w:space="0" w:color="auto"/>
              <w:right w:val="single" w:sz="4" w:space="0" w:color="auto"/>
            </w:tcBorders>
            <w:noWrap/>
            <w:vAlign w:val="bottom"/>
            <w:hideMark/>
          </w:tcPr>
          <w:p w14:paraId="79DE45AB"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18,00</w:t>
            </w:r>
          </w:p>
        </w:tc>
        <w:tc>
          <w:tcPr>
            <w:tcW w:w="497" w:type="pct"/>
            <w:tcBorders>
              <w:top w:val="nil"/>
              <w:left w:val="nil"/>
              <w:bottom w:val="single" w:sz="4" w:space="0" w:color="auto"/>
              <w:right w:val="nil"/>
            </w:tcBorders>
            <w:noWrap/>
            <w:vAlign w:val="bottom"/>
            <w:hideMark/>
          </w:tcPr>
          <w:p w14:paraId="5F23AABA"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18,00</w:t>
            </w:r>
          </w:p>
        </w:tc>
        <w:tc>
          <w:tcPr>
            <w:tcW w:w="497" w:type="pct"/>
            <w:tcBorders>
              <w:top w:val="nil"/>
              <w:left w:val="single" w:sz="4" w:space="0" w:color="auto"/>
              <w:bottom w:val="single" w:sz="4" w:space="0" w:color="auto"/>
              <w:right w:val="single" w:sz="8" w:space="0" w:color="auto"/>
            </w:tcBorders>
            <w:noWrap/>
            <w:vAlign w:val="bottom"/>
            <w:hideMark/>
          </w:tcPr>
          <w:p w14:paraId="76599A47"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18,00</w:t>
            </w:r>
          </w:p>
        </w:tc>
        <w:tc>
          <w:tcPr>
            <w:tcW w:w="522" w:type="pct"/>
            <w:tcBorders>
              <w:top w:val="nil"/>
              <w:left w:val="nil"/>
              <w:bottom w:val="single" w:sz="4" w:space="0" w:color="auto"/>
              <w:right w:val="single" w:sz="4" w:space="0" w:color="auto"/>
            </w:tcBorders>
            <w:noWrap/>
            <w:vAlign w:val="bottom"/>
            <w:hideMark/>
          </w:tcPr>
          <w:p w14:paraId="66808788"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0,00</w:t>
            </w:r>
          </w:p>
        </w:tc>
        <w:tc>
          <w:tcPr>
            <w:tcW w:w="497" w:type="pct"/>
            <w:tcBorders>
              <w:top w:val="nil"/>
              <w:left w:val="single" w:sz="4" w:space="0" w:color="auto"/>
              <w:bottom w:val="single" w:sz="4" w:space="0" w:color="auto"/>
              <w:right w:val="single" w:sz="8" w:space="0" w:color="auto"/>
            </w:tcBorders>
            <w:noWrap/>
            <w:vAlign w:val="bottom"/>
            <w:hideMark/>
          </w:tcPr>
          <w:p w14:paraId="6BDC626A"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 </w:t>
            </w:r>
          </w:p>
        </w:tc>
        <w:tc>
          <w:tcPr>
            <w:tcW w:w="535" w:type="pct"/>
            <w:tcBorders>
              <w:top w:val="nil"/>
              <w:left w:val="nil"/>
              <w:bottom w:val="single" w:sz="4" w:space="0" w:color="auto"/>
              <w:right w:val="nil"/>
            </w:tcBorders>
            <w:noWrap/>
            <w:vAlign w:val="bottom"/>
            <w:hideMark/>
          </w:tcPr>
          <w:p w14:paraId="00B87FF0"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18,00</w:t>
            </w:r>
          </w:p>
        </w:tc>
        <w:tc>
          <w:tcPr>
            <w:tcW w:w="535" w:type="pct"/>
            <w:tcBorders>
              <w:top w:val="nil"/>
              <w:left w:val="single" w:sz="4" w:space="0" w:color="auto"/>
              <w:bottom w:val="single" w:sz="4" w:space="0" w:color="auto"/>
              <w:right w:val="single" w:sz="8" w:space="0" w:color="auto"/>
            </w:tcBorders>
            <w:noWrap/>
            <w:vAlign w:val="bottom"/>
            <w:hideMark/>
          </w:tcPr>
          <w:p w14:paraId="4110BE61"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 </w:t>
            </w:r>
          </w:p>
        </w:tc>
      </w:tr>
      <w:tr w:rsidR="00345C5F" w:rsidRPr="00052E06" w14:paraId="754A6D60" w14:textId="77777777" w:rsidTr="00CC30F2">
        <w:trPr>
          <w:trHeight w:val="113"/>
        </w:trPr>
        <w:tc>
          <w:tcPr>
            <w:tcW w:w="1420" w:type="pct"/>
            <w:tcBorders>
              <w:top w:val="nil"/>
              <w:left w:val="single" w:sz="8" w:space="0" w:color="auto"/>
              <w:bottom w:val="single" w:sz="4" w:space="0" w:color="auto"/>
              <w:right w:val="single" w:sz="8" w:space="0" w:color="auto"/>
            </w:tcBorders>
            <w:noWrap/>
            <w:vAlign w:val="bottom"/>
            <w:hideMark/>
          </w:tcPr>
          <w:p w14:paraId="3796331F" w14:textId="77777777" w:rsidR="00345C5F" w:rsidRPr="00CB23C4" w:rsidRDefault="00345C5F" w:rsidP="00CC30F2">
            <w:pPr>
              <w:spacing w:after="0" w:line="240" w:lineRule="auto"/>
              <w:rPr>
                <w:rFonts w:ascii="Cambria" w:eastAsia="Times New Roman" w:hAnsi="Cambria" w:cs="Arial"/>
                <w:b/>
                <w:bCs/>
                <w:kern w:val="0"/>
                <w:sz w:val="16"/>
                <w:szCs w:val="16"/>
                <w:u w:val="single"/>
                <w14:ligatures w14:val="none"/>
              </w:rPr>
            </w:pPr>
            <w:r>
              <w:rPr>
                <w:rFonts w:ascii="Cambria" w:hAnsi="Cambria"/>
                <w:b/>
                <w:sz w:val="16"/>
                <w:u w:val="single"/>
              </w:rPr>
              <w:t>CURAZAO</w:t>
            </w:r>
          </w:p>
        </w:tc>
        <w:tc>
          <w:tcPr>
            <w:tcW w:w="497" w:type="pct"/>
            <w:tcBorders>
              <w:top w:val="nil"/>
              <w:left w:val="nil"/>
              <w:bottom w:val="single" w:sz="4" w:space="0" w:color="auto"/>
              <w:right w:val="single" w:sz="4" w:space="0" w:color="auto"/>
            </w:tcBorders>
            <w:noWrap/>
            <w:vAlign w:val="bottom"/>
            <w:hideMark/>
          </w:tcPr>
          <w:p w14:paraId="1833F2C6"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0,00</w:t>
            </w:r>
          </w:p>
        </w:tc>
        <w:tc>
          <w:tcPr>
            <w:tcW w:w="497" w:type="pct"/>
            <w:tcBorders>
              <w:top w:val="nil"/>
              <w:left w:val="nil"/>
              <w:bottom w:val="single" w:sz="4" w:space="0" w:color="auto"/>
              <w:right w:val="nil"/>
            </w:tcBorders>
            <w:noWrap/>
            <w:vAlign w:val="bottom"/>
            <w:hideMark/>
          </w:tcPr>
          <w:p w14:paraId="1BF5467C"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0,00</w:t>
            </w:r>
          </w:p>
        </w:tc>
        <w:tc>
          <w:tcPr>
            <w:tcW w:w="497" w:type="pct"/>
            <w:tcBorders>
              <w:top w:val="nil"/>
              <w:left w:val="single" w:sz="4" w:space="0" w:color="auto"/>
              <w:bottom w:val="single" w:sz="4" w:space="0" w:color="auto"/>
              <w:right w:val="single" w:sz="8" w:space="0" w:color="auto"/>
            </w:tcBorders>
            <w:noWrap/>
            <w:vAlign w:val="bottom"/>
            <w:hideMark/>
          </w:tcPr>
          <w:p w14:paraId="2B9DD180"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0,00</w:t>
            </w:r>
          </w:p>
        </w:tc>
        <w:tc>
          <w:tcPr>
            <w:tcW w:w="522" w:type="pct"/>
            <w:tcBorders>
              <w:top w:val="nil"/>
              <w:left w:val="nil"/>
              <w:bottom w:val="single" w:sz="4" w:space="0" w:color="auto"/>
              <w:right w:val="single" w:sz="4" w:space="0" w:color="auto"/>
            </w:tcBorders>
            <w:noWrap/>
            <w:vAlign w:val="bottom"/>
            <w:hideMark/>
          </w:tcPr>
          <w:p w14:paraId="607AD5CB"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 </w:t>
            </w:r>
          </w:p>
        </w:tc>
        <w:tc>
          <w:tcPr>
            <w:tcW w:w="497" w:type="pct"/>
            <w:tcBorders>
              <w:top w:val="nil"/>
              <w:left w:val="single" w:sz="4" w:space="0" w:color="auto"/>
              <w:bottom w:val="single" w:sz="4" w:space="0" w:color="auto"/>
              <w:right w:val="single" w:sz="8" w:space="0" w:color="auto"/>
            </w:tcBorders>
            <w:noWrap/>
            <w:vAlign w:val="bottom"/>
            <w:hideMark/>
          </w:tcPr>
          <w:p w14:paraId="6368B2B9"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 </w:t>
            </w:r>
          </w:p>
        </w:tc>
        <w:tc>
          <w:tcPr>
            <w:tcW w:w="535" w:type="pct"/>
            <w:tcBorders>
              <w:top w:val="nil"/>
              <w:left w:val="nil"/>
              <w:bottom w:val="single" w:sz="4" w:space="0" w:color="auto"/>
              <w:right w:val="nil"/>
            </w:tcBorders>
            <w:noWrap/>
            <w:vAlign w:val="bottom"/>
            <w:hideMark/>
          </w:tcPr>
          <w:p w14:paraId="429D4537"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 </w:t>
            </w:r>
          </w:p>
        </w:tc>
        <w:tc>
          <w:tcPr>
            <w:tcW w:w="535" w:type="pct"/>
            <w:tcBorders>
              <w:top w:val="nil"/>
              <w:left w:val="single" w:sz="4" w:space="0" w:color="auto"/>
              <w:bottom w:val="single" w:sz="4" w:space="0" w:color="auto"/>
              <w:right w:val="single" w:sz="8" w:space="0" w:color="auto"/>
            </w:tcBorders>
            <w:noWrap/>
            <w:vAlign w:val="bottom"/>
            <w:hideMark/>
          </w:tcPr>
          <w:p w14:paraId="267518F0"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 </w:t>
            </w:r>
          </w:p>
        </w:tc>
      </w:tr>
      <w:tr w:rsidR="00345C5F" w:rsidRPr="00052E06" w14:paraId="07AA5698" w14:textId="77777777" w:rsidTr="00CC30F2">
        <w:trPr>
          <w:trHeight w:val="113"/>
        </w:trPr>
        <w:tc>
          <w:tcPr>
            <w:tcW w:w="1420" w:type="pct"/>
            <w:tcBorders>
              <w:top w:val="nil"/>
              <w:left w:val="single" w:sz="8" w:space="0" w:color="auto"/>
              <w:bottom w:val="single" w:sz="4" w:space="0" w:color="auto"/>
              <w:right w:val="single" w:sz="8" w:space="0" w:color="auto"/>
            </w:tcBorders>
            <w:noWrap/>
            <w:vAlign w:val="bottom"/>
            <w:hideMark/>
          </w:tcPr>
          <w:p w14:paraId="4352F2F0" w14:textId="77777777" w:rsidR="00345C5F" w:rsidRPr="00CB23C4" w:rsidRDefault="00345C5F" w:rsidP="00CC30F2">
            <w:pPr>
              <w:spacing w:after="0" w:line="240" w:lineRule="auto"/>
              <w:rPr>
                <w:rFonts w:ascii="Cambria" w:eastAsia="Times New Roman" w:hAnsi="Cambria" w:cs="Arial"/>
                <w:b/>
                <w:bCs/>
                <w:kern w:val="0"/>
                <w:sz w:val="16"/>
                <w:szCs w:val="16"/>
                <w:u w:val="single"/>
                <w14:ligatures w14:val="none"/>
              </w:rPr>
            </w:pPr>
            <w:r>
              <w:rPr>
                <w:rFonts w:ascii="Cambria" w:hAnsi="Cambria"/>
                <w:b/>
                <w:sz w:val="16"/>
                <w:u w:val="single"/>
              </w:rPr>
              <w:t>EL SALVADOR</w:t>
            </w:r>
          </w:p>
        </w:tc>
        <w:tc>
          <w:tcPr>
            <w:tcW w:w="497" w:type="pct"/>
            <w:tcBorders>
              <w:top w:val="nil"/>
              <w:left w:val="nil"/>
              <w:bottom w:val="single" w:sz="4" w:space="0" w:color="auto"/>
              <w:right w:val="single" w:sz="4" w:space="0" w:color="auto"/>
            </w:tcBorders>
            <w:noWrap/>
            <w:vAlign w:val="bottom"/>
            <w:hideMark/>
          </w:tcPr>
          <w:p w14:paraId="603EACCA"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0,00</w:t>
            </w:r>
          </w:p>
        </w:tc>
        <w:tc>
          <w:tcPr>
            <w:tcW w:w="497" w:type="pct"/>
            <w:tcBorders>
              <w:top w:val="nil"/>
              <w:left w:val="nil"/>
              <w:bottom w:val="single" w:sz="4" w:space="0" w:color="auto"/>
              <w:right w:val="nil"/>
            </w:tcBorders>
            <w:noWrap/>
            <w:vAlign w:val="bottom"/>
            <w:hideMark/>
          </w:tcPr>
          <w:p w14:paraId="5F77A5C9"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0,00</w:t>
            </w:r>
          </w:p>
        </w:tc>
        <w:tc>
          <w:tcPr>
            <w:tcW w:w="497" w:type="pct"/>
            <w:tcBorders>
              <w:top w:val="nil"/>
              <w:left w:val="single" w:sz="4" w:space="0" w:color="auto"/>
              <w:bottom w:val="single" w:sz="4" w:space="0" w:color="auto"/>
              <w:right w:val="single" w:sz="8" w:space="0" w:color="auto"/>
            </w:tcBorders>
            <w:noWrap/>
            <w:vAlign w:val="bottom"/>
            <w:hideMark/>
          </w:tcPr>
          <w:p w14:paraId="0C1FF926"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0,00</w:t>
            </w:r>
          </w:p>
        </w:tc>
        <w:tc>
          <w:tcPr>
            <w:tcW w:w="522" w:type="pct"/>
            <w:tcBorders>
              <w:top w:val="nil"/>
              <w:left w:val="nil"/>
              <w:bottom w:val="single" w:sz="4" w:space="0" w:color="auto"/>
              <w:right w:val="single" w:sz="4" w:space="0" w:color="auto"/>
            </w:tcBorders>
            <w:noWrap/>
            <w:vAlign w:val="bottom"/>
            <w:hideMark/>
          </w:tcPr>
          <w:p w14:paraId="41A5D436"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0,00</w:t>
            </w:r>
          </w:p>
        </w:tc>
        <w:tc>
          <w:tcPr>
            <w:tcW w:w="497" w:type="pct"/>
            <w:tcBorders>
              <w:top w:val="nil"/>
              <w:left w:val="single" w:sz="4" w:space="0" w:color="auto"/>
              <w:bottom w:val="single" w:sz="4" w:space="0" w:color="auto"/>
              <w:right w:val="single" w:sz="8" w:space="0" w:color="auto"/>
            </w:tcBorders>
            <w:noWrap/>
            <w:vAlign w:val="bottom"/>
            <w:hideMark/>
          </w:tcPr>
          <w:p w14:paraId="11CAF84E"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 </w:t>
            </w:r>
          </w:p>
        </w:tc>
        <w:tc>
          <w:tcPr>
            <w:tcW w:w="535" w:type="pct"/>
            <w:tcBorders>
              <w:top w:val="nil"/>
              <w:left w:val="nil"/>
              <w:bottom w:val="single" w:sz="4" w:space="0" w:color="auto"/>
              <w:right w:val="nil"/>
            </w:tcBorders>
            <w:noWrap/>
            <w:vAlign w:val="bottom"/>
            <w:hideMark/>
          </w:tcPr>
          <w:p w14:paraId="32A49643"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0,00</w:t>
            </w:r>
          </w:p>
        </w:tc>
        <w:tc>
          <w:tcPr>
            <w:tcW w:w="535" w:type="pct"/>
            <w:tcBorders>
              <w:top w:val="nil"/>
              <w:left w:val="single" w:sz="4" w:space="0" w:color="auto"/>
              <w:bottom w:val="single" w:sz="4" w:space="0" w:color="auto"/>
              <w:right w:val="single" w:sz="8" w:space="0" w:color="auto"/>
            </w:tcBorders>
            <w:noWrap/>
            <w:vAlign w:val="bottom"/>
            <w:hideMark/>
          </w:tcPr>
          <w:p w14:paraId="6F255E94"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 </w:t>
            </w:r>
          </w:p>
        </w:tc>
      </w:tr>
      <w:tr w:rsidR="00345C5F" w:rsidRPr="00052E06" w14:paraId="739634F3" w14:textId="77777777" w:rsidTr="00CC30F2">
        <w:trPr>
          <w:trHeight w:val="113"/>
        </w:trPr>
        <w:tc>
          <w:tcPr>
            <w:tcW w:w="1420" w:type="pct"/>
            <w:tcBorders>
              <w:top w:val="nil"/>
              <w:left w:val="single" w:sz="8" w:space="0" w:color="auto"/>
              <w:bottom w:val="single" w:sz="4" w:space="0" w:color="auto"/>
              <w:right w:val="single" w:sz="8" w:space="0" w:color="auto"/>
            </w:tcBorders>
            <w:noWrap/>
            <w:vAlign w:val="bottom"/>
            <w:hideMark/>
          </w:tcPr>
          <w:p w14:paraId="2CC8BE64" w14:textId="77777777" w:rsidR="00345C5F" w:rsidRPr="00CB23C4" w:rsidRDefault="00345C5F" w:rsidP="00CC30F2">
            <w:pPr>
              <w:spacing w:after="0" w:line="240" w:lineRule="auto"/>
              <w:rPr>
                <w:rFonts w:ascii="Cambria" w:eastAsia="Times New Roman" w:hAnsi="Cambria" w:cs="Arial"/>
                <w:b/>
                <w:bCs/>
                <w:kern w:val="0"/>
                <w:sz w:val="16"/>
                <w:szCs w:val="16"/>
                <w:u w:val="single"/>
                <w14:ligatures w14:val="none"/>
              </w:rPr>
            </w:pPr>
            <w:r>
              <w:rPr>
                <w:rFonts w:ascii="Cambria" w:hAnsi="Cambria"/>
                <w:b/>
                <w:sz w:val="16"/>
                <w:u w:val="single"/>
              </w:rPr>
              <w:t>UE</w:t>
            </w:r>
          </w:p>
        </w:tc>
        <w:tc>
          <w:tcPr>
            <w:tcW w:w="497" w:type="pct"/>
            <w:tcBorders>
              <w:top w:val="nil"/>
              <w:left w:val="nil"/>
              <w:bottom w:val="single" w:sz="4" w:space="0" w:color="auto"/>
              <w:right w:val="single" w:sz="4" w:space="0" w:color="auto"/>
            </w:tcBorders>
            <w:noWrap/>
            <w:vAlign w:val="bottom"/>
            <w:hideMark/>
          </w:tcPr>
          <w:p w14:paraId="2C3CCC82"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503,00</w:t>
            </w:r>
          </w:p>
        </w:tc>
        <w:tc>
          <w:tcPr>
            <w:tcW w:w="497" w:type="pct"/>
            <w:tcBorders>
              <w:top w:val="nil"/>
              <w:left w:val="nil"/>
              <w:bottom w:val="single" w:sz="4" w:space="0" w:color="auto"/>
              <w:right w:val="nil"/>
            </w:tcBorders>
            <w:noWrap/>
            <w:vAlign w:val="bottom"/>
            <w:hideMark/>
          </w:tcPr>
          <w:p w14:paraId="337E6A53"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503,00</w:t>
            </w:r>
          </w:p>
        </w:tc>
        <w:tc>
          <w:tcPr>
            <w:tcW w:w="497" w:type="pct"/>
            <w:tcBorders>
              <w:top w:val="nil"/>
              <w:left w:val="single" w:sz="4" w:space="0" w:color="auto"/>
              <w:bottom w:val="single" w:sz="4" w:space="0" w:color="auto"/>
              <w:right w:val="single" w:sz="8" w:space="0" w:color="auto"/>
            </w:tcBorders>
            <w:noWrap/>
            <w:vAlign w:val="bottom"/>
            <w:hideMark/>
          </w:tcPr>
          <w:p w14:paraId="13C1B67D"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503,00</w:t>
            </w:r>
          </w:p>
        </w:tc>
        <w:tc>
          <w:tcPr>
            <w:tcW w:w="522" w:type="pct"/>
            <w:tcBorders>
              <w:top w:val="nil"/>
              <w:left w:val="nil"/>
              <w:bottom w:val="single" w:sz="4" w:space="0" w:color="auto"/>
              <w:right w:val="single" w:sz="4" w:space="0" w:color="auto"/>
            </w:tcBorders>
            <w:noWrap/>
            <w:vAlign w:val="bottom"/>
            <w:hideMark/>
          </w:tcPr>
          <w:p w14:paraId="0982A611"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0,00</w:t>
            </w:r>
          </w:p>
        </w:tc>
        <w:tc>
          <w:tcPr>
            <w:tcW w:w="497" w:type="pct"/>
            <w:tcBorders>
              <w:top w:val="nil"/>
              <w:left w:val="single" w:sz="4" w:space="0" w:color="auto"/>
              <w:bottom w:val="single" w:sz="4" w:space="0" w:color="auto"/>
              <w:right w:val="single" w:sz="8" w:space="0" w:color="auto"/>
            </w:tcBorders>
            <w:noWrap/>
            <w:vAlign w:val="bottom"/>
            <w:hideMark/>
          </w:tcPr>
          <w:p w14:paraId="742986AE"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0,00</w:t>
            </w:r>
          </w:p>
        </w:tc>
        <w:tc>
          <w:tcPr>
            <w:tcW w:w="535" w:type="pct"/>
            <w:tcBorders>
              <w:top w:val="nil"/>
              <w:left w:val="nil"/>
              <w:bottom w:val="single" w:sz="4" w:space="0" w:color="auto"/>
              <w:right w:val="nil"/>
            </w:tcBorders>
            <w:noWrap/>
            <w:vAlign w:val="bottom"/>
            <w:hideMark/>
          </w:tcPr>
          <w:p w14:paraId="7820BD5D"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503,00</w:t>
            </w:r>
          </w:p>
        </w:tc>
        <w:tc>
          <w:tcPr>
            <w:tcW w:w="535" w:type="pct"/>
            <w:tcBorders>
              <w:top w:val="nil"/>
              <w:left w:val="single" w:sz="4" w:space="0" w:color="auto"/>
              <w:bottom w:val="single" w:sz="4" w:space="0" w:color="auto"/>
              <w:right w:val="single" w:sz="8" w:space="0" w:color="auto"/>
            </w:tcBorders>
            <w:noWrap/>
            <w:vAlign w:val="bottom"/>
            <w:hideMark/>
          </w:tcPr>
          <w:p w14:paraId="1B0D983E"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503,00</w:t>
            </w:r>
          </w:p>
        </w:tc>
      </w:tr>
      <w:tr w:rsidR="00345C5F" w:rsidRPr="00052E06" w14:paraId="18C7EDEA" w14:textId="77777777" w:rsidTr="00CC30F2">
        <w:trPr>
          <w:trHeight w:val="113"/>
        </w:trPr>
        <w:tc>
          <w:tcPr>
            <w:tcW w:w="1420" w:type="pct"/>
            <w:tcBorders>
              <w:top w:val="nil"/>
              <w:left w:val="single" w:sz="8" w:space="0" w:color="auto"/>
              <w:bottom w:val="single" w:sz="4" w:space="0" w:color="auto"/>
              <w:right w:val="single" w:sz="8" w:space="0" w:color="auto"/>
            </w:tcBorders>
            <w:noWrap/>
            <w:vAlign w:val="bottom"/>
            <w:hideMark/>
          </w:tcPr>
          <w:p w14:paraId="647A317B" w14:textId="77777777" w:rsidR="00345C5F" w:rsidRPr="00CB23C4" w:rsidRDefault="00345C5F" w:rsidP="00CC30F2">
            <w:pPr>
              <w:spacing w:after="0" w:line="240" w:lineRule="auto"/>
              <w:rPr>
                <w:rFonts w:ascii="Cambria" w:eastAsia="Times New Roman" w:hAnsi="Cambria" w:cs="Arial"/>
                <w:b/>
                <w:bCs/>
                <w:kern w:val="0"/>
                <w:sz w:val="16"/>
                <w:szCs w:val="16"/>
                <w:u w:val="single"/>
                <w14:ligatures w14:val="none"/>
              </w:rPr>
            </w:pPr>
            <w:r>
              <w:rPr>
                <w:rFonts w:ascii="Cambria" w:hAnsi="Cambria"/>
                <w:b/>
                <w:sz w:val="16"/>
                <w:u w:val="single"/>
              </w:rPr>
              <w:t>GUATEMALA</w:t>
            </w:r>
          </w:p>
        </w:tc>
        <w:tc>
          <w:tcPr>
            <w:tcW w:w="497" w:type="pct"/>
            <w:tcBorders>
              <w:top w:val="nil"/>
              <w:left w:val="nil"/>
              <w:bottom w:val="single" w:sz="4" w:space="0" w:color="auto"/>
              <w:right w:val="single" w:sz="4" w:space="0" w:color="auto"/>
            </w:tcBorders>
            <w:noWrap/>
            <w:vAlign w:val="bottom"/>
            <w:hideMark/>
          </w:tcPr>
          <w:p w14:paraId="3EC92868"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0,00</w:t>
            </w:r>
          </w:p>
        </w:tc>
        <w:tc>
          <w:tcPr>
            <w:tcW w:w="497" w:type="pct"/>
            <w:tcBorders>
              <w:top w:val="nil"/>
              <w:left w:val="nil"/>
              <w:bottom w:val="single" w:sz="4" w:space="0" w:color="auto"/>
              <w:right w:val="nil"/>
            </w:tcBorders>
            <w:noWrap/>
            <w:vAlign w:val="bottom"/>
            <w:hideMark/>
          </w:tcPr>
          <w:p w14:paraId="461FE6C3"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0,00</w:t>
            </w:r>
          </w:p>
        </w:tc>
        <w:tc>
          <w:tcPr>
            <w:tcW w:w="497" w:type="pct"/>
            <w:tcBorders>
              <w:top w:val="nil"/>
              <w:left w:val="single" w:sz="4" w:space="0" w:color="auto"/>
              <w:bottom w:val="single" w:sz="4" w:space="0" w:color="auto"/>
              <w:right w:val="single" w:sz="8" w:space="0" w:color="auto"/>
            </w:tcBorders>
            <w:noWrap/>
            <w:vAlign w:val="bottom"/>
            <w:hideMark/>
          </w:tcPr>
          <w:p w14:paraId="50E49D88"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0,00</w:t>
            </w:r>
          </w:p>
        </w:tc>
        <w:tc>
          <w:tcPr>
            <w:tcW w:w="522" w:type="pct"/>
            <w:tcBorders>
              <w:top w:val="nil"/>
              <w:left w:val="nil"/>
              <w:bottom w:val="single" w:sz="4" w:space="0" w:color="auto"/>
              <w:right w:val="single" w:sz="4" w:space="0" w:color="auto"/>
            </w:tcBorders>
            <w:noWrap/>
            <w:vAlign w:val="bottom"/>
            <w:hideMark/>
          </w:tcPr>
          <w:p w14:paraId="6D7C4A50"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 </w:t>
            </w:r>
          </w:p>
        </w:tc>
        <w:tc>
          <w:tcPr>
            <w:tcW w:w="497" w:type="pct"/>
            <w:tcBorders>
              <w:top w:val="nil"/>
              <w:left w:val="single" w:sz="4" w:space="0" w:color="auto"/>
              <w:bottom w:val="single" w:sz="4" w:space="0" w:color="auto"/>
              <w:right w:val="single" w:sz="8" w:space="0" w:color="auto"/>
            </w:tcBorders>
            <w:noWrap/>
            <w:vAlign w:val="bottom"/>
            <w:hideMark/>
          </w:tcPr>
          <w:p w14:paraId="543BCC15"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 </w:t>
            </w:r>
          </w:p>
        </w:tc>
        <w:tc>
          <w:tcPr>
            <w:tcW w:w="535" w:type="pct"/>
            <w:tcBorders>
              <w:top w:val="nil"/>
              <w:left w:val="nil"/>
              <w:bottom w:val="single" w:sz="4" w:space="0" w:color="auto"/>
              <w:right w:val="nil"/>
            </w:tcBorders>
            <w:noWrap/>
            <w:vAlign w:val="bottom"/>
            <w:hideMark/>
          </w:tcPr>
          <w:p w14:paraId="1511268F"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 </w:t>
            </w:r>
          </w:p>
        </w:tc>
        <w:tc>
          <w:tcPr>
            <w:tcW w:w="535" w:type="pct"/>
            <w:tcBorders>
              <w:top w:val="nil"/>
              <w:left w:val="single" w:sz="4" w:space="0" w:color="auto"/>
              <w:bottom w:val="single" w:sz="4" w:space="0" w:color="auto"/>
              <w:right w:val="single" w:sz="8" w:space="0" w:color="auto"/>
            </w:tcBorders>
            <w:noWrap/>
            <w:vAlign w:val="bottom"/>
            <w:hideMark/>
          </w:tcPr>
          <w:p w14:paraId="4E010920"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 </w:t>
            </w:r>
          </w:p>
        </w:tc>
      </w:tr>
      <w:tr w:rsidR="00345C5F" w:rsidRPr="00052E06" w14:paraId="6F3B93D4" w14:textId="77777777" w:rsidTr="00CC30F2">
        <w:trPr>
          <w:trHeight w:val="113"/>
        </w:trPr>
        <w:tc>
          <w:tcPr>
            <w:tcW w:w="1420" w:type="pct"/>
            <w:tcBorders>
              <w:top w:val="nil"/>
              <w:left w:val="single" w:sz="8" w:space="0" w:color="auto"/>
              <w:bottom w:val="single" w:sz="4" w:space="0" w:color="auto"/>
              <w:right w:val="single" w:sz="8" w:space="0" w:color="auto"/>
            </w:tcBorders>
            <w:noWrap/>
            <w:vAlign w:val="bottom"/>
            <w:hideMark/>
          </w:tcPr>
          <w:p w14:paraId="48FEE2F4" w14:textId="77777777" w:rsidR="00345C5F" w:rsidRPr="00CB23C4" w:rsidRDefault="00345C5F" w:rsidP="00CC30F2">
            <w:pPr>
              <w:spacing w:after="0" w:line="240" w:lineRule="auto"/>
              <w:rPr>
                <w:rFonts w:ascii="Cambria" w:eastAsia="Times New Roman" w:hAnsi="Cambria" w:cs="Arial"/>
                <w:b/>
                <w:bCs/>
                <w:kern w:val="0"/>
                <w:sz w:val="16"/>
                <w:szCs w:val="16"/>
                <w:u w:val="single"/>
                <w14:ligatures w14:val="none"/>
              </w:rPr>
            </w:pPr>
            <w:r>
              <w:rPr>
                <w:rFonts w:ascii="Cambria" w:hAnsi="Cambria"/>
                <w:b/>
                <w:sz w:val="16"/>
                <w:u w:val="single"/>
              </w:rPr>
              <w:t>JAPÓN</w:t>
            </w:r>
          </w:p>
        </w:tc>
        <w:tc>
          <w:tcPr>
            <w:tcW w:w="497" w:type="pct"/>
            <w:tcBorders>
              <w:top w:val="nil"/>
              <w:left w:val="nil"/>
              <w:bottom w:val="single" w:sz="4" w:space="0" w:color="auto"/>
              <w:right w:val="single" w:sz="4" w:space="0" w:color="auto"/>
            </w:tcBorders>
            <w:noWrap/>
            <w:vAlign w:val="bottom"/>
            <w:hideMark/>
          </w:tcPr>
          <w:p w14:paraId="75558646"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62,00</w:t>
            </w:r>
          </w:p>
        </w:tc>
        <w:tc>
          <w:tcPr>
            <w:tcW w:w="497" w:type="pct"/>
            <w:tcBorders>
              <w:top w:val="nil"/>
              <w:left w:val="nil"/>
              <w:bottom w:val="single" w:sz="4" w:space="0" w:color="auto"/>
              <w:right w:val="nil"/>
            </w:tcBorders>
            <w:noWrap/>
            <w:vAlign w:val="bottom"/>
            <w:hideMark/>
          </w:tcPr>
          <w:p w14:paraId="6D0D3140"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62,00</w:t>
            </w:r>
          </w:p>
        </w:tc>
        <w:tc>
          <w:tcPr>
            <w:tcW w:w="497" w:type="pct"/>
            <w:tcBorders>
              <w:top w:val="nil"/>
              <w:left w:val="single" w:sz="4" w:space="0" w:color="auto"/>
              <w:bottom w:val="single" w:sz="4" w:space="0" w:color="auto"/>
              <w:right w:val="single" w:sz="8" w:space="0" w:color="auto"/>
            </w:tcBorders>
            <w:noWrap/>
            <w:vAlign w:val="bottom"/>
            <w:hideMark/>
          </w:tcPr>
          <w:p w14:paraId="2E274DFA"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62,00</w:t>
            </w:r>
          </w:p>
        </w:tc>
        <w:tc>
          <w:tcPr>
            <w:tcW w:w="522" w:type="pct"/>
            <w:tcBorders>
              <w:top w:val="nil"/>
              <w:left w:val="nil"/>
              <w:bottom w:val="single" w:sz="4" w:space="0" w:color="auto"/>
              <w:right w:val="single" w:sz="4" w:space="0" w:color="auto"/>
            </w:tcBorders>
            <w:noWrap/>
            <w:vAlign w:val="bottom"/>
            <w:hideMark/>
          </w:tcPr>
          <w:p w14:paraId="34E72EB0"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4,40</w:t>
            </w:r>
          </w:p>
        </w:tc>
        <w:tc>
          <w:tcPr>
            <w:tcW w:w="497" w:type="pct"/>
            <w:tcBorders>
              <w:top w:val="nil"/>
              <w:left w:val="single" w:sz="4" w:space="0" w:color="auto"/>
              <w:bottom w:val="single" w:sz="4" w:space="0" w:color="auto"/>
              <w:right w:val="single" w:sz="8" w:space="0" w:color="auto"/>
            </w:tcBorders>
            <w:noWrap/>
            <w:vAlign w:val="bottom"/>
            <w:hideMark/>
          </w:tcPr>
          <w:p w14:paraId="23F6D8A0"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0,00</w:t>
            </w:r>
          </w:p>
        </w:tc>
        <w:tc>
          <w:tcPr>
            <w:tcW w:w="535" w:type="pct"/>
            <w:tcBorders>
              <w:top w:val="nil"/>
              <w:left w:val="nil"/>
              <w:bottom w:val="single" w:sz="4" w:space="0" w:color="auto"/>
              <w:right w:val="nil"/>
            </w:tcBorders>
            <w:noWrap/>
            <w:vAlign w:val="bottom"/>
            <w:hideMark/>
          </w:tcPr>
          <w:p w14:paraId="4FE13EED"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57,60</w:t>
            </w:r>
          </w:p>
        </w:tc>
        <w:tc>
          <w:tcPr>
            <w:tcW w:w="535" w:type="pct"/>
            <w:tcBorders>
              <w:top w:val="nil"/>
              <w:left w:val="single" w:sz="4" w:space="0" w:color="auto"/>
              <w:bottom w:val="single" w:sz="4" w:space="0" w:color="auto"/>
              <w:right w:val="single" w:sz="8" w:space="0" w:color="auto"/>
            </w:tcBorders>
            <w:noWrap/>
            <w:vAlign w:val="bottom"/>
            <w:hideMark/>
          </w:tcPr>
          <w:p w14:paraId="0F37EAE9"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62,00</w:t>
            </w:r>
          </w:p>
        </w:tc>
      </w:tr>
      <w:tr w:rsidR="00345C5F" w:rsidRPr="00052E06" w14:paraId="5079B195" w14:textId="77777777" w:rsidTr="00CC30F2">
        <w:trPr>
          <w:trHeight w:val="113"/>
        </w:trPr>
        <w:tc>
          <w:tcPr>
            <w:tcW w:w="1420" w:type="pct"/>
            <w:tcBorders>
              <w:top w:val="nil"/>
              <w:left w:val="single" w:sz="8" w:space="0" w:color="auto"/>
              <w:bottom w:val="single" w:sz="4" w:space="0" w:color="auto"/>
              <w:right w:val="single" w:sz="8" w:space="0" w:color="auto"/>
            </w:tcBorders>
            <w:noWrap/>
            <w:vAlign w:val="bottom"/>
            <w:hideMark/>
          </w:tcPr>
          <w:p w14:paraId="5BA32C24" w14:textId="77777777" w:rsidR="00345C5F" w:rsidRPr="00CB23C4" w:rsidRDefault="00345C5F" w:rsidP="00CC30F2">
            <w:pPr>
              <w:spacing w:after="0" w:line="240" w:lineRule="auto"/>
              <w:rPr>
                <w:rFonts w:ascii="Cambria" w:eastAsia="Times New Roman" w:hAnsi="Cambria" w:cs="Arial"/>
                <w:b/>
                <w:bCs/>
                <w:kern w:val="0"/>
                <w:sz w:val="16"/>
                <w:szCs w:val="16"/>
                <w:u w:val="single"/>
                <w14:ligatures w14:val="none"/>
              </w:rPr>
            </w:pPr>
            <w:r>
              <w:rPr>
                <w:rFonts w:ascii="Cambria" w:hAnsi="Cambria"/>
                <w:b/>
                <w:sz w:val="16"/>
                <w:u w:val="single"/>
              </w:rPr>
              <w:t>COREA</w:t>
            </w:r>
          </w:p>
        </w:tc>
        <w:tc>
          <w:tcPr>
            <w:tcW w:w="497" w:type="pct"/>
            <w:tcBorders>
              <w:top w:val="nil"/>
              <w:left w:val="nil"/>
              <w:bottom w:val="single" w:sz="4" w:space="0" w:color="auto"/>
              <w:right w:val="single" w:sz="4" w:space="0" w:color="auto"/>
            </w:tcBorders>
            <w:noWrap/>
            <w:vAlign w:val="bottom"/>
            <w:hideMark/>
          </w:tcPr>
          <w:p w14:paraId="1DE1524C"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4,00</w:t>
            </w:r>
          </w:p>
        </w:tc>
        <w:tc>
          <w:tcPr>
            <w:tcW w:w="497" w:type="pct"/>
            <w:tcBorders>
              <w:top w:val="nil"/>
              <w:left w:val="nil"/>
              <w:bottom w:val="single" w:sz="4" w:space="0" w:color="auto"/>
              <w:right w:val="nil"/>
            </w:tcBorders>
            <w:noWrap/>
            <w:vAlign w:val="bottom"/>
            <w:hideMark/>
          </w:tcPr>
          <w:p w14:paraId="681EF2B1"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4,00</w:t>
            </w:r>
          </w:p>
        </w:tc>
        <w:tc>
          <w:tcPr>
            <w:tcW w:w="497" w:type="pct"/>
            <w:tcBorders>
              <w:top w:val="nil"/>
              <w:left w:val="single" w:sz="4" w:space="0" w:color="auto"/>
              <w:bottom w:val="single" w:sz="4" w:space="0" w:color="auto"/>
              <w:right w:val="single" w:sz="8" w:space="0" w:color="auto"/>
            </w:tcBorders>
            <w:noWrap/>
            <w:vAlign w:val="bottom"/>
            <w:hideMark/>
          </w:tcPr>
          <w:p w14:paraId="06515C47"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4,00</w:t>
            </w:r>
          </w:p>
        </w:tc>
        <w:tc>
          <w:tcPr>
            <w:tcW w:w="522" w:type="pct"/>
            <w:tcBorders>
              <w:top w:val="nil"/>
              <w:left w:val="nil"/>
              <w:bottom w:val="single" w:sz="4" w:space="0" w:color="auto"/>
              <w:right w:val="single" w:sz="4" w:space="0" w:color="auto"/>
            </w:tcBorders>
            <w:noWrap/>
            <w:vAlign w:val="bottom"/>
            <w:hideMark/>
          </w:tcPr>
          <w:p w14:paraId="7A4DB973"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0,00</w:t>
            </w:r>
          </w:p>
        </w:tc>
        <w:tc>
          <w:tcPr>
            <w:tcW w:w="497" w:type="pct"/>
            <w:tcBorders>
              <w:top w:val="nil"/>
              <w:left w:val="single" w:sz="4" w:space="0" w:color="auto"/>
              <w:bottom w:val="single" w:sz="4" w:space="0" w:color="auto"/>
              <w:right w:val="single" w:sz="8" w:space="0" w:color="auto"/>
            </w:tcBorders>
            <w:noWrap/>
            <w:vAlign w:val="bottom"/>
            <w:hideMark/>
          </w:tcPr>
          <w:p w14:paraId="12D070AF"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 </w:t>
            </w:r>
          </w:p>
        </w:tc>
        <w:tc>
          <w:tcPr>
            <w:tcW w:w="535" w:type="pct"/>
            <w:tcBorders>
              <w:top w:val="nil"/>
              <w:left w:val="nil"/>
              <w:bottom w:val="single" w:sz="4" w:space="0" w:color="auto"/>
              <w:right w:val="nil"/>
            </w:tcBorders>
            <w:noWrap/>
            <w:vAlign w:val="bottom"/>
            <w:hideMark/>
          </w:tcPr>
          <w:p w14:paraId="617F9F72"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4,00</w:t>
            </w:r>
          </w:p>
        </w:tc>
        <w:tc>
          <w:tcPr>
            <w:tcW w:w="535" w:type="pct"/>
            <w:tcBorders>
              <w:top w:val="nil"/>
              <w:left w:val="single" w:sz="4" w:space="0" w:color="auto"/>
              <w:bottom w:val="single" w:sz="4" w:space="0" w:color="auto"/>
              <w:right w:val="single" w:sz="8" w:space="0" w:color="auto"/>
            </w:tcBorders>
            <w:noWrap/>
            <w:vAlign w:val="bottom"/>
            <w:hideMark/>
          </w:tcPr>
          <w:p w14:paraId="7814C941"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 </w:t>
            </w:r>
          </w:p>
        </w:tc>
      </w:tr>
      <w:tr w:rsidR="00345C5F" w:rsidRPr="00052E06" w14:paraId="2ADF9D21" w14:textId="77777777" w:rsidTr="00CC30F2">
        <w:trPr>
          <w:trHeight w:val="113"/>
        </w:trPr>
        <w:tc>
          <w:tcPr>
            <w:tcW w:w="1420" w:type="pct"/>
            <w:tcBorders>
              <w:top w:val="nil"/>
              <w:left w:val="single" w:sz="8" w:space="0" w:color="auto"/>
              <w:bottom w:val="single" w:sz="4" w:space="0" w:color="auto"/>
              <w:right w:val="single" w:sz="8" w:space="0" w:color="auto"/>
            </w:tcBorders>
            <w:noWrap/>
            <w:vAlign w:val="bottom"/>
            <w:hideMark/>
          </w:tcPr>
          <w:p w14:paraId="679E7B6A" w14:textId="77777777" w:rsidR="00345C5F" w:rsidRPr="00CB23C4" w:rsidRDefault="00345C5F" w:rsidP="00CC30F2">
            <w:pPr>
              <w:spacing w:after="0" w:line="240" w:lineRule="auto"/>
              <w:rPr>
                <w:rFonts w:ascii="Cambria" w:eastAsia="Times New Roman" w:hAnsi="Cambria" w:cs="Arial"/>
                <w:b/>
                <w:bCs/>
                <w:kern w:val="0"/>
                <w:sz w:val="16"/>
                <w:szCs w:val="16"/>
                <w:u w:val="single"/>
                <w14:ligatures w14:val="none"/>
              </w:rPr>
            </w:pPr>
            <w:r>
              <w:rPr>
                <w:rFonts w:ascii="Cambria" w:hAnsi="Cambria"/>
                <w:b/>
                <w:sz w:val="16"/>
                <w:u w:val="single"/>
              </w:rPr>
              <w:t>NAMIBIA</w:t>
            </w:r>
          </w:p>
        </w:tc>
        <w:tc>
          <w:tcPr>
            <w:tcW w:w="497" w:type="pct"/>
            <w:tcBorders>
              <w:top w:val="nil"/>
              <w:left w:val="nil"/>
              <w:bottom w:val="single" w:sz="4" w:space="0" w:color="auto"/>
              <w:right w:val="single" w:sz="4" w:space="0" w:color="auto"/>
            </w:tcBorders>
            <w:noWrap/>
            <w:vAlign w:val="bottom"/>
            <w:hideMark/>
          </w:tcPr>
          <w:p w14:paraId="45F18CFD"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256,00</w:t>
            </w:r>
          </w:p>
        </w:tc>
        <w:tc>
          <w:tcPr>
            <w:tcW w:w="497" w:type="pct"/>
            <w:tcBorders>
              <w:top w:val="nil"/>
              <w:left w:val="nil"/>
              <w:bottom w:val="single" w:sz="4" w:space="0" w:color="auto"/>
              <w:right w:val="nil"/>
            </w:tcBorders>
            <w:noWrap/>
            <w:vAlign w:val="bottom"/>
            <w:hideMark/>
          </w:tcPr>
          <w:p w14:paraId="5EBAACEF"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256,00</w:t>
            </w:r>
          </w:p>
        </w:tc>
        <w:tc>
          <w:tcPr>
            <w:tcW w:w="497" w:type="pct"/>
            <w:tcBorders>
              <w:top w:val="nil"/>
              <w:left w:val="single" w:sz="4" w:space="0" w:color="auto"/>
              <w:bottom w:val="single" w:sz="4" w:space="0" w:color="auto"/>
              <w:right w:val="single" w:sz="8" w:space="0" w:color="auto"/>
            </w:tcBorders>
            <w:noWrap/>
            <w:vAlign w:val="bottom"/>
            <w:hideMark/>
          </w:tcPr>
          <w:p w14:paraId="3A8943A9"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256,00</w:t>
            </w:r>
          </w:p>
        </w:tc>
        <w:tc>
          <w:tcPr>
            <w:tcW w:w="522" w:type="pct"/>
            <w:tcBorders>
              <w:top w:val="nil"/>
              <w:left w:val="nil"/>
              <w:bottom w:val="single" w:sz="4" w:space="0" w:color="auto"/>
              <w:right w:val="single" w:sz="4" w:space="0" w:color="auto"/>
            </w:tcBorders>
            <w:noWrap/>
            <w:vAlign w:val="bottom"/>
            <w:hideMark/>
          </w:tcPr>
          <w:p w14:paraId="3EF58762"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522,00</w:t>
            </w:r>
          </w:p>
        </w:tc>
        <w:tc>
          <w:tcPr>
            <w:tcW w:w="497" w:type="pct"/>
            <w:tcBorders>
              <w:top w:val="nil"/>
              <w:left w:val="single" w:sz="4" w:space="0" w:color="auto"/>
              <w:bottom w:val="single" w:sz="4" w:space="0" w:color="auto"/>
              <w:right w:val="single" w:sz="8" w:space="0" w:color="auto"/>
            </w:tcBorders>
            <w:noWrap/>
            <w:vAlign w:val="bottom"/>
            <w:hideMark/>
          </w:tcPr>
          <w:p w14:paraId="6C577E09"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250,88</w:t>
            </w:r>
          </w:p>
        </w:tc>
        <w:tc>
          <w:tcPr>
            <w:tcW w:w="535" w:type="pct"/>
            <w:tcBorders>
              <w:top w:val="nil"/>
              <w:left w:val="nil"/>
              <w:bottom w:val="single" w:sz="4" w:space="0" w:color="auto"/>
              <w:right w:val="nil"/>
            </w:tcBorders>
            <w:noWrap/>
            <w:vAlign w:val="bottom"/>
            <w:hideMark/>
          </w:tcPr>
          <w:p w14:paraId="738B0B63"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-266,00</w:t>
            </w:r>
          </w:p>
        </w:tc>
        <w:tc>
          <w:tcPr>
            <w:tcW w:w="535" w:type="pct"/>
            <w:tcBorders>
              <w:top w:val="nil"/>
              <w:left w:val="single" w:sz="4" w:space="0" w:color="auto"/>
              <w:bottom w:val="single" w:sz="4" w:space="0" w:color="auto"/>
              <w:right w:val="single" w:sz="8" w:space="0" w:color="auto"/>
            </w:tcBorders>
            <w:noWrap/>
            <w:vAlign w:val="bottom"/>
            <w:hideMark/>
          </w:tcPr>
          <w:p w14:paraId="3840D95D"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-260,88</w:t>
            </w:r>
          </w:p>
        </w:tc>
      </w:tr>
      <w:tr w:rsidR="00345C5F" w:rsidRPr="00052E06" w14:paraId="7F31CF5D" w14:textId="77777777" w:rsidTr="00CC30F2">
        <w:trPr>
          <w:trHeight w:val="113"/>
        </w:trPr>
        <w:tc>
          <w:tcPr>
            <w:tcW w:w="1420" w:type="pct"/>
            <w:tcBorders>
              <w:top w:val="nil"/>
              <w:left w:val="single" w:sz="8" w:space="0" w:color="auto"/>
              <w:bottom w:val="single" w:sz="4" w:space="0" w:color="auto"/>
              <w:right w:val="single" w:sz="8" w:space="0" w:color="auto"/>
            </w:tcBorders>
            <w:noWrap/>
            <w:vAlign w:val="bottom"/>
            <w:hideMark/>
          </w:tcPr>
          <w:p w14:paraId="5F9BB462" w14:textId="77777777" w:rsidR="00345C5F" w:rsidRPr="00CB23C4" w:rsidRDefault="00345C5F" w:rsidP="00CC30F2">
            <w:pPr>
              <w:spacing w:after="0" w:line="240" w:lineRule="auto"/>
              <w:rPr>
                <w:rFonts w:ascii="Cambria" w:eastAsia="Times New Roman" w:hAnsi="Cambria" w:cs="Arial"/>
                <w:b/>
                <w:bCs/>
                <w:kern w:val="0"/>
                <w:sz w:val="16"/>
                <w:szCs w:val="16"/>
                <w:u w:val="single"/>
                <w14:ligatures w14:val="none"/>
              </w:rPr>
            </w:pPr>
            <w:r>
              <w:rPr>
                <w:rFonts w:ascii="Cambria" w:hAnsi="Cambria"/>
                <w:b/>
                <w:sz w:val="16"/>
                <w:u w:val="single"/>
              </w:rPr>
              <w:t>PANAMÁ</w:t>
            </w:r>
          </w:p>
        </w:tc>
        <w:tc>
          <w:tcPr>
            <w:tcW w:w="497" w:type="pct"/>
            <w:tcBorders>
              <w:top w:val="single" w:sz="4" w:space="0" w:color="auto"/>
              <w:left w:val="nil"/>
              <w:bottom w:val="single" w:sz="4" w:space="0" w:color="auto"/>
              <w:right w:val="single" w:sz="4" w:space="0" w:color="auto"/>
            </w:tcBorders>
            <w:noWrap/>
            <w:vAlign w:val="bottom"/>
            <w:hideMark/>
          </w:tcPr>
          <w:p w14:paraId="7363F2AF"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0,00</w:t>
            </w:r>
          </w:p>
        </w:tc>
        <w:tc>
          <w:tcPr>
            <w:tcW w:w="497" w:type="pct"/>
            <w:tcBorders>
              <w:top w:val="single" w:sz="4" w:space="0" w:color="auto"/>
              <w:left w:val="nil"/>
              <w:bottom w:val="single" w:sz="4" w:space="0" w:color="auto"/>
              <w:right w:val="nil"/>
            </w:tcBorders>
            <w:noWrap/>
            <w:vAlign w:val="bottom"/>
            <w:hideMark/>
          </w:tcPr>
          <w:p w14:paraId="5C6210AB"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0,00</w:t>
            </w:r>
          </w:p>
        </w:tc>
        <w:tc>
          <w:tcPr>
            <w:tcW w:w="497" w:type="pct"/>
            <w:tcBorders>
              <w:top w:val="nil"/>
              <w:left w:val="single" w:sz="4" w:space="0" w:color="auto"/>
              <w:bottom w:val="single" w:sz="4" w:space="0" w:color="auto"/>
              <w:right w:val="single" w:sz="8" w:space="0" w:color="auto"/>
            </w:tcBorders>
            <w:noWrap/>
            <w:vAlign w:val="bottom"/>
            <w:hideMark/>
          </w:tcPr>
          <w:p w14:paraId="39265BF2"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0,00</w:t>
            </w:r>
          </w:p>
        </w:tc>
        <w:tc>
          <w:tcPr>
            <w:tcW w:w="522" w:type="pct"/>
            <w:tcBorders>
              <w:top w:val="single" w:sz="4" w:space="0" w:color="auto"/>
              <w:left w:val="nil"/>
              <w:bottom w:val="single" w:sz="4" w:space="0" w:color="auto"/>
              <w:right w:val="single" w:sz="4" w:space="0" w:color="auto"/>
            </w:tcBorders>
            <w:noWrap/>
            <w:vAlign w:val="bottom"/>
            <w:hideMark/>
          </w:tcPr>
          <w:p w14:paraId="0FA21501"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0,00</w:t>
            </w:r>
          </w:p>
        </w:tc>
        <w:tc>
          <w:tcPr>
            <w:tcW w:w="497" w:type="pct"/>
            <w:tcBorders>
              <w:top w:val="nil"/>
              <w:left w:val="single" w:sz="4" w:space="0" w:color="auto"/>
              <w:bottom w:val="single" w:sz="4" w:space="0" w:color="auto"/>
              <w:right w:val="single" w:sz="8" w:space="0" w:color="auto"/>
            </w:tcBorders>
            <w:noWrap/>
            <w:vAlign w:val="bottom"/>
            <w:hideMark/>
          </w:tcPr>
          <w:p w14:paraId="580C82C8"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0,00</w:t>
            </w:r>
          </w:p>
        </w:tc>
        <w:tc>
          <w:tcPr>
            <w:tcW w:w="535" w:type="pct"/>
            <w:tcBorders>
              <w:top w:val="single" w:sz="4" w:space="0" w:color="auto"/>
              <w:left w:val="nil"/>
              <w:bottom w:val="single" w:sz="4" w:space="0" w:color="auto"/>
              <w:right w:val="nil"/>
            </w:tcBorders>
            <w:noWrap/>
            <w:vAlign w:val="bottom"/>
            <w:hideMark/>
          </w:tcPr>
          <w:p w14:paraId="73020E11"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0,00</w:t>
            </w:r>
          </w:p>
        </w:tc>
        <w:tc>
          <w:tcPr>
            <w:tcW w:w="535" w:type="pct"/>
            <w:tcBorders>
              <w:top w:val="nil"/>
              <w:left w:val="single" w:sz="4" w:space="0" w:color="auto"/>
              <w:bottom w:val="single" w:sz="4" w:space="0" w:color="auto"/>
              <w:right w:val="single" w:sz="8" w:space="0" w:color="auto"/>
            </w:tcBorders>
            <w:noWrap/>
            <w:vAlign w:val="bottom"/>
            <w:hideMark/>
          </w:tcPr>
          <w:p w14:paraId="30E29318"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0,00</w:t>
            </w:r>
          </w:p>
        </w:tc>
      </w:tr>
      <w:tr w:rsidR="00345C5F" w:rsidRPr="00052E06" w14:paraId="35A89A95" w14:textId="77777777" w:rsidTr="00CC30F2">
        <w:trPr>
          <w:trHeight w:val="113"/>
        </w:trPr>
        <w:tc>
          <w:tcPr>
            <w:tcW w:w="1420" w:type="pct"/>
            <w:tcBorders>
              <w:top w:val="nil"/>
              <w:left w:val="single" w:sz="8" w:space="0" w:color="auto"/>
              <w:bottom w:val="single" w:sz="4" w:space="0" w:color="auto"/>
              <w:right w:val="single" w:sz="8" w:space="0" w:color="auto"/>
            </w:tcBorders>
            <w:noWrap/>
            <w:vAlign w:val="bottom"/>
            <w:hideMark/>
          </w:tcPr>
          <w:p w14:paraId="34ED2636" w14:textId="77777777" w:rsidR="00345C5F" w:rsidRPr="00CB23C4" w:rsidRDefault="00345C5F" w:rsidP="00CC30F2">
            <w:pPr>
              <w:spacing w:after="0" w:line="240" w:lineRule="auto"/>
              <w:rPr>
                <w:rFonts w:ascii="Cambria" w:eastAsia="Times New Roman" w:hAnsi="Cambria" w:cs="Arial"/>
                <w:b/>
                <w:bCs/>
                <w:kern w:val="0"/>
                <w:sz w:val="16"/>
                <w:szCs w:val="16"/>
                <w:u w:val="single"/>
                <w14:ligatures w14:val="none"/>
              </w:rPr>
            </w:pPr>
            <w:r>
              <w:rPr>
                <w:rFonts w:ascii="Cambria" w:hAnsi="Cambria"/>
                <w:b/>
                <w:sz w:val="16"/>
                <w:u w:val="single"/>
              </w:rPr>
              <w:t>SENEGAL</w:t>
            </w:r>
          </w:p>
        </w:tc>
        <w:tc>
          <w:tcPr>
            <w:tcW w:w="497" w:type="pct"/>
            <w:tcBorders>
              <w:top w:val="nil"/>
              <w:left w:val="nil"/>
              <w:bottom w:val="single" w:sz="4" w:space="0" w:color="auto"/>
              <w:right w:val="single" w:sz="4" w:space="0" w:color="auto"/>
            </w:tcBorders>
            <w:noWrap/>
            <w:vAlign w:val="bottom"/>
            <w:hideMark/>
          </w:tcPr>
          <w:p w14:paraId="08DFB02D"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8,00</w:t>
            </w:r>
          </w:p>
        </w:tc>
        <w:tc>
          <w:tcPr>
            <w:tcW w:w="497" w:type="pct"/>
            <w:tcBorders>
              <w:top w:val="nil"/>
              <w:left w:val="nil"/>
              <w:bottom w:val="single" w:sz="4" w:space="0" w:color="auto"/>
              <w:right w:val="nil"/>
            </w:tcBorders>
            <w:noWrap/>
            <w:vAlign w:val="bottom"/>
            <w:hideMark/>
          </w:tcPr>
          <w:p w14:paraId="08765790"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8,00</w:t>
            </w:r>
          </w:p>
        </w:tc>
        <w:tc>
          <w:tcPr>
            <w:tcW w:w="497" w:type="pct"/>
            <w:tcBorders>
              <w:top w:val="nil"/>
              <w:left w:val="single" w:sz="4" w:space="0" w:color="auto"/>
              <w:bottom w:val="single" w:sz="4" w:space="0" w:color="auto"/>
              <w:right w:val="single" w:sz="8" w:space="0" w:color="auto"/>
            </w:tcBorders>
            <w:noWrap/>
            <w:vAlign w:val="bottom"/>
            <w:hideMark/>
          </w:tcPr>
          <w:p w14:paraId="3F09DF0B"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8,00</w:t>
            </w:r>
          </w:p>
        </w:tc>
        <w:tc>
          <w:tcPr>
            <w:tcW w:w="522" w:type="pct"/>
            <w:tcBorders>
              <w:top w:val="nil"/>
              <w:left w:val="nil"/>
              <w:bottom w:val="single" w:sz="4" w:space="0" w:color="auto"/>
              <w:right w:val="single" w:sz="4" w:space="0" w:color="auto"/>
            </w:tcBorders>
            <w:noWrap/>
            <w:vAlign w:val="bottom"/>
            <w:hideMark/>
          </w:tcPr>
          <w:p w14:paraId="78BE7785"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0,00</w:t>
            </w:r>
          </w:p>
        </w:tc>
        <w:tc>
          <w:tcPr>
            <w:tcW w:w="497" w:type="pct"/>
            <w:tcBorders>
              <w:top w:val="nil"/>
              <w:left w:val="single" w:sz="4" w:space="0" w:color="auto"/>
              <w:bottom w:val="single" w:sz="4" w:space="0" w:color="auto"/>
              <w:right w:val="single" w:sz="8" w:space="0" w:color="auto"/>
            </w:tcBorders>
            <w:noWrap/>
            <w:vAlign w:val="bottom"/>
            <w:hideMark/>
          </w:tcPr>
          <w:p w14:paraId="3DFC10F1"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0,00</w:t>
            </w:r>
          </w:p>
        </w:tc>
        <w:tc>
          <w:tcPr>
            <w:tcW w:w="535" w:type="pct"/>
            <w:tcBorders>
              <w:top w:val="nil"/>
              <w:left w:val="nil"/>
              <w:bottom w:val="single" w:sz="4" w:space="0" w:color="auto"/>
              <w:right w:val="nil"/>
            </w:tcBorders>
            <w:noWrap/>
            <w:vAlign w:val="bottom"/>
            <w:hideMark/>
          </w:tcPr>
          <w:p w14:paraId="0A22CF7C"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8,00</w:t>
            </w:r>
          </w:p>
        </w:tc>
        <w:tc>
          <w:tcPr>
            <w:tcW w:w="535" w:type="pct"/>
            <w:tcBorders>
              <w:top w:val="nil"/>
              <w:left w:val="single" w:sz="4" w:space="0" w:color="auto"/>
              <w:bottom w:val="single" w:sz="4" w:space="0" w:color="auto"/>
              <w:right w:val="single" w:sz="8" w:space="0" w:color="auto"/>
            </w:tcBorders>
            <w:noWrap/>
            <w:vAlign w:val="bottom"/>
            <w:hideMark/>
          </w:tcPr>
          <w:p w14:paraId="747E8B08" w14:textId="77777777" w:rsidR="00345C5F" w:rsidRPr="00CB23C4" w:rsidRDefault="00345C5F" w:rsidP="00CC30F2">
            <w:pPr>
              <w:spacing w:after="0" w:line="240" w:lineRule="auto"/>
              <w:jc w:val="right"/>
              <w:rPr>
                <w:rFonts w:ascii="Cambria" w:eastAsia="Times New Roman" w:hAnsi="Cambria" w:cs="Arial"/>
                <w:color w:val="00B050"/>
                <w:kern w:val="0"/>
                <w:sz w:val="16"/>
                <w:szCs w:val="16"/>
                <w:u w:val="single"/>
                <w14:ligatures w14:val="none"/>
              </w:rPr>
            </w:pPr>
            <w:r>
              <w:rPr>
                <w:rFonts w:ascii="Cambria" w:hAnsi="Cambria"/>
                <w:color w:val="00B050"/>
                <w:sz w:val="16"/>
                <w:u w:val="single"/>
              </w:rPr>
              <w:t>8,00</w:t>
            </w:r>
          </w:p>
        </w:tc>
      </w:tr>
      <w:tr w:rsidR="00345C5F" w:rsidRPr="00052E06" w14:paraId="203604DE" w14:textId="77777777" w:rsidTr="00CC30F2">
        <w:trPr>
          <w:trHeight w:val="113"/>
        </w:trPr>
        <w:tc>
          <w:tcPr>
            <w:tcW w:w="1420" w:type="pct"/>
            <w:tcBorders>
              <w:top w:val="nil"/>
              <w:left w:val="single" w:sz="8" w:space="0" w:color="auto"/>
              <w:bottom w:val="single" w:sz="4" w:space="0" w:color="auto"/>
              <w:right w:val="single" w:sz="8" w:space="0" w:color="auto"/>
            </w:tcBorders>
            <w:noWrap/>
            <w:vAlign w:val="bottom"/>
            <w:hideMark/>
          </w:tcPr>
          <w:p w14:paraId="203F1687" w14:textId="77777777" w:rsidR="00345C5F" w:rsidRPr="00CB23C4" w:rsidRDefault="00345C5F" w:rsidP="00CC30F2">
            <w:pPr>
              <w:spacing w:after="0" w:line="240" w:lineRule="auto"/>
              <w:rPr>
                <w:rFonts w:ascii="Cambria" w:eastAsia="Times New Roman" w:hAnsi="Cambria" w:cs="Arial"/>
                <w:b/>
                <w:bCs/>
                <w:kern w:val="0"/>
                <w:sz w:val="16"/>
                <w:szCs w:val="16"/>
                <w:u w:val="single"/>
                <w14:ligatures w14:val="none"/>
              </w:rPr>
            </w:pPr>
            <w:r>
              <w:rPr>
                <w:rFonts w:ascii="Cambria" w:hAnsi="Cambria"/>
                <w:b/>
                <w:sz w:val="16"/>
                <w:u w:val="single"/>
              </w:rPr>
              <w:t>SUDÁFRICA</w:t>
            </w:r>
          </w:p>
        </w:tc>
        <w:tc>
          <w:tcPr>
            <w:tcW w:w="497" w:type="pct"/>
            <w:tcBorders>
              <w:top w:val="nil"/>
              <w:left w:val="nil"/>
              <w:bottom w:val="single" w:sz="4" w:space="0" w:color="auto"/>
              <w:right w:val="single" w:sz="4" w:space="0" w:color="auto"/>
            </w:tcBorders>
            <w:noWrap/>
            <w:vAlign w:val="bottom"/>
            <w:hideMark/>
          </w:tcPr>
          <w:p w14:paraId="2F500F10"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154,00</w:t>
            </w:r>
          </w:p>
        </w:tc>
        <w:tc>
          <w:tcPr>
            <w:tcW w:w="497" w:type="pct"/>
            <w:tcBorders>
              <w:top w:val="nil"/>
              <w:left w:val="nil"/>
              <w:bottom w:val="single" w:sz="4" w:space="0" w:color="auto"/>
              <w:right w:val="nil"/>
            </w:tcBorders>
            <w:noWrap/>
            <w:vAlign w:val="bottom"/>
            <w:hideMark/>
          </w:tcPr>
          <w:p w14:paraId="2D5EA05F"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154,00</w:t>
            </w:r>
          </w:p>
        </w:tc>
        <w:tc>
          <w:tcPr>
            <w:tcW w:w="497" w:type="pct"/>
            <w:tcBorders>
              <w:top w:val="nil"/>
              <w:left w:val="single" w:sz="4" w:space="0" w:color="auto"/>
              <w:bottom w:val="single" w:sz="4" w:space="0" w:color="auto"/>
              <w:right w:val="single" w:sz="8" w:space="0" w:color="auto"/>
            </w:tcBorders>
            <w:noWrap/>
            <w:vAlign w:val="bottom"/>
            <w:hideMark/>
          </w:tcPr>
          <w:p w14:paraId="223B21E6"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154,00</w:t>
            </w:r>
          </w:p>
        </w:tc>
        <w:tc>
          <w:tcPr>
            <w:tcW w:w="522" w:type="pct"/>
            <w:tcBorders>
              <w:top w:val="nil"/>
              <w:left w:val="nil"/>
              <w:bottom w:val="single" w:sz="4" w:space="0" w:color="auto"/>
              <w:right w:val="single" w:sz="4" w:space="0" w:color="auto"/>
            </w:tcBorders>
            <w:noWrap/>
            <w:vAlign w:val="bottom"/>
            <w:hideMark/>
          </w:tcPr>
          <w:p w14:paraId="51902FAC"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95,99</w:t>
            </w:r>
          </w:p>
        </w:tc>
        <w:tc>
          <w:tcPr>
            <w:tcW w:w="497" w:type="pct"/>
            <w:tcBorders>
              <w:top w:val="nil"/>
              <w:left w:val="single" w:sz="4" w:space="0" w:color="auto"/>
              <w:bottom w:val="single" w:sz="4" w:space="0" w:color="auto"/>
              <w:right w:val="single" w:sz="8" w:space="0" w:color="auto"/>
            </w:tcBorders>
            <w:noWrap/>
            <w:vAlign w:val="bottom"/>
            <w:hideMark/>
          </w:tcPr>
          <w:p w14:paraId="2381BF64"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139,60</w:t>
            </w:r>
          </w:p>
        </w:tc>
        <w:tc>
          <w:tcPr>
            <w:tcW w:w="535" w:type="pct"/>
            <w:tcBorders>
              <w:top w:val="nil"/>
              <w:left w:val="nil"/>
              <w:bottom w:val="single" w:sz="4" w:space="0" w:color="auto"/>
              <w:right w:val="nil"/>
            </w:tcBorders>
            <w:noWrap/>
            <w:vAlign w:val="bottom"/>
            <w:hideMark/>
          </w:tcPr>
          <w:p w14:paraId="43981401"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58,01</w:t>
            </w:r>
          </w:p>
        </w:tc>
        <w:tc>
          <w:tcPr>
            <w:tcW w:w="535" w:type="pct"/>
            <w:tcBorders>
              <w:top w:val="nil"/>
              <w:left w:val="single" w:sz="4" w:space="0" w:color="auto"/>
              <w:bottom w:val="single" w:sz="4" w:space="0" w:color="auto"/>
              <w:right w:val="single" w:sz="8" w:space="0" w:color="auto"/>
            </w:tcBorders>
            <w:noWrap/>
            <w:vAlign w:val="bottom"/>
            <w:hideMark/>
          </w:tcPr>
          <w:p w14:paraId="3C443870"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14,40</w:t>
            </w:r>
          </w:p>
        </w:tc>
      </w:tr>
      <w:tr w:rsidR="00345C5F" w:rsidRPr="00052E06" w14:paraId="1928306C" w14:textId="77777777" w:rsidTr="00CC30F2">
        <w:trPr>
          <w:trHeight w:val="113"/>
        </w:trPr>
        <w:tc>
          <w:tcPr>
            <w:tcW w:w="1420" w:type="pct"/>
            <w:tcBorders>
              <w:top w:val="nil"/>
              <w:left w:val="single" w:sz="8" w:space="0" w:color="auto"/>
              <w:bottom w:val="single" w:sz="4" w:space="0" w:color="auto"/>
              <w:right w:val="single" w:sz="8" w:space="0" w:color="auto"/>
            </w:tcBorders>
            <w:noWrap/>
            <w:vAlign w:val="bottom"/>
            <w:hideMark/>
          </w:tcPr>
          <w:p w14:paraId="53658CDE" w14:textId="77777777" w:rsidR="00345C5F" w:rsidRPr="00CB23C4" w:rsidRDefault="00345C5F" w:rsidP="00CC30F2">
            <w:pPr>
              <w:spacing w:after="0" w:line="240" w:lineRule="auto"/>
              <w:rPr>
                <w:rFonts w:ascii="Cambria" w:eastAsia="Times New Roman" w:hAnsi="Cambria" w:cs="Arial"/>
                <w:b/>
                <w:bCs/>
                <w:kern w:val="0"/>
                <w:sz w:val="16"/>
                <w:szCs w:val="16"/>
                <w:u w:val="single"/>
                <w14:ligatures w14:val="none"/>
              </w:rPr>
            </w:pPr>
            <w:r>
              <w:rPr>
                <w:rFonts w:ascii="Cambria" w:hAnsi="Cambria"/>
                <w:b/>
                <w:sz w:val="16"/>
                <w:u w:val="single"/>
              </w:rPr>
              <w:t>Reino Unido</w:t>
            </w:r>
          </w:p>
        </w:tc>
        <w:tc>
          <w:tcPr>
            <w:tcW w:w="497" w:type="pct"/>
            <w:tcBorders>
              <w:top w:val="nil"/>
              <w:left w:val="nil"/>
              <w:bottom w:val="single" w:sz="4" w:space="0" w:color="auto"/>
              <w:right w:val="single" w:sz="4" w:space="0" w:color="auto"/>
            </w:tcBorders>
            <w:noWrap/>
            <w:vAlign w:val="bottom"/>
            <w:hideMark/>
          </w:tcPr>
          <w:p w14:paraId="79DA00C7"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0,00</w:t>
            </w:r>
          </w:p>
        </w:tc>
        <w:tc>
          <w:tcPr>
            <w:tcW w:w="497" w:type="pct"/>
            <w:tcBorders>
              <w:top w:val="nil"/>
              <w:left w:val="nil"/>
              <w:bottom w:val="single" w:sz="4" w:space="0" w:color="auto"/>
              <w:right w:val="nil"/>
            </w:tcBorders>
            <w:noWrap/>
            <w:vAlign w:val="bottom"/>
            <w:hideMark/>
          </w:tcPr>
          <w:p w14:paraId="3B5CD438"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0,00</w:t>
            </w:r>
          </w:p>
        </w:tc>
        <w:tc>
          <w:tcPr>
            <w:tcW w:w="497" w:type="pct"/>
            <w:tcBorders>
              <w:top w:val="nil"/>
              <w:left w:val="single" w:sz="4" w:space="0" w:color="auto"/>
              <w:bottom w:val="single" w:sz="4" w:space="0" w:color="auto"/>
              <w:right w:val="single" w:sz="8" w:space="0" w:color="auto"/>
            </w:tcBorders>
            <w:noWrap/>
            <w:vAlign w:val="bottom"/>
            <w:hideMark/>
          </w:tcPr>
          <w:p w14:paraId="734640FB"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0,00</w:t>
            </w:r>
          </w:p>
        </w:tc>
        <w:tc>
          <w:tcPr>
            <w:tcW w:w="522" w:type="pct"/>
            <w:tcBorders>
              <w:top w:val="nil"/>
              <w:left w:val="nil"/>
              <w:bottom w:val="single" w:sz="4" w:space="0" w:color="auto"/>
              <w:right w:val="single" w:sz="4" w:space="0" w:color="auto"/>
            </w:tcBorders>
            <w:noWrap/>
            <w:vAlign w:val="bottom"/>
            <w:hideMark/>
          </w:tcPr>
          <w:p w14:paraId="6937D8D0"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0,00</w:t>
            </w:r>
          </w:p>
        </w:tc>
        <w:tc>
          <w:tcPr>
            <w:tcW w:w="497" w:type="pct"/>
            <w:tcBorders>
              <w:top w:val="nil"/>
              <w:left w:val="single" w:sz="4" w:space="0" w:color="auto"/>
              <w:bottom w:val="single" w:sz="4" w:space="0" w:color="auto"/>
              <w:right w:val="single" w:sz="8" w:space="0" w:color="auto"/>
            </w:tcBorders>
            <w:noWrap/>
            <w:vAlign w:val="bottom"/>
            <w:hideMark/>
          </w:tcPr>
          <w:p w14:paraId="1E8598AE"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0,00</w:t>
            </w:r>
          </w:p>
        </w:tc>
        <w:tc>
          <w:tcPr>
            <w:tcW w:w="535" w:type="pct"/>
            <w:tcBorders>
              <w:top w:val="nil"/>
              <w:left w:val="nil"/>
              <w:bottom w:val="single" w:sz="4" w:space="0" w:color="auto"/>
              <w:right w:val="nil"/>
            </w:tcBorders>
            <w:noWrap/>
            <w:vAlign w:val="bottom"/>
            <w:hideMark/>
          </w:tcPr>
          <w:p w14:paraId="063EFB05"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0,00</w:t>
            </w:r>
          </w:p>
        </w:tc>
        <w:tc>
          <w:tcPr>
            <w:tcW w:w="535" w:type="pct"/>
            <w:tcBorders>
              <w:top w:val="nil"/>
              <w:left w:val="single" w:sz="4" w:space="0" w:color="auto"/>
              <w:bottom w:val="single" w:sz="4" w:space="0" w:color="auto"/>
              <w:right w:val="single" w:sz="8" w:space="0" w:color="auto"/>
            </w:tcBorders>
            <w:noWrap/>
            <w:vAlign w:val="bottom"/>
            <w:hideMark/>
          </w:tcPr>
          <w:p w14:paraId="39309DF2"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0,00</w:t>
            </w:r>
          </w:p>
        </w:tc>
      </w:tr>
      <w:tr w:rsidR="00345C5F" w:rsidRPr="00052E06" w14:paraId="4A358F30" w14:textId="77777777" w:rsidTr="00CC30F2">
        <w:trPr>
          <w:trHeight w:val="113"/>
        </w:trPr>
        <w:tc>
          <w:tcPr>
            <w:tcW w:w="1420" w:type="pct"/>
            <w:tcBorders>
              <w:top w:val="nil"/>
              <w:left w:val="single" w:sz="8" w:space="0" w:color="auto"/>
              <w:bottom w:val="single" w:sz="4" w:space="0" w:color="auto"/>
              <w:right w:val="single" w:sz="8" w:space="0" w:color="auto"/>
            </w:tcBorders>
            <w:noWrap/>
            <w:vAlign w:val="bottom"/>
            <w:hideMark/>
          </w:tcPr>
          <w:p w14:paraId="35D65B1A" w14:textId="77777777" w:rsidR="00345C5F" w:rsidRPr="00CB23C4" w:rsidRDefault="00345C5F" w:rsidP="00CC30F2">
            <w:pPr>
              <w:spacing w:after="0" w:line="240" w:lineRule="auto"/>
              <w:rPr>
                <w:rFonts w:ascii="Cambria" w:eastAsia="Times New Roman" w:hAnsi="Cambria" w:cs="Arial"/>
                <w:b/>
                <w:bCs/>
                <w:kern w:val="0"/>
                <w:sz w:val="16"/>
                <w:szCs w:val="16"/>
                <w:u w:val="single"/>
                <w14:ligatures w14:val="none"/>
              </w:rPr>
            </w:pPr>
            <w:r>
              <w:rPr>
                <w:rFonts w:ascii="Cambria" w:hAnsi="Cambria"/>
                <w:b/>
                <w:sz w:val="16"/>
                <w:u w:val="single"/>
              </w:rPr>
              <w:t>URUGUAY</w:t>
            </w:r>
          </w:p>
        </w:tc>
        <w:tc>
          <w:tcPr>
            <w:tcW w:w="497" w:type="pct"/>
            <w:tcBorders>
              <w:top w:val="nil"/>
              <w:left w:val="nil"/>
              <w:bottom w:val="single" w:sz="4" w:space="0" w:color="auto"/>
              <w:right w:val="single" w:sz="4" w:space="0" w:color="auto"/>
            </w:tcBorders>
            <w:noWrap/>
            <w:vAlign w:val="bottom"/>
            <w:hideMark/>
          </w:tcPr>
          <w:p w14:paraId="7B71D34D"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2,00</w:t>
            </w:r>
          </w:p>
        </w:tc>
        <w:tc>
          <w:tcPr>
            <w:tcW w:w="497" w:type="pct"/>
            <w:tcBorders>
              <w:top w:val="nil"/>
              <w:left w:val="nil"/>
              <w:bottom w:val="single" w:sz="4" w:space="0" w:color="auto"/>
              <w:right w:val="nil"/>
            </w:tcBorders>
            <w:noWrap/>
            <w:vAlign w:val="bottom"/>
            <w:hideMark/>
          </w:tcPr>
          <w:p w14:paraId="58C42F86"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2,00</w:t>
            </w:r>
          </w:p>
        </w:tc>
        <w:tc>
          <w:tcPr>
            <w:tcW w:w="497" w:type="pct"/>
            <w:tcBorders>
              <w:top w:val="nil"/>
              <w:left w:val="single" w:sz="4" w:space="0" w:color="auto"/>
              <w:bottom w:val="single" w:sz="4" w:space="0" w:color="auto"/>
              <w:right w:val="single" w:sz="8" w:space="0" w:color="auto"/>
            </w:tcBorders>
            <w:noWrap/>
            <w:vAlign w:val="bottom"/>
            <w:hideMark/>
          </w:tcPr>
          <w:p w14:paraId="79601FF0"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2,00</w:t>
            </w:r>
          </w:p>
        </w:tc>
        <w:tc>
          <w:tcPr>
            <w:tcW w:w="522" w:type="pct"/>
            <w:tcBorders>
              <w:top w:val="nil"/>
              <w:left w:val="nil"/>
              <w:bottom w:val="single" w:sz="4" w:space="0" w:color="auto"/>
              <w:right w:val="single" w:sz="4" w:space="0" w:color="auto"/>
            </w:tcBorders>
            <w:noWrap/>
            <w:vAlign w:val="bottom"/>
            <w:hideMark/>
          </w:tcPr>
          <w:p w14:paraId="77B6287B"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0,00</w:t>
            </w:r>
          </w:p>
        </w:tc>
        <w:tc>
          <w:tcPr>
            <w:tcW w:w="497" w:type="pct"/>
            <w:tcBorders>
              <w:top w:val="nil"/>
              <w:left w:val="single" w:sz="4" w:space="0" w:color="auto"/>
              <w:bottom w:val="single" w:sz="4" w:space="0" w:color="auto"/>
              <w:right w:val="single" w:sz="8" w:space="0" w:color="auto"/>
            </w:tcBorders>
            <w:noWrap/>
            <w:vAlign w:val="bottom"/>
            <w:hideMark/>
          </w:tcPr>
          <w:p w14:paraId="223BDEE9"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0,00</w:t>
            </w:r>
          </w:p>
        </w:tc>
        <w:tc>
          <w:tcPr>
            <w:tcW w:w="535" w:type="pct"/>
            <w:tcBorders>
              <w:top w:val="nil"/>
              <w:left w:val="nil"/>
              <w:bottom w:val="single" w:sz="4" w:space="0" w:color="auto"/>
              <w:right w:val="nil"/>
            </w:tcBorders>
            <w:noWrap/>
            <w:vAlign w:val="bottom"/>
            <w:hideMark/>
          </w:tcPr>
          <w:p w14:paraId="6DE35D98"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2,00</w:t>
            </w:r>
          </w:p>
        </w:tc>
        <w:tc>
          <w:tcPr>
            <w:tcW w:w="535" w:type="pct"/>
            <w:tcBorders>
              <w:top w:val="nil"/>
              <w:left w:val="single" w:sz="4" w:space="0" w:color="auto"/>
              <w:bottom w:val="single" w:sz="4" w:space="0" w:color="auto"/>
              <w:right w:val="single" w:sz="8" w:space="0" w:color="auto"/>
            </w:tcBorders>
            <w:noWrap/>
            <w:vAlign w:val="bottom"/>
            <w:hideMark/>
          </w:tcPr>
          <w:p w14:paraId="468A7EF6"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2,00</w:t>
            </w:r>
          </w:p>
        </w:tc>
      </w:tr>
      <w:tr w:rsidR="00345C5F" w:rsidRPr="00052E06" w14:paraId="60AAA1A7" w14:textId="77777777" w:rsidTr="00CC30F2">
        <w:trPr>
          <w:trHeight w:val="113"/>
        </w:trPr>
        <w:tc>
          <w:tcPr>
            <w:tcW w:w="1420" w:type="pct"/>
            <w:tcBorders>
              <w:top w:val="nil"/>
              <w:left w:val="single" w:sz="8" w:space="0" w:color="auto"/>
              <w:bottom w:val="single" w:sz="8" w:space="0" w:color="auto"/>
              <w:right w:val="single" w:sz="8" w:space="0" w:color="auto"/>
            </w:tcBorders>
            <w:noWrap/>
            <w:vAlign w:val="bottom"/>
            <w:hideMark/>
          </w:tcPr>
          <w:p w14:paraId="03C30CE4" w14:textId="77777777" w:rsidR="00345C5F" w:rsidRPr="00CB23C4" w:rsidRDefault="00345C5F" w:rsidP="00CC30F2">
            <w:pPr>
              <w:spacing w:after="0" w:line="240" w:lineRule="auto"/>
              <w:rPr>
                <w:rFonts w:ascii="Cambria" w:eastAsia="Times New Roman" w:hAnsi="Cambria" w:cs="Arial"/>
                <w:b/>
                <w:bCs/>
                <w:kern w:val="0"/>
                <w:sz w:val="16"/>
                <w:szCs w:val="16"/>
                <w:u w:val="single"/>
                <w14:ligatures w14:val="none"/>
              </w:rPr>
            </w:pPr>
            <w:r>
              <w:rPr>
                <w:rFonts w:ascii="Cambria" w:hAnsi="Cambria"/>
                <w:b/>
                <w:sz w:val="16"/>
                <w:u w:val="single"/>
              </w:rPr>
              <w:t>Captura total</w:t>
            </w:r>
          </w:p>
        </w:tc>
        <w:tc>
          <w:tcPr>
            <w:tcW w:w="497" w:type="pct"/>
            <w:tcBorders>
              <w:top w:val="nil"/>
              <w:left w:val="nil"/>
              <w:bottom w:val="single" w:sz="8" w:space="0" w:color="auto"/>
              <w:right w:val="single" w:sz="4" w:space="0" w:color="auto"/>
            </w:tcBorders>
            <w:noWrap/>
            <w:vAlign w:val="bottom"/>
            <w:hideMark/>
          </w:tcPr>
          <w:p w14:paraId="6CD2423E" w14:textId="77777777" w:rsidR="00345C5F" w:rsidRPr="00CB23C4" w:rsidRDefault="00345C5F" w:rsidP="00CC30F2">
            <w:pPr>
              <w:spacing w:after="0" w:line="240" w:lineRule="auto"/>
              <w:jc w:val="right"/>
              <w:rPr>
                <w:rFonts w:ascii="Cambria" w:eastAsia="Times New Roman" w:hAnsi="Cambria" w:cs="Arial"/>
                <w:b/>
                <w:bCs/>
                <w:kern w:val="0"/>
                <w:sz w:val="16"/>
                <w:szCs w:val="16"/>
                <w:u w:val="single"/>
                <w14:ligatures w14:val="none"/>
              </w:rPr>
            </w:pPr>
            <w:r>
              <w:rPr>
                <w:rFonts w:ascii="Cambria" w:hAnsi="Cambria"/>
                <w:b/>
                <w:sz w:val="16"/>
                <w:u w:val="single"/>
              </w:rPr>
              <w:t> </w:t>
            </w:r>
          </w:p>
        </w:tc>
        <w:tc>
          <w:tcPr>
            <w:tcW w:w="497" w:type="pct"/>
            <w:tcBorders>
              <w:top w:val="single" w:sz="4" w:space="0" w:color="auto"/>
              <w:left w:val="nil"/>
              <w:bottom w:val="single" w:sz="8" w:space="0" w:color="auto"/>
              <w:right w:val="nil"/>
            </w:tcBorders>
            <w:noWrap/>
            <w:vAlign w:val="bottom"/>
            <w:hideMark/>
          </w:tcPr>
          <w:p w14:paraId="5944464C" w14:textId="77777777" w:rsidR="00345C5F" w:rsidRPr="00CB23C4" w:rsidRDefault="00345C5F" w:rsidP="00CC30F2">
            <w:pPr>
              <w:spacing w:after="0" w:line="240" w:lineRule="auto"/>
              <w:jc w:val="right"/>
              <w:rPr>
                <w:rFonts w:ascii="Cambria" w:eastAsia="Times New Roman" w:hAnsi="Cambria" w:cs="Arial"/>
                <w:b/>
                <w:bCs/>
                <w:kern w:val="0"/>
                <w:sz w:val="16"/>
                <w:szCs w:val="16"/>
                <w:u w:val="single"/>
                <w14:ligatures w14:val="none"/>
              </w:rPr>
            </w:pPr>
            <w:r>
              <w:rPr>
                <w:rFonts w:ascii="Cambria" w:hAnsi="Cambria"/>
                <w:b/>
                <w:sz w:val="16"/>
                <w:u w:val="single"/>
              </w:rPr>
              <w:t> </w:t>
            </w:r>
          </w:p>
        </w:tc>
        <w:tc>
          <w:tcPr>
            <w:tcW w:w="497" w:type="pct"/>
            <w:tcBorders>
              <w:top w:val="single" w:sz="4" w:space="0" w:color="auto"/>
              <w:left w:val="single" w:sz="4" w:space="0" w:color="auto"/>
              <w:bottom w:val="single" w:sz="8" w:space="0" w:color="auto"/>
              <w:right w:val="single" w:sz="8" w:space="0" w:color="auto"/>
            </w:tcBorders>
            <w:noWrap/>
            <w:vAlign w:val="bottom"/>
            <w:hideMark/>
          </w:tcPr>
          <w:p w14:paraId="2B49C287" w14:textId="77777777" w:rsidR="00345C5F" w:rsidRPr="00CB23C4" w:rsidRDefault="00345C5F" w:rsidP="00CC30F2">
            <w:pPr>
              <w:spacing w:after="0" w:line="240" w:lineRule="auto"/>
              <w:jc w:val="right"/>
              <w:rPr>
                <w:rFonts w:ascii="Cambria" w:eastAsia="Times New Roman" w:hAnsi="Cambria" w:cs="Arial"/>
                <w:b/>
                <w:bCs/>
                <w:kern w:val="0"/>
                <w:sz w:val="16"/>
                <w:szCs w:val="16"/>
                <w:u w:val="single"/>
                <w14:ligatures w14:val="none"/>
              </w:rPr>
            </w:pPr>
            <w:r>
              <w:rPr>
                <w:rFonts w:ascii="Cambria" w:hAnsi="Cambria"/>
                <w:b/>
                <w:sz w:val="16"/>
                <w:u w:val="single"/>
              </w:rPr>
              <w:t> </w:t>
            </w:r>
          </w:p>
        </w:tc>
        <w:tc>
          <w:tcPr>
            <w:tcW w:w="522" w:type="pct"/>
            <w:tcBorders>
              <w:top w:val="nil"/>
              <w:left w:val="nil"/>
              <w:bottom w:val="single" w:sz="8" w:space="0" w:color="auto"/>
              <w:right w:val="single" w:sz="4" w:space="0" w:color="auto"/>
            </w:tcBorders>
            <w:noWrap/>
            <w:vAlign w:val="bottom"/>
            <w:hideMark/>
          </w:tcPr>
          <w:p w14:paraId="47B8849E" w14:textId="77777777" w:rsidR="00345C5F" w:rsidRPr="00CB23C4" w:rsidRDefault="00345C5F" w:rsidP="00CC30F2">
            <w:pPr>
              <w:spacing w:after="0" w:line="240" w:lineRule="auto"/>
              <w:jc w:val="right"/>
              <w:rPr>
                <w:rFonts w:ascii="Cambria" w:eastAsia="Times New Roman" w:hAnsi="Cambria" w:cs="Arial"/>
                <w:b/>
                <w:bCs/>
                <w:kern w:val="0"/>
                <w:sz w:val="16"/>
                <w:szCs w:val="16"/>
                <w:u w:val="single"/>
                <w14:ligatures w14:val="none"/>
              </w:rPr>
            </w:pPr>
            <w:r>
              <w:rPr>
                <w:rFonts w:ascii="Cambria" w:hAnsi="Cambria"/>
                <w:b/>
                <w:sz w:val="16"/>
                <w:u w:val="single"/>
              </w:rPr>
              <w:t>745,39</w:t>
            </w:r>
          </w:p>
        </w:tc>
        <w:tc>
          <w:tcPr>
            <w:tcW w:w="497" w:type="pct"/>
            <w:tcBorders>
              <w:top w:val="single" w:sz="4" w:space="0" w:color="auto"/>
              <w:left w:val="nil"/>
              <w:bottom w:val="single" w:sz="8" w:space="0" w:color="auto"/>
              <w:right w:val="single" w:sz="8" w:space="0" w:color="auto"/>
            </w:tcBorders>
            <w:noWrap/>
            <w:vAlign w:val="bottom"/>
            <w:hideMark/>
          </w:tcPr>
          <w:p w14:paraId="0CC4777F" w14:textId="77777777" w:rsidR="00345C5F" w:rsidRPr="00CB23C4" w:rsidRDefault="00345C5F" w:rsidP="00CC30F2">
            <w:pPr>
              <w:spacing w:after="0" w:line="240" w:lineRule="auto"/>
              <w:jc w:val="right"/>
              <w:rPr>
                <w:rFonts w:ascii="Cambria" w:eastAsia="Times New Roman" w:hAnsi="Cambria" w:cs="Arial"/>
                <w:b/>
                <w:bCs/>
                <w:kern w:val="0"/>
                <w:sz w:val="16"/>
                <w:szCs w:val="16"/>
                <w:u w:val="single"/>
                <w14:ligatures w14:val="none"/>
              </w:rPr>
            </w:pPr>
            <w:r>
              <w:rPr>
                <w:rFonts w:ascii="Cambria" w:hAnsi="Cambria"/>
                <w:b/>
                <w:sz w:val="16"/>
                <w:u w:val="single"/>
              </w:rPr>
              <w:t> </w:t>
            </w:r>
          </w:p>
        </w:tc>
        <w:tc>
          <w:tcPr>
            <w:tcW w:w="535" w:type="pct"/>
            <w:tcBorders>
              <w:top w:val="nil"/>
              <w:left w:val="nil"/>
              <w:bottom w:val="single" w:sz="8" w:space="0" w:color="auto"/>
              <w:right w:val="nil"/>
            </w:tcBorders>
            <w:noWrap/>
            <w:vAlign w:val="bottom"/>
            <w:hideMark/>
          </w:tcPr>
          <w:p w14:paraId="6828EB4C"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 </w:t>
            </w:r>
          </w:p>
        </w:tc>
        <w:tc>
          <w:tcPr>
            <w:tcW w:w="535" w:type="pct"/>
            <w:tcBorders>
              <w:top w:val="single" w:sz="4" w:space="0" w:color="auto"/>
              <w:left w:val="single" w:sz="4" w:space="0" w:color="auto"/>
              <w:bottom w:val="single" w:sz="8" w:space="0" w:color="auto"/>
              <w:right w:val="single" w:sz="8" w:space="0" w:color="auto"/>
            </w:tcBorders>
            <w:noWrap/>
            <w:vAlign w:val="bottom"/>
            <w:hideMark/>
          </w:tcPr>
          <w:p w14:paraId="04D7AA3D" w14:textId="77777777" w:rsidR="00345C5F" w:rsidRPr="00CB23C4" w:rsidRDefault="00345C5F" w:rsidP="00CC30F2">
            <w:pPr>
              <w:spacing w:after="0" w:line="240" w:lineRule="auto"/>
              <w:jc w:val="right"/>
              <w:rPr>
                <w:rFonts w:ascii="Cambria" w:eastAsia="Times New Roman" w:hAnsi="Cambria" w:cs="Arial"/>
                <w:kern w:val="0"/>
                <w:sz w:val="16"/>
                <w:szCs w:val="16"/>
                <w:u w:val="single"/>
                <w14:ligatures w14:val="none"/>
              </w:rPr>
            </w:pPr>
            <w:r>
              <w:rPr>
                <w:rFonts w:ascii="Cambria" w:hAnsi="Cambria"/>
                <w:sz w:val="16"/>
                <w:u w:val="single"/>
              </w:rPr>
              <w:t> </w:t>
            </w:r>
          </w:p>
        </w:tc>
      </w:tr>
      <w:tr w:rsidR="00345C5F" w:rsidRPr="00052E06" w14:paraId="48C39822" w14:textId="77777777" w:rsidTr="00CC30F2">
        <w:trPr>
          <w:trHeight w:val="113"/>
        </w:trPr>
        <w:tc>
          <w:tcPr>
            <w:tcW w:w="1420" w:type="pct"/>
            <w:tcBorders>
              <w:top w:val="nil"/>
              <w:left w:val="single" w:sz="8" w:space="0" w:color="auto"/>
              <w:bottom w:val="single" w:sz="8" w:space="0" w:color="auto"/>
              <w:right w:val="single" w:sz="8" w:space="0" w:color="auto"/>
            </w:tcBorders>
            <w:noWrap/>
            <w:vAlign w:val="bottom"/>
            <w:hideMark/>
          </w:tcPr>
          <w:p w14:paraId="0D08660D" w14:textId="77777777" w:rsidR="00345C5F" w:rsidRPr="00CB23C4" w:rsidRDefault="00345C5F" w:rsidP="00CC30F2">
            <w:pPr>
              <w:spacing w:after="0" w:line="240" w:lineRule="auto"/>
              <w:rPr>
                <w:rFonts w:ascii="Cambria" w:eastAsia="Times New Roman" w:hAnsi="Cambria" w:cs="Arial"/>
                <w:i/>
                <w:iCs/>
                <w:kern w:val="0"/>
                <w:sz w:val="16"/>
                <w:szCs w:val="16"/>
                <w:u w:val="single"/>
                <w14:ligatures w14:val="none"/>
              </w:rPr>
            </w:pPr>
            <w:r>
              <w:rPr>
                <w:rFonts w:ascii="Cambria" w:hAnsi="Cambria"/>
                <w:i/>
                <w:sz w:val="16"/>
                <w:u w:val="single"/>
              </w:rPr>
              <w:t>Número de Rec.</w:t>
            </w:r>
          </w:p>
        </w:tc>
        <w:tc>
          <w:tcPr>
            <w:tcW w:w="497" w:type="pct"/>
            <w:tcBorders>
              <w:top w:val="nil"/>
              <w:left w:val="nil"/>
              <w:bottom w:val="single" w:sz="8" w:space="0" w:color="auto"/>
              <w:right w:val="single" w:sz="4" w:space="0" w:color="auto"/>
            </w:tcBorders>
            <w:noWrap/>
            <w:vAlign w:val="bottom"/>
            <w:hideMark/>
          </w:tcPr>
          <w:p w14:paraId="163FC728" w14:textId="77777777" w:rsidR="00345C5F" w:rsidRPr="00CB23C4" w:rsidRDefault="00345C5F" w:rsidP="00CC30F2">
            <w:pPr>
              <w:spacing w:after="0" w:line="240" w:lineRule="auto"/>
              <w:jc w:val="right"/>
              <w:rPr>
                <w:rFonts w:ascii="Cambria" w:eastAsia="Times New Roman" w:hAnsi="Cambria" w:cs="Arial"/>
                <w:i/>
                <w:iCs/>
                <w:kern w:val="0"/>
                <w:sz w:val="16"/>
                <w:szCs w:val="16"/>
                <w:u w:val="single"/>
                <w14:ligatures w14:val="none"/>
              </w:rPr>
            </w:pPr>
            <w:r>
              <w:rPr>
                <w:rFonts w:ascii="Cambria" w:hAnsi="Cambria"/>
                <w:i/>
                <w:sz w:val="16"/>
                <w:u w:val="single"/>
              </w:rPr>
              <w:t>22-11</w:t>
            </w:r>
          </w:p>
        </w:tc>
        <w:tc>
          <w:tcPr>
            <w:tcW w:w="497" w:type="pct"/>
            <w:tcBorders>
              <w:top w:val="nil"/>
              <w:left w:val="nil"/>
              <w:bottom w:val="single" w:sz="8" w:space="0" w:color="auto"/>
              <w:right w:val="nil"/>
            </w:tcBorders>
            <w:noWrap/>
            <w:vAlign w:val="bottom"/>
            <w:hideMark/>
          </w:tcPr>
          <w:p w14:paraId="27C8197B" w14:textId="77777777" w:rsidR="00345C5F" w:rsidRPr="00CB23C4" w:rsidRDefault="00345C5F" w:rsidP="00CC30F2">
            <w:pPr>
              <w:spacing w:after="0" w:line="240" w:lineRule="auto"/>
              <w:jc w:val="right"/>
              <w:rPr>
                <w:rFonts w:ascii="Cambria" w:eastAsia="Times New Roman" w:hAnsi="Cambria" w:cs="Arial"/>
                <w:i/>
                <w:iCs/>
                <w:kern w:val="0"/>
                <w:sz w:val="16"/>
                <w:szCs w:val="16"/>
                <w:u w:val="single"/>
                <w14:ligatures w14:val="none"/>
              </w:rPr>
            </w:pPr>
            <w:r>
              <w:rPr>
                <w:rFonts w:ascii="Cambria" w:hAnsi="Cambria"/>
                <w:i/>
                <w:sz w:val="16"/>
                <w:u w:val="single"/>
              </w:rPr>
              <w:t>22-11</w:t>
            </w:r>
          </w:p>
        </w:tc>
        <w:tc>
          <w:tcPr>
            <w:tcW w:w="497" w:type="pct"/>
            <w:tcBorders>
              <w:top w:val="nil"/>
              <w:left w:val="single" w:sz="4" w:space="0" w:color="auto"/>
              <w:bottom w:val="single" w:sz="8" w:space="0" w:color="auto"/>
              <w:right w:val="nil"/>
            </w:tcBorders>
            <w:noWrap/>
            <w:vAlign w:val="bottom"/>
            <w:hideMark/>
          </w:tcPr>
          <w:p w14:paraId="42865641" w14:textId="77777777" w:rsidR="00345C5F" w:rsidRPr="00CB23C4" w:rsidRDefault="00345C5F" w:rsidP="00CC30F2">
            <w:pPr>
              <w:spacing w:after="0" w:line="240" w:lineRule="auto"/>
              <w:jc w:val="right"/>
              <w:rPr>
                <w:rFonts w:ascii="Cambria" w:eastAsia="Times New Roman" w:hAnsi="Cambria" w:cs="Arial"/>
                <w:i/>
                <w:iCs/>
                <w:kern w:val="0"/>
                <w:sz w:val="16"/>
                <w:szCs w:val="16"/>
                <w:u w:val="single"/>
                <w14:ligatures w14:val="none"/>
              </w:rPr>
            </w:pPr>
            <w:r>
              <w:rPr>
                <w:rFonts w:ascii="Cambria" w:hAnsi="Cambria"/>
                <w:i/>
                <w:sz w:val="16"/>
                <w:u w:val="single"/>
              </w:rPr>
              <w:t>22-11</w:t>
            </w:r>
          </w:p>
        </w:tc>
        <w:tc>
          <w:tcPr>
            <w:tcW w:w="522" w:type="pct"/>
            <w:tcBorders>
              <w:top w:val="nil"/>
              <w:left w:val="single" w:sz="8" w:space="0" w:color="auto"/>
              <w:bottom w:val="single" w:sz="8" w:space="0" w:color="auto"/>
              <w:right w:val="single" w:sz="4" w:space="0" w:color="auto"/>
            </w:tcBorders>
            <w:noWrap/>
            <w:vAlign w:val="bottom"/>
            <w:hideMark/>
          </w:tcPr>
          <w:p w14:paraId="36A7DBE6" w14:textId="77777777" w:rsidR="00345C5F" w:rsidRPr="00CB23C4" w:rsidRDefault="00345C5F" w:rsidP="00CC30F2">
            <w:pPr>
              <w:spacing w:after="0" w:line="240" w:lineRule="auto"/>
              <w:jc w:val="right"/>
              <w:rPr>
                <w:rFonts w:ascii="Cambria" w:eastAsia="Times New Roman" w:hAnsi="Cambria" w:cs="Arial"/>
                <w:i/>
                <w:iCs/>
                <w:kern w:val="0"/>
                <w:sz w:val="16"/>
                <w:szCs w:val="16"/>
                <w:u w:val="single"/>
                <w14:ligatures w14:val="none"/>
              </w:rPr>
            </w:pPr>
            <w:r>
              <w:rPr>
                <w:rFonts w:ascii="Cambria" w:hAnsi="Cambria"/>
                <w:b/>
                <w:bCs/>
                <w:i/>
                <w:sz w:val="16"/>
                <w:u w:val="single"/>
              </w:rPr>
              <w:t> </w:t>
            </w:r>
          </w:p>
        </w:tc>
        <w:tc>
          <w:tcPr>
            <w:tcW w:w="497" w:type="pct"/>
            <w:tcBorders>
              <w:top w:val="nil"/>
              <w:left w:val="single" w:sz="4" w:space="0" w:color="auto"/>
              <w:bottom w:val="single" w:sz="8" w:space="0" w:color="auto"/>
              <w:right w:val="single" w:sz="8" w:space="0" w:color="auto"/>
            </w:tcBorders>
            <w:noWrap/>
            <w:vAlign w:val="bottom"/>
            <w:hideMark/>
          </w:tcPr>
          <w:p w14:paraId="60ABC9B0" w14:textId="77777777" w:rsidR="00345C5F" w:rsidRPr="00CB23C4" w:rsidRDefault="00345C5F" w:rsidP="00CC30F2">
            <w:pPr>
              <w:spacing w:after="0" w:line="240" w:lineRule="auto"/>
              <w:jc w:val="right"/>
              <w:rPr>
                <w:rFonts w:ascii="Cambria" w:eastAsia="Times New Roman" w:hAnsi="Cambria" w:cs="Arial"/>
                <w:i/>
                <w:iCs/>
                <w:kern w:val="0"/>
                <w:sz w:val="16"/>
                <w:szCs w:val="16"/>
                <w:u w:val="single"/>
                <w14:ligatures w14:val="none"/>
              </w:rPr>
            </w:pPr>
            <w:r>
              <w:rPr>
                <w:rFonts w:ascii="Cambria" w:hAnsi="Cambria"/>
                <w:b/>
                <w:bCs/>
                <w:i/>
                <w:sz w:val="16"/>
                <w:u w:val="single"/>
              </w:rPr>
              <w:t> </w:t>
            </w:r>
          </w:p>
        </w:tc>
        <w:tc>
          <w:tcPr>
            <w:tcW w:w="535" w:type="pct"/>
            <w:tcBorders>
              <w:top w:val="nil"/>
              <w:left w:val="nil"/>
              <w:bottom w:val="single" w:sz="8" w:space="0" w:color="auto"/>
              <w:right w:val="nil"/>
            </w:tcBorders>
            <w:noWrap/>
            <w:vAlign w:val="bottom"/>
            <w:hideMark/>
          </w:tcPr>
          <w:p w14:paraId="39655B8D" w14:textId="77777777" w:rsidR="00345C5F" w:rsidRPr="00CB23C4" w:rsidRDefault="00345C5F" w:rsidP="00CC30F2">
            <w:pPr>
              <w:spacing w:after="0" w:line="240" w:lineRule="auto"/>
              <w:jc w:val="right"/>
              <w:rPr>
                <w:rFonts w:ascii="Cambria" w:eastAsia="Times New Roman" w:hAnsi="Cambria" w:cs="Arial"/>
                <w:b/>
                <w:bCs/>
                <w:kern w:val="0"/>
                <w:sz w:val="16"/>
                <w:szCs w:val="16"/>
                <w:u w:val="single"/>
                <w14:ligatures w14:val="none"/>
              </w:rPr>
            </w:pPr>
            <w:r>
              <w:rPr>
                <w:rFonts w:ascii="Cambria" w:hAnsi="Cambria"/>
                <w:b/>
                <w:bCs/>
                <w:sz w:val="16"/>
                <w:u w:val="single"/>
              </w:rPr>
              <w:t> </w:t>
            </w:r>
          </w:p>
        </w:tc>
        <w:tc>
          <w:tcPr>
            <w:tcW w:w="535" w:type="pct"/>
            <w:tcBorders>
              <w:top w:val="nil"/>
              <w:left w:val="single" w:sz="4" w:space="0" w:color="auto"/>
              <w:bottom w:val="single" w:sz="8" w:space="0" w:color="auto"/>
              <w:right w:val="single" w:sz="8" w:space="0" w:color="auto"/>
            </w:tcBorders>
            <w:noWrap/>
            <w:vAlign w:val="bottom"/>
            <w:hideMark/>
          </w:tcPr>
          <w:p w14:paraId="0075F84F" w14:textId="77777777" w:rsidR="00345C5F" w:rsidRPr="00CB23C4" w:rsidRDefault="00345C5F" w:rsidP="00CC30F2">
            <w:pPr>
              <w:spacing w:after="0" w:line="240" w:lineRule="auto"/>
              <w:jc w:val="right"/>
              <w:rPr>
                <w:rFonts w:ascii="Cambria" w:eastAsia="Times New Roman" w:hAnsi="Cambria" w:cs="Arial"/>
                <w:b/>
                <w:bCs/>
                <w:kern w:val="0"/>
                <w:sz w:val="16"/>
                <w:szCs w:val="16"/>
                <w:u w:val="single"/>
                <w14:ligatures w14:val="none"/>
              </w:rPr>
            </w:pPr>
            <w:r>
              <w:rPr>
                <w:rFonts w:ascii="Cambria" w:hAnsi="Cambria"/>
                <w:b/>
                <w:bCs/>
                <w:sz w:val="16"/>
                <w:u w:val="single"/>
              </w:rPr>
              <w:t> </w:t>
            </w:r>
          </w:p>
        </w:tc>
      </w:tr>
    </w:tbl>
    <w:p w14:paraId="12B03B5A" w14:textId="77777777" w:rsidR="00345C5F" w:rsidRPr="00052E06" w:rsidRDefault="00345C5F" w:rsidP="00345C5F">
      <w:pPr>
        <w:rPr>
          <w:rFonts w:ascii="Cambria" w:eastAsia="Times New Roman" w:hAnsi="Cambria" w:cs="Times New Roman"/>
          <w:b/>
          <w:bCs/>
          <w:color w:val="222222"/>
          <w:sz w:val="20"/>
          <w:szCs w:val="20"/>
          <w:highlight w:val="yellow"/>
          <w:u w:val="single"/>
        </w:rPr>
      </w:pPr>
    </w:p>
    <w:p w14:paraId="0DE1B953" w14:textId="77777777" w:rsidR="00345C5F" w:rsidRPr="00390D88" w:rsidRDefault="00345C5F" w:rsidP="00345C5F">
      <w:pPr>
        <w:numPr>
          <w:ilvl w:val="0"/>
          <w:numId w:val="12"/>
        </w:numPr>
        <w:tabs>
          <w:tab w:val="clear" w:pos="720"/>
        </w:tabs>
        <w:spacing w:after="0" w:line="240" w:lineRule="auto"/>
        <w:ind w:left="426" w:hanging="426"/>
        <w:jc w:val="both"/>
        <w:rPr>
          <w:rFonts w:ascii="Cambria" w:eastAsia="Times New Roman" w:hAnsi="Cambria" w:cs="Times New Roman"/>
          <w:color w:val="222222"/>
          <w:sz w:val="20"/>
          <w:szCs w:val="20"/>
          <w:u w:val="single"/>
        </w:rPr>
      </w:pPr>
      <w:r>
        <w:rPr>
          <w:rFonts w:ascii="Cambria" w:hAnsi="Cambria"/>
          <w:b/>
          <w:bCs/>
          <w:color w:val="222222"/>
          <w:sz w:val="20"/>
          <w:u w:val="single"/>
        </w:rPr>
        <w:t>Superación del límite de captura</w:t>
      </w:r>
    </w:p>
    <w:p w14:paraId="278F5F86" w14:textId="77777777" w:rsidR="00345C5F" w:rsidRPr="00390D88" w:rsidRDefault="00345C5F" w:rsidP="00345C5F">
      <w:pPr>
        <w:spacing w:after="0" w:line="240" w:lineRule="auto"/>
        <w:ind w:left="426"/>
        <w:jc w:val="both"/>
        <w:rPr>
          <w:rFonts w:ascii="Cambria" w:eastAsia="Times New Roman" w:hAnsi="Cambria" w:cs="Times New Roman"/>
          <w:color w:val="222222"/>
          <w:sz w:val="20"/>
          <w:szCs w:val="20"/>
          <w:u w:val="single"/>
        </w:rPr>
      </w:pPr>
    </w:p>
    <w:p w14:paraId="42505E43" w14:textId="30427C8F" w:rsidR="00345C5F" w:rsidRPr="002532C0" w:rsidRDefault="00345C5F" w:rsidP="00345C5F">
      <w:pPr>
        <w:pStyle w:val="ListParagraph"/>
        <w:numPr>
          <w:ilvl w:val="0"/>
          <w:numId w:val="6"/>
        </w:numPr>
        <w:spacing w:after="0" w:line="240" w:lineRule="auto"/>
        <w:jc w:val="both"/>
        <w:rPr>
          <w:rFonts w:ascii="Cambria" w:eastAsia="Times New Roman" w:hAnsi="Cambria" w:cs="Times New Roman"/>
          <w:color w:val="222222"/>
          <w:sz w:val="20"/>
          <w:szCs w:val="20"/>
          <w:u w:val="single"/>
        </w:rPr>
      </w:pPr>
      <w:r w:rsidRPr="002532C0">
        <w:rPr>
          <w:rFonts w:ascii="Cambria" w:hAnsi="Cambria"/>
          <w:sz w:val="20"/>
          <w:szCs w:val="20"/>
          <w:u w:val="single"/>
        </w:rPr>
        <w:t xml:space="preserve">La </w:t>
      </w:r>
      <w:bookmarkStart w:id="3" w:name="_Hlk212460736"/>
      <w:r w:rsidRPr="002532C0">
        <w:rPr>
          <w:rFonts w:ascii="Cambria" w:hAnsi="Cambria"/>
          <w:color w:val="222222"/>
          <w:sz w:val="20"/>
          <w:szCs w:val="20"/>
          <w:u w:val="single"/>
        </w:rPr>
        <w:t>Rec</w:t>
      </w:r>
      <w:r w:rsidR="00252C71" w:rsidRPr="002532C0">
        <w:rPr>
          <w:rFonts w:ascii="Cambria" w:hAnsi="Cambria"/>
          <w:color w:val="222222"/>
          <w:sz w:val="20"/>
          <w:szCs w:val="20"/>
          <w:u w:val="single"/>
        </w:rPr>
        <w:t xml:space="preserve">omendación </w:t>
      </w:r>
      <w:r w:rsidRPr="002532C0">
        <w:rPr>
          <w:rFonts w:ascii="Cambria" w:hAnsi="Cambria"/>
          <w:color w:val="222222"/>
          <w:sz w:val="20"/>
          <w:szCs w:val="20"/>
          <w:u w:val="single"/>
        </w:rPr>
        <w:t xml:space="preserve">22-11 </w:t>
      </w:r>
      <w:bookmarkEnd w:id="3"/>
      <w:r w:rsidRPr="002532C0">
        <w:rPr>
          <w:rFonts w:ascii="Cambria" w:hAnsi="Cambria"/>
          <w:sz w:val="20"/>
          <w:szCs w:val="20"/>
          <w:u w:val="single"/>
        </w:rPr>
        <w:t>establecía un límite de 256 t para los desembarques de marrajo dientuso en 2022.</w:t>
      </w:r>
    </w:p>
    <w:p w14:paraId="203D0E3A" w14:textId="77777777" w:rsidR="00345C5F" w:rsidRPr="00252C71" w:rsidRDefault="00345C5F" w:rsidP="00345C5F">
      <w:pPr>
        <w:pStyle w:val="ListParagraph"/>
        <w:numPr>
          <w:ilvl w:val="0"/>
          <w:numId w:val="6"/>
        </w:numPr>
        <w:spacing w:after="0" w:line="240" w:lineRule="auto"/>
        <w:jc w:val="both"/>
        <w:rPr>
          <w:rFonts w:ascii="Cambria" w:eastAsia="Times New Roman" w:hAnsi="Cambria" w:cs="Times New Roman"/>
          <w:color w:val="222222"/>
          <w:sz w:val="20"/>
          <w:szCs w:val="20"/>
          <w:u w:val="single"/>
        </w:rPr>
      </w:pPr>
      <w:r w:rsidRPr="00252C71">
        <w:rPr>
          <w:rFonts w:ascii="Cambria" w:hAnsi="Cambria"/>
          <w:color w:val="222222"/>
          <w:sz w:val="20"/>
          <w:u w:val="single"/>
        </w:rPr>
        <w:t>Namibia desembarcó 250,88 t en 2024, mientras que en 2023 desembarcó 522 t.</w:t>
      </w:r>
    </w:p>
    <w:p w14:paraId="61579166" w14:textId="77777777" w:rsidR="00345C5F" w:rsidRPr="00390D88" w:rsidRDefault="00345C5F" w:rsidP="00345C5F">
      <w:pPr>
        <w:pStyle w:val="ListParagraph"/>
        <w:spacing w:after="0" w:line="240" w:lineRule="auto"/>
        <w:jc w:val="both"/>
        <w:rPr>
          <w:rFonts w:ascii="Cambria" w:eastAsia="Times New Roman" w:hAnsi="Cambria" w:cs="Times New Roman"/>
          <w:color w:val="222222"/>
          <w:sz w:val="20"/>
          <w:szCs w:val="20"/>
          <w:u w:val="single"/>
        </w:rPr>
      </w:pPr>
    </w:p>
    <w:p w14:paraId="7771D715" w14:textId="77777777" w:rsidR="00345C5F" w:rsidRPr="00403403" w:rsidRDefault="00345C5F" w:rsidP="00345C5F">
      <w:pPr>
        <w:numPr>
          <w:ilvl w:val="0"/>
          <w:numId w:val="12"/>
        </w:numPr>
        <w:tabs>
          <w:tab w:val="clear" w:pos="720"/>
        </w:tabs>
        <w:spacing w:after="0" w:line="240" w:lineRule="auto"/>
        <w:ind w:left="426" w:hanging="426"/>
        <w:jc w:val="both"/>
        <w:rPr>
          <w:rFonts w:ascii="Cambria" w:eastAsia="Times New Roman" w:hAnsi="Cambria" w:cs="Times New Roman"/>
          <w:b/>
          <w:bCs/>
          <w:color w:val="222222"/>
          <w:sz w:val="20"/>
          <w:szCs w:val="20"/>
          <w:u w:val="single"/>
        </w:rPr>
      </w:pPr>
      <w:r w:rsidRPr="00403403">
        <w:rPr>
          <w:rFonts w:ascii="Cambria" w:hAnsi="Cambria"/>
          <w:b/>
          <w:bCs/>
          <w:color w:val="222222"/>
          <w:sz w:val="20"/>
          <w:u w:val="single"/>
        </w:rPr>
        <w:t>Leyes nacionales sobre descartes:</w:t>
      </w:r>
    </w:p>
    <w:p w14:paraId="65554972" w14:textId="77777777" w:rsidR="00345C5F" w:rsidRPr="00390D88" w:rsidRDefault="00345C5F" w:rsidP="00345C5F">
      <w:pPr>
        <w:spacing w:after="0" w:line="240" w:lineRule="auto"/>
        <w:ind w:left="426"/>
        <w:jc w:val="both"/>
        <w:rPr>
          <w:rFonts w:ascii="Cambria" w:eastAsia="Times New Roman" w:hAnsi="Cambria" w:cs="Times New Roman"/>
          <w:color w:val="222222"/>
          <w:sz w:val="20"/>
          <w:szCs w:val="20"/>
          <w:u w:val="single"/>
        </w:rPr>
      </w:pPr>
    </w:p>
    <w:p w14:paraId="13EF8E55" w14:textId="26FF81DA" w:rsidR="00345C5F" w:rsidRPr="00390D88" w:rsidRDefault="00345C5F" w:rsidP="00345C5F">
      <w:pPr>
        <w:pStyle w:val="ListParagraph"/>
        <w:numPr>
          <w:ilvl w:val="0"/>
          <w:numId w:val="6"/>
        </w:numPr>
        <w:spacing w:after="0" w:line="240" w:lineRule="auto"/>
        <w:jc w:val="both"/>
        <w:rPr>
          <w:rFonts w:ascii="Cambria" w:eastAsia="Times New Roman" w:hAnsi="Cambria" w:cs="Times New Roman"/>
          <w:color w:val="222222"/>
          <w:sz w:val="20"/>
          <w:szCs w:val="20"/>
          <w:u w:val="single"/>
        </w:rPr>
      </w:pPr>
      <w:r>
        <w:rPr>
          <w:rFonts w:ascii="Cambria" w:hAnsi="Cambria"/>
          <w:color w:val="222222"/>
          <w:sz w:val="20"/>
          <w:u w:val="single"/>
        </w:rPr>
        <w:t xml:space="preserve">La legislación namibia prohíbe el descarte de cualquier pez muerto, incluido el marrajo dientuso, lo que significa que todas las capturas de </w:t>
      </w:r>
      <w:r w:rsidR="008B3E17">
        <w:rPr>
          <w:rFonts w:ascii="Cambria" w:hAnsi="Cambria"/>
          <w:color w:val="222222"/>
          <w:sz w:val="20"/>
          <w:u w:val="single"/>
        </w:rPr>
        <w:t>ejemplares muertos</w:t>
      </w:r>
      <w:r>
        <w:rPr>
          <w:rFonts w:ascii="Cambria" w:hAnsi="Cambria"/>
          <w:color w:val="222222"/>
          <w:sz w:val="20"/>
          <w:u w:val="single"/>
        </w:rPr>
        <w:t xml:space="preserve"> deben conservarse y desembarcarse.</w:t>
      </w:r>
    </w:p>
    <w:p w14:paraId="68340647" w14:textId="77777777" w:rsidR="00345C5F" w:rsidRPr="00390D88" w:rsidRDefault="00345C5F" w:rsidP="00345C5F">
      <w:pPr>
        <w:pStyle w:val="ListParagraph"/>
        <w:spacing w:after="0" w:line="240" w:lineRule="auto"/>
        <w:jc w:val="both"/>
        <w:rPr>
          <w:rFonts w:ascii="Cambria" w:eastAsia="Times New Roman" w:hAnsi="Cambria" w:cs="Times New Roman"/>
          <w:color w:val="222222"/>
          <w:sz w:val="20"/>
          <w:szCs w:val="20"/>
          <w:u w:val="single"/>
        </w:rPr>
      </w:pPr>
    </w:p>
    <w:p w14:paraId="2EE1C2DC" w14:textId="77777777" w:rsidR="00345C5F" w:rsidRPr="00390D88" w:rsidRDefault="00345C5F" w:rsidP="00345C5F">
      <w:pPr>
        <w:pStyle w:val="ListParagraph"/>
        <w:numPr>
          <w:ilvl w:val="0"/>
          <w:numId w:val="6"/>
        </w:numPr>
        <w:spacing w:after="0" w:line="240" w:lineRule="auto"/>
        <w:jc w:val="both"/>
        <w:rPr>
          <w:rFonts w:ascii="Cambria" w:eastAsia="Times New Roman" w:hAnsi="Cambria" w:cs="Times New Roman"/>
          <w:color w:val="222222"/>
          <w:sz w:val="20"/>
          <w:szCs w:val="20"/>
          <w:u w:val="single"/>
        </w:rPr>
      </w:pPr>
      <w:r>
        <w:rPr>
          <w:rFonts w:ascii="Cambria" w:hAnsi="Cambria"/>
          <w:color w:val="222222"/>
          <w:sz w:val="20"/>
          <w:u w:val="single"/>
        </w:rPr>
        <w:t>Esta normativa afecta a la forma en que Namibia puede gestionar las capturas de tiburones, ya que estamos legalmente obligados a desembarcar todos los marrajos dientusos muertos en lugar de descartarlos en el mar</w:t>
      </w:r>
      <w:r>
        <w:rPr>
          <w:rFonts w:ascii="Cambria" w:hAnsi="Cambria"/>
          <w:b/>
          <w:bCs/>
          <w:color w:val="222222"/>
          <w:sz w:val="20"/>
          <w:u w:val="single"/>
        </w:rPr>
        <w:t>.</w:t>
      </w:r>
    </w:p>
    <w:p w14:paraId="25FD4F6F" w14:textId="77777777" w:rsidR="00345C5F" w:rsidRPr="00390D88" w:rsidRDefault="00345C5F" w:rsidP="00345C5F">
      <w:pPr>
        <w:spacing w:after="0" w:line="240" w:lineRule="auto"/>
        <w:ind w:left="426" w:hanging="426"/>
        <w:jc w:val="both"/>
        <w:rPr>
          <w:rFonts w:ascii="Cambria" w:eastAsia="Times New Roman" w:hAnsi="Cambria" w:cs="Times New Roman"/>
          <w:color w:val="222222"/>
          <w:sz w:val="20"/>
          <w:szCs w:val="20"/>
          <w:u w:val="single"/>
        </w:rPr>
      </w:pPr>
    </w:p>
    <w:p w14:paraId="01DD232E" w14:textId="77777777" w:rsidR="00345C5F" w:rsidRPr="00390D88" w:rsidRDefault="00345C5F" w:rsidP="00345C5F">
      <w:pPr>
        <w:numPr>
          <w:ilvl w:val="0"/>
          <w:numId w:val="12"/>
        </w:numPr>
        <w:tabs>
          <w:tab w:val="clear" w:pos="720"/>
        </w:tabs>
        <w:spacing w:after="0" w:line="240" w:lineRule="auto"/>
        <w:ind w:left="426" w:hanging="426"/>
        <w:jc w:val="both"/>
        <w:rPr>
          <w:rFonts w:ascii="Cambria" w:eastAsia="Times New Roman" w:hAnsi="Cambria" w:cs="Times New Roman"/>
          <w:color w:val="222222"/>
          <w:sz w:val="20"/>
          <w:szCs w:val="20"/>
          <w:u w:val="single"/>
        </w:rPr>
      </w:pPr>
      <w:r>
        <w:rPr>
          <w:rFonts w:ascii="Cambria" w:hAnsi="Cambria"/>
          <w:b/>
          <w:bCs/>
          <w:color w:val="222222"/>
          <w:sz w:val="20"/>
          <w:u w:val="single"/>
        </w:rPr>
        <w:t>Medidas aplicadas para reducir los desembarques:</w:t>
      </w:r>
    </w:p>
    <w:p w14:paraId="1B9B44A0" w14:textId="77777777" w:rsidR="00345C5F" w:rsidRPr="00390D88" w:rsidRDefault="00345C5F" w:rsidP="00345C5F">
      <w:pPr>
        <w:spacing w:after="0" w:line="240" w:lineRule="auto"/>
        <w:ind w:left="426"/>
        <w:jc w:val="both"/>
        <w:rPr>
          <w:rFonts w:ascii="Cambria" w:eastAsia="Times New Roman" w:hAnsi="Cambria" w:cs="Times New Roman"/>
          <w:color w:val="222222"/>
          <w:sz w:val="20"/>
          <w:szCs w:val="20"/>
          <w:u w:val="single"/>
        </w:rPr>
      </w:pPr>
    </w:p>
    <w:p w14:paraId="2EA46859" w14:textId="77777777" w:rsidR="00345C5F" w:rsidRPr="00390D88" w:rsidRDefault="00345C5F" w:rsidP="00345C5F">
      <w:pPr>
        <w:pStyle w:val="ListParagraph"/>
        <w:numPr>
          <w:ilvl w:val="0"/>
          <w:numId w:val="6"/>
        </w:numPr>
        <w:spacing w:after="0" w:line="240" w:lineRule="auto"/>
        <w:jc w:val="both"/>
        <w:rPr>
          <w:rFonts w:ascii="Cambria" w:eastAsia="Times New Roman" w:hAnsi="Cambria" w:cs="Times New Roman"/>
          <w:color w:val="222222"/>
          <w:sz w:val="20"/>
          <w:szCs w:val="20"/>
          <w:u w:val="single"/>
        </w:rPr>
      </w:pPr>
      <w:r>
        <w:rPr>
          <w:rFonts w:ascii="Cambria" w:hAnsi="Cambria"/>
          <w:color w:val="222222"/>
          <w:sz w:val="20"/>
          <w:u w:val="single"/>
        </w:rPr>
        <w:t>Para cumplir los objetivos de ICCAT, Namibia instituyó medidas específicas:</w:t>
      </w:r>
    </w:p>
    <w:p w14:paraId="7443EDFA" w14:textId="77777777" w:rsidR="00345C5F" w:rsidRPr="00390D88" w:rsidRDefault="00345C5F" w:rsidP="00345C5F">
      <w:pPr>
        <w:pStyle w:val="ListParagraph"/>
        <w:spacing w:after="0" w:line="240" w:lineRule="auto"/>
        <w:jc w:val="both"/>
        <w:rPr>
          <w:rFonts w:ascii="Cambria" w:eastAsia="Times New Roman" w:hAnsi="Cambria" w:cs="Times New Roman"/>
          <w:color w:val="222222"/>
          <w:sz w:val="20"/>
          <w:szCs w:val="20"/>
          <w:u w:val="single"/>
        </w:rPr>
      </w:pPr>
    </w:p>
    <w:p w14:paraId="6D0D933E" w14:textId="77777777" w:rsidR="00345C5F" w:rsidRPr="00390D88" w:rsidRDefault="00345C5F" w:rsidP="00345C5F">
      <w:pPr>
        <w:numPr>
          <w:ilvl w:val="2"/>
          <w:numId w:val="12"/>
        </w:numPr>
        <w:spacing w:after="0" w:line="240" w:lineRule="auto"/>
        <w:ind w:left="1134" w:hanging="425"/>
        <w:jc w:val="both"/>
        <w:rPr>
          <w:rFonts w:ascii="Cambria" w:eastAsia="Times New Roman" w:hAnsi="Cambria" w:cs="Times New Roman"/>
          <w:color w:val="222222"/>
          <w:sz w:val="20"/>
          <w:szCs w:val="20"/>
          <w:u w:val="single"/>
        </w:rPr>
      </w:pPr>
      <w:r>
        <w:rPr>
          <w:rFonts w:ascii="Cambria" w:hAnsi="Cambria"/>
          <w:color w:val="222222"/>
          <w:sz w:val="20"/>
          <w:u w:val="single"/>
        </w:rPr>
        <w:t>Todos los ejemplares vivos de marrajo dientuso recogidos durante las operaciones de pesca se devuelven al mar;</w:t>
      </w:r>
    </w:p>
    <w:p w14:paraId="3CD6A271" w14:textId="77777777" w:rsidR="00345C5F" w:rsidRPr="00390D88" w:rsidRDefault="00345C5F" w:rsidP="00345C5F">
      <w:pPr>
        <w:numPr>
          <w:ilvl w:val="2"/>
          <w:numId w:val="12"/>
        </w:numPr>
        <w:spacing w:after="0" w:line="240" w:lineRule="auto"/>
        <w:ind w:left="1134" w:hanging="425"/>
        <w:jc w:val="both"/>
        <w:rPr>
          <w:rFonts w:ascii="Cambria" w:eastAsia="Times New Roman" w:hAnsi="Cambria" w:cs="Times New Roman"/>
          <w:color w:val="222222"/>
          <w:sz w:val="20"/>
          <w:szCs w:val="20"/>
          <w:u w:val="single"/>
        </w:rPr>
      </w:pPr>
      <w:r>
        <w:rPr>
          <w:rFonts w:ascii="Cambria" w:hAnsi="Cambria"/>
          <w:color w:val="222222"/>
          <w:sz w:val="20"/>
          <w:u w:val="single"/>
        </w:rPr>
        <w:t>Sólo se retienen y desembarcan los ejemplares muertos, en cumplimiento de la legislación antidescarte de Namibia.</w:t>
      </w:r>
    </w:p>
    <w:p w14:paraId="112298B4" w14:textId="77777777" w:rsidR="00345C5F" w:rsidRPr="00390D88" w:rsidRDefault="00345C5F" w:rsidP="00345C5F">
      <w:pPr>
        <w:numPr>
          <w:ilvl w:val="2"/>
          <w:numId w:val="12"/>
        </w:numPr>
        <w:spacing w:after="0" w:line="240" w:lineRule="auto"/>
        <w:ind w:left="1134" w:hanging="425"/>
        <w:jc w:val="both"/>
        <w:rPr>
          <w:rFonts w:ascii="Cambria" w:eastAsia="Times New Roman" w:hAnsi="Cambria" w:cs="Times New Roman"/>
          <w:color w:val="222222"/>
          <w:sz w:val="20"/>
          <w:szCs w:val="20"/>
          <w:u w:val="single"/>
        </w:rPr>
      </w:pPr>
      <w:r>
        <w:rPr>
          <w:rFonts w:ascii="Cambria" w:hAnsi="Cambria"/>
          <w:color w:val="222222"/>
          <w:sz w:val="20"/>
          <w:u w:val="single"/>
        </w:rPr>
        <w:t>Además, se han dado instrucciones a los buques con licencia de Namibia para que eviten las zonas en las que producen capturas más elevadas de marrajo dientuso;</w:t>
      </w:r>
    </w:p>
    <w:p w14:paraId="7748E816" w14:textId="3CACB45E" w:rsidR="00345C5F" w:rsidRPr="00390D88" w:rsidRDefault="00345C5F" w:rsidP="00345C5F">
      <w:pPr>
        <w:numPr>
          <w:ilvl w:val="2"/>
          <w:numId w:val="12"/>
        </w:numPr>
        <w:spacing w:after="0" w:line="240" w:lineRule="auto"/>
        <w:ind w:left="1134" w:hanging="425"/>
        <w:jc w:val="both"/>
        <w:rPr>
          <w:rFonts w:ascii="Cambria" w:eastAsia="Times New Roman" w:hAnsi="Cambria" w:cs="Times New Roman"/>
          <w:color w:val="222222"/>
          <w:sz w:val="20"/>
          <w:szCs w:val="20"/>
          <w:u w:val="single"/>
        </w:rPr>
      </w:pPr>
      <w:r>
        <w:rPr>
          <w:rFonts w:ascii="Cambria" w:hAnsi="Cambria"/>
          <w:color w:val="222222"/>
          <w:sz w:val="20"/>
          <w:u w:val="single"/>
        </w:rPr>
        <w:t xml:space="preserve">Debe tenerse en cuenta que estas medidas sólo fueron aplicadas por Namibia en junio/julio de 2023, por lo que el impacto de las medidas sólo refleja la mitad de la reducción del esfuerzo de captura </w:t>
      </w:r>
      <w:r w:rsidR="00B139F3">
        <w:rPr>
          <w:rFonts w:ascii="Cambria" w:hAnsi="Cambria"/>
          <w:color w:val="222222"/>
          <w:sz w:val="20"/>
          <w:u w:val="single"/>
        </w:rPr>
        <w:t>realizado</w:t>
      </w:r>
      <w:r>
        <w:rPr>
          <w:rFonts w:ascii="Cambria" w:hAnsi="Cambria"/>
          <w:color w:val="222222"/>
          <w:sz w:val="20"/>
          <w:u w:val="single"/>
        </w:rPr>
        <w:t xml:space="preserve"> por Namibia</w:t>
      </w:r>
      <w:r w:rsidR="00B139F3">
        <w:rPr>
          <w:rFonts w:ascii="Cambria" w:hAnsi="Cambria"/>
          <w:color w:val="222222"/>
          <w:sz w:val="20"/>
          <w:u w:val="single"/>
        </w:rPr>
        <w:t xml:space="preserve"> en 2023</w:t>
      </w:r>
      <w:r>
        <w:rPr>
          <w:rFonts w:ascii="Cambria" w:hAnsi="Cambria"/>
          <w:color w:val="222222"/>
          <w:sz w:val="20"/>
          <w:u w:val="single"/>
        </w:rPr>
        <w:t>;</w:t>
      </w:r>
    </w:p>
    <w:p w14:paraId="42FC84C2" w14:textId="77777777" w:rsidR="00345C5F" w:rsidRPr="00390D88" w:rsidRDefault="00345C5F" w:rsidP="00345C5F">
      <w:pPr>
        <w:numPr>
          <w:ilvl w:val="2"/>
          <w:numId w:val="12"/>
        </w:numPr>
        <w:spacing w:after="0" w:line="240" w:lineRule="auto"/>
        <w:ind w:left="1134" w:hanging="425"/>
        <w:jc w:val="both"/>
        <w:rPr>
          <w:rFonts w:ascii="Cambria" w:eastAsia="Times New Roman" w:hAnsi="Cambria" w:cs="Times New Roman"/>
          <w:color w:val="222222"/>
          <w:sz w:val="20"/>
          <w:szCs w:val="20"/>
          <w:u w:val="single"/>
        </w:rPr>
      </w:pPr>
      <w:r>
        <w:rPr>
          <w:rFonts w:ascii="Cambria" w:hAnsi="Cambria"/>
          <w:color w:val="222222"/>
          <w:sz w:val="20"/>
          <w:u w:val="single"/>
        </w:rPr>
        <w:t>En Namibia, los marrajos son más abundantes en los niveles superiores (menos profundos) de la columna de agua que otras especies pelágicas de gran tamaño. Como medida para reducir aún más nuestras capturas de marrajo, nuestros buques están calando sus líneas a mayor profundidad en la columna de agua.</w:t>
      </w:r>
    </w:p>
    <w:p w14:paraId="6C7DEE8D" w14:textId="77777777" w:rsidR="00345C5F" w:rsidRPr="00052E06" w:rsidRDefault="00345C5F" w:rsidP="00345C5F">
      <w:pPr>
        <w:spacing w:after="0" w:line="240" w:lineRule="auto"/>
        <w:ind w:left="1134"/>
        <w:jc w:val="both"/>
        <w:rPr>
          <w:rFonts w:ascii="Cambria" w:eastAsia="Times New Roman" w:hAnsi="Cambria" w:cs="Times New Roman"/>
          <w:color w:val="222222"/>
          <w:sz w:val="20"/>
          <w:szCs w:val="20"/>
          <w:highlight w:val="yellow"/>
          <w:u w:val="single"/>
        </w:rPr>
      </w:pPr>
    </w:p>
    <w:p w14:paraId="36357C87" w14:textId="6B644FB8" w:rsidR="00345C5F" w:rsidRPr="00390D88" w:rsidRDefault="00345C5F" w:rsidP="00345C5F">
      <w:pPr>
        <w:pStyle w:val="ListParagraph"/>
        <w:numPr>
          <w:ilvl w:val="0"/>
          <w:numId w:val="6"/>
        </w:numPr>
        <w:spacing w:after="0" w:line="240" w:lineRule="auto"/>
        <w:jc w:val="both"/>
        <w:rPr>
          <w:rFonts w:ascii="Cambria" w:eastAsia="Times New Roman" w:hAnsi="Cambria" w:cs="Times New Roman"/>
          <w:color w:val="222222"/>
          <w:sz w:val="20"/>
          <w:szCs w:val="20"/>
          <w:u w:val="single"/>
        </w:rPr>
      </w:pPr>
      <w:r>
        <w:rPr>
          <w:rFonts w:ascii="Cambria" w:hAnsi="Cambria"/>
          <w:color w:val="222222"/>
          <w:sz w:val="20"/>
          <w:u w:val="single"/>
        </w:rPr>
        <w:t xml:space="preserve">Las </w:t>
      </w:r>
      <w:r w:rsidR="00E368F1">
        <w:rPr>
          <w:rFonts w:ascii="Cambria" w:hAnsi="Cambria"/>
          <w:b/>
          <w:bCs/>
          <w:color w:val="222222"/>
          <w:sz w:val="20"/>
          <w:u w:val="single"/>
        </w:rPr>
        <w:t xml:space="preserve">Figuras </w:t>
      </w:r>
      <w:r>
        <w:rPr>
          <w:rFonts w:ascii="Cambria" w:hAnsi="Cambria"/>
          <w:b/>
          <w:bCs/>
          <w:color w:val="222222"/>
          <w:sz w:val="20"/>
          <w:u w:val="single"/>
        </w:rPr>
        <w:t xml:space="preserve">2 y 3 </w:t>
      </w:r>
      <w:r>
        <w:rPr>
          <w:rFonts w:ascii="Cambria" w:hAnsi="Cambria"/>
          <w:color w:val="222222"/>
          <w:sz w:val="20"/>
          <w:u w:val="single"/>
        </w:rPr>
        <w:t>de este informe ilustran que Namibia ha realizado esfuerzos constantes desde la adopción de la Recomendación 22-11 para minimizar los desembarques de marrajo dientuso mediante la aplicación de este enfoque de retención selectiva.</w:t>
      </w:r>
    </w:p>
    <w:p w14:paraId="3CF710B3" w14:textId="77777777" w:rsidR="00345C5F" w:rsidRPr="00052E06" w:rsidRDefault="00345C5F" w:rsidP="00345C5F">
      <w:pPr>
        <w:pStyle w:val="ListParagraph"/>
        <w:spacing w:after="0" w:line="240" w:lineRule="auto"/>
        <w:jc w:val="both"/>
        <w:rPr>
          <w:rFonts w:ascii="Cambria" w:eastAsia="Times New Roman" w:hAnsi="Cambria" w:cs="Times New Roman"/>
          <w:color w:val="222222"/>
          <w:sz w:val="20"/>
          <w:szCs w:val="20"/>
          <w:highlight w:val="yellow"/>
          <w:u w:val="single"/>
        </w:rPr>
      </w:pPr>
    </w:p>
    <w:p w14:paraId="6D486BB5" w14:textId="77777777" w:rsidR="00345C5F" w:rsidRPr="00390D88" w:rsidRDefault="00345C5F" w:rsidP="00345C5F">
      <w:pPr>
        <w:pStyle w:val="ListParagraph"/>
        <w:numPr>
          <w:ilvl w:val="0"/>
          <w:numId w:val="6"/>
        </w:numPr>
        <w:spacing w:after="0" w:line="240" w:lineRule="auto"/>
        <w:jc w:val="both"/>
        <w:rPr>
          <w:rFonts w:ascii="Cambria" w:eastAsia="Times New Roman" w:hAnsi="Cambria" w:cs="Times New Roman"/>
          <w:color w:val="222222"/>
          <w:sz w:val="20"/>
          <w:szCs w:val="20"/>
          <w:u w:val="single"/>
        </w:rPr>
      </w:pPr>
      <w:r>
        <w:rPr>
          <w:rFonts w:ascii="Cambria" w:hAnsi="Cambria"/>
          <w:color w:val="222222"/>
          <w:sz w:val="20"/>
          <w:u w:val="single"/>
        </w:rPr>
        <w:t xml:space="preserve">Los datos sobre capturas indican claramente que las medidas adoptadas han dado lugar a una disminución considerable de los desembarques. Los desembarques para 2024 han disminuido en un 68 % con respecto a las capturas de 2022 y en un 53 % con respecto a las capturas de 2023 a 2024. </w:t>
      </w:r>
    </w:p>
    <w:p w14:paraId="0E58DFF0" w14:textId="77777777" w:rsidR="00345C5F" w:rsidRPr="00390D88" w:rsidRDefault="00345C5F" w:rsidP="00345C5F">
      <w:pPr>
        <w:spacing w:after="0" w:line="240" w:lineRule="auto"/>
        <w:ind w:left="1440"/>
        <w:jc w:val="both"/>
        <w:rPr>
          <w:rFonts w:ascii="Cambria" w:eastAsia="Times New Roman" w:hAnsi="Cambria" w:cs="Times New Roman"/>
          <w:color w:val="222222"/>
          <w:sz w:val="20"/>
          <w:szCs w:val="20"/>
          <w:u w:val="single"/>
        </w:rPr>
      </w:pPr>
    </w:p>
    <w:p w14:paraId="0293C44C" w14:textId="77777777" w:rsidR="00345C5F" w:rsidRPr="00390D88" w:rsidRDefault="00345C5F" w:rsidP="00345C5F">
      <w:pPr>
        <w:spacing w:after="0" w:line="240" w:lineRule="auto"/>
        <w:jc w:val="both"/>
        <w:rPr>
          <w:rFonts w:ascii="Cambria" w:eastAsia="Times New Roman" w:hAnsi="Cambria" w:cs="Times New Roman"/>
          <w:color w:val="222222"/>
          <w:sz w:val="20"/>
          <w:szCs w:val="20"/>
          <w:u w:val="single"/>
        </w:rPr>
      </w:pPr>
      <w:r>
        <w:rPr>
          <w:rFonts w:ascii="Cambria" w:hAnsi="Cambria"/>
          <w:b/>
          <w:color w:val="222222"/>
          <w:sz w:val="20"/>
          <w:u w:val="single"/>
        </w:rPr>
        <w:t xml:space="preserve">Figura 2. </w:t>
      </w:r>
      <w:r>
        <w:rPr>
          <w:rFonts w:ascii="Cambria" w:hAnsi="Cambria"/>
          <w:color w:val="222222"/>
          <w:sz w:val="20"/>
          <w:u w:val="single"/>
        </w:rPr>
        <w:t>Datos de desembarques de Namibia (2012-2024) en t [COC_304_TRI/2025].</w:t>
      </w:r>
    </w:p>
    <w:tbl>
      <w:tblPr>
        <w:tblStyle w:val="TableGrid"/>
        <w:tblW w:w="5000" w:type="pct"/>
        <w:jc w:val="center"/>
        <w:tblLook w:val="04A0" w:firstRow="1" w:lastRow="0" w:firstColumn="1" w:lastColumn="0" w:noHBand="0" w:noVBand="1"/>
      </w:tblPr>
      <w:tblGrid>
        <w:gridCol w:w="595"/>
        <w:gridCol w:w="642"/>
        <w:gridCol w:w="642"/>
        <w:gridCol w:w="643"/>
        <w:gridCol w:w="643"/>
        <w:gridCol w:w="643"/>
        <w:gridCol w:w="643"/>
        <w:gridCol w:w="643"/>
        <w:gridCol w:w="643"/>
        <w:gridCol w:w="643"/>
        <w:gridCol w:w="643"/>
        <w:gridCol w:w="643"/>
        <w:gridCol w:w="643"/>
        <w:gridCol w:w="752"/>
      </w:tblGrid>
      <w:tr w:rsidR="00345C5F" w:rsidRPr="00390D88" w14:paraId="0D68BD04" w14:textId="77777777" w:rsidTr="00E20D5F">
        <w:trPr>
          <w:trHeight w:val="211"/>
          <w:jc w:val="center"/>
        </w:trPr>
        <w:tc>
          <w:tcPr>
            <w:tcW w:w="299" w:type="pct"/>
            <w:tcBorders>
              <w:top w:val="single" w:sz="4" w:space="0" w:color="auto"/>
              <w:left w:val="single" w:sz="4" w:space="0" w:color="auto"/>
              <w:bottom w:val="single" w:sz="4" w:space="0" w:color="auto"/>
              <w:right w:val="single" w:sz="4" w:space="0" w:color="auto"/>
            </w:tcBorders>
            <w:hideMark/>
          </w:tcPr>
          <w:p w14:paraId="79DE3D5F" w14:textId="77777777" w:rsidR="00345C5F" w:rsidRPr="00123CF9" w:rsidRDefault="00345C5F" w:rsidP="00CC30F2">
            <w:pPr>
              <w:jc w:val="both"/>
              <w:rPr>
                <w:rFonts w:ascii="Cambria" w:eastAsia="Times New Roman" w:hAnsi="Cambria" w:cs="Times New Roman"/>
                <w:b/>
                <w:bCs/>
                <w:i/>
                <w:iCs/>
                <w:color w:val="222222"/>
                <w:sz w:val="18"/>
                <w:szCs w:val="18"/>
                <w:u w:val="single"/>
              </w:rPr>
            </w:pPr>
            <w:r>
              <w:rPr>
                <w:rFonts w:ascii="Cambria" w:hAnsi="Cambria"/>
                <w:b/>
                <w:i/>
                <w:color w:val="222222"/>
                <w:sz w:val="18"/>
                <w:u w:val="single"/>
              </w:rPr>
              <w:t>CPC</w:t>
            </w:r>
          </w:p>
        </w:tc>
        <w:tc>
          <w:tcPr>
            <w:tcW w:w="362" w:type="pct"/>
            <w:tcBorders>
              <w:top w:val="single" w:sz="4" w:space="0" w:color="auto"/>
              <w:left w:val="single" w:sz="4" w:space="0" w:color="auto"/>
              <w:bottom w:val="single" w:sz="4" w:space="0" w:color="auto"/>
              <w:right w:val="single" w:sz="4" w:space="0" w:color="auto"/>
            </w:tcBorders>
            <w:hideMark/>
          </w:tcPr>
          <w:p w14:paraId="5DE55455" w14:textId="77777777" w:rsidR="00345C5F" w:rsidRPr="00123CF9" w:rsidRDefault="00345C5F" w:rsidP="00CC30F2">
            <w:pPr>
              <w:jc w:val="center"/>
              <w:rPr>
                <w:rFonts w:ascii="Cambria" w:eastAsia="Times New Roman" w:hAnsi="Cambria" w:cs="Times New Roman"/>
                <w:b/>
                <w:bCs/>
                <w:i/>
                <w:iCs/>
                <w:color w:val="222222"/>
                <w:sz w:val="18"/>
                <w:szCs w:val="18"/>
                <w:u w:val="single"/>
              </w:rPr>
            </w:pPr>
            <w:r>
              <w:rPr>
                <w:rFonts w:ascii="Cambria" w:hAnsi="Cambria"/>
                <w:b/>
                <w:i/>
                <w:color w:val="222222"/>
                <w:sz w:val="18"/>
                <w:u w:val="single"/>
              </w:rPr>
              <w:t>2012</w:t>
            </w:r>
          </w:p>
        </w:tc>
        <w:tc>
          <w:tcPr>
            <w:tcW w:w="362" w:type="pct"/>
            <w:tcBorders>
              <w:top w:val="single" w:sz="4" w:space="0" w:color="auto"/>
              <w:left w:val="single" w:sz="4" w:space="0" w:color="auto"/>
              <w:bottom w:val="single" w:sz="4" w:space="0" w:color="auto"/>
              <w:right w:val="single" w:sz="4" w:space="0" w:color="auto"/>
            </w:tcBorders>
            <w:hideMark/>
          </w:tcPr>
          <w:p w14:paraId="41E12429" w14:textId="77777777" w:rsidR="00345C5F" w:rsidRPr="00123CF9" w:rsidRDefault="00345C5F" w:rsidP="00CC30F2">
            <w:pPr>
              <w:jc w:val="center"/>
              <w:rPr>
                <w:rFonts w:ascii="Cambria" w:eastAsia="Times New Roman" w:hAnsi="Cambria" w:cs="Times New Roman"/>
                <w:b/>
                <w:bCs/>
                <w:i/>
                <w:iCs/>
                <w:color w:val="222222"/>
                <w:sz w:val="18"/>
                <w:szCs w:val="18"/>
                <w:u w:val="single"/>
              </w:rPr>
            </w:pPr>
            <w:r>
              <w:rPr>
                <w:rFonts w:ascii="Cambria" w:hAnsi="Cambria"/>
                <w:b/>
                <w:i/>
                <w:color w:val="222222"/>
                <w:sz w:val="18"/>
                <w:u w:val="single"/>
              </w:rPr>
              <w:t>2013</w:t>
            </w:r>
          </w:p>
        </w:tc>
        <w:tc>
          <w:tcPr>
            <w:tcW w:w="362" w:type="pct"/>
            <w:tcBorders>
              <w:top w:val="single" w:sz="4" w:space="0" w:color="auto"/>
              <w:left w:val="single" w:sz="4" w:space="0" w:color="auto"/>
              <w:bottom w:val="single" w:sz="4" w:space="0" w:color="auto"/>
              <w:right w:val="single" w:sz="4" w:space="0" w:color="auto"/>
            </w:tcBorders>
            <w:hideMark/>
          </w:tcPr>
          <w:p w14:paraId="75350638" w14:textId="77777777" w:rsidR="00345C5F" w:rsidRPr="00123CF9" w:rsidRDefault="00345C5F" w:rsidP="00CC30F2">
            <w:pPr>
              <w:jc w:val="center"/>
              <w:rPr>
                <w:rFonts w:ascii="Cambria" w:eastAsia="Times New Roman" w:hAnsi="Cambria" w:cs="Times New Roman"/>
                <w:b/>
                <w:bCs/>
                <w:i/>
                <w:iCs/>
                <w:color w:val="222222"/>
                <w:sz w:val="18"/>
                <w:szCs w:val="18"/>
                <w:u w:val="single"/>
              </w:rPr>
            </w:pPr>
            <w:r>
              <w:rPr>
                <w:rFonts w:ascii="Cambria" w:hAnsi="Cambria"/>
                <w:b/>
                <w:i/>
                <w:color w:val="222222"/>
                <w:sz w:val="18"/>
                <w:u w:val="single"/>
              </w:rPr>
              <w:t>2014</w:t>
            </w:r>
          </w:p>
        </w:tc>
        <w:tc>
          <w:tcPr>
            <w:tcW w:w="362" w:type="pct"/>
            <w:tcBorders>
              <w:top w:val="single" w:sz="4" w:space="0" w:color="auto"/>
              <w:left w:val="single" w:sz="4" w:space="0" w:color="auto"/>
              <w:bottom w:val="single" w:sz="4" w:space="0" w:color="auto"/>
              <w:right w:val="single" w:sz="4" w:space="0" w:color="auto"/>
            </w:tcBorders>
            <w:hideMark/>
          </w:tcPr>
          <w:p w14:paraId="0E3C7D92" w14:textId="77777777" w:rsidR="00345C5F" w:rsidRPr="00123CF9" w:rsidRDefault="00345C5F" w:rsidP="00CC30F2">
            <w:pPr>
              <w:jc w:val="center"/>
              <w:rPr>
                <w:rFonts w:ascii="Cambria" w:eastAsia="Times New Roman" w:hAnsi="Cambria" w:cs="Times New Roman"/>
                <w:b/>
                <w:bCs/>
                <w:i/>
                <w:iCs/>
                <w:color w:val="222222"/>
                <w:sz w:val="18"/>
                <w:szCs w:val="18"/>
                <w:u w:val="single"/>
              </w:rPr>
            </w:pPr>
            <w:r>
              <w:rPr>
                <w:rFonts w:ascii="Cambria" w:hAnsi="Cambria"/>
                <w:b/>
                <w:i/>
                <w:color w:val="222222"/>
                <w:sz w:val="18"/>
                <w:u w:val="single"/>
              </w:rPr>
              <w:t>2015</w:t>
            </w:r>
          </w:p>
        </w:tc>
        <w:tc>
          <w:tcPr>
            <w:tcW w:w="362" w:type="pct"/>
            <w:tcBorders>
              <w:top w:val="single" w:sz="4" w:space="0" w:color="auto"/>
              <w:left w:val="single" w:sz="4" w:space="0" w:color="auto"/>
              <w:bottom w:val="single" w:sz="4" w:space="0" w:color="auto"/>
              <w:right w:val="single" w:sz="4" w:space="0" w:color="auto"/>
            </w:tcBorders>
            <w:hideMark/>
          </w:tcPr>
          <w:p w14:paraId="41A9FAD1" w14:textId="77777777" w:rsidR="00345C5F" w:rsidRPr="00123CF9" w:rsidRDefault="00345C5F" w:rsidP="00CC30F2">
            <w:pPr>
              <w:jc w:val="center"/>
              <w:rPr>
                <w:rFonts w:ascii="Cambria" w:eastAsia="Times New Roman" w:hAnsi="Cambria" w:cs="Times New Roman"/>
                <w:b/>
                <w:bCs/>
                <w:i/>
                <w:iCs/>
                <w:color w:val="222222"/>
                <w:sz w:val="18"/>
                <w:szCs w:val="18"/>
                <w:u w:val="single"/>
              </w:rPr>
            </w:pPr>
            <w:r>
              <w:rPr>
                <w:rFonts w:ascii="Cambria" w:hAnsi="Cambria"/>
                <w:b/>
                <w:i/>
                <w:color w:val="222222"/>
                <w:sz w:val="18"/>
                <w:u w:val="single"/>
              </w:rPr>
              <w:t>2016</w:t>
            </w:r>
          </w:p>
        </w:tc>
        <w:tc>
          <w:tcPr>
            <w:tcW w:w="362" w:type="pct"/>
            <w:tcBorders>
              <w:top w:val="single" w:sz="4" w:space="0" w:color="auto"/>
              <w:left w:val="single" w:sz="4" w:space="0" w:color="auto"/>
              <w:bottom w:val="single" w:sz="4" w:space="0" w:color="auto"/>
              <w:right w:val="single" w:sz="4" w:space="0" w:color="auto"/>
            </w:tcBorders>
            <w:hideMark/>
          </w:tcPr>
          <w:p w14:paraId="31080748" w14:textId="77777777" w:rsidR="00345C5F" w:rsidRPr="00123CF9" w:rsidRDefault="00345C5F" w:rsidP="00CC30F2">
            <w:pPr>
              <w:jc w:val="center"/>
              <w:rPr>
                <w:rFonts w:ascii="Cambria" w:eastAsia="Times New Roman" w:hAnsi="Cambria" w:cs="Times New Roman"/>
                <w:b/>
                <w:bCs/>
                <w:i/>
                <w:iCs/>
                <w:color w:val="222222"/>
                <w:sz w:val="18"/>
                <w:szCs w:val="18"/>
                <w:u w:val="single"/>
              </w:rPr>
            </w:pPr>
            <w:r>
              <w:rPr>
                <w:rFonts w:ascii="Cambria" w:hAnsi="Cambria"/>
                <w:b/>
                <w:i/>
                <w:color w:val="222222"/>
                <w:sz w:val="18"/>
                <w:u w:val="single"/>
              </w:rPr>
              <w:t>2017</w:t>
            </w:r>
          </w:p>
        </w:tc>
        <w:tc>
          <w:tcPr>
            <w:tcW w:w="362" w:type="pct"/>
            <w:tcBorders>
              <w:top w:val="single" w:sz="4" w:space="0" w:color="auto"/>
              <w:left w:val="single" w:sz="4" w:space="0" w:color="auto"/>
              <w:bottom w:val="single" w:sz="4" w:space="0" w:color="auto"/>
              <w:right w:val="single" w:sz="4" w:space="0" w:color="auto"/>
            </w:tcBorders>
            <w:hideMark/>
          </w:tcPr>
          <w:p w14:paraId="1C0C2974" w14:textId="77777777" w:rsidR="00345C5F" w:rsidRPr="00123CF9" w:rsidRDefault="00345C5F" w:rsidP="00CC30F2">
            <w:pPr>
              <w:jc w:val="center"/>
              <w:rPr>
                <w:rFonts w:ascii="Cambria" w:eastAsia="Times New Roman" w:hAnsi="Cambria" w:cs="Times New Roman"/>
                <w:b/>
                <w:bCs/>
                <w:i/>
                <w:iCs/>
                <w:color w:val="222222"/>
                <w:sz w:val="18"/>
                <w:szCs w:val="18"/>
                <w:u w:val="single"/>
              </w:rPr>
            </w:pPr>
            <w:r>
              <w:rPr>
                <w:rFonts w:ascii="Cambria" w:hAnsi="Cambria"/>
                <w:b/>
                <w:i/>
                <w:color w:val="222222"/>
                <w:sz w:val="18"/>
                <w:u w:val="single"/>
              </w:rPr>
              <w:t>2018</w:t>
            </w:r>
          </w:p>
        </w:tc>
        <w:tc>
          <w:tcPr>
            <w:tcW w:w="362" w:type="pct"/>
            <w:tcBorders>
              <w:top w:val="single" w:sz="4" w:space="0" w:color="auto"/>
              <w:left w:val="single" w:sz="4" w:space="0" w:color="auto"/>
              <w:bottom w:val="single" w:sz="4" w:space="0" w:color="auto"/>
              <w:right w:val="single" w:sz="4" w:space="0" w:color="auto"/>
            </w:tcBorders>
            <w:hideMark/>
          </w:tcPr>
          <w:p w14:paraId="199F07E2" w14:textId="77777777" w:rsidR="00345C5F" w:rsidRPr="00123CF9" w:rsidRDefault="00345C5F" w:rsidP="00CC30F2">
            <w:pPr>
              <w:jc w:val="center"/>
              <w:rPr>
                <w:rFonts w:ascii="Cambria" w:eastAsia="Times New Roman" w:hAnsi="Cambria" w:cs="Times New Roman"/>
                <w:b/>
                <w:bCs/>
                <w:i/>
                <w:iCs/>
                <w:color w:val="222222"/>
                <w:sz w:val="18"/>
                <w:szCs w:val="18"/>
                <w:u w:val="single"/>
              </w:rPr>
            </w:pPr>
            <w:r>
              <w:rPr>
                <w:rFonts w:ascii="Cambria" w:hAnsi="Cambria"/>
                <w:b/>
                <w:i/>
                <w:color w:val="222222"/>
                <w:sz w:val="18"/>
                <w:u w:val="single"/>
              </w:rPr>
              <w:t>2019</w:t>
            </w:r>
          </w:p>
        </w:tc>
        <w:tc>
          <w:tcPr>
            <w:tcW w:w="362" w:type="pct"/>
            <w:tcBorders>
              <w:top w:val="single" w:sz="4" w:space="0" w:color="auto"/>
              <w:left w:val="single" w:sz="4" w:space="0" w:color="auto"/>
              <w:bottom w:val="single" w:sz="4" w:space="0" w:color="auto"/>
              <w:right w:val="single" w:sz="4" w:space="0" w:color="auto"/>
            </w:tcBorders>
            <w:hideMark/>
          </w:tcPr>
          <w:p w14:paraId="04FE1A2F" w14:textId="77777777" w:rsidR="00345C5F" w:rsidRPr="00123CF9" w:rsidRDefault="00345C5F" w:rsidP="00CC30F2">
            <w:pPr>
              <w:jc w:val="center"/>
              <w:rPr>
                <w:rFonts w:ascii="Cambria" w:eastAsia="Times New Roman" w:hAnsi="Cambria" w:cs="Times New Roman"/>
                <w:b/>
                <w:bCs/>
                <w:i/>
                <w:iCs/>
                <w:color w:val="222222"/>
                <w:sz w:val="18"/>
                <w:szCs w:val="18"/>
                <w:u w:val="single"/>
              </w:rPr>
            </w:pPr>
            <w:r>
              <w:rPr>
                <w:rFonts w:ascii="Cambria" w:hAnsi="Cambria"/>
                <w:b/>
                <w:i/>
                <w:color w:val="222222"/>
                <w:sz w:val="18"/>
                <w:u w:val="single"/>
              </w:rPr>
              <w:t>2020</w:t>
            </w:r>
          </w:p>
        </w:tc>
        <w:tc>
          <w:tcPr>
            <w:tcW w:w="362" w:type="pct"/>
            <w:tcBorders>
              <w:top w:val="single" w:sz="4" w:space="0" w:color="auto"/>
              <w:left w:val="single" w:sz="4" w:space="0" w:color="auto"/>
              <w:bottom w:val="single" w:sz="4" w:space="0" w:color="auto"/>
              <w:right w:val="single" w:sz="4" w:space="0" w:color="auto"/>
            </w:tcBorders>
            <w:hideMark/>
          </w:tcPr>
          <w:p w14:paraId="233F2F94" w14:textId="77777777" w:rsidR="00345C5F" w:rsidRPr="00123CF9" w:rsidRDefault="00345C5F" w:rsidP="00CC30F2">
            <w:pPr>
              <w:jc w:val="center"/>
              <w:rPr>
                <w:rFonts w:ascii="Cambria" w:eastAsia="Times New Roman" w:hAnsi="Cambria" w:cs="Times New Roman"/>
                <w:b/>
                <w:bCs/>
                <w:i/>
                <w:iCs/>
                <w:color w:val="222222"/>
                <w:sz w:val="18"/>
                <w:szCs w:val="18"/>
                <w:u w:val="single"/>
              </w:rPr>
            </w:pPr>
            <w:r>
              <w:rPr>
                <w:rFonts w:ascii="Cambria" w:hAnsi="Cambria"/>
                <w:b/>
                <w:i/>
                <w:color w:val="222222"/>
                <w:sz w:val="18"/>
                <w:u w:val="single"/>
              </w:rPr>
              <w:t>2021</w:t>
            </w:r>
          </w:p>
        </w:tc>
        <w:tc>
          <w:tcPr>
            <w:tcW w:w="362" w:type="pct"/>
            <w:tcBorders>
              <w:top w:val="single" w:sz="4" w:space="0" w:color="auto"/>
              <w:left w:val="single" w:sz="4" w:space="0" w:color="auto"/>
              <w:bottom w:val="single" w:sz="4" w:space="0" w:color="auto"/>
              <w:right w:val="single" w:sz="4" w:space="0" w:color="auto"/>
            </w:tcBorders>
            <w:hideMark/>
          </w:tcPr>
          <w:p w14:paraId="4A110493" w14:textId="77777777" w:rsidR="00345C5F" w:rsidRPr="00123CF9" w:rsidRDefault="00345C5F" w:rsidP="00CC30F2">
            <w:pPr>
              <w:jc w:val="center"/>
              <w:rPr>
                <w:rFonts w:ascii="Cambria" w:eastAsia="Times New Roman" w:hAnsi="Cambria" w:cs="Times New Roman"/>
                <w:b/>
                <w:bCs/>
                <w:i/>
                <w:iCs/>
                <w:color w:val="222222"/>
                <w:sz w:val="18"/>
                <w:szCs w:val="18"/>
                <w:u w:val="single"/>
              </w:rPr>
            </w:pPr>
            <w:r>
              <w:rPr>
                <w:rFonts w:ascii="Cambria" w:hAnsi="Cambria"/>
                <w:b/>
                <w:i/>
                <w:color w:val="222222"/>
                <w:sz w:val="18"/>
                <w:u w:val="single"/>
              </w:rPr>
              <w:t>2022</w:t>
            </w:r>
          </w:p>
        </w:tc>
        <w:tc>
          <w:tcPr>
            <w:tcW w:w="362" w:type="pct"/>
            <w:tcBorders>
              <w:top w:val="single" w:sz="4" w:space="0" w:color="auto"/>
              <w:left w:val="single" w:sz="4" w:space="0" w:color="auto"/>
              <w:bottom w:val="single" w:sz="4" w:space="0" w:color="auto"/>
              <w:right w:val="single" w:sz="4" w:space="0" w:color="auto"/>
            </w:tcBorders>
            <w:hideMark/>
          </w:tcPr>
          <w:p w14:paraId="09E96402" w14:textId="77777777" w:rsidR="00345C5F" w:rsidRPr="00123CF9" w:rsidRDefault="00345C5F" w:rsidP="00CC30F2">
            <w:pPr>
              <w:jc w:val="center"/>
              <w:rPr>
                <w:rFonts w:ascii="Cambria" w:eastAsia="Times New Roman" w:hAnsi="Cambria" w:cs="Times New Roman"/>
                <w:b/>
                <w:bCs/>
                <w:i/>
                <w:iCs/>
                <w:color w:val="222222"/>
                <w:sz w:val="18"/>
                <w:szCs w:val="18"/>
                <w:u w:val="single"/>
              </w:rPr>
            </w:pPr>
            <w:r>
              <w:rPr>
                <w:rFonts w:ascii="Cambria" w:hAnsi="Cambria"/>
                <w:b/>
                <w:i/>
                <w:color w:val="222222"/>
                <w:sz w:val="18"/>
                <w:u w:val="single"/>
              </w:rPr>
              <w:t>2023</w:t>
            </w:r>
          </w:p>
        </w:tc>
        <w:tc>
          <w:tcPr>
            <w:tcW w:w="362" w:type="pct"/>
            <w:tcBorders>
              <w:top w:val="single" w:sz="4" w:space="0" w:color="auto"/>
              <w:left w:val="single" w:sz="4" w:space="0" w:color="auto"/>
              <w:bottom w:val="single" w:sz="4" w:space="0" w:color="auto"/>
              <w:right w:val="single" w:sz="4" w:space="0" w:color="auto"/>
            </w:tcBorders>
            <w:hideMark/>
          </w:tcPr>
          <w:p w14:paraId="59AE43B8" w14:textId="77777777" w:rsidR="00345C5F" w:rsidRPr="00123CF9" w:rsidRDefault="00345C5F" w:rsidP="00CC30F2">
            <w:pPr>
              <w:jc w:val="center"/>
              <w:rPr>
                <w:rFonts w:ascii="Cambria" w:eastAsia="Times New Roman" w:hAnsi="Cambria" w:cs="Times New Roman"/>
                <w:b/>
                <w:bCs/>
                <w:i/>
                <w:iCs/>
                <w:color w:val="222222"/>
                <w:sz w:val="18"/>
                <w:szCs w:val="18"/>
                <w:u w:val="single"/>
              </w:rPr>
            </w:pPr>
            <w:r>
              <w:rPr>
                <w:rFonts w:ascii="Cambria" w:hAnsi="Cambria"/>
                <w:b/>
                <w:i/>
                <w:color w:val="222222"/>
                <w:sz w:val="18"/>
                <w:u w:val="single"/>
              </w:rPr>
              <w:t>2024</w:t>
            </w:r>
          </w:p>
        </w:tc>
      </w:tr>
      <w:tr w:rsidR="00345C5F" w:rsidRPr="00390D88" w14:paraId="7591A57E" w14:textId="77777777" w:rsidTr="00E20D5F">
        <w:trPr>
          <w:trHeight w:val="211"/>
          <w:jc w:val="center"/>
        </w:trPr>
        <w:tc>
          <w:tcPr>
            <w:tcW w:w="299" w:type="pct"/>
            <w:tcBorders>
              <w:top w:val="single" w:sz="4" w:space="0" w:color="auto"/>
              <w:left w:val="single" w:sz="4" w:space="0" w:color="auto"/>
              <w:bottom w:val="single" w:sz="4" w:space="0" w:color="auto"/>
              <w:right w:val="single" w:sz="4" w:space="0" w:color="auto"/>
            </w:tcBorders>
            <w:hideMark/>
          </w:tcPr>
          <w:p w14:paraId="06280DC3" w14:textId="77777777" w:rsidR="00345C5F" w:rsidRPr="00390D88" w:rsidRDefault="00345C5F" w:rsidP="00CC30F2">
            <w:pPr>
              <w:jc w:val="both"/>
              <w:rPr>
                <w:rFonts w:ascii="Cambria" w:eastAsia="Times New Roman" w:hAnsi="Cambria" w:cs="Times New Roman"/>
                <w:color w:val="222222"/>
                <w:sz w:val="18"/>
                <w:szCs w:val="18"/>
                <w:u w:val="single"/>
              </w:rPr>
            </w:pPr>
            <w:r>
              <w:rPr>
                <w:rFonts w:ascii="Cambria" w:hAnsi="Cambria"/>
                <w:color w:val="222222"/>
                <w:sz w:val="18"/>
                <w:u w:val="single"/>
              </w:rPr>
              <w:t>NAM</w:t>
            </w:r>
          </w:p>
        </w:tc>
        <w:tc>
          <w:tcPr>
            <w:tcW w:w="362" w:type="pct"/>
            <w:tcBorders>
              <w:top w:val="single" w:sz="4" w:space="0" w:color="auto"/>
              <w:left w:val="single" w:sz="4" w:space="0" w:color="auto"/>
              <w:bottom w:val="single" w:sz="4" w:space="0" w:color="auto"/>
              <w:right w:val="single" w:sz="4" w:space="0" w:color="auto"/>
            </w:tcBorders>
            <w:hideMark/>
          </w:tcPr>
          <w:p w14:paraId="49A49402" w14:textId="77777777" w:rsidR="00345C5F" w:rsidRPr="00390D88" w:rsidRDefault="00345C5F" w:rsidP="00CC30F2">
            <w:pPr>
              <w:jc w:val="center"/>
              <w:rPr>
                <w:rFonts w:ascii="Cambria" w:eastAsia="Times New Roman" w:hAnsi="Cambria" w:cs="Times New Roman"/>
                <w:color w:val="222222"/>
                <w:sz w:val="18"/>
                <w:szCs w:val="18"/>
                <w:u w:val="single"/>
              </w:rPr>
            </w:pPr>
            <w:r>
              <w:rPr>
                <w:rFonts w:ascii="Cambria" w:hAnsi="Cambria"/>
                <w:color w:val="222222"/>
                <w:sz w:val="18"/>
                <w:u w:val="single"/>
              </w:rPr>
              <w:t>586</w:t>
            </w:r>
          </w:p>
        </w:tc>
        <w:tc>
          <w:tcPr>
            <w:tcW w:w="362" w:type="pct"/>
            <w:tcBorders>
              <w:top w:val="single" w:sz="4" w:space="0" w:color="auto"/>
              <w:left w:val="single" w:sz="4" w:space="0" w:color="auto"/>
              <w:bottom w:val="single" w:sz="4" w:space="0" w:color="auto"/>
              <w:right w:val="single" w:sz="4" w:space="0" w:color="auto"/>
            </w:tcBorders>
            <w:hideMark/>
          </w:tcPr>
          <w:p w14:paraId="49CEE3F9" w14:textId="77777777" w:rsidR="00345C5F" w:rsidRPr="00390D88" w:rsidRDefault="00345C5F" w:rsidP="00CC30F2">
            <w:pPr>
              <w:jc w:val="center"/>
              <w:rPr>
                <w:rFonts w:ascii="Cambria" w:eastAsia="Times New Roman" w:hAnsi="Cambria" w:cs="Times New Roman"/>
                <w:color w:val="222222"/>
                <w:sz w:val="18"/>
                <w:szCs w:val="18"/>
                <w:u w:val="single"/>
              </w:rPr>
            </w:pPr>
            <w:r>
              <w:rPr>
                <w:rFonts w:ascii="Cambria" w:hAnsi="Cambria"/>
                <w:color w:val="222222"/>
                <w:sz w:val="18"/>
                <w:u w:val="single"/>
              </w:rPr>
              <w:t>9</w:t>
            </w:r>
          </w:p>
        </w:tc>
        <w:tc>
          <w:tcPr>
            <w:tcW w:w="362" w:type="pct"/>
            <w:tcBorders>
              <w:top w:val="single" w:sz="4" w:space="0" w:color="auto"/>
              <w:left w:val="single" w:sz="4" w:space="0" w:color="auto"/>
              <w:bottom w:val="single" w:sz="4" w:space="0" w:color="auto"/>
              <w:right w:val="single" w:sz="4" w:space="0" w:color="auto"/>
            </w:tcBorders>
            <w:hideMark/>
          </w:tcPr>
          <w:p w14:paraId="210C99BB" w14:textId="77777777" w:rsidR="00345C5F" w:rsidRPr="00390D88" w:rsidRDefault="00345C5F" w:rsidP="00CC30F2">
            <w:pPr>
              <w:jc w:val="center"/>
              <w:rPr>
                <w:rFonts w:ascii="Cambria" w:eastAsia="Times New Roman" w:hAnsi="Cambria" w:cs="Times New Roman"/>
                <w:color w:val="222222"/>
                <w:sz w:val="18"/>
                <w:szCs w:val="18"/>
                <w:u w:val="single"/>
              </w:rPr>
            </w:pPr>
            <w:r>
              <w:rPr>
                <w:rFonts w:ascii="Cambria" w:hAnsi="Cambria"/>
                <w:color w:val="222222"/>
                <w:sz w:val="18"/>
                <w:u w:val="single"/>
              </w:rPr>
              <w:t>950</w:t>
            </w:r>
          </w:p>
        </w:tc>
        <w:tc>
          <w:tcPr>
            <w:tcW w:w="362" w:type="pct"/>
            <w:tcBorders>
              <w:top w:val="single" w:sz="4" w:space="0" w:color="auto"/>
              <w:left w:val="single" w:sz="4" w:space="0" w:color="auto"/>
              <w:bottom w:val="single" w:sz="4" w:space="0" w:color="auto"/>
              <w:right w:val="single" w:sz="4" w:space="0" w:color="auto"/>
            </w:tcBorders>
            <w:hideMark/>
          </w:tcPr>
          <w:p w14:paraId="7B725F57" w14:textId="77777777" w:rsidR="00345C5F" w:rsidRPr="00390D88" w:rsidRDefault="00345C5F" w:rsidP="00CC30F2">
            <w:pPr>
              <w:jc w:val="center"/>
              <w:rPr>
                <w:rFonts w:ascii="Cambria" w:eastAsia="Times New Roman" w:hAnsi="Cambria" w:cs="Times New Roman"/>
                <w:color w:val="222222"/>
                <w:sz w:val="18"/>
                <w:szCs w:val="18"/>
                <w:u w:val="single"/>
              </w:rPr>
            </w:pPr>
            <w:r>
              <w:rPr>
                <w:rFonts w:ascii="Cambria" w:hAnsi="Cambria"/>
                <w:color w:val="222222"/>
                <w:sz w:val="18"/>
                <w:u w:val="single"/>
              </w:rPr>
              <w:t>661</w:t>
            </w:r>
          </w:p>
        </w:tc>
        <w:tc>
          <w:tcPr>
            <w:tcW w:w="362" w:type="pct"/>
            <w:tcBorders>
              <w:top w:val="single" w:sz="4" w:space="0" w:color="auto"/>
              <w:left w:val="single" w:sz="4" w:space="0" w:color="auto"/>
              <w:bottom w:val="single" w:sz="4" w:space="0" w:color="auto"/>
              <w:right w:val="single" w:sz="4" w:space="0" w:color="auto"/>
            </w:tcBorders>
            <w:hideMark/>
          </w:tcPr>
          <w:p w14:paraId="6DC08696" w14:textId="77777777" w:rsidR="00345C5F" w:rsidRPr="00390D88" w:rsidRDefault="00345C5F" w:rsidP="00CC30F2">
            <w:pPr>
              <w:jc w:val="center"/>
              <w:rPr>
                <w:rFonts w:ascii="Cambria" w:eastAsia="Times New Roman" w:hAnsi="Cambria" w:cs="Times New Roman"/>
                <w:color w:val="222222"/>
                <w:sz w:val="18"/>
                <w:szCs w:val="18"/>
                <w:u w:val="single"/>
              </w:rPr>
            </w:pPr>
            <w:r>
              <w:rPr>
                <w:rFonts w:ascii="Cambria" w:hAnsi="Cambria"/>
                <w:color w:val="222222"/>
                <w:sz w:val="18"/>
                <w:u w:val="single"/>
              </w:rPr>
              <w:t>799</w:t>
            </w:r>
          </w:p>
        </w:tc>
        <w:tc>
          <w:tcPr>
            <w:tcW w:w="362" w:type="pct"/>
            <w:tcBorders>
              <w:top w:val="single" w:sz="4" w:space="0" w:color="auto"/>
              <w:left w:val="single" w:sz="4" w:space="0" w:color="auto"/>
              <w:bottom w:val="single" w:sz="4" w:space="0" w:color="auto"/>
              <w:right w:val="single" w:sz="4" w:space="0" w:color="auto"/>
            </w:tcBorders>
            <w:hideMark/>
          </w:tcPr>
          <w:p w14:paraId="0DF81D9C" w14:textId="77777777" w:rsidR="00345C5F" w:rsidRPr="00390D88" w:rsidRDefault="00345C5F" w:rsidP="00CC30F2">
            <w:pPr>
              <w:jc w:val="center"/>
              <w:rPr>
                <w:rFonts w:ascii="Cambria" w:eastAsia="Times New Roman" w:hAnsi="Cambria" w:cs="Times New Roman"/>
                <w:color w:val="222222"/>
                <w:sz w:val="18"/>
                <w:szCs w:val="18"/>
                <w:u w:val="single"/>
              </w:rPr>
            </w:pPr>
            <w:r>
              <w:rPr>
                <w:rFonts w:ascii="Cambria" w:hAnsi="Cambria"/>
                <w:color w:val="222222"/>
                <w:sz w:val="18"/>
                <w:u w:val="single"/>
              </w:rPr>
              <w:t>194</w:t>
            </w:r>
          </w:p>
        </w:tc>
        <w:tc>
          <w:tcPr>
            <w:tcW w:w="362" w:type="pct"/>
            <w:tcBorders>
              <w:top w:val="single" w:sz="4" w:space="0" w:color="auto"/>
              <w:left w:val="single" w:sz="4" w:space="0" w:color="auto"/>
              <w:bottom w:val="single" w:sz="4" w:space="0" w:color="auto"/>
              <w:right w:val="single" w:sz="4" w:space="0" w:color="auto"/>
            </w:tcBorders>
            <w:hideMark/>
          </w:tcPr>
          <w:p w14:paraId="0294998E" w14:textId="77777777" w:rsidR="00345C5F" w:rsidRPr="00390D88" w:rsidRDefault="00345C5F" w:rsidP="00CC30F2">
            <w:pPr>
              <w:jc w:val="center"/>
              <w:rPr>
                <w:rFonts w:ascii="Cambria" w:eastAsia="Times New Roman" w:hAnsi="Cambria" w:cs="Times New Roman"/>
                <w:color w:val="222222"/>
                <w:sz w:val="18"/>
                <w:szCs w:val="18"/>
                <w:u w:val="single"/>
              </w:rPr>
            </w:pPr>
            <w:r>
              <w:rPr>
                <w:rFonts w:ascii="Cambria" w:hAnsi="Cambria"/>
                <w:color w:val="222222"/>
                <w:sz w:val="18"/>
                <w:u w:val="single"/>
              </w:rPr>
              <w:t>980</w:t>
            </w:r>
          </w:p>
        </w:tc>
        <w:tc>
          <w:tcPr>
            <w:tcW w:w="362" w:type="pct"/>
            <w:tcBorders>
              <w:top w:val="single" w:sz="4" w:space="0" w:color="auto"/>
              <w:left w:val="single" w:sz="4" w:space="0" w:color="auto"/>
              <w:bottom w:val="single" w:sz="4" w:space="0" w:color="auto"/>
              <w:right w:val="single" w:sz="4" w:space="0" w:color="auto"/>
            </w:tcBorders>
            <w:hideMark/>
          </w:tcPr>
          <w:p w14:paraId="19D392B0" w14:textId="77777777" w:rsidR="00345C5F" w:rsidRPr="00390D88" w:rsidRDefault="00345C5F" w:rsidP="00CC30F2">
            <w:pPr>
              <w:jc w:val="center"/>
              <w:rPr>
                <w:rFonts w:ascii="Cambria" w:eastAsia="Times New Roman" w:hAnsi="Cambria" w:cs="Times New Roman"/>
                <w:color w:val="222222"/>
                <w:sz w:val="18"/>
                <w:szCs w:val="18"/>
                <w:u w:val="single"/>
              </w:rPr>
            </w:pPr>
            <w:r>
              <w:rPr>
                <w:rFonts w:ascii="Cambria" w:hAnsi="Cambria"/>
                <w:color w:val="222222"/>
                <w:sz w:val="18"/>
                <w:u w:val="single"/>
              </w:rPr>
              <w:t>0</w:t>
            </w:r>
          </w:p>
        </w:tc>
        <w:tc>
          <w:tcPr>
            <w:tcW w:w="362" w:type="pct"/>
            <w:tcBorders>
              <w:top w:val="single" w:sz="4" w:space="0" w:color="auto"/>
              <w:left w:val="single" w:sz="4" w:space="0" w:color="auto"/>
              <w:bottom w:val="single" w:sz="4" w:space="0" w:color="auto"/>
              <w:right w:val="single" w:sz="4" w:space="0" w:color="auto"/>
            </w:tcBorders>
            <w:hideMark/>
          </w:tcPr>
          <w:p w14:paraId="64AF22F5" w14:textId="77777777" w:rsidR="00345C5F" w:rsidRPr="00390D88" w:rsidRDefault="00345C5F" w:rsidP="00CC30F2">
            <w:pPr>
              <w:jc w:val="center"/>
              <w:rPr>
                <w:rFonts w:ascii="Cambria" w:eastAsia="Times New Roman" w:hAnsi="Cambria" w:cs="Times New Roman"/>
                <w:color w:val="222222"/>
                <w:sz w:val="18"/>
                <w:szCs w:val="18"/>
                <w:u w:val="single"/>
              </w:rPr>
            </w:pPr>
            <w:r>
              <w:rPr>
                <w:rFonts w:ascii="Cambria" w:hAnsi="Cambria"/>
                <w:color w:val="222222"/>
                <w:sz w:val="18"/>
                <w:u w:val="single"/>
              </w:rPr>
              <w:t>945</w:t>
            </w:r>
          </w:p>
        </w:tc>
        <w:tc>
          <w:tcPr>
            <w:tcW w:w="362" w:type="pct"/>
            <w:tcBorders>
              <w:top w:val="single" w:sz="4" w:space="0" w:color="auto"/>
              <w:left w:val="single" w:sz="4" w:space="0" w:color="auto"/>
              <w:bottom w:val="single" w:sz="4" w:space="0" w:color="auto"/>
              <w:right w:val="single" w:sz="4" w:space="0" w:color="auto"/>
            </w:tcBorders>
            <w:hideMark/>
          </w:tcPr>
          <w:p w14:paraId="2DDD0A9D" w14:textId="77777777" w:rsidR="00345C5F" w:rsidRPr="00390D88" w:rsidRDefault="00345C5F" w:rsidP="00CC30F2">
            <w:pPr>
              <w:jc w:val="center"/>
              <w:rPr>
                <w:rFonts w:ascii="Cambria" w:eastAsia="Times New Roman" w:hAnsi="Cambria" w:cs="Times New Roman"/>
                <w:color w:val="222222"/>
                <w:sz w:val="18"/>
                <w:szCs w:val="18"/>
                <w:u w:val="single"/>
              </w:rPr>
            </w:pPr>
            <w:r>
              <w:rPr>
                <w:rFonts w:ascii="Cambria" w:hAnsi="Cambria"/>
                <w:color w:val="222222"/>
                <w:sz w:val="18"/>
                <w:u w:val="single"/>
              </w:rPr>
              <w:t>637</w:t>
            </w:r>
          </w:p>
        </w:tc>
        <w:tc>
          <w:tcPr>
            <w:tcW w:w="362" w:type="pct"/>
            <w:tcBorders>
              <w:top w:val="single" w:sz="4" w:space="0" w:color="auto"/>
              <w:left w:val="single" w:sz="4" w:space="0" w:color="auto"/>
              <w:bottom w:val="single" w:sz="4" w:space="0" w:color="auto"/>
              <w:right w:val="single" w:sz="4" w:space="0" w:color="auto"/>
            </w:tcBorders>
            <w:hideMark/>
          </w:tcPr>
          <w:p w14:paraId="13ECFB4F" w14:textId="77777777" w:rsidR="00345C5F" w:rsidRPr="00390D88" w:rsidRDefault="00345C5F" w:rsidP="00CC30F2">
            <w:pPr>
              <w:jc w:val="center"/>
              <w:rPr>
                <w:rFonts w:ascii="Cambria" w:eastAsia="Times New Roman" w:hAnsi="Cambria" w:cs="Times New Roman"/>
                <w:color w:val="222222"/>
                <w:sz w:val="18"/>
                <w:szCs w:val="18"/>
                <w:u w:val="single"/>
              </w:rPr>
            </w:pPr>
            <w:r>
              <w:rPr>
                <w:rFonts w:ascii="Cambria" w:hAnsi="Cambria"/>
                <w:color w:val="222222"/>
                <w:sz w:val="18"/>
                <w:u w:val="single"/>
              </w:rPr>
              <w:t>789</w:t>
            </w:r>
          </w:p>
        </w:tc>
        <w:tc>
          <w:tcPr>
            <w:tcW w:w="362" w:type="pct"/>
            <w:tcBorders>
              <w:top w:val="single" w:sz="4" w:space="0" w:color="auto"/>
              <w:left w:val="single" w:sz="4" w:space="0" w:color="auto"/>
              <w:bottom w:val="single" w:sz="4" w:space="0" w:color="auto"/>
              <w:right w:val="single" w:sz="4" w:space="0" w:color="auto"/>
            </w:tcBorders>
            <w:hideMark/>
          </w:tcPr>
          <w:p w14:paraId="0571CA1D" w14:textId="77777777" w:rsidR="00345C5F" w:rsidRPr="00390D88" w:rsidRDefault="00345C5F" w:rsidP="00CC30F2">
            <w:pPr>
              <w:jc w:val="center"/>
              <w:rPr>
                <w:rFonts w:ascii="Cambria" w:eastAsia="Times New Roman" w:hAnsi="Cambria" w:cs="Times New Roman"/>
                <w:color w:val="222222"/>
                <w:sz w:val="18"/>
                <w:szCs w:val="18"/>
                <w:u w:val="single"/>
              </w:rPr>
            </w:pPr>
            <w:r>
              <w:rPr>
                <w:rFonts w:ascii="Cambria" w:hAnsi="Cambria"/>
                <w:color w:val="222222"/>
                <w:sz w:val="18"/>
                <w:u w:val="single"/>
              </w:rPr>
              <w:t>522</w:t>
            </w:r>
          </w:p>
        </w:tc>
        <w:tc>
          <w:tcPr>
            <w:tcW w:w="362" w:type="pct"/>
            <w:tcBorders>
              <w:top w:val="single" w:sz="4" w:space="0" w:color="auto"/>
              <w:left w:val="single" w:sz="4" w:space="0" w:color="auto"/>
              <w:bottom w:val="single" w:sz="4" w:space="0" w:color="auto"/>
              <w:right w:val="single" w:sz="4" w:space="0" w:color="auto"/>
            </w:tcBorders>
            <w:hideMark/>
          </w:tcPr>
          <w:p w14:paraId="796367CA" w14:textId="77777777" w:rsidR="00345C5F" w:rsidRPr="00390D88" w:rsidRDefault="00345C5F" w:rsidP="00CC30F2">
            <w:pPr>
              <w:jc w:val="center"/>
              <w:rPr>
                <w:rFonts w:ascii="Cambria" w:eastAsia="Times New Roman" w:hAnsi="Cambria" w:cs="Times New Roman"/>
                <w:color w:val="222222"/>
                <w:sz w:val="18"/>
                <w:szCs w:val="18"/>
                <w:u w:val="single"/>
              </w:rPr>
            </w:pPr>
            <w:r>
              <w:rPr>
                <w:rFonts w:ascii="Cambria" w:hAnsi="Cambria"/>
                <w:color w:val="222222"/>
                <w:sz w:val="18"/>
                <w:u w:val="single"/>
              </w:rPr>
              <w:t>250,88</w:t>
            </w:r>
          </w:p>
        </w:tc>
      </w:tr>
      <w:tr w:rsidR="00345C5F" w:rsidRPr="00390D88" w14:paraId="0032CF96" w14:textId="77777777" w:rsidTr="00E20D5F">
        <w:trPr>
          <w:trHeight w:val="211"/>
          <w:jc w:val="center"/>
        </w:trPr>
        <w:tc>
          <w:tcPr>
            <w:tcW w:w="299" w:type="pct"/>
            <w:tcBorders>
              <w:top w:val="single" w:sz="4" w:space="0" w:color="auto"/>
              <w:left w:val="single" w:sz="4" w:space="0" w:color="auto"/>
              <w:bottom w:val="single" w:sz="4" w:space="0" w:color="auto"/>
              <w:right w:val="single" w:sz="4" w:space="0" w:color="auto"/>
            </w:tcBorders>
          </w:tcPr>
          <w:p w14:paraId="6F86CF60" w14:textId="77777777" w:rsidR="00345C5F" w:rsidRPr="00390D88" w:rsidRDefault="00345C5F" w:rsidP="00CC30F2">
            <w:pPr>
              <w:jc w:val="both"/>
              <w:rPr>
                <w:rFonts w:ascii="Cambria" w:eastAsia="Times New Roman" w:hAnsi="Cambria" w:cs="Times New Roman"/>
                <w:b/>
                <w:bCs/>
                <w:color w:val="222222"/>
                <w:sz w:val="18"/>
                <w:szCs w:val="18"/>
                <w:u w:val="single"/>
              </w:rPr>
            </w:pPr>
          </w:p>
        </w:tc>
        <w:tc>
          <w:tcPr>
            <w:tcW w:w="362" w:type="pct"/>
            <w:tcBorders>
              <w:top w:val="single" w:sz="4" w:space="0" w:color="auto"/>
              <w:left w:val="single" w:sz="4" w:space="0" w:color="auto"/>
              <w:bottom w:val="single" w:sz="4" w:space="0" w:color="auto"/>
              <w:right w:val="single" w:sz="4" w:space="0" w:color="auto"/>
            </w:tcBorders>
          </w:tcPr>
          <w:p w14:paraId="21CE98C7" w14:textId="77777777" w:rsidR="00345C5F" w:rsidRPr="00390D88" w:rsidRDefault="00345C5F" w:rsidP="00CC30F2">
            <w:pPr>
              <w:jc w:val="both"/>
              <w:rPr>
                <w:rFonts w:ascii="Cambria" w:eastAsia="Times New Roman" w:hAnsi="Cambria" w:cs="Times New Roman"/>
                <w:b/>
                <w:bCs/>
                <w:color w:val="222222"/>
                <w:sz w:val="18"/>
                <w:szCs w:val="18"/>
                <w:u w:val="single"/>
              </w:rPr>
            </w:pPr>
          </w:p>
        </w:tc>
        <w:tc>
          <w:tcPr>
            <w:tcW w:w="362" w:type="pct"/>
            <w:tcBorders>
              <w:top w:val="single" w:sz="4" w:space="0" w:color="auto"/>
              <w:left w:val="single" w:sz="4" w:space="0" w:color="auto"/>
              <w:bottom w:val="single" w:sz="4" w:space="0" w:color="auto"/>
              <w:right w:val="single" w:sz="4" w:space="0" w:color="auto"/>
            </w:tcBorders>
          </w:tcPr>
          <w:p w14:paraId="0DC7CA5C" w14:textId="77777777" w:rsidR="00345C5F" w:rsidRPr="00390D88" w:rsidRDefault="00345C5F" w:rsidP="00CC30F2">
            <w:pPr>
              <w:jc w:val="both"/>
              <w:rPr>
                <w:rFonts w:ascii="Cambria" w:eastAsia="Times New Roman" w:hAnsi="Cambria" w:cs="Times New Roman"/>
                <w:b/>
                <w:bCs/>
                <w:color w:val="222222"/>
                <w:sz w:val="18"/>
                <w:szCs w:val="18"/>
                <w:u w:val="single"/>
              </w:rPr>
            </w:pPr>
          </w:p>
        </w:tc>
        <w:tc>
          <w:tcPr>
            <w:tcW w:w="362" w:type="pct"/>
            <w:tcBorders>
              <w:top w:val="single" w:sz="4" w:space="0" w:color="auto"/>
              <w:left w:val="single" w:sz="4" w:space="0" w:color="auto"/>
              <w:bottom w:val="single" w:sz="4" w:space="0" w:color="auto"/>
              <w:right w:val="single" w:sz="4" w:space="0" w:color="auto"/>
            </w:tcBorders>
          </w:tcPr>
          <w:p w14:paraId="44AAEA83" w14:textId="77777777" w:rsidR="00345C5F" w:rsidRPr="00390D88" w:rsidRDefault="00345C5F" w:rsidP="00CC30F2">
            <w:pPr>
              <w:jc w:val="both"/>
              <w:rPr>
                <w:rFonts w:ascii="Cambria" w:eastAsia="Times New Roman" w:hAnsi="Cambria" w:cs="Times New Roman"/>
                <w:b/>
                <w:bCs/>
                <w:color w:val="222222"/>
                <w:sz w:val="18"/>
                <w:szCs w:val="18"/>
                <w:u w:val="single"/>
              </w:rPr>
            </w:pPr>
          </w:p>
        </w:tc>
        <w:tc>
          <w:tcPr>
            <w:tcW w:w="362" w:type="pct"/>
            <w:tcBorders>
              <w:top w:val="single" w:sz="4" w:space="0" w:color="auto"/>
              <w:left w:val="single" w:sz="4" w:space="0" w:color="auto"/>
              <w:bottom w:val="single" w:sz="4" w:space="0" w:color="auto"/>
              <w:right w:val="single" w:sz="4" w:space="0" w:color="auto"/>
            </w:tcBorders>
          </w:tcPr>
          <w:p w14:paraId="6BF37B2E" w14:textId="77777777" w:rsidR="00345C5F" w:rsidRPr="00390D88" w:rsidRDefault="00345C5F" w:rsidP="00CC30F2">
            <w:pPr>
              <w:jc w:val="both"/>
              <w:rPr>
                <w:rFonts w:ascii="Cambria" w:eastAsia="Times New Roman" w:hAnsi="Cambria" w:cs="Times New Roman"/>
                <w:b/>
                <w:bCs/>
                <w:color w:val="222222"/>
                <w:sz w:val="18"/>
                <w:szCs w:val="18"/>
                <w:u w:val="single"/>
              </w:rPr>
            </w:pPr>
          </w:p>
        </w:tc>
        <w:tc>
          <w:tcPr>
            <w:tcW w:w="362" w:type="pct"/>
            <w:tcBorders>
              <w:top w:val="single" w:sz="4" w:space="0" w:color="auto"/>
              <w:left w:val="single" w:sz="4" w:space="0" w:color="auto"/>
              <w:bottom w:val="single" w:sz="4" w:space="0" w:color="auto"/>
              <w:right w:val="single" w:sz="4" w:space="0" w:color="auto"/>
            </w:tcBorders>
          </w:tcPr>
          <w:p w14:paraId="76C97A82" w14:textId="77777777" w:rsidR="00345C5F" w:rsidRPr="00390D88" w:rsidRDefault="00345C5F" w:rsidP="00CC30F2">
            <w:pPr>
              <w:jc w:val="both"/>
              <w:rPr>
                <w:rFonts w:ascii="Cambria" w:eastAsia="Times New Roman" w:hAnsi="Cambria" w:cs="Times New Roman"/>
                <w:b/>
                <w:bCs/>
                <w:color w:val="222222"/>
                <w:sz w:val="18"/>
                <w:szCs w:val="18"/>
                <w:u w:val="single"/>
              </w:rPr>
            </w:pPr>
          </w:p>
        </w:tc>
        <w:tc>
          <w:tcPr>
            <w:tcW w:w="362" w:type="pct"/>
            <w:tcBorders>
              <w:top w:val="single" w:sz="4" w:space="0" w:color="auto"/>
              <w:left w:val="single" w:sz="4" w:space="0" w:color="auto"/>
              <w:bottom w:val="single" w:sz="4" w:space="0" w:color="auto"/>
              <w:right w:val="single" w:sz="4" w:space="0" w:color="auto"/>
            </w:tcBorders>
          </w:tcPr>
          <w:p w14:paraId="2A6DD586" w14:textId="77777777" w:rsidR="00345C5F" w:rsidRPr="00390D88" w:rsidRDefault="00345C5F" w:rsidP="00CC30F2">
            <w:pPr>
              <w:jc w:val="both"/>
              <w:rPr>
                <w:rFonts w:ascii="Cambria" w:eastAsia="Times New Roman" w:hAnsi="Cambria" w:cs="Times New Roman"/>
                <w:b/>
                <w:bCs/>
                <w:color w:val="222222"/>
                <w:sz w:val="18"/>
                <w:szCs w:val="18"/>
                <w:u w:val="single"/>
              </w:rPr>
            </w:pPr>
          </w:p>
        </w:tc>
        <w:tc>
          <w:tcPr>
            <w:tcW w:w="362" w:type="pct"/>
            <w:tcBorders>
              <w:top w:val="single" w:sz="4" w:space="0" w:color="auto"/>
              <w:left w:val="single" w:sz="4" w:space="0" w:color="auto"/>
              <w:bottom w:val="single" w:sz="4" w:space="0" w:color="auto"/>
              <w:right w:val="single" w:sz="4" w:space="0" w:color="auto"/>
            </w:tcBorders>
          </w:tcPr>
          <w:p w14:paraId="52A538BD" w14:textId="77777777" w:rsidR="00345C5F" w:rsidRPr="00390D88" w:rsidRDefault="00345C5F" w:rsidP="00CC30F2">
            <w:pPr>
              <w:jc w:val="both"/>
              <w:rPr>
                <w:rFonts w:ascii="Cambria" w:eastAsia="Times New Roman" w:hAnsi="Cambria" w:cs="Times New Roman"/>
                <w:b/>
                <w:bCs/>
                <w:color w:val="222222"/>
                <w:sz w:val="18"/>
                <w:szCs w:val="18"/>
                <w:u w:val="single"/>
              </w:rPr>
            </w:pPr>
          </w:p>
        </w:tc>
        <w:tc>
          <w:tcPr>
            <w:tcW w:w="362" w:type="pct"/>
            <w:tcBorders>
              <w:top w:val="single" w:sz="4" w:space="0" w:color="auto"/>
              <w:left w:val="single" w:sz="4" w:space="0" w:color="auto"/>
              <w:bottom w:val="single" w:sz="4" w:space="0" w:color="auto"/>
              <w:right w:val="single" w:sz="4" w:space="0" w:color="auto"/>
            </w:tcBorders>
          </w:tcPr>
          <w:p w14:paraId="277E9A4E" w14:textId="77777777" w:rsidR="00345C5F" w:rsidRPr="00390D88" w:rsidRDefault="00345C5F" w:rsidP="00CC30F2">
            <w:pPr>
              <w:jc w:val="both"/>
              <w:rPr>
                <w:rFonts w:ascii="Cambria" w:eastAsia="Times New Roman" w:hAnsi="Cambria" w:cs="Times New Roman"/>
                <w:b/>
                <w:bCs/>
                <w:color w:val="222222"/>
                <w:sz w:val="18"/>
                <w:szCs w:val="18"/>
                <w:u w:val="single"/>
              </w:rPr>
            </w:pPr>
          </w:p>
        </w:tc>
        <w:tc>
          <w:tcPr>
            <w:tcW w:w="362" w:type="pct"/>
            <w:tcBorders>
              <w:top w:val="single" w:sz="4" w:space="0" w:color="auto"/>
              <w:left w:val="single" w:sz="4" w:space="0" w:color="auto"/>
              <w:bottom w:val="single" w:sz="4" w:space="0" w:color="auto"/>
              <w:right w:val="single" w:sz="4" w:space="0" w:color="auto"/>
            </w:tcBorders>
          </w:tcPr>
          <w:p w14:paraId="3EF26E8A" w14:textId="77777777" w:rsidR="00345C5F" w:rsidRPr="00390D88" w:rsidRDefault="00345C5F" w:rsidP="00CC30F2">
            <w:pPr>
              <w:jc w:val="both"/>
              <w:rPr>
                <w:rFonts w:ascii="Cambria" w:eastAsia="Times New Roman" w:hAnsi="Cambria" w:cs="Times New Roman"/>
                <w:b/>
                <w:bCs/>
                <w:color w:val="222222"/>
                <w:sz w:val="18"/>
                <w:szCs w:val="18"/>
                <w:u w:val="single"/>
              </w:rPr>
            </w:pPr>
          </w:p>
        </w:tc>
        <w:tc>
          <w:tcPr>
            <w:tcW w:w="362" w:type="pct"/>
            <w:tcBorders>
              <w:top w:val="single" w:sz="4" w:space="0" w:color="auto"/>
              <w:left w:val="single" w:sz="4" w:space="0" w:color="auto"/>
              <w:bottom w:val="single" w:sz="4" w:space="0" w:color="auto"/>
              <w:right w:val="single" w:sz="4" w:space="0" w:color="auto"/>
            </w:tcBorders>
          </w:tcPr>
          <w:p w14:paraId="7587738E" w14:textId="77777777" w:rsidR="00345C5F" w:rsidRPr="00390D88" w:rsidRDefault="00345C5F" w:rsidP="00CC30F2">
            <w:pPr>
              <w:jc w:val="both"/>
              <w:rPr>
                <w:rFonts w:ascii="Cambria" w:eastAsia="Times New Roman" w:hAnsi="Cambria" w:cs="Times New Roman"/>
                <w:b/>
                <w:bCs/>
                <w:color w:val="222222"/>
                <w:sz w:val="18"/>
                <w:szCs w:val="18"/>
                <w:u w:val="single"/>
              </w:rPr>
            </w:pPr>
          </w:p>
        </w:tc>
        <w:tc>
          <w:tcPr>
            <w:tcW w:w="362" w:type="pct"/>
            <w:tcBorders>
              <w:top w:val="single" w:sz="4" w:space="0" w:color="auto"/>
              <w:left w:val="single" w:sz="4" w:space="0" w:color="auto"/>
              <w:bottom w:val="single" w:sz="4" w:space="0" w:color="auto"/>
              <w:right w:val="single" w:sz="4" w:space="0" w:color="auto"/>
            </w:tcBorders>
          </w:tcPr>
          <w:p w14:paraId="6868FD1A" w14:textId="77777777" w:rsidR="00345C5F" w:rsidRPr="00390D88" w:rsidRDefault="00345C5F" w:rsidP="00CC30F2">
            <w:pPr>
              <w:jc w:val="both"/>
              <w:rPr>
                <w:rFonts w:ascii="Cambria" w:eastAsia="Times New Roman" w:hAnsi="Cambria" w:cs="Times New Roman"/>
                <w:b/>
                <w:bCs/>
                <w:color w:val="222222"/>
                <w:sz w:val="18"/>
                <w:szCs w:val="18"/>
                <w:u w:val="single"/>
              </w:rPr>
            </w:pPr>
          </w:p>
        </w:tc>
        <w:tc>
          <w:tcPr>
            <w:tcW w:w="362" w:type="pct"/>
            <w:tcBorders>
              <w:top w:val="single" w:sz="4" w:space="0" w:color="auto"/>
              <w:left w:val="single" w:sz="4" w:space="0" w:color="auto"/>
              <w:bottom w:val="single" w:sz="4" w:space="0" w:color="auto"/>
              <w:right w:val="single" w:sz="4" w:space="0" w:color="auto"/>
            </w:tcBorders>
          </w:tcPr>
          <w:p w14:paraId="1EC2CBA7" w14:textId="77777777" w:rsidR="00345C5F" w:rsidRPr="00390D88" w:rsidRDefault="00345C5F" w:rsidP="00CC30F2">
            <w:pPr>
              <w:jc w:val="both"/>
              <w:rPr>
                <w:rFonts w:ascii="Cambria" w:eastAsia="Times New Roman" w:hAnsi="Cambria" w:cs="Times New Roman"/>
                <w:b/>
                <w:bCs/>
                <w:color w:val="222222"/>
                <w:sz w:val="18"/>
                <w:szCs w:val="18"/>
                <w:u w:val="single"/>
              </w:rPr>
            </w:pPr>
          </w:p>
        </w:tc>
        <w:tc>
          <w:tcPr>
            <w:tcW w:w="362" w:type="pct"/>
            <w:tcBorders>
              <w:top w:val="single" w:sz="4" w:space="0" w:color="auto"/>
              <w:left w:val="single" w:sz="4" w:space="0" w:color="auto"/>
              <w:bottom w:val="single" w:sz="4" w:space="0" w:color="auto"/>
              <w:right w:val="single" w:sz="4" w:space="0" w:color="auto"/>
            </w:tcBorders>
          </w:tcPr>
          <w:p w14:paraId="320B8D27" w14:textId="77777777" w:rsidR="00345C5F" w:rsidRPr="00390D88" w:rsidRDefault="00345C5F" w:rsidP="00CC30F2">
            <w:pPr>
              <w:jc w:val="both"/>
              <w:rPr>
                <w:rFonts w:ascii="Cambria" w:eastAsia="Times New Roman" w:hAnsi="Cambria" w:cs="Times New Roman"/>
                <w:b/>
                <w:bCs/>
                <w:color w:val="222222"/>
                <w:sz w:val="18"/>
                <w:szCs w:val="18"/>
                <w:u w:val="single"/>
              </w:rPr>
            </w:pPr>
          </w:p>
        </w:tc>
      </w:tr>
    </w:tbl>
    <w:p w14:paraId="38526CBC" w14:textId="77777777" w:rsidR="00345C5F" w:rsidRPr="00390D88" w:rsidRDefault="00345C5F" w:rsidP="00345C5F">
      <w:pPr>
        <w:spacing w:after="0" w:line="240" w:lineRule="auto"/>
        <w:jc w:val="both"/>
        <w:rPr>
          <w:rFonts w:ascii="Cambria" w:eastAsia="Times New Roman" w:hAnsi="Cambria" w:cs="Times New Roman"/>
          <w:b/>
          <w:bCs/>
          <w:color w:val="222222"/>
          <w:sz w:val="20"/>
          <w:szCs w:val="20"/>
          <w:u w:val="single"/>
        </w:rPr>
      </w:pPr>
    </w:p>
    <w:p w14:paraId="4D222776" w14:textId="77777777" w:rsidR="00345C5F" w:rsidRPr="00390D88" w:rsidRDefault="00345C5F" w:rsidP="00345C5F">
      <w:pPr>
        <w:spacing w:after="0" w:line="240" w:lineRule="auto"/>
        <w:jc w:val="both"/>
        <w:rPr>
          <w:rFonts w:ascii="Cambria" w:eastAsia="Times New Roman" w:hAnsi="Cambria" w:cs="Times New Roman"/>
          <w:b/>
          <w:bCs/>
          <w:color w:val="222222"/>
          <w:sz w:val="20"/>
          <w:szCs w:val="20"/>
          <w:u w:val="single"/>
        </w:rPr>
      </w:pPr>
      <w:r>
        <w:rPr>
          <w:rFonts w:ascii="Cambria" w:hAnsi="Cambria"/>
          <w:b/>
          <w:color w:val="222222"/>
          <w:sz w:val="20"/>
          <w:u w:val="single"/>
        </w:rPr>
        <w:t xml:space="preserve">Figura 3. </w:t>
      </w:r>
      <w:r>
        <w:rPr>
          <w:rFonts w:ascii="Cambria" w:hAnsi="Cambria"/>
          <w:color w:val="222222"/>
          <w:sz w:val="20"/>
          <w:u w:val="single"/>
        </w:rPr>
        <w:t>Datos sobre las liberaciones en vivo de Namibia (2019-2025) en t.</w:t>
      </w:r>
    </w:p>
    <w:tbl>
      <w:tblPr>
        <w:tblStyle w:val="TableGrid"/>
        <w:tblW w:w="0" w:type="auto"/>
        <w:tblInd w:w="-5" w:type="dxa"/>
        <w:tblLook w:val="04A0" w:firstRow="1" w:lastRow="0" w:firstColumn="1" w:lastColumn="0" w:noHBand="0" w:noVBand="1"/>
      </w:tblPr>
      <w:tblGrid>
        <w:gridCol w:w="687"/>
        <w:gridCol w:w="692"/>
        <w:gridCol w:w="692"/>
        <w:gridCol w:w="692"/>
        <w:gridCol w:w="692"/>
        <w:gridCol w:w="737"/>
        <w:gridCol w:w="855"/>
        <w:gridCol w:w="855"/>
      </w:tblGrid>
      <w:tr w:rsidR="00345C5F" w:rsidRPr="00390D88" w14:paraId="53E267B4" w14:textId="77777777" w:rsidTr="00E20D5F">
        <w:tc>
          <w:tcPr>
            <w:tcW w:w="687" w:type="dxa"/>
            <w:tcBorders>
              <w:top w:val="single" w:sz="4" w:space="0" w:color="auto"/>
              <w:left w:val="single" w:sz="4" w:space="0" w:color="auto"/>
              <w:bottom w:val="single" w:sz="4" w:space="0" w:color="auto"/>
              <w:right w:val="single" w:sz="4" w:space="0" w:color="auto"/>
            </w:tcBorders>
            <w:hideMark/>
          </w:tcPr>
          <w:p w14:paraId="3250C6D0" w14:textId="77777777" w:rsidR="00345C5F" w:rsidRPr="00123CF9" w:rsidRDefault="00345C5F" w:rsidP="00CC30F2">
            <w:pPr>
              <w:jc w:val="both"/>
              <w:rPr>
                <w:rFonts w:ascii="Cambria" w:eastAsia="Times New Roman" w:hAnsi="Cambria" w:cs="Times New Roman"/>
                <w:b/>
                <w:bCs/>
                <w:i/>
                <w:iCs/>
                <w:color w:val="222222"/>
                <w:sz w:val="18"/>
                <w:szCs w:val="18"/>
                <w:u w:val="single"/>
              </w:rPr>
            </w:pPr>
            <w:r>
              <w:rPr>
                <w:rFonts w:ascii="Cambria" w:hAnsi="Cambria"/>
                <w:b/>
                <w:i/>
                <w:color w:val="222222"/>
                <w:sz w:val="18"/>
                <w:u w:val="single"/>
              </w:rPr>
              <w:t>CPC</w:t>
            </w:r>
          </w:p>
        </w:tc>
        <w:tc>
          <w:tcPr>
            <w:tcW w:w="692" w:type="dxa"/>
            <w:tcBorders>
              <w:top w:val="single" w:sz="4" w:space="0" w:color="auto"/>
              <w:left w:val="single" w:sz="4" w:space="0" w:color="auto"/>
              <w:bottom w:val="single" w:sz="4" w:space="0" w:color="auto"/>
              <w:right w:val="single" w:sz="4" w:space="0" w:color="auto"/>
            </w:tcBorders>
            <w:hideMark/>
          </w:tcPr>
          <w:p w14:paraId="5FE7F772" w14:textId="77777777" w:rsidR="00345C5F" w:rsidRPr="00123CF9" w:rsidRDefault="00345C5F" w:rsidP="00CC30F2">
            <w:pPr>
              <w:jc w:val="center"/>
              <w:rPr>
                <w:rFonts w:ascii="Cambria" w:eastAsia="Times New Roman" w:hAnsi="Cambria" w:cs="Times New Roman"/>
                <w:b/>
                <w:bCs/>
                <w:i/>
                <w:iCs/>
                <w:color w:val="222222"/>
                <w:sz w:val="18"/>
                <w:szCs w:val="18"/>
                <w:u w:val="single"/>
              </w:rPr>
            </w:pPr>
            <w:r>
              <w:rPr>
                <w:rFonts w:ascii="Cambria" w:hAnsi="Cambria"/>
                <w:b/>
                <w:i/>
                <w:color w:val="222222"/>
                <w:sz w:val="18"/>
                <w:u w:val="single"/>
              </w:rPr>
              <w:t>2019</w:t>
            </w:r>
          </w:p>
        </w:tc>
        <w:tc>
          <w:tcPr>
            <w:tcW w:w="692" w:type="dxa"/>
            <w:tcBorders>
              <w:top w:val="single" w:sz="4" w:space="0" w:color="auto"/>
              <w:left w:val="single" w:sz="4" w:space="0" w:color="auto"/>
              <w:bottom w:val="single" w:sz="4" w:space="0" w:color="auto"/>
              <w:right w:val="single" w:sz="4" w:space="0" w:color="auto"/>
            </w:tcBorders>
            <w:hideMark/>
          </w:tcPr>
          <w:p w14:paraId="610CC11B" w14:textId="77777777" w:rsidR="00345C5F" w:rsidRPr="00123CF9" w:rsidRDefault="00345C5F" w:rsidP="00CC30F2">
            <w:pPr>
              <w:jc w:val="center"/>
              <w:rPr>
                <w:rFonts w:ascii="Cambria" w:eastAsia="Times New Roman" w:hAnsi="Cambria" w:cs="Times New Roman"/>
                <w:b/>
                <w:bCs/>
                <w:i/>
                <w:iCs/>
                <w:color w:val="222222"/>
                <w:sz w:val="18"/>
                <w:szCs w:val="18"/>
                <w:u w:val="single"/>
              </w:rPr>
            </w:pPr>
            <w:r>
              <w:rPr>
                <w:rFonts w:ascii="Cambria" w:hAnsi="Cambria"/>
                <w:b/>
                <w:i/>
                <w:color w:val="222222"/>
                <w:sz w:val="18"/>
                <w:u w:val="single"/>
              </w:rPr>
              <w:t>2020</w:t>
            </w:r>
          </w:p>
        </w:tc>
        <w:tc>
          <w:tcPr>
            <w:tcW w:w="692" w:type="dxa"/>
            <w:tcBorders>
              <w:top w:val="single" w:sz="4" w:space="0" w:color="auto"/>
              <w:left w:val="single" w:sz="4" w:space="0" w:color="auto"/>
              <w:bottom w:val="single" w:sz="4" w:space="0" w:color="auto"/>
              <w:right w:val="single" w:sz="4" w:space="0" w:color="auto"/>
            </w:tcBorders>
            <w:hideMark/>
          </w:tcPr>
          <w:p w14:paraId="415909D7" w14:textId="77777777" w:rsidR="00345C5F" w:rsidRPr="00123CF9" w:rsidRDefault="00345C5F" w:rsidP="00CC30F2">
            <w:pPr>
              <w:jc w:val="center"/>
              <w:rPr>
                <w:rFonts w:ascii="Cambria" w:eastAsia="Times New Roman" w:hAnsi="Cambria" w:cs="Times New Roman"/>
                <w:b/>
                <w:bCs/>
                <w:i/>
                <w:iCs/>
                <w:color w:val="222222"/>
                <w:sz w:val="18"/>
                <w:szCs w:val="18"/>
                <w:u w:val="single"/>
              </w:rPr>
            </w:pPr>
            <w:r>
              <w:rPr>
                <w:rFonts w:ascii="Cambria" w:hAnsi="Cambria"/>
                <w:b/>
                <w:i/>
                <w:color w:val="222222"/>
                <w:sz w:val="18"/>
                <w:u w:val="single"/>
              </w:rPr>
              <w:t>2021</w:t>
            </w:r>
          </w:p>
        </w:tc>
        <w:tc>
          <w:tcPr>
            <w:tcW w:w="692" w:type="dxa"/>
            <w:tcBorders>
              <w:top w:val="single" w:sz="4" w:space="0" w:color="auto"/>
              <w:left w:val="single" w:sz="4" w:space="0" w:color="auto"/>
              <w:bottom w:val="single" w:sz="4" w:space="0" w:color="auto"/>
              <w:right w:val="single" w:sz="4" w:space="0" w:color="auto"/>
            </w:tcBorders>
            <w:hideMark/>
          </w:tcPr>
          <w:p w14:paraId="0FDB5F91" w14:textId="77777777" w:rsidR="00345C5F" w:rsidRPr="00123CF9" w:rsidRDefault="00345C5F" w:rsidP="00CC30F2">
            <w:pPr>
              <w:jc w:val="center"/>
              <w:rPr>
                <w:rFonts w:ascii="Cambria" w:eastAsia="Times New Roman" w:hAnsi="Cambria" w:cs="Times New Roman"/>
                <w:b/>
                <w:bCs/>
                <w:i/>
                <w:iCs/>
                <w:color w:val="222222"/>
                <w:sz w:val="18"/>
                <w:szCs w:val="18"/>
                <w:u w:val="single"/>
              </w:rPr>
            </w:pPr>
            <w:r>
              <w:rPr>
                <w:rFonts w:ascii="Cambria" w:hAnsi="Cambria"/>
                <w:b/>
                <w:i/>
                <w:color w:val="222222"/>
                <w:sz w:val="18"/>
                <w:u w:val="single"/>
              </w:rPr>
              <w:t>2022</w:t>
            </w:r>
          </w:p>
        </w:tc>
        <w:tc>
          <w:tcPr>
            <w:tcW w:w="737" w:type="dxa"/>
            <w:tcBorders>
              <w:top w:val="single" w:sz="4" w:space="0" w:color="auto"/>
              <w:left w:val="single" w:sz="4" w:space="0" w:color="auto"/>
              <w:bottom w:val="single" w:sz="4" w:space="0" w:color="auto"/>
              <w:right w:val="single" w:sz="4" w:space="0" w:color="auto"/>
            </w:tcBorders>
            <w:hideMark/>
          </w:tcPr>
          <w:p w14:paraId="6DEDE4B6" w14:textId="77777777" w:rsidR="00345C5F" w:rsidRPr="00123CF9" w:rsidRDefault="00345C5F" w:rsidP="00CC30F2">
            <w:pPr>
              <w:jc w:val="center"/>
              <w:rPr>
                <w:rFonts w:ascii="Cambria" w:eastAsia="Times New Roman" w:hAnsi="Cambria" w:cs="Times New Roman"/>
                <w:b/>
                <w:bCs/>
                <w:i/>
                <w:iCs/>
                <w:color w:val="222222"/>
                <w:sz w:val="18"/>
                <w:szCs w:val="18"/>
                <w:u w:val="single"/>
              </w:rPr>
            </w:pPr>
            <w:r>
              <w:rPr>
                <w:rFonts w:ascii="Cambria" w:hAnsi="Cambria"/>
                <w:b/>
                <w:i/>
                <w:color w:val="222222"/>
                <w:sz w:val="18"/>
                <w:u w:val="single"/>
              </w:rPr>
              <w:t>2023</w:t>
            </w:r>
          </w:p>
        </w:tc>
        <w:tc>
          <w:tcPr>
            <w:tcW w:w="855" w:type="dxa"/>
            <w:tcBorders>
              <w:top w:val="single" w:sz="4" w:space="0" w:color="auto"/>
              <w:left w:val="single" w:sz="4" w:space="0" w:color="auto"/>
              <w:bottom w:val="single" w:sz="4" w:space="0" w:color="auto"/>
              <w:right w:val="single" w:sz="4" w:space="0" w:color="auto"/>
            </w:tcBorders>
            <w:hideMark/>
          </w:tcPr>
          <w:p w14:paraId="5A6C0C4E" w14:textId="77777777" w:rsidR="00345C5F" w:rsidRPr="00123CF9" w:rsidRDefault="00345C5F" w:rsidP="00CC30F2">
            <w:pPr>
              <w:jc w:val="center"/>
              <w:rPr>
                <w:rFonts w:ascii="Cambria" w:eastAsia="Times New Roman" w:hAnsi="Cambria" w:cs="Times New Roman"/>
                <w:b/>
                <w:bCs/>
                <w:i/>
                <w:iCs/>
                <w:color w:val="222222"/>
                <w:sz w:val="18"/>
                <w:szCs w:val="18"/>
                <w:u w:val="single"/>
              </w:rPr>
            </w:pPr>
            <w:r>
              <w:rPr>
                <w:rFonts w:ascii="Cambria" w:hAnsi="Cambria"/>
                <w:b/>
                <w:i/>
                <w:color w:val="222222"/>
                <w:sz w:val="18"/>
                <w:u w:val="single"/>
              </w:rPr>
              <w:t>2024</w:t>
            </w:r>
          </w:p>
        </w:tc>
        <w:tc>
          <w:tcPr>
            <w:tcW w:w="855" w:type="dxa"/>
            <w:tcBorders>
              <w:top w:val="single" w:sz="4" w:space="0" w:color="auto"/>
              <w:left w:val="single" w:sz="4" w:space="0" w:color="auto"/>
              <w:bottom w:val="single" w:sz="4" w:space="0" w:color="auto"/>
              <w:right w:val="single" w:sz="4" w:space="0" w:color="auto"/>
            </w:tcBorders>
            <w:hideMark/>
          </w:tcPr>
          <w:p w14:paraId="7E2105A4" w14:textId="77777777" w:rsidR="00345C5F" w:rsidRPr="00123CF9" w:rsidRDefault="00345C5F" w:rsidP="00CC30F2">
            <w:pPr>
              <w:jc w:val="center"/>
              <w:rPr>
                <w:rFonts w:ascii="Cambria" w:eastAsia="Times New Roman" w:hAnsi="Cambria" w:cs="Times New Roman"/>
                <w:b/>
                <w:bCs/>
                <w:i/>
                <w:iCs/>
                <w:color w:val="222222"/>
                <w:sz w:val="18"/>
                <w:szCs w:val="18"/>
                <w:u w:val="single"/>
              </w:rPr>
            </w:pPr>
            <w:r>
              <w:rPr>
                <w:rFonts w:ascii="Cambria" w:hAnsi="Cambria"/>
                <w:b/>
                <w:i/>
                <w:color w:val="222222"/>
                <w:sz w:val="18"/>
                <w:u w:val="single"/>
              </w:rPr>
              <w:t>2025</w:t>
            </w:r>
          </w:p>
        </w:tc>
      </w:tr>
      <w:tr w:rsidR="00345C5F" w:rsidRPr="00390D88" w14:paraId="2C9A8CAC" w14:textId="77777777" w:rsidTr="00E20D5F">
        <w:tc>
          <w:tcPr>
            <w:tcW w:w="687" w:type="dxa"/>
            <w:tcBorders>
              <w:top w:val="single" w:sz="4" w:space="0" w:color="auto"/>
              <w:left w:val="single" w:sz="4" w:space="0" w:color="auto"/>
              <w:bottom w:val="single" w:sz="4" w:space="0" w:color="auto"/>
              <w:right w:val="single" w:sz="4" w:space="0" w:color="auto"/>
            </w:tcBorders>
            <w:hideMark/>
          </w:tcPr>
          <w:p w14:paraId="2FB13970" w14:textId="77777777" w:rsidR="00345C5F" w:rsidRPr="00390D88" w:rsidRDefault="00345C5F" w:rsidP="00CC30F2">
            <w:pPr>
              <w:jc w:val="both"/>
              <w:rPr>
                <w:rFonts w:ascii="Cambria" w:eastAsia="Times New Roman" w:hAnsi="Cambria" w:cs="Times New Roman"/>
                <w:color w:val="222222"/>
                <w:sz w:val="18"/>
                <w:szCs w:val="18"/>
                <w:u w:val="single"/>
              </w:rPr>
            </w:pPr>
            <w:r>
              <w:rPr>
                <w:rFonts w:ascii="Cambria" w:hAnsi="Cambria"/>
                <w:color w:val="222222"/>
                <w:sz w:val="18"/>
                <w:u w:val="single"/>
              </w:rPr>
              <w:t>NAM</w:t>
            </w:r>
          </w:p>
        </w:tc>
        <w:tc>
          <w:tcPr>
            <w:tcW w:w="692" w:type="dxa"/>
            <w:tcBorders>
              <w:top w:val="single" w:sz="4" w:space="0" w:color="auto"/>
              <w:left w:val="single" w:sz="4" w:space="0" w:color="auto"/>
              <w:bottom w:val="single" w:sz="4" w:space="0" w:color="auto"/>
              <w:right w:val="single" w:sz="4" w:space="0" w:color="auto"/>
            </w:tcBorders>
            <w:hideMark/>
          </w:tcPr>
          <w:p w14:paraId="3CF53762" w14:textId="77777777" w:rsidR="00345C5F" w:rsidRPr="00390D88" w:rsidRDefault="00345C5F" w:rsidP="00CC30F2">
            <w:pPr>
              <w:jc w:val="center"/>
              <w:rPr>
                <w:rFonts w:ascii="Cambria" w:eastAsia="Times New Roman" w:hAnsi="Cambria" w:cs="Times New Roman"/>
                <w:color w:val="222222"/>
                <w:sz w:val="18"/>
                <w:szCs w:val="18"/>
                <w:u w:val="single"/>
              </w:rPr>
            </w:pPr>
            <w:r>
              <w:rPr>
                <w:rFonts w:ascii="Cambria" w:hAnsi="Cambria"/>
                <w:color w:val="222222"/>
                <w:sz w:val="18"/>
                <w:u w:val="single"/>
              </w:rPr>
              <w:t>0</w:t>
            </w:r>
          </w:p>
        </w:tc>
        <w:tc>
          <w:tcPr>
            <w:tcW w:w="692" w:type="dxa"/>
            <w:tcBorders>
              <w:top w:val="single" w:sz="4" w:space="0" w:color="auto"/>
              <w:left w:val="single" w:sz="4" w:space="0" w:color="auto"/>
              <w:bottom w:val="single" w:sz="4" w:space="0" w:color="auto"/>
              <w:right w:val="single" w:sz="4" w:space="0" w:color="auto"/>
            </w:tcBorders>
            <w:hideMark/>
          </w:tcPr>
          <w:p w14:paraId="265A7F33" w14:textId="77777777" w:rsidR="00345C5F" w:rsidRPr="00390D88" w:rsidRDefault="00345C5F" w:rsidP="00CC30F2">
            <w:pPr>
              <w:jc w:val="center"/>
              <w:rPr>
                <w:rFonts w:ascii="Cambria" w:eastAsia="Times New Roman" w:hAnsi="Cambria" w:cs="Times New Roman"/>
                <w:color w:val="222222"/>
                <w:sz w:val="18"/>
                <w:szCs w:val="18"/>
                <w:u w:val="single"/>
              </w:rPr>
            </w:pPr>
            <w:r>
              <w:rPr>
                <w:rFonts w:ascii="Cambria" w:hAnsi="Cambria"/>
                <w:color w:val="222222"/>
                <w:sz w:val="18"/>
                <w:u w:val="single"/>
              </w:rPr>
              <w:t>0</w:t>
            </w:r>
          </w:p>
        </w:tc>
        <w:tc>
          <w:tcPr>
            <w:tcW w:w="692" w:type="dxa"/>
            <w:tcBorders>
              <w:top w:val="single" w:sz="4" w:space="0" w:color="auto"/>
              <w:left w:val="single" w:sz="4" w:space="0" w:color="auto"/>
              <w:bottom w:val="single" w:sz="4" w:space="0" w:color="auto"/>
              <w:right w:val="single" w:sz="4" w:space="0" w:color="auto"/>
            </w:tcBorders>
            <w:hideMark/>
          </w:tcPr>
          <w:p w14:paraId="78CE7DC6" w14:textId="77777777" w:rsidR="00345C5F" w:rsidRPr="00390D88" w:rsidRDefault="00345C5F" w:rsidP="00CC30F2">
            <w:pPr>
              <w:jc w:val="center"/>
              <w:rPr>
                <w:rFonts w:ascii="Cambria" w:eastAsia="Times New Roman" w:hAnsi="Cambria" w:cs="Times New Roman"/>
                <w:color w:val="222222"/>
                <w:sz w:val="18"/>
                <w:szCs w:val="18"/>
                <w:u w:val="single"/>
              </w:rPr>
            </w:pPr>
            <w:r>
              <w:rPr>
                <w:rFonts w:ascii="Cambria" w:hAnsi="Cambria"/>
                <w:color w:val="222222"/>
                <w:sz w:val="18"/>
                <w:u w:val="single"/>
              </w:rPr>
              <w:t>0</w:t>
            </w:r>
          </w:p>
        </w:tc>
        <w:tc>
          <w:tcPr>
            <w:tcW w:w="692" w:type="dxa"/>
            <w:tcBorders>
              <w:top w:val="single" w:sz="4" w:space="0" w:color="auto"/>
              <w:left w:val="single" w:sz="4" w:space="0" w:color="auto"/>
              <w:bottom w:val="single" w:sz="4" w:space="0" w:color="auto"/>
              <w:right w:val="single" w:sz="4" w:space="0" w:color="auto"/>
            </w:tcBorders>
            <w:hideMark/>
          </w:tcPr>
          <w:p w14:paraId="24BC0241" w14:textId="77777777" w:rsidR="00345C5F" w:rsidRPr="00390D88" w:rsidRDefault="00345C5F" w:rsidP="00CC30F2">
            <w:pPr>
              <w:jc w:val="center"/>
              <w:rPr>
                <w:rFonts w:ascii="Cambria" w:eastAsia="Times New Roman" w:hAnsi="Cambria" w:cs="Times New Roman"/>
                <w:color w:val="222222"/>
                <w:sz w:val="18"/>
                <w:szCs w:val="18"/>
                <w:u w:val="single"/>
              </w:rPr>
            </w:pPr>
            <w:r>
              <w:rPr>
                <w:rFonts w:ascii="Cambria" w:hAnsi="Cambria"/>
                <w:color w:val="222222"/>
                <w:sz w:val="18"/>
                <w:u w:val="single"/>
              </w:rPr>
              <w:t>0</w:t>
            </w:r>
          </w:p>
        </w:tc>
        <w:tc>
          <w:tcPr>
            <w:tcW w:w="737" w:type="dxa"/>
            <w:tcBorders>
              <w:top w:val="single" w:sz="4" w:space="0" w:color="auto"/>
              <w:left w:val="single" w:sz="4" w:space="0" w:color="auto"/>
              <w:bottom w:val="single" w:sz="4" w:space="0" w:color="auto"/>
              <w:right w:val="single" w:sz="4" w:space="0" w:color="auto"/>
            </w:tcBorders>
            <w:hideMark/>
          </w:tcPr>
          <w:p w14:paraId="5BAF2BB0" w14:textId="77777777" w:rsidR="00345C5F" w:rsidRPr="00390D88" w:rsidRDefault="00345C5F" w:rsidP="00CC30F2">
            <w:pPr>
              <w:jc w:val="center"/>
              <w:rPr>
                <w:rFonts w:ascii="Cambria" w:eastAsia="Times New Roman" w:hAnsi="Cambria" w:cs="Times New Roman"/>
                <w:color w:val="222222"/>
                <w:sz w:val="18"/>
                <w:szCs w:val="18"/>
                <w:u w:val="single"/>
              </w:rPr>
            </w:pPr>
            <w:r>
              <w:rPr>
                <w:rFonts w:ascii="Cambria" w:hAnsi="Cambria"/>
                <w:color w:val="222222"/>
                <w:sz w:val="18"/>
                <w:u w:val="single"/>
              </w:rPr>
              <w:t>97,75</w:t>
            </w:r>
          </w:p>
        </w:tc>
        <w:tc>
          <w:tcPr>
            <w:tcW w:w="855" w:type="dxa"/>
            <w:tcBorders>
              <w:top w:val="single" w:sz="4" w:space="0" w:color="auto"/>
              <w:left w:val="single" w:sz="4" w:space="0" w:color="auto"/>
              <w:bottom w:val="single" w:sz="4" w:space="0" w:color="auto"/>
              <w:right w:val="single" w:sz="4" w:space="0" w:color="auto"/>
            </w:tcBorders>
            <w:hideMark/>
          </w:tcPr>
          <w:p w14:paraId="6A2BE1FE" w14:textId="77777777" w:rsidR="00345C5F" w:rsidRPr="00390D88" w:rsidRDefault="00345C5F" w:rsidP="00CC30F2">
            <w:pPr>
              <w:jc w:val="center"/>
              <w:rPr>
                <w:rFonts w:ascii="Cambria" w:eastAsia="Times New Roman" w:hAnsi="Cambria" w:cs="Times New Roman"/>
                <w:color w:val="222222"/>
                <w:sz w:val="18"/>
                <w:szCs w:val="18"/>
                <w:u w:val="single"/>
              </w:rPr>
            </w:pPr>
            <w:r>
              <w:rPr>
                <w:rFonts w:ascii="Cambria" w:hAnsi="Cambria"/>
                <w:color w:val="222222"/>
                <w:sz w:val="18"/>
                <w:u w:val="single"/>
              </w:rPr>
              <w:t>181,96</w:t>
            </w:r>
          </w:p>
        </w:tc>
        <w:tc>
          <w:tcPr>
            <w:tcW w:w="855" w:type="dxa"/>
            <w:tcBorders>
              <w:top w:val="single" w:sz="4" w:space="0" w:color="auto"/>
              <w:left w:val="single" w:sz="4" w:space="0" w:color="auto"/>
              <w:bottom w:val="single" w:sz="4" w:space="0" w:color="auto"/>
              <w:right w:val="single" w:sz="4" w:space="0" w:color="auto"/>
            </w:tcBorders>
            <w:hideMark/>
          </w:tcPr>
          <w:p w14:paraId="3089AC0F" w14:textId="77777777" w:rsidR="00345C5F" w:rsidRPr="00390D88" w:rsidRDefault="00345C5F" w:rsidP="00CC30F2">
            <w:pPr>
              <w:jc w:val="center"/>
              <w:rPr>
                <w:rFonts w:ascii="Cambria" w:eastAsia="Times New Roman" w:hAnsi="Cambria" w:cs="Times New Roman"/>
                <w:color w:val="222222"/>
                <w:sz w:val="18"/>
                <w:szCs w:val="18"/>
                <w:u w:val="single"/>
              </w:rPr>
            </w:pPr>
            <w:r>
              <w:rPr>
                <w:rFonts w:ascii="Cambria" w:hAnsi="Cambria"/>
                <w:color w:val="222222"/>
                <w:sz w:val="18"/>
                <w:u w:val="single"/>
              </w:rPr>
              <w:t>215,06</w:t>
            </w:r>
          </w:p>
        </w:tc>
      </w:tr>
      <w:tr w:rsidR="00345C5F" w:rsidRPr="00052E06" w14:paraId="0DBB3B40" w14:textId="77777777" w:rsidTr="00E20D5F">
        <w:tc>
          <w:tcPr>
            <w:tcW w:w="687" w:type="dxa"/>
            <w:tcBorders>
              <w:top w:val="single" w:sz="4" w:space="0" w:color="auto"/>
              <w:left w:val="single" w:sz="4" w:space="0" w:color="auto"/>
              <w:bottom w:val="single" w:sz="4" w:space="0" w:color="auto"/>
              <w:right w:val="single" w:sz="4" w:space="0" w:color="auto"/>
            </w:tcBorders>
          </w:tcPr>
          <w:p w14:paraId="4013786D" w14:textId="77777777" w:rsidR="00345C5F" w:rsidRPr="00390D88" w:rsidRDefault="00345C5F" w:rsidP="00CC30F2">
            <w:pPr>
              <w:jc w:val="both"/>
              <w:rPr>
                <w:rFonts w:ascii="Cambria" w:eastAsia="Times New Roman" w:hAnsi="Cambria" w:cs="Times New Roman"/>
                <w:b/>
                <w:bCs/>
                <w:color w:val="222222"/>
                <w:sz w:val="18"/>
                <w:szCs w:val="18"/>
                <w:u w:val="single"/>
              </w:rPr>
            </w:pPr>
          </w:p>
        </w:tc>
        <w:tc>
          <w:tcPr>
            <w:tcW w:w="692" w:type="dxa"/>
            <w:tcBorders>
              <w:top w:val="single" w:sz="4" w:space="0" w:color="auto"/>
              <w:left w:val="single" w:sz="4" w:space="0" w:color="auto"/>
              <w:bottom w:val="single" w:sz="4" w:space="0" w:color="auto"/>
              <w:right w:val="single" w:sz="4" w:space="0" w:color="auto"/>
            </w:tcBorders>
          </w:tcPr>
          <w:p w14:paraId="45FFD48D" w14:textId="77777777" w:rsidR="00345C5F" w:rsidRPr="00390D88" w:rsidRDefault="00345C5F" w:rsidP="00CC30F2">
            <w:pPr>
              <w:jc w:val="both"/>
              <w:rPr>
                <w:rFonts w:ascii="Cambria" w:eastAsia="Times New Roman" w:hAnsi="Cambria" w:cs="Times New Roman"/>
                <w:b/>
                <w:bCs/>
                <w:color w:val="222222"/>
                <w:sz w:val="18"/>
                <w:szCs w:val="18"/>
                <w:u w:val="single"/>
              </w:rPr>
            </w:pPr>
          </w:p>
        </w:tc>
        <w:tc>
          <w:tcPr>
            <w:tcW w:w="692" w:type="dxa"/>
            <w:tcBorders>
              <w:top w:val="single" w:sz="4" w:space="0" w:color="auto"/>
              <w:left w:val="single" w:sz="4" w:space="0" w:color="auto"/>
              <w:bottom w:val="single" w:sz="4" w:space="0" w:color="auto"/>
              <w:right w:val="single" w:sz="4" w:space="0" w:color="auto"/>
            </w:tcBorders>
          </w:tcPr>
          <w:p w14:paraId="0289EEBB" w14:textId="77777777" w:rsidR="00345C5F" w:rsidRPr="00390D88" w:rsidRDefault="00345C5F" w:rsidP="00CC30F2">
            <w:pPr>
              <w:jc w:val="both"/>
              <w:rPr>
                <w:rFonts w:ascii="Cambria" w:eastAsia="Times New Roman" w:hAnsi="Cambria" w:cs="Times New Roman"/>
                <w:b/>
                <w:bCs/>
                <w:color w:val="222222"/>
                <w:sz w:val="18"/>
                <w:szCs w:val="18"/>
                <w:u w:val="single"/>
              </w:rPr>
            </w:pPr>
          </w:p>
        </w:tc>
        <w:tc>
          <w:tcPr>
            <w:tcW w:w="692" w:type="dxa"/>
            <w:tcBorders>
              <w:top w:val="single" w:sz="4" w:space="0" w:color="auto"/>
              <w:left w:val="single" w:sz="4" w:space="0" w:color="auto"/>
              <w:bottom w:val="single" w:sz="4" w:space="0" w:color="auto"/>
              <w:right w:val="single" w:sz="4" w:space="0" w:color="auto"/>
            </w:tcBorders>
          </w:tcPr>
          <w:p w14:paraId="009836AE" w14:textId="77777777" w:rsidR="00345C5F" w:rsidRPr="00390D88" w:rsidRDefault="00345C5F" w:rsidP="00CC30F2">
            <w:pPr>
              <w:jc w:val="both"/>
              <w:rPr>
                <w:rFonts w:ascii="Cambria" w:eastAsia="Times New Roman" w:hAnsi="Cambria" w:cs="Times New Roman"/>
                <w:b/>
                <w:bCs/>
                <w:color w:val="222222"/>
                <w:sz w:val="18"/>
                <w:szCs w:val="18"/>
                <w:u w:val="single"/>
              </w:rPr>
            </w:pPr>
          </w:p>
        </w:tc>
        <w:tc>
          <w:tcPr>
            <w:tcW w:w="692" w:type="dxa"/>
            <w:tcBorders>
              <w:top w:val="single" w:sz="4" w:space="0" w:color="auto"/>
              <w:left w:val="single" w:sz="4" w:space="0" w:color="auto"/>
              <w:bottom w:val="single" w:sz="4" w:space="0" w:color="auto"/>
              <w:right w:val="single" w:sz="4" w:space="0" w:color="auto"/>
            </w:tcBorders>
          </w:tcPr>
          <w:p w14:paraId="6A767446" w14:textId="77777777" w:rsidR="00345C5F" w:rsidRPr="00390D88" w:rsidRDefault="00345C5F" w:rsidP="00CC30F2">
            <w:pPr>
              <w:jc w:val="both"/>
              <w:rPr>
                <w:rFonts w:ascii="Cambria" w:eastAsia="Times New Roman" w:hAnsi="Cambria" w:cs="Times New Roman"/>
                <w:b/>
                <w:bCs/>
                <w:color w:val="222222"/>
                <w:sz w:val="18"/>
                <w:szCs w:val="18"/>
                <w:u w:val="single"/>
              </w:rPr>
            </w:pPr>
          </w:p>
        </w:tc>
        <w:tc>
          <w:tcPr>
            <w:tcW w:w="737" w:type="dxa"/>
            <w:tcBorders>
              <w:top w:val="single" w:sz="4" w:space="0" w:color="auto"/>
              <w:left w:val="single" w:sz="4" w:space="0" w:color="auto"/>
              <w:bottom w:val="single" w:sz="4" w:space="0" w:color="auto"/>
              <w:right w:val="single" w:sz="4" w:space="0" w:color="auto"/>
            </w:tcBorders>
          </w:tcPr>
          <w:p w14:paraId="5D5781B5" w14:textId="77777777" w:rsidR="00345C5F" w:rsidRPr="00390D88" w:rsidRDefault="00345C5F" w:rsidP="00CC30F2">
            <w:pPr>
              <w:jc w:val="both"/>
              <w:rPr>
                <w:rFonts w:ascii="Cambria" w:eastAsia="Times New Roman" w:hAnsi="Cambria" w:cs="Times New Roman"/>
                <w:b/>
                <w:bCs/>
                <w:color w:val="222222"/>
                <w:sz w:val="18"/>
                <w:szCs w:val="18"/>
                <w:u w:val="single"/>
              </w:rPr>
            </w:pPr>
          </w:p>
        </w:tc>
        <w:tc>
          <w:tcPr>
            <w:tcW w:w="855" w:type="dxa"/>
            <w:tcBorders>
              <w:top w:val="single" w:sz="4" w:space="0" w:color="auto"/>
              <w:left w:val="single" w:sz="4" w:space="0" w:color="auto"/>
              <w:bottom w:val="single" w:sz="4" w:space="0" w:color="auto"/>
              <w:right w:val="single" w:sz="4" w:space="0" w:color="auto"/>
            </w:tcBorders>
          </w:tcPr>
          <w:p w14:paraId="0117D327" w14:textId="77777777" w:rsidR="00345C5F" w:rsidRPr="00390D88" w:rsidRDefault="00345C5F" w:rsidP="00CC30F2">
            <w:pPr>
              <w:jc w:val="both"/>
              <w:rPr>
                <w:rFonts w:ascii="Cambria" w:eastAsia="Times New Roman" w:hAnsi="Cambria" w:cs="Times New Roman"/>
                <w:b/>
                <w:bCs/>
                <w:color w:val="222222"/>
                <w:sz w:val="18"/>
                <w:szCs w:val="18"/>
                <w:u w:val="single"/>
              </w:rPr>
            </w:pPr>
          </w:p>
        </w:tc>
        <w:tc>
          <w:tcPr>
            <w:tcW w:w="855" w:type="dxa"/>
            <w:tcBorders>
              <w:top w:val="single" w:sz="4" w:space="0" w:color="auto"/>
              <w:left w:val="single" w:sz="4" w:space="0" w:color="auto"/>
              <w:bottom w:val="single" w:sz="4" w:space="0" w:color="auto"/>
              <w:right w:val="single" w:sz="4" w:space="0" w:color="auto"/>
            </w:tcBorders>
          </w:tcPr>
          <w:p w14:paraId="0A0C1CD8" w14:textId="77777777" w:rsidR="00345C5F" w:rsidRPr="00390D88" w:rsidRDefault="00345C5F" w:rsidP="00CC30F2">
            <w:pPr>
              <w:jc w:val="both"/>
              <w:rPr>
                <w:rFonts w:ascii="Cambria" w:eastAsia="Times New Roman" w:hAnsi="Cambria" w:cs="Times New Roman"/>
                <w:b/>
                <w:bCs/>
                <w:color w:val="222222"/>
                <w:sz w:val="18"/>
                <w:szCs w:val="18"/>
                <w:u w:val="single"/>
              </w:rPr>
            </w:pPr>
          </w:p>
        </w:tc>
      </w:tr>
    </w:tbl>
    <w:p w14:paraId="62DCCEBE" w14:textId="77777777" w:rsidR="00345C5F" w:rsidRPr="00123CF9" w:rsidRDefault="00345C5F" w:rsidP="00345C5F">
      <w:pPr>
        <w:spacing w:after="0" w:line="240" w:lineRule="auto"/>
        <w:jc w:val="both"/>
        <w:rPr>
          <w:rFonts w:ascii="Cambria" w:eastAsia="Times New Roman" w:hAnsi="Cambria" w:cs="Times New Roman"/>
          <w:color w:val="222222"/>
          <w:sz w:val="16"/>
          <w:szCs w:val="16"/>
          <w:u w:val="single"/>
        </w:rPr>
      </w:pPr>
      <w:r>
        <w:rPr>
          <w:rFonts w:ascii="Cambria" w:hAnsi="Cambria"/>
          <w:color w:val="222222"/>
          <w:sz w:val="16"/>
          <w:u w:val="single"/>
        </w:rPr>
        <w:t>*Las cifras de 2025 corresponden al periodo comprendido entre enero y octubre de 2025.</w:t>
      </w:r>
    </w:p>
    <w:p w14:paraId="4BF431F7" w14:textId="77777777" w:rsidR="00345C5F" w:rsidRPr="00123CF9" w:rsidRDefault="00345C5F" w:rsidP="00345C5F">
      <w:pPr>
        <w:spacing w:after="0" w:line="240" w:lineRule="auto"/>
        <w:jc w:val="both"/>
        <w:rPr>
          <w:rFonts w:ascii="Cambria" w:eastAsia="Times New Roman" w:hAnsi="Cambria" w:cs="Times New Roman"/>
          <w:color w:val="222222"/>
          <w:sz w:val="20"/>
          <w:szCs w:val="20"/>
          <w:u w:val="single"/>
        </w:rPr>
      </w:pPr>
    </w:p>
    <w:p w14:paraId="722DB847" w14:textId="77777777" w:rsidR="00345C5F" w:rsidRPr="00123CF9" w:rsidRDefault="00345C5F" w:rsidP="00345C5F">
      <w:pPr>
        <w:numPr>
          <w:ilvl w:val="0"/>
          <w:numId w:val="12"/>
        </w:numPr>
        <w:tabs>
          <w:tab w:val="clear" w:pos="720"/>
        </w:tabs>
        <w:spacing w:after="0" w:line="240" w:lineRule="auto"/>
        <w:ind w:left="426" w:hanging="426"/>
        <w:jc w:val="both"/>
        <w:rPr>
          <w:rFonts w:ascii="Cambria" w:eastAsia="Times New Roman" w:hAnsi="Cambria" w:cs="Times New Roman"/>
          <w:b/>
          <w:bCs/>
          <w:color w:val="222222"/>
          <w:sz w:val="20"/>
          <w:szCs w:val="20"/>
          <w:u w:val="single"/>
        </w:rPr>
      </w:pPr>
      <w:r>
        <w:rPr>
          <w:rFonts w:ascii="Cambria" w:hAnsi="Cambria"/>
          <w:b/>
          <w:color w:val="222222"/>
          <w:sz w:val="20"/>
          <w:u w:val="single"/>
        </w:rPr>
        <w:t xml:space="preserve">Conclusión </w:t>
      </w:r>
    </w:p>
    <w:p w14:paraId="5F037D0B" w14:textId="77777777" w:rsidR="00345C5F" w:rsidRPr="00123CF9" w:rsidRDefault="00345C5F" w:rsidP="00345C5F">
      <w:pPr>
        <w:spacing w:after="0" w:line="240" w:lineRule="auto"/>
        <w:jc w:val="both"/>
        <w:rPr>
          <w:rFonts w:ascii="Cambria" w:eastAsia="Times New Roman" w:hAnsi="Cambria" w:cs="Times New Roman"/>
          <w:color w:val="222222"/>
          <w:sz w:val="20"/>
          <w:szCs w:val="20"/>
          <w:u w:val="single"/>
        </w:rPr>
      </w:pPr>
    </w:p>
    <w:p w14:paraId="23E0F593" w14:textId="01E7E7BE" w:rsidR="00345C5F" w:rsidRPr="00052E06" w:rsidRDefault="00345C5F" w:rsidP="00345C5F">
      <w:pPr>
        <w:spacing w:after="0" w:line="240" w:lineRule="auto"/>
        <w:jc w:val="both"/>
        <w:rPr>
          <w:rFonts w:ascii="Cambria" w:eastAsia="Times New Roman" w:hAnsi="Cambria" w:cs="Times New Roman"/>
          <w:color w:val="222222"/>
          <w:sz w:val="20"/>
          <w:szCs w:val="20"/>
          <w:u w:val="single"/>
        </w:rPr>
      </w:pPr>
      <w:r>
        <w:rPr>
          <w:rFonts w:ascii="Cambria" w:hAnsi="Cambria"/>
          <w:color w:val="222222"/>
          <w:sz w:val="20"/>
          <w:u w:val="single"/>
        </w:rPr>
        <w:t xml:space="preserve">Desde junio/julio de 2023, Namibia ha implementado con éxito medidas de gran impacto para reducir sus capturas de marrajo. Namibia seguirá reduciendo sus capturas de marrajo para </w:t>
      </w:r>
      <w:r w:rsidR="006029F7">
        <w:rPr>
          <w:rFonts w:ascii="Cambria" w:hAnsi="Cambria"/>
          <w:color w:val="222222"/>
          <w:sz w:val="20"/>
          <w:u w:val="single"/>
        </w:rPr>
        <w:t>devolver</w:t>
      </w:r>
      <w:r>
        <w:rPr>
          <w:rFonts w:ascii="Cambria" w:hAnsi="Cambria"/>
          <w:color w:val="222222"/>
          <w:sz w:val="20"/>
          <w:u w:val="single"/>
        </w:rPr>
        <w:t xml:space="preserve"> el exceso de capturas de 2023. A pesar de la abundancia de marrajos en aguas namibias, Namibia seguirá esforzándose por mantener sus capturas de marrajos dentro de los límites de su captura permitida. Si necesita más aclaraciones o documentación, estamos a su disposición.</w:t>
      </w:r>
    </w:p>
    <w:p w14:paraId="32120313" w14:textId="77777777" w:rsidR="00226DA2" w:rsidRDefault="00226DA2" w:rsidP="00240776">
      <w:pPr>
        <w:spacing w:after="0" w:line="240" w:lineRule="auto"/>
        <w:jc w:val="both"/>
        <w:rPr>
          <w:rFonts w:ascii="Cambria" w:hAnsi="Cambria"/>
          <w:b/>
          <w:color w:val="222222"/>
          <w:sz w:val="20"/>
          <w:szCs w:val="20"/>
        </w:rPr>
      </w:pPr>
      <w:bookmarkStart w:id="4" w:name="_Hlk181566323"/>
      <w:bookmarkEnd w:id="2"/>
    </w:p>
    <w:p w14:paraId="73320ECD" w14:textId="1D5DC9C3" w:rsidR="00947ED5" w:rsidRPr="00097901" w:rsidRDefault="00947ED5" w:rsidP="00240776">
      <w:pPr>
        <w:spacing w:after="0" w:line="240" w:lineRule="auto"/>
        <w:jc w:val="both"/>
        <w:rPr>
          <w:rFonts w:ascii="Cambria" w:eastAsia="Times New Roman" w:hAnsi="Cambria" w:cs="Times New Roman"/>
          <w:b/>
          <w:bCs/>
          <w:color w:val="222222"/>
          <w:sz w:val="20"/>
          <w:szCs w:val="20"/>
        </w:rPr>
      </w:pPr>
      <w:r w:rsidRPr="00097901">
        <w:rPr>
          <w:rFonts w:ascii="Cambria" w:hAnsi="Cambria"/>
          <w:b/>
          <w:color w:val="222222"/>
          <w:sz w:val="20"/>
          <w:szCs w:val="20"/>
        </w:rPr>
        <w:t>Para Senegal:</w:t>
      </w:r>
    </w:p>
    <w:p w14:paraId="0878B51B" w14:textId="77777777" w:rsidR="00240776" w:rsidRPr="00097901" w:rsidRDefault="00240776" w:rsidP="00240776">
      <w:pPr>
        <w:spacing w:after="0" w:line="240" w:lineRule="auto"/>
        <w:jc w:val="both"/>
        <w:rPr>
          <w:rFonts w:ascii="Cambria" w:eastAsia="Times New Roman" w:hAnsi="Cambria" w:cs="Times New Roman"/>
          <w:b/>
          <w:bCs/>
          <w:color w:val="222222"/>
          <w:sz w:val="20"/>
          <w:szCs w:val="20"/>
        </w:rPr>
      </w:pPr>
    </w:p>
    <w:bookmarkEnd w:id="4"/>
    <w:p w14:paraId="5ECDFF06" w14:textId="7B820EB4" w:rsidR="00E20958" w:rsidRPr="00097901" w:rsidRDefault="00C06B4A" w:rsidP="00240776">
      <w:pPr>
        <w:spacing w:after="0" w:line="240" w:lineRule="auto"/>
        <w:jc w:val="both"/>
        <w:rPr>
          <w:rFonts w:ascii="Cambria" w:eastAsia="Times New Roman" w:hAnsi="Cambria" w:cs="Times New Roman"/>
          <w:color w:val="222222"/>
          <w:sz w:val="20"/>
          <w:szCs w:val="20"/>
        </w:rPr>
      </w:pPr>
      <w:r w:rsidRPr="00097901">
        <w:rPr>
          <w:rFonts w:ascii="Cambria" w:hAnsi="Cambria"/>
          <w:color w:val="222222"/>
          <w:sz w:val="20"/>
          <w:szCs w:val="20"/>
        </w:rPr>
        <w:t xml:space="preserve">Senegal podría explicar cómo aplica el límite de </w:t>
      </w:r>
      <w:r w:rsidR="003477A9">
        <w:rPr>
          <w:rFonts w:ascii="Cambria" w:hAnsi="Cambria"/>
          <w:color w:val="222222"/>
          <w:sz w:val="20"/>
          <w:szCs w:val="20"/>
        </w:rPr>
        <w:t>tamaño</w:t>
      </w:r>
      <w:r w:rsidRPr="00097901">
        <w:rPr>
          <w:rFonts w:ascii="Cambria" w:hAnsi="Cambria"/>
          <w:color w:val="222222"/>
          <w:sz w:val="20"/>
          <w:szCs w:val="20"/>
        </w:rPr>
        <w:t xml:space="preserve"> para </w:t>
      </w:r>
      <w:r w:rsidR="003477A9">
        <w:rPr>
          <w:rFonts w:ascii="Cambria" w:hAnsi="Cambria"/>
          <w:color w:val="222222"/>
          <w:sz w:val="20"/>
          <w:szCs w:val="20"/>
        </w:rPr>
        <w:t xml:space="preserve">la inscripción </w:t>
      </w:r>
      <w:r w:rsidRPr="00097901">
        <w:rPr>
          <w:rFonts w:ascii="Cambria" w:hAnsi="Cambria"/>
          <w:color w:val="222222"/>
          <w:sz w:val="20"/>
          <w:szCs w:val="20"/>
        </w:rPr>
        <w:t>en el Registro de buques autorizados de la ICCAT para sus piraguas.</w:t>
      </w:r>
    </w:p>
    <w:sectPr w:rsidR="00E20958" w:rsidRPr="00097901" w:rsidSect="00127313">
      <w:headerReference w:type="default" r:id="rId11"/>
      <w:footerReference w:type="default" r:id="rId12"/>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86409" w14:textId="77777777" w:rsidR="00624DB8" w:rsidRDefault="00624DB8" w:rsidP="00175D7F">
      <w:pPr>
        <w:spacing w:after="0" w:line="240" w:lineRule="auto"/>
      </w:pPr>
      <w:r>
        <w:separator/>
      </w:r>
    </w:p>
  </w:endnote>
  <w:endnote w:type="continuationSeparator" w:id="0">
    <w:p w14:paraId="49254199" w14:textId="77777777" w:rsidR="00624DB8" w:rsidRDefault="00624DB8" w:rsidP="00175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F59F" w14:textId="3B631932" w:rsidR="00DF5B9A" w:rsidRPr="00DF5B9A" w:rsidRDefault="00DF5B9A" w:rsidP="00DF5B9A">
    <w:pPr>
      <w:tabs>
        <w:tab w:val="center" w:pos="4535"/>
        <w:tab w:val="center" w:pos="4680"/>
        <w:tab w:val="left" w:pos="6150"/>
        <w:tab w:val="right" w:pos="9360"/>
      </w:tabs>
      <w:spacing w:after="0" w:line="240" w:lineRule="auto"/>
      <w:jc w:val="center"/>
      <w:rPr>
        <w:rFonts w:ascii="Cambria" w:hAnsi="Cambria"/>
        <w:sz w:val="20"/>
      </w:rPr>
    </w:pPr>
    <w:r w:rsidRPr="00DF5B9A">
      <w:rPr>
        <w:rFonts w:ascii="Cambria" w:eastAsia="Calibri" w:hAnsi="Cambria" w:cs="Calibri"/>
        <w:sz w:val="20"/>
      </w:rPr>
      <w:fldChar w:fldCharType="begin"/>
    </w:r>
    <w:r w:rsidRPr="00DF5B9A">
      <w:rPr>
        <w:rFonts w:ascii="Cambria" w:eastAsia="Calibri" w:hAnsi="Cambria" w:cs="Calibri"/>
        <w:sz w:val="20"/>
      </w:rPr>
      <w:instrText xml:space="preserve"> PAGE </w:instrText>
    </w:r>
    <w:r w:rsidRPr="00DF5B9A">
      <w:rPr>
        <w:rFonts w:ascii="Cambria" w:eastAsia="Calibri" w:hAnsi="Cambria" w:cs="Calibri"/>
        <w:sz w:val="20"/>
      </w:rPr>
      <w:fldChar w:fldCharType="separate"/>
    </w:r>
    <w:r w:rsidRPr="00DF5B9A">
      <w:rPr>
        <w:rFonts w:ascii="Cambria" w:eastAsia="Calibri" w:hAnsi="Cambria" w:cs="Calibri"/>
        <w:sz w:val="20"/>
      </w:rPr>
      <w:t>1</w:t>
    </w:r>
    <w:r w:rsidRPr="00DF5B9A">
      <w:rPr>
        <w:rFonts w:ascii="Cambria" w:eastAsia="Calibri" w:hAnsi="Cambria" w:cs="Calibri"/>
        <w:sz w:val="20"/>
      </w:rPr>
      <w:fldChar w:fldCharType="end"/>
    </w:r>
    <w:r>
      <w:rPr>
        <w:rFonts w:ascii="Cambria" w:hAnsi="Cambria"/>
        <w:sz w:val="20"/>
      </w:rPr>
      <w:t xml:space="preserve"> / </w:t>
    </w:r>
    <w:r w:rsidRPr="00DF5B9A">
      <w:rPr>
        <w:rFonts w:ascii="Cambria" w:eastAsia="Calibri" w:hAnsi="Cambria" w:cs="Calibri"/>
        <w:sz w:val="20"/>
      </w:rPr>
      <w:fldChar w:fldCharType="begin"/>
    </w:r>
    <w:r w:rsidRPr="00DF5B9A">
      <w:rPr>
        <w:rFonts w:ascii="Cambria" w:eastAsia="Calibri" w:hAnsi="Cambria" w:cs="Calibri"/>
        <w:sz w:val="20"/>
      </w:rPr>
      <w:instrText xml:space="preserve"> NUMPAGES  </w:instrText>
    </w:r>
    <w:r w:rsidRPr="00DF5B9A">
      <w:rPr>
        <w:rFonts w:ascii="Cambria" w:eastAsia="Calibri" w:hAnsi="Cambria" w:cs="Calibri"/>
        <w:sz w:val="20"/>
      </w:rPr>
      <w:fldChar w:fldCharType="separate"/>
    </w:r>
    <w:r w:rsidRPr="00DF5B9A">
      <w:rPr>
        <w:rFonts w:ascii="Cambria" w:eastAsia="Calibri" w:hAnsi="Cambria" w:cs="Calibri"/>
        <w:sz w:val="20"/>
      </w:rPr>
      <w:t>8</w:t>
    </w:r>
    <w:r w:rsidRPr="00DF5B9A">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06CEB" w14:textId="77777777" w:rsidR="00624DB8" w:rsidRDefault="00624DB8" w:rsidP="00175D7F">
      <w:pPr>
        <w:spacing w:after="0" w:line="240" w:lineRule="auto"/>
      </w:pPr>
      <w:r>
        <w:separator/>
      </w:r>
    </w:p>
  </w:footnote>
  <w:footnote w:type="continuationSeparator" w:id="0">
    <w:p w14:paraId="6D4E1410" w14:textId="77777777" w:rsidR="00624DB8" w:rsidRDefault="00624DB8" w:rsidP="00175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5A4B" w14:textId="187D3DE3" w:rsidR="00175D7F" w:rsidRPr="00793F38" w:rsidRDefault="00175D7F" w:rsidP="00175D7F">
    <w:pPr>
      <w:tabs>
        <w:tab w:val="center" w:pos="4680"/>
        <w:tab w:val="left" w:pos="6520"/>
        <w:tab w:val="right" w:pos="9360"/>
        <w:tab w:val="right" w:pos="14240"/>
      </w:tabs>
      <w:spacing w:after="0" w:line="240" w:lineRule="atLeast"/>
      <w:jc w:val="right"/>
      <w:rPr>
        <w:rFonts w:ascii="Cambria" w:eastAsia="Calibri" w:hAnsi="Cambria"/>
        <w:b/>
        <w:bCs/>
        <w:sz w:val="20"/>
        <w:szCs w:val="20"/>
      </w:rPr>
    </w:pPr>
    <w:bookmarkStart w:id="5" w:name="_Hlk107908354"/>
    <w:bookmarkStart w:id="6" w:name="_Hlk107908355"/>
    <w:bookmarkStart w:id="7" w:name="_Hlk107908359"/>
    <w:bookmarkStart w:id="8" w:name="_Hlk107908360"/>
    <w:bookmarkStart w:id="9" w:name="_Hlk107908361"/>
    <w:bookmarkStart w:id="10" w:name="_Hlk107908362"/>
    <w:r>
      <w:rPr>
        <w:rFonts w:ascii="Cambria" w:hAnsi="Cambria"/>
        <w:b/>
        <w:sz w:val="20"/>
      </w:rPr>
      <w:t>COC_306</w:t>
    </w:r>
    <w:r w:rsidR="004C7B21">
      <w:rPr>
        <w:rFonts w:ascii="Cambria" w:hAnsi="Cambria"/>
        <w:b/>
        <w:sz w:val="20"/>
      </w:rPr>
      <w:t>_REV_</w:t>
    </w:r>
    <w:r w:rsidR="00300AB8">
      <w:rPr>
        <w:rFonts w:ascii="Cambria" w:hAnsi="Cambria"/>
        <w:b/>
        <w:sz w:val="20"/>
      </w:rPr>
      <w:t>2</w:t>
    </w:r>
    <w:r>
      <w:rPr>
        <w:rFonts w:ascii="Cambria" w:hAnsi="Cambria"/>
        <w:b/>
        <w:sz w:val="20"/>
      </w:rPr>
      <w:t>/2025</w:t>
    </w:r>
  </w:p>
  <w:p w14:paraId="09F66D9A" w14:textId="7F5F5A5D" w:rsidR="00175D7F" w:rsidRDefault="00175D7F" w:rsidP="00127313">
    <w:pPr>
      <w:tabs>
        <w:tab w:val="left" w:pos="7320"/>
      </w:tabs>
      <w:spacing w:after="0" w:line="240" w:lineRule="atLeast"/>
      <w:jc w:val="right"/>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584B3F">
      <w:rPr>
        <w:rFonts w:ascii="Cambria" w:hAnsi="Cambria"/>
        <w:b/>
        <w:noProof/>
        <w:sz w:val="16"/>
      </w:rPr>
      <w:t>13/11/2025 14:26</w:t>
    </w:r>
    <w:r w:rsidRPr="00793F38">
      <w:rPr>
        <w:rFonts w:ascii="Cambria" w:hAnsi="Cambria"/>
        <w:b/>
        <w:bCs/>
        <w:sz w:val="16"/>
        <w:szCs w:val="16"/>
        <w:lang w:val="es-ES_tradnl"/>
      </w:rPr>
      <w:fldChar w:fldCharType="end"/>
    </w:r>
    <w:bookmarkEnd w:id="5"/>
    <w:bookmarkEnd w:id="6"/>
    <w:bookmarkEnd w:id="7"/>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233"/>
    <w:multiLevelType w:val="hybridMultilevel"/>
    <w:tmpl w:val="B446629A"/>
    <w:lvl w:ilvl="0" w:tplc="5C6067C6">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36AF5"/>
    <w:multiLevelType w:val="hybridMultilevel"/>
    <w:tmpl w:val="4BAA0768"/>
    <w:lvl w:ilvl="0" w:tplc="750CDDEC">
      <w:start w:val="4"/>
      <w:numFmt w:val="bullet"/>
      <w:lvlText w:val="•"/>
      <w:lvlJc w:val="left"/>
      <w:pPr>
        <w:ind w:left="1800" w:hanging="360"/>
      </w:pPr>
      <w:rPr>
        <w:rFonts w:ascii="Cambria" w:eastAsia="Times New Roman" w:hAnsi="Cambri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1D4918"/>
    <w:multiLevelType w:val="hybridMultilevel"/>
    <w:tmpl w:val="E0A009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CC15C8"/>
    <w:multiLevelType w:val="multilevel"/>
    <w:tmpl w:val="524C7E54"/>
    <w:lvl w:ilvl="0">
      <w:start w:val="1"/>
      <w:numFmt w:val="decimal"/>
      <w:lvlText w:val="%1."/>
      <w:lvlJc w:val="left"/>
      <w:pPr>
        <w:tabs>
          <w:tab w:val="num" w:pos="720"/>
        </w:tabs>
        <w:ind w:left="720" w:hanging="360"/>
      </w:pPr>
      <w:rPr>
        <w:b/>
        <w:bC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459186D"/>
    <w:multiLevelType w:val="multilevel"/>
    <w:tmpl w:val="8940E8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00452CE"/>
    <w:multiLevelType w:val="hybridMultilevel"/>
    <w:tmpl w:val="E75C3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9F20C3"/>
    <w:multiLevelType w:val="hybridMultilevel"/>
    <w:tmpl w:val="D51E6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FA03C93"/>
    <w:multiLevelType w:val="hybridMultilevel"/>
    <w:tmpl w:val="F128287A"/>
    <w:lvl w:ilvl="0" w:tplc="127C66D8">
      <w:start w:val="1"/>
      <w:numFmt w:val="lowerLetter"/>
      <w:lvlText w:val="%1)"/>
      <w:lvlJc w:val="left"/>
      <w:pPr>
        <w:ind w:left="1114" w:hanging="4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6D79024C"/>
    <w:multiLevelType w:val="hybridMultilevel"/>
    <w:tmpl w:val="43BE4F3A"/>
    <w:lvl w:ilvl="0" w:tplc="D1846EA6">
      <w:start w:val="4"/>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922CD7"/>
    <w:multiLevelType w:val="multilevel"/>
    <w:tmpl w:val="3B940D84"/>
    <w:lvl w:ilvl="0">
      <w:numFmt w:val="bullet"/>
      <w:lvlText w:val="–"/>
      <w:lvlJc w:val="left"/>
      <w:pPr>
        <w:tabs>
          <w:tab w:val="num" w:pos="720"/>
        </w:tabs>
        <w:ind w:left="720" w:hanging="360"/>
      </w:pPr>
      <w:rPr>
        <w:rFonts w:ascii="Cambria" w:eastAsia="MS Gothic" w:hAnsi="Cambria"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4E7D0F"/>
    <w:multiLevelType w:val="hybridMultilevel"/>
    <w:tmpl w:val="1082A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6B4C6C"/>
    <w:multiLevelType w:val="multilevel"/>
    <w:tmpl w:val="681218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0128403">
    <w:abstractNumId w:val="5"/>
  </w:num>
  <w:num w:numId="2" w16cid:durableId="674965872">
    <w:abstractNumId w:val="10"/>
  </w:num>
  <w:num w:numId="3" w16cid:durableId="1484351839">
    <w:abstractNumId w:val="0"/>
  </w:num>
  <w:num w:numId="4" w16cid:durableId="40134449">
    <w:abstractNumId w:val="2"/>
  </w:num>
  <w:num w:numId="5" w16cid:durableId="2135907501">
    <w:abstractNumId w:val="6"/>
  </w:num>
  <w:num w:numId="6" w16cid:durableId="1096828244">
    <w:abstractNumId w:val="8"/>
  </w:num>
  <w:num w:numId="7" w16cid:durableId="391930410">
    <w:abstractNumId w:val="1"/>
  </w:num>
  <w:num w:numId="8" w16cid:durableId="1564872617">
    <w:abstractNumId w:val="7"/>
  </w:num>
  <w:num w:numId="9" w16cid:durableId="20346434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3175204">
    <w:abstractNumId w:val="9"/>
  </w:num>
  <w:num w:numId="11" w16cid:durableId="7103509">
    <w:abstractNumId w:val="11"/>
  </w:num>
  <w:num w:numId="12" w16cid:durableId="382215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366"/>
    <w:rsid w:val="0000295C"/>
    <w:rsid w:val="00042A6C"/>
    <w:rsid w:val="00052C5C"/>
    <w:rsid w:val="00057E6C"/>
    <w:rsid w:val="0009706F"/>
    <w:rsid w:val="00097901"/>
    <w:rsid w:val="00111966"/>
    <w:rsid w:val="001219A7"/>
    <w:rsid w:val="00127313"/>
    <w:rsid w:val="0015420E"/>
    <w:rsid w:val="00174C34"/>
    <w:rsid w:val="00175D7F"/>
    <w:rsid w:val="001E04D8"/>
    <w:rsid w:val="001E53C4"/>
    <w:rsid w:val="00226DA2"/>
    <w:rsid w:val="00240776"/>
    <w:rsid w:val="00252C71"/>
    <w:rsid w:val="002532C0"/>
    <w:rsid w:val="002A61B7"/>
    <w:rsid w:val="002B6294"/>
    <w:rsid w:val="002C47A2"/>
    <w:rsid w:val="002D127C"/>
    <w:rsid w:val="00300AB8"/>
    <w:rsid w:val="003156DE"/>
    <w:rsid w:val="003361CA"/>
    <w:rsid w:val="00345C5F"/>
    <w:rsid w:val="003477A9"/>
    <w:rsid w:val="00373F14"/>
    <w:rsid w:val="00393234"/>
    <w:rsid w:val="003F4F07"/>
    <w:rsid w:val="00402366"/>
    <w:rsid w:val="00403403"/>
    <w:rsid w:val="004748C4"/>
    <w:rsid w:val="004948EC"/>
    <w:rsid w:val="004C7B21"/>
    <w:rsid w:val="005015B5"/>
    <w:rsid w:val="005022AD"/>
    <w:rsid w:val="00525166"/>
    <w:rsid w:val="00531E1E"/>
    <w:rsid w:val="005656B1"/>
    <w:rsid w:val="00584B3F"/>
    <w:rsid w:val="00584D32"/>
    <w:rsid w:val="005B34B1"/>
    <w:rsid w:val="005B606A"/>
    <w:rsid w:val="006029F7"/>
    <w:rsid w:val="00624DB8"/>
    <w:rsid w:val="00625808"/>
    <w:rsid w:val="00676268"/>
    <w:rsid w:val="00700797"/>
    <w:rsid w:val="00714F1F"/>
    <w:rsid w:val="00731C3C"/>
    <w:rsid w:val="007B04C0"/>
    <w:rsid w:val="007D2D8B"/>
    <w:rsid w:val="007E0A5C"/>
    <w:rsid w:val="008115E9"/>
    <w:rsid w:val="00892CE8"/>
    <w:rsid w:val="008B3E17"/>
    <w:rsid w:val="008F1D17"/>
    <w:rsid w:val="008F55CF"/>
    <w:rsid w:val="00917F84"/>
    <w:rsid w:val="00943A0D"/>
    <w:rsid w:val="00947ED5"/>
    <w:rsid w:val="00973FA6"/>
    <w:rsid w:val="00981032"/>
    <w:rsid w:val="00A134AB"/>
    <w:rsid w:val="00AA1B7D"/>
    <w:rsid w:val="00AA26BE"/>
    <w:rsid w:val="00AB4002"/>
    <w:rsid w:val="00B139F3"/>
    <w:rsid w:val="00B2393A"/>
    <w:rsid w:val="00B3619B"/>
    <w:rsid w:val="00C06B4A"/>
    <w:rsid w:val="00C219D2"/>
    <w:rsid w:val="00C45426"/>
    <w:rsid w:val="00C81EF8"/>
    <w:rsid w:val="00C82B4C"/>
    <w:rsid w:val="00C878F0"/>
    <w:rsid w:val="00C9132F"/>
    <w:rsid w:val="00CD4F3A"/>
    <w:rsid w:val="00CF29AE"/>
    <w:rsid w:val="00D90DE0"/>
    <w:rsid w:val="00DD55BA"/>
    <w:rsid w:val="00DE003E"/>
    <w:rsid w:val="00DE1680"/>
    <w:rsid w:val="00DF5B9A"/>
    <w:rsid w:val="00E03688"/>
    <w:rsid w:val="00E20958"/>
    <w:rsid w:val="00E20D5F"/>
    <w:rsid w:val="00E32B50"/>
    <w:rsid w:val="00E368F1"/>
    <w:rsid w:val="00E423B0"/>
    <w:rsid w:val="00E5422B"/>
    <w:rsid w:val="00E56ADD"/>
    <w:rsid w:val="00E56BA4"/>
    <w:rsid w:val="00F271F6"/>
    <w:rsid w:val="00F30CA1"/>
    <w:rsid w:val="00F52805"/>
    <w:rsid w:val="00F6799F"/>
    <w:rsid w:val="00F913C4"/>
    <w:rsid w:val="00F977BE"/>
    <w:rsid w:val="00FA4697"/>
    <w:rsid w:val="00FA6ED5"/>
    <w:rsid w:val="00FC649D"/>
    <w:rsid w:val="00FE5D8D"/>
    <w:rsid w:val="00FF7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40C1A"/>
  <w15:chartTrackingRefBased/>
  <w15:docId w15:val="{A8F5B87C-F64F-48F0-800E-EC80817B7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F4F07"/>
    <w:pPr>
      <w:spacing w:after="0" w:line="240" w:lineRule="auto"/>
    </w:pPr>
    <w:rPr>
      <w:rFonts w:ascii="Calibri" w:eastAsia="Yu Gothic" w:hAnsi="Calibri" w:cs="Times New Roman"/>
      <w:szCs w:val="21"/>
      <w14:ligatures w14:val="none"/>
    </w:rPr>
  </w:style>
  <w:style w:type="character" w:customStyle="1" w:styleId="PlainTextChar">
    <w:name w:val="Plain Text Char"/>
    <w:basedOn w:val="DefaultParagraphFont"/>
    <w:link w:val="PlainText"/>
    <w:uiPriority w:val="99"/>
    <w:rsid w:val="003F4F07"/>
    <w:rPr>
      <w:rFonts w:ascii="Calibri" w:eastAsia="Yu Gothic" w:hAnsi="Calibri" w:cs="Times New Roman"/>
      <w:szCs w:val="21"/>
      <w14:ligatures w14:val="none"/>
    </w:rPr>
  </w:style>
  <w:style w:type="character" w:styleId="Hyperlink">
    <w:name w:val="Hyperlink"/>
    <w:basedOn w:val="DefaultParagraphFont"/>
    <w:uiPriority w:val="99"/>
    <w:unhideWhenUsed/>
    <w:rsid w:val="00175D7F"/>
    <w:rPr>
      <w:color w:val="0563C1" w:themeColor="hyperlink"/>
      <w:u w:val="single"/>
    </w:rPr>
  </w:style>
  <w:style w:type="character" w:styleId="UnresolvedMention">
    <w:name w:val="Unresolved Mention"/>
    <w:basedOn w:val="DefaultParagraphFont"/>
    <w:uiPriority w:val="99"/>
    <w:semiHidden/>
    <w:unhideWhenUsed/>
    <w:rsid w:val="00175D7F"/>
    <w:rPr>
      <w:color w:val="605E5C"/>
      <w:shd w:val="clear" w:color="auto" w:fill="E1DFDD"/>
    </w:rPr>
  </w:style>
  <w:style w:type="paragraph" w:styleId="Header">
    <w:name w:val="header"/>
    <w:basedOn w:val="Normal"/>
    <w:link w:val="HeaderChar"/>
    <w:uiPriority w:val="99"/>
    <w:unhideWhenUsed/>
    <w:rsid w:val="00175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D7F"/>
  </w:style>
  <w:style w:type="paragraph" w:styleId="Footer">
    <w:name w:val="footer"/>
    <w:basedOn w:val="Normal"/>
    <w:link w:val="FooterChar"/>
    <w:uiPriority w:val="99"/>
    <w:unhideWhenUsed/>
    <w:rsid w:val="00175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D7F"/>
  </w:style>
  <w:style w:type="paragraph" w:styleId="ListParagraph">
    <w:name w:val="List Paragraph"/>
    <w:basedOn w:val="Normal"/>
    <w:uiPriority w:val="34"/>
    <w:qFormat/>
    <w:rsid w:val="00947ED5"/>
    <w:pPr>
      <w:ind w:left="720"/>
      <w:contextualSpacing/>
    </w:pPr>
  </w:style>
  <w:style w:type="paragraph" w:styleId="Revision">
    <w:name w:val="Revision"/>
    <w:hidden/>
    <w:uiPriority w:val="99"/>
    <w:semiHidden/>
    <w:rsid w:val="00393234"/>
    <w:pPr>
      <w:spacing w:after="0" w:line="240" w:lineRule="auto"/>
    </w:pPr>
  </w:style>
  <w:style w:type="table" w:styleId="TableGrid">
    <w:name w:val="Table Grid"/>
    <w:basedOn w:val="TableNormal"/>
    <w:uiPriority w:val="39"/>
    <w:rsid w:val="00345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68719">
      <w:bodyDiv w:val="1"/>
      <w:marLeft w:val="0"/>
      <w:marRight w:val="0"/>
      <w:marTop w:val="0"/>
      <w:marBottom w:val="0"/>
      <w:divBdr>
        <w:top w:val="none" w:sz="0" w:space="0" w:color="auto"/>
        <w:left w:val="none" w:sz="0" w:space="0" w:color="auto"/>
        <w:bottom w:val="none" w:sz="0" w:space="0" w:color="auto"/>
        <w:right w:val="none" w:sz="0" w:space="0" w:color="auto"/>
      </w:divBdr>
    </w:div>
    <w:div w:id="163596895">
      <w:bodyDiv w:val="1"/>
      <w:marLeft w:val="0"/>
      <w:marRight w:val="0"/>
      <w:marTop w:val="0"/>
      <w:marBottom w:val="0"/>
      <w:divBdr>
        <w:top w:val="none" w:sz="0" w:space="0" w:color="auto"/>
        <w:left w:val="none" w:sz="0" w:space="0" w:color="auto"/>
        <w:bottom w:val="none" w:sz="0" w:space="0" w:color="auto"/>
        <w:right w:val="none" w:sz="0" w:space="0" w:color="auto"/>
      </w:divBdr>
    </w:div>
    <w:div w:id="219175078">
      <w:bodyDiv w:val="1"/>
      <w:marLeft w:val="0"/>
      <w:marRight w:val="0"/>
      <w:marTop w:val="0"/>
      <w:marBottom w:val="0"/>
      <w:divBdr>
        <w:top w:val="none" w:sz="0" w:space="0" w:color="auto"/>
        <w:left w:val="none" w:sz="0" w:space="0" w:color="auto"/>
        <w:bottom w:val="none" w:sz="0" w:space="0" w:color="auto"/>
        <w:right w:val="none" w:sz="0" w:space="0" w:color="auto"/>
      </w:divBdr>
    </w:div>
    <w:div w:id="259995246">
      <w:bodyDiv w:val="1"/>
      <w:marLeft w:val="0"/>
      <w:marRight w:val="0"/>
      <w:marTop w:val="0"/>
      <w:marBottom w:val="0"/>
      <w:divBdr>
        <w:top w:val="none" w:sz="0" w:space="0" w:color="auto"/>
        <w:left w:val="none" w:sz="0" w:space="0" w:color="auto"/>
        <w:bottom w:val="none" w:sz="0" w:space="0" w:color="auto"/>
        <w:right w:val="none" w:sz="0" w:space="0" w:color="auto"/>
      </w:divBdr>
    </w:div>
    <w:div w:id="282930820">
      <w:bodyDiv w:val="1"/>
      <w:marLeft w:val="0"/>
      <w:marRight w:val="0"/>
      <w:marTop w:val="0"/>
      <w:marBottom w:val="0"/>
      <w:divBdr>
        <w:top w:val="none" w:sz="0" w:space="0" w:color="auto"/>
        <w:left w:val="none" w:sz="0" w:space="0" w:color="auto"/>
        <w:bottom w:val="none" w:sz="0" w:space="0" w:color="auto"/>
        <w:right w:val="none" w:sz="0" w:space="0" w:color="auto"/>
      </w:divBdr>
    </w:div>
    <w:div w:id="652565026">
      <w:bodyDiv w:val="1"/>
      <w:marLeft w:val="0"/>
      <w:marRight w:val="0"/>
      <w:marTop w:val="0"/>
      <w:marBottom w:val="0"/>
      <w:divBdr>
        <w:top w:val="none" w:sz="0" w:space="0" w:color="auto"/>
        <w:left w:val="none" w:sz="0" w:space="0" w:color="auto"/>
        <w:bottom w:val="none" w:sz="0" w:space="0" w:color="auto"/>
        <w:right w:val="none" w:sz="0" w:space="0" w:color="auto"/>
      </w:divBdr>
    </w:div>
    <w:div w:id="690031905">
      <w:bodyDiv w:val="1"/>
      <w:marLeft w:val="0"/>
      <w:marRight w:val="0"/>
      <w:marTop w:val="0"/>
      <w:marBottom w:val="0"/>
      <w:divBdr>
        <w:top w:val="none" w:sz="0" w:space="0" w:color="auto"/>
        <w:left w:val="none" w:sz="0" w:space="0" w:color="auto"/>
        <w:bottom w:val="none" w:sz="0" w:space="0" w:color="auto"/>
        <w:right w:val="none" w:sz="0" w:space="0" w:color="auto"/>
      </w:divBdr>
    </w:div>
    <w:div w:id="741488059">
      <w:bodyDiv w:val="1"/>
      <w:marLeft w:val="0"/>
      <w:marRight w:val="0"/>
      <w:marTop w:val="0"/>
      <w:marBottom w:val="0"/>
      <w:divBdr>
        <w:top w:val="none" w:sz="0" w:space="0" w:color="auto"/>
        <w:left w:val="none" w:sz="0" w:space="0" w:color="auto"/>
        <w:bottom w:val="none" w:sz="0" w:space="0" w:color="auto"/>
        <w:right w:val="none" w:sz="0" w:space="0" w:color="auto"/>
      </w:divBdr>
    </w:div>
    <w:div w:id="845249358">
      <w:bodyDiv w:val="1"/>
      <w:marLeft w:val="0"/>
      <w:marRight w:val="0"/>
      <w:marTop w:val="0"/>
      <w:marBottom w:val="0"/>
      <w:divBdr>
        <w:top w:val="none" w:sz="0" w:space="0" w:color="auto"/>
        <w:left w:val="none" w:sz="0" w:space="0" w:color="auto"/>
        <w:bottom w:val="none" w:sz="0" w:space="0" w:color="auto"/>
        <w:right w:val="none" w:sz="0" w:space="0" w:color="auto"/>
      </w:divBdr>
    </w:div>
    <w:div w:id="1178350934">
      <w:bodyDiv w:val="1"/>
      <w:marLeft w:val="0"/>
      <w:marRight w:val="0"/>
      <w:marTop w:val="0"/>
      <w:marBottom w:val="0"/>
      <w:divBdr>
        <w:top w:val="none" w:sz="0" w:space="0" w:color="auto"/>
        <w:left w:val="none" w:sz="0" w:space="0" w:color="auto"/>
        <w:bottom w:val="none" w:sz="0" w:space="0" w:color="auto"/>
        <w:right w:val="none" w:sz="0" w:space="0" w:color="auto"/>
      </w:divBdr>
    </w:div>
    <w:div w:id="1509558222">
      <w:bodyDiv w:val="1"/>
      <w:marLeft w:val="0"/>
      <w:marRight w:val="0"/>
      <w:marTop w:val="0"/>
      <w:marBottom w:val="0"/>
      <w:divBdr>
        <w:top w:val="none" w:sz="0" w:space="0" w:color="auto"/>
        <w:left w:val="none" w:sz="0" w:space="0" w:color="auto"/>
        <w:bottom w:val="none" w:sz="0" w:space="0" w:color="auto"/>
        <w:right w:val="none" w:sz="0" w:space="0" w:color="auto"/>
      </w:divBdr>
    </w:div>
    <w:div w:id="1549609263">
      <w:bodyDiv w:val="1"/>
      <w:marLeft w:val="0"/>
      <w:marRight w:val="0"/>
      <w:marTop w:val="0"/>
      <w:marBottom w:val="0"/>
      <w:divBdr>
        <w:top w:val="none" w:sz="0" w:space="0" w:color="auto"/>
        <w:left w:val="none" w:sz="0" w:space="0" w:color="auto"/>
        <w:bottom w:val="none" w:sz="0" w:space="0" w:color="auto"/>
        <w:right w:val="none" w:sz="0" w:space="0" w:color="auto"/>
      </w:divBdr>
    </w:div>
    <w:div w:id="1603996841">
      <w:bodyDiv w:val="1"/>
      <w:marLeft w:val="0"/>
      <w:marRight w:val="0"/>
      <w:marTop w:val="0"/>
      <w:marBottom w:val="0"/>
      <w:divBdr>
        <w:top w:val="none" w:sz="0" w:space="0" w:color="auto"/>
        <w:left w:val="none" w:sz="0" w:space="0" w:color="auto"/>
        <w:bottom w:val="none" w:sz="0" w:space="0" w:color="auto"/>
        <w:right w:val="none" w:sz="0" w:space="0" w:color="auto"/>
      </w:divBdr>
    </w:div>
    <w:div w:id="1691754822">
      <w:bodyDiv w:val="1"/>
      <w:marLeft w:val="0"/>
      <w:marRight w:val="0"/>
      <w:marTop w:val="0"/>
      <w:marBottom w:val="0"/>
      <w:divBdr>
        <w:top w:val="none" w:sz="0" w:space="0" w:color="auto"/>
        <w:left w:val="none" w:sz="0" w:space="0" w:color="auto"/>
        <w:bottom w:val="none" w:sz="0" w:space="0" w:color="auto"/>
        <w:right w:val="none" w:sz="0" w:space="0" w:color="auto"/>
      </w:divBdr>
    </w:div>
    <w:div w:id="2072460128">
      <w:bodyDiv w:val="1"/>
      <w:marLeft w:val="0"/>
      <w:marRight w:val="0"/>
      <w:marTop w:val="0"/>
      <w:marBottom w:val="0"/>
      <w:divBdr>
        <w:top w:val="none" w:sz="0" w:space="0" w:color="auto"/>
        <w:left w:val="none" w:sz="0" w:space="0" w:color="auto"/>
        <w:bottom w:val="none" w:sz="0" w:space="0" w:color="auto"/>
        <w:right w:val="none" w:sz="0" w:space="0" w:color="auto"/>
      </w:divBdr>
    </w:div>
    <w:div w:id="211959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gg.gov.mr/sites/default/files/2020-11/J.O%201414%20F%20du%2015.06.2018.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ccat.int/Documents/Recs/compendiopdf-s/2017-01-s.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iccat.int/Documents/Recs/compendiopdf-s/2022-11-s.pdf" TargetMode="External"/><Relationship Id="rId4" Type="http://schemas.openxmlformats.org/officeDocument/2006/relationships/webSettings" Target="webSettings.xml"/><Relationship Id="rId9" Type="http://schemas.openxmlformats.org/officeDocument/2006/relationships/hyperlink" Target="https://www.iccat.int/Documents/Recs/compendiopdf-s/2010-07-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2738</Words>
  <Characters>15613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María José García</cp:lastModifiedBy>
  <cp:revision>2</cp:revision>
  <dcterms:created xsi:type="dcterms:W3CDTF">2025-11-13T14:00:00Z</dcterms:created>
  <dcterms:modified xsi:type="dcterms:W3CDTF">2025-11-13T14:00:00Z</dcterms:modified>
</cp:coreProperties>
</file>