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B228D" w14:textId="77777777" w:rsidR="00C9132F" w:rsidRPr="00097901" w:rsidRDefault="00C9132F" w:rsidP="00240776">
      <w:pPr>
        <w:spacing w:after="0" w:line="240" w:lineRule="auto"/>
        <w:jc w:val="right"/>
        <w:rPr>
          <w:rFonts w:ascii="Cambria" w:hAnsi="Cambria"/>
          <w:b/>
          <w:sz w:val="20"/>
          <w:szCs w:val="20"/>
        </w:rPr>
      </w:pPr>
    </w:p>
    <w:p w14:paraId="67F014A0" w14:textId="23B5A9AD" w:rsidR="00175D7F" w:rsidRPr="00097901" w:rsidRDefault="00175D7F" w:rsidP="00240776">
      <w:pPr>
        <w:spacing w:after="0" w:line="240" w:lineRule="auto"/>
        <w:jc w:val="right"/>
        <w:rPr>
          <w:rFonts w:ascii="Cambria" w:hAnsi="Cambria"/>
          <w:b/>
          <w:bCs/>
          <w:sz w:val="20"/>
          <w:szCs w:val="20"/>
        </w:rPr>
      </w:pPr>
      <w:r w:rsidRPr="00097901">
        <w:rPr>
          <w:rFonts w:ascii="Cambria" w:hAnsi="Cambria"/>
          <w:b/>
          <w:sz w:val="20"/>
          <w:szCs w:val="20"/>
        </w:rPr>
        <w:t>Original: inglés y español</w:t>
      </w:r>
    </w:p>
    <w:p w14:paraId="0B7001A5" w14:textId="77777777" w:rsidR="00F271F6" w:rsidRPr="00097901" w:rsidRDefault="00F271F6" w:rsidP="00240776">
      <w:pPr>
        <w:spacing w:after="0" w:line="240" w:lineRule="auto"/>
        <w:jc w:val="right"/>
        <w:rPr>
          <w:rFonts w:ascii="Cambria" w:hAnsi="Cambria"/>
          <w:b/>
          <w:bCs/>
          <w:sz w:val="20"/>
          <w:szCs w:val="20"/>
        </w:rPr>
      </w:pPr>
    </w:p>
    <w:p w14:paraId="738EED15" w14:textId="7A5EF442" w:rsidR="00402366" w:rsidRPr="00097901" w:rsidRDefault="00127313" w:rsidP="00240776">
      <w:pPr>
        <w:spacing w:after="0" w:line="240" w:lineRule="auto"/>
        <w:jc w:val="center"/>
        <w:rPr>
          <w:rFonts w:ascii="Cambria" w:hAnsi="Cambria"/>
          <w:b/>
          <w:bCs/>
          <w:sz w:val="20"/>
          <w:szCs w:val="20"/>
        </w:rPr>
      </w:pPr>
      <w:r w:rsidRPr="00097901">
        <w:rPr>
          <w:rFonts w:ascii="Cambria" w:hAnsi="Cambria"/>
          <w:b/>
          <w:sz w:val="20"/>
          <w:szCs w:val="20"/>
        </w:rPr>
        <w:t>Preguntas y respuestas de las CPC sobre cuestiones de cumplimiento</w:t>
      </w:r>
    </w:p>
    <w:p w14:paraId="7066F5BE" w14:textId="514C5366" w:rsidR="005B606A" w:rsidRPr="00097901" w:rsidRDefault="00C9132F" w:rsidP="00240776">
      <w:pPr>
        <w:spacing w:after="0" w:line="240" w:lineRule="auto"/>
        <w:jc w:val="center"/>
        <w:rPr>
          <w:rFonts w:ascii="Cambria" w:hAnsi="Cambria"/>
          <w:i/>
          <w:iCs/>
          <w:sz w:val="20"/>
          <w:szCs w:val="20"/>
        </w:rPr>
      </w:pPr>
      <w:r w:rsidRPr="00097901">
        <w:rPr>
          <w:rFonts w:ascii="Cambria" w:hAnsi="Cambria"/>
          <w:i/>
          <w:sz w:val="20"/>
          <w:szCs w:val="20"/>
        </w:rPr>
        <w:t>(</w:t>
      </w:r>
      <w:r w:rsidR="005B606A" w:rsidRPr="00097901">
        <w:rPr>
          <w:rFonts w:ascii="Cambria" w:hAnsi="Cambria"/>
          <w:i/>
          <w:sz w:val="20"/>
          <w:szCs w:val="20"/>
        </w:rPr>
        <w:t>Secretaría de ICCAT</w:t>
      </w:r>
      <w:r w:rsidRPr="00097901">
        <w:rPr>
          <w:rFonts w:ascii="Cambria" w:hAnsi="Cambria"/>
          <w:i/>
          <w:sz w:val="20"/>
          <w:szCs w:val="20"/>
        </w:rPr>
        <w:t>)</w:t>
      </w:r>
    </w:p>
    <w:p w14:paraId="286BB45F" w14:textId="77777777" w:rsidR="003F4F07" w:rsidRPr="00097901" w:rsidRDefault="003F4F07" w:rsidP="00240776">
      <w:pPr>
        <w:pStyle w:val="PlainText"/>
        <w:jc w:val="both"/>
        <w:rPr>
          <w:rFonts w:ascii="Cambria" w:hAnsi="Cambria"/>
          <w:sz w:val="20"/>
          <w:szCs w:val="20"/>
        </w:rPr>
      </w:pPr>
    </w:p>
    <w:p w14:paraId="5D19C30D" w14:textId="77777777" w:rsidR="00C06B4A" w:rsidRPr="00097901" w:rsidRDefault="00C06B4A" w:rsidP="00240776">
      <w:pPr>
        <w:pStyle w:val="PlainText"/>
        <w:jc w:val="both"/>
        <w:rPr>
          <w:rFonts w:ascii="Cambria" w:hAnsi="Cambria"/>
          <w:sz w:val="20"/>
          <w:szCs w:val="20"/>
        </w:rPr>
      </w:pPr>
      <w:r w:rsidRPr="00097901">
        <w:rPr>
          <w:rFonts w:ascii="Cambria" w:hAnsi="Cambria"/>
          <w:sz w:val="20"/>
          <w:szCs w:val="20"/>
        </w:rPr>
        <w:t>Mediante la Circular ICCAT n.º 10017/2025, emitida el 8 de octubre de 2025, se invitó a las CPC a enviar preguntas a otras CPC sobre posibles cuestiones de cumplimiento.</w:t>
      </w:r>
    </w:p>
    <w:p w14:paraId="0922E85B" w14:textId="77777777" w:rsidR="00C06B4A" w:rsidRPr="00097901" w:rsidRDefault="00C06B4A" w:rsidP="00240776">
      <w:pPr>
        <w:pStyle w:val="PlainText"/>
        <w:jc w:val="both"/>
        <w:rPr>
          <w:rFonts w:ascii="Cambria" w:hAnsi="Cambria"/>
          <w:sz w:val="20"/>
          <w:szCs w:val="20"/>
        </w:rPr>
      </w:pPr>
    </w:p>
    <w:p w14:paraId="405CB8B1" w14:textId="60C3E744" w:rsidR="00C06B4A" w:rsidRPr="00097901" w:rsidRDefault="00C06B4A" w:rsidP="00240776">
      <w:pPr>
        <w:pStyle w:val="PlainText"/>
        <w:jc w:val="both"/>
        <w:rPr>
          <w:rFonts w:ascii="Cambria" w:hAnsi="Cambria"/>
          <w:sz w:val="20"/>
          <w:szCs w:val="20"/>
        </w:rPr>
      </w:pPr>
      <w:r w:rsidRPr="00097901">
        <w:rPr>
          <w:rFonts w:ascii="Cambria" w:hAnsi="Cambria"/>
          <w:sz w:val="20"/>
          <w:szCs w:val="20"/>
        </w:rPr>
        <w:t>La Secretaría recibió preguntas y comentarios de la Unión Europea y Japón. En la medida de lo posible, estas preguntas se han enviado con antelación a las CPC correspondientes, y las respuestas recibidas hasta la fecha se incluyen aquí cuando procede. Dado el tiempo disponible para preparar las respuestas, aquellas CPC que no hayan podido proporcionar una respuesta por escrito antes de la reunión podrán responder verbalmente o por escrito en la reunión del Comité de Cumplimiento (COC) o antes de esta.</w:t>
      </w:r>
    </w:p>
    <w:p w14:paraId="691322C0" w14:textId="77777777" w:rsidR="00C06B4A" w:rsidRPr="00097901" w:rsidRDefault="00C06B4A" w:rsidP="00240776">
      <w:pPr>
        <w:pStyle w:val="PlainText"/>
        <w:jc w:val="both"/>
        <w:rPr>
          <w:rFonts w:ascii="Cambria" w:hAnsi="Cambria"/>
          <w:sz w:val="20"/>
          <w:szCs w:val="20"/>
        </w:rPr>
      </w:pPr>
    </w:p>
    <w:p w14:paraId="1F7D9534" w14:textId="7B5A1F7C" w:rsidR="00DE003E" w:rsidRPr="00097901" w:rsidRDefault="00DE003E" w:rsidP="00240776">
      <w:pPr>
        <w:spacing w:after="0" w:line="240" w:lineRule="auto"/>
        <w:jc w:val="both"/>
        <w:rPr>
          <w:rFonts w:ascii="Cambria" w:eastAsia="Times New Roman" w:hAnsi="Cambria" w:cs="Times New Roman"/>
          <w:b/>
          <w:sz w:val="20"/>
          <w:szCs w:val="20"/>
        </w:rPr>
      </w:pPr>
      <w:bookmarkStart w:id="0" w:name="_Hlk181564720"/>
      <w:r w:rsidRPr="00097901">
        <w:rPr>
          <w:rFonts w:ascii="Cambria" w:hAnsi="Cambria"/>
          <w:b/>
          <w:sz w:val="20"/>
          <w:szCs w:val="20"/>
        </w:rPr>
        <w:t xml:space="preserve"> A Argelia:</w:t>
      </w:r>
    </w:p>
    <w:p w14:paraId="63FD7D87" w14:textId="77777777" w:rsidR="00240776" w:rsidRPr="00097901" w:rsidRDefault="00240776" w:rsidP="00240776">
      <w:pPr>
        <w:spacing w:after="0" w:line="240" w:lineRule="auto"/>
        <w:jc w:val="both"/>
        <w:rPr>
          <w:rFonts w:ascii="Cambria" w:eastAsia="Times New Roman" w:hAnsi="Cambria" w:cs="Times New Roman"/>
          <w:b/>
          <w:sz w:val="20"/>
          <w:szCs w:val="20"/>
        </w:rPr>
      </w:pPr>
    </w:p>
    <w:bookmarkEnd w:id="0"/>
    <w:p w14:paraId="751ED80C" w14:textId="22060D28" w:rsidR="00C06B4A" w:rsidRPr="00097901" w:rsidRDefault="00C06B4A" w:rsidP="00240776">
      <w:pPr>
        <w:spacing w:after="0" w:line="240" w:lineRule="auto"/>
        <w:jc w:val="both"/>
        <w:rPr>
          <w:rFonts w:ascii="Cambria" w:eastAsia="Times New Roman" w:hAnsi="Cambria" w:cs="Times New Roman"/>
          <w:bCs/>
          <w:sz w:val="20"/>
          <w:szCs w:val="20"/>
        </w:rPr>
      </w:pPr>
      <w:r w:rsidRPr="00097901">
        <w:rPr>
          <w:rFonts w:ascii="Cambria" w:hAnsi="Cambria"/>
          <w:sz w:val="20"/>
          <w:szCs w:val="20"/>
        </w:rPr>
        <w:t xml:space="preserve">En 2009, el COC reconoció que los buques pesqueros argelinos capturaron 820 t de atún rojo del Atlántico sin la debida autorización y que los peces se transfirieron a granjas en Túnez y Malta sin BCD validados. En 2010, durante la reunión </w:t>
      </w:r>
      <w:r w:rsidR="00B3619B" w:rsidRPr="00097901">
        <w:rPr>
          <w:rFonts w:ascii="Cambria" w:hAnsi="Cambria"/>
          <w:sz w:val="20"/>
          <w:szCs w:val="20"/>
        </w:rPr>
        <w:t>del COC</w:t>
      </w:r>
      <w:r w:rsidRPr="00097901">
        <w:rPr>
          <w:rFonts w:ascii="Cambria" w:hAnsi="Cambria"/>
          <w:sz w:val="20"/>
          <w:szCs w:val="20"/>
        </w:rPr>
        <w:t xml:space="preserve">, Malta y Túnez informaron de que los peces transferidos se habían liberado de las jaulas. En esa reunión, Argelia mencionó que había procedimientos judiciales en curso para los buques argelinos ante los tribunales argelinos. Argelia también mencionó que se informará con todo detalle al COC una vez concluida la investigación. </w:t>
      </w:r>
    </w:p>
    <w:p w14:paraId="0DED296B" w14:textId="77777777" w:rsidR="00240776" w:rsidRPr="00097901" w:rsidRDefault="00240776" w:rsidP="00240776">
      <w:pPr>
        <w:spacing w:after="0" w:line="240" w:lineRule="auto"/>
        <w:jc w:val="both"/>
        <w:rPr>
          <w:rFonts w:ascii="Cambria" w:eastAsia="Times New Roman" w:hAnsi="Cambria" w:cs="Times New Roman"/>
          <w:bCs/>
          <w:sz w:val="20"/>
          <w:szCs w:val="20"/>
        </w:rPr>
      </w:pPr>
    </w:p>
    <w:p w14:paraId="439A901C" w14:textId="51577862" w:rsidR="00947ED5" w:rsidRPr="00097901" w:rsidRDefault="00C06B4A" w:rsidP="00240776">
      <w:pPr>
        <w:spacing w:after="0" w:line="240" w:lineRule="auto"/>
        <w:jc w:val="both"/>
        <w:rPr>
          <w:rFonts w:ascii="Cambria" w:eastAsia="Times New Roman" w:hAnsi="Cambria" w:cs="Times New Roman"/>
          <w:bCs/>
          <w:sz w:val="20"/>
          <w:szCs w:val="20"/>
        </w:rPr>
      </w:pPr>
      <w:r w:rsidRPr="00097901">
        <w:rPr>
          <w:rFonts w:ascii="Cambria" w:hAnsi="Cambria"/>
          <w:sz w:val="20"/>
          <w:szCs w:val="20"/>
        </w:rPr>
        <w:t>Según los informes de reuniones anteriores, Argelia expresó su intención de informar sobre el resultado hasta la reunión anual de 2011. Sin embargo, después de eso, no hay constancia alguna sobre este tema en los informes de las reuniones de ICCAT. Japón entiende</w:t>
      </w:r>
      <w:r w:rsidR="00097901" w:rsidRPr="00097901">
        <w:rPr>
          <w:rFonts w:ascii="Cambria" w:hAnsi="Cambria"/>
          <w:sz w:val="20"/>
          <w:szCs w:val="20"/>
        </w:rPr>
        <w:t xml:space="preserve">, por tanto, </w:t>
      </w:r>
      <w:r w:rsidRPr="00097901">
        <w:rPr>
          <w:rFonts w:ascii="Cambria" w:hAnsi="Cambria"/>
          <w:sz w:val="20"/>
          <w:szCs w:val="20"/>
        </w:rPr>
        <w:t>que ICCAT no ha recibido el resultado de la investigación de Argelia.</w:t>
      </w:r>
    </w:p>
    <w:p w14:paraId="761C0EBC" w14:textId="77777777" w:rsidR="00C06B4A" w:rsidRPr="00097901" w:rsidRDefault="00C06B4A" w:rsidP="00240776">
      <w:pPr>
        <w:spacing w:after="0" w:line="240" w:lineRule="auto"/>
        <w:jc w:val="both"/>
        <w:rPr>
          <w:rFonts w:ascii="Cambria" w:eastAsia="Times New Roman" w:hAnsi="Cambria" w:cs="Times New Roman"/>
          <w:sz w:val="20"/>
          <w:szCs w:val="20"/>
        </w:rPr>
      </w:pPr>
    </w:p>
    <w:p w14:paraId="61998F6D" w14:textId="77777777" w:rsidR="00892CE8" w:rsidRPr="00097901" w:rsidRDefault="00892CE8" w:rsidP="00240776">
      <w:pPr>
        <w:spacing w:after="0" w:line="240" w:lineRule="auto"/>
        <w:jc w:val="both"/>
        <w:rPr>
          <w:rFonts w:ascii="Cambria" w:eastAsia="Times New Roman" w:hAnsi="Cambria" w:cs="Times New Roman"/>
          <w:sz w:val="20"/>
          <w:szCs w:val="20"/>
        </w:rPr>
      </w:pPr>
    </w:p>
    <w:p w14:paraId="077A60B9" w14:textId="4E019B16" w:rsidR="00DE003E" w:rsidRPr="00097901" w:rsidRDefault="00DE003E" w:rsidP="00240776">
      <w:pPr>
        <w:spacing w:after="0" w:line="240" w:lineRule="auto"/>
        <w:jc w:val="both"/>
        <w:rPr>
          <w:rFonts w:ascii="Cambria" w:eastAsia="Times New Roman" w:hAnsi="Cambria" w:cs="Times New Roman"/>
          <w:b/>
          <w:bCs/>
          <w:sz w:val="20"/>
          <w:szCs w:val="20"/>
        </w:rPr>
      </w:pPr>
      <w:r w:rsidRPr="00097901">
        <w:rPr>
          <w:rFonts w:ascii="Cambria" w:hAnsi="Cambria"/>
          <w:b/>
          <w:sz w:val="20"/>
          <w:szCs w:val="20"/>
        </w:rPr>
        <w:t xml:space="preserve">A Mauritania: </w:t>
      </w:r>
    </w:p>
    <w:p w14:paraId="1E1DF61D" w14:textId="77777777" w:rsidR="00240776" w:rsidRPr="00097901" w:rsidRDefault="00240776" w:rsidP="00240776">
      <w:pPr>
        <w:spacing w:after="0" w:line="240" w:lineRule="auto"/>
        <w:jc w:val="both"/>
        <w:rPr>
          <w:rFonts w:ascii="Cambria" w:eastAsia="Times New Roman" w:hAnsi="Cambria" w:cs="Times New Roman"/>
          <w:b/>
          <w:bCs/>
          <w:sz w:val="20"/>
          <w:szCs w:val="20"/>
        </w:rPr>
      </w:pPr>
    </w:p>
    <w:p w14:paraId="7CDD3AD9" w14:textId="4F064139" w:rsidR="00DE003E" w:rsidRPr="00097901" w:rsidRDefault="00C06B4A" w:rsidP="00240776">
      <w:pPr>
        <w:spacing w:after="0" w:line="240" w:lineRule="auto"/>
        <w:jc w:val="both"/>
        <w:rPr>
          <w:rFonts w:ascii="Cambria" w:eastAsia="Times New Roman" w:hAnsi="Cambria" w:cs="Times New Roman"/>
          <w:sz w:val="20"/>
          <w:szCs w:val="20"/>
        </w:rPr>
      </w:pPr>
      <w:r w:rsidRPr="00097901">
        <w:rPr>
          <w:rFonts w:ascii="Cambria" w:hAnsi="Cambria"/>
          <w:sz w:val="20"/>
          <w:szCs w:val="20"/>
        </w:rPr>
        <w:t xml:space="preserve">Mauritania podría explicar cómo implementa y cumple con </w:t>
      </w:r>
      <w:hyperlink r:id="rId7" w:history="1">
        <w:r w:rsidRPr="00097901">
          <w:rPr>
            <w:rStyle w:val="Hyperlink"/>
            <w:rFonts w:ascii="Cambria" w:hAnsi="Cambria"/>
            <w:i/>
            <w:iCs/>
            <w:sz w:val="20"/>
            <w:szCs w:val="20"/>
            <w:u w:val="none"/>
          </w:rPr>
          <w:t>Recomendación de ICCAT para sobre la prohibición de descarte de túnidos tropicales capturados por los cerqueros</w:t>
        </w:r>
        <w:r w:rsidRPr="00097901">
          <w:rPr>
            <w:rStyle w:val="Hyperlink"/>
            <w:rFonts w:ascii="Cambria" w:hAnsi="Cambria"/>
            <w:sz w:val="20"/>
            <w:szCs w:val="20"/>
            <w:u w:val="none"/>
          </w:rPr>
          <w:t xml:space="preserve">  (Rec. 17-01)</w:t>
        </w:r>
      </w:hyperlink>
      <w:r w:rsidRPr="00097901">
        <w:rPr>
          <w:rFonts w:ascii="Cambria" w:hAnsi="Cambria"/>
          <w:sz w:val="20"/>
          <w:szCs w:val="20"/>
        </w:rPr>
        <w:t xml:space="preserve">, a la luz del </w:t>
      </w:r>
      <w:hyperlink r:id="rId8" w:history="1">
        <w:r w:rsidRPr="00097901">
          <w:rPr>
            <w:rStyle w:val="Hyperlink"/>
            <w:rFonts w:ascii="Cambria" w:hAnsi="Cambria"/>
            <w:sz w:val="20"/>
            <w:szCs w:val="20"/>
            <w:u w:val="none"/>
          </w:rPr>
          <w:t>Decreto n°2018-088</w:t>
        </w:r>
      </w:hyperlink>
      <w:r w:rsidRPr="00097901">
        <w:rPr>
          <w:rFonts w:ascii="Cambria" w:hAnsi="Cambria"/>
          <w:sz w:val="20"/>
          <w:szCs w:val="20"/>
        </w:rPr>
        <w:t>, que parece establecer una talla mínima para el patudo y que podría entrar en contradicción con la prohibición de descartar túnidos tropicales.</w:t>
      </w:r>
    </w:p>
    <w:p w14:paraId="1B58123E" w14:textId="77777777" w:rsidR="00947ED5" w:rsidRPr="00097901" w:rsidRDefault="00947ED5" w:rsidP="00240776">
      <w:pPr>
        <w:spacing w:after="0" w:line="240" w:lineRule="auto"/>
        <w:jc w:val="both"/>
        <w:rPr>
          <w:rFonts w:ascii="Cambria" w:eastAsia="Times New Roman" w:hAnsi="Cambria" w:cs="Times New Roman"/>
          <w:sz w:val="20"/>
          <w:szCs w:val="20"/>
        </w:rPr>
      </w:pPr>
    </w:p>
    <w:p w14:paraId="59F2FA00" w14:textId="77777777" w:rsidR="00892CE8" w:rsidRPr="00097901" w:rsidRDefault="00892CE8" w:rsidP="00240776">
      <w:pPr>
        <w:spacing w:after="0" w:line="240" w:lineRule="auto"/>
        <w:jc w:val="both"/>
        <w:rPr>
          <w:rFonts w:ascii="Cambria" w:eastAsia="Times New Roman" w:hAnsi="Cambria" w:cs="Times New Roman"/>
          <w:sz w:val="20"/>
          <w:szCs w:val="20"/>
        </w:rPr>
      </w:pPr>
    </w:p>
    <w:p w14:paraId="4E278606" w14:textId="142CBAC5" w:rsidR="00DE003E" w:rsidRPr="00097901" w:rsidRDefault="00947ED5" w:rsidP="00240776">
      <w:pPr>
        <w:spacing w:after="0" w:line="240" w:lineRule="auto"/>
        <w:jc w:val="both"/>
        <w:rPr>
          <w:rFonts w:ascii="Cambria" w:eastAsia="Times New Roman" w:hAnsi="Cambria" w:cs="Times New Roman"/>
          <w:b/>
          <w:bCs/>
          <w:color w:val="222222"/>
          <w:sz w:val="20"/>
          <w:szCs w:val="20"/>
        </w:rPr>
      </w:pPr>
      <w:bookmarkStart w:id="1" w:name="_Hlk181565530"/>
      <w:r w:rsidRPr="00097901">
        <w:rPr>
          <w:rFonts w:ascii="Cambria" w:hAnsi="Cambria"/>
          <w:b/>
          <w:sz w:val="20"/>
          <w:szCs w:val="20"/>
        </w:rPr>
        <w:t xml:space="preserve">A </w:t>
      </w:r>
      <w:r w:rsidRPr="00097901">
        <w:rPr>
          <w:rFonts w:ascii="Cambria" w:hAnsi="Cambria"/>
          <w:b/>
          <w:bCs/>
          <w:sz w:val="20"/>
          <w:szCs w:val="20"/>
        </w:rPr>
        <w:t>México</w:t>
      </w:r>
      <w:r w:rsidRPr="00097901">
        <w:rPr>
          <w:rFonts w:ascii="Cambria" w:hAnsi="Cambria"/>
          <w:b/>
          <w:sz w:val="20"/>
          <w:szCs w:val="20"/>
        </w:rPr>
        <w:t>:</w:t>
      </w:r>
    </w:p>
    <w:p w14:paraId="47D7137E" w14:textId="77777777" w:rsidR="00240776" w:rsidRPr="00097901" w:rsidRDefault="00240776" w:rsidP="00240776">
      <w:pPr>
        <w:spacing w:after="0" w:line="240" w:lineRule="auto"/>
        <w:jc w:val="both"/>
        <w:rPr>
          <w:rFonts w:ascii="Cambria" w:eastAsia="Times New Roman" w:hAnsi="Cambria" w:cs="Times New Roman"/>
          <w:b/>
          <w:bCs/>
          <w:sz w:val="20"/>
          <w:szCs w:val="20"/>
        </w:rPr>
      </w:pPr>
    </w:p>
    <w:p w14:paraId="5D4D834C" w14:textId="2703828B" w:rsidR="00DE003E" w:rsidRPr="00097901" w:rsidRDefault="00C06B4A" w:rsidP="00240776">
      <w:pPr>
        <w:spacing w:after="0" w:line="240" w:lineRule="auto"/>
        <w:jc w:val="both"/>
        <w:rPr>
          <w:rFonts w:ascii="Cambria" w:eastAsia="Times New Roman" w:hAnsi="Cambria" w:cs="Times New Roman"/>
          <w:color w:val="222222"/>
          <w:sz w:val="20"/>
          <w:szCs w:val="20"/>
        </w:rPr>
      </w:pPr>
      <w:r w:rsidRPr="00097901">
        <w:rPr>
          <w:rFonts w:ascii="Cambria" w:hAnsi="Cambria"/>
          <w:sz w:val="20"/>
          <w:szCs w:val="20"/>
        </w:rPr>
        <w:t xml:space="preserve">México podría explicar cómo implementa y cumple la prohibición de retener y desembarcar tiburones oceánicos </w:t>
      </w:r>
      <w:r w:rsidR="002B6294">
        <w:rPr>
          <w:rFonts w:ascii="Cambria" w:hAnsi="Cambria"/>
          <w:sz w:val="20"/>
          <w:szCs w:val="20"/>
        </w:rPr>
        <w:t>establecida en</w:t>
      </w:r>
      <w:r w:rsidRPr="00097901">
        <w:rPr>
          <w:rFonts w:ascii="Cambria" w:hAnsi="Cambria"/>
          <w:sz w:val="20"/>
          <w:szCs w:val="20"/>
        </w:rPr>
        <w:t xml:space="preserve"> la </w:t>
      </w:r>
      <w:hyperlink r:id="rId9" w:history="1">
        <w:r w:rsidRPr="00097901">
          <w:rPr>
            <w:rStyle w:val="Hyperlink"/>
            <w:rFonts w:ascii="Cambria" w:hAnsi="Cambria"/>
            <w:sz w:val="20"/>
            <w:szCs w:val="20"/>
            <w:u w:val="none"/>
          </w:rPr>
          <w:t>R</w:t>
        </w:r>
        <w:r w:rsidRPr="00097901">
          <w:rPr>
            <w:rStyle w:val="Hyperlink"/>
            <w:rFonts w:ascii="Cambria" w:hAnsi="Cambria"/>
            <w:i/>
            <w:iCs/>
            <w:sz w:val="20"/>
            <w:szCs w:val="20"/>
            <w:u w:val="none"/>
          </w:rPr>
          <w:t>ecomendación de ICCAT sobre la conservación de los tiburones oceánicos capturados en asociación con las pesquerías en la zona del Convenio de ICCAT</w:t>
        </w:r>
        <w:r w:rsidRPr="00097901">
          <w:rPr>
            <w:rStyle w:val="Hyperlink"/>
            <w:rFonts w:ascii="Cambria" w:hAnsi="Cambria"/>
            <w:sz w:val="20"/>
            <w:szCs w:val="20"/>
            <w:u w:val="none"/>
          </w:rPr>
          <w:t xml:space="preserve"> (Rec. 10-07)</w:t>
        </w:r>
      </w:hyperlink>
      <w:r w:rsidRPr="00097901">
        <w:rPr>
          <w:rFonts w:ascii="Cambria" w:hAnsi="Cambria"/>
          <w:color w:val="222222"/>
          <w:sz w:val="20"/>
          <w:szCs w:val="20"/>
        </w:rPr>
        <w:t>, a la luz de sus declaraciones de desembarque de tiburón oceánico.</w:t>
      </w:r>
    </w:p>
    <w:bookmarkEnd w:id="1"/>
    <w:p w14:paraId="0D54597D" w14:textId="77777777" w:rsidR="00947ED5" w:rsidRPr="00097901" w:rsidRDefault="00947ED5" w:rsidP="00240776">
      <w:pPr>
        <w:spacing w:after="0" w:line="240" w:lineRule="auto"/>
        <w:jc w:val="both"/>
        <w:rPr>
          <w:rFonts w:ascii="Cambria" w:eastAsia="Times New Roman" w:hAnsi="Cambria" w:cs="Times New Roman"/>
          <w:color w:val="222222"/>
          <w:sz w:val="20"/>
          <w:szCs w:val="20"/>
        </w:rPr>
      </w:pPr>
    </w:p>
    <w:p w14:paraId="7ED93C3F" w14:textId="6D20C172" w:rsidR="002A61B7" w:rsidRPr="00097901" w:rsidRDefault="002A61B7" w:rsidP="002A61B7">
      <w:pPr>
        <w:spacing w:after="0" w:line="240" w:lineRule="auto"/>
        <w:jc w:val="both"/>
        <w:rPr>
          <w:rFonts w:ascii="Cambria" w:eastAsia="Times New Roman" w:hAnsi="Cambria" w:cs="Times New Roman"/>
          <w:color w:val="222222"/>
          <w:sz w:val="20"/>
          <w:szCs w:val="20"/>
        </w:rPr>
      </w:pPr>
      <w:bookmarkStart w:id="2" w:name="_Hlk181565837"/>
      <w:r w:rsidRPr="00097901">
        <w:rPr>
          <w:rFonts w:ascii="Cambria" w:hAnsi="Cambria"/>
          <w:b/>
          <w:i/>
          <w:color w:val="222222"/>
          <w:sz w:val="20"/>
          <w:szCs w:val="20"/>
        </w:rPr>
        <w:t>Respuesta:</w:t>
      </w:r>
      <w:r w:rsidRPr="00097901">
        <w:rPr>
          <w:rFonts w:ascii="Cambria" w:hAnsi="Cambria"/>
          <w:b/>
          <w:color w:val="222222"/>
          <w:sz w:val="20"/>
          <w:szCs w:val="20"/>
        </w:rPr>
        <w:t xml:space="preserve">  </w:t>
      </w:r>
      <w:r w:rsidRPr="00097901">
        <w:rPr>
          <w:rFonts w:ascii="Cambria" w:hAnsi="Cambria"/>
          <w:color w:val="222222"/>
          <w:sz w:val="20"/>
          <w:szCs w:val="20"/>
        </w:rPr>
        <w:t>En pleno cumplimiento a lo comprometido por México durante la pasada 24ª Reunión extraordinaria de la Comisión Internacional para la Conservación del Atún Atlántico (ICCAT) celebrada en Limassol, Chipre, 11-18 de noviembre de 2024, se ha establecido lo siguiente:</w:t>
      </w:r>
    </w:p>
    <w:p w14:paraId="7AFC1C26" w14:textId="77777777" w:rsidR="001E53C4" w:rsidRPr="00097901" w:rsidRDefault="001E53C4" w:rsidP="002A61B7">
      <w:pPr>
        <w:spacing w:after="0" w:line="240" w:lineRule="auto"/>
        <w:jc w:val="both"/>
        <w:rPr>
          <w:rFonts w:ascii="Cambria" w:eastAsia="Times New Roman" w:hAnsi="Cambria" w:cs="Times New Roman"/>
          <w:color w:val="222222"/>
          <w:sz w:val="20"/>
          <w:szCs w:val="20"/>
        </w:rPr>
      </w:pPr>
    </w:p>
    <w:p w14:paraId="6EE94A46" w14:textId="75417A78"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 xml:space="preserve">El 2 de octubre de 2025 se publicó en el </w:t>
      </w:r>
      <w:r w:rsidRPr="00097901">
        <w:rPr>
          <w:rFonts w:ascii="Cambria" w:hAnsi="Cambria"/>
          <w:i/>
          <w:iCs/>
          <w:color w:val="222222"/>
          <w:sz w:val="20"/>
          <w:szCs w:val="20"/>
        </w:rPr>
        <w:t>Diario Oficial de la Federación</w:t>
      </w:r>
      <w:r w:rsidRPr="00097901">
        <w:rPr>
          <w:rFonts w:ascii="Cambria" w:hAnsi="Cambria"/>
          <w:color w:val="222222"/>
          <w:sz w:val="20"/>
          <w:szCs w:val="20"/>
        </w:rPr>
        <w:t xml:space="preserve"> (DOF) el “</w:t>
      </w:r>
      <w:r w:rsidR="001E04D8" w:rsidRPr="00097901">
        <w:rPr>
          <w:rFonts w:ascii="Cambria" w:hAnsi="Cambria"/>
          <w:color w:val="222222"/>
          <w:sz w:val="20"/>
          <w:szCs w:val="20"/>
        </w:rPr>
        <w:t xml:space="preserve">Acuerdo </w:t>
      </w:r>
      <w:r w:rsidRPr="00097901">
        <w:rPr>
          <w:rFonts w:ascii="Cambria" w:hAnsi="Cambria"/>
          <w:color w:val="222222"/>
          <w:sz w:val="20"/>
          <w:szCs w:val="20"/>
        </w:rPr>
        <w:t>por el que se establecen diversas disposiciones sobre la pesca incidental de tiburones en la pesca de túnidos por embarcaciones mayores con palangre en el golfo de México, mar Caribe y en la zona del Convenio de la Comisión Internacional para la Conservación del Atún Atlántico (ICCAT)”.</w:t>
      </w:r>
    </w:p>
    <w:p w14:paraId="06D35658" w14:textId="77777777" w:rsidR="002A61B7" w:rsidRPr="00097901" w:rsidRDefault="002A61B7" w:rsidP="002A61B7">
      <w:pPr>
        <w:pStyle w:val="ListParagraph"/>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 xml:space="preserve"> </w:t>
      </w:r>
    </w:p>
    <w:p w14:paraId="74A42BA2" w14:textId="2C3033BB"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 xml:space="preserve">Este instrumento normativo de carácter vinculante fortalece la implementación nacional de las Recomendaciones 09-07, 10-07 y 10-08, asegurando su cumplimiento integral. </w:t>
      </w:r>
      <w:r w:rsidR="00F977BE">
        <w:rPr>
          <w:rFonts w:ascii="Cambria" w:hAnsi="Cambria"/>
          <w:color w:val="222222"/>
          <w:sz w:val="20"/>
          <w:szCs w:val="20"/>
        </w:rPr>
        <w:t>E</w:t>
      </w:r>
      <w:r w:rsidRPr="00097901">
        <w:rPr>
          <w:rFonts w:ascii="Cambria" w:hAnsi="Cambria"/>
          <w:color w:val="222222"/>
          <w:sz w:val="20"/>
          <w:szCs w:val="20"/>
        </w:rPr>
        <w:t>ntre sus principales disposiciones, el Acuerdo prohíbe retener a bordo, almacenar, transbordar y desembarcar, ya sea ejemplares enteros o en partes, de las siguientes especies capturadas incidentalmente en la zona del Convenio de lCCAT:</w:t>
      </w:r>
    </w:p>
    <w:p w14:paraId="592AD27F" w14:textId="77777777" w:rsidR="002A61B7" w:rsidRPr="00097901" w:rsidRDefault="002A61B7" w:rsidP="002A61B7">
      <w:pPr>
        <w:pStyle w:val="ListParagraph"/>
        <w:spacing w:after="0" w:line="240" w:lineRule="auto"/>
        <w:rPr>
          <w:rFonts w:ascii="Cambria" w:eastAsia="Times New Roman" w:hAnsi="Cambria" w:cs="Times New Roman"/>
          <w:color w:val="222222"/>
          <w:sz w:val="20"/>
          <w:szCs w:val="20"/>
        </w:rPr>
      </w:pPr>
    </w:p>
    <w:p w14:paraId="5ADA3AA9" w14:textId="77777777" w:rsidR="002A61B7" w:rsidRPr="00097901" w:rsidRDefault="002A61B7" w:rsidP="00892CE8">
      <w:pPr>
        <w:pStyle w:val="ListParagraph"/>
        <w:numPr>
          <w:ilvl w:val="0"/>
          <w:numId w:val="7"/>
        </w:numPr>
        <w:spacing w:after="0" w:line="240" w:lineRule="auto"/>
        <w:ind w:left="993" w:hanging="284"/>
        <w:jc w:val="both"/>
        <w:rPr>
          <w:rFonts w:ascii="Cambria" w:eastAsia="Times New Roman" w:hAnsi="Cambria" w:cs="Times New Roman"/>
          <w:color w:val="222222"/>
          <w:sz w:val="20"/>
          <w:szCs w:val="20"/>
        </w:rPr>
      </w:pPr>
      <w:r w:rsidRPr="00097901">
        <w:rPr>
          <w:rFonts w:ascii="Cambria" w:hAnsi="Cambria"/>
          <w:color w:val="222222"/>
          <w:sz w:val="20"/>
          <w:szCs w:val="20"/>
        </w:rPr>
        <w:t>Zorro ojón (</w:t>
      </w:r>
      <w:proofErr w:type="spellStart"/>
      <w:r w:rsidRPr="00097901">
        <w:rPr>
          <w:rFonts w:ascii="Cambria" w:hAnsi="Cambria"/>
          <w:i/>
          <w:iCs/>
          <w:color w:val="222222"/>
          <w:sz w:val="20"/>
          <w:szCs w:val="20"/>
        </w:rPr>
        <w:t>Alopias</w:t>
      </w:r>
      <w:proofErr w:type="spellEnd"/>
      <w:r w:rsidRPr="00097901">
        <w:rPr>
          <w:rFonts w:ascii="Cambria" w:hAnsi="Cambria"/>
          <w:i/>
          <w:iCs/>
          <w:color w:val="222222"/>
          <w:sz w:val="20"/>
          <w:szCs w:val="20"/>
        </w:rPr>
        <w:t xml:space="preserve"> </w:t>
      </w:r>
      <w:proofErr w:type="spellStart"/>
      <w:r w:rsidRPr="00097901">
        <w:rPr>
          <w:rFonts w:ascii="Cambria" w:hAnsi="Cambria"/>
          <w:i/>
          <w:iCs/>
          <w:color w:val="222222"/>
          <w:sz w:val="20"/>
          <w:szCs w:val="20"/>
        </w:rPr>
        <w:t>superciliosus</w:t>
      </w:r>
      <w:proofErr w:type="spellEnd"/>
      <w:r w:rsidRPr="00097901">
        <w:rPr>
          <w:rFonts w:ascii="Cambria" w:hAnsi="Cambria"/>
          <w:color w:val="222222"/>
          <w:sz w:val="20"/>
          <w:szCs w:val="20"/>
        </w:rPr>
        <w:t>).</w:t>
      </w:r>
    </w:p>
    <w:p w14:paraId="01094E26" w14:textId="06D216A0" w:rsidR="002A61B7" w:rsidRPr="00097901" w:rsidRDefault="002A61B7" w:rsidP="00892CE8">
      <w:pPr>
        <w:pStyle w:val="ListParagraph"/>
        <w:numPr>
          <w:ilvl w:val="0"/>
          <w:numId w:val="7"/>
        </w:numPr>
        <w:spacing w:after="0" w:line="240" w:lineRule="auto"/>
        <w:ind w:left="993" w:hanging="284"/>
        <w:jc w:val="both"/>
        <w:rPr>
          <w:rFonts w:ascii="Cambria" w:eastAsia="Times New Roman" w:hAnsi="Cambria" w:cs="Times New Roman"/>
          <w:color w:val="222222"/>
          <w:sz w:val="20"/>
          <w:szCs w:val="20"/>
        </w:rPr>
      </w:pPr>
      <w:r w:rsidRPr="00097901">
        <w:rPr>
          <w:rFonts w:ascii="Cambria" w:hAnsi="Cambria"/>
          <w:color w:val="222222"/>
          <w:sz w:val="20"/>
          <w:szCs w:val="20"/>
        </w:rPr>
        <w:t>Tiburón oceánico (</w:t>
      </w:r>
      <w:proofErr w:type="spellStart"/>
      <w:r w:rsidRPr="00097901">
        <w:rPr>
          <w:rFonts w:ascii="Cambria" w:hAnsi="Cambria"/>
          <w:i/>
          <w:iCs/>
          <w:color w:val="222222"/>
          <w:sz w:val="20"/>
          <w:szCs w:val="20"/>
        </w:rPr>
        <w:t>Carcharhinus</w:t>
      </w:r>
      <w:proofErr w:type="spellEnd"/>
      <w:r w:rsidRPr="00097901">
        <w:rPr>
          <w:rFonts w:ascii="Cambria" w:hAnsi="Cambria"/>
          <w:i/>
          <w:iCs/>
          <w:color w:val="222222"/>
          <w:sz w:val="20"/>
          <w:szCs w:val="20"/>
        </w:rPr>
        <w:t xml:space="preserve"> </w:t>
      </w:r>
      <w:proofErr w:type="spellStart"/>
      <w:r w:rsidRPr="00097901">
        <w:rPr>
          <w:rFonts w:ascii="Cambria" w:hAnsi="Cambria"/>
          <w:i/>
          <w:iCs/>
          <w:color w:val="222222"/>
          <w:sz w:val="20"/>
          <w:szCs w:val="20"/>
        </w:rPr>
        <w:t>longimanus</w:t>
      </w:r>
      <w:proofErr w:type="spellEnd"/>
      <w:r w:rsidRPr="00097901">
        <w:rPr>
          <w:rFonts w:ascii="Cambria" w:hAnsi="Cambria"/>
          <w:color w:val="222222"/>
          <w:sz w:val="20"/>
          <w:szCs w:val="20"/>
        </w:rPr>
        <w:t>)</w:t>
      </w:r>
      <w:r w:rsidR="00C878F0">
        <w:rPr>
          <w:rFonts w:ascii="Cambria" w:hAnsi="Cambria"/>
          <w:color w:val="222222"/>
          <w:sz w:val="20"/>
          <w:szCs w:val="20"/>
        </w:rPr>
        <w:t>,t</w:t>
      </w:r>
      <w:r w:rsidRPr="00097901">
        <w:rPr>
          <w:rFonts w:ascii="Cambria" w:hAnsi="Cambria"/>
          <w:color w:val="222222"/>
          <w:sz w:val="20"/>
          <w:szCs w:val="20"/>
        </w:rPr>
        <w:t xml:space="preserve">iburones del género Sphyrna ("peces martillo" o "cornudas") exceptuando de esta disposición a la especie Sphyrna </w:t>
      </w:r>
      <w:proofErr w:type="spellStart"/>
      <w:r w:rsidRPr="00097901">
        <w:rPr>
          <w:rFonts w:ascii="Cambria" w:hAnsi="Cambria"/>
          <w:color w:val="222222"/>
          <w:sz w:val="20"/>
          <w:szCs w:val="20"/>
        </w:rPr>
        <w:t>tiburo</w:t>
      </w:r>
      <w:proofErr w:type="spellEnd"/>
      <w:r w:rsidRPr="00097901">
        <w:rPr>
          <w:rFonts w:ascii="Cambria" w:hAnsi="Cambria"/>
          <w:color w:val="222222"/>
          <w:sz w:val="20"/>
          <w:szCs w:val="20"/>
        </w:rPr>
        <w:t>.</w:t>
      </w:r>
    </w:p>
    <w:p w14:paraId="5D07B8BB" w14:textId="1B2AA2EF" w:rsidR="002A61B7" w:rsidRPr="00097901" w:rsidRDefault="002A61B7" w:rsidP="00892CE8">
      <w:pPr>
        <w:pStyle w:val="ListParagraph"/>
        <w:numPr>
          <w:ilvl w:val="0"/>
          <w:numId w:val="7"/>
        </w:numPr>
        <w:spacing w:after="0" w:line="240" w:lineRule="auto"/>
        <w:ind w:left="993" w:hanging="284"/>
        <w:jc w:val="both"/>
        <w:rPr>
          <w:rFonts w:ascii="Cambria" w:eastAsia="Times New Roman" w:hAnsi="Cambria" w:cs="Times New Roman"/>
          <w:color w:val="222222"/>
          <w:sz w:val="20"/>
          <w:szCs w:val="20"/>
        </w:rPr>
      </w:pPr>
      <w:r w:rsidRPr="00097901">
        <w:rPr>
          <w:rFonts w:ascii="Cambria" w:hAnsi="Cambria"/>
          <w:color w:val="222222"/>
          <w:sz w:val="20"/>
          <w:szCs w:val="20"/>
        </w:rPr>
        <w:t>Tiburón jaquetón (</w:t>
      </w:r>
      <w:proofErr w:type="spellStart"/>
      <w:r w:rsidRPr="00097901">
        <w:rPr>
          <w:rFonts w:ascii="Cambria" w:hAnsi="Cambria"/>
          <w:i/>
          <w:iCs/>
          <w:color w:val="222222"/>
          <w:sz w:val="20"/>
          <w:szCs w:val="20"/>
        </w:rPr>
        <w:t>Carcharhinus</w:t>
      </w:r>
      <w:proofErr w:type="spellEnd"/>
      <w:r w:rsidRPr="00097901">
        <w:rPr>
          <w:rFonts w:ascii="Cambria" w:hAnsi="Cambria"/>
          <w:i/>
          <w:iCs/>
          <w:color w:val="222222"/>
          <w:sz w:val="20"/>
          <w:szCs w:val="20"/>
        </w:rPr>
        <w:t xml:space="preserve"> </w:t>
      </w:r>
      <w:proofErr w:type="spellStart"/>
      <w:r w:rsidRPr="00097901">
        <w:rPr>
          <w:rFonts w:ascii="Cambria" w:hAnsi="Cambria"/>
          <w:i/>
          <w:iCs/>
          <w:color w:val="222222"/>
          <w:sz w:val="20"/>
          <w:szCs w:val="20"/>
        </w:rPr>
        <w:t>falciformis</w:t>
      </w:r>
      <w:proofErr w:type="spellEnd"/>
      <w:r w:rsidRPr="00097901">
        <w:rPr>
          <w:rFonts w:ascii="Cambria" w:hAnsi="Cambria"/>
          <w:color w:val="222222"/>
          <w:sz w:val="20"/>
          <w:szCs w:val="20"/>
        </w:rPr>
        <w:t>), conocido en México como "tiburón sedoso" o "tiburón puntas negras</w:t>
      </w:r>
      <w:r w:rsidR="00B2393A">
        <w:rPr>
          <w:rFonts w:ascii="Cambria" w:hAnsi="Cambria"/>
          <w:color w:val="222222"/>
          <w:sz w:val="20"/>
          <w:szCs w:val="20"/>
        </w:rPr>
        <w:t>”.</w:t>
      </w:r>
    </w:p>
    <w:p w14:paraId="0C46CF3B" w14:textId="77777777" w:rsidR="002A61B7" w:rsidRPr="00097901" w:rsidRDefault="002A61B7" w:rsidP="002A61B7">
      <w:pPr>
        <w:pStyle w:val="ListParagraph"/>
        <w:spacing w:after="0" w:line="240" w:lineRule="auto"/>
        <w:ind w:left="1800"/>
        <w:jc w:val="both"/>
        <w:rPr>
          <w:rFonts w:ascii="Cambria" w:eastAsia="Times New Roman" w:hAnsi="Cambria" w:cs="Times New Roman"/>
          <w:color w:val="222222"/>
          <w:sz w:val="20"/>
          <w:szCs w:val="20"/>
        </w:rPr>
      </w:pPr>
    </w:p>
    <w:p w14:paraId="1388BB97" w14:textId="77777777"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El Acuerdo establece que los ejemplares de tiburones indicados en el Acuerdo, así como otras especies no objetivo sujetas a régimen de protección especial que sean capturados, deberán ser liberados en las mejores condiciones de sobrevivencia, reforzando así las medidas de conservación y sostenibilidad pesquera.</w:t>
      </w:r>
    </w:p>
    <w:p w14:paraId="7F914952" w14:textId="77777777" w:rsidR="002A61B7" w:rsidRPr="00097901" w:rsidRDefault="002A61B7" w:rsidP="002A61B7">
      <w:pPr>
        <w:pStyle w:val="ListParagraph"/>
        <w:spacing w:after="0" w:line="240" w:lineRule="auto"/>
        <w:jc w:val="both"/>
        <w:rPr>
          <w:rFonts w:ascii="Cambria" w:eastAsia="Times New Roman" w:hAnsi="Cambria" w:cs="Times New Roman"/>
          <w:color w:val="222222"/>
          <w:sz w:val="20"/>
          <w:szCs w:val="20"/>
        </w:rPr>
      </w:pPr>
    </w:p>
    <w:p w14:paraId="03B6DB35" w14:textId="2E97FBAE"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 xml:space="preserve">Las disposiciones son de observancia obligatoria para los titulares de concesiones y permisos de pesca, así como para capitanes o patrones de pesca, motoristas u operadores, pescadores y tripulantes de dichas embarcaciones y demás sujetos que realizan actividades de pesca de túnidos en aguas </w:t>
      </w:r>
      <w:r w:rsidR="005015B5">
        <w:rPr>
          <w:rFonts w:ascii="Cambria" w:hAnsi="Cambria"/>
          <w:color w:val="222222"/>
          <w:sz w:val="20"/>
          <w:szCs w:val="20"/>
        </w:rPr>
        <w:t>bajo la</w:t>
      </w:r>
      <w:r w:rsidRPr="00097901">
        <w:rPr>
          <w:rFonts w:ascii="Cambria" w:hAnsi="Cambria"/>
          <w:color w:val="222222"/>
          <w:sz w:val="20"/>
          <w:szCs w:val="20"/>
        </w:rPr>
        <w:t xml:space="preserve"> jurisdicción federal de los Estados Unidos Mexicanos del golfo de México, mar Caribe y la zona del Convenio de la Comisión Internacional para la Conservación del Atún Atlántico (ICCAT).</w:t>
      </w:r>
    </w:p>
    <w:p w14:paraId="19044305" w14:textId="77777777" w:rsidR="002A61B7" w:rsidRPr="00097901" w:rsidRDefault="002A61B7" w:rsidP="002A61B7">
      <w:pPr>
        <w:spacing w:after="0" w:line="240" w:lineRule="auto"/>
        <w:jc w:val="both"/>
        <w:rPr>
          <w:rFonts w:ascii="Cambria" w:eastAsia="Times New Roman" w:hAnsi="Cambria" w:cs="Times New Roman"/>
          <w:color w:val="222222"/>
          <w:sz w:val="20"/>
          <w:szCs w:val="20"/>
        </w:rPr>
      </w:pPr>
    </w:p>
    <w:p w14:paraId="538BC439" w14:textId="77777777"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De igual manera, se prevé que las personas que incumplan estas disposiciones serán sujetas a las sanciones establecidas en la Ley General de Pesca y Acuacultura Sustentables y demás disposiciones legales aplicables.</w:t>
      </w:r>
    </w:p>
    <w:p w14:paraId="33F39B65" w14:textId="77777777" w:rsidR="002A61B7" w:rsidRPr="00097901" w:rsidRDefault="002A61B7" w:rsidP="002A61B7">
      <w:pPr>
        <w:pStyle w:val="ListParagraph"/>
        <w:spacing w:after="0" w:line="240" w:lineRule="auto"/>
        <w:rPr>
          <w:rFonts w:ascii="Cambria" w:eastAsia="Times New Roman" w:hAnsi="Cambria" w:cs="Times New Roman"/>
          <w:color w:val="222222"/>
          <w:sz w:val="20"/>
          <w:szCs w:val="20"/>
        </w:rPr>
      </w:pPr>
    </w:p>
    <w:p w14:paraId="239D3F9E" w14:textId="77777777"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La vigilancia del cumplimiento de este Acuerdo estará a cargo de la Secretaría de Agricultura y Desarrollo Rural (Agricultura) por conducto de CONAPESCA, así como de la Secretaría de Marina, en el ámbito de sus respectivas competencias.</w:t>
      </w:r>
    </w:p>
    <w:p w14:paraId="629E66A4" w14:textId="77777777" w:rsidR="002A61B7" w:rsidRPr="00097901" w:rsidRDefault="002A61B7" w:rsidP="002A61B7">
      <w:pPr>
        <w:pStyle w:val="ListParagraph"/>
        <w:spacing w:after="0" w:line="240" w:lineRule="auto"/>
        <w:rPr>
          <w:rFonts w:ascii="Cambria" w:eastAsia="Times New Roman" w:hAnsi="Cambria" w:cs="Times New Roman"/>
          <w:color w:val="222222"/>
          <w:sz w:val="20"/>
          <w:szCs w:val="20"/>
        </w:rPr>
      </w:pPr>
    </w:p>
    <w:p w14:paraId="71D47E09" w14:textId="53CD3E60" w:rsidR="002A61B7" w:rsidRPr="00097901" w:rsidRDefault="002A61B7" w:rsidP="002A61B7">
      <w:pPr>
        <w:pStyle w:val="ListParagraph"/>
        <w:numPr>
          <w:ilvl w:val="0"/>
          <w:numId w:val="6"/>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Además de lo antes señalado, y como ya se ha expresado en diversas ocasiones, México cuenta</w:t>
      </w:r>
      <w:r w:rsidR="002C47A2">
        <w:rPr>
          <w:rFonts w:ascii="Cambria" w:hAnsi="Cambria"/>
          <w:color w:val="222222"/>
          <w:sz w:val="20"/>
          <w:szCs w:val="20"/>
        </w:rPr>
        <w:t>,</w:t>
      </w:r>
      <w:r w:rsidRPr="00097901">
        <w:rPr>
          <w:rFonts w:ascii="Cambria" w:hAnsi="Cambria"/>
          <w:color w:val="222222"/>
          <w:sz w:val="20"/>
          <w:szCs w:val="20"/>
        </w:rPr>
        <w:t xml:space="preserve"> entre otros, con los siguientes instrumentos normativos en materia de ordenación y protección de tiburones: </w:t>
      </w:r>
    </w:p>
    <w:p w14:paraId="7FF42503" w14:textId="77777777" w:rsidR="002A61B7" w:rsidRPr="00097901" w:rsidRDefault="002A61B7" w:rsidP="002A61B7">
      <w:pPr>
        <w:pStyle w:val="ListParagraph"/>
        <w:spacing w:after="0" w:line="240" w:lineRule="auto"/>
        <w:rPr>
          <w:rFonts w:ascii="Cambria" w:eastAsia="Times New Roman" w:hAnsi="Cambria" w:cs="Times New Roman"/>
          <w:color w:val="222222"/>
          <w:sz w:val="20"/>
          <w:szCs w:val="20"/>
        </w:rPr>
      </w:pPr>
    </w:p>
    <w:p w14:paraId="543CED22" w14:textId="77777777" w:rsidR="002A61B7" w:rsidRPr="00097901"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Norma Oficial Mexicana NOM-029-PESC-2006, Pesca responsable de tiburones y rayas.  Especificaciones para su aprovechamiento.</w:t>
      </w:r>
    </w:p>
    <w:p w14:paraId="406213BC" w14:textId="77777777" w:rsidR="002A61B7" w:rsidRPr="00097901"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Periodos de veda de tiburones y rayas en el golfo de México.</w:t>
      </w:r>
    </w:p>
    <w:p w14:paraId="0D9BD9BC" w14:textId="5036E347" w:rsidR="002A61B7" w:rsidRPr="00097901"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Plan de manejo pesquero de tiburones y rayas del golfo de México y mar Caribe</w:t>
      </w:r>
    </w:p>
    <w:p w14:paraId="2EFCAAE2" w14:textId="64BA093C" w:rsidR="002A61B7" w:rsidRPr="00097901" w:rsidRDefault="002A61B7" w:rsidP="002A61B7">
      <w:pPr>
        <w:pStyle w:val="ListParagraph"/>
        <w:numPr>
          <w:ilvl w:val="0"/>
          <w:numId w:val="8"/>
        </w:num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Plan de acción nacional para el manejo y conservación de tiburones, rayas y especies afines en México (PANMCT, segunda edición)</w:t>
      </w:r>
    </w:p>
    <w:p w14:paraId="2E3472AD" w14:textId="77777777" w:rsidR="002A61B7" w:rsidRPr="00097901" w:rsidRDefault="002A61B7" w:rsidP="002A61B7">
      <w:pPr>
        <w:pStyle w:val="ListParagraph"/>
        <w:spacing w:after="0" w:line="240" w:lineRule="auto"/>
        <w:ind w:left="1440"/>
        <w:jc w:val="both"/>
        <w:rPr>
          <w:rFonts w:ascii="Cambria" w:eastAsia="Times New Roman" w:hAnsi="Cambria" w:cs="Times New Roman"/>
          <w:color w:val="222222"/>
          <w:sz w:val="20"/>
          <w:szCs w:val="20"/>
        </w:rPr>
      </w:pPr>
    </w:p>
    <w:p w14:paraId="4A3081A3" w14:textId="3726F069" w:rsidR="002A61B7" w:rsidRPr="00097901" w:rsidRDefault="002A61B7" w:rsidP="002A61B7">
      <w:pPr>
        <w:jc w:val="both"/>
        <w:rPr>
          <w:rFonts w:ascii="Cambria" w:eastAsia="Times New Roman" w:hAnsi="Cambria" w:cs="Times New Roman"/>
          <w:sz w:val="20"/>
          <w:szCs w:val="20"/>
        </w:rPr>
      </w:pPr>
      <w:r w:rsidRPr="00097901">
        <w:rPr>
          <w:rFonts w:ascii="Cambria" w:hAnsi="Cambria"/>
          <w:sz w:val="20"/>
          <w:szCs w:val="20"/>
        </w:rPr>
        <w:t xml:space="preserve">Lo antes citado, confirma el firme compromiso de México con el cumplimiento de las obligaciones internacionales, en materia de conservación y manejo responsable de especies altamente migratorias, particularmente de ICCAT, y </w:t>
      </w:r>
      <w:r w:rsidR="00DE1680" w:rsidRPr="00097901">
        <w:rPr>
          <w:rFonts w:ascii="Cambria" w:hAnsi="Cambria"/>
          <w:sz w:val="20"/>
          <w:szCs w:val="20"/>
        </w:rPr>
        <w:t>continúa</w:t>
      </w:r>
      <w:r w:rsidRPr="00097901">
        <w:rPr>
          <w:rFonts w:ascii="Cambria" w:hAnsi="Cambria"/>
          <w:sz w:val="20"/>
          <w:szCs w:val="20"/>
        </w:rPr>
        <w:t xml:space="preserve"> fortaleciendo los mecanismos nacionales para garantizar la trazabilidad, legal procedencia y sostenibilidad de sus pesquerías</w:t>
      </w:r>
    </w:p>
    <w:p w14:paraId="7615CC21" w14:textId="77777777" w:rsidR="00E03688" w:rsidRPr="00097901" w:rsidRDefault="00E03688" w:rsidP="00240776">
      <w:pPr>
        <w:spacing w:after="0" w:line="240" w:lineRule="auto"/>
        <w:jc w:val="both"/>
        <w:rPr>
          <w:rFonts w:ascii="Cambria" w:eastAsia="Times New Roman" w:hAnsi="Cambria" w:cs="Times New Roman"/>
          <w:b/>
          <w:bCs/>
          <w:color w:val="222222"/>
          <w:sz w:val="20"/>
          <w:szCs w:val="20"/>
        </w:rPr>
      </w:pPr>
    </w:p>
    <w:p w14:paraId="01B2E2C4" w14:textId="0CECDE38" w:rsidR="00DE003E" w:rsidRPr="00097901" w:rsidRDefault="00947ED5" w:rsidP="00240776">
      <w:pPr>
        <w:spacing w:after="0" w:line="240" w:lineRule="auto"/>
        <w:jc w:val="both"/>
        <w:rPr>
          <w:rFonts w:ascii="Cambria" w:eastAsia="Times New Roman" w:hAnsi="Cambria" w:cs="Times New Roman"/>
          <w:b/>
          <w:bCs/>
          <w:color w:val="222222"/>
          <w:sz w:val="20"/>
          <w:szCs w:val="20"/>
        </w:rPr>
      </w:pPr>
      <w:r w:rsidRPr="00097901">
        <w:rPr>
          <w:rFonts w:ascii="Cambria" w:hAnsi="Cambria"/>
          <w:b/>
          <w:color w:val="222222"/>
          <w:sz w:val="20"/>
          <w:szCs w:val="20"/>
        </w:rPr>
        <w:t xml:space="preserve">Para Namibia: </w:t>
      </w:r>
    </w:p>
    <w:p w14:paraId="093B33BF" w14:textId="77777777" w:rsidR="00240776" w:rsidRPr="00097901" w:rsidRDefault="00240776" w:rsidP="00240776">
      <w:pPr>
        <w:spacing w:after="0" w:line="240" w:lineRule="auto"/>
        <w:jc w:val="both"/>
        <w:rPr>
          <w:rFonts w:ascii="Cambria" w:eastAsia="Times New Roman" w:hAnsi="Cambria" w:cs="Times New Roman"/>
          <w:b/>
          <w:bCs/>
          <w:color w:val="222222"/>
          <w:sz w:val="20"/>
          <w:szCs w:val="20"/>
        </w:rPr>
      </w:pPr>
    </w:p>
    <w:p w14:paraId="46B218BF" w14:textId="37663C59" w:rsidR="00DE003E" w:rsidRPr="00097901" w:rsidRDefault="00C06B4A" w:rsidP="00240776">
      <w:pPr>
        <w:spacing w:after="0" w:line="240" w:lineRule="auto"/>
        <w:jc w:val="both"/>
        <w:rPr>
          <w:rFonts w:ascii="Cambria" w:eastAsia="Times New Roman" w:hAnsi="Cambria" w:cs="Times New Roman"/>
          <w:color w:val="222222"/>
          <w:sz w:val="20"/>
          <w:szCs w:val="20"/>
        </w:rPr>
      </w:pPr>
      <w:r w:rsidRPr="00097901">
        <w:rPr>
          <w:rFonts w:ascii="Cambria" w:hAnsi="Cambria"/>
          <w:sz w:val="20"/>
          <w:szCs w:val="20"/>
        </w:rPr>
        <w:t xml:space="preserve">Namibia podría explicar cómo implementa y cumple con el límite de desembarque para el marrajo dientuso del Atlántico sur </w:t>
      </w:r>
      <w:r w:rsidR="00625808">
        <w:rPr>
          <w:rFonts w:ascii="Cambria" w:hAnsi="Cambria"/>
          <w:sz w:val="20"/>
          <w:szCs w:val="20"/>
        </w:rPr>
        <w:t>establecido en</w:t>
      </w:r>
      <w:r w:rsidRPr="00097901">
        <w:rPr>
          <w:rFonts w:ascii="Cambria" w:hAnsi="Cambria"/>
          <w:sz w:val="20"/>
          <w:szCs w:val="20"/>
        </w:rPr>
        <w:t xml:space="preserve"> la </w:t>
      </w:r>
      <w:hyperlink r:id="rId10" w:history="1">
        <w:r w:rsidRPr="00097901">
          <w:rPr>
            <w:rStyle w:val="Hyperlink"/>
            <w:rFonts w:ascii="Cambria" w:hAnsi="Cambria"/>
            <w:i/>
            <w:iCs/>
            <w:sz w:val="20"/>
            <w:szCs w:val="20"/>
            <w:u w:val="none"/>
          </w:rPr>
          <w:t>Recomendación de ICCAT sobre la conservación del stock de marrajo dientuso del Atlántico sur capturado en asociación con pesquerías de ICCAT</w:t>
        </w:r>
        <w:r w:rsidRPr="00097901">
          <w:rPr>
            <w:rStyle w:val="Hyperlink"/>
            <w:rFonts w:ascii="Cambria" w:hAnsi="Cambria"/>
            <w:sz w:val="20"/>
            <w:szCs w:val="20"/>
            <w:u w:val="none"/>
          </w:rPr>
          <w:t xml:space="preserve"> (Rec. 22-11)</w:t>
        </w:r>
      </w:hyperlink>
      <w:r w:rsidRPr="00097901">
        <w:rPr>
          <w:rFonts w:ascii="Cambria" w:hAnsi="Cambria"/>
          <w:color w:val="222222"/>
          <w:sz w:val="20"/>
          <w:szCs w:val="20"/>
        </w:rPr>
        <w:t xml:space="preserve">, teniendo en cuenta su exceso en los desembarques notificados para 2023. </w:t>
      </w:r>
    </w:p>
    <w:bookmarkEnd w:id="2"/>
    <w:p w14:paraId="396C4349" w14:textId="77777777" w:rsidR="00DE003E" w:rsidRPr="00097901" w:rsidRDefault="00DE003E" w:rsidP="00240776">
      <w:pPr>
        <w:spacing w:after="0" w:line="240" w:lineRule="auto"/>
        <w:jc w:val="both"/>
        <w:rPr>
          <w:rFonts w:ascii="Cambria" w:eastAsia="Times New Roman" w:hAnsi="Cambria" w:cs="Times New Roman"/>
          <w:color w:val="222222"/>
          <w:sz w:val="20"/>
          <w:szCs w:val="20"/>
        </w:rPr>
      </w:pPr>
    </w:p>
    <w:p w14:paraId="7B4E1DC6" w14:textId="77777777" w:rsidR="002A61B7" w:rsidRPr="00097901" w:rsidRDefault="002A61B7" w:rsidP="00240776">
      <w:pPr>
        <w:spacing w:after="0" w:line="240" w:lineRule="auto"/>
        <w:jc w:val="both"/>
        <w:rPr>
          <w:rFonts w:ascii="Cambria" w:eastAsia="Times New Roman" w:hAnsi="Cambria" w:cs="Times New Roman"/>
          <w:b/>
          <w:bCs/>
          <w:color w:val="222222"/>
          <w:sz w:val="20"/>
          <w:szCs w:val="20"/>
        </w:rPr>
      </w:pPr>
      <w:bookmarkStart w:id="3" w:name="_Hlk181566323"/>
    </w:p>
    <w:p w14:paraId="73320ECD" w14:textId="01783321" w:rsidR="00947ED5" w:rsidRPr="00097901" w:rsidRDefault="00947ED5" w:rsidP="00240776">
      <w:pPr>
        <w:spacing w:after="0" w:line="240" w:lineRule="auto"/>
        <w:jc w:val="both"/>
        <w:rPr>
          <w:rFonts w:ascii="Cambria" w:eastAsia="Times New Roman" w:hAnsi="Cambria" w:cs="Times New Roman"/>
          <w:b/>
          <w:bCs/>
          <w:color w:val="222222"/>
          <w:sz w:val="20"/>
          <w:szCs w:val="20"/>
        </w:rPr>
      </w:pPr>
      <w:r w:rsidRPr="00097901">
        <w:rPr>
          <w:rFonts w:ascii="Cambria" w:hAnsi="Cambria"/>
          <w:b/>
          <w:color w:val="222222"/>
          <w:sz w:val="20"/>
          <w:szCs w:val="20"/>
        </w:rPr>
        <w:t>Para Senegal:</w:t>
      </w:r>
    </w:p>
    <w:p w14:paraId="0878B51B" w14:textId="77777777" w:rsidR="00240776" w:rsidRPr="00097901" w:rsidRDefault="00240776" w:rsidP="00240776">
      <w:pPr>
        <w:spacing w:after="0" w:line="240" w:lineRule="auto"/>
        <w:jc w:val="both"/>
        <w:rPr>
          <w:rFonts w:ascii="Cambria" w:eastAsia="Times New Roman" w:hAnsi="Cambria" w:cs="Times New Roman"/>
          <w:b/>
          <w:bCs/>
          <w:color w:val="222222"/>
          <w:sz w:val="20"/>
          <w:szCs w:val="20"/>
        </w:rPr>
      </w:pPr>
    </w:p>
    <w:bookmarkEnd w:id="3"/>
    <w:p w14:paraId="5ECDFF06" w14:textId="7B820EB4" w:rsidR="00E20958" w:rsidRPr="00097901" w:rsidRDefault="00C06B4A" w:rsidP="00240776">
      <w:pPr>
        <w:spacing w:after="0" w:line="240" w:lineRule="auto"/>
        <w:jc w:val="both"/>
        <w:rPr>
          <w:rFonts w:ascii="Cambria" w:eastAsia="Times New Roman" w:hAnsi="Cambria" w:cs="Times New Roman"/>
          <w:color w:val="222222"/>
          <w:sz w:val="20"/>
          <w:szCs w:val="20"/>
        </w:rPr>
      </w:pPr>
      <w:r w:rsidRPr="00097901">
        <w:rPr>
          <w:rFonts w:ascii="Cambria" w:hAnsi="Cambria"/>
          <w:color w:val="222222"/>
          <w:sz w:val="20"/>
          <w:szCs w:val="20"/>
        </w:rPr>
        <w:t xml:space="preserve">Senegal podría explicar cómo aplica el límite de </w:t>
      </w:r>
      <w:r w:rsidR="003477A9">
        <w:rPr>
          <w:rFonts w:ascii="Cambria" w:hAnsi="Cambria"/>
          <w:color w:val="222222"/>
          <w:sz w:val="20"/>
          <w:szCs w:val="20"/>
        </w:rPr>
        <w:t>tamaño</w:t>
      </w:r>
      <w:r w:rsidRPr="00097901">
        <w:rPr>
          <w:rFonts w:ascii="Cambria" w:hAnsi="Cambria"/>
          <w:color w:val="222222"/>
          <w:sz w:val="20"/>
          <w:szCs w:val="20"/>
        </w:rPr>
        <w:t xml:space="preserve"> para </w:t>
      </w:r>
      <w:r w:rsidR="003477A9">
        <w:rPr>
          <w:rFonts w:ascii="Cambria" w:hAnsi="Cambria"/>
          <w:color w:val="222222"/>
          <w:sz w:val="20"/>
          <w:szCs w:val="20"/>
        </w:rPr>
        <w:t xml:space="preserve">la inscripción </w:t>
      </w:r>
      <w:r w:rsidRPr="00097901">
        <w:rPr>
          <w:rFonts w:ascii="Cambria" w:hAnsi="Cambria"/>
          <w:color w:val="222222"/>
          <w:sz w:val="20"/>
          <w:szCs w:val="20"/>
        </w:rPr>
        <w:t>en el Registro de buques autorizados de la ICCAT para sus piraguas.</w:t>
      </w:r>
    </w:p>
    <w:sectPr w:rsidR="00E20958" w:rsidRPr="00097901" w:rsidSect="00127313">
      <w:headerReference w:type="default" r:id="rId11"/>
      <w:footerReference w:type="default" r:id="rId12"/>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6409" w14:textId="77777777" w:rsidR="00624DB8" w:rsidRDefault="00624DB8" w:rsidP="00175D7F">
      <w:pPr>
        <w:spacing w:after="0" w:line="240" w:lineRule="auto"/>
      </w:pPr>
      <w:r>
        <w:separator/>
      </w:r>
    </w:p>
  </w:endnote>
  <w:endnote w:type="continuationSeparator" w:id="0">
    <w:p w14:paraId="49254199" w14:textId="77777777" w:rsidR="00624DB8" w:rsidRDefault="00624DB8" w:rsidP="0017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F59F" w14:textId="3B631932" w:rsidR="00DF5B9A" w:rsidRPr="00DF5B9A" w:rsidRDefault="00DF5B9A" w:rsidP="00DF5B9A">
    <w:pPr>
      <w:tabs>
        <w:tab w:val="center" w:pos="4535"/>
        <w:tab w:val="center" w:pos="4680"/>
        <w:tab w:val="left" w:pos="6150"/>
        <w:tab w:val="right" w:pos="9360"/>
      </w:tabs>
      <w:spacing w:after="0" w:line="240" w:lineRule="auto"/>
      <w:jc w:val="center"/>
      <w:rPr>
        <w:rFonts w:ascii="Cambria" w:hAnsi="Cambria"/>
        <w:sz w:val="20"/>
      </w:rPr>
    </w:pPr>
    <w:r w:rsidRPr="00DF5B9A">
      <w:rPr>
        <w:rFonts w:ascii="Cambria" w:eastAsia="Calibri" w:hAnsi="Cambria" w:cs="Calibri"/>
        <w:sz w:val="20"/>
      </w:rPr>
      <w:fldChar w:fldCharType="begin"/>
    </w:r>
    <w:r w:rsidRPr="00DF5B9A">
      <w:rPr>
        <w:rFonts w:ascii="Cambria" w:eastAsia="Calibri" w:hAnsi="Cambria" w:cs="Calibri"/>
        <w:sz w:val="20"/>
      </w:rPr>
      <w:instrText xml:space="preserve"> PAGE </w:instrText>
    </w:r>
    <w:r w:rsidRPr="00DF5B9A">
      <w:rPr>
        <w:rFonts w:ascii="Cambria" w:eastAsia="Calibri" w:hAnsi="Cambria" w:cs="Calibri"/>
        <w:sz w:val="20"/>
      </w:rPr>
      <w:fldChar w:fldCharType="separate"/>
    </w:r>
    <w:r w:rsidRPr="00DF5B9A">
      <w:rPr>
        <w:rFonts w:ascii="Cambria" w:eastAsia="Calibri" w:hAnsi="Cambria" w:cs="Calibri"/>
        <w:sz w:val="20"/>
      </w:rPr>
      <w:t>1</w:t>
    </w:r>
    <w:r w:rsidRPr="00DF5B9A">
      <w:rPr>
        <w:rFonts w:ascii="Cambria" w:eastAsia="Calibri" w:hAnsi="Cambria" w:cs="Calibri"/>
        <w:sz w:val="20"/>
      </w:rPr>
      <w:fldChar w:fldCharType="end"/>
    </w:r>
    <w:r>
      <w:rPr>
        <w:rFonts w:ascii="Cambria" w:hAnsi="Cambria"/>
        <w:sz w:val="20"/>
      </w:rPr>
      <w:t xml:space="preserve"> / </w:t>
    </w:r>
    <w:r w:rsidRPr="00DF5B9A">
      <w:rPr>
        <w:rFonts w:ascii="Cambria" w:eastAsia="Calibri" w:hAnsi="Cambria" w:cs="Calibri"/>
        <w:sz w:val="20"/>
      </w:rPr>
      <w:fldChar w:fldCharType="begin"/>
    </w:r>
    <w:r w:rsidRPr="00DF5B9A">
      <w:rPr>
        <w:rFonts w:ascii="Cambria" w:eastAsia="Calibri" w:hAnsi="Cambria" w:cs="Calibri"/>
        <w:sz w:val="20"/>
      </w:rPr>
      <w:instrText xml:space="preserve"> NUMPAGES  </w:instrText>
    </w:r>
    <w:r w:rsidRPr="00DF5B9A">
      <w:rPr>
        <w:rFonts w:ascii="Cambria" w:eastAsia="Calibri" w:hAnsi="Cambria" w:cs="Calibri"/>
        <w:sz w:val="20"/>
      </w:rPr>
      <w:fldChar w:fldCharType="separate"/>
    </w:r>
    <w:r w:rsidRPr="00DF5B9A">
      <w:rPr>
        <w:rFonts w:ascii="Cambria" w:eastAsia="Calibri" w:hAnsi="Cambria" w:cs="Calibri"/>
        <w:sz w:val="20"/>
      </w:rPr>
      <w:t>8</w:t>
    </w:r>
    <w:r w:rsidRPr="00DF5B9A">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06CEB" w14:textId="77777777" w:rsidR="00624DB8" w:rsidRDefault="00624DB8" w:rsidP="00175D7F">
      <w:pPr>
        <w:spacing w:after="0" w:line="240" w:lineRule="auto"/>
      </w:pPr>
      <w:r>
        <w:separator/>
      </w:r>
    </w:p>
  </w:footnote>
  <w:footnote w:type="continuationSeparator" w:id="0">
    <w:p w14:paraId="6D4E1410" w14:textId="77777777" w:rsidR="00624DB8" w:rsidRDefault="00624DB8" w:rsidP="00175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5A4B" w14:textId="5D6E3C48" w:rsidR="00175D7F" w:rsidRPr="00793F38" w:rsidRDefault="00175D7F" w:rsidP="00175D7F">
    <w:pPr>
      <w:tabs>
        <w:tab w:val="center" w:pos="4680"/>
        <w:tab w:val="left" w:pos="6520"/>
        <w:tab w:val="right" w:pos="9360"/>
        <w:tab w:val="right" w:pos="14240"/>
      </w:tabs>
      <w:spacing w:after="0" w:line="240" w:lineRule="atLeast"/>
      <w:jc w:val="right"/>
      <w:rPr>
        <w:rFonts w:ascii="Cambria" w:eastAsia="Calibri" w:hAnsi="Cambria"/>
        <w:b/>
        <w:bCs/>
        <w:sz w:val="20"/>
        <w:szCs w:val="20"/>
      </w:rPr>
    </w:pPr>
    <w:bookmarkStart w:id="4" w:name="_Hlk107908354"/>
    <w:bookmarkStart w:id="5" w:name="_Hlk107908355"/>
    <w:bookmarkStart w:id="6" w:name="_Hlk107908359"/>
    <w:bookmarkStart w:id="7" w:name="_Hlk107908360"/>
    <w:bookmarkStart w:id="8" w:name="_Hlk107908361"/>
    <w:bookmarkStart w:id="9" w:name="_Hlk107908362"/>
    <w:r>
      <w:rPr>
        <w:rFonts w:ascii="Cambria" w:hAnsi="Cambria"/>
        <w:b/>
        <w:sz w:val="20"/>
      </w:rPr>
      <w:t>COC_306/2025</w:t>
    </w:r>
  </w:p>
  <w:p w14:paraId="09F66D9A" w14:textId="57B52B6C" w:rsidR="00175D7F" w:rsidRDefault="00175D7F" w:rsidP="00127313">
    <w:pPr>
      <w:tabs>
        <w:tab w:val="left" w:pos="7320"/>
      </w:tabs>
      <w:spacing w:after="0" w:line="240" w:lineRule="atLeast"/>
      <w:jc w:val="right"/>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C9132F">
      <w:rPr>
        <w:rFonts w:ascii="Cambria" w:hAnsi="Cambria"/>
        <w:b/>
        <w:noProof/>
        <w:sz w:val="16"/>
      </w:rPr>
      <w:t>06/11/2025 11:19</w:t>
    </w:r>
    <w:r w:rsidRPr="00793F38">
      <w:rPr>
        <w:rFonts w:ascii="Cambria" w:hAnsi="Cambria"/>
        <w:b/>
        <w:bCs/>
        <w:sz w:val="16"/>
        <w:szCs w:val="16"/>
        <w:lang w:val="es-ES_tradnl"/>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233"/>
    <w:multiLevelType w:val="hybridMultilevel"/>
    <w:tmpl w:val="B446629A"/>
    <w:lvl w:ilvl="0" w:tplc="5C6067C6">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36AF5"/>
    <w:multiLevelType w:val="hybridMultilevel"/>
    <w:tmpl w:val="4BAA0768"/>
    <w:lvl w:ilvl="0" w:tplc="750CDDEC">
      <w:start w:val="4"/>
      <w:numFmt w:val="bullet"/>
      <w:lvlText w:val="•"/>
      <w:lvlJc w:val="left"/>
      <w:pPr>
        <w:ind w:left="1800" w:hanging="360"/>
      </w:pPr>
      <w:rPr>
        <w:rFonts w:ascii="Cambria" w:eastAsia="Times New Roman" w:hAnsi="Cambri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1D4918"/>
    <w:multiLevelType w:val="hybridMultilevel"/>
    <w:tmpl w:val="E0A00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00452CE"/>
    <w:multiLevelType w:val="hybridMultilevel"/>
    <w:tmpl w:val="E75C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F20C3"/>
    <w:multiLevelType w:val="hybridMultilevel"/>
    <w:tmpl w:val="D51E6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FA03C93"/>
    <w:multiLevelType w:val="hybridMultilevel"/>
    <w:tmpl w:val="F128287A"/>
    <w:lvl w:ilvl="0" w:tplc="127C66D8">
      <w:start w:val="1"/>
      <w:numFmt w:val="lowerLetter"/>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D79024C"/>
    <w:multiLevelType w:val="hybridMultilevel"/>
    <w:tmpl w:val="43BE4F3A"/>
    <w:lvl w:ilvl="0" w:tplc="D1846EA6">
      <w:start w:val="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4E7D0F"/>
    <w:multiLevelType w:val="hybridMultilevel"/>
    <w:tmpl w:val="1082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128403">
    <w:abstractNumId w:val="3"/>
  </w:num>
  <w:num w:numId="2" w16cid:durableId="674965872">
    <w:abstractNumId w:val="7"/>
  </w:num>
  <w:num w:numId="3" w16cid:durableId="1484351839">
    <w:abstractNumId w:val="0"/>
  </w:num>
  <w:num w:numId="4" w16cid:durableId="40134449">
    <w:abstractNumId w:val="2"/>
  </w:num>
  <w:num w:numId="5" w16cid:durableId="2135907501">
    <w:abstractNumId w:val="4"/>
  </w:num>
  <w:num w:numId="6" w16cid:durableId="1096828244">
    <w:abstractNumId w:val="6"/>
  </w:num>
  <w:num w:numId="7" w16cid:durableId="391930410">
    <w:abstractNumId w:val="1"/>
  </w:num>
  <w:num w:numId="8" w16cid:durableId="1564872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66"/>
    <w:rsid w:val="0000295C"/>
    <w:rsid w:val="00042A6C"/>
    <w:rsid w:val="00052C5C"/>
    <w:rsid w:val="00057E6C"/>
    <w:rsid w:val="0009706F"/>
    <w:rsid w:val="00097901"/>
    <w:rsid w:val="00111966"/>
    <w:rsid w:val="001219A7"/>
    <w:rsid w:val="00127313"/>
    <w:rsid w:val="0015420E"/>
    <w:rsid w:val="00174C34"/>
    <w:rsid w:val="00175D7F"/>
    <w:rsid w:val="001E04D8"/>
    <w:rsid w:val="001E53C4"/>
    <w:rsid w:val="00240776"/>
    <w:rsid w:val="002A61B7"/>
    <w:rsid w:val="002B6294"/>
    <w:rsid w:val="002C47A2"/>
    <w:rsid w:val="002D127C"/>
    <w:rsid w:val="003361CA"/>
    <w:rsid w:val="003477A9"/>
    <w:rsid w:val="00393234"/>
    <w:rsid w:val="003F4F07"/>
    <w:rsid w:val="00402366"/>
    <w:rsid w:val="005015B5"/>
    <w:rsid w:val="005022AD"/>
    <w:rsid w:val="00525166"/>
    <w:rsid w:val="00531E1E"/>
    <w:rsid w:val="005656B1"/>
    <w:rsid w:val="00584D32"/>
    <w:rsid w:val="005B34B1"/>
    <w:rsid w:val="005B606A"/>
    <w:rsid w:val="00624DB8"/>
    <w:rsid w:val="00625808"/>
    <w:rsid w:val="00700797"/>
    <w:rsid w:val="00714F1F"/>
    <w:rsid w:val="00731C3C"/>
    <w:rsid w:val="007D2D8B"/>
    <w:rsid w:val="007E0A5C"/>
    <w:rsid w:val="008115E9"/>
    <w:rsid w:val="00892CE8"/>
    <w:rsid w:val="008F1D17"/>
    <w:rsid w:val="008F55CF"/>
    <w:rsid w:val="00917F84"/>
    <w:rsid w:val="00943A0D"/>
    <w:rsid w:val="00947ED5"/>
    <w:rsid w:val="00973FA6"/>
    <w:rsid w:val="00981032"/>
    <w:rsid w:val="00A134AB"/>
    <w:rsid w:val="00AA1B7D"/>
    <w:rsid w:val="00AA26BE"/>
    <w:rsid w:val="00AB4002"/>
    <w:rsid w:val="00B2393A"/>
    <w:rsid w:val="00B3619B"/>
    <w:rsid w:val="00C06B4A"/>
    <w:rsid w:val="00C219D2"/>
    <w:rsid w:val="00C81EF8"/>
    <w:rsid w:val="00C82B4C"/>
    <w:rsid w:val="00C878F0"/>
    <w:rsid w:val="00C9132F"/>
    <w:rsid w:val="00CD4F3A"/>
    <w:rsid w:val="00CF29AE"/>
    <w:rsid w:val="00D90DE0"/>
    <w:rsid w:val="00DD55BA"/>
    <w:rsid w:val="00DE003E"/>
    <w:rsid w:val="00DE1680"/>
    <w:rsid w:val="00DF5B9A"/>
    <w:rsid w:val="00E03688"/>
    <w:rsid w:val="00E20958"/>
    <w:rsid w:val="00E32B50"/>
    <w:rsid w:val="00E423B0"/>
    <w:rsid w:val="00E5422B"/>
    <w:rsid w:val="00E56ADD"/>
    <w:rsid w:val="00E56BA4"/>
    <w:rsid w:val="00F271F6"/>
    <w:rsid w:val="00F30CA1"/>
    <w:rsid w:val="00F52805"/>
    <w:rsid w:val="00F6799F"/>
    <w:rsid w:val="00F913C4"/>
    <w:rsid w:val="00F977BE"/>
    <w:rsid w:val="00FA4697"/>
    <w:rsid w:val="00FA6ED5"/>
    <w:rsid w:val="00FE5D8D"/>
    <w:rsid w:val="00FF7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40C1A"/>
  <w15:chartTrackingRefBased/>
  <w15:docId w15:val="{A8F5B87C-F64F-48F0-800E-EC80817B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4F07"/>
    <w:pPr>
      <w:spacing w:after="0" w:line="240" w:lineRule="auto"/>
    </w:pPr>
    <w:rPr>
      <w:rFonts w:ascii="Calibri" w:eastAsia="Yu Gothic" w:hAnsi="Calibri" w:cs="Times New Roman"/>
      <w:szCs w:val="21"/>
      <w14:ligatures w14:val="none"/>
    </w:rPr>
  </w:style>
  <w:style w:type="character" w:customStyle="1" w:styleId="PlainTextChar">
    <w:name w:val="Plain Text Char"/>
    <w:basedOn w:val="DefaultParagraphFont"/>
    <w:link w:val="PlainText"/>
    <w:uiPriority w:val="99"/>
    <w:rsid w:val="003F4F07"/>
    <w:rPr>
      <w:rFonts w:ascii="Calibri" w:eastAsia="Yu Gothic" w:hAnsi="Calibri" w:cs="Times New Roman"/>
      <w:szCs w:val="21"/>
      <w14:ligatures w14:val="none"/>
    </w:rPr>
  </w:style>
  <w:style w:type="character" w:styleId="Hyperlink">
    <w:name w:val="Hyperlink"/>
    <w:basedOn w:val="DefaultParagraphFont"/>
    <w:uiPriority w:val="99"/>
    <w:unhideWhenUsed/>
    <w:rsid w:val="00175D7F"/>
    <w:rPr>
      <w:color w:val="0563C1" w:themeColor="hyperlink"/>
      <w:u w:val="single"/>
    </w:rPr>
  </w:style>
  <w:style w:type="character" w:styleId="UnresolvedMention">
    <w:name w:val="Unresolved Mention"/>
    <w:basedOn w:val="DefaultParagraphFont"/>
    <w:uiPriority w:val="99"/>
    <w:semiHidden/>
    <w:unhideWhenUsed/>
    <w:rsid w:val="00175D7F"/>
    <w:rPr>
      <w:color w:val="605E5C"/>
      <w:shd w:val="clear" w:color="auto" w:fill="E1DFDD"/>
    </w:rPr>
  </w:style>
  <w:style w:type="paragraph" w:styleId="Header">
    <w:name w:val="header"/>
    <w:basedOn w:val="Normal"/>
    <w:link w:val="HeaderChar"/>
    <w:uiPriority w:val="99"/>
    <w:unhideWhenUsed/>
    <w:rsid w:val="00175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D7F"/>
  </w:style>
  <w:style w:type="paragraph" w:styleId="Footer">
    <w:name w:val="footer"/>
    <w:basedOn w:val="Normal"/>
    <w:link w:val="FooterChar"/>
    <w:uiPriority w:val="99"/>
    <w:unhideWhenUsed/>
    <w:rsid w:val="00175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D7F"/>
  </w:style>
  <w:style w:type="paragraph" w:styleId="ListParagraph">
    <w:name w:val="List Paragraph"/>
    <w:basedOn w:val="Normal"/>
    <w:uiPriority w:val="34"/>
    <w:qFormat/>
    <w:rsid w:val="00947ED5"/>
    <w:pPr>
      <w:ind w:left="720"/>
      <w:contextualSpacing/>
    </w:pPr>
  </w:style>
  <w:style w:type="paragraph" w:styleId="Revision">
    <w:name w:val="Revision"/>
    <w:hidden/>
    <w:uiPriority w:val="99"/>
    <w:semiHidden/>
    <w:rsid w:val="003932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68719">
      <w:bodyDiv w:val="1"/>
      <w:marLeft w:val="0"/>
      <w:marRight w:val="0"/>
      <w:marTop w:val="0"/>
      <w:marBottom w:val="0"/>
      <w:divBdr>
        <w:top w:val="none" w:sz="0" w:space="0" w:color="auto"/>
        <w:left w:val="none" w:sz="0" w:space="0" w:color="auto"/>
        <w:bottom w:val="none" w:sz="0" w:space="0" w:color="auto"/>
        <w:right w:val="none" w:sz="0" w:space="0" w:color="auto"/>
      </w:divBdr>
    </w:div>
    <w:div w:id="163596895">
      <w:bodyDiv w:val="1"/>
      <w:marLeft w:val="0"/>
      <w:marRight w:val="0"/>
      <w:marTop w:val="0"/>
      <w:marBottom w:val="0"/>
      <w:divBdr>
        <w:top w:val="none" w:sz="0" w:space="0" w:color="auto"/>
        <w:left w:val="none" w:sz="0" w:space="0" w:color="auto"/>
        <w:bottom w:val="none" w:sz="0" w:space="0" w:color="auto"/>
        <w:right w:val="none" w:sz="0" w:space="0" w:color="auto"/>
      </w:divBdr>
    </w:div>
    <w:div w:id="219175078">
      <w:bodyDiv w:val="1"/>
      <w:marLeft w:val="0"/>
      <w:marRight w:val="0"/>
      <w:marTop w:val="0"/>
      <w:marBottom w:val="0"/>
      <w:divBdr>
        <w:top w:val="none" w:sz="0" w:space="0" w:color="auto"/>
        <w:left w:val="none" w:sz="0" w:space="0" w:color="auto"/>
        <w:bottom w:val="none" w:sz="0" w:space="0" w:color="auto"/>
        <w:right w:val="none" w:sz="0" w:space="0" w:color="auto"/>
      </w:divBdr>
    </w:div>
    <w:div w:id="259995246">
      <w:bodyDiv w:val="1"/>
      <w:marLeft w:val="0"/>
      <w:marRight w:val="0"/>
      <w:marTop w:val="0"/>
      <w:marBottom w:val="0"/>
      <w:divBdr>
        <w:top w:val="none" w:sz="0" w:space="0" w:color="auto"/>
        <w:left w:val="none" w:sz="0" w:space="0" w:color="auto"/>
        <w:bottom w:val="none" w:sz="0" w:space="0" w:color="auto"/>
        <w:right w:val="none" w:sz="0" w:space="0" w:color="auto"/>
      </w:divBdr>
    </w:div>
    <w:div w:id="282930820">
      <w:bodyDiv w:val="1"/>
      <w:marLeft w:val="0"/>
      <w:marRight w:val="0"/>
      <w:marTop w:val="0"/>
      <w:marBottom w:val="0"/>
      <w:divBdr>
        <w:top w:val="none" w:sz="0" w:space="0" w:color="auto"/>
        <w:left w:val="none" w:sz="0" w:space="0" w:color="auto"/>
        <w:bottom w:val="none" w:sz="0" w:space="0" w:color="auto"/>
        <w:right w:val="none" w:sz="0" w:space="0" w:color="auto"/>
      </w:divBdr>
    </w:div>
    <w:div w:id="652565026">
      <w:bodyDiv w:val="1"/>
      <w:marLeft w:val="0"/>
      <w:marRight w:val="0"/>
      <w:marTop w:val="0"/>
      <w:marBottom w:val="0"/>
      <w:divBdr>
        <w:top w:val="none" w:sz="0" w:space="0" w:color="auto"/>
        <w:left w:val="none" w:sz="0" w:space="0" w:color="auto"/>
        <w:bottom w:val="none" w:sz="0" w:space="0" w:color="auto"/>
        <w:right w:val="none" w:sz="0" w:space="0" w:color="auto"/>
      </w:divBdr>
    </w:div>
    <w:div w:id="690031905">
      <w:bodyDiv w:val="1"/>
      <w:marLeft w:val="0"/>
      <w:marRight w:val="0"/>
      <w:marTop w:val="0"/>
      <w:marBottom w:val="0"/>
      <w:divBdr>
        <w:top w:val="none" w:sz="0" w:space="0" w:color="auto"/>
        <w:left w:val="none" w:sz="0" w:space="0" w:color="auto"/>
        <w:bottom w:val="none" w:sz="0" w:space="0" w:color="auto"/>
        <w:right w:val="none" w:sz="0" w:space="0" w:color="auto"/>
      </w:divBdr>
    </w:div>
    <w:div w:id="741488059">
      <w:bodyDiv w:val="1"/>
      <w:marLeft w:val="0"/>
      <w:marRight w:val="0"/>
      <w:marTop w:val="0"/>
      <w:marBottom w:val="0"/>
      <w:divBdr>
        <w:top w:val="none" w:sz="0" w:space="0" w:color="auto"/>
        <w:left w:val="none" w:sz="0" w:space="0" w:color="auto"/>
        <w:bottom w:val="none" w:sz="0" w:space="0" w:color="auto"/>
        <w:right w:val="none" w:sz="0" w:space="0" w:color="auto"/>
      </w:divBdr>
    </w:div>
    <w:div w:id="845249358">
      <w:bodyDiv w:val="1"/>
      <w:marLeft w:val="0"/>
      <w:marRight w:val="0"/>
      <w:marTop w:val="0"/>
      <w:marBottom w:val="0"/>
      <w:divBdr>
        <w:top w:val="none" w:sz="0" w:space="0" w:color="auto"/>
        <w:left w:val="none" w:sz="0" w:space="0" w:color="auto"/>
        <w:bottom w:val="none" w:sz="0" w:space="0" w:color="auto"/>
        <w:right w:val="none" w:sz="0" w:space="0" w:color="auto"/>
      </w:divBdr>
    </w:div>
    <w:div w:id="1178350934">
      <w:bodyDiv w:val="1"/>
      <w:marLeft w:val="0"/>
      <w:marRight w:val="0"/>
      <w:marTop w:val="0"/>
      <w:marBottom w:val="0"/>
      <w:divBdr>
        <w:top w:val="none" w:sz="0" w:space="0" w:color="auto"/>
        <w:left w:val="none" w:sz="0" w:space="0" w:color="auto"/>
        <w:bottom w:val="none" w:sz="0" w:space="0" w:color="auto"/>
        <w:right w:val="none" w:sz="0" w:space="0" w:color="auto"/>
      </w:divBdr>
    </w:div>
    <w:div w:id="1509558222">
      <w:bodyDiv w:val="1"/>
      <w:marLeft w:val="0"/>
      <w:marRight w:val="0"/>
      <w:marTop w:val="0"/>
      <w:marBottom w:val="0"/>
      <w:divBdr>
        <w:top w:val="none" w:sz="0" w:space="0" w:color="auto"/>
        <w:left w:val="none" w:sz="0" w:space="0" w:color="auto"/>
        <w:bottom w:val="none" w:sz="0" w:space="0" w:color="auto"/>
        <w:right w:val="none" w:sz="0" w:space="0" w:color="auto"/>
      </w:divBdr>
    </w:div>
    <w:div w:id="1549609263">
      <w:bodyDiv w:val="1"/>
      <w:marLeft w:val="0"/>
      <w:marRight w:val="0"/>
      <w:marTop w:val="0"/>
      <w:marBottom w:val="0"/>
      <w:divBdr>
        <w:top w:val="none" w:sz="0" w:space="0" w:color="auto"/>
        <w:left w:val="none" w:sz="0" w:space="0" w:color="auto"/>
        <w:bottom w:val="none" w:sz="0" w:space="0" w:color="auto"/>
        <w:right w:val="none" w:sz="0" w:space="0" w:color="auto"/>
      </w:divBdr>
    </w:div>
    <w:div w:id="1603996841">
      <w:bodyDiv w:val="1"/>
      <w:marLeft w:val="0"/>
      <w:marRight w:val="0"/>
      <w:marTop w:val="0"/>
      <w:marBottom w:val="0"/>
      <w:divBdr>
        <w:top w:val="none" w:sz="0" w:space="0" w:color="auto"/>
        <w:left w:val="none" w:sz="0" w:space="0" w:color="auto"/>
        <w:bottom w:val="none" w:sz="0" w:space="0" w:color="auto"/>
        <w:right w:val="none" w:sz="0" w:space="0" w:color="auto"/>
      </w:divBdr>
    </w:div>
    <w:div w:id="1691754822">
      <w:bodyDiv w:val="1"/>
      <w:marLeft w:val="0"/>
      <w:marRight w:val="0"/>
      <w:marTop w:val="0"/>
      <w:marBottom w:val="0"/>
      <w:divBdr>
        <w:top w:val="none" w:sz="0" w:space="0" w:color="auto"/>
        <w:left w:val="none" w:sz="0" w:space="0" w:color="auto"/>
        <w:bottom w:val="none" w:sz="0" w:space="0" w:color="auto"/>
        <w:right w:val="none" w:sz="0" w:space="0" w:color="auto"/>
      </w:divBdr>
    </w:div>
    <w:div w:id="2072460128">
      <w:bodyDiv w:val="1"/>
      <w:marLeft w:val="0"/>
      <w:marRight w:val="0"/>
      <w:marTop w:val="0"/>
      <w:marBottom w:val="0"/>
      <w:divBdr>
        <w:top w:val="none" w:sz="0" w:space="0" w:color="auto"/>
        <w:left w:val="none" w:sz="0" w:space="0" w:color="auto"/>
        <w:bottom w:val="none" w:sz="0" w:space="0" w:color="auto"/>
        <w:right w:val="none" w:sz="0" w:space="0" w:color="auto"/>
      </w:divBdr>
    </w:div>
    <w:div w:id="211959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gg.gov.mr/sites/default/files/2020-11/J.O%201414%20F%20du%2015.06.2018.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cat.int/Documents/Recs/compendiopdf-s/2017-01-s.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ccat.int/Documents/Recs/compendiopdf-s/2022-11-s.pdf" TargetMode="External"/><Relationship Id="rId4" Type="http://schemas.openxmlformats.org/officeDocument/2006/relationships/webSettings" Target="webSettings.xml"/><Relationship Id="rId9" Type="http://schemas.openxmlformats.org/officeDocument/2006/relationships/hyperlink" Target="https://www.iccat.int/Documents/Recs/compendiopdf-s/2010-07-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María José García</cp:lastModifiedBy>
  <cp:revision>2</cp:revision>
  <dcterms:created xsi:type="dcterms:W3CDTF">2025-11-06T10:34:00Z</dcterms:created>
  <dcterms:modified xsi:type="dcterms:W3CDTF">2025-11-06T10:34:00Z</dcterms:modified>
</cp:coreProperties>
</file>