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F7906D" w14:textId="77777777" w:rsidR="009A0416" w:rsidRPr="009A0416" w:rsidRDefault="009A0416" w:rsidP="00240776">
      <w:pPr>
        <w:spacing w:after="0" w:line="240" w:lineRule="auto"/>
        <w:jc w:val="right"/>
        <w:rPr>
          <w:rFonts w:ascii="Cambria" w:hAnsi="Cambria" w:cstheme="majorHAnsi"/>
          <w:b/>
          <w:bCs/>
          <w:sz w:val="20"/>
          <w:szCs w:val="20"/>
        </w:rPr>
      </w:pPr>
    </w:p>
    <w:p w14:paraId="67F014A0" w14:textId="6C34F8B2" w:rsidR="00175D7F" w:rsidRPr="006E557D" w:rsidRDefault="00175D7F" w:rsidP="00240776">
      <w:pPr>
        <w:spacing w:after="0" w:line="240" w:lineRule="auto"/>
        <w:jc w:val="right"/>
        <w:rPr>
          <w:rFonts w:ascii="Cambria" w:hAnsi="Cambria" w:cstheme="majorHAnsi"/>
          <w:b/>
          <w:bCs/>
          <w:sz w:val="20"/>
          <w:szCs w:val="20"/>
        </w:rPr>
      </w:pPr>
      <w:r w:rsidRPr="006E557D">
        <w:rPr>
          <w:rFonts w:ascii="Cambria" w:hAnsi="Cambria" w:cstheme="majorHAnsi"/>
          <w:b/>
          <w:bCs/>
          <w:sz w:val="20"/>
          <w:szCs w:val="20"/>
        </w:rPr>
        <w:t>Original :</w:t>
      </w:r>
      <w:r w:rsidRPr="006E557D">
        <w:rPr>
          <w:rFonts w:ascii="Cambria" w:hAnsi="Cambria" w:cstheme="majorHAnsi"/>
          <w:b/>
          <w:sz w:val="20"/>
          <w:szCs w:val="20"/>
        </w:rPr>
        <w:t xml:space="preserve"> </w:t>
      </w:r>
      <w:r w:rsidRPr="006E557D">
        <w:rPr>
          <w:rFonts w:ascii="Cambria" w:hAnsi="Cambria" w:cstheme="majorHAnsi"/>
          <w:b/>
          <w:bCs/>
          <w:sz w:val="20"/>
          <w:szCs w:val="20"/>
        </w:rPr>
        <w:t>anglais</w:t>
      </w:r>
      <w:r w:rsidR="009971BC" w:rsidRPr="006E557D">
        <w:rPr>
          <w:rFonts w:ascii="Cambria" w:hAnsi="Cambria" w:cstheme="majorHAnsi"/>
          <w:b/>
          <w:bCs/>
          <w:sz w:val="20"/>
          <w:szCs w:val="20"/>
        </w:rPr>
        <w:t>/espagnol</w:t>
      </w:r>
      <w:r w:rsidR="005C24EA" w:rsidRPr="006E557D">
        <w:rPr>
          <w:rFonts w:ascii="Cambria" w:hAnsi="Cambria" w:cstheme="majorHAnsi"/>
          <w:b/>
          <w:bCs/>
          <w:sz w:val="20"/>
          <w:szCs w:val="20"/>
        </w:rPr>
        <w:t>/français</w:t>
      </w:r>
    </w:p>
    <w:p w14:paraId="3D7D0A72" w14:textId="77777777" w:rsidR="009971BC" w:rsidRPr="006E557D" w:rsidRDefault="009971BC" w:rsidP="00240776">
      <w:pPr>
        <w:spacing w:after="0" w:line="240" w:lineRule="auto"/>
        <w:jc w:val="right"/>
        <w:rPr>
          <w:rFonts w:ascii="Cambria" w:hAnsi="Cambria" w:cstheme="majorHAnsi"/>
          <w:b/>
          <w:bCs/>
          <w:sz w:val="20"/>
          <w:szCs w:val="20"/>
        </w:rPr>
      </w:pPr>
    </w:p>
    <w:p w14:paraId="738EED15" w14:textId="7A5EF442" w:rsidR="00402366" w:rsidRPr="006E557D" w:rsidRDefault="00127313" w:rsidP="00240776">
      <w:pPr>
        <w:spacing w:after="0" w:line="240" w:lineRule="auto"/>
        <w:jc w:val="center"/>
        <w:rPr>
          <w:rFonts w:ascii="Cambria" w:hAnsi="Cambria" w:cstheme="majorHAnsi"/>
          <w:b/>
          <w:bCs/>
          <w:sz w:val="20"/>
          <w:szCs w:val="20"/>
        </w:rPr>
      </w:pPr>
      <w:r w:rsidRPr="006E557D">
        <w:rPr>
          <w:rFonts w:ascii="Cambria" w:hAnsi="Cambria" w:cstheme="majorHAnsi"/>
          <w:b/>
          <w:sz w:val="20"/>
          <w:szCs w:val="20"/>
        </w:rPr>
        <w:t>Questions et réponses des CPC sur des questions d’application</w:t>
      </w:r>
    </w:p>
    <w:p w14:paraId="7066F5BE" w14:textId="61C0A802" w:rsidR="005B606A" w:rsidRPr="006E557D" w:rsidRDefault="00CF3C8F" w:rsidP="00240776">
      <w:pPr>
        <w:spacing w:after="0" w:line="240" w:lineRule="auto"/>
        <w:jc w:val="center"/>
        <w:rPr>
          <w:rFonts w:ascii="Cambria" w:hAnsi="Cambria" w:cstheme="majorHAnsi"/>
          <w:i/>
          <w:iCs/>
          <w:sz w:val="20"/>
          <w:szCs w:val="20"/>
        </w:rPr>
      </w:pPr>
      <w:r w:rsidRPr="006E557D">
        <w:rPr>
          <w:rFonts w:ascii="Cambria" w:hAnsi="Cambria" w:cstheme="majorHAnsi"/>
          <w:i/>
          <w:sz w:val="20"/>
          <w:szCs w:val="20"/>
        </w:rPr>
        <w:t>(</w:t>
      </w:r>
      <w:r w:rsidR="005B606A" w:rsidRPr="006E557D">
        <w:rPr>
          <w:rFonts w:ascii="Cambria" w:hAnsi="Cambria" w:cstheme="majorHAnsi"/>
          <w:i/>
          <w:sz w:val="20"/>
          <w:szCs w:val="20"/>
        </w:rPr>
        <w:t>Secrétariat de l’ICCAT</w:t>
      </w:r>
      <w:r w:rsidRPr="006E557D">
        <w:rPr>
          <w:rFonts w:ascii="Cambria" w:hAnsi="Cambria" w:cstheme="majorHAnsi"/>
          <w:i/>
          <w:sz w:val="20"/>
          <w:szCs w:val="20"/>
        </w:rPr>
        <w:t>)</w:t>
      </w:r>
    </w:p>
    <w:p w14:paraId="286BB45F" w14:textId="77777777" w:rsidR="003F4F07" w:rsidRPr="006E557D" w:rsidRDefault="003F4F07" w:rsidP="00240776">
      <w:pPr>
        <w:pStyle w:val="PlainText"/>
        <w:jc w:val="both"/>
        <w:rPr>
          <w:rFonts w:ascii="Cambria" w:hAnsi="Cambria" w:cstheme="majorHAnsi"/>
          <w:sz w:val="20"/>
          <w:szCs w:val="20"/>
        </w:rPr>
      </w:pPr>
    </w:p>
    <w:p w14:paraId="5D19C30D" w14:textId="33B04BFA" w:rsidR="00C06B4A" w:rsidRPr="006E557D" w:rsidRDefault="00C06B4A" w:rsidP="00240776">
      <w:pPr>
        <w:pStyle w:val="PlainText"/>
        <w:jc w:val="both"/>
        <w:rPr>
          <w:rFonts w:ascii="Cambria" w:hAnsi="Cambria" w:cstheme="majorHAnsi"/>
          <w:sz w:val="20"/>
          <w:szCs w:val="20"/>
        </w:rPr>
      </w:pPr>
      <w:r w:rsidRPr="006E557D">
        <w:rPr>
          <w:rFonts w:ascii="Cambria" w:hAnsi="Cambria" w:cstheme="majorHAnsi"/>
          <w:sz w:val="20"/>
          <w:szCs w:val="20"/>
        </w:rPr>
        <w:t xml:space="preserve">Par voie de </w:t>
      </w:r>
      <w:r w:rsidR="00175379" w:rsidRPr="006E557D">
        <w:rPr>
          <w:rFonts w:ascii="Cambria" w:hAnsi="Cambria" w:cstheme="majorHAnsi"/>
          <w:sz w:val="20"/>
          <w:szCs w:val="20"/>
        </w:rPr>
        <w:t>c</w:t>
      </w:r>
      <w:r w:rsidRPr="006E557D">
        <w:rPr>
          <w:rFonts w:ascii="Cambria" w:hAnsi="Cambria" w:cstheme="majorHAnsi"/>
          <w:sz w:val="20"/>
          <w:szCs w:val="20"/>
        </w:rPr>
        <w:t>irculaire ICCAT nº10017/2025, du 8 octobre 2025, les CPC ont été invitées à soumettre des questions aux autres CPC en ce qui concerne d’éventuels problèmes d’application.</w:t>
      </w:r>
    </w:p>
    <w:p w14:paraId="0922E85B" w14:textId="77777777" w:rsidR="00C06B4A" w:rsidRPr="006E557D" w:rsidRDefault="00C06B4A" w:rsidP="00240776">
      <w:pPr>
        <w:pStyle w:val="PlainText"/>
        <w:jc w:val="both"/>
        <w:rPr>
          <w:rFonts w:ascii="Cambria" w:hAnsi="Cambria" w:cstheme="majorHAnsi"/>
          <w:sz w:val="20"/>
          <w:szCs w:val="20"/>
        </w:rPr>
      </w:pPr>
    </w:p>
    <w:p w14:paraId="405CB8B1" w14:textId="60C3E744" w:rsidR="00C06B4A" w:rsidRPr="006E557D" w:rsidRDefault="00C06B4A" w:rsidP="00240776">
      <w:pPr>
        <w:pStyle w:val="PlainText"/>
        <w:jc w:val="both"/>
        <w:rPr>
          <w:rFonts w:ascii="Cambria" w:hAnsi="Cambria" w:cstheme="majorHAnsi"/>
          <w:sz w:val="20"/>
          <w:szCs w:val="20"/>
        </w:rPr>
      </w:pPr>
      <w:r w:rsidRPr="006E557D">
        <w:rPr>
          <w:rFonts w:ascii="Cambria" w:hAnsi="Cambria" w:cstheme="majorHAnsi"/>
          <w:sz w:val="20"/>
          <w:szCs w:val="20"/>
        </w:rPr>
        <w:t>Le Secrétariat a reçu des questions et des commentaires de l'Union européenne et du Japon. Dans la mesure du possible, ces questions ont été envoyées à l’avance aux CPC concernées et les réponses reçues à ce jour sont incluses ici, le cas échéant. Compte tenu du laps de temps disponible pour préparer les réponses, les CPC qui n’ont pas été en mesure de soumettre une réponse par écrit avant la réunion pourront répondre oralement ou par écrit, lors de, ou avant, la réunion du Comité d’application (COC).</w:t>
      </w:r>
    </w:p>
    <w:p w14:paraId="691322C0" w14:textId="77777777" w:rsidR="00C06B4A" w:rsidRPr="006E557D" w:rsidRDefault="00C06B4A" w:rsidP="00240776">
      <w:pPr>
        <w:pStyle w:val="PlainText"/>
        <w:jc w:val="both"/>
        <w:rPr>
          <w:rFonts w:ascii="Cambria" w:hAnsi="Cambria" w:cstheme="majorHAnsi"/>
          <w:sz w:val="20"/>
          <w:szCs w:val="20"/>
        </w:rPr>
      </w:pPr>
    </w:p>
    <w:p w14:paraId="1F7D9534" w14:textId="03369992" w:rsidR="00DE003E" w:rsidRPr="006E557D" w:rsidRDefault="00DE003E" w:rsidP="00240776">
      <w:pPr>
        <w:spacing w:after="0" w:line="240" w:lineRule="auto"/>
        <w:jc w:val="both"/>
        <w:rPr>
          <w:rFonts w:ascii="Cambria" w:eastAsia="Times New Roman" w:hAnsi="Cambria" w:cstheme="majorHAnsi"/>
          <w:b/>
          <w:sz w:val="20"/>
          <w:szCs w:val="20"/>
        </w:rPr>
      </w:pPr>
      <w:bookmarkStart w:id="0" w:name="_Hlk181564720"/>
      <w:r w:rsidRPr="006E557D">
        <w:rPr>
          <w:rFonts w:ascii="Cambria" w:hAnsi="Cambria" w:cstheme="majorHAnsi"/>
          <w:b/>
          <w:sz w:val="20"/>
          <w:szCs w:val="20"/>
        </w:rPr>
        <w:t>À l’attention de l’Algérie</w:t>
      </w:r>
      <w:r w:rsidR="00BC7964" w:rsidRPr="006E557D">
        <w:rPr>
          <w:rFonts w:ascii="Cambria" w:hAnsi="Cambria" w:cstheme="majorHAnsi"/>
          <w:b/>
          <w:sz w:val="20"/>
          <w:szCs w:val="20"/>
        </w:rPr>
        <w:t> :</w:t>
      </w:r>
    </w:p>
    <w:p w14:paraId="63FD7D87" w14:textId="77777777" w:rsidR="00240776" w:rsidRPr="006E557D" w:rsidRDefault="00240776" w:rsidP="00240776">
      <w:pPr>
        <w:spacing w:after="0" w:line="240" w:lineRule="auto"/>
        <w:jc w:val="both"/>
        <w:rPr>
          <w:rFonts w:ascii="Cambria" w:eastAsia="Times New Roman" w:hAnsi="Cambria" w:cstheme="majorHAnsi"/>
          <w:b/>
          <w:sz w:val="20"/>
          <w:szCs w:val="20"/>
        </w:rPr>
      </w:pPr>
    </w:p>
    <w:bookmarkEnd w:id="0"/>
    <w:p w14:paraId="751ED80C" w14:textId="2E5B7760" w:rsidR="00C06B4A" w:rsidRPr="006E557D" w:rsidRDefault="00C06B4A" w:rsidP="00240776">
      <w:pPr>
        <w:spacing w:after="0" w:line="240" w:lineRule="auto"/>
        <w:jc w:val="both"/>
        <w:rPr>
          <w:rFonts w:ascii="Cambria" w:eastAsia="Times New Roman" w:hAnsi="Cambria" w:cstheme="majorHAnsi"/>
          <w:bCs/>
          <w:sz w:val="20"/>
          <w:szCs w:val="20"/>
        </w:rPr>
      </w:pPr>
      <w:r w:rsidRPr="006E557D">
        <w:rPr>
          <w:rFonts w:ascii="Cambria" w:hAnsi="Cambria" w:cstheme="majorHAnsi"/>
          <w:sz w:val="20"/>
          <w:szCs w:val="20"/>
        </w:rPr>
        <w:t>En 2009, le COC a reconnu que des navires de pêche algériens avaient capturé 820 t de thon rouge de l'Atlantique sans autorisation appropriée et que le poisson avait été transféré dans des fermes en Tunisie et à Malte sans BCD validés. En 2010, lors d</w:t>
      </w:r>
      <w:r w:rsidR="001770F1" w:rsidRPr="006E557D">
        <w:rPr>
          <w:rFonts w:ascii="Cambria" w:hAnsi="Cambria" w:cstheme="majorHAnsi"/>
          <w:sz w:val="20"/>
          <w:szCs w:val="20"/>
        </w:rPr>
        <w:t xml:space="preserve">e la réunion du </w:t>
      </w:r>
      <w:r w:rsidRPr="006E557D">
        <w:rPr>
          <w:rFonts w:ascii="Cambria" w:hAnsi="Cambria" w:cstheme="majorHAnsi"/>
          <w:sz w:val="20"/>
          <w:szCs w:val="20"/>
        </w:rPr>
        <w:t xml:space="preserve">COC, Malte et la Tunisie ont indiqué que les poissons transférés avaient été libérés des cages. Lors de cette réunion, l'Algérie a indiqué que des procédures judiciaires concernant les navires algériens étaient en cours devant les tribunaux algériens. L'Algérie a également indiqué que tous les détails seraient communiqués au COC une fois l'enquête terminée. </w:t>
      </w:r>
    </w:p>
    <w:p w14:paraId="0DED296B" w14:textId="77777777" w:rsidR="00240776" w:rsidRPr="006E557D" w:rsidRDefault="00240776" w:rsidP="00240776">
      <w:pPr>
        <w:spacing w:after="0" w:line="240" w:lineRule="auto"/>
        <w:jc w:val="both"/>
        <w:rPr>
          <w:rFonts w:ascii="Cambria" w:eastAsia="Times New Roman" w:hAnsi="Cambria" w:cstheme="majorHAnsi"/>
          <w:bCs/>
          <w:sz w:val="20"/>
          <w:szCs w:val="20"/>
        </w:rPr>
      </w:pPr>
    </w:p>
    <w:p w14:paraId="439A901C" w14:textId="1FB146A9" w:rsidR="00947ED5" w:rsidRPr="006E557D" w:rsidRDefault="00C06B4A" w:rsidP="00240776">
      <w:pPr>
        <w:spacing w:after="0" w:line="240" w:lineRule="auto"/>
        <w:jc w:val="both"/>
        <w:rPr>
          <w:rFonts w:ascii="Cambria" w:eastAsia="Times New Roman" w:hAnsi="Cambria" w:cstheme="majorHAnsi"/>
          <w:bCs/>
          <w:sz w:val="20"/>
          <w:szCs w:val="20"/>
        </w:rPr>
      </w:pPr>
      <w:r w:rsidRPr="006E557D">
        <w:rPr>
          <w:rFonts w:ascii="Cambria" w:hAnsi="Cambria" w:cstheme="majorHAnsi"/>
          <w:sz w:val="20"/>
          <w:szCs w:val="20"/>
        </w:rPr>
        <w:t xml:space="preserve">Selon les rapports des réunions précédentes, l'Algérie a exprimé son intention de présenter les résultats jusqu'à la réunion annuelle de 2011. Par la suite, toutefois, les rapports de réunion de l’ICCAT ne font plus état de cette question. Le Japon comprend </w:t>
      </w:r>
      <w:r w:rsidR="0013065B" w:rsidRPr="006E557D">
        <w:rPr>
          <w:rFonts w:ascii="Cambria" w:hAnsi="Cambria" w:cstheme="majorHAnsi"/>
          <w:sz w:val="20"/>
          <w:szCs w:val="20"/>
        </w:rPr>
        <w:t xml:space="preserve">donc </w:t>
      </w:r>
      <w:r w:rsidRPr="006E557D">
        <w:rPr>
          <w:rFonts w:ascii="Cambria" w:hAnsi="Cambria" w:cstheme="majorHAnsi"/>
          <w:sz w:val="20"/>
          <w:szCs w:val="20"/>
        </w:rPr>
        <w:t>que l’ICCAT n'a pas reçu les résultats de l'enquête de l'Algérie.</w:t>
      </w:r>
    </w:p>
    <w:p w14:paraId="761C0EBC" w14:textId="77777777" w:rsidR="00C06B4A" w:rsidRPr="006E557D" w:rsidRDefault="00C06B4A" w:rsidP="00240776">
      <w:pPr>
        <w:spacing w:after="0" w:line="240" w:lineRule="auto"/>
        <w:jc w:val="both"/>
        <w:rPr>
          <w:rFonts w:ascii="Cambria" w:eastAsia="Times New Roman" w:hAnsi="Cambria" w:cstheme="majorHAnsi"/>
          <w:sz w:val="20"/>
          <w:szCs w:val="20"/>
        </w:rPr>
      </w:pPr>
    </w:p>
    <w:p w14:paraId="0689F542" w14:textId="46A39AC8" w:rsidR="00433AC9" w:rsidRPr="006E557D" w:rsidRDefault="001805CE" w:rsidP="00433AC9">
      <w:pPr>
        <w:spacing w:after="0" w:line="240" w:lineRule="auto"/>
        <w:jc w:val="both"/>
        <w:rPr>
          <w:rFonts w:ascii="Cambria" w:eastAsia="Times New Roman" w:hAnsi="Cambria" w:cs="Times New Roman"/>
          <w:color w:val="222222"/>
          <w:sz w:val="20"/>
          <w:szCs w:val="20"/>
          <w:u w:val="single"/>
        </w:rPr>
      </w:pPr>
      <w:r w:rsidRPr="006E557D">
        <w:rPr>
          <w:rFonts w:ascii="Cambria" w:hAnsi="Cambria"/>
          <w:b/>
          <w:i/>
          <w:iCs/>
          <w:color w:val="222222"/>
          <w:sz w:val="20"/>
          <w:u w:val="single"/>
        </w:rPr>
        <w:t>Réponse</w:t>
      </w:r>
      <w:r w:rsidR="00433AC9" w:rsidRPr="006E557D">
        <w:rPr>
          <w:rFonts w:ascii="Cambria" w:hAnsi="Cambria"/>
          <w:b/>
          <w:i/>
          <w:iCs/>
          <w:color w:val="222222"/>
          <w:sz w:val="20"/>
          <w:u w:val="single"/>
        </w:rPr>
        <w:t> </w:t>
      </w:r>
      <w:r w:rsidR="00433AC9" w:rsidRPr="006E557D">
        <w:rPr>
          <w:rFonts w:ascii="Cambria" w:hAnsi="Cambria"/>
          <w:b/>
          <w:color w:val="222222"/>
          <w:sz w:val="20"/>
          <w:u w:val="single"/>
        </w:rPr>
        <w:t>:</w:t>
      </w:r>
      <w:r w:rsidR="00EA724B" w:rsidRPr="006E557D">
        <w:rPr>
          <w:rFonts w:ascii="Cambria" w:hAnsi="Cambria"/>
          <w:b/>
          <w:color w:val="222222"/>
          <w:sz w:val="20"/>
          <w:u w:val="single"/>
        </w:rPr>
        <w:t xml:space="preserve"> </w:t>
      </w:r>
      <w:r w:rsidR="00EA724B" w:rsidRPr="006E557D">
        <w:rPr>
          <w:rFonts w:ascii="Cambria" w:hAnsi="Cambria"/>
          <w:bCs/>
          <w:color w:val="222222"/>
          <w:sz w:val="20"/>
          <w:u w:val="single"/>
        </w:rPr>
        <w:t>L’</w:t>
      </w:r>
      <w:r w:rsidR="00433AC9" w:rsidRPr="006E557D">
        <w:rPr>
          <w:rFonts w:ascii="Cambria" w:eastAsia="Times New Roman" w:hAnsi="Cambria" w:cs="Times New Roman"/>
          <w:color w:val="222222"/>
          <w:sz w:val="20"/>
          <w:szCs w:val="20"/>
          <w:u w:val="single"/>
        </w:rPr>
        <w:t>Algérie remercie le Japon d’avoir soulevé cette question</w:t>
      </w:r>
      <w:r w:rsidR="00EA724B" w:rsidRPr="006E557D">
        <w:rPr>
          <w:rFonts w:ascii="Cambria" w:eastAsia="Times New Roman" w:hAnsi="Cambria" w:cs="Times New Roman"/>
          <w:color w:val="222222"/>
          <w:sz w:val="20"/>
          <w:szCs w:val="20"/>
          <w:u w:val="single"/>
        </w:rPr>
        <w:t xml:space="preserve"> et</w:t>
      </w:r>
      <w:r w:rsidR="00433AC9" w:rsidRPr="006E557D">
        <w:rPr>
          <w:rFonts w:ascii="Cambria" w:eastAsia="Times New Roman" w:hAnsi="Cambria" w:cs="Times New Roman"/>
          <w:color w:val="222222"/>
          <w:sz w:val="20"/>
          <w:szCs w:val="20"/>
          <w:u w:val="single"/>
        </w:rPr>
        <w:t xml:space="preserve"> souhaite apporter les éclaircissements suivants afin de démontrer que la situation évoquée ne saurait être considérée comme une non-application, mais </w:t>
      </w:r>
      <w:r w:rsidR="00EA724B" w:rsidRPr="006E557D">
        <w:rPr>
          <w:rFonts w:ascii="Cambria" w:eastAsia="Times New Roman" w:hAnsi="Cambria" w:cs="Times New Roman"/>
          <w:color w:val="222222"/>
          <w:sz w:val="20"/>
          <w:szCs w:val="20"/>
          <w:u w:val="single"/>
        </w:rPr>
        <w:t xml:space="preserve">qu’elle </w:t>
      </w:r>
      <w:r w:rsidR="00433AC9" w:rsidRPr="006E557D">
        <w:rPr>
          <w:rFonts w:ascii="Cambria" w:eastAsia="Times New Roman" w:hAnsi="Cambria" w:cs="Times New Roman"/>
          <w:color w:val="222222"/>
          <w:sz w:val="20"/>
          <w:szCs w:val="20"/>
          <w:u w:val="single"/>
        </w:rPr>
        <w:t>relève d'un processus exhaustif et juridiquement clos.</w:t>
      </w:r>
    </w:p>
    <w:p w14:paraId="775C8C32" w14:textId="77777777" w:rsidR="00EA724B" w:rsidRPr="006E557D" w:rsidRDefault="00EA724B" w:rsidP="00433AC9">
      <w:pPr>
        <w:spacing w:after="0" w:line="240" w:lineRule="auto"/>
        <w:jc w:val="both"/>
        <w:rPr>
          <w:rFonts w:ascii="Cambria" w:hAnsi="Cambria"/>
          <w:b/>
          <w:color w:val="222222"/>
          <w:sz w:val="20"/>
          <w:u w:val="single"/>
        </w:rPr>
      </w:pPr>
    </w:p>
    <w:p w14:paraId="75929634" w14:textId="77777777" w:rsidR="00433AC9" w:rsidRPr="006E557D" w:rsidRDefault="00433AC9" w:rsidP="00433AC9">
      <w:pPr>
        <w:spacing w:after="0" w:line="240" w:lineRule="auto"/>
        <w:contextualSpacing/>
        <w:jc w:val="both"/>
        <w:rPr>
          <w:rFonts w:ascii="Cambria" w:eastAsia="Times New Roman" w:hAnsi="Cambria" w:cs="Times New Roman"/>
          <w:color w:val="222222"/>
          <w:sz w:val="20"/>
          <w:szCs w:val="20"/>
          <w:u w:val="single"/>
        </w:rPr>
      </w:pPr>
      <w:r w:rsidRPr="006E557D">
        <w:rPr>
          <w:rFonts w:ascii="Cambria" w:eastAsia="Times New Roman" w:hAnsi="Cambria" w:cs="Times New Roman"/>
          <w:color w:val="222222"/>
          <w:sz w:val="20"/>
          <w:szCs w:val="20"/>
          <w:u w:val="single"/>
        </w:rPr>
        <w:t>Contexte historique et suivi par l’Algérie :</w:t>
      </w:r>
    </w:p>
    <w:p w14:paraId="2D9A837A" w14:textId="77777777" w:rsidR="00EC115E" w:rsidRPr="006E557D" w:rsidRDefault="00EC115E" w:rsidP="00433AC9">
      <w:pPr>
        <w:spacing w:after="0" w:line="240" w:lineRule="auto"/>
        <w:contextualSpacing/>
        <w:jc w:val="both"/>
        <w:rPr>
          <w:rFonts w:ascii="Cambria" w:eastAsia="Times New Roman" w:hAnsi="Cambria" w:cs="Times New Roman"/>
          <w:color w:val="222222"/>
          <w:sz w:val="20"/>
          <w:szCs w:val="20"/>
          <w:u w:val="single"/>
        </w:rPr>
      </w:pPr>
    </w:p>
    <w:p w14:paraId="13992FB2" w14:textId="77777777" w:rsidR="00433AC9" w:rsidRPr="006E557D" w:rsidRDefault="00433AC9" w:rsidP="00EC115E">
      <w:pPr>
        <w:numPr>
          <w:ilvl w:val="0"/>
          <w:numId w:val="8"/>
        </w:numPr>
        <w:tabs>
          <w:tab w:val="clear" w:pos="720"/>
        </w:tabs>
        <w:spacing w:after="0" w:line="240" w:lineRule="auto"/>
        <w:ind w:left="851" w:hanging="425"/>
        <w:contextualSpacing/>
        <w:jc w:val="both"/>
        <w:rPr>
          <w:rFonts w:ascii="Cambria" w:eastAsia="Times New Roman" w:hAnsi="Cambria" w:cs="Times New Roman"/>
          <w:color w:val="222222"/>
          <w:sz w:val="20"/>
          <w:szCs w:val="20"/>
          <w:u w:val="single"/>
        </w:rPr>
      </w:pPr>
      <w:r w:rsidRPr="006E557D">
        <w:rPr>
          <w:rFonts w:ascii="Cambria" w:eastAsia="Times New Roman" w:hAnsi="Cambria" w:cs="Times New Roman"/>
          <w:color w:val="222222"/>
          <w:sz w:val="20"/>
          <w:szCs w:val="20"/>
          <w:u w:val="single"/>
        </w:rPr>
        <w:t>Conformément à ses obligations de transparence, l’Algérie a informé le Comité dès 2009 de l'ouverture d'une enquête judiciaire nationale concernant cette affaire.</w:t>
      </w:r>
    </w:p>
    <w:p w14:paraId="76C77B3B" w14:textId="77777777" w:rsidR="00433AC9" w:rsidRPr="006E557D" w:rsidRDefault="00433AC9" w:rsidP="00EC115E">
      <w:pPr>
        <w:numPr>
          <w:ilvl w:val="0"/>
          <w:numId w:val="8"/>
        </w:numPr>
        <w:tabs>
          <w:tab w:val="clear" w:pos="720"/>
        </w:tabs>
        <w:spacing w:after="0" w:line="240" w:lineRule="auto"/>
        <w:ind w:left="851" w:hanging="425"/>
        <w:contextualSpacing/>
        <w:jc w:val="both"/>
        <w:rPr>
          <w:rFonts w:ascii="Cambria" w:eastAsia="Times New Roman" w:hAnsi="Cambria" w:cs="Times New Roman"/>
          <w:color w:val="222222"/>
          <w:sz w:val="20"/>
          <w:szCs w:val="20"/>
          <w:u w:val="single"/>
        </w:rPr>
      </w:pPr>
      <w:r w:rsidRPr="006E557D">
        <w:rPr>
          <w:rFonts w:ascii="Cambria" w:eastAsia="Times New Roman" w:hAnsi="Cambria" w:cs="Times New Roman"/>
          <w:color w:val="222222"/>
          <w:sz w:val="20"/>
          <w:szCs w:val="20"/>
          <w:u w:val="single"/>
        </w:rPr>
        <w:t>En 2010, l’Algérie a émis une réserve formelle concernant le paragraphe 8 de la Recommandation 10-04.</w:t>
      </w:r>
    </w:p>
    <w:p w14:paraId="5DCF6FC8" w14:textId="77777777" w:rsidR="00433AC9" w:rsidRPr="006E557D" w:rsidRDefault="00433AC9" w:rsidP="00EC115E">
      <w:pPr>
        <w:numPr>
          <w:ilvl w:val="0"/>
          <w:numId w:val="8"/>
        </w:numPr>
        <w:tabs>
          <w:tab w:val="clear" w:pos="720"/>
        </w:tabs>
        <w:spacing w:after="0" w:line="240" w:lineRule="auto"/>
        <w:ind w:left="851" w:hanging="425"/>
        <w:contextualSpacing/>
        <w:jc w:val="both"/>
        <w:rPr>
          <w:rFonts w:ascii="Cambria" w:eastAsia="Times New Roman" w:hAnsi="Cambria" w:cs="Times New Roman"/>
          <w:color w:val="222222"/>
          <w:sz w:val="20"/>
          <w:szCs w:val="20"/>
          <w:u w:val="single"/>
        </w:rPr>
      </w:pPr>
      <w:r w:rsidRPr="006E557D">
        <w:rPr>
          <w:rFonts w:ascii="Cambria" w:eastAsia="Times New Roman" w:hAnsi="Cambria" w:cs="Times New Roman"/>
          <w:color w:val="222222"/>
          <w:sz w:val="20"/>
          <w:szCs w:val="20"/>
          <w:u w:val="single"/>
        </w:rPr>
        <w:t>Dans ses déclarations d'ouverture en 2011 et 2012, l’Algérie a invoqué l'Article VIII de la Convention pour formuler une objection de fond quant à la procédure d'adoption de la Recommandation 10-04, déplorant qu'une décision affectant sa quote-part ait été prise en absence de sa délégation technique et sans consultation préalable.</w:t>
      </w:r>
    </w:p>
    <w:p w14:paraId="7A00347A" w14:textId="77777777" w:rsidR="00433AC9" w:rsidRPr="006E557D" w:rsidRDefault="00433AC9" w:rsidP="00EC115E">
      <w:pPr>
        <w:numPr>
          <w:ilvl w:val="0"/>
          <w:numId w:val="8"/>
        </w:numPr>
        <w:tabs>
          <w:tab w:val="clear" w:pos="720"/>
        </w:tabs>
        <w:spacing w:after="0" w:line="240" w:lineRule="auto"/>
        <w:ind w:left="851" w:hanging="425"/>
        <w:contextualSpacing/>
        <w:jc w:val="both"/>
        <w:rPr>
          <w:rFonts w:ascii="Cambria" w:eastAsia="Times New Roman" w:hAnsi="Cambria" w:cs="Times New Roman"/>
          <w:color w:val="222222"/>
          <w:sz w:val="20"/>
          <w:szCs w:val="20"/>
          <w:u w:val="single"/>
        </w:rPr>
      </w:pPr>
      <w:r w:rsidRPr="006E557D">
        <w:rPr>
          <w:rFonts w:ascii="Cambria" w:eastAsia="Times New Roman" w:hAnsi="Cambria" w:cs="Times New Roman"/>
          <w:color w:val="222222"/>
          <w:sz w:val="20"/>
          <w:szCs w:val="20"/>
          <w:u w:val="single"/>
        </w:rPr>
        <w:t>La Recommandation 12-03 de 2012 est venue acter, en son paragraphe 10, que le rétablissement de la quote-part de l’Algérie serait examiné en priorité lors des futures révisions du TAC. Forte de cet engagement des instances de l'ICCAT, l’Algérie a alors considéré cette affaire comme close dans l'attente de ce rétablissement.</w:t>
      </w:r>
    </w:p>
    <w:p w14:paraId="74EA30F1" w14:textId="77777777" w:rsidR="00433AC9" w:rsidRPr="006E557D" w:rsidRDefault="00433AC9" w:rsidP="00EC115E">
      <w:pPr>
        <w:numPr>
          <w:ilvl w:val="0"/>
          <w:numId w:val="8"/>
        </w:numPr>
        <w:tabs>
          <w:tab w:val="clear" w:pos="720"/>
        </w:tabs>
        <w:spacing w:after="0" w:line="240" w:lineRule="auto"/>
        <w:ind w:left="851" w:hanging="425"/>
        <w:contextualSpacing/>
        <w:jc w:val="both"/>
        <w:rPr>
          <w:rFonts w:ascii="Cambria" w:eastAsia="Times New Roman" w:hAnsi="Cambria" w:cs="Times New Roman"/>
          <w:color w:val="222222"/>
          <w:sz w:val="20"/>
          <w:szCs w:val="20"/>
          <w:u w:val="single"/>
        </w:rPr>
      </w:pPr>
      <w:r w:rsidRPr="006E557D">
        <w:rPr>
          <w:rFonts w:ascii="Cambria" w:eastAsia="Times New Roman" w:hAnsi="Cambria" w:cs="Times New Roman"/>
          <w:color w:val="222222"/>
          <w:sz w:val="20"/>
          <w:szCs w:val="20"/>
          <w:u w:val="single"/>
        </w:rPr>
        <w:t>L'affaire judiciaire s'est conclue par un verdict définitif le 19 avril 2015 sous le numéro (2015/2868). À ce jour, ni le Comité d'application ni aucune Partie contractante n'ont sollicité d'informations concernant les conclusions de ce jugement.</w:t>
      </w:r>
    </w:p>
    <w:p w14:paraId="2F080E94" w14:textId="77777777" w:rsidR="00EC115E" w:rsidRPr="006E557D" w:rsidRDefault="00EC115E" w:rsidP="00433AC9">
      <w:pPr>
        <w:spacing w:after="0" w:line="240" w:lineRule="auto"/>
        <w:contextualSpacing/>
        <w:jc w:val="both"/>
        <w:rPr>
          <w:rFonts w:ascii="Cambria" w:eastAsia="Times New Roman" w:hAnsi="Cambria" w:cs="Times New Roman"/>
          <w:b/>
          <w:bCs/>
          <w:color w:val="222222"/>
          <w:sz w:val="20"/>
          <w:szCs w:val="20"/>
          <w:u w:val="single"/>
        </w:rPr>
      </w:pPr>
    </w:p>
    <w:p w14:paraId="57647ADF" w14:textId="1BB2A246" w:rsidR="00433AC9" w:rsidRPr="006E557D" w:rsidRDefault="00433AC9" w:rsidP="00433AC9">
      <w:pPr>
        <w:spacing w:after="0" w:line="240" w:lineRule="auto"/>
        <w:contextualSpacing/>
        <w:jc w:val="both"/>
        <w:rPr>
          <w:rFonts w:ascii="Cambria" w:eastAsia="Times New Roman" w:hAnsi="Cambria" w:cs="Times New Roman"/>
          <w:color w:val="222222"/>
          <w:sz w:val="20"/>
          <w:szCs w:val="20"/>
          <w:u w:val="single"/>
        </w:rPr>
      </w:pPr>
      <w:r w:rsidRPr="006E557D">
        <w:rPr>
          <w:rFonts w:ascii="Cambria" w:eastAsia="Times New Roman" w:hAnsi="Cambria" w:cs="Times New Roman"/>
          <w:color w:val="222222"/>
          <w:sz w:val="20"/>
          <w:szCs w:val="20"/>
          <w:u w:val="single"/>
        </w:rPr>
        <w:t>Présentation des faits et déroulement de l'affaire judiciaire :</w:t>
      </w:r>
    </w:p>
    <w:p w14:paraId="79C4A9AB" w14:textId="77777777" w:rsidR="00EC115E" w:rsidRPr="006E557D" w:rsidRDefault="00EC115E" w:rsidP="00433AC9">
      <w:pPr>
        <w:spacing w:after="0" w:line="240" w:lineRule="auto"/>
        <w:contextualSpacing/>
        <w:jc w:val="both"/>
        <w:rPr>
          <w:rFonts w:ascii="Cambria" w:eastAsia="Times New Roman" w:hAnsi="Cambria" w:cs="Times New Roman"/>
          <w:color w:val="222222"/>
          <w:sz w:val="20"/>
          <w:szCs w:val="20"/>
          <w:u w:val="single"/>
        </w:rPr>
      </w:pPr>
    </w:p>
    <w:p w14:paraId="44CA9773" w14:textId="6324119D" w:rsidR="00433AC9" w:rsidRPr="006E557D" w:rsidRDefault="00433AC9" w:rsidP="00433AC9">
      <w:pPr>
        <w:spacing w:after="0" w:line="240" w:lineRule="auto"/>
        <w:contextualSpacing/>
        <w:jc w:val="both"/>
        <w:rPr>
          <w:rFonts w:ascii="Cambria" w:eastAsia="Times New Roman" w:hAnsi="Cambria" w:cs="Times New Roman"/>
          <w:color w:val="222222"/>
          <w:sz w:val="20"/>
          <w:szCs w:val="20"/>
          <w:u w:val="single"/>
        </w:rPr>
      </w:pPr>
      <w:r w:rsidRPr="006E557D">
        <w:rPr>
          <w:rFonts w:ascii="Cambria" w:eastAsia="Times New Roman" w:hAnsi="Cambria" w:cs="Times New Roman"/>
          <w:color w:val="222222"/>
          <w:sz w:val="20"/>
          <w:szCs w:val="20"/>
          <w:u w:val="single"/>
        </w:rPr>
        <w:t>Cette affaire, initialement évoquée lors de la réunion annuelle de 2009 sur la base d'articles de presse, a fait l'objet d'un suivi judiciaire rigoureux.</w:t>
      </w:r>
    </w:p>
    <w:p w14:paraId="1811C743" w14:textId="77777777" w:rsidR="00EC115E" w:rsidRPr="006E557D" w:rsidRDefault="00EC115E" w:rsidP="00433AC9">
      <w:pPr>
        <w:spacing w:after="0" w:line="240" w:lineRule="auto"/>
        <w:contextualSpacing/>
        <w:jc w:val="both"/>
        <w:rPr>
          <w:rFonts w:ascii="Cambria" w:eastAsia="Times New Roman" w:hAnsi="Cambria" w:cs="Times New Roman"/>
          <w:color w:val="222222"/>
          <w:sz w:val="20"/>
          <w:szCs w:val="20"/>
        </w:rPr>
      </w:pPr>
    </w:p>
    <w:p w14:paraId="2B20F9D6" w14:textId="78478340" w:rsidR="00E12321" w:rsidRPr="006E557D" w:rsidRDefault="00433AC9" w:rsidP="00174E99">
      <w:pPr>
        <w:numPr>
          <w:ilvl w:val="0"/>
          <w:numId w:val="12"/>
        </w:numPr>
        <w:tabs>
          <w:tab w:val="clear" w:pos="720"/>
        </w:tabs>
        <w:spacing w:after="0" w:line="240" w:lineRule="auto"/>
        <w:ind w:left="851" w:hanging="425"/>
        <w:contextualSpacing/>
        <w:jc w:val="both"/>
        <w:rPr>
          <w:rFonts w:ascii="Cambria" w:eastAsia="Times New Roman" w:hAnsi="Cambria" w:cs="Times New Roman"/>
          <w:color w:val="222222"/>
          <w:sz w:val="20"/>
          <w:szCs w:val="20"/>
          <w:u w:val="single"/>
        </w:rPr>
      </w:pPr>
      <w:r w:rsidRPr="006E557D">
        <w:rPr>
          <w:rFonts w:ascii="Cambria" w:eastAsia="Times New Roman" w:hAnsi="Cambria" w:cs="Times New Roman"/>
          <w:i/>
          <w:iCs/>
          <w:color w:val="222222"/>
          <w:sz w:val="20"/>
          <w:szCs w:val="20"/>
          <w:u w:val="single"/>
        </w:rPr>
        <w:t>Contrôles et cadre réglementaire</w:t>
      </w:r>
      <w:r w:rsidRPr="006E557D">
        <w:rPr>
          <w:rFonts w:ascii="Cambria" w:eastAsia="Times New Roman" w:hAnsi="Cambria" w:cs="Times New Roman"/>
          <w:b/>
          <w:bCs/>
          <w:color w:val="222222"/>
          <w:sz w:val="20"/>
          <w:szCs w:val="20"/>
          <w:u w:val="single"/>
        </w:rPr>
        <w:t xml:space="preserve"> :</w:t>
      </w:r>
      <w:r w:rsidRPr="006E557D">
        <w:rPr>
          <w:rFonts w:ascii="Cambria" w:eastAsia="Times New Roman" w:hAnsi="Cambria" w:cs="Times New Roman"/>
          <w:color w:val="222222"/>
          <w:sz w:val="20"/>
          <w:szCs w:val="20"/>
          <w:u w:val="single"/>
        </w:rPr>
        <w:t> l’Algérie a toujours exercé un contrôle strict de ses activités de pêche via son personnel, ses garde-côtes et observateurs nationaux. Les navires concernés étaient dûment autorisés et équipés de systèmes de surveillance (VMS).</w:t>
      </w:r>
    </w:p>
    <w:p w14:paraId="6A832D7A" w14:textId="77777777" w:rsidR="00E12321" w:rsidRPr="006E557D" w:rsidRDefault="00E12321">
      <w:pPr>
        <w:rPr>
          <w:rFonts w:ascii="Cambria" w:eastAsia="Times New Roman" w:hAnsi="Cambria" w:cs="Times New Roman"/>
          <w:color w:val="222222"/>
          <w:sz w:val="20"/>
          <w:szCs w:val="20"/>
        </w:rPr>
      </w:pPr>
      <w:r w:rsidRPr="006E557D">
        <w:rPr>
          <w:rFonts w:ascii="Cambria" w:eastAsia="Times New Roman" w:hAnsi="Cambria" w:cs="Times New Roman"/>
          <w:color w:val="222222"/>
          <w:sz w:val="20"/>
          <w:szCs w:val="20"/>
        </w:rPr>
        <w:br w:type="page"/>
      </w:r>
    </w:p>
    <w:p w14:paraId="2B1D3F2A" w14:textId="77777777" w:rsidR="00433AC9" w:rsidRPr="006E557D" w:rsidRDefault="00433AC9" w:rsidP="00174E99">
      <w:pPr>
        <w:numPr>
          <w:ilvl w:val="0"/>
          <w:numId w:val="12"/>
        </w:numPr>
        <w:tabs>
          <w:tab w:val="clear" w:pos="720"/>
        </w:tabs>
        <w:spacing w:after="0" w:line="240" w:lineRule="auto"/>
        <w:ind w:left="851" w:hanging="425"/>
        <w:contextualSpacing/>
        <w:jc w:val="both"/>
        <w:rPr>
          <w:rFonts w:ascii="Cambria" w:eastAsia="Times New Roman" w:hAnsi="Cambria" w:cs="Times New Roman"/>
          <w:color w:val="222222"/>
          <w:sz w:val="20"/>
          <w:szCs w:val="20"/>
          <w:u w:val="single"/>
        </w:rPr>
      </w:pPr>
      <w:r w:rsidRPr="006E557D">
        <w:rPr>
          <w:rFonts w:ascii="Cambria" w:eastAsia="Times New Roman" w:hAnsi="Cambria" w:cs="Times New Roman"/>
          <w:i/>
          <w:iCs/>
          <w:color w:val="222222"/>
          <w:sz w:val="20"/>
          <w:szCs w:val="20"/>
          <w:u w:val="single"/>
        </w:rPr>
        <w:lastRenderedPageBreak/>
        <w:t>Interception et constatations</w:t>
      </w:r>
      <w:r w:rsidRPr="006E557D">
        <w:rPr>
          <w:rFonts w:ascii="Cambria" w:eastAsia="Times New Roman" w:hAnsi="Cambria" w:cs="Times New Roman"/>
          <w:color w:val="222222"/>
          <w:sz w:val="20"/>
          <w:szCs w:val="20"/>
          <w:u w:val="single"/>
        </w:rPr>
        <w:t xml:space="preserve"> : Le 12 juin 2009, les autorités algériennes ont intercepté deux senneurs algériens et trois navires battant pavillon turc dans les eaux territoriales algériennes. Les constatations ont révélé la présence de documents « notification préalable de transfert » dûment renseignés. Des observateurs nationaux étaient aussi présents à bord des senneurs algériens.</w:t>
      </w:r>
    </w:p>
    <w:p w14:paraId="50ABF26D" w14:textId="77777777" w:rsidR="0092563E" w:rsidRPr="006E557D" w:rsidRDefault="0092563E" w:rsidP="00433AC9">
      <w:pPr>
        <w:spacing w:after="0" w:line="240" w:lineRule="auto"/>
        <w:contextualSpacing/>
        <w:jc w:val="both"/>
        <w:rPr>
          <w:rFonts w:ascii="Cambria" w:eastAsia="Times New Roman" w:hAnsi="Cambria" w:cs="Times New Roman"/>
          <w:color w:val="222222"/>
          <w:sz w:val="20"/>
          <w:szCs w:val="20"/>
        </w:rPr>
      </w:pPr>
    </w:p>
    <w:p w14:paraId="1C0CFF7C" w14:textId="4428149F" w:rsidR="00433AC9" w:rsidRPr="006E557D" w:rsidRDefault="00433AC9" w:rsidP="00433AC9">
      <w:pPr>
        <w:spacing w:after="0" w:line="240" w:lineRule="auto"/>
        <w:contextualSpacing/>
        <w:jc w:val="both"/>
        <w:rPr>
          <w:rFonts w:ascii="Cambria" w:eastAsia="Times New Roman" w:hAnsi="Cambria" w:cs="Times New Roman"/>
          <w:color w:val="222222"/>
          <w:sz w:val="20"/>
          <w:szCs w:val="20"/>
          <w:u w:val="single"/>
        </w:rPr>
      </w:pPr>
      <w:r w:rsidRPr="006E557D">
        <w:rPr>
          <w:rFonts w:ascii="Cambria" w:eastAsia="Times New Roman" w:hAnsi="Cambria" w:cs="Times New Roman"/>
          <w:color w:val="222222"/>
          <w:sz w:val="20"/>
          <w:szCs w:val="20"/>
          <w:u w:val="single"/>
        </w:rPr>
        <w:t>Une cage de transport contenant du thon rouge vivant remorquée par un navire turc a été interceptée également.</w:t>
      </w:r>
    </w:p>
    <w:p w14:paraId="5F52D8AF" w14:textId="77777777" w:rsidR="00E12321" w:rsidRPr="006E557D" w:rsidRDefault="00E12321" w:rsidP="00433AC9">
      <w:pPr>
        <w:spacing w:after="0" w:line="240" w:lineRule="auto"/>
        <w:contextualSpacing/>
        <w:jc w:val="both"/>
        <w:rPr>
          <w:rFonts w:ascii="Cambria" w:eastAsia="Times New Roman" w:hAnsi="Cambria" w:cs="Times New Roman"/>
          <w:color w:val="222222"/>
          <w:sz w:val="20"/>
          <w:szCs w:val="20"/>
        </w:rPr>
      </w:pPr>
    </w:p>
    <w:p w14:paraId="39B1E7A1" w14:textId="77777777" w:rsidR="00433AC9" w:rsidRPr="006E557D" w:rsidRDefault="00433AC9" w:rsidP="00174E99">
      <w:pPr>
        <w:numPr>
          <w:ilvl w:val="0"/>
          <w:numId w:val="12"/>
        </w:numPr>
        <w:tabs>
          <w:tab w:val="clear" w:pos="720"/>
        </w:tabs>
        <w:spacing w:after="0" w:line="240" w:lineRule="auto"/>
        <w:ind w:left="851" w:hanging="425"/>
        <w:contextualSpacing/>
        <w:jc w:val="both"/>
        <w:rPr>
          <w:rFonts w:ascii="Cambria" w:eastAsia="Times New Roman" w:hAnsi="Cambria" w:cs="Times New Roman"/>
          <w:color w:val="222222"/>
          <w:sz w:val="20"/>
          <w:szCs w:val="20"/>
          <w:u w:val="single"/>
        </w:rPr>
      </w:pPr>
      <w:r w:rsidRPr="006E557D">
        <w:rPr>
          <w:rFonts w:ascii="Cambria" w:eastAsia="Times New Roman" w:hAnsi="Cambria" w:cs="Times New Roman"/>
          <w:i/>
          <w:iCs/>
          <w:color w:val="222222"/>
          <w:sz w:val="20"/>
          <w:szCs w:val="20"/>
          <w:u w:val="single"/>
        </w:rPr>
        <w:t>Procédure judiciaire</w:t>
      </w:r>
      <w:r w:rsidRPr="006E557D">
        <w:rPr>
          <w:rFonts w:ascii="Cambria" w:eastAsia="Times New Roman" w:hAnsi="Cambria" w:cs="Times New Roman"/>
          <w:b/>
          <w:bCs/>
          <w:color w:val="222222"/>
          <w:sz w:val="20"/>
          <w:szCs w:val="20"/>
          <w:u w:val="single"/>
        </w:rPr>
        <w:t xml:space="preserve"> :</w:t>
      </w:r>
      <w:r w:rsidRPr="006E557D">
        <w:rPr>
          <w:rFonts w:ascii="Cambria" w:eastAsia="Times New Roman" w:hAnsi="Cambria" w:cs="Times New Roman"/>
          <w:color w:val="222222"/>
          <w:sz w:val="20"/>
          <w:szCs w:val="20"/>
          <w:u w:val="single"/>
        </w:rPr>
        <w:t> Une enquête a été ouverte. Dès le 24 juin 2009, par souci de préservation de la ressource, la justice a ordonné la libération de (210) tonnes de thon rouge vivant dans son milieu naturel et la saisie des navires impliqués (un thonier senneur algérien et trois navires turcs (deux remorqueurs et un navire de support). Après une instruction complète, incluant un passage devant les tribunaux de première instance, la cour d'appel et la Cour suprême, un verdict définitif a été rendu le 19 avril 2015.</w:t>
      </w:r>
    </w:p>
    <w:p w14:paraId="78C4E942" w14:textId="77777777" w:rsidR="00E12321" w:rsidRPr="006E557D" w:rsidRDefault="00E12321" w:rsidP="00E12321">
      <w:pPr>
        <w:spacing w:after="0" w:line="240" w:lineRule="auto"/>
        <w:ind w:left="851"/>
        <w:contextualSpacing/>
        <w:jc w:val="both"/>
        <w:rPr>
          <w:rFonts w:ascii="Cambria" w:eastAsia="Times New Roman" w:hAnsi="Cambria" w:cs="Times New Roman"/>
          <w:color w:val="222222"/>
          <w:sz w:val="20"/>
          <w:szCs w:val="20"/>
        </w:rPr>
      </w:pPr>
    </w:p>
    <w:p w14:paraId="790FCC13" w14:textId="77777777" w:rsidR="00433AC9" w:rsidRPr="006E557D" w:rsidRDefault="00433AC9" w:rsidP="00174E99">
      <w:pPr>
        <w:numPr>
          <w:ilvl w:val="0"/>
          <w:numId w:val="12"/>
        </w:numPr>
        <w:tabs>
          <w:tab w:val="clear" w:pos="720"/>
        </w:tabs>
        <w:spacing w:after="0" w:line="240" w:lineRule="auto"/>
        <w:ind w:left="851" w:hanging="425"/>
        <w:contextualSpacing/>
        <w:jc w:val="both"/>
        <w:rPr>
          <w:rFonts w:ascii="Cambria" w:eastAsia="Times New Roman" w:hAnsi="Cambria" w:cs="Times New Roman"/>
          <w:color w:val="222222"/>
          <w:sz w:val="20"/>
          <w:szCs w:val="20"/>
          <w:u w:val="single"/>
        </w:rPr>
      </w:pPr>
      <w:r w:rsidRPr="006E557D">
        <w:rPr>
          <w:rFonts w:ascii="Cambria" w:eastAsia="Times New Roman" w:hAnsi="Cambria" w:cs="Times New Roman"/>
          <w:i/>
          <w:iCs/>
          <w:color w:val="222222"/>
          <w:sz w:val="20"/>
          <w:szCs w:val="20"/>
          <w:u w:val="single"/>
        </w:rPr>
        <w:t xml:space="preserve">Verdict et motifs </w:t>
      </w:r>
      <w:r w:rsidRPr="006E557D">
        <w:rPr>
          <w:rFonts w:ascii="Cambria" w:eastAsia="Times New Roman" w:hAnsi="Cambria" w:cs="Times New Roman"/>
          <w:b/>
          <w:bCs/>
          <w:color w:val="222222"/>
          <w:sz w:val="20"/>
          <w:szCs w:val="20"/>
          <w:u w:val="single"/>
        </w:rPr>
        <w:t>:</w:t>
      </w:r>
      <w:r w:rsidRPr="006E557D">
        <w:rPr>
          <w:rFonts w:ascii="Cambria" w:eastAsia="Times New Roman" w:hAnsi="Cambria" w:cs="Times New Roman"/>
          <w:color w:val="222222"/>
          <w:sz w:val="20"/>
          <w:szCs w:val="20"/>
          <w:u w:val="single"/>
        </w:rPr>
        <w:t> Le tribunal a prononcé l'acquittement des parties et levé la saisie des navires. Les motifs ont établi que :</w:t>
      </w:r>
    </w:p>
    <w:p w14:paraId="70AB349A" w14:textId="77777777" w:rsidR="00E12321" w:rsidRPr="006E557D" w:rsidRDefault="00E12321" w:rsidP="00E12321">
      <w:pPr>
        <w:spacing w:after="0" w:line="240" w:lineRule="auto"/>
        <w:ind w:left="851"/>
        <w:contextualSpacing/>
        <w:jc w:val="both"/>
        <w:rPr>
          <w:rFonts w:ascii="Cambria" w:eastAsia="Times New Roman" w:hAnsi="Cambria" w:cs="Times New Roman"/>
          <w:color w:val="222222"/>
          <w:sz w:val="20"/>
          <w:szCs w:val="20"/>
        </w:rPr>
      </w:pPr>
    </w:p>
    <w:p w14:paraId="6E14E4C5" w14:textId="77777777" w:rsidR="00433AC9" w:rsidRPr="006E557D" w:rsidRDefault="00433AC9" w:rsidP="00174E99">
      <w:pPr>
        <w:numPr>
          <w:ilvl w:val="1"/>
          <w:numId w:val="13"/>
        </w:numPr>
        <w:spacing w:after="0" w:line="240" w:lineRule="auto"/>
        <w:ind w:left="1276" w:hanging="283"/>
        <w:contextualSpacing/>
        <w:jc w:val="both"/>
        <w:rPr>
          <w:rFonts w:ascii="Cambria" w:eastAsia="Times New Roman" w:hAnsi="Cambria" w:cs="Times New Roman"/>
          <w:color w:val="222222"/>
          <w:sz w:val="20"/>
          <w:szCs w:val="20"/>
          <w:u w:val="single"/>
        </w:rPr>
      </w:pPr>
      <w:r w:rsidRPr="006E557D">
        <w:rPr>
          <w:rFonts w:ascii="Cambria" w:eastAsia="Times New Roman" w:hAnsi="Cambria" w:cs="Times New Roman"/>
          <w:color w:val="222222"/>
          <w:sz w:val="20"/>
          <w:szCs w:val="20"/>
          <w:u w:val="single"/>
        </w:rPr>
        <w:t>Les senneurs algériens détenaient des autorisations de pêche en règle et avaient procédé aux notifications préalables de transfert.</w:t>
      </w:r>
    </w:p>
    <w:p w14:paraId="32993AC0" w14:textId="77777777" w:rsidR="00433AC9" w:rsidRPr="006E557D" w:rsidRDefault="00433AC9" w:rsidP="00174E99">
      <w:pPr>
        <w:numPr>
          <w:ilvl w:val="1"/>
          <w:numId w:val="13"/>
        </w:numPr>
        <w:spacing w:after="0" w:line="240" w:lineRule="auto"/>
        <w:ind w:left="1276" w:hanging="283"/>
        <w:contextualSpacing/>
        <w:jc w:val="both"/>
        <w:rPr>
          <w:rFonts w:ascii="Cambria" w:eastAsia="Times New Roman" w:hAnsi="Cambria" w:cs="Times New Roman"/>
          <w:color w:val="222222"/>
          <w:sz w:val="20"/>
          <w:szCs w:val="20"/>
          <w:u w:val="single"/>
        </w:rPr>
      </w:pPr>
      <w:r w:rsidRPr="006E557D">
        <w:rPr>
          <w:rFonts w:ascii="Cambria" w:eastAsia="Times New Roman" w:hAnsi="Cambria" w:cs="Times New Roman"/>
          <w:color w:val="222222"/>
          <w:sz w:val="20"/>
          <w:szCs w:val="20"/>
          <w:u w:val="single"/>
        </w:rPr>
        <w:t>Aucun acte de pêche illicite n'a été retenu contre les navires turcs.</w:t>
      </w:r>
    </w:p>
    <w:p w14:paraId="3B6FA1DB" w14:textId="77777777" w:rsidR="00433AC9" w:rsidRPr="006E557D" w:rsidRDefault="00433AC9" w:rsidP="00174E99">
      <w:pPr>
        <w:numPr>
          <w:ilvl w:val="1"/>
          <w:numId w:val="13"/>
        </w:numPr>
        <w:spacing w:after="0" w:line="240" w:lineRule="auto"/>
        <w:ind w:left="1276" w:hanging="283"/>
        <w:contextualSpacing/>
        <w:jc w:val="both"/>
        <w:rPr>
          <w:rFonts w:ascii="Cambria" w:eastAsia="Times New Roman" w:hAnsi="Cambria" w:cs="Times New Roman"/>
          <w:color w:val="222222"/>
          <w:sz w:val="20"/>
          <w:szCs w:val="20"/>
          <w:u w:val="single"/>
        </w:rPr>
      </w:pPr>
      <w:r w:rsidRPr="006E557D">
        <w:rPr>
          <w:rFonts w:ascii="Cambria" w:eastAsia="Times New Roman" w:hAnsi="Cambria" w:cs="Times New Roman"/>
          <w:color w:val="222222"/>
          <w:sz w:val="20"/>
          <w:szCs w:val="20"/>
          <w:u w:val="single"/>
        </w:rPr>
        <w:t>Les opérateurs avaient l'intention de régulariser les procédures douanières une fois les documents de capture validés et les navires rejoignent les ports.</w:t>
      </w:r>
    </w:p>
    <w:p w14:paraId="78F83181" w14:textId="77777777" w:rsidR="008E70CA" w:rsidRPr="006E557D" w:rsidRDefault="008E70CA" w:rsidP="00433AC9">
      <w:pPr>
        <w:spacing w:after="0" w:line="240" w:lineRule="auto"/>
        <w:contextualSpacing/>
        <w:jc w:val="both"/>
        <w:rPr>
          <w:rFonts w:ascii="Cambria" w:eastAsia="Times New Roman" w:hAnsi="Cambria" w:cs="Times New Roman"/>
          <w:b/>
          <w:bCs/>
          <w:color w:val="222222"/>
          <w:sz w:val="20"/>
          <w:szCs w:val="20"/>
          <w:u w:val="single"/>
        </w:rPr>
      </w:pPr>
    </w:p>
    <w:p w14:paraId="44A11AB0" w14:textId="3697CF4B" w:rsidR="00433AC9" w:rsidRPr="006E557D" w:rsidRDefault="00433AC9" w:rsidP="00433AC9">
      <w:pPr>
        <w:spacing w:after="0" w:line="240" w:lineRule="auto"/>
        <w:contextualSpacing/>
        <w:jc w:val="both"/>
        <w:rPr>
          <w:rFonts w:ascii="Cambria" w:eastAsia="Times New Roman" w:hAnsi="Cambria" w:cs="Times New Roman"/>
          <w:color w:val="222222"/>
          <w:sz w:val="20"/>
          <w:szCs w:val="20"/>
          <w:u w:val="single"/>
        </w:rPr>
      </w:pPr>
      <w:r w:rsidRPr="006E557D">
        <w:rPr>
          <w:rFonts w:ascii="Cambria" w:eastAsia="Times New Roman" w:hAnsi="Cambria" w:cs="Times New Roman"/>
          <w:color w:val="222222"/>
          <w:sz w:val="20"/>
          <w:szCs w:val="20"/>
          <w:u w:val="single"/>
        </w:rPr>
        <w:t>Conclusion :</w:t>
      </w:r>
    </w:p>
    <w:p w14:paraId="09AB4A2A" w14:textId="77777777" w:rsidR="008E70CA" w:rsidRPr="006E557D" w:rsidRDefault="008E70CA" w:rsidP="00433AC9">
      <w:pPr>
        <w:spacing w:after="0" w:line="240" w:lineRule="auto"/>
        <w:contextualSpacing/>
        <w:jc w:val="both"/>
        <w:rPr>
          <w:rFonts w:ascii="Cambria" w:eastAsia="Times New Roman" w:hAnsi="Cambria" w:cs="Times New Roman"/>
          <w:color w:val="222222"/>
          <w:sz w:val="20"/>
          <w:szCs w:val="20"/>
          <w:u w:val="single"/>
        </w:rPr>
      </w:pPr>
    </w:p>
    <w:p w14:paraId="73899A64" w14:textId="64902A15" w:rsidR="00433AC9" w:rsidRPr="006E557D" w:rsidRDefault="00433AC9" w:rsidP="00433AC9">
      <w:pPr>
        <w:spacing w:after="0" w:line="240" w:lineRule="auto"/>
        <w:contextualSpacing/>
        <w:jc w:val="both"/>
        <w:rPr>
          <w:rFonts w:ascii="Cambria" w:eastAsia="Times New Roman" w:hAnsi="Cambria" w:cs="Times New Roman"/>
          <w:color w:val="222222"/>
          <w:sz w:val="20"/>
          <w:szCs w:val="20"/>
          <w:u w:val="single"/>
        </w:rPr>
      </w:pPr>
      <w:r w:rsidRPr="006E557D">
        <w:rPr>
          <w:rFonts w:ascii="Cambria" w:eastAsia="Times New Roman" w:hAnsi="Cambria" w:cs="Times New Roman"/>
          <w:color w:val="222222"/>
          <w:sz w:val="20"/>
          <w:szCs w:val="20"/>
          <w:u w:val="single"/>
        </w:rPr>
        <w:t>En conclusion, l’Algérie tient à souligner les points suivants :</w:t>
      </w:r>
    </w:p>
    <w:p w14:paraId="306E1C6D" w14:textId="77777777" w:rsidR="00AE2A20" w:rsidRPr="006E557D" w:rsidRDefault="00AE2A20" w:rsidP="00433AC9">
      <w:pPr>
        <w:spacing w:after="0" w:line="240" w:lineRule="auto"/>
        <w:contextualSpacing/>
        <w:jc w:val="both"/>
        <w:rPr>
          <w:rFonts w:ascii="Cambria" w:eastAsia="Times New Roman" w:hAnsi="Cambria" w:cs="Times New Roman"/>
          <w:color w:val="222222"/>
          <w:sz w:val="20"/>
          <w:szCs w:val="20"/>
        </w:rPr>
      </w:pPr>
    </w:p>
    <w:p w14:paraId="00F4E0F9" w14:textId="77777777" w:rsidR="00433AC9" w:rsidRPr="006E557D" w:rsidRDefault="00433AC9" w:rsidP="00AE2A20">
      <w:pPr>
        <w:numPr>
          <w:ilvl w:val="0"/>
          <w:numId w:val="12"/>
        </w:numPr>
        <w:tabs>
          <w:tab w:val="clear" w:pos="720"/>
        </w:tabs>
        <w:spacing w:after="0" w:line="240" w:lineRule="auto"/>
        <w:ind w:left="851" w:hanging="425"/>
        <w:contextualSpacing/>
        <w:jc w:val="both"/>
        <w:rPr>
          <w:rFonts w:ascii="Cambria" w:eastAsia="Times New Roman" w:hAnsi="Cambria" w:cs="Times New Roman"/>
          <w:color w:val="222222"/>
          <w:sz w:val="20"/>
          <w:szCs w:val="20"/>
          <w:u w:val="single"/>
        </w:rPr>
      </w:pPr>
      <w:r w:rsidRPr="006E557D">
        <w:rPr>
          <w:rFonts w:ascii="Cambria" w:eastAsia="Times New Roman" w:hAnsi="Cambria" w:cs="Times New Roman"/>
          <w:color w:val="222222"/>
          <w:sz w:val="20"/>
          <w:szCs w:val="20"/>
          <w:u w:val="single"/>
        </w:rPr>
        <w:t>En 2009, l’Algérie opérait dans le cadre strict de son quota national et de ses autorisations de pêche.</w:t>
      </w:r>
    </w:p>
    <w:p w14:paraId="4D6760A3" w14:textId="77777777" w:rsidR="00433AC9" w:rsidRPr="006E557D" w:rsidRDefault="00433AC9" w:rsidP="00AE2A20">
      <w:pPr>
        <w:numPr>
          <w:ilvl w:val="0"/>
          <w:numId w:val="12"/>
        </w:numPr>
        <w:tabs>
          <w:tab w:val="clear" w:pos="720"/>
        </w:tabs>
        <w:spacing w:after="0" w:line="240" w:lineRule="auto"/>
        <w:ind w:left="851" w:hanging="425"/>
        <w:contextualSpacing/>
        <w:jc w:val="both"/>
        <w:rPr>
          <w:rFonts w:ascii="Cambria" w:eastAsia="Times New Roman" w:hAnsi="Cambria" w:cs="Times New Roman"/>
          <w:color w:val="222222"/>
          <w:sz w:val="20"/>
          <w:szCs w:val="20"/>
          <w:u w:val="single"/>
        </w:rPr>
      </w:pPr>
      <w:r w:rsidRPr="006E557D">
        <w:rPr>
          <w:rFonts w:ascii="Cambria" w:eastAsia="Times New Roman" w:hAnsi="Cambria" w:cs="Times New Roman"/>
          <w:color w:val="222222"/>
          <w:sz w:val="20"/>
          <w:szCs w:val="20"/>
          <w:u w:val="single"/>
        </w:rPr>
        <w:t>L'enquête judiciaire a confirmé l'existence des autorisations préalables de transfert.</w:t>
      </w:r>
    </w:p>
    <w:p w14:paraId="11F31F31" w14:textId="77777777" w:rsidR="00433AC9" w:rsidRPr="006E557D" w:rsidRDefault="00433AC9" w:rsidP="00AE2A20">
      <w:pPr>
        <w:numPr>
          <w:ilvl w:val="0"/>
          <w:numId w:val="12"/>
        </w:numPr>
        <w:tabs>
          <w:tab w:val="clear" w:pos="720"/>
        </w:tabs>
        <w:spacing w:after="0" w:line="240" w:lineRule="auto"/>
        <w:ind w:left="851" w:hanging="425"/>
        <w:contextualSpacing/>
        <w:jc w:val="both"/>
        <w:rPr>
          <w:rFonts w:ascii="Cambria" w:eastAsia="Times New Roman" w:hAnsi="Cambria" w:cs="Times New Roman"/>
          <w:color w:val="222222"/>
          <w:sz w:val="20"/>
          <w:szCs w:val="20"/>
          <w:u w:val="single"/>
        </w:rPr>
      </w:pPr>
      <w:r w:rsidRPr="006E557D">
        <w:rPr>
          <w:rFonts w:ascii="Cambria" w:eastAsia="Times New Roman" w:hAnsi="Cambria" w:cs="Times New Roman"/>
          <w:color w:val="222222"/>
          <w:sz w:val="20"/>
          <w:szCs w:val="20"/>
          <w:u w:val="single"/>
        </w:rPr>
        <w:t>Les actions des autorités, notamment la libération préventive du thon rouge, démontrent l'engagement constant de l’Algérie en faveur de la préservation de la ressource (thon rouge).</w:t>
      </w:r>
    </w:p>
    <w:p w14:paraId="37004ECD" w14:textId="32A401F5" w:rsidR="00433AC9" w:rsidRPr="006E557D" w:rsidRDefault="00433AC9" w:rsidP="00AE2A20">
      <w:pPr>
        <w:numPr>
          <w:ilvl w:val="0"/>
          <w:numId w:val="12"/>
        </w:numPr>
        <w:tabs>
          <w:tab w:val="clear" w:pos="720"/>
        </w:tabs>
        <w:spacing w:after="0" w:line="240" w:lineRule="auto"/>
        <w:ind w:left="851" w:hanging="425"/>
        <w:contextualSpacing/>
        <w:jc w:val="both"/>
        <w:rPr>
          <w:rFonts w:ascii="Cambria" w:eastAsia="Times New Roman" w:hAnsi="Cambria" w:cs="Times New Roman"/>
          <w:color w:val="222222"/>
          <w:sz w:val="20"/>
          <w:szCs w:val="20"/>
          <w:u w:val="single"/>
        </w:rPr>
      </w:pPr>
      <w:r w:rsidRPr="006E557D">
        <w:rPr>
          <w:rFonts w:ascii="Cambria" w:eastAsia="Times New Roman" w:hAnsi="Cambria" w:cs="Times New Roman"/>
          <w:color w:val="222222"/>
          <w:sz w:val="20"/>
          <w:szCs w:val="20"/>
          <w:u w:val="single"/>
        </w:rPr>
        <w:t xml:space="preserve">Aucune infraction ou contravention aux </w:t>
      </w:r>
      <w:r w:rsidR="00AE2A20" w:rsidRPr="006E557D">
        <w:rPr>
          <w:rFonts w:ascii="Cambria" w:eastAsia="Times New Roman" w:hAnsi="Cambria" w:cs="Times New Roman"/>
          <w:color w:val="222222"/>
          <w:sz w:val="20"/>
          <w:szCs w:val="20"/>
          <w:u w:val="single"/>
        </w:rPr>
        <w:t xml:space="preserve">Recommandations </w:t>
      </w:r>
      <w:r w:rsidRPr="006E557D">
        <w:rPr>
          <w:rFonts w:ascii="Cambria" w:eastAsia="Times New Roman" w:hAnsi="Cambria" w:cs="Times New Roman"/>
          <w:color w:val="222222"/>
          <w:sz w:val="20"/>
          <w:szCs w:val="20"/>
          <w:u w:val="single"/>
        </w:rPr>
        <w:t>de l’ICCAT n’a été constatée durant toute la procédure.</w:t>
      </w:r>
    </w:p>
    <w:p w14:paraId="21DBEA90" w14:textId="77777777" w:rsidR="00433AC9" w:rsidRPr="006E557D" w:rsidRDefault="00433AC9" w:rsidP="00AE2A20">
      <w:pPr>
        <w:numPr>
          <w:ilvl w:val="0"/>
          <w:numId w:val="12"/>
        </w:numPr>
        <w:tabs>
          <w:tab w:val="clear" w:pos="720"/>
        </w:tabs>
        <w:spacing w:after="0" w:line="240" w:lineRule="auto"/>
        <w:ind w:left="851" w:hanging="425"/>
        <w:contextualSpacing/>
        <w:jc w:val="both"/>
        <w:rPr>
          <w:rFonts w:ascii="Cambria" w:eastAsia="Times New Roman" w:hAnsi="Cambria" w:cs="Times New Roman"/>
          <w:color w:val="222222"/>
          <w:sz w:val="20"/>
          <w:szCs w:val="20"/>
          <w:u w:val="single"/>
        </w:rPr>
      </w:pPr>
      <w:r w:rsidRPr="006E557D">
        <w:rPr>
          <w:rFonts w:ascii="Cambria" w:eastAsia="Times New Roman" w:hAnsi="Cambria" w:cs="Times New Roman"/>
          <w:color w:val="222222"/>
          <w:sz w:val="20"/>
          <w:szCs w:val="20"/>
          <w:u w:val="single"/>
        </w:rPr>
        <w:t>Le verdict judiciaire définitif de 2015 a pleinement innocenté les parties impliquées.</w:t>
      </w:r>
    </w:p>
    <w:p w14:paraId="0CC252DC" w14:textId="77777777" w:rsidR="00433AC9" w:rsidRPr="006E557D" w:rsidRDefault="00433AC9" w:rsidP="00AE2A20">
      <w:pPr>
        <w:numPr>
          <w:ilvl w:val="0"/>
          <w:numId w:val="12"/>
        </w:numPr>
        <w:tabs>
          <w:tab w:val="clear" w:pos="720"/>
        </w:tabs>
        <w:spacing w:after="0" w:line="240" w:lineRule="auto"/>
        <w:ind w:left="851" w:hanging="425"/>
        <w:contextualSpacing/>
        <w:jc w:val="both"/>
        <w:rPr>
          <w:rFonts w:ascii="Cambria" w:eastAsia="Times New Roman" w:hAnsi="Cambria" w:cs="Times New Roman"/>
          <w:color w:val="222222"/>
          <w:sz w:val="20"/>
          <w:szCs w:val="20"/>
          <w:u w:val="single"/>
        </w:rPr>
      </w:pPr>
      <w:r w:rsidRPr="006E557D">
        <w:rPr>
          <w:rFonts w:ascii="Cambria" w:eastAsia="Times New Roman" w:hAnsi="Cambria" w:cs="Times New Roman"/>
          <w:color w:val="222222"/>
          <w:sz w:val="20"/>
          <w:szCs w:val="20"/>
          <w:u w:val="single"/>
        </w:rPr>
        <w:t xml:space="preserve">Concernant les captures de thon rouge par des navires algériens à destination d'installations d’engraissement dans d'autres pays, les quantités concernées ont fait l'objet d'une libération </w:t>
      </w:r>
      <w:r w:rsidRPr="006E557D">
        <w:rPr>
          <w:rFonts w:ascii="Cambria" w:eastAsia="Times New Roman" w:hAnsi="Cambria" w:cs="Times New Roman"/>
          <w:i/>
          <w:iCs/>
          <w:color w:val="222222"/>
          <w:sz w:val="20"/>
          <w:szCs w:val="20"/>
          <w:u w:val="single"/>
        </w:rPr>
        <w:t>in vivo</w:t>
      </w:r>
      <w:r w:rsidRPr="006E557D">
        <w:rPr>
          <w:rFonts w:ascii="Cambria" w:eastAsia="Times New Roman" w:hAnsi="Cambria" w:cs="Times New Roman"/>
          <w:color w:val="222222"/>
          <w:sz w:val="20"/>
          <w:szCs w:val="20"/>
          <w:u w:val="single"/>
        </w:rPr>
        <w:t>. Cette décision, confirmée par les délégations des Parties contractantes (CPC) des fermes de destination, est intervenue bien qu'aucune infraction ou pêche illicite n'ait été établie à l'encontre de ces navires. En l'absence de précédent réglementaire clair concernant l'activité de transfert (exportation) en mer, l'administration des pêches a opté pour une approche préventive. Ainsi, par mesure de précaution et dans l'attente de clarifications nécessaires, elle a suspendu la délivrance de reste des Documents de Capture (BCD) pour l'année 2009 et a collaboré avec les CPC concernées pour procéder au relâchement des prises. (Au total 810 tonnes de thon rouge relâchées).</w:t>
      </w:r>
    </w:p>
    <w:p w14:paraId="15F16C69" w14:textId="4BACFE8A" w:rsidR="00433AC9" w:rsidRPr="006E557D" w:rsidRDefault="00433AC9" w:rsidP="00AE2A20">
      <w:pPr>
        <w:numPr>
          <w:ilvl w:val="0"/>
          <w:numId w:val="12"/>
        </w:numPr>
        <w:tabs>
          <w:tab w:val="clear" w:pos="720"/>
        </w:tabs>
        <w:spacing w:after="0" w:line="240" w:lineRule="auto"/>
        <w:ind w:left="851" w:hanging="425"/>
        <w:contextualSpacing/>
        <w:jc w:val="both"/>
        <w:rPr>
          <w:rFonts w:ascii="Cambria" w:eastAsia="Times New Roman" w:hAnsi="Cambria" w:cs="Times New Roman"/>
          <w:color w:val="222222"/>
          <w:sz w:val="20"/>
          <w:szCs w:val="20"/>
          <w:u w:val="single"/>
        </w:rPr>
      </w:pPr>
      <w:r w:rsidRPr="006E557D">
        <w:rPr>
          <w:rFonts w:ascii="Cambria" w:eastAsia="Times New Roman" w:hAnsi="Cambria" w:cs="Times New Roman"/>
          <w:color w:val="222222"/>
          <w:sz w:val="20"/>
          <w:szCs w:val="20"/>
          <w:u w:val="single"/>
        </w:rPr>
        <w:t xml:space="preserve">Il convient de porter à la connaissance du Comité qu'au cours des années 2009 et 2010, </w:t>
      </w:r>
      <w:r w:rsidR="00CE3EE7" w:rsidRPr="006E557D">
        <w:rPr>
          <w:rFonts w:ascii="Cambria" w:eastAsia="Times New Roman" w:hAnsi="Cambria" w:cs="Times New Roman"/>
          <w:color w:val="222222"/>
          <w:sz w:val="20"/>
          <w:szCs w:val="20"/>
          <w:u w:val="single"/>
        </w:rPr>
        <w:t>l</w:t>
      </w:r>
      <w:r w:rsidRPr="006E557D">
        <w:rPr>
          <w:rFonts w:ascii="Cambria" w:eastAsia="Times New Roman" w:hAnsi="Cambria" w:cs="Times New Roman"/>
          <w:color w:val="222222"/>
          <w:sz w:val="20"/>
          <w:szCs w:val="20"/>
          <w:u w:val="single"/>
        </w:rPr>
        <w:t>a Commission et le Secrétariat ont soulevé à plusieurs reprises, lors des réunions tenues en 2009 et 2010, des préoccupations concernant les retards affectant la délivrance, la transmission et l'établissement des Documents de Capture (BCD) par plusieurs CPC. Bien que des efforts aient été entrepris pour remédier à cette situation et se conformer aux recommandations de l'ICCAT, aucun dispositif sanctionnant ces retards n'a été mis en œuvre.</w:t>
      </w:r>
    </w:p>
    <w:p w14:paraId="69D8AB3E" w14:textId="77777777" w:rsidR="00433AC9" w:rsidRPr="006E557D" w:rsidRDefault="00433AC9" w:rsidP="00AE2A20">
      <w:pPr>
        <w:numPr>
          <w:ilvl w:val="0"/>
          <w:numId w:val="12"/>
        </w:numPr>
        <w:tabs>
          <w:tab w:val="clear" w:pos="720"/>
        </w:tabs>
        <w:spacing w:after="0" w:line="240" w:lineRule="auto"/>
        <w:ind w:left="851" w:hanging="425"/>
        <w:contextualSpacing/>
        <w:jc w:val="both"/>
        <w:rPr>
          <w:rFonts w:ascii="Cambria" w:eastAsia="Times New Roman" w:hAnsi="Cambria" w:cs="Times New Roman"/>
          <w:color w:val="222222"/>
          <w:sz w:val="20"/>
          <w:szCs w:val="20"/>
          <w:u w:val="single"/>
        </w:rPr>
      </w:pPr>
      <w:r w:rsidRPr="006E557D">
        <w:rPr>
          <w:rFonts w:ascii="Cambria" w:eastAsia="Times New Roman" w:hAnsi="Cambria" w:cs="Times New Roman"/>
          <w:color w:val="222222"/>
          <w:sz w:val="20"/>
          <w:szCs w:val="20"/>
          <w:u w:val="single"/>
        </w:rPr>
        <w:t>Contrairement aux autres Parties contractantes, l'Algérie a adopté des dispositions particulières relatives à la libération des captures de thon rouge transférés pour l'année 2009. Cette action préventive, justifiée par un impératif d'amélioration et d'adaptation des procédures commerciales, visait expressément à garantir une stricte conformité avec l'ensemble des exigences réglementaires nationales et internationales applicables.</w:t>
      </w:r>
    </w:p>
    <w:p w14:paraId="382E6515" w14:textId="77777777" w:rsidR="00433AC9" w:rsidRPr="006E557D" w:rsidRDefault="00433AC9" w:rsidP="00AE2A20">
      <w:pPr>
        <w:numPr>
          <w:ilvl w:val="0"/>
          <w:numId w:val="12"/>
        </w:numPr>
        <w:tabs>
          <w:tab w:val="clear" w:pos="720"/>
        </w:tabs>
        <w:spacing w:after="0" w:line="240" w:lineRule="auto"/>
        <w:ind w:left="851" w:hanging="425"/>
        <w:contextualSpacing/>
        <w:jc w:val="both"/>
        <w:rPr>
          <w:rFonts w:ascii="Cambria" w:eastAsia="Times New Roman" w:hAnsi="Cambria" w:cs="Times New Roman"/>
          <w:color w:val="222222"/>
          <w:sz w:val="20"/>
          <w:szCs w:val="20"/>
          <w:u w:val="single"/>
        </w:rPr>
      </w:pPr>
      <w:r w:rsidRPr="006E557D">
        <w:rPr>
          <w:rFonts w:ascii="Cambria" w:eastAsia="Times New Roman" w:hAnsi="Cambria" w:cs="Times New Roman"/>
          <w:color w:val="222222"/>
          <w:sz w:val="20"/>
          <w:szCs w:val="20"/>
          <w:u w:val="single"/>
        </w:rPr>
        <w:lastRenderedPageBreak/>
        <w:t>La mise en place d'un texte réglementaire le 19 avril 2010, définissant les quotas de thon rouge et leurs conditions de leurs mises en œuvre, a constitué la pierre angulaire du dispositif national. Celui-ci a été substantiellement amendé et perfectionné au cours de neuf (9) révisions (2012 à 2022), reflétant un engagement constant à optimiser le suivi de l'activité et à intégrer en temps utile l'évolution des recommandations de l'ICCAT.</w:t>
      </w:r>
    </w:p>
    <w:p w14:paraId="7C61E56B" w14:textId="77777777" w:rsidR="00AE2A20" w:rsidRPr="006E557D" w:rsidRDefault="00AE2A20" w:rsidP="00433AC9">
      <w:pPr>
        <w:spacing w:after="0" w:line="240" w:lineRule="auto"/>
        <w:contextualSpacing/>
        <w:jc w:val="both"/>
        <w:rPr>
          <w:rFonts w:ascii="Cambria" w:eastAsia="Times New Roman" w:hAnsi="Cambria" w:cs="Times New Roman"/>
          <w:color w:val="222222"/>
          <w:sz w:val="20"/>
          <w:szCs w:val="20"/>
        </w:rPr>
      </w:pPr>
    </w:p>
    <w:p w14:paraId="66E89E42" w14:textId="07DC7D5C" w:rsidR="00433AC9" w:rsidRPr="006E557D" w:rsidRDefault="00433AC9" w:rsidP="00433AC9">
      <w:pPr>
        <w:spacing w:after="0" w:line="240" w:lineRule="auto"/>
        <w:contextualSpacing/>
        <w:jc w:val="both"/>
        <w:rPr>
          <w:rFonts w:ascii="Cambria" w:eastAsia="Times New Roman" w:hAnsi="Cambria" w:cs="Times New Roman"/>
          <w:sz w:val="20"/>
          <w:szCs w:val="20"/>
          <w:u w:val="single"/>
        </w:rPr>
      </w:pPr>
      <w:r w:rsidRPr="006E557D">
        <w:rPr>
          <w:rFonts w:ascii="Cambria" w:eastAsia="Times New Roman" w:hAnsi="Cambria" w:cs="Times New Roman"/>
          <w:color w:val="222222"/>
          <w:sz w:val="20"/>
          <w:szCs w:val="20"/>
          <w:u w:val="single"/>
        </w:rPr>
        <w:t xml:space="preserve">Partant de ce qui précède, et eu égard du traitement rigoureux, complet et transparent suivi par l’Algérie, nous considérons cette affaire ne peut constituer un cas de </w:t>
      </w:r>
      <w:r w:rsidR="00993FFC" w:rsidRPr="006E557D">
        <w:rPr>
          <w:rFonts w:ascii="Cambria" w:eastAsia="Times New Roman" w:hAnsi="Cambria" w:cs="Times New Roman"/>
          <w:color w:val="222222"/>
          <w:sz w:val="20"/>
          <w:szCs w:val="20"/>
          <w:u w:val="single"/>
        </w:rPr>
        <w:t>n</w:t>
      </w:r>
      <w:r w:rsidRPr="006E557D">
        <w:rPr>
          <w:rFonts w:ascii="Cambria" w:eastAsia="Times New Roman" w:hAnsi="Cambria" w:cs="Times New Roman"/>
          <w:color w:val="222222"/>
          <w:sz w:val="20"/>
          <w:szCs w:val="20"/>
          <w:u w:val="single"/>
        </w:rPr>
        <w:t xml:space="preserve">on-application potentiel et qu’elle a été résolue définitivement. </w:t>
      </w:r>
    </w:p>
    <w:p w14:paraId="5B648668" w14:textId="77777777" w:rsidR="001805CE" w:rsidRPr="006E557D" w:rsidRDefault="001805CE" w:rsidP="00240776">
      <w:pPr>
        <w:spacing w:after="0" w:line="240" w:lineRule="auto"/>
        <w:jc w:val="both"/>
        <w:rPr>
          <w:rFonts w:ascii="Cambria" w:eastAsia="Times New Roman" w:hAnsi="Cambria" w:cstheme="majorHAnsi"/>
          <w:sz w:val="20"/>
          <w:szCs w:val="20"/>
        </w:rPr>
      </w:pPr>
    </w:p>
    <w:p w14:paraId="077A60B9" w14:textId="32C0C3D8" w:rsidR="00DE003E" w:rsidRPr="006E557D" w:rsidRDefault="00DE003E" w:rsidP="00240776">
      <w:pPr>
        <w:spacing w:after="0" w:line="240" w:lineRule="auto"/>
        <w:jc w:val="both"/>
        <w:rPr>
          <w:rFonts w:ascii="Cambria" w:eastAsia="Times New Roman" w:hAnsi="Cambria" w:cstheme="majorHAnsi"/>
          <w:b/>
          <w:bCs/>
          <w:sz w:val="20"/>
          <w:szCs w:val="20"/>
        </w:rPr>
      </w:pPr>
      <w:r w:rsidRPr="006E557D">
        <w:rPr>
          <w:rFonts w:ascii="Cambria" w:hAnsi="Cambria" w:cstheme="majorHAnsi"/>
          <w:b/>
          <w:sz w:val="20"/>
          <w:szCs w:val="20"/>
        </w:rPr>
        <w:t>À l’attention de la Mauritanie</w:t>
      </w:r>
      <w:r w:rsidR="00BC7964" w:rsidRPr="006E557D">
        <w:rPr>
          <w:rFonts w:ascii="Cambria" w:hAnsi="Cambria" w:cstheme="majorHAnsi"/>
          <w:b/>
          <w:sz w:val="20"/>
          <w:szCs w:val="20"/>
        </w:rPr>
        <w:t> :</w:t>
      </w:r>
    </w:p>
    <w:p w14:paraId="1E1DF61D" w14:textId="77777777" w:rsidR="00240776" w:rsidRPr="006E557D" w:rsidRDefault="00240776" w:rsidP="00240776">
      <w:pPr>
        <w:spacing w:after="0" w:line="240" w:lineRule="auto"/>
        <w:jc w:val="both"/>
        <w:rPr>
          <w:rFonts w:ascii="Cambria" w:eastAsia="Times New Roman" w:hAnsi="Cambria" w:cstheme="majorHAnsi"/>
          <w:b/>
          <w:bCs/>
          <w:sz w:val="20"/>
          <w:szCs w:val="20"/>
        </w:rPr>
      </w:pPr>
    </w:p>
    <w:p w14:paraId="7CDD3AD9" w14:textId="0B224CE1" w:rsidR="00DE003E" w:rsidRPr="006E557D" w:rsidRDefault="00C06B4A" w:rsidP="00240776">
      <w:pPr>
        <w:spacing w:after="0" w:line="240" w:lineRule="auto"/>
        <w:jc w:val="both"/>
        <w:rPr>
          <w:rFonts w:ascii="Cambria" w:eastAsia="Times New Roman" w:hAnsi="Cambria" w:cstheme="majorHAnsi"/>
          <w:sz w:val="20"/>
          <w:szCs w:val="20"/>
        </w:rPr>
      </w:pPr>
      <w:r w:rsidRPr="006E557D">
        <w:rPr>
          <w:rFonts w:ascii="Cambria" w:hAnsi="Cambria" w:cstheme="majorHAnsi"/>
          <w:sz w:val="20"/>
          <w:szCs w:val="20"/>
        </w:rPr>
        <w:t>La Mauritanie pourrait</w:t>
      </w:r>
      <w:r w:rsidR="008B4E57" w:rsidRPr="006E557D">
        <w:rPr>
          <w:rFonts w:ascii="Cambria" w:hAnsi="Cambria" w:cstheme="majorHAnsi"/>
          <w:sz w:val="20"/>
          <w:szCs w:val="20"/>
        </w:rPr>
        <w:t>-</w:t>
      </w:r>
      <w:r w:rsidR="00993FFC" w:rsidRPr="006E557D">
        <w:rPr>
          <w:rFonts w:ascii="Cambria" w:hAnsi="Cambria" w:cstheme="majorHAnsi"/>
          <w:sz w:val="20"/>
          <w:szCs w:val="20"/>
        </w:rPr>
        <w:t>elle</w:t>
      </w:r>
      <w:r w:rsidRPr="006E557D">
        <w:rPr>
          <w:rFonts w:ascii="Cambria" w:hAnsi="Cambria" w:cstheme="majorHAnsi"/>
          <w:sz w:val="20"/>
          <w:szCs w:val="20"/>
        </w:rPr>
        <w:t xml:space="preserve"> expliquer comment elle met en œuvre et respecte la </w:t>
      </w:r>
      <w:hyperlink r:id="rId7" w:history="1">
        <w:r w:rsidR="009C017C" w:rsidRPr="006E557D">
          <w:rPr>
            <w:rStyle w:val="Hyperlink"/>
            <w:rFonts w:ascii="Cambria" w:hAnsi="Cambria" w:cstheme="majorHAnsi"/>
            <w:i/>
            <w:iCs/>
            <w:sz w:val="20"/>
            <w:szCs w:val="20"/>
            <w:u w:val="none"/>
          </w:rPr>
          <w:t xml:space="preserve">Recommandation de l’ICCAT relative à une interdiction des rejets de thonidés tropicaux capturés par les senneurs </w:t>
        </w:r>
        <w:r w:rsidRPr="006E557D">
          <w:rPr>
            <w:rStyle w:val="Hyperlink"/>
            <w:rFonts w:ascii="Cambria" w:hAnsi="Cambria" w:cstheme="majorHAnsi"/>
            <w:sz w:val="20"/>
            <w:szCs w:val="20"/>
            <w:u w:val="none"/>
          </w:rPr>
          <w:t>(Rec. 17-01)</w:t>
        </w:r>
      </w:hyperlink>
      <w:r w:rsidRPr="006E557D">
        <w:rPr>
          <w:rFonts w:ascii="Cambria" w:hAnsi="Cambria" w:cstheme="majorHAnsi"/>
          <w:sz w:val="20"/>
          <w:szCs w:val="20"/>
        </w:rPr>
        <w:t xml:space="preserve">, à la lumière du </w:t>
      </w:r>
      <w:hyperlink r:id="rId8" w:history="1">
        <w:r w:rsidRPr="006E557D">
          <w:rPr>
            <w:rStyle w:val="Hyperlink"/>
            <w:rFonts w:ascii="Cambria" w:hAnsi="Cambria" w:cstheme="majorHAnsi"/>
            <w:sz w:val="20"/>
            <w:szCs w:val="20"/>
            <w:u w:val="none"/>
          </w:rPr>
          <w:t>Décret n°2018-088</w:t>
        </w:r>
      </w:hyperlink>
      <w:r w:rsidRPr="006E557D">
        <w:rPr>
          <w:rFonts w:ascii="Cambria" w:hAnsi="Cambria" w:cstheme="majorHAnsi"/>
          <w:sz w:val="20"/>
          <w:szCs w:val="20"/>
        </w:rPr>
        <w:t>, qui semble établir une taille minimale pour le thon obèse et qui pourrait être en contradiction avec l'interdiction de rejeter les thonidés tropicaux.</w:t>
      </w:r>
    </w:p>
    <w:p w14:paraId="1B58123E" w14:textId="77777777" w:rsidR="00947ED5" w:rsidRPr="006E557D" w:rsidRDefault="00947ED5" w:rsidP="00240776">
      <w:pPr>
        <w:spacing w:after="0" w:line="240" w:lineRule="auto"/>
        <w:jc w:val="both"/>
        <w:rPr>
          <w:rFonts w:ascii="Cambria" w:eastAsia="Times New Roman" w:hAnsi="Cambria" w:cstheme="majorHAnsi"/>
          <w:sz w:val="20"/>
          <w:szCs w:val="20"/>
        </w:rPr>
      </w:pPr>
    </w:p>
    <w:p w14:paraId="4E278606" w14:textId="4556BF5C" w:rsidR="00DE003E" w:rsidRPr="006E557D" w:rsidRDefault="00947ED5" w:rsidP="00240776">
      <w:pPr>
        <w:spacing w:after="0" w:line="240" w:lineRule="auto"/>
        <w:jc w:val="both"/>
        <w:rPr>
          <w:rFonts w:ascii="Cambria" w:eastAsia="Times New Roman" w:hAnsi="Cambria" w:cstheme="majorHAnsi"/>
          <w:b/>
          <w:bCs/>
          <w:color w:val="222222"/>
          <w:sz w:val="20"/>
          <w:szCs w:val="20"/>
        </w:rPr>
      </w:pPr>
      <w:bookmarkStart w:id="1" w:name="_Hlk181565530"/>
      <w:r w:rsidRPr="006E557D">
        <w:rPr>
          <w:rFonts w:ascii="Cambria" w:hAnsi="Cambria" w:cstheme="majorHAnsi"/>
          <w:b/>
          <w:sz w:val="20"/>
          <w:szCs w:val="20"/>
        </w:rPr>
        <w:t xml:space="preserve">À l’attention du </w:t>
      </w:r>
      <w:r w:rsidR="00BC7964" w:rsidRPr="006E557D">
        <w:rPr>
          <w:rFonts w:ascii="Cambria" w:hAnsi="Cambria" w:cstheme="majorHAnsi"/>
          <w:b/>
          <w:sz w:val="20"/>
          <w:szCs w:val="20"/>
        </w:rPr>
        <w:t>Mexique :</w:t>
      </w:r>
    </w:p>
    <w:p w14:paraId="47D7137E" w14:textId="77777777" w:rsidR="00240776" w:rsidRPr="006E557D" w:rsidRDefault="00240776" w:rsidP="00240776">
      <w:pPr>
        <w:spacing w:after="0" w:line="240" w:lineRule="auto"/>
        <w:jc w:val="both"/>
        <w:rPr>
          <w:rFonts w:ascii="Cambria" w:eastAsia="Times New Roman" w:hAnsi="Cambria" w:cstheme="majorHAnsi"/>
          <w:b/>
          <w:bCs/>
          <w:sz w:val="20"/>
          <w:szCs w:val="20"/>
        </w:rPr>
      </w:pPr>
    </w:p>
    <w:p w14:paraId="5D4D834C" w14:textId="26AD5D92" w:rsidR="00DE003E" w:rsidRPr="006E557D" w:rsidRDefault="00C06B4A" w:rsidP="00240776">
      <w:pPr>
        <w:spacing w:after="0" w:line="240" w:lineRule="auto"/>
        <w:jc w:val="both"/>
        <w:rPr>
          <w:rFonts w:ascii="Cambria" w:eastAsia="Times New Roman" w:hAnsi="Cambria" w:cstheme="majorHAnsi"/>
          <w:color w:val="222222"/>
          <w:sz w:val="20"/>
          <w:szCs w:val="20"/>
        </w:rPr>
      </w:pPr>
      <w:r w:rsidRPr="006E557D">
        <w:rPr>
          <w:rFonts w:ascii="Cambria" w:hAnsi="Cambria" w:cstheme="majorHAnsi"/>
          <w:color w:val="222222"/>
          <w:sz w:val="20"/>
          <w:szCs w:val="20"/>
        </w:rPr>
        <w:t>Le Mexique pourrait</w:t>
      </w:r>
      <w:r w:rsidR="008B4E57" w:rsidRPr="006E557D">
        <w:rPr>
          <w:rFonts w:ascii="Cambria" w:hAnsi="Cambria" w:cstheme="majorHAnsi"/>
          <w:color w:val="222222"/>
          <w:sz w:val="20"/>
          <w:szCs w:val="20"/>
        </w:rPr>
        <w:t>-il</w:t>
      </w:r>
      <w:r w:rsidRPr="006E557D">
        <w:rPr>
          <w:rFonts w:ascii="Cambria" w:hAnsi="Cambria" w:cstheme="majorHAnsi"/>
          <w:color w:val="222222"/>
          <w:sz w:val="20"/>
          <w:szCs w:val="20"/>
        </w:rPr>
        <w:t xml:space="preserve"> expliquer comment il applique et respecte l'interdiction de retenir et de débarquer le requin océanique </w:t>
      </w:r>
      <w:r w:rsidR="00CC3A99" w:rsidRPr="006E557D">
        <w:rPr>
          <w:rFonts w:ascii="Cambria" w:hAnsi="Cambria" w:cstheme="majorHAnsi"/>
          <w:color w:val="222222"/>
          <w:sz w:val="20"/>
          <w:szCs w:val="20"/>
        </w:rPr>
        <w:t>conformément à</w:t>
      </w:r>
      <w:r w:rsidRPr="006E557D">
        <w:rPr>
          <w:rFonts w:ascii="Cambria" w:hAnsi="Cambria" w:cstheme="majorHAnsi"/>
          <w:color w:val="222222"/>
          <w:sz w:val="20"/>
          <w:szCs w:val="20"/>
        </w:rPr>
        <w:t xml:space="preserve"> la </w:t>
      </w:r>
      <w:hyperlink r:id="rId9" w:history="1">
        <w:r w:rsidR="00F32325" w:rsidRPr="006E557D">
          <w:rPr>
            <w:rStyle w:val="Hyperlink"/>
            <w:rFonts w:ascii="Cambria" w:hAnsi="Cambria" w:cstheme="majorHAnsi"/>
            <w:i/>
            <w:iCs/>
            <w:sz w:val="20"/>
            <w:szCs w:val="20"/>
            <w:u w:val="none"/>
          </w:rPr>
          <w:t xml:space="preserve">Recommandation de l’ICCAT sur la conservation du requin océanique capturé en association avec les pêcheries dans la zone de la Convention de l’ICCAT </w:t>
        </w:r>
        <w:r w:rsidRPr="006E557D">
          <w:rPr>
            <w:rStyle w:val="Hyperlink"/>
            <w:rFonts w:ascii="Cambria" w:hAnsi="Cambria" w:cstheme="majorHAnsi"/>
            <w:sz w:val="20"/>
            <w:szCs w:val="20"/>
            <w:u w:val="none"/>
          </w:rPr>
          <w:t>(Rec. 10-07)</w:t>
        </w:r>
      </w:hyperlink>
      <w:r w:rsidRPr="006E557D">
        <w:rPr>
          <w:rFonts w:ascii="Cambria" w:hAnsi="Cambria" w:cstheme="majorHAnsi"/>
          <w:color w:val="222222"/>
          <w:sz w:val="20"/>
          <w:szCs w:val="20"/>
        </w:rPr>
        <w:t>, à la lumière de ses déclarations de débarquement de requins océaniques.</w:t>
      </w:r>
    </w:p>
    <w:p w14:paraId="77165536" w14:textId="77777777" w:rsidR="00833840" w:rsidRPr="006E557D" w:rsidRDefault="00833840" w:rsidP="00240776">
      <w:pPr>
        <w:spacing w:after="0" w:line="240" w:lineRule="auto"/>
        <w:jc w:val="both"/>
        <w:rPr>
          <w:rFonts w:ascii="Cambria" w:eastAsia="Times New Roman" w:hAnsi="Cambria" w:cstheme="majorHAnsi"/>
          <w:color w:val="222222"/>
          <w:sz w:val="20"/>
          <w:szCs w:val="20"/>
        </w:rPr>
      </w:pPr>
    </w:p>
    <w:p w14:paraId="624C0692" w14:textId="6C01FAF9" w:rsidR="00816BDC" w:rsidRPr="006E557D" w:rsidRDefault="00816BDC" w:rsidP="00816BDC">
      <w:pPr>
        <w:spacing w:after="0" w:line="240" w:lineRule="auto"/>
        <w:jc w:val="both"/>
        <w:rPr>
          <w:rFonts w:ascii="Cambria" w:eastAsia="Times New Roman" w:hAnsi="Cambria" w:cs="Times New Roman"/>
          <w:color w:val="222222"/>
          <w:sz w:val="20"/>
          <w:szCs w:val="20"/>
        </w:rPr>
      </w:pPr>
      <w:bookmarkStart w:id="2" w:name="_Hlk181565837"/>
      <w:bookmarkEnd w:id="1"/>
      <w:r w:rsidRPr="006E557D">
        <w:rPr>
          <w:rFonts w:ascii="Cambria" w:hAnsi="Cambria"/>
          <w:b/>
          <w:i/>
          <w:iCs/>
          <w:color w:val="222222"/>
          <w:sz w:val="20"/>
        </w:rPr>
        <w:t>Réponse</w:t>
      </w:r>
      <w:r w:rsidR="00E408F0" w:rsidRPr="006E557D">
        <w:rPr>
          <w:rFonts w:ascii="Cambria" w:hAnsi="Cambria"/>
          <w:b/>
          <w:color w:val="222222"/>
          <w:sz w:val="20"/>
        </w:rPr>
        <w:t> :</w:t>
      </w:r>
      <w:r w:rsidR="008C467B" w:rsidRPr="006E557D">
        <w:rPr>
          <w:rFonts w:ascii="Cambria" w:hAnsi="Cambria"/>
          <w:b/>
          <w:color w:val="222222"/>
          <w:sz w:val="20"/>
        </w:rPr>
        <w:t xml:space="preserve"> </w:t>
      </w:r>
      <w:r w:rsidRPr="006E557D">
        <w:rPr>
          <w:rFonts w:ascii="Cambria" w:hAnsi="Cambria"/>
          <w:color w:val="222222"/>
          <w:sz w:val="20"/>
        </w:rPr>
        <w:t>Conformément à l'engagement pris par le Mexique lors de la 24ème réunion extraordinaire de la Commission internationale pour la conservation des thonidés de l'Atlantique (ICCAT), qui s'est tenue à Limassol</w:t>
      </w:r>
      <w:r w:rsidR="000239A7" w:rsidRPr="006E557D">
        <w:rPr>
          <w:rFonts w:ascii="Cambria" w:hAnsi="Cambria"/>
          <w:color w:val="222222"/>
          <w:sz w:val="20"/>
        </w:rPr>
        <w:t xml:space="preserve"> (</w:t>
      </w:r>
      <w:r w:rsidRPr="006E557D">
        <w:rPr>
          <w:rFonts w:ascii="Cambria" w:hAnsi="Cambria"/>
          <w:color w:val="222222"/>
          <w:sz w:val="20"/>
        </w:rPr>
        <w:t>Chypre, du 11 au 18 novembre 2024</w:t>
      </w:r>
      <w:r w:rsidR="000239A7" w:rsidRPr="006E557D">
        <w:rPr>
          <w:rFonts w:ascii="Cambria" w:hAnsi="Cambria"/>
          <w:color w:val="222222"/>
          <w:sz w:val="20"/>
        </w:rPr>
        <w:t>)</w:t>
      </w:r>
      <w:r w:rsidRPr="006E557D">
        <w:rPr>
          <w:rFonts w:ascii="Cambria" w:hAnsi="Cambria"/>
          <w:color w:val="222222"/>
          <w:sz w:val="20"/>
        </w:rPr>
        <w:t>, les dispositions suivantes ont été établies :</w:t>
      </w:r>
    </w:p>
    <w:p w14:paraId="19A507C0" w14:textId="77777777" w:rsidR="00816BDC" w:rsidRPr="006E557D" w:rsidRDefault="00816BDC" w:rsidP="00816BDC">
      <w:pPr>
        <w:spacing w:after="0" w:line="240" w:lineRule="auto"/>
        <w:jc w:val="both"/>
        <w:rPr>
          <w:rFonts w:ascii="Cambria" w:eastAsia="Times New Roman" w:hAnsi="Cambria" w:cs="Times New Roman"/>
          <w:color w:val="222222"/>
          <w:sz w:val="20"/>
          <w:szCs w:val="20"/>
        </w:rPr>
      </w:pPr>
    </w:p>
    <w:p w14:paraId="6B271C20" w14:textId="001F0FC5" w:rsidR="00816BDC" w:rsidRPr="006E557D" w:rsidRDefault="00816BDC" w:rsidP="001F164C">
      <w:pPr>
        <w:pStyle w:val="ListParagraph"/>
        <w:numPr>
          <w:ilvl w:val="0"/>
          <w:numId w:val="6"/>
        </w:numPr>
        <w:spacing w:after="0" w:line="240" w:lineRule="auto"/>
        <w:ind w:left="851" w:hanging="425"/>
        <w:jc w:val="both"/>
        <w:rPr>
          <w:rFonts w:ascii="Cambria" w:eastAsia="Times New Roman" w:hAnsi="Cambria" w:cs="Times New Roman"/>
          <w:color w:val="222222"/>
          <w:sz w:val="20"/>
          <w:szCs w:val="20"/>
        </w:rPr>
      </w:pPr>
      <w:r w:rsidRPr="006E557D">
        <w:rPr>
          <w:rFonts w:ascii="Cambria" w:hAnsi="Cambria"/>
          <w:color w:val="222222"/>
          <w:sz w:val="20"/>
        </w:rPr>
        <w:t>« </w:t>
      </w:r>
      <w:r w:rsidR="000239A7" w:rsidRPr="006E557D">
        <w:rPr>
          <w:rFonts w:ascii="Cambria" w:hAnsi="Cambria"/>
          <w:color w:val="222222"/>
          <w:sz w:val="20"/>
        </w:rPr>
        <w:t xml:space="preserve">L’Accord </w:t>
      </w:r>
      <w:r w:rsidRPr="006E557D">
        <w:rPr>
          <w:rFonts w:ascii="Cambria" w:hAnsi="Cambria"/>
          <w:color w:val="222222"/>
          <w:sz w:val="20"/>
        </w:rPr>
        <w:t xml:space="preserve">établissant diverses dispositions relatives à la pêche accidentelle de requins dans la pêcherie de thonidés par les grands palangriers dans le golfe du Mexique, la mer des Caraïbes et la zone de la Convention de la Commission internationale pour la conservation des thonidés de l’Atlantique (ICCAT) » a été publié le 2 octobre 2025 dans le Journal officiel de la </w:t>
      </w:r>
      <w:r w:rsidR="00B416C2" w:rsidRPr="006E557D">
        <w:rPr>
          <w:rFonts w:ascii="Cambria" w:hAnsi="Cambria"/>
          <w:color w:val="222222"/>
          <w:sz w:val="20"/>
        </w:rPr>
        <w:t xml:space="preserve">Fédération </w:t>
      </w:r>
      <w:r w:rsidRPr="006E557D">
        <w:rPr>
          <w:rFonts w:ascii="Cambria" w:hAnsi="Cambria"/>
          <w:color w:val="222222"/>
          <w:sz w:val="20"/>
        </w:rPr>
        <w:t>(DOF).</w:t>
      </w:r>
    </w:p>
    <w:p w14:paraId="566EED7C" w14:textId="77777777" w:rsidR="00816BDC" w:rsidRPr="006E557D" w:rsidRDefault="00816BDC" w:rsidP="00816BDC">
      <w:pPr>
        <w:pStyle w:val="ListParagraph"/>
        <w:spacing w:after="0" w:line="240" w:lineRule="auto"/>
        <w:jc w:val="both"/>
        <w:rPr>
          <w:rFonts w:ascii="Cambria" w:eastAsia="Times New Roman" w:hAnsi="Cambria" w:cs="Times New Roman"/>
          <w:color w:val="222222"/>
          <w:sz w:val="20"/>
          <w:szCs w:val="20"/>
        </w:rPr>
      </w:pPr>
    </w:p>
    <w:p w14:paraId="7899A39B" w14:textId="2EDEA00E" w:rsidR="00816BDC" w:rsidRPr="006E557D" w:rsidRDefault="00816BDC" w:rsidP="001F164C">
      <w:pPr>
        <w:pStyle w:val="ListParagraph"/>
        <w:numPr>
          <w:ilvl w:val="0"/>
          <w:numId w:val="6"/>
        </w:numPr>
        <w:spacing w:after="0" w:line="240" w:lineRule="auto"/>
        <w:ind w:left="851" w:hanging="425"/>
        <w:jc w:val="both"/>
        <w:rPr>
          <w:rFonts w:ascii="Cambria" w:eastAsia="Times New Roman" w:hAnsi="Cambria" w:cs="Times New Roman"/>
          <w:color w:val="222222"/>
          <w:sz w:val="20"/>
          <w:szCs w:val="20"/>
        </w:rPr>
      </w:pPr>
      <w:r w:rsidRPr="006E557D">
        <w:rPr>
          <w:rFonts w:ascii="Cambria" w:hAnsi="Cambria"/>
          <w:color w:val="222222"/>
          <w:sz w:val="20"/>
        </w:rPr>
        <w:t>Cet instrument réglementaire de caractère contraignant renforce l’application nationale des Recommandations 09-07, 10-07 et 10-08, en garantissant leur respect intégral. Parmi ses principales dispositions, l’</w:t>
      </w:r>
      <w:r w:rsidR="00951856" w:rsidRPr="006E557D">
        <w:rPr>
          <w:rFonts w:ascii="Cambria" w:hAnsi="Cambria"/>
          <w:color w:val="222222"/>
          <w:sz w:val="20"/>
        </w:rPr>
        <w:t>A</w:t>
      </w:r>
      <w:r w:rsidRPr="006E557D">
        <w:rPr>
          <w:rFonts w:ascii="Cambria" w:hAnsi="Cambria"/>
          <w:color w:val="222222"/>
          <w:sz w:val="20"/>
        </w:rPr>
        <w:t>ccord interdit de retenir à bord, stocker, transborder et débarquer la totalité ou des parties de spécimens des espèces suivantes capturées de forme accidentelle dans la zone de la Convention de l’ICCAT :</w:t>
      </w:r>
    </w:p>
    <w:p w14:paraId="39267149" w14:textId="77777777" w:rsidR="00816BDC" w:rsidRPr="006E557D" w:rsidRDefault="00816BDC" w:rsidP="00816BDC">
      <w:pPr>
        <w:pStyle w:val="ListParagraph"/>
        <w:spacing w:after="0" w:line="240" w:lineRule="auto"/>
        <w:rPr>
          <w:rFonts w:ascii="Cambria" w:eastAsia="Times New Roman" w:hAnsi="Cambria" w:cs="Times New Roman"/>
          <w:color w:val="222222"/>
          <w:sz w:val="20"/>
          <w:szCs w:val="20"/>
        </w:rPr>
      </w:pPr>
    </w:p>
    <w:p w14:paraId="12D4E0A7" w14:textId="77777777" w:rsidR="00816BDC" w:rsidRPr="006E557D" w:rsidRDefault="00816BDC" w:rsidP="001F164C">
      <w:pPr>
        <w:pStyle w:val="ListParagraph"/>
        <w:numPr>
          <w:ilvl w:val="1"/>
          <w:numId w:val="6"/>
        </w:numPr>
        <w:spacing w:after="0" w:line="240" w:lineRule="auto"/>
        <w:ind w:left="1276" w:hanging="425"/>
        <w:jc w:val="both"/>
        <w:rPr>
          <w:rFonts w:ascii="Cambria" w:eastAsia="Times New Roman" w:hAnsi="Cambria" w:cs="Times New Roman"/>
          <w:color w:val="222222"/>
          <w:sz w:val="20"/>
          <w:szCs w:val="20"/>
        </w:rPr>
      </w:pPr>
      <w:r w:rsidRPr="006E557D">
        <w:rPr>
          <w:rFonts w:ascii="Cambria" w:hAnsi="Cambria"/>
          <w:color w:val="222222"/>
          <w:sz w:val="20"/>
        </w:rPr>
        <w:t>renard à gros yeux (</w:t>
      </w:r>
      <w:r w:rsidRPr="006E557D">
        <w:rPr>
          <w:rFonts w:ascii="Cambria" w:hAnsi="Cambria"/>
          <w:i/>
          <w:color w:val="222222"/>
          <w:sz w:val="20"/>
        </w:rPr>
        <w:t>Alopias supercilliosus</w:t>
      </w:r>
      <w:r w:rsidRPr="006E557D">
        <w:rPr>
          <w:rFonts w:ascii="Cambria" w:hAnsi="Cambria"/>
          <w:color w:val="222222"/>
          <w:sz w:val="20"/>
        </w:rPr>
        <w:t>).</w:t>
      </w:r>
    </w:p>
    <w:p w14:paraId="0BBB2610" w14:textId="77777777" w:rsidR="00816BDC" w:rsidRPr="006E557D" w:rsidRDefault="00816BDC" w:rsidP="001F164C">
      <w:pPr>
        <w:pStyle w:val="ListParagraph"/>
        <w:numPr>
          <w:ilvl w:val="1"/>
          <w:numId w:val="6"/>
        </w:numPr>
        <w:spacing w:after="0" w:line="240" w:lineRule="auto"/>
        <w:ind w:left="1276" w:hanging="425"/>
        <w:jc w:val="both"/>
        <w:rPr>
          <w:rFonts w:ascii="Cambria" w:eastAsia="Times New Roman" w:hAnsi="Cambria" w:cs="Times New Roman"/>
          <w:color w:val="222222"/>
          <w:sz w:val="20"/>
          <w:szCs w:val="20"/>
        </w:rPr>
      </w:pPr>
      <w:r w:rsidRPr="006E557D">
        <w:rPr>
          <w:rFonts w:ascii="Cambria" w:hAnsi="Cambria"/>
          <w:color w:val="222222"/>
          <w:sz w:val="20"/>
        </w:rPr>
        <w:t>requin océanique (</w:t>
      </w:r>
      <w:r w:rsidRPr="006E557D">
        <w:rPr>
          <w:rFonts w:ascii="Cambria" w:hAnsi="Cambria"/>
          <w:i/>
          <w:color w:val="222222"/>
          <w:sz w:val="20"/>
        </w:rPr>
        <w:t>Carcharhinus longimanus</w:t>
      </w:r>
      <w:r w:rsidRPr="006E557D">
        <w:rPr>
          <w:rFonts w:ascii="Cambria" w:hAnsi="Cambria"/>
          <w:color w:val="222222"/>
          <w:sz w:val="20"/>
        </w:rPr>
        <w:t xml:space="preserve">), requins du genre Sphyrna (« requins marteau ») à l’exception de l’espèce </w:t>
      </w:r>
      <w:r w:rsidRPr="006E557D">
        <w:rPr>
          <w:rFonts w:ascii="Cambria" w:hAnsi="Cambria"/>
          <w:i/>
          <w:iCs/>
          <w:color w:val="222222"/>
          <w:sz w:val="20"/>
        </w:rPr>
        <w:t>Sphyrna tiburo</w:t>
      </w:r>
      <w:r w:rsidRPr="006E557D">
        <w:rPr>
          <w:rFonts w:ascii="Cambria" w:hAnsi="Cambria"/>
          <w:color w:val="222222"/>
          <w:sz w:val="20"/>
        </w:rPr>
        <w:t>.</w:t>
      </w:r>
    </w:p>
    <w:p w14:paraId="25AFDA8D" w14:textId="34CEF927" w:rsidR="00816BDC" w:rsidRPr="006E557D" w:rsidRDefault="00816BDC" w:rsidP="001F164C">
      <w:pPr>
        <w:pStyle w:val="ListParagraph"/>
        <w:numPr>
          <w:ilvl w:val="1"/>
          <w:numId w:val="6"/>
        </w:numPr>
        <w:spacing w:after="0" w:line="240" w:lineRule="auto"/>
        <w:ind w:left="1276" w:hanging="425"/>
        <w:jc w:val="both"/>
        <w:rPr>
          <w:rFonts w:ascii="Cambria" w:eastAsia="Times New Roman" w:hAnsi="Cambria" w:cs="Times New Roman"/>
          <w:color w:val="222222"/>
          <w:sz w:val="20"/>
          <w:szCs w:val="20"/>
        </w:rPr>
      </w:pPr>
      <w:r w:rsidRPr="006E557D">
        <w:rPr>
          <w:rFonts w:ascii="Cambria" w:hAnsi="Cambria"/>
          <w:color w:val="222222"/>
          <w:sz w:val="20"/>
        </w:rPr>
        <w:t>requin soyeux (</w:t>
      </w:r>
      <w:r w:rsidRPr="006E557D">
        <w:rPr>
          <w:rFonts w:ascii="Cambria" w:hAnsi="Cambria"/>
          <w:i/>
          <w:iCs/>
          <w:color w:val="222222"/>
          <w:sz w:val="20"/>
        </w:rPr>
        <w:t>Carcharhinus falciformis</w:t>
      </w:r>
      <w:r w:rsidRPr="006E557D">
        <w:rPr>
          <w:rFonts w:ascii="Cambria" w:hAnsi="Cambria"/>
          <w:color w:val="222222"/>
          <w:sz w:val="20"/>
        </w:rPr>
        <w:t>), connu au Mexique sous le nom de « tiburón sedoso » ou « tiburón puntas negras »</w:t>
      </w:r>
      <w:r w:rsidR="00BA7207" w:rsidRPr="006E557D">
        <w:rPr>
          <w:rFonts w:ascii="Cambria" w:hAnsi="Cambria"/>
          <w:color w:val="222222"/>
          <w:sz w:val="20"/>
        </w:rPr>
        <w:t>.</w:t>
      </w:r>
    </w:p>
    <w:p w14:paraId="6660298A" w14:textId="77777777" w:rsidR="00816BDC" w:rsidRPr="006E557D" w:rsidRDefault="00816BDC" w:rsidP="00816BDC">
      <w:pPr>
        <w:pStyle w:val="ListParagraph"/>
        <w:spacing w:after="0" w:line="240" w:lineRule="auto"/>
        <w:ind w:left="1440"/>
        <w:jc w:val="both"/>
        <w:rPr>
          <w:rFonts w:ascii="Cambria" w:eastAsia="Times New Roman" w:hAnsi="Cambria" w:cs="Times New Roman"/>
          <w:color w:val="222222"/>
          <w:sz w:val="20"/>
          <w:szCs w:val="20"/>
        </w:rPr>
      </w:pPr>
    </w:p>
    <w:p w14:paraId="12267691" w14:textId="77777777" w:rsidR="00816BDC" w:rsidRPr="006E557D" w:rsidRDefault="00816BDC" w:rsidP="001F164C">
      <w:pPr>
        <w:pStyle w:val="ListParagraph"/>
        <w:numPr>
          <w:ilvl w:val="0"/>
          <w:numId w:val="6"/>
        </w:numPr>
        <w:spacing w:after="0" w:line="240" w:lineRule="auto"/>
        <w:ind w:left="851" w:hanging="425"/>
        <w:jc w:val="both"/>
        <w:rPr>
          <w:rFonts w:ascii="Cambria" w:eastAsia="Times New Roman" w:hAnsi="Cambria" w:cs="Times New Roman"/>
          <w:color w:val="222222"/>
          <w:sz w:val="20"/>
          <w:szCs w:val="20"/>
        </w:rPr>
      </w:pPr>
      <w:r w:rsidRPr="006E557D">
        <w:rPr>
          <w:rFonts w:ascii="Cambria" w:hAnsi="Cambria"/>
          <w:color w:val="222222"/>
          <w:sz w:val="20"/>
        </w:rPr>
        <w:t>En outre, l’Accord stipule que les spécimens de requins indiqués dans l’Accord, ainsi que d’autres espèces non ciblées faisant l’objet d’un régime de protection spécial, qui sont capturés devront être remis à l’eau dans les meilleures conditions de survie, renforçant ainsi les mesures de conservation et de durabilité de la pêche.</w:t>
      </w:r>
    </w:p>
    <w:p w14:paraId="689F4D93" w14:textId="77777777" w:rsidR="00816BDC" w:rsidRPr="006E557D" w:rsidRDefault="00816BDC" w:rsidP="00816BDC">
      <w:pPr>
        <w:pStyle w:val="ListParagraph"/>
        <w:spacing w:after="0" w:line="240" w:lineRule="auto"/>
        <w:jc w:val="both"/>
        <w:rPr>
          <w:rFonts w:ascii="Cambria" w:eastAsia="Times New Roman" w:hAnsi="Cambria" w:cs="Times New Roman"/>
          <w:color w:val="222222"/>
          <w:sz w:val="20"/>
          <w:szCs w:val="20"/>
        </w:rPr>
      </w:pPr>
    </w:p>
    <w:p w14:paraId="426FE362" w14:textId="510A03CB" w:rsidR="00816BDC" w:rsidRPr="006E557D" w:rsidRDefault="00816BDC" w:rsidP="001F164C">
      <w:pPr>
        <w:pStyle w:val="ListParagraph"/>
        <w:numPr>
          <w:ilvl w:val="0"/>
          <w:numId w:val="6"/>
        </w:numPr>
        <w:spacing w:after="0" w:line="240" w:lineRule="auto"/>
        <w:ind w:left="851" w:hanging="425"/>
        <w:jc w:val="both"/>
        <w:rPr>
          <w:rFonts w:ascii="Cambria" w:eastAsia="Times New Roman" w:hAnsi="Cambria" w:cs="Times New Roman"/>
          <w:color w:val="222222"/>
          <w:sz w:val="20"/>
          <w:szCs w:val="20"/>
        </w:rPr>
      </w:pPr>
      <w:r w:rsidRPr="006E557D">
        <w:rPr>
          <w:rFonts w:ascii="Cambria" w:hAnsi="Cambria"/>
          <w:color w:val="222222"/>
          <w:sz w:val="20"/>
        </w:rPr>
        <w:t xml:space="preserve">Ces dispositions sont obligatoires pour les titulaires de concessions et de permis de pêche, ainsi que pour les capitaines ou patrons de pêche, </w:t>
      </w:r>
      <w:r w:rsidR="00885FF1" w:rsidRPr="006E557D">
        <w:rPr>
          <w:rFonts w:ascii="Cambria" w:hAnsi="Cambria"/>
          <w:color w:val="222222"/>
          <w:sz w:val="20"/>
        </w:rPr>
        <w:t>mécaniciens</w:t>
      </w:r>
      <w:r w:rsidRPr="006E557D">
        <w:rPr>
          <w:rFonts w:ascii="Cambria" w:hAnsi="Cambria"/>
          <w:color w:val="222222"/>
          <w:sz w:val="20"/>
        </w:rPr>
        <w:t xml:space="preserve"> ou opérateurs, pêcheurs et </w:t>
      </w:r>
      <w:r w:rsidR="00885FF1" w:rsidRPr="006E557D">
        <w:rPr>
          <w:rFonts w:ascii="Cambria" w:hAnsi="Cambria"/>
          <w:color w:val="222222"/>
          <w:sz w:val="20"/>
        </w:rPr>
        <w:t>membres de l’</w:t>
      </w:r>
      <w:r w:rsidRPr="006E557D">
        <w:rPr>
          <w:rFonts w:ascii="Cambria" w:hAnsi="Cambria"/>
          <w:color w:val="222222"/>
          <w:sz w:val="20"/>
        </w:rPr>
        <w:t>équipage de ces navires et autres personnes réalisant des activités de pêche de thonidés dans les eaux relevant de la juridiction fédérale du Mexique du golfe du Mexique, de la mer des Caraïbes et de la zone de la Convention de la Commission internationale pour la conservation des thonidés de l’Atlantique (ICCAT).</w:t>
      </w:r>
    </w:p>
    <w:p w14:paraId="72BC0DF4" w14:textId="77777777" w:rsidR="006D01DE" w:rsidRPr="006E557D" w:rsidRDefault="006D01DE">
      <w:pPr>
        <w:rPr>
          <w:rFonts w:ascii="Cambria" w:hAnsi="Cambria"/>
          <w:color w:val="222222"/>
          <w:sz w:val="20"/>
        </w:rPr>
      </w:pPr>
      <w:r w:rsidRPr="006E557D">
        <w:rPr>
          <w:rFonts w:ascii="Cambria" w:hAnsi="Cambria"/>
          <w:color w:val="222222"/>
          <w:sz w:val="20"/>
        </w:rPr>
        <w:br w:type="page"/>
      </w:r>
    </w:p>
    <w:p w14:paraId="2B972437" w14:textId="6CFAF5FE" w:rsidR="00816BDC" w:rsidRPr="006E557D" w:rsidRDefault="00816BDC" w:rsidP="001F164C">
      <w:pPr>
        <w:pStyle w:val="ListParagraph"/>
        <w:numPr>
          <w:ilvl w:val="0"/>
          <w:numId w:val="6"/>
        </w:numPr>
        <w:spacing w:after="0" w:line="240" w:lineRule="auto"/>
        <w:ind w:left="851" w:hanging="425"/>
        <w:jc w:val="both"/>
        <w:rPr>
          <w:rFonts w:ascii="Cambria" w:eastAsia="Times New Roman" w:hAnsi="Cambria" w:cs="Times New Roman"/>
          <w:color w:val="222222"/>
          <w:sz w:val="20"/>
          <w:szCs w:val="20"/>
        </w:rPr>
      </w:pPr>
      <w:r w:rsidRPr="006E557D">
        <w:rPr>
          <w:rFonts w:ascii="Cambria" w:hAnsi="Cambria"/>
          <w:color w:val="222222"/>
          <w:sz w:val="20"/>
        </w:rPr>
        <w:t>De plus, il prévoit que les personnes qui ne respectent pas ces dispositions sont passibles des sanctions établies dans la Loi générale sur la pêche et l'aquaculture durables ainsi que dans les autres dispositions juridiques applicables.</w:t>
      </w:r>
    </w:p>
    <w:p w14:paraId="6055278C" w14:textId="77777777" w:rsidR="00816BDC" w:rsidRPr="006E557D" w:rsidRDefault="00816BDC" w:rsidP="00816BDC">
      <w:pPr>
        <w:pStyle w:val="ListParagraph"/>
        <w:spacing w:after="0" w:line="240" w:lineRule="auto"/>
        <w:rPr>
          <w:rFonts w:ascii="Cambria" w:eastAsia="Times New Roman" w:hAnsi="Cambria" w:cs="Times New Roman"/>
          <w:color w:val="222222"/>
          <w:sz w:val="20"/>
          <w:szCs w:val="20"/>
        </w:rPr>
      </w:pPr>
    </w:p>
    <w:p w14:paraId="3DDB1055" w14:textId="77777777" w:rsidR="00816BDC" w:rsidRPr="006E557D" w:rsidRDefault="00816BDC" w:rsidP="001F164C">
      <w:pPr>
        <w:pStyle w:val="ListParagraph"/>
        <w:numPr>
          <w:ilvl w:val="0"/>
          <w:numId w:val="6"/>
        </w:numPr>
        <w:spacing w:after="0" w:line="240" w:lineRule="auto"/>
        <w:ind w:left="851" w:hanging="425"/>
        <w:jc w:val="both"/>
        <w:rPr>
          <w:rFonts w:ascii="Cambria" w:eastAsia="Times New Roman" w:hAnsi="Cambria" w:cs="Times New Roman"/>
          <w:color w:val="222222"/>
          <w:sz w:val="20"/>
          <w:szCs w:val="20"/>
        </w:rPr>
      </w:pPr>
      <w:r w:rsidRPr="006E557D">
        <w:rPr>
          <w:rFonts w:ascii="Cambria" w:hAnsi="Cambria"/>
          <w:color w:val="222222"/>
          <w:sz w:val="20"/>
        </w:rPr>
        <w:t>Le respect du présent Accord est contrôlé par le ministère de l'agriculture et du développement rural (agriculture), par l'intermédiaire de la CONAPESCA, ainsi que par le ministère de la marine, dans le cadre de leurs compétences respectives.</w:t>
      </w:r>
    </w:p>
    <w:p w14:paraId="180E6AFE" w14:textId="77777777" w:rsidR="00816BDC" w:rsidRPr="006E557D" w:rsidRDefault="00816BDC" w:rsidP="00816BDC">
      <w:pPr>
        <w:pStyle w:val="ListParagraph"/>
        <w:spacing w:after="0" w:line="240" w:lineRule="auto"/>
        <w:rPr>
          <w:rFonts w:ascii="Cambria" w:eastAsia="Times New Roman" w:hAnsi="Cambria" w:cs="Times New Roman"/>
          <w:color w:val="222222"/>
          <w:sz w:val="20"/>
          <w:szCs w:val="20"/>
        </w:rPr>
      </w:pPr>
    </w:p>
    <w:p w14:paraId="7C2B4B24" w14:textId="77777777" w:rsidR="00816BDC" w:rsidRPr="006E557D" w:rsidRDefault="00816BDC" w:rsidP="001F164C">
      <w:pPr>
        <w:pStyle w:val="ListParagraph"/>
        <w:numPr>
          <w:ilvl w:val="0"/>
          <w:numId w:val="6"/>
        </w:numPr>
        <w:spacing w:after="0" w:line="240" w:lineRule="auto"/>
        <w:ind w:left="851" w:hanging="425"/>
        <w:jc w:val="both"/>
        <w:rPr>
          <w:rFonts w:ascii="Cambria" w:eastAsia="Times New Roman" w:hAnsi="Cambria" w:cs="Times New Roman"/>
          <w:color w:val="222222"/>
          <w:sz w:val="20"/>
          <w:szCs w:val="20"/>
        </w:rPr>
      </w:pPr>
      <w:r w:rsidRPr="006E557D">
        <w:rPr>
          <w:rFonts w:ascii="Cambria" w:hAnsi="Cambria"/>
          <w:color w:val="222222"/>
          <w:sz w:val="20"/>
        </w:rPr>
        <w:t xml:space="preserve">En plus de ce qui précède, et comme cela a déjà été dit à plusieurs reprises, le Mexique dispose, entre autres, des instruments réglementaires suivants en matière de gestion et de protection des requins : </w:t>
      </w:r>
    </w:p>
    <w:p w14:paraId="23EE9F1D" w14:textId="77777777" w:rsidR="00816BDC" w:rsidRPr="006E557D" w:rsidRDefault="00816BDC" w:rsidP="00816BDC">
      <w:pPr>
        <w:pStyle w:val="ListParagraph"/>
        <w:spacing w:after="0" w:line="240" w:lineRule="auto"/>
        <w:rPr>
          <w:rFonts w:ascii="Cambria" w:eastAsia="Times New Roman" w:hAnsi="Cambria" w:cs="Times New Roman"/>
          <w:color w:val="222222"/>
          <w:sz w:val="20"/>
          <w:szCs w:val="20"/>
        </w:rPr>
      </w:pPr>
    </w:p>
    <w:p w14:paraId="145AD8E8" w14:textId="568BBB3D" w:rsidR="00816BDC" w:rsidRPr="006E557D" w:rsidRDefault="00816BDC" w:rsidP="001F164C">
      <w:pPr>
        <w:pStyle w:val="ListParagraph"/>
        <w:numPr>
          <w:ilvl w:val="0"/>
          <w:numId w:val="7"/>
        </w:numPr>
        <w:spacing w:after="0" w:line="240" w:lineRule="auto"/>
        <w:ind w:left="1276" w:hanging="425"/>
        <w:jc w:val="both"/>
        <w:rPr>
          <w:rFonts w:ascii="Cambria" w:eastAsia="Times New Roman" w:hAnsi="Cambria" w:cs="Times New Roman"/>
          <w:color w:val="222222"/>
          <w:sz w:val="20"/>
          <w:szCs w:val="20"/>
        </w:rPr>
      </w:pPr>
      <w:r w:rsidRPr="006E557D">
        <w:rPr>
          <w:rFonts w:ascii="Cambria" w:hAnsi="Cambria"/>
          <w:color w:val="222222"/>
          <w:sz w:val="20"/>
        </w:rPr>
        <w:t xml:space="preserve">Norme officielle mexicaine NOM-029-PESC-2006, Pêche responsable de requins et de raies. Spécifications pour </w:t>
      </w:r>
      <w:r w:rsidR="00265FFB" w:rsidRPr="006E557D">
        <w:rPr>
          <w:rFonts w:ascii="Cambria" w:hAnsi="Cambria"/>
          <w:color w:val="222222"/>
          <w:sz w:val="20"/>
        </w:rPr>
        <w:t>leur</w:t>
      </w:r>
      <w:r w:rsidRPr="006E557D">
        <w:rPr>
          <w:rFonts w:ascii="Cambria" w:hAnsi="Cambria"/>
          <w:color w:val="222222"/>
          <w:sz w:val="20"/>
        </w:rPr>
        <w:t xml:space="preserve"> </w:t>
      </w:r>
      <w:r w:rsidR="0018692A" w:rsidRPr="006E557D">
        <w:rPr>
          <w:rFonts w:ascii="Cambria" w:hAnsi="Cambria"/>
          <w:color w:val="222222"/>
          <w:sz w:val="20"/>
        </w:rPr>
        <w:t>exploitation</w:t>
      </w:r>
      <w:r w:rsidRPr="006E557D">
        <w:rPr>
          <w:rFonts w:ascii="Cambria" w:hAnsi="Cambria"/>
          <w:color w:val="222222"/>
          <w:sz w:val="20"/>
        </w:rPr>
        <w:t>.</w:t>
      </w:r>
    </w:p>
    <w:p w14:paraId="7C3FE6B0" w14:textId="77777777" w:rsidR="00816BDC" w:rsidRPr="006E557D" w:rsidRDefault="00816BDC" w:rsidP="001F164C">
      <w:pPr>
        <w:pStyle w:val="ListParagraph"/>
        <w:numPr>
          <w:ilvl w:val="0"/>
          <w:numId w:val="7"/>
        </w:numPr>
        <w:spacing w:after="0" w:line="240" w:lineRule="auto"/>
        <w:ind w:left="1276" w:hanging="425"/>
        <w:jc w:val="both"/>
        <w:rPr>
          <w:rFonts w:ascii="Cambria" w:eastAsia="Times New Roman" w:hAnsi="Cambria" w:cs="Times New Roman"/>
          <w:color w:val="222222"/>
          <w:sz w:val="20"/>
          <w:szCs w:val="20"/>
        </w:rPr>
      </w:pPr>
      <w:r w:rsidRPr="006E557D">
        <w:rPr>
          <w:rFonts w:ascii="Cambria" w:hAnsi="Cambria"/>
          <w:color w:val="222222"/>
          <w:sz w:val="20"/>
        </w:rPr>
        <w:t>Périodes de fermeture pour les requins et les raies dans le golfe du Mexique.</w:t>
      </w:r>
    </w:p>
    <w:p w14:paraId="3A81E6CC" w14:textId="77777777" w:rsidR="00816BDC" w:rsidRPr="006E557D" w:rsidRDefault="00816BDC" w:rsidP="001F164C">
      <w:pPr>
        <w:pStyle w:val="ListParagraph"/>
        <w:numPr>
          <w:ilvl w:val="0"/>
          <w:numId w:val="7"/>
        </w:numPr>
        <w:spacing w:after="0" w:line="240" w:lineRule="auto"/>
        <w:ind w:left="1276" w:hanging="425"/>
        <w:jc w:val="both"/>
        <w:rPr>
          <w:rFonts w:ascii="Cambria" w:eastAsia="Times New Roman" w:hAnsi="Cambria" w:cs="Times New Roman"/>
          <w:color w:val="222222"/>
          <w:sz w:val="20"/>
          <w:szCs w:val="20"/>
        </w:rPr>
      </w:pPr>
      <w:r w:rsidRPr="006E557D">
        <w:rPr>
          <w:rFonts w:ascii="Cambria" w:hAnsi="Cambria"/>
          <w:color w:val="222222"/>
          <w:sz w:val="20"/>
        </w:rPr>
        <w:t>Plan de gestion de la pêche des requins et des raies dans le golfe du Mexique et la mer des Caraïbes.</w:t>
      </w:r>
    </w:p>
    <w:p w14:paraId="247FF980" w14:textId="77777777" w:rsidR="00816BDC" w:rsidRPr="006E557D" w:rsidRDefault="00816BDC" w:rsidP="001F164C">
      <w:pPr>
        <w:pStyle w:val="ListParagraph"/>
        <w:numPr>
          <w:ilvl w:val="0"/>
          <w:numId w:val="7"/>
        </w:numPr>
        <w:spacing w:after="0" w:line="240" w:lineRule="auto"/>
        <w:ind w:left="1276" w:hanging="425"/>
        <w:jc w:val="both"/>
        <w:rPr>
          <w:rFonts w:ascii="Cambria" w:eastAsia="Times New Roman" w:hAnsi="Cambria" w:cs="Times New Roman"/>
          <w:color w:val="222222"/>
          <w:sz w:val="20"/>
          <w:szCs w:val="20"/>
        </w:rPr>
      </w:pPr>
      <w:r w:rsidRPr="006E557D">
        <w:rPr>
          <w:rFonts w:ascii="Cambria" w:hAnsi="Cambria"/>
          <w:color w:val="222222"/>
          <w:sz w:val="20"/>
        </w:rPr>
        <w:t>Plan d'action national pour la gestion et la conservation des requins, des raies et des espèces apparentées au Mexique (PANMCT, deuxième édition).</w:t>
      </w:r>
    </w:p>
    <w:p w14:paraId="5C9371B9" w14:textId="77777777" w:rsidR="00816BDC" w:rsidRPr="006E557D" w:rsidRDefault="00816BDC" w:rsidP="001F164C">
      <w:pPr>
        <w:spacing w:after="0" w:line="240" w:lineRule="auto"/>
        <w:jc w:val="both"/>
        <w:rPr>
          <w:rFonts w:ascii="Cambria" w:eastAsia="Times New Roman" w:hAnsi="Cambria" w:cs="Times New Roman"/>
          <w:color w:val="222222"/>
          <w:sz w:val="20"/>
          <w:szCs w:val="20"/>
        </w:rPr>
      </w:pPr>
    </w:p>
    <w:p w14:paraId="1F7EB853" w14:textId="21E7BFF9" w:rsidR="00816BDC" w:rsidRPr="006E557D" w:rsidRDefault="00816BDC" w:rsidP="00816BDC">
      <w:pPr>
        <w:spacing w:after="0" w:line="240" w:lineRule="auto"/>
        <w:jc w:val="both"/>
        <w:rPr>
          <w:rFonts w:ascii="Cambria" w:eastAsia="Times New Roman" w:hAnsi="Cambria" w:cs="Times New Roman"/>
          <w:color w:val="222222"/>
          <w:sz w:val="20"/>
          <w:szCs w:val="20"/>
        </w:rPr>
      </w:pPr>
      <w:r w:rsidRPr="006E557D">
        <w:rPr>
          <w:rFonts w:ascii="Cambria" w:hAnsi="Cambria"/>
          <w:color w:val="222222"/>
          <w:sz w:val="20"/>
        </w:rPr>
        <w:t xml:space="preserve">Ce qui précède confirme l'engagement ferme du Mexique à respecter </w:t>
      </w:r>
      <w:r w:rsidR="00F44023" w:rsidRPr="006E557D">
        <w:rPr>
          <w:rFonts w:ascii="Cambria" w:hAnsi="Cambria"/>
          <w:color w:val="222222"/>
          <w:sz w:val="20"/>
        </w:rPr>
        <w:t xml:space="preserve">strictement </w:t>
      </w:r>
      <w:r w:rsidRPr="006E557D">
        <w:rPr>
          <w:rFonts w:ascii="Cambria" w:hAnsi="Cambria"/>
          <w:color w:val="222222"/>
          <w:sz w:val="20"/>
        </w:rPr>
        <w:t>les obligations internationales en matière de conservation et de gestion responsable des espèces de grands migrateurs, notamment de l’ICCAT, et continue à renforcer les mécanismes nationaux visant à garantir la traçabilité, la provenance légale et la durabilité des pêcheries relevant de sa juridiction.</w:t>
      </w:r>
    </w:p>
    <w:p w14:paraId="093B33BF" w14:textId="77777777" w:rsidR="00240776" w:rsidRPr="006E557D" w:rsidRDefault="00240776" w:rsidP="00240776">
      <w:pPr>
        <w:spacing w:after="0" w:line="240" w:lineRule="auto"/>
        <w:jc w:val="both"/>
        <w:rPr>
          <w:rFonts w:ascii="Cambria" w:eastAsia="Times New Roman" w:hAnsi="Cambria" w:cstheme="majorHAnsi"/>
          <w:b/>
          <w:bCs/>
          <w:color w:val="222222"/>
          <w:sz w:val="20"/>
          <w:szCs w:val="20"/>
        </w:rPr>
      </w:pPr>
    </w:p>
    <w:p w14:paraId="214FC6EC" w14:textId="580C87B6" w:rsidR="00F44023" w:rsidRPr="006E557D" w:rsidRDefault="00F44023" w:rsidP="00F44023">
      <w:pPr>
        <w:spacing w:after="0" w:line="240" w:lineRule="auto"/>
        <w:jc w:val="both"/>
        <w:rPr>
          <w:rFonts w:ascii="Cambria" w:eastAsia="Times New Roman" w:hAnsi="Cambria" w:cstheme="majorHAnsi"/>
          <w:b/>
          <w:bCs/>
          <w:color w:val="222222"/>
          <w:sz w:val="20"/>
          <w:szCs w:val="20"/>
        </w:rPr>
      </w:pPr>
      <w:r w:rsidRPr="006E557D">
        <w:rPr>
          <w:rFonts w:ascii="Cambria" w:hAnsi="Cambria" w:cstheme="majorHAnsi"/>
          <w:b/>
          <w:color w:val="222222"/>
          <w:sz w:val="20"/>
          <w:szCs w:val="20"/>
        </w:rPr>
        <w:t>A l’attention de la Namibie</w:t>
      </w:r>
      <w:r w:rsidR="00021AC4" w:rsidRPr="006E557D">
        <w:rPr>
          <w:rFonts w:ascii="Cambria" w:hAnsi="Cambria" w:cstheme="majorHAnsi"/>
          <w:b/>
          <w:color w:val="222222"/>
          <w:sz w:val="20"/>
          <w:szCs w:val="20"/>
        </w:rPr>
        <w:t> :</w:t>
      </w:r>
    </w:p>
    <w:p w14:paraId="17C951B2" w14:textId="77777777" w:rsidR="00F44023" w:rsidRPr="006E557D" w:rsidRDefault="00F44023" w:rsidP="00240776">
      <w:pPr>
        <w:spacing w:after="0" w:line="240" w:lineRule="auto"/>
        <w:jc w:val="both"/>
        <w:rPr>
          <w:rFonts w:ascii="Cambria" w:eastAsia="Times New Roman" w:hAnsi="Cambria" w:cstheme="majorHAnsi"/>
          <w:b/>
          <w:bCs/>
          <w:color w:val="222222"/>
          <w:sz w:val="20"/>
          <w:szCs w:val="20"/>
        </w:rPr>
      </w:pPr>
    </w:p>
    <w:p w14:paraId="46B218BF" w14:textId="6E6BAC18" w:rsidR="00DE003E" w:rsidRPr="006E557D" w:rsidRDefault="00C06B4A" w:rsidP="00240776">
      <w:pPr>
        <w:spacing w:after="0" w:line="240" w:lineRule="auto"/>
        <w:jc w:val="both"/>
        <w:rPr>
          <w:rFonts w:ascii="Cambria" w:eastAsia="Times New Roman" w:hAnsi="Cambria" w:cstheme="majorHAnsi"/>
          <w:color w:val="222222"/>
          <w:sz w:val="20"/>
          <w:szCs w:val="20"/>
        </w:rPr>
      </w:pPr>
      <w:r w:rsidRPr="006E557D">
        <w:rPr>
          <w:rFonts w:ascii="Cambria" w:hAnsi="Cambria" w:cstheme="majorHAnsi"/>
          <w:color w:val="222222"/>
          <w:sz w:val="20"/>
          <w:szCs w:val="20"/>
        </w:rPr>
        <w:t>La Namibie pourrait</w:t>
      </w:r>
      <w:r w:rsidR="00F44023" w:rsidRPr="006E557D">
        <w:rPr>
          <w:rFonts w:ascii="Cambria" w:hAnsi="Cambria" w:cstheme="majorHAnsi"/>
          <w:color w:val="222222"/>
          <w:sz w:val="20"/>
          <w:szCs w:val="20"/>
        </w:rPr>
        <w:t>-elle</w:t>
      </w:r>
      <w:r w:rsidRPr="006E557D">
        <w:rPr>
          <w:rFonts w:ascii="Cambria" w:hAnsi="Cambria" w:cstheme="majorHAnsi"/>
          <w:color w:val="222222"/>
          <w:sz w:val="20"/>
          <w:szCs w:val="20"/>
        </w:rPr>
        <w:t xml:space="preserve"> expliquer comment elle met en œuvre et respecte la limite de débarquement pour le requin-taupe bleu de l'Atlantique Sud </w:t>
      </w:r>
      <w:r w:rsidR="00F44023" w:rsidRPr="006E557D">
        <w:rPr>
          <w:rFonts w:ascii="Cambria" w:hAnsi="Cambria" w:cstheme="majorHAnsi"/>
          <w:color w:val="222222"/>
          <w:sz w:val="20"/>
          <w:szCs w:val="20"/>
        </w:rPr>
        <w:t>conformément à</w:t>
      </w:r>
      <w:r w:rsidRPr="006E557D">
        <w:rPr>
          <w:rFonts w:ascii="Cambria" w:hAnsi="Cambria" w:cstheme="majorHAnsi"/>
          <w:color w:val="222222"/>
          <w:sz w:val="20"/>
          <w:szCs w:val="20"/>
        </w:rPr>
        <w:t xml:space="preserve"> la </w:t>
      </w:r>
      <w:hyperlink r:id="rId10" w:history="1">
        <w:r w:rsidRPr="006E557D">
          <w:rPr>
            <w:rStyle w:val="Hyperlink"/>
            <w:rFonts w:ascii="Cambria" w:hAnsi="Cambria" w:cstheme="majorHAnsi"/>
            <w:i/>
            <w:iCs/>
            <w:sz w:val="20"/>
            <w:szCs w:val="20"/>
            <w:u w:val="none"/>
          </w:rPr>
          <w:t>Recommandation de l’ICCAT sur la conservation du stock de requin-taupe bleu de l'Atlantique Sud capturé en association avec les pêcheries de l’ICCAT</w:t>
        </w:r>
        <w:r w:rsidRPr="006E557D">
          <w:rPr>
            <w:rStyle w:val="Hyperlink"/>
            <w:rFonts w:ascii="Cambria" w:hAnsi="Cambria" w:cstheme="majorHAnsi"/>
            <w:sz w:val="20"/>
            <w:szCs w:val="20"/>
            <w:u w:val="none"/>
          </w:rPr>
          <w:t xml:space="preserve"> (Rec. 22-11)</w:t>
        </w:r>
      </w:hyperlink>
      <w:r w:rsidRPr="006E557D">
        <w:rPr>
          <w:rFonts w:ascii="Cambria" w:hAnsi="Cambria" w:cstheme="majorHAnsi"/>
          <w:color w:val="222222"/>
          <w:sz w:val="20"/>
          <w:szCs w:val="20"/>
        </w:rPr>
        <w:t xml:space="preserve">, compte tenu de ses débarquements excédentaires déclarés pour 2023. </w:t>
      </w:r>
    </w:p>
    <w:bookmarkEnd w:id="2"/>
    <w:p w14:paraId="396C4349" w14:textId="77777777" w:rsidR="00DE003E" w:rsidRDefault="00DE003E" w:rsidP="00240776">
      <w:pPr>
        <w:spacing w:after="0" w:line="240" w:lineRule="auto"/>
        <w:jc w:val="both"/>
        <w:rPr>
          <w:rFonts w:ascii="Cambria" w:eastAsia="Times New Roman" w:hAnsi="Cambria" w:cstheme="majorHAnsi"/>
          <w:color w:val="222222"/>
          <w:sz w:val="20"/>
          <w:szCs w:val="20"/>
        </w:rPr>
      </w:pPr>
    </w:p>
    <w:p w14:paraId="219DA0CF" w14:textId="74B1AC6E" w:rsidR="00232EFA" w:rsidRPr="00232EFA" w:rsidRDefault="00232EFA" w:rsidP="00232EFA">
      <w:pPr>
        <w:spacing w:after="0" w:line="240" w:lineRule="auto"/>
        <w:jc w:val="both"/>
        <w:rPr>
          <w:rFonts w:ascii="Cambria" w:eastAsia="Times New Roman" w:hAnsi="Cambria" w:cstheme="majorHAnsi"/>
          <w:color w:val="222222"/>
          <w:sz w:val="20"/>
          <w:szCs w:val="20"/>
          <w:u w:val="single"/>
        </w:rPr>
      </w:pPr>
      <w:r w:rsidRPr="00232EFA">
        <w:rPr>
          <w:rFonts w:ascii="Cambria" w:eastAsia="Times New Roman" w:hAnsi="Cambria" w:cstheme="majorHAnsi"/>
          <w:b/>
          <w:i/>
          <w:color w:val="222222"/>
          <w:sz w:val="20"/>
          <w:szCs w:val="20"/>
          <w:u w:val="single"/>
        </w:rPr>
        <w:t>Réponse :</w:t>
      </w:r>
      <w:r w:rsidRPr="00232EFA">
        <w:rPr>
          <w:rFonts w:ascii="Cambria" w:eastAsia="Times New Roman" w:hAnsi="Cambria" w:cstheme="majorHAnsi"/>
          <w:b/>
          <w:color w:val="222222"/>
          <w:sz w:val="20"/>
          <w:szCs w:val="20"/>
          <w:u w:val="single"/>
        </w:rPr>
        <w:t xml:space="preserve"> </w:t>
      </w:r>
      <w:r w:rsidRPr="00232EFA">
        <w:rPr>
          <w:rFonts w:ascii="Cambria" w:eastAsia="Times New Roman" w:hAnsi="Cambria" w:cstheme="majorHAnsi"/>
          <w:color w:val="222222"/>
          <w:sz w:val="20"/>
          <w:szCs w:val="20"/>
          <w:u w:val="single"/>
        </w:rPr>
        <w:t>La Namibie reconnaît que ses débarquements de requin-taupe bleu (</w:t>
      </w:r>
      <w:proofErr w:type="spellStart"/>
      <w:r w:rsidRPr="00232EFA">
        <w:rPr>
          <w:rFonts w:ascii="Cambria" w:eastAsia="Times New Roman" w:hAnsi="Cambria" w:cstheme="majorHAnsi"/>
          <w:i/>
          <w:color w:val="222222"/>
          <w:sz w:val="20"/>
          <w:szCs w:val="20"/>
          <w:u w:val="single"/>
        </w:rPr>
        <w:t>Isurus</w:t>
      </w:r>
      <w:proofErr w:type="spellEnd"/>
      <w:r w:rsidRPr="00232EFA">
        <w:rPr>
          <w:rFonts w:ascii="Cambria" w:eastAsia="Times New Roman" w:hAnsi="Cambria" w:cstheme="majorHAnsi"/>
          <w:i/>
          <w:color w:val="222222"/>
          <w:sz w:val="20"/>
          <w:szCs w:val="20"/>
          <w:u w:val="single"/>
        </w:rPr>
        <w:t xml:space="preserve"> </w:t>
      </w:r>
      <w:proofErr w:type="spellStart"/>
      <w:r w:rsidRPr="00232EFA">
        <w:rPr>
          <w:rFonts w:ascii="Cambria" w:eastAsia="Times New Roman" w:hAnsi="Cambria" w:cstheme="majorHAnsi"/>
          <w:i/>
          <w:color w:val="222222"/>
          <w:sz w:val="20"/>
          <w:szCs w:val="20"/>
          <w:u w:val="single"/>
        </w:rPr>
        <w:t>oxyrinchus</w:t>
      </w:r>
      <w:proofErr w:type="spellEnd"/>
      <w:r w:rsidRPr="00232EFA">
        <w:rPr>
          <w:rFonts w:ascii="Cambria" w:eastAsia="Times New Roman" w:hAnsi="Cambria" w:cstheme="majorHAnsi"/>
          <w:color w:val="222222"/>
          <w:sz w:val="20"/>
          <w:szCs w:val="20"/>
          <w:u w:val="single"/>
        </w:rPr>
        <w:t xml:space="preserve">) de 2024 ont atteint 250,88 tonnes (voir </w:t>
      </w:r>
      <w:r w:rsidRPr="00232EFA">
        <w:rPr>
          <w:rFonts w:ascii="Cambria" w:eastAsia="Times New Roman" w:hAnsi="Cambria" w:cstheme="majorHAnsi"/>
          <w:b/>
          <w:bCs/>
          <w:color w:val="222222"/>
          <w:sz w:val="20"/>
          <w:szCs w:val="20"/>
          <w:u w:val="single"/>
        </w:rPr>
        <w:t>figure 1</w:t>
      </w:r>
      <w:r w:rsidRPr="00232EFA">
        <w:rPr>
          <w:rFonts w:ascii="Cambria" w:eastAsia="Times New Roman" w:hAnsi="Cambria" w:cstheme="majorHAnsi"/>
          <w:color w:val="222222"/>
          <w:sz w:val="20"/>
          <w:szCs w:val="20"/>
          <w:u w:val="single"/>
        </w:rPr>
        <w:t>), ce qui respecte la limite de capture fixée par l’ICCAT à 256 tonnes. Nous présentons ci-dessous les mesures mises en place en 2023 pour limiter la surconsommation du requin-taupe bleu ainsi que le contexte des politiques nationales et des efforts de conservation en vigueur.</w:t>
      </w:r>
    </w:p>
    <w:p w14:paraId="372EE5DD" w14:textId="77777777" w:rsidR="00232EFA" w:rsidRPr="00232EFA" w:rsidRDefault="00232EFA" w:rsidP="00232EFA">
      <w:pPr>
        <w:spacing w:after="0" w:line="240" w:lineRule="auto"/>
        <w:jc w:val="both"/>
        <w:rPr>
          <w:rFonts w:ascii="Cambria" w:eastAsia="Times New Roman" w:hAnsi="Cambria" w:cstheme="majorHAnsi"/>
          <w:color w:val="222222"/>
          <w:sz w:val="20"/>
          <w:szCs w:val="20"/>
          <w:u w:val="single"/>
        </w:rPr>
      </w:pPr>
    </w:p>
    <w:p w14:paraId="1D351FC3" w14:textId="77777777" w:rsidR="00232EFA" w:rsidRDefault="00232EFA" w:rsidP="00270B46">
      <w:pPr>
        <w:spacing w:after="0" w:line="240" w:lineRule="auto"/>
        <w:jc w:val="both"/>
        <w:rPr>
          <w:rFonts w:ascii="Cambria" w:eastAsia="Times New Roman" w:hAnsi="Cambria" w:cstheme="majorHAnsi"/>
          <w:color w:val="222222"/>
          <w:sz w:val="20"/>
          <w:szCs w:val="20"/>
          <w:u w:val="single"/>
        </w:rPr>
      </w:pPr>
      <w:r w:rsidRPr="00232EFA">
        <w:rPr>
          <w:rFonts w:ascii="Cambria" w:eastAsia="Times New Roman" w:hAnsi="Cambria" w:cstheme="majorHAnsi"/>
          <w:b/>
          <w:color w:val="222222"/>
          <w:sz w:val="20"/>
          <w:szCs w:val="20"/>
          <w:u w:val="single"/>
        </w:rPr>
        <w:t xml:space="preserve">Figure 1. </w:t>
      </w:r>
      <w:r w:rsidRPr="00232EFA">
        <w:rPr>
          <w:rFonts w:ascii="Cambria" w:eastAsia="Times New Roman" w:hAnsi="Cambria" w:cstheme="majorHAnsi"/>
          <w:color w:val="222222"/>
          <w:sz w:val="20"/>
          <w:szCs w:val="20"/>
          <w:u w:val="single"/>
        </w:rPr>
        <w:t>Données déclarées de débarquement de requin-taupe bleu de l'Atlantique Sud [COC_304_TRI/2025].</w:t>
      </w:r>
    </w:p>
    <w:p w14:paraId="75344F00" w14:textId="77777777" w:rsidR="00270B46" w:rsidRPr="00232EFA" w:rsidRDefault="00270B46" w:rsidP="00270B46">
      <w:pPr>
        <w:spacing w:after="0" w:line="240" w:lineRule="auto"/>
        <w:rPr>
          <w:rFonts w:ascii="Cambria" w:eastAsia="Times New Roman" w:hAnsi="Cambria" w:cstheme="majorHAnsi"/>
          <w:b/>
          <w:bCs/>
          <w:color w:val="222222"/>
          <w:sz w:val="20"/>
          <w:szCs w:val="20"/>
          <w:u w:val="single"/>
        </w:rPr>
      </w:pPr>
    </w:p>
    <w:tbl>
      <w:tblPr>
        <w:tblW w:w="5000" w:type="pct"/>
        <w:tblLook w:val="04A0" w:firstRow="1" w:lastRow="0" w:firstColumn="1" w:lastColumn="0" w:noHBand="0" w:noVBand="1"/>
      </w:tblPr>
      <w:tblGrid>
        <w:gridCol w:w="2570"/>
        <w:gridCol w:w="900"/>
        <w:gridCol w:w="900"/>
        <w:gridCol w:w="900"/>
        <w:gridCol w:w="945"/>
        <w:gridCol w:w="900"/>
        <w:gridCol w:w="968"/>
        <w:gridCol w:w="968"/>
      </w:tblGrid>
      <w:tr w:rsidR="00232EFA" w:rsidRPr="00666F4F" w14:paraId="2B9ABC32" w14:textId="77777777">
        <w:trPr>
          <w:trHeight w:val="113"/>
        </w:trPr>
        <w:tc>
          <w:tcPr>
            <w:tcW w:w="1420" w:type="pct"/>
            <w:tcBorders>
              <w:top w:val="single" w:sz="8" w:space="0" w:color="auto"/>
              <w:left w:val="single" w:sz="8" w:space="0" w:color="auto"/>
              <w:bottom w:val="single" w:sz="4" w:space="0" w:color="auto"/>
              <w:right w:val="single" w:sz="8" w:space="0" w:color="auto"/>
            </w:tcBorders>
            <w:noWrap/>
            <w:vAlign w:val="bottom"/>
            <w:hideMark/>
          </w:tcPr>
          <w:p w14:paraId="1A103277" w14:textId="535C8D68" w:rsidR="00232EFA" w:rsidRPr="00666F4F" w:rsidRDefault="00232EFA" w:rsidP="00232EFA">
            <w:pPr>
              <w:spacing w:after="0" w:line="240" w:lineRule="auto"/>
              <w:jc w:val="both"/>
              <w:rPr>
                <w:rFonts w:ascii="Cambria" w:eastAsia="Times New Roman" w:hAnsi="Cambria" w:cstheme="majorHAnsi"/>
                <w:b/>
                <w:bCs/>
                <w:color w:val="222222"/>
                <w:sz w:val="16"/>
                <w:szCs w:val="16"/>
                <w:u w:val="single"/>
              </w:rPr>
            </w:pPr>
          </w:p>
        </w:tc>
        <w:tc>
          <w:tcPr>
            <w:tcW w:w="1491" w:type="pct"/>
            <w:gridSpan w:val="3"/>
            <w:tcBorders>
              <w:top w:val="single" w:sz="8" w:space="0" w:color="auto"/>
              <w:left w:val="nil"/>
              <w:bottom w:val="single" w:sz="4" w:space="0" w:color="auto"/>
              <w:right w:val="single" w:sz="8" w:space="0" w:color="000000"/>
            </w:tcBorders>
            <w:noWrap/>
            <w:vAlign w:val="bottom"/>
            <w:hideMark/>
          </w:tcPr>
          <w:p w14:paraId="7A6CC2AA" w14:textId="6E3071E1" w:rsidR="00232EFA" w:rsidRPr="00666F4F" w:rsidRDefault="00232EFA" w:rsidP="00666F4F">
            <w:pPr>
              <w:spacing w:after="0" w:line="240" w:lineRule="auto"/>
              <w:jc w:val="center"/>
              <w:rPr>
                <w:rFonts w:ascii="Cambria" w:eastAsia="Times New Roman" w:hAnsi="Cambria" w:cstheme="majorHAnsi"/>
                <w:i/>
                <w:iCs/>
                <w:color w:val="222222"/>
                <w:sz w:val="16"/>
                <w:szCs w:val="16"/>
                <w:u w:val="single"/>
              </w:rPr>
            </w:pPr>
            <w:r w:rsidRPr="00666F4F">
              <w:rPr>
                <w:rFonts w:ascii="Cambria" w:eastAsia="Times New Roman" w:hAnsi="Cambria" w:cstheme="majorHAnsi"/>
                <w:i/>
                <w:color w:val="222222"/>
                <w:sz w:val="16"/>
                <w:szCs w:val="16"/>
                <w:u w:val="single"/>
              </w:rPr>
              <w:t xml:space="preserve">Tolérance de </w:t>
            </w:r>
            <w:r w:rsidR="00270B46" w:rsidRPr="00666F4F">
              <w:rPr>
                <w:rFonts w:ascii="Cambria" w:eastAsia="Times New Roman" w:hAnsi="Cambria" w:cstheme="majorHAnsi"/>
                <w:i/>
                <w:color w:val="222222"/>
                <w:sz w:val="16"/>
                <w:szCs w:val="16"/>
                <w:u w:val="single"/>
              </w:rPr>
              <w:t>rétention</w:t>
            </w:r>
          </w:p>
        </w:tc>
        <w:tc>
          <w:tcPr>
            <w:tcW w:w="1019" w:type="pct"/>
            <w:gridSpan w:val="2"/>
            <w:tcBorders>
              <w:top w:val="single" w:sz="8" w:space="0" w:color="auto"/>
              <w:left w:val="nil"/>
              <w:bottom w:val="single" w:sz="4" w:space="0" w:color="auto"/>
              <w:right w:val="single" w:sz="8" w:space="0" w:color="000000"/>
            </w:tcBorders>
            <w:noWrap/>
            <w:vAlign w:val="bottom"/>
            <w:hideMark/>
          </w:tcPr>
          <w:p w14:paraId="3974DFE1" w14:textId="77777777" w:rsidR="00232EFA" w:rsidRPr="00666F4F" w:rsidRDefault="00232EFA" w:rsidP="00666F4F">
            <w:pPr>
              <w:spacing w:after="0" w:line="240" w:lineRule="auto"/>
              <w:jc w:val="center"/>
              <w:rPr>
                <w:rFonts w:ascii="Cambria" w:eastAsia="Times New Roman" w:hAnsi="Cambria" w:cstheme="majorHAnsi"/>
                <w:i/>
                <w:iCs/>
                <w:color w:val="222222"/>
                <w:sz w:val="16"/>
                <w:szCs w:val="16"/>
                <w:u w:val="single"/>
              </w:rPr>
            </w:pPr>
            <w:r w:rsidRPr="00666F4F">
              <w:rPr>
                <w:rFonts w:ascii="Cambria" w:eastAsia="Times New Roman" w:hAnsi="Cambria" w:cstheme="majorHAnsi"/>
                <w:i/>
                <w:color w:val="222222"/>
                <w:sz w:val="16"/>
                <w:szCs w:val="16"/>
                <w:u w:val="single"/>
              </w:rPr>
              <w:t>Prises actuelles</w:t>
            </w:r>
          </w:p>
        </w:tc>
        <w:tc>
          <w:tcPr>
            <w:tcW w:w="1070" w:type="pct"/>
            <w:gridSpan w:val="2"/>
            <w:tcBorders>
              <w:top w:val="single" w:sz="8" w:space="0" w:color="auto"/>
              <w:left w:val="nil"/>
              <w:bottom w:val="single" w:sz="4" w:space="0" w:color="auto"/>
              <w:right w:val="single" w:sz="8" w:space="0" w:color="000000"/>
            </w:tcBorders>
            <w:noWrap/>
            <w:vAlign w:val="bottom"/>
            <w:hideMark/>
          </w:tcPr>
          <w:p w14:paraId="53BD98C6" w14:textId="77777777" w:rsidR="00232EFA" w:rsidRPr="00666F4F" w:rsidRDefault="00232EFA" w:rsidP="00666F4F">
            <w:pPr>
              <w:spacing w:after="0" w:line="240" w:lineRule="auto"/>
              <w:jc w:val="center"/>
              <w:rPr>
                <w:rFonts w:ascii="Cambria" w:eastAsia="Times New Roman" w:hAnsi="Cambria" w:cstheme="majorHAnsi"/>
                <w:i/>
                <w:iCs/>
                <w:color w:val="222222"/>
                <w:sz w:val="16"/>
                <w:szCs w:val="16"/>
                <w:u w:val="single"/>
              </w:rPr>
            </w:pPr>
            <w:r w:rsidRPr="00666F4F">
              <w:rPr>
                <w:rFonts w:ascii="Cambria" w:eastAsia="Times New Roman" w:hAnsi="Cambria" w:cstheme="majorHAnsi"/>
                <w:i/>
                <w:color w:val="222222"/>
                <w:sz w:val="16"/>
                <w:szCs w:val="16"/>
                <w:u w:val="single"/>
              </w:rPr>
              <w:t>Solde</w:t>
            </w:r>
          </w:p>
        </w:tc>
      </w:tr>
      <w:tr w:rsidR="00232EFA" w:rsidRPr="00666F4F" w14:paraId="2A57B268" w14:textId="77777777">
        <w:trPr>
          <w:trHeight w:val="113"/>
        </w:trPr>
        <w:tc>
          <w:tcPr>
            <w:tcW w:w="1420" w:type="pct"/>
            <w:tcBorders>
              <w:top w:val="nil"/>
              <w:left w:val="single" w:sz="8" w:space="0" w:color="auto"/>
              <w:bottom w:val="single" w:sz="4" w:space="0" w:color="auto"/>
              <w:right w:val="single" w:sz="8" w:space="0" w:color="auto"/>
            </w:tcBorders>
            <w:noWrap/>
            <w:vAlign w:val="bottom"/>
            <w:hideMark/>
          </w:tcPr>
          <w:p w14:paraId="6A32A2F4" w14:textId="77777777" w:rsidR="00232EFA" w:rsidRPr="00666F4F" w:rsidRDefault="00232EFA" w:rsidP="00232EFA">
            <w:pPr>
              <w:spacing w:after="0" w:line="240" w:lineRule="auto"/>
              <w:jc w:val="both"/>
              <w:rPr>
                <w:rFonts w:ascii="Cambria" w:eastAsia="Times New Roman" w:hAnsi="Cambria" w:cstheme="majorHAnsi"/>
                <w:i/>
                <w:iCs/>
                <w:color w:val="222222"/>
                <w:sz w:val="16"/>
                <w:szCs w:val="16"/>
                <w:u w:val="single"/>
              </w:rPr>
            </w:pPr>
            <w:r w:rsidRPr="00666F4F">
              <w:rPr>
                <w:rFonts w:ascii="Cambria" w:eastAsia="Times New Roman" w:hAnsi="Cambria" w:cstheme="majorHAnsi"/>
                <w:i/>
                <w:color w:val="222222"/>
                <w:sz w:val="16"/>
                <w:szCs w:val="16"/>
                <w:u w:val="single"/>
              </w:rPr>
              <w:t>ANNÉE</w:t>
            </w:r>
          </w:p>
        </w:tc>
        <w:tc>
          <w:tcPr>
            <w:tcW w:w="497" w:type="pct"/>
            <w:tcBorders>
              <w:top w:val="single" w:sz="4" w:space="0" w:color="auto"/>
              <w:left w:val="nil"/>
              <w:bottom w:val="single" w:sz="4" w:space="0" w:color="auto"/>
              <w:right w:val="single" w:sz="4" w:space="0" w:color="auto"/>
            </w:tcBorders>
            <w:noWrap/>
            <w:vAlign w:val="bottom"/>
            <w:hideMark/>
          </w:tcPr>
          <w:p w14:paraId="33A24DD9" w14:textId="77777777" w:rsidR="00232EFA" w:rsidRPr="00666F4F" w:rsidRDefault="00232EFA" w:rsidP="00232EFA">
            <w:pPr>
              <w:spacing w:after="0" w:line="240" w:lineRule="auto"/>
              <w:jc w:val="both"/>
              <w:rPr>
                <w:rFonts w:ascii="Cambria" w:eastAsia="Times New Roman" w:hAnsi="Cambria" w:cstheme="majorHAnsi"/>
                <w:i/>
                <w:iCs/>
                <w:color w:val="222222"/>
                <w:sz w:val="16"/>
                <w:szCs w:val="16"/>
                <w:u w:val="single"/>
              </w:rPr>
            </w:pPr>
            <w:r w:rsidRPr="00666F4F">
              <w:rPr>
                <w:rFonts w:ascii="Cambria" w:eastAsia="Times New Roman" w:hAnsi="Cambria" w:cstheme="majorHAnsi"/>
                <w:i/>
                <w:color w:val="222222"/>
                <w:sz w:val="16"/>
                <w:szCs w:val="16"/>
                <w:u w:val="single"/>
              </w:rPr>
              <w:t>2023</w:t>
            </w:r>
          </w:p>
        </w:tc>
        <w:tc>
          <w:tcPr>
            <w:tcW w:w="497" w:type="pct"/>
            <w:tcBorders>
              <w:top w:val="single" w:sz="4" w:space="0" w:color="auto"/>
              <w:left w:val="nil"/>
              <w:bottom w:val="single" w:sz="4" w:space="0" w:color="auto"/>
              <w:right w:val="nil"/>
            </w:tcBorders>
            <w:noWrap/>
            <w:vAlign w:val="bottom"/>
            <w:hideMark/>
          </w:tcPr>
          <w:p w14:paraId="74914430" w14:textId="77777777" w:rsidR="00232EFA" w:rsidRPr="00666F4F" w:rsidRDefault="00232EFA" w:rsidP="00232EFA">
            <w:pPr>
              <w:spacing w:after="0" w:line="240" w:lineRule="auto"/>
              <w:jc w:val="both"/>
              <w:rPr>
                <w:rFonts w:ascii="Cambria" w:eastAsia="Times New Roman" w:hAnsi="Cambria" w:cstheme="majorHAnsi"/>
                <w:i/>
                <w:iCs/>
                <w:color w:val="222222"/>
                <w:sz w:val="16"/>
                <w:szCs w:val="16"/>
                <w:u w:val="single"/>
              </w:rPr>
            </w:pPr>
            <w:r w:rsidRPr="00666F4F">
              <w:rPr>
                <w:rFonts w:ascii="Cambria" w:eastAsia="Times New Roman" w:hAnsi="Cambria" w:cstheme="majorHAnsi"/>
                <w:i/>
                <w:color w:val="222222"/>
                <w:sz w:val="16"/>
                <w:szCs w:val="16"/>
                <w:u w:val="single"/>
              </w:rPr>
              <w:t>2024</w:t>
            </w:r>
          </w:p>
        </w:tc>
        <w:tc>
          <w:tcPr>
            <w:tcW w:w="497" w:type="pct"/>
            <w:tcBorders>
              <w:top w:val="single" w:sz="4" w:space="0" w:color="auto"/>
              <w:left w:val="single" w:sz="4" w:space="0" w:color="auto"/>
              <w:bottom w:val="single" w:sz="4" w:space="0" w:color="auto"/>
              <w:right w:val="single" w:sz="8" w:space="0" w:color="auto"/>
            </w:tcBorders>
            <w:noWrap/>
            <w:vAlign w:val="bottom"/>
            <w:hideMark/>
          </w:tcPr>
          <w:p w14:paraId="03F1D4C9" w14:textId="77777777" w:rsidR="00232EFA" w:rsidRPr="00666F4F" w:rsidRDefault="00232EFA" w:rsidP="00232EFA">
            <w:pPr>
              <w:spacing w:after="0" w:line="240" w:lineRule="auto"/>
              <w:jc w:val="both"/>
              <w:rPr>
                <w:rFonts w:ascii="Cambria" w:eastAsia="Times New Roman" w:hAnsi="Cambria" w:cstheme="majorHAnsi"/>
                <w:i/>
                <w:iCs/>
                <w:color w:val="222222"/>
                <w:sz w:val="16"/>
                <w:szCs w:val="16"/>
                <w:u w:val="single"/>
              </w:rPr>
            </w:pPr>
            <w:r w:rsidRPr="00666F4F">
              <w:rPr>
                <w:rFonts w:ascii="Cambria" w:eastAsia="Times New Roman" w:hAnsi="Cambria" w:cstheme="majorHAnsi"/>
                <w:i/>
                <w:color w:val="222222"/>
                <w:sz w:val="16"/>
                <w:szCs w:val="16"/>
                <w:u w:val="single"/>
              </w:rPr>
              <w:t>2025</w:t>
            </w:r>
          </w:p>
        </w:tc>
        <w:tc>
          <w:tcPr>
            <w:tcW w:w="522" w:type="pct"/>
            <w:tcBorders>
              <w:top w:val="single" w:sz="4" w:space="0" w:color="auto"/>
              <w:left w:val="nil"/>
              <w:bottom w:val="single" w:sz="4" w:space="0" w:color="auto"/>
              <w:right w:val="single" w:sz="4" w:space="0" w:color="auto"/>
            </w:tcBorders>
            <w:noWrap/>
            <w:vAlign w:val="bottom"/>
            <w:hideMark/>
          </w:tcPr>
          <w:p w14:paraId="6F7CD37F" w14:textId="77777777" w:rsidR="00232EFA" w:rsidRPr="00666F4F" w:rsidRDefault="00232EFA" w:rsidP="00232EFA">
            <w:pPr>
              <w:spacing w:after="0" w:line="240" w:lineRule="auto"/>
              <w:jc w:val="both"/>
              <w:rPr>
                <w:rFonts w:ascii="Cambria" w:eastAsia="Times New Roman" w:hAnsi="Cambria" w:cstheme="majorHAnsi"/>
                <w:i/>
                <w:iCs/>
                <w:color w:val="222222"/>
                <w:sz w:val="16"/>
                <w:szCs w:val="16"/>
                <w:u w:val="single"/>
              </w:rPr>
            </w:pPr>
            <w:r w:rsidRPr="00666F4F">
              <w:rPr>
                <w:rFonts w:ascii="Cambria" w:eastAsia="Times New Roman" w:hAnsi="Cambria" w:cstheme="majorHAnsi"/>
                <w:i/>
                <w:color w:val="222222"/>
                <w:sz w:val="16"/>
                <w:szCs w:val="16"/>
                <w:u w:val="single"/>
              </w:rPr>
              <w:t>2023</w:t>
            </w:r>
          </w:p>
        </w:tc>
        <w:tc>
          <w:tcPr>
            <w:tcW w:w="497" w:type="pct"/>
            <w:tcBorders>
              <w:top w:val="single" w:sz="4" w:space="0" w:color="auto"/>
              <w:left w:val="single" w:sz="4" w:space="0" w:color="auto"/>
              <w:bottom w:val="single" w:sz="4" w:space="0" w:color="auto"/>
              <w:right w:val="single" w:sz="8" w:space="0" w:color="auto"/>
            </w:tcBorders>
            <w:noWrap/>
            <w:vAlign w:val="bottom"/>
            <w:hideMark/>
          </w:tcPr>
          <w:p w14:paraId="22CA9CFC" w14:textId="77777777" w:rsidR="00232EFA" w:rsidRPr="00666F4F" w:rsidRDefault="00232EFA" w:rsidP="00232EFA">
            <w:pPr>
              <w:spacing w:after="0" w:line="240" w:lineRule="auto"/>
              <w:jc w:val="both"/>
              <w:rPr>
                <w:rFonts w:ascii="Cambria" w:eastAsia="Times New Roman" w:hAnsi="Cambria" w:cstheme="majorHAnsi"/>
                <w:i/>
                <w:iCs/>
                <w:color w:val="222222"/>
                <w:sz w:val="16"/>
                <w:szCs w:val="16"/>
                <w:u w:val="single"/>
              </w:rPr>
            </w:pPr>
            <w:r w:rsidRPr="00666F4F">
              <w:rPr>
                <w:rFonts w:ascii="Cambria" w:eastAsia="Times New Roman" w:hAnsi="Cambria" w:cstheme="majorHAnsi"/>
                <w:i/>
                <w:color w:val="222222"/>
                <w:sz w:val="16"/>
                <w:szCs w:val="16"/>
                <w:u w:val="single"/>
              </w:rPr>
              <w:t>2024</w:t>
            </w:r>
          </w:p>
        </w:tc>
        <w:tc>
          <w:tcPr>
            <w:tcW w:w="535" w:type="pct"/>
            <w:tcBorders>
              <w:top w:val="single" w:sz="4" w:space="0" w:color="auto"/>
              <w:left w:val="nil"/>
              <w:bottom w:val="single" w:sz="4" w:space="0" w:color="auto"/>
              <w:right w:val="nil"/>
            </w:tcBorders>
            <w:noWrap/>
            <w:vAlign w:val="bottom"/>
            <w:hideMark/>
          </w:tcPr>
          <w:p w14:paraId="51F52E1C" w14:textId="77777777" w:rsidR="00232EFA" w:rsidRPr="00666F4F" w:rsidRDefault="00232EFA" w:rsidP="00232EFA">
            <w:pPr>
              <w:spacing w:after="0" w:line="240" w:lineRule="auto"/>
              <w:jc w:val="both"/>
              <w:rPr>
                <w:rFonts w:ascii="Cambria" w:eastAsia="Times New Roman" w:hAnsi="Cambria" w:cstheme="majorHAnsi"/>
                <w:i/>
                <w:iCs/>
                <w:color w:val="222222"/>
                <w:sz w:val="16"/>
                <w:szCs w:val="16"/>
                <w:u w:val="single"/>
              </w:rPr>
            </w:pPr>
            <w:r w:rsidRPr="00666F4F">
              <w:rPr>
                <w:rFonts w:ascii="Cambria" w:eastAsia="Times New Roman" w:hAnsi="Cambria" w:cstheme="majorHAnsi"/>
                <w:i/>
                <w:color w:val="222222"/>
                <w:sz w:val="16"/>
                <w:szCs w:val="16"/>
                <w:u w:val="single"/>
              </w:rPr>
              <w:t>2023</w:t>
            </w:r>
          </w:p>
        </w:tc>
        <w:tc>
          <w:tcPr>
            <w:tcW w:w="535" w:type="pct"/>
            <w:tcBorders>
              <w:top w:val="single" w:sz="4" w:space="0" w:color="auto"/>
              <w:left w:val="single" w:sz="4" w:space="0" w:color="auto"/>
              <w:bottom w:val="single" w:sz="4" w:space="0" w:color="auto"/>
              <w:right w:val="single" w:sz="8" w:space="0" w:color="auto"/>
            </w:tcBorders>
            <w:noWrap/>
            <w:vAlign w:val="bottom"/>
            <w:hideMark/>
          </w:tcPr>
          <w:p w14:paraId="45F6DBB6" w14:textId="77777777" w:rsidR="00232EFA" w:rsidRPr="00666F4F" w:rsidRDefault="00232EFA" w:rsidP="00232EFA">
            <w:pPr>
              <w:spacing w:after="0" w:line="240" w:lineRule="auto"/>
              <w:jc w:val="both"/>
              <w:rPr>
                <w:rFonts w:ascii="Cambria" w:eastAsia="Times New Roman" w:hAnsi="Cambria" w:cstheme="majorHAnsi"/>
                <w:i/>
                <w:iCs/>
                <w:color w:val="222222"/>
                <w:sz w:val="16"/>
                <w:szCs w:val="16"/>
                <w:u w:val="single"/>
              </w:rPr>
            </w:pPr>
            <w:r w:rsidRPr="00666F4F">
              <w:rPr>
                <w:rFonts w:ascii="Cambria" w:eastAsia="Times New Roman" w:hAnsi="Cambria" w:cstheme="majorHAnsi"/>
                <w:i/>
                <w:color w:val="222222"/>
                <w:sz w:val="16"/>
                <w:szCs w:val="16"/>
                <w:u w:val="single"/>
              </w:rPr>
              <w:t>2024</w:t>
            </w:r>
          </w:p>
        </w:tc>
      </w:tr>
      <w:tr w:rsidR="00232EFA" w:rsidRPr="00666F4F" w14:paraId="3D075F57" w14:textId="77777777">
        <w:trPr>
          <w:trHeight w:val="113"/>
        </w:trPr>
        <w:tc>
          <w:tcPr>
            <w:tcW w:w="1420" w:type="pct"/>
            <w:tcBorders>
              <w:top w:val="nil"/>
              <w:left w:val="single" w:sz="8" w:space="0" w:color="auto"/>
              <w:bottom w:val="single" w:sz="8" w:space="0" w:color="auto"/>
              <w:right w:val="single" w:sz="8" w:space="0" w:color="auto"/>
            </w:tcBorders>
            <w:noWrap/>
            <w:vAlign w:val="bottom"/>
            <w:hideMark/>
          </w:tcPr>
          <w:p w14:paraId="0163F8BB" w14:textId="7F1436F4" w:rsidR="00232EFA" w:rsidRPr="00666F4F" w:rsidRDefault="00232EFA" w:rsidP="00232EFA">
            <w:pPr>
              <w:spacing w:after="0" w:line="240" w:lineRule="auto"/>
              <w:jc w:val="both"/>
              <w:rPr>
                <w:rFonts w:ascii="Cambria" w:eastAsia="Times New Roman" w:hAnsi="Cambria" w:cstheme="majorHAnsi"/>
                <w:i/>
                <w:iCs/>
                <w:color w:val="222222"/>
                <w:sz w:val="16"/>
                <w:szCs w:val="16"/>
                <w:u w:val="single"/>
              </w:rPr>
            </w:pPr>
            <w:r w:rsidRPr="00666F4F">
              <w:rPr>
                <w:rFonts w:ascii="Cambria" w:eastAsia="Times New Roman" w:hAnsi="Cambria" w:cstheme="majorHAnsi"/>
                <w:i/>
                <w:color w:val="222222"/>
                <w:sz w:val="16"/>
                <w:szCs w:val="16"/>
                <w:u w:val="single"/>
              </w:rPr>
              <w:t xml:space="preserve">Tolérance de </w:t>
            </w:r>
            <w:r w:rsidR="00270B46" w:rsidRPr="00666F4F">
              <w:rPr>
                <w:rFonts w:ascii="Cambria" w:eastAsia="Times New Roman" w:hAnsi="Cambria" w:cstheme="majorHAnsi"/>
                <w:i/>
                <w:color w:val="222222"/>
                <w:sz w:val="16"/>
                <w:szCs w:val="16"/>
                <w:u w:val="single"/>
              </w:rPr>
              <w:t>rétention</w:t>
            </w:r>
            <w:r w:rsidRPr="00666F4F">
              <w:rPr>
                <w:rFonts w:ascii="Cambria" w:eastAsia="Times New Roman" w:hAnsi="Cambria" w:cstheme="majorHAnsi"/>
                <w:i/>
                <w:color w:val="222222"/>
                <w:sz w:val="16"/>
                <w:szCs w:val="16"/>
                <w:u w:val="single"/>
              </w:rPr>
              <w:t xml:space="preserve"> totale</w:t>
            </w:r>
          </w:p>
        </w:tc>
        <w:tc>
          <w:tcPr>
            <w:tcW w:w="497" w:type="pct"/>
            <w:tcBorders>
              <w:top w:val="nil"/>
              <w:left w:val="nil"/>
              <w:bottom w:val="single" w:sz="8" w:space="0" w:color="auto"/>
              <w:right w:val="single" w:sz="4" w:space="0" w:color="auto"/>
            </w:tcBorders>
            <w:noWrap/>
            <w:vAlign w:val="bottom"/>
            <w:hideMark/>
          </w:tcPr>
          <w:p w14:paraId="7349D334" w14:textId="77777777" w:rsidR="00232EFA" w:rsidRPr="00666F4F" w:rsidRDefault="00232EFA" w:rsidP="00232EFA">
            <w:pPr>
              <w:spacing w:after="0" w:line="240" w:lineRule="auto"/>
              <w:jc w:val="both"/>
              <w:rPr>
                <w:rFonts w:ascii="Cambria" w:eastAsia="Times New Roman" w:hAnsi="Cambria" w:cstheme="majorHAnsi"/>
                <w:i/>
                <w:iCs/>
                <w:color w:val="222222"/>
                <w:sz w:val="16"/>
                <w:szCs w:val="16"/>
                <w:u w:val="single"/>
              </w:rPr>
            </w:pPr>
            <w:r w:rsidRPr="00666F4F">
              <w:rPr>
                <w:rFonts w:ascii="Cambria" w:eastAsia="Times New Roman" w:hAnsi="Cambria" w:cstheme="majorHAnsi"/>
                <w:i/>
                <w:color w:val="222222"/>
                <w:sz w:val="16"/>
                <w:szCs w:val="16"/>
                <w:u w:val="single"/>
              </w:rPr>
              <w:t>1295</w:t>
            </w:r>
          </w:p>
        </w:tc>
        <w:tc>
          <w:tcPr>
            <w:tcW w:w="497" w:type="pct"/>
            <w:tcBorders>
              <w:top w:val="single" w:sz="4" w:space="0" w:color="auto"/>
              <w:left w:val="nil"/>
              <w:bottom w:val="single" w:sz="8" w:space="0" w:color="auto"/>
              <w:right w:val="nil"/>
            </w:tcBorders>
            <w:noWrap/>
            <w:vAlign w:val="bottom"/>
            <w:hideMark/>
          </w:tcPr>
          <w:p w14:paraId="723877B6" w14:textId="77777777" w:rsidR="00232EFA" w:rsidRPr="00666F4F" w:rsidRDefault="00232EFA" w:rsidP="00232EFA">
            <w:pPr>
              <w:spacing w:after="0" w:line="240" w:lineRule="auto"/>
              <w:jc w:val="both"/>
              <w:rPr>
                <w:rFonts w:ascii="Cambria" w:eastAsia="Times New Roman" w:hAnsi="Cambria" w:cstheme="majorHAnsi"/>
                <w:i/>
                <w:iCs/>
                <w:color w:val="222222"/>
                <w:sz w:val="16"/>
                <w:szCs w:val="16"/>
                <w:u w:val="single"/>
              </w:rPr>
            </w:pPr>
            <w:r w:rsidRPr="00666F4F">
              <w:rPr>
                <w:rFonts w:ascii="Cambria" w:eastAsia="Times New Roman" w:hAnsi="Cambria" w:cstheme="majorHAnsi"/>
                <w:i/>
                <w:color w:val="222222"/>
                <w:sz w:val="16"/>
                <w:szCs w:val="16"/>
                <w:u w:val="single"/>
              </w:rPr>
              <w:t>1295</w:t>
            </w:r>
          </w:p>
        </w:tc>
        <w:tc>
          <w:tcPr>
            <w:tcW w:w="497" w:type="pct"/>
            <w:tcBorders>
              <w:top w:val="single" w:sz="4" w:space="0" w:color="auto"/>
              <w:left w:val="single" w:sz="4" w:space="0" w:color="auto"/>
              <w:bottom w:val="single" w:sz="8" w:space="0" w:color="auto"/>
              <w:right w:val="single" w:sz="8" w:space="0" w:color="auto"/>
            </w:tcBorders>
            <w:noWrap/>
            <w:vAlign w:val="bottom"/>
            <w:hideMark/>
          </w:tcPr>
          <w:p w14:paraId="7B55763A" w14:textId="77777777" w:rsidR="00232EFA" w:rsidRPr="00666F4F" w:rsidRDefault="00232EFA" w:rsidP="00232EFA">
            <w:pPr>
              <w:spacing w:after="0" w:line="240" w:lineRule="auto"/>
              <w:jc w:val="both"/>
              <w:rPr>
                <w:rFonts w:ascii="Cambria" w:eastAsia="Times New Roman" w:hAnsi="Cambria" w:cstheme="majorHAnsi"/>
                <w:i/>
                <w:iCs/>
                <w:color w:val="222222"/>
                <w:sz w:val="16"/>
                <w:szCs w:val="16"/>
                <w:u w:val="single"/>
              </w:rPr>
            </w:pPr>
            <w:r w:rsidRPr="00666F4F">
              <w:rPr>
                <w:rFonts w:ascii="Cambria" w:eastAsia="Times New Roman" w:hAnsi="Cambria" w:cstheme="majorHAnsi"/>
                <w:i/>
                <w:color w:val="222222"/>
                <w:sz w:val="16"/>
                <w:szCs w:val="16"/>
                <w:u w:val="single"/>
              </w:rPr>
              <w:t>1295</w:t>
            </w:r>
          </w:p>
        </w:tc>
        <w:tc>
          <w:tcPr>
            <w:tcW w:w="522" w:type="pct"/>
            <w:tcBorders>
              <w:top w:val="nil"/>
              <w:left w:val="nil"/>
              <w:bottom w:val="single" w:sz="8" w:space="0" w:color="auto"/>
              <w:right w:val="single" w:sz="4" w:space="0" w:color="auto"/>
            </w:tcBorders>
            <w:noWrap/>
            <w:vAlign w:val="bottom"/>
            <w:hideMark/>
          </w:tcPr>
          <w:p w14:paraId="18A58BAE" w14:textId="77777777" w:rsidR="00232EFA" w:rsidRPr="00666F4F" w:rsidRDefault="00232EFA" w:rsidP="00232EFA">
            <w:pPr>
              <w:spacing w:after="0" w:line="240" w:lineRule="auto"/>
              <w:jc w:val="both"/>
              <w:rPr>
                <w:rFonts w:ascii="Cambria" w:eastAsia="Times New Roman" w:hAnsi="Cambria" w:cstheme="majorHAnsi"/>
                <w:i/>
                <w:iCs/>
                <w:color w:val="222222"/>
                <w:sz w:val="16"/>
                <w:szCs w:val="16"/>
                <w:u w:val="single"/>
              </w:rPr>
            </w:pPr>
            <w:r w:rsidRPr="00666F4F">
              <w:rPr>
                <w:rFonts w:ascii="Cambria" w:eastAsia="Times New Roman" w:hAnsi="Cambria" w:cstheme="majorHAnsi"/>
                <w:i/>
                <w:color w:val="222222"/>
                <w:sz w:val="16"/>
                <w:szCs w:val="16"/>
                <w:u w:val="single"/>
              </w:rPr>
              <w:t> </w:t>
            </w:r>
          </w:p>
        </w:tc>
        <w:tc>
          <w:tcPr>
            <w:tcW w:w="497" w:type="pct"/>
            <w:tcBorders>
              <w:top w:val="single" w:sz="4" w:space="0" w:color="auto"/>
              <w:left w:val="nil"/>
              <w:bottom w:val="single" w:sz="8" w:space="0" w:color="auto"/>
              <w:right w:val="single" w:sz="8" w:space="0" w:color="auto"/>
            </w:tcBorders>
            <w:noWrap/>
            <w:vAlign w:val="bottom"/>
            <w:hideMark/>
          </w:tcPr>
          <w:p w14:paraId="21EC4863" w14:textId="77777777" w:rsidR="00232EFA" w:rsidRPr="00666F4F" w:rsidRDefault="00232EFA" w:rsidP="00232EFA">
            <w:pPr>
              <w:spacing w:after="0" w:line="240" w:lineRule="auto"/>
              <w:jc w:val="both"/>
              <w:rPr>
                <w:rFonts w:ascii="Cambria" w:eastAsia="Times New Roman" w:hAnsi="Cambria" w:cstheme="majorHAnsi"/>
                <w:i/>
                <w:iCs/>
                <w:color w:val="222222"/>
                <w:sz w:val="16"/>
                <w:szCs w:val="16"/>
                <w:u w:val="single"/>
              </w:rPr>
            </w:pPr>
            <w:r w:rsidRPr="00666F4F">
              <w:rPr>
                <w:rFonts w:ascii="Cambria" w:eastAsia="Times New Roman" w:hAnsi="Cambria" w:cstheme="majorHAnsi"/>
                <w:i/>
                <w:color w:val="222222"/>
                <w:sz w:val="16"/>
                <w:szCs w:val="16"/>
                <w:u w:val="single"/>
              </w:rPr>
              <w:t> </w:t>
            </w:r>
          </w:p>
        </w:tc>
        <w:tc>
          <w:tcPr>
            <w:tcW w:w="535" w:type="pct"/>
            <w:tcBorders>
              <w:top w:val="nil"/>
              <w:left w:val="nil"/>
              <w:bottom w:val="single" w:sz="8" w:space="0" w:color="auto"/>
              <w:right w:val="nil"/>
            </w:tcBorders>
            <w:noWrap/>
            <w:vAlign w:val="bottom"/>
            <w:hideMark/>
          </w:tcPr>
          <w:p w14:paraId="00A1BDF5" w14:textId="77777777" w:rsidR="00232EFA" w:rsidRPr="00666F4F" w:rsidRDefault="00232EFA" w:rsidP="00232EFA">
            <w:pPr>
              <w:spacing w:after="0" w:line="240" w:lineRule="auto"/>
              <w:jc w:val="both"/>
              <w:rPr>
                <w:rFonts w:ascii="Cambria" w:eastAsia="Times New Roman" w:hAnsi="Cambria" w:cstheme="majorHAnsi"/>
                <w:i/>
                <w:iCs/>
                <w:color w:val="222222"/>
                <w:sz w:val="16"/>
                <w:szCs w:val="16"/>
                <w:u w:val="single"/>
              </w:rPr>
            </w:pPr>
            <w:r w:rsidRPr="00666F4F">
              <w:rPr>
                <w:rFonts w:ascii="Cambria" w:eastAsia="Times New Roman" w:hAnsi="Cambria" w:cstheme="majorHAnsi"/>
                <w:i/>
                <w:color w:val="222222"/>
                <w:sz w:val="16"/>
                <w:szCs w:val="16"/>
                <w:u w:val="single"/>
              </w:rPr>
              <w:t> </w:t>
            </w:r>
          </w:p>
        </w:tc>
        <w:tc>
          <w:tcPr>
            <w:tcW w:w="535" w:type="pct"/>
            <w:tcBorders>
              <w:top w:val="single" w:sz="4" w:space="0" w:color="auto"/>
              <w:left w:val="single" w:sz="4" w:space="0" w:color="auto"/>
              <w:bottom w:val="single" w:sz="8" w:space="0" w:color="auto"/>
              <w:right w:val="single" w:sz="8" w:space="0" w:color="auto"/>
            </w:tcBorders>
            <w:noWrap/>
            <w:vAlign w:val="bottom"/>
            <w:hideMark/>
          </w:tcPr>
          <w:p w14:paraId="58011820" w14:textId="77777777" w:rsidR="00232EFA" w:rsidRPr="00666F4F" w:rsidRDefault="00232EFA" w:rsidP="00232EFA">
            <w:pPr>
              <w:spacing w:after="0" w:line="240" w:lineRule="auto"/>
              <w:jc w:val="both"/>
              <w:rPr>
                <w:rFonts w:ascii="Cambria" w:eastAsia="Times New Roman" w:hAnsi="Cambria" w:cstheme="majorHAnsi"/>
                <w:i/>
                <w:iCs/>
                <w:color w:val="222222"/>
                <w:sz w:val="16"/>
                <w:szCs w:val="16"/>
                <w:u w:val="single"/>
              </w:rPr>
            </w:pPr>
            <w:r w:rsidRPr="00666F4F">
              <w:rPr>
                <w:rFonts w:ascii="Cambria" w:eastAsia="Times New Roman" w:hAnsi="Cambria" w:cstheme="majorHAnsi"/>
                <w:i/>
                <w:color w:val="222222"/>
                <w:sz w:val="16"/>
                <w:szCs w:val="16"/>
                <w:u w:val="single"/>
              </w:rPr>
              <w:t> </w:t>
            </w:r>
          </w:p>
        </w:tc>
      </w:tr>
      <w:tr w:rsidR="00232EFA" w:rsidRPr="00666F4F" w14:paraId="068EEEBD" w14:textId="77777777">
        <w:trPr>
          <w:trHeight w:val="113"/>
        </w:trPr>
        <w:tc>
          <w:tcPr>
            <w:tcW w:w="1420" w:type="pct"/>
            <w:tcBorders>
              <w:top w:val="nil"/>
              <w:left w:val="single" w:sz="8" w:space="0" w:color="auto"/>
              <w:bottom w:val="single" w:sz="4" w:space="0" w:color="auto"/>
              <w:right w:val="single" w:sz="8" w:space="0" w:color="auto"/>
            </w:tcBorders>
            <w:noWrap/>
            <w:vAlign w:val="bottom"/>
            <w:hideMark/>
          </w:tcPr>
          <w:p w14:paraId="5EE15822" w14:textId="77777777" w:rsidR="00232EFA" w:rsidRPr="00666F4F" w:rsidRDefault="00232EFA" w:rsidP="00232EFA">
            <w:pPr>
              <w:spacing w:after="0" w:line="240" w:lineRule="auto"/>
              <w:jc w:val="both"/>
              <w:rPr>
                <w:rFonts w:ascii="Cambria" w:eastAsia="Times New Roman" w:hAnsi="Cambria" w:cstheme="majorHAnsi"/>
                <w:b/>
                <w:bCs/>
                <w:color w:val="222222"/>
                <w:sz w:val="16"/>
                <w:szCs w:val="16"/>
                <w:u w:val="single"/>
              </w:rPr>
            </w:pPr>
            <w:r w:rsidRPr="00666F4F">
              <w:rPr>
                <w:rFonts w:ascii="Cambria" w:eastAsia="Times New Roman" w:hAnsi="Cambria" w:cstheme="majorHAnsi"/>
                <w:b/>
                <w:color w:val="222222"/>
                <w:sz w:val="16"/>
                <w:szCs w:val="16"/>
                <w:u w:val="single"/>
              </w:rPr>
              <w:t>ANGOLA</w:t>
            </w:r>
          </w:p>
        </w:tc>
        <w:tc>
          <w:tcPr>
            <w:tcW w:w="497" w:type="pct"/>
            <w:tcBorders>
              <w:top w:val="nil"/>
              <w:left w:val="nil"/>
              <w:bottom w:val="single" w:sz="4" w:space="0" w:color="auto"/>
              <w:right w:val="single" w:sz="4" w:space="0" w:color="auto"/>
            </w:tcBorders>
            <w:noWrap/>
            <w:vAlign w:val="bottom"/>
            <w:hideMark/>
          </w:tcPr>
          <w:p w14:paraId="05FEEDCA" w14:textId="77777777" w:rsidR="00232EFA" w:rsidRPr="00666F4F" w:rsidRDefault="00232EFA" w:rsidP="00232EFA">
            <w:pPr>
              <w:spacing w:after="0" w:line="240" w:lineRule="auto"/>
              <w:jc w:val="both"/>
              <w:rPr>
                <w:rFonts w:ascii="Cambria" w:eastAsia="Times New Roman" w:hAnsi="Cambria" w:cstheme="majorHAnsi"/>
                <w:color w:val="222222"/>
                <w:sz w:val="16"/>
                <w:szCs w:val="16"/>
                <w:u w:val="single"/>
              </w:rPr>
            </w:pPr>
            <w:r w:rsidRPr="00666F4F">
              <w:rPr>
                <w:rFonts w:ascii="Cambria" w:eastAsia="Times New Roman" w:hAnsi="Cambria" w:cstheme="majorHAnsi"/>
                <w:color w:val="222222"/>
                <w:sz w:val="16"/>
                <w:szCs w:val="16"/>
                <w:u w:val="single"/>
              </w:rPr>
              <w:t>2,00</w:t>
            </w:r>
          </w:p>
        </w:tc>
        <w:tc>
          <w:tcPr>
            <w:tcW w:w="497" w:type="pct"/>
            <w:tcBorders>
              <w:top w:val="nil"/>
              <w:left w:val="nil"/>
              <w:bottom w:val="single" w:sz="4" w:space="0" w:color="auto"/>
              <w:right w:val="nil"/>
            </w:tcBorders>
            <w:noWrap/>
            <w:vAlign w:val="bottom"/>
            <w:hideMark/>
          </w:tcPr>
          <w:p w14:paraId="1FF52544" w14:textId="77777777" w:rsidR="00232EFA" w:rsidRPr="00666F4F" w:rsidRDefault="00232EFA" w:rsidP="00232EFA">
            <w:pPr>
              <w:spacing w:after="0" w:line="240" w:lineRule="auto"/>
              <w:jc w:val="both"/>
              <w:rPr>
                <w:rFonts w:ascii="Cambria" w:eastAsia="Times New Roman" w:hAnsi="Cambria" w:cstheme="majorHAnsi"/>
                <w:color w:val="222222"/>
                <w:sz w:val="16"/>
                <w:szCs w:val="16"/>
                <w:u w:val="single"/>
              </w:rPr>
            </w:pPr>
            <w:r w:rsidRPr="00666F4F">
              <w:rPr>
                <w:rFonts w:ascii="Cambria" w:eastAsia="Times New Roman" w:hAnsi="Cambria" w:cstheme="majorHAnsi"/>
                <w:color w:val="222222"/>
                <w:sz w:val="16"/>
                <w:szCs w:val="16"/>
                <w:u w:val="single"/>
              </w:rPr>
              <w:t>2,00</w:t>
            </w:r>
          </w:p>
        </w:tc>
        <w:tc>
          <w:tcPr>
            <w:tcW w:w="497" w:type="pct"/>
            <w:tcBorders>
              <w:top w:val="nil"/>
              <w:left w:val="single" w:sz="4" w:space="0" w:color="auto"/>
              <w:bottom w:val="single" w:sz="4" w:space="0" w:color="auto"/>
              <w:right w:val="single" w:sz="8" w:space="0" w:color="auto"/>
            </w:tcBorders>
            <w:noWrap/>
            <w:vAlign w:val="bottom"/>
            <w:hideMark/>
          </w:tcPr>
          <w:p w14:paraId="1AA3751A" w14:textId="77777777" w:rsidR="00232EFA" w:rsidRPr="00666F4F" w:rsidRDefault="00232EFA" w:rsidP="00232EFA">
            <w:pPr>
              <w:spacing w:after="0" w:line="240" w:lineRule="auto"/>
              <w:jc w:val="both"/>
              <w:rPr>
                <w:rFonts w:ascii="Cambria" w:eastAsia="Times New Roman" w:hAnsi="Cambria" w:cstheme="majorHAnsi"/>
                <w:color w:val="222222"/>
                <w:sz w:val="16"/>
                <w:szCs w:val="16"/>
                <w:u w:val="single"/>
              </w:rPr>
            </w:pPr>
            <w:r w:rsidRPr="00666F4F">
              <w:rPr>
                <w:rFonts w:ascii="Cambria" w:eastAsia="Times New Roman" w:hAnsi="Cambria" w:cstheme="majorHAnsi"/>
                <w:color w:val="222222"/>
                <w:sz w:val="16"/>
                <w:szCs w:val="16"/>
                <w:u w:val="single"/>
              </w:rPr>
              <w:t>2,00</w:t>
            </w:r>
          </w:p>
        </w:tc>
        <w:tc>
          <w:tcPr>
            <w:tcW w:w="522" w:type="pct"/>
            <w:tcBorders>
              <w:top w:val="nil"/>
              <w:left w:val="nil"/>
              <w:bottom w:val="single" w:sz="4" w:space="0" w:color="auto"/>
              <w:right w:val="single" w:sz="4" w:space="0" w:color="auto"/>
            </w:tcBorders>
            <w:noWrap/>
            <w:vAlign w:val="bottom"/>
            <w:hideMark/>
          </w:tcPr>
          <w:p w14:paraId="0BD0204B" w14:textId="77777777" w:rsidR="00232EFA" w:rsidRPr="00666F4F" w:rsidRDefault="00232EFA" w:rsidP="00232EFA">
            <w:pPr>
              <w:spacing w:after="0" w:line="240" w:lineRule="auto"/>
              <w:jc w:val="both"/>
              <w:rPr>
                <w:rFonts w:ascii="Cambria" w:eastAsia="Times New Roman" w:hAnsi="Cambria" w:cstheme="majorHAnsi"/>
                <w:color w:val="222222"/>
                <w:sz w:val="16"/>
                <w:szCs w:val="16"/>
                <w:u w:val="single"/>
              </w:rPr>
            </w:pPr>
            <w:r w:rsidRPr="00666F4F">
              <w:rPr>
                <w:rFonts w:ascii="Cambria" w:eastAsia="Times New Roman" w:hAnsi="Cambria" w:cstheme="majorHAnsi"/>
                <w:color w:val="222222"/>
                <w:sz w:val="16"/>
                <w:szCs w:val="16"/>
                <w:u w:val="single"/>
              </w:rPr>
              <w:t>0,00</w:t>
            </w:r>
          </w:p>
        </w:tc>
        <w:tc>
          <w:tcPr>
            <w:tcW w:w="497" w:type="pct"/>
            <w:tcBorders>
              <w:top w:val="nil"/>
              <w:left w:val="single" w:sz="4" w:space="0" w:color="auto"/>
              <w:bottom w:val="single" w:sz="4" w:space="0" w:color="auto"/>
              <w:right w:val="single" w:sz="8" w:space="0" w:color="auto"/>
            </w:tcBorders>
            <w:noWrap/>
            <w:vAlign w:val="bottom"/>
            <w:hideMark/>
          </w:tcPr>
          <w:p w14:paraId="4A73996A" w14:textId="77777777" w:rsidR="00232EFA" w:rsidRPr="00666F4F" w:rsidRDefault="00232EFA" w:rsidP="00232EFA">
            <w:pPr>
              <w:spacing w:after="0" w:line="240" w:lineRule="auto"/>
              <w:jc w:val="both"/>
              <w:rPr>
                <w:rFonts w:ascii="Cambria" w:eastAsia="Times New Roman" w:hAnsi="Cambria" w:cstheme="majorHAnsi"/>
                <w:color w:val="222222"/>
                <w:sz w:val="16"/>
                <w:szCs w:val="16"/>
                <w:u w:val="single"/>
              </w:rPr>
            </w:pPr>
            <w:r w:rsidRPr="00666F4F">
              <w:rPr>
                <w:rFonts w:ascii="Cambria" w:eastAsia="Times New Roman" w:hAnsi="Cambria" w:cstheme="majorHAnsi"/>
                <w:color w:val="222222"/>
                <w:sz w:val="16"/>
                <w:szCs w:val="16"/>
                <w:u w:val="single"/>
              </w:rPr>
              <w:t>2,15</w:t>
            </w:r>
          </w:p>
        </w:tc>
        <w:tc>
          <w:tcPr>
            <w:tcW w:w="535" w:type="pct"/>
            <w:tcBorders>
              <w:top w:val="nil"/>
              <w:left w:val="nil"/>
              <w:bottom w:val="single" w:sz="4" w:space="0" w:color="auto"/>
              <w:right w:val="nil"/>
            </w:tcBorders>
            <w:noWrap/>
            <w:vAlign w:val="bottom"/>
            <w:hideMark/>
          </w:tcPr>
          <w:p w14:paraId="4FD14BE0" w14:textId="77777777" w:rsidR="00232EFA" w:rsidRPr="00666F4F" w:rsidRDefault="00232EFA" w:rsidP="00232EFA">
            <w:pPr>
              <w:spacing w:after="0" w:line="240" w:lineRule="auto"/>
              <w:jc w:val="both"/>
              <w:rPr>
                <w:rFonts w:ascii="Cambria" w:eastAsia="Times New Roman" w:hAnsi="Cambria" w:cstheme="majorHAnsi"/>
                <w:color w:val="222222"/>
                <w:sz w:val="16"/>
                <w:szCs w:val="16"/>
                <w:u w:val="single"/>
              </w:rPr>
            </w:pPr>
            <w:r w:rsidRPr="00666F4F">
              <w:rPr>
                <w:rFonts w:ascii="Cambria" w:eastAsia="Times New Roman" w:hAnsi="Cambria" w:cstheme="majorHAnsi"/>
                <w:color w:val="222222"/>
                <w:sz w:val="16"/>
                <w:szCs w:val="16"/>
                <w:u w:val="single"/>
              </w:rPr>
              <w:t>2,00</w:t>
            </w:r>
          </w:p>
        </w:tc>
        <w:tc>
          <w:tcPr>
            <w:tcW w:w="535" w:type="pct"/>
            <w:tcBorders>
              <w:top w:val="nil"/>
              <w:left w:val="single" w:sz="4" w:space="0" w:color="auto"/>
              <w:bottom w:val="single" w:sz="4" w:space="0" w:color="auto"/>
              <w:right w:val="single" w:sz="8" w:space="0" w:color="auto"/>
            </w:tcBorders>
            <w:noWrap/>
            <w:vAlign w:val="bottom"/>
            <w:hideMark/>
          </w:tcPr>
          <w:p w14:paraId="2B58BE72" w14:textId="77777777" w:rsidR="00232EFA" w:rsidRPr="00666F4F" w:rsidRDefault="00232EFA" w:rsidP="00232EFA">
            <w:pPr>
              <w:spacing w:after="0" w:line="240" w:lineRule="auto"/>
              <w:jc w:val="both"/>
              <w:rPr>
                <w:rFonts w:ascii="Cambria" w:eastAsia="Times New Roman" w:hAnsi="Cambria" w:cstheme="majorHAnsi"/>
                <w:color w:val="222222"/>
                <w:sz w:val="16"/>
                <w:szCs w:val="16"/>
                <w:u w:val="single"/>
              </w:rPr>
            </w:pPr>
            <w:r w:rsidRPr="00666F4F">
              <w:rPr>
                <w:rFonts w:ascii="Cambria" w:eastAsia="Times New Roman" w:hAnsi="Cambria" w:cstheme="majorHAnsi"/>
                <w:color w:val="222222"/>
                <w:sz w:val="16"/>
                <w:szCs w:val="16"/>
                <w:u w:val="single"/>
              </w:rPr>
              <w:t> </w:t>
            </w:r>
          </w:p>
        </w:tc>
      </w:tr>
      <w:tr w:rsidR="00232EFA" w:rsidRPr="00666F4F" w14:paraId="0763300F" w14:textId="77777777">
        <w:trPr>
          <w:trHeight w:val="113"/>
        </w:trPr>
        <w:tc>
          <w:tcPr>
            <w:tcW w:w="1420" w:type="pct"/>
            <w:tcBorders>
              <w:top w:val="nil"/>
              <w:left w:val="single" w:sz="8" w:space="0" w:color="auto"/>
              <w:bottom w:val="single" w:sz="4" w:space="0" w:color="auto"/>
              <w:right w:val="single" w:sz="8" w:space="0" w:color="auto"/>
            </w:tcBorders>
            <w:noWrap/>
            <w:vAlign w:val="bottom"/>
            <w:hideMark/>
          </w:tcPr>
          <w:p w14:paraId="34697B8A" w14:textId="77777777" w:rsidR="00232EFA" w:rsidRPr="00666F4F" w:rsidRDefault="00232EFA" w:rsidP="00232EFA">
            <w:pPr>
              <w:spacing w:after="0" w:line="240" w:lineRule="auto"/>
              <w:jc w:val="both"/>
              <w:rPr>
                <w:rFonts w:ascii="Cambria" w:eastAsia="Times New Roman" w:hAnsi="Cambria" w:cstheme="majorHAnsi"/>
                <w:b/>
                <w:bCs/>
                <w:color w:val="222222"/>
                <w:sz w:val="16"/>
                <w:szCs w:val="16"/>
                <w:u w:val="single"/>
              </w:rPr>
            </w:pPr>
            <w:r w:rsidRPr="00666F4F">
              <w:rPr>
                <w:rFonts w:ascii="Cambria" w:eastAsia="Times New Roman" w:hAnsi="Cambria" w:cstheme="majorHAnsi"/>
                <w:b/>
                <w:color w:val="222222"/>
                <w:sz w:val="16"/>
                <w:szCs w:val="16"/>
                <w:u w:val="single"/>
              </w:rPr>
              <w:t>BELIZE</w:t>
            </w:r>
          </w:p>
        </w:tc>
        <w:tc>
          <w:tcPr>
            <w:tcW w:w="497" w:type="pct"/>
            <w:tcBorders>
              <w:top w:val="nil"/>
              <w:left w:val="nil"/>
              <w:bottom w:val="single" w:sz="4" w:space="0" w:color="auto"/>
              <w:right w:val="single" w:sz="4" w:space="0" w:color="auto"/>
            </w:tcBorders>
            <w:noWrap/>
            <w:vAlign w:val="bottom"/>
            <w:hideMark/>
          </w:tcPr>
          <w:p w14:paraId="4DB51D6C" w14:textId="77777777" w:rsidR="00232EFA" w:rsidRPr="00666F4F" w:rsidRDefault="00232EFA" w:rsidP="00232EFA">
            <w:pPr>
              <w:spacing w:after="0" w:line="240" w:lineRule="auto"/>
              <w:jc w:val="both"/>
              <w:rPr>
                <w:rFonts w:ascii="Cambria" w:eastAsia="Times New Roman" w:hAnsi="Cambria" w:cstheme="majorHAnsi"/>
                <w:color w:val="222222"/>
                <w:sz w:val="16"/>
                <w:szCs w:val="16"/>
                <w:u w:val="single"/>
              </w:rPr>
            </w:pPr>
            <w:r w:rsidRPr="00666F4F">
              <w:rPr>
                <w:rFonts w:ascii="Cambria" w:eastAsia="Times New Roman" w:hAnsi="Cambria" w:cstheme="majorHAnsi"/>
                <w:color w:val="222222"/>
                <w:sz w:val="16"/>
                <w:szCs w:val="16"/>
                <w:u w:val="single"/>
              </w:rPr>
              <w:t>15,00</w:t>
            </w:r>
          </w:p>
        </w:tc>
        <w:tc>
          <w:tcPr>
            <w:tcW w:w="497" w:type="pct"/>
            <w:tcBorders>
              <w:top w:val="nil"/>
              <w:left w:val="nil"/>
              <w:bottom w:val="single" w:sz="4" w:space="0" w:color="auto"/>
              <w:right w:val="nil"/>
            </w:tcBorders>
            <w:noWrap/>
            <w:vAlign w:val="bottom"/>
            <w:hideMark/>
          </w:tcPr>
          <w:p w14:paraId="38368C3B" w14:textId="77777777" w:rsidR="00232EFA" w:rsidRPr="00666F4F" w:rsidRDefault="00232EFA" w:rsidP="00232EFA">
            <w:pPr>
              <w:spacing w:after="0" w:line="240" w:lineRule="auto"/>
              <w:jc w:val="both"/>
              <w:rPr>
                <w:rFonts w:ascii="Cambria" w:eastAsia="Times New Roman" w:hAnsi="Cambria" w:cstheme="majorHAnsi"/>
                <w:color w:val="222222"/>
                <w:sz w:val="16"/>
                <w:szCs w:val="16"/>
                <w:u w:val="single"/>
              </w:rPr>
            </w:pPr>
            <w:r w:rsidRPr="00666F4F">
              <w:rPr>
                <w:rFonts w:ascii="Cambria" w:eastAsia="Times New Roman" w:hAnsi="Cambria" w:cstheme="majorHAnsi"/>
                <w:color w:val="222222"/>
                <w:sz w:val="16"/>
                <w:szCs w:val="16"/>
                <w:u w:val="single"/>
              </w:rPr>
              <w:t>15,00</w:t>
            </w:r>
          </w:p>
        </w:tc>
        <w:tc>
          <w:tcPr>
            <w:tcW w:w="497" w:type="pct"/>
            <w:tcBorders>
              <w:top w:val="nil"/>
              <w:left w:val="single" w:sz="4" w:space="0" w:color="auto"/>
              <w:bottom w:val="single" w:sz="4" w:space="0" w:color="auto"/>
              <w:right w:val="single" w:sz="8" w:space="0" w:color="auto"/>
            </w:tcBorders>
            <w:noWrap/>
            <w:vAlign w:val="bottom"/>
            <w:hideMark/>
          </w:tcPr>
          <w:p w14:paraId="1FAE7EAA" w14:textId="77777777" w:rsidR="00232EFA" w:rsidRPr="00666F4F" w:rsidRDefault="00232EFA" w:rsidP="00232EFA">
            <w:pPr>
              <w:spacing w:after="0" w:line="240" w:lineRule="auto"/>
              <w:jc w:val="both"/>
              <w:rPr>
                <w:rFonts w:ascii="Cambria" w:eastAsia="Times New Roman" w:hAnsi="Cambria" w:cstheme="majorHAnsi"/>
                <w:color w:val="222222"/>
                <w:sz w:val="16"/>
                <w:szCs w:val="16"/>
                <w:u w:val="single"/>
              </w:rPr>
            </w:pPr>
            <w:r w:rsidRPr="00666F4F">
              <w:rPr>
                <w:rFonts w:ascii="Cambria" w:eastAsia="Times New Roman" w:hAnsi="Cambria" w:cstheme="majorHAnsi"/>
                <w:color w:val="222222"/>
                <w:sz w:val="16"/>
                <w:szCs w:val="16"/>
                <w:u w:val="single"/>
              </w:rPr>
              <w:t>15,00</w:t>
            </w:r>
          </w:p>
        </w:tc>
        <w:tc>
          <w:tcPr>
            <w:tcW w:w="522" w:type="pct"/>
            <w:tcBorders>
              <w:top w:val="nil"/>
              <w:left w:val="nil"/>
              <w:bottom w:val="single" w:sz="4" w:space="0" w:color="auto"/>
              <w:right w:val="single" w:sz="4" w:space="0" w:color="auto"/>
            </w:tcBorders>
            <w:noWrap/>
            <w:vAlign w:val="bottom"/>
            <w:hideMark/>
          </w:tcPr>
          <w:p w14:paraId="043E0153" w14:textId="77777777" w:rsidR="00232EFA" w:rsidRPr="00666F4F" w:rsidRDefault="00232EFA" w:rsidP="00232EFA">
            <w:pPr>
              <w:spacing w:after="0" w:line="240" w:lineRule="auto"/>
              <w:jc w:val="both"/>
              <w:rPr>
                <w:rFonts w:ascii="Cambria" w:eastAsia="Times New Roman" w:hAnsi="Cambria" w:cstheme="majorHAnsi"/>
                <w:color w:val="222222"/>
                <w:sz w:val="16"/>
                <w:szCs w:val="16"/>
                <w:u w:val="single"/>
              </w:rPr>
            </w:pPr>
            <w:r w:rsidRPr="00666F4F">
              <w:rPr>
                <w:rFonts w:ascii="Cambria" w:eastAsia="Times New Roman" w:hAnsi="Cambria" w:cstheme="majorHAnsi"/>
                <w:color w:val="222222"/>
                <w:sz w:val="16"/>
                <w:szCs w:val="16"/>
                <w:u w:val="single"/>
              </w:rPr>
              <w:t>0,00</w:t>
            </w:r>
          </w:p>
        </w:tc>
        <w:tc>
          <w:tcPr>
            <w:tcW w:w="497" w:type="pct"/>
            <w:tcBorders>
              <w:top w:val="nil"/>
              <w:left w:val="single" w:sz="4" w:space="0" w:color="auto"/>
              <w:bottom w:val="single" w:sz="4" w:space="0" w:color="auto"/>
              <w:right w:val="single" w:sz="8" w:space="0" w:color="auto"/>
            </w:tcBorders>
            <w:noWrap/>
            <w:vAlign w:val="bottom"/>
            <w:hideMark/>
          </w:tcPr>
          <w:p w14:paraId="59C57E27" w14:textId="77777777" w:rsidR="00232EFA" w:rsidRPr="00666F4F" w:rsidRDefault="00232EFA" w:rsidP="00232EFA">
            <w:pPr>
              <w:spacing w:after="0" w:line="240" w:lineRule="auto"/>
              <w:jc w:val="both"/>
              <w:rPr>
                <w:rFonts w:ascii="Cambria" w:eastAsia="Times New Roman" w:hAnsi="Cambria" w:cstheme="majorHAnsi"/>
                <w:color w:val="222222"/>
                <w:sz w:val="16"/>
                <w:szCs w:val="16"/>
                <w:u w:val="single"/>
              </w:rPr>
            </w:pPr>
            <w:r w:rsidRPr="00666F4F">
              <w:rPr>
                <w:rFonts w:ascii="Cambria" w:eastAsia="Times New Roman" w:hAnsi="Cambria" w:cstheme="majorHAnsi"/>
                <w:color w:val="222222"/>
                <w:sz w:val="16"/>
                <w:szCs w:val="16"/>
                <w:u w:val="single"/>
              </w:rPr>
              <w:t>0,00</w:t>
            </w:r>
          </w:p>
        </w:tc>
        <w:tc>
          <w:tcPr>
            <w:tcW w:w="535" w:type="pct"/>
            <w:tcBorders>
              <w:top w:val="nil"/>
              <w:left w:val="nil"/>
              <w:bottom w:val="single" w:sz="4" w:space="0" w:color="auto"/>
              <w:right w:val="nil"/>
            </w:tcBorders>
            <w:noWrap/>
            <w:vAlign w:val="bottom"/>
            <w:hideMark/>
          </w:tcPr>
          <w:p w14:paraId="0885966E" w14:textId="77777777" w:rsidR="00232EFA" w:rsidRPr="00666F4F" w:rsidRDefault="00232EFA" w:rsidP="00232EFA">
            <w:pPr>
              <w:spacing w:after="0" w:line="240" w:lineRule="auto"/>
              <w:jc w:val="both"/>
              <w:rPr>
                <w:rFonts w:ascii="Cambria" w:eastAsia="Times New Roman" w:hAnsi="Cambria" w:cstheme="majorHAnsi"/>
                <w:color w:val="222222"/>
                <w:sz w:val="16"/>
                <w:szCs w:val="16"/>
                <w:u w:val="single"/>
              </w:rPr>
            </w:pPr>
            <w:r w:rsidRPr="00666F4F">
              <w:rPr>
                <w:rFonts w:ascii="Cambria" w:eastAsia="Times New Roman" w:hAnsi="Cambria" w:cstheme="majorHAnsi"/>
                <w:color w:val="222222"/>
                <w:sz w:val="16"/>
                <w:szCs w:val="16"/>
                <w:u w:val="single"/>
              </w:rPr>
              <w:t>15,00</w:t>
            </w:r>
          </w:p>
        </w:tc>
        <w:tc>
          <w:tcPr>
            <w:tcW w:w="535" w:type="pct"/>
            <w:tcBorders>
              <w:top w:val="nil"/>
              <w:left w:val="single" w:sz="4" w:space="0" w:color="auto"/>
              <w:bottom w:val="single" w:sz="4" w:space="0" w:color="auto"/>
              <w:right w:val="single" w:sz="8" w:space="0" w:color="auto"/>
            </w:tcBorders>
            <w:noWrap/>
            <w:vAlign w:val="bottom"/>
            <w:hideMark/>
          </w:tcPr>
          <w:p w14:paraId="07E8C1E5" w14:textId="77777777" w:rsidR="00232EFA" w:rsidRPr="00666F4F" w:rsidRDefault="00232EFA" w:rsidP="00232EFA">
            <w:pPr>
              <w:spacing w:after="0" w:line="240" w:lineRule="auto"/>
              <w:jc w:val="both"/>
              <w:rPr>
                <w:rFonts w:ascii="Cambria" w:eastAsia="Times New Roman" w:hAnsi="Cambria" w:cstheme="majorHAnsi"/>
                <w:color w:val="222222"/>
                <w:sz w:val="16"/>
                <w:szCs w:val="16"/>
                <w:u w:val="single"/>
              </w:rPr>
            </w:pPr>
            <w:r w:rsidRPr="00666F4F">
              <w:rPr>
                <w:rFonts w:ascii="Cambria" w:eastAsia="Times New Roman" w:hAnsi="Cambria" w:cstheme="majorHAnsi"/>
                <w:color w:val="222222"/>
                <w:sz w:val="16"/>
                <w:szCs w:val="16"/>
                <w:u w:val="single"/>
              </w:rPr>
              <w:t>15,00</w:t>
            </w:r>
          </w:p>
        </w:tc>
      </w:tr>
      <w:tr w:rsidR="00232EFA" w:rsidRPr="00666F4F" w14:paraId="6AFE27A2" w14:textId="77777777">
        <w:trPr>
          <w:trHeight w:val="113"/>
        </w:trPr>
        <w:tc>
          <w:tcPr>
            <w:tcW w:w="1420" w:type="pct"/>
            <w:tcBorders>
              <w:top w:val="nil"/>
              <w:left w:val="single" w:sz="8" w:space="0" w:color="auto"/>
              <w:bottom w:val="single" w:sz="4" w:space="0" w:color="auto"/>
              <w:right w:val="single" w:sz="8" w:space="0" w:color="auto"/>
            </w:tcBorders>
            <w:noWrap/>
            <w:vAlign w:val="bottom"/>
            <w:hideMark/>
          </w:tcPr>
          <w:p w14:paraId="033755F7" w14:textId="77777777" w:rsidR="00232EFA" w:rsidRPr="00666F4F" w:rsidRDefault="00232EFA" w:rsidP="00232EFA">
            <w:pPr>
              <w:spacing w:after="0" w:line="240" w:lineRule="auto"/>
              <w:jc w:val="both"/>
              <w:rPr>
                <w:rFonts w:ascii="Cambria" w:eastAsia="Times New Roman" w:hAnsi="Cambria" w:cstheme="majorHAnsi"/>
                <w:b/>
                <w:bCs/>
                <w:color w:val="222222"/>
                <w:sz w:val="16"/>
                <w:szCs w:val="16"/>
                <w:u w:val="single"/>
              </w:rPr>
            </w:pPr>
            <w:r w:rsidRPr="00666F4F">
              <w:rPr>
                <w:rFonts w:ascii="Cambria" w:eastAsia="Times New Roman" w:hAnsi="Cambria" w:cstheme="majorHAnsi"/>
                <w:b/>
                <w:color w:val="222222"/>
                <w:sz w:val="16"/>
                <w:szCs w:val="16"/>
                <w:u w:val="single"/>
              </w:rPr>
              <w:t>BRÉSIL</w:t>
            </w:r>
          </w:p>
        </w:tc>
        <w:tc>
          <w:tcPr>
            <w:tcW w:w="497" w:type="pct"/>
            <w:tcBorders>
              <w:top w:val="nil"/>
              <w:left w:val="nil"/>
              <w:bottom w:val="single" w:sz="4" w:space="0" w:color="auto"/>
              <w:right w:val="single" w:sz="4" w:space="0" w:color="auto"/>
            </w:tcBorders>
            <w:noWrap/>
            <w:vAlign w:val="bottom"/>
            <w:hideMark/>
          </w:tcPr>
          <w:p w14:paraId="7CE9A624" w14:textId="77777777" w:rsidR="00232EFA" w:rsidRPr="00666F4F" w:rsidRDefault="00232EFA" w:rsidP="00232EFA">
            <w:pPr>
              <w:spacing w:after="0" w:line="240" w:lineRule="auto"/>
              <w:jc w:val="both"/>
              <w:rPr>
                <w:rFonts w:ascii="Cambria" w:eastAsia="Times New Roman" w:hAnsi="Cambria" w:cstheme="majorHAnsi"/>
                <w:color w:val="222222"/>
                <w:sz w:val="16"/>
                <w:szCs w:val="16"/>
                <w:u w:val="single"/>
              </w:rPr>
            </w:pPr>
            <w:r w:rsidRPr="00666F4F">
              <w:rPr>
                <w:rFonts w:ascii="Cambria" w:eastAsia="Times New Roman" w:hAnsi="Cambria" w:cstheme="majorHAnsi"/>
                <w:color w:val="222222"/>
                <w:sz w:val="16"/>
                <w:szCs w:val="16"/>
                <w:u w:val="single"/>
              </w:rPr>
              <w:t>208,00</w:t>
            </w:r>
          </w:p>
        </w:tc>
        <w:tc>
          <w:tcPr>
            <w:tcW w:w="497" w:type="pct"/>
            <w:tcBorders>
              <w:top w:val="nil"/>
              <w:left w:val="nil"/>
              <w:bottom w:val="single" w:sz="4" w:space="0" w:color="auto"/>
              <w:right w:val="nil"/>
            </w:tcBorders>
            <w:noWrap/>
            <w:vAlign w:val="bottom"/>
            <w:hideMark/>
          </w:tcPr>
          <w:p w14:paraId="2A97A2E0" w14:textId="77777777" w:rsidR="00232EFA" w:rsidRPr="00666F4F" w:rsidRDefault="00232EFA" w:rsidP="00232EFA">
            <w:pPr>
              <w:spacing w:after="0" w:line="240" w:lineRule="auto"/>
              <w:jc w:val="both"/>
              <w:rPr>
                <w:rFonts w:ascii="Cambria" w:eastAsia="Times New Roman" w:hAnsi="Cambria" w:cstheme="majorHAnsi"/>
                <w:color w:val="222222"/>
                <w:sz w:val="16"/>
                <w:szCs w:val="16"/>
                <w:u w:val="single"/>
              </w:rPr>
            </w:pPr>
            <w:r w:rsidRPr="00666F4F">
              <w:rPr>
                <w:rFonts w:ascii="Cambria" w:eastAsia="Times New Roman" w:hAnsi="Cambria" w:cstheme="majorHAnsi"/>
                <w:color w:val="222222"/>
                <w:sz w:val="16"/>
                <w:szCs w:val="16"/>
                <w:u w:val="single"/>
              </w:rPr>
              <w:t>208,00</w:t>
            </w:r>
          </w:p>
        </w:tc>
        <w:tc>
          <w:tcPr>
            <w:tcW w:w="497" w:type="pct"/>
            <w:tcBorders>
              <w:top w:val="nil"/>
              <w:left w:val="single" w:sz="4" w:space="0" w:color="auto"/>
              <w:bottom w:val="single" w:sz="4" w:space="0" w:color="auto"/>
              <w:right w:val="single" w:sz="8" w:space="0" w:color="auto"/>
            </w:tcBorders>
            <w:noWrap/>
            <w:vAlign w:val="bottom"/>
            <w:hideMark/>
          </w:tcPr>
          <w:p w14:paraId="1650363B" w14:textId="77777777" w:rsidR="00232EFA" w:rsidRPr="00666F4F" w:rsidRDefault="00232EFA" w:rsidP="00232EFA">
            <w:pPr>
              <w:spacing w:after="0" w:line="240" w:lineRule="auto"/>
              <w:jc w:val="both"/>
              <w:rPr>
                <w:rFonts w:ascii="Cambria" w:eastAsia="Times New Roman" w:hAnsi="Cambria" w:cstheme="majorHAnsi"/>
                <w:color w:val="222222"/>
                <w:sz w:val="16"/>
                <w:szCs w:val="16"/>
                <w:u w:val="single"/>
              </w:rPr>
            </w:pPr>
            <w:r w:rsidRPr="00666F4F">
              <w:rPr>
                <w:rFonts w:ascii="Cambria" w:eastAsia="Times New Roman" w:hAnsi="Cambria" w:cstheme="majorHAnsi"/>
                <w:color w:val="222222"/>
                <w:sz w:val="16"/>
                <w:szCs w:val="16"/>
                <w:u w:val="single"/>
              </w:rPr>
              <w:t>208,00</w:t>
            </w:r>
          </w:p>
        </w:tc>
        <w:tc>
          <w:tcPr>
            <w:tcW w:w="522" w:type="pct"/>
            <w:tcBorders>
              <w:top w:val="nil"/>
              <w:left w:val="nil"/>
              <w:bottom w:val="single" w:sz="4" w:space="0" w:color="auto"/>
              <w:right w:val="single" w:sz="4" w:space="0" w:color="auto"/>
            </w:tcBorders>
            <w:noWrap/>
            <w:vAlign w:val="bottom"/>
            <w:hideMark/>
          </w:tcPr>
          <w:p w14:paraId="1E3D3A85" w14:textId="77777777" w:rsidR="00232EFA" w:rsidRPr="00666F4F" w:rsidRDefault="00232EFA" w:rsidP="00232EFA">
            <w:pPr>
              <w:spacing w:after="0" w:line="240" w:lineRule="auto"/>
              <w:jc w:val="both"/>
              <w:rPr>
                <w:rFonts w:ascii="Cambria" w:eastAsia="Times New Roman" w:hAnsi="Cambria" w:cstheme="majorHAnsi"/>
                <w:color w:val="222222"/>
                <w:sz w:val="16"/>
                <w:szCs w:val="16"/>
                <w:u w:val="single"/>
              </w:rPr>
            </w:pPr>
            <w:r w:rsidRPr="00666F4F">
              <w:rPr>
                <w:rFonts w:ascii="Cambria" w:eastAsia="Times New Roman" w:hAnsi="Cambria" w:cstheme="majorHAnsi"/>
                <w:color w:val="222222"/>
                <w:sz w:val="16"/>
                <w:szCs w:val="16"/>
                <w:u w:val="single"/>
              </w:rPr>
              <w:t>121,00</w:t>
            </w:r>
          </w:p>
        </w:tc>
        <w:tc>
          <w:tcPr>
            <w:tcW w:w="497" w:type="pct"/>
            <w:tcBorders>
              <w:top w:val="nil"/>
              <w:left w:val="single" w:sz="4" w:space="0" w:color="auto"/>
              <w:bottom w:val="single" w:sz="4" w:space="0" w:color="auto"/>
              <w:right w:val="single" w:sz="8" w:space="0" w:color="auto"/>
            </w:tcBorders>
            <w:noWrap/>
            <w:vAlign w:val="bottom"/>
            <w:hideMark/>
          </w:tcPr>
          <w:p w14:paraId="2DFAC5ED" w14:textId="77777777" w:rsidR="00232EFA" w:rsidRPr="00666F4F" w:rsidRDefault="00232EFA" w:rsidP="00232EFA">
            <w:pPr>
              <w:spacing w:after="0" w:line="240" w:lineRule="auto"/>
              <w:jc w:val="both"/>
              <w:rPr>
                <w:rFonts w:ascii="Cambria" w:eastAsia="Times New Roman" w:hAnsi="Cambria" w:cstheme="majorHAnsi"/>
                <w:color w:val="222222"/>
                <w:sz w:val="16"/>
                <w:szCs w:val="16"/>
                <w:u w:val="single"/>
              </w:rPr>
            </w:pPr>
            <w:r w:rsidRPr="00666F4F">
              <w:rPr>
                <w:rFonts w:ascii="Cambria" w:eastAsia="Times New Roman" w:hAnsi="Cambria" w:cstheme="majorHAnsi"/>
                <w:color w:val="222222"/>
                <w:sz w:val="16"/>
                <w:szCs w:val="16"/>
                <w:u w:val="single"/>
              </w:rPr>
              <w:t>305,00</w:t>
            </w:r>
          </w:p>
        </w:tc>
        <w:tc>
          <w:tcPr>
            <w:tcW w:w="535" w:type="pct"/>
            <w:tcBorders>
              <w:top w:val="nil"/>
              <w:left w:val="nil"/>
              <w:bottom w:val="single" w:sz="4" w:space="0" w:color="auto"/>
              <w:right w:val="nil"/>
            </w:tcBorders>
            <w:noWrap/>
            <w:vAlign w:val="bottom"/>
            <w:hideMark/>
          </w:tcPr>
          <w:p w14:paraId="0887E520" w14:textId="77777777" w:rsidR="00232EFA" w:rsidRPr="00666F4F" w:rsidRDefault="00232EFA" w:rsidP="00232EFA">
            <w:pPr>
              <w:spacing w:after="0" w:line="240" w:lineRule="auto"/>
              <w:jc w:val="both"/>
              <w:rPr>
                <w:rFonts w:ascii="Cambria" w:eastAsia="Times New Roman" w:hAnsi="Cambria" w:cstheme="majorHAnsi"/>
                <w:color w:val="222222"/>
                <w:sz w:val="16"/>
                <w:szCs w:val="16"/>
                <w:u w:val="single"/>
              </w:rPr>
            </w:pPr>
            <w:r w:rsidRPr="00666F4F">
              <w:rPr>
                <w:rFonts w:ascii="Cambria" w:eastAsia="Times New Roman" w:hAnsi="Cambria" w:cstheme="majorHAnsi"/>
                <w:color w:val="222222"/>
                <w:sz w:val="16"/>
                <w:szCs w:val="16"/>
                <w:u w:val="single"/>
              </w:rPr>
              <w:t>87,00</w:t>
            </w:r>
          </w:p>
        </w:tc>
        <w:tc>
          <w:tcPr>
            <w:tcW w:w="535" w:type="pct"/>
            <w:tcBorders>
              <w:top w:val="nil"/>
              <w:left w:val="single" w:sz="4" w:space="0" w:color="auto"/>
              <w:bottom w:val="single" w:sz="4" w:space="0" w:color="auto"/>
              <w:right w:val="single" w:sz="8" w:space="0" w:color="auto"/>
            </w:tcBorders>
            <w:noWrap/>
            <w:vAlign w:val="bottom"/>
            <w:hideMark/>
          </w:tcPr>
          <w:p w14:paraId="606DAFCD" w14:textId="77777777" w:rsidR="00232EFA" w:rsidRPr="00666F4F" w:rsidRDefault="00232EFA" w:rsidP="00232EFA">
            <w:pPr>
              <w:spacing w:after="0" w:line="240" w:lineRule="auto"/>
              <w:jc w:val="both"/>
              <w:rPr>
                <w:rFonts w:ascii="Cambria" w:eastAsia="Times New Roman" w:hAnsi="Cambria" w:cstheme="majorHAnsi"/>
                <w:color w:val="EE0000"/>
                <w:sz w:val="16"/>
                <w:szCs w:val="16"/>
                <w:u w:val="single"/>
              </w:rPr>
            </w:pPr>
            <w:r w:rsidRPr="00666F4F">
              <w:rPr>
                <w:rFonts w:ascii="Cambria" w:eastAsia="Times New Roman" w:hAnsi="Cambria" w:cstheme="majorHAnsi"/>
                <w:color w:val="EE0000"/>
                <w:sz w:val="16"/>
                <w:szCs w:val="16"/>
                <w:u w:val="single"/>
              </w:rPr>
              <w:t>-97,00</w:t>
            </w:r>
          </w:p>
        </w:tc>
      </w:tr>
      <w:tr w:rsidR="00232EFA" w:rsidRPr="00666F4F" w14:paraId="5EEDF4B2" w14:textId="77777777">
        <w:trPr>
          <w:trHeight w:val="113"/>
        </w:trPr>
        <w:tc>
          <w:tcPr>
            <w:tcW w:w="1420" w:type="pct"/>
            <w:tcBorders>
              <w:top w:val="nil"/>
              <w:left w:val="single" w:sz="8" w:space="0" w:color="auto"/>
              <w:bottom w:val="single" w:sz="4" w:space="0" w:color="auto"/>
              <w:right w:val="single" w:sz="8" w:space="0" w:color="auto"/>
            </w:tcBorders>
            <w:noWrap/>
            <w:vAlign w:val="bottom"/>
            <w:hideMark/>
          </w:tcPr>
          <w:p w14:paraId="33435BBA" w14:textId="77777777" w:rsidR="00232EFA" w:rsidRPr="00666F4F" w:rsidRDefault="00232EFA" w:rsidP="00232EFA">
            <w:pPr>
              <w:spacing w:after="0" w:line="240" w:lineRule="auto"/>
              <w:jc w:val="both"/>
              <w:rPr>
                <w:rFonts w:ascii="Cambria" w:eastAsia="Times New Roman" w:hAnsi="Cambria" w:cstheme="majorHAnsi"/>
                <w:b/>
                <w:bCs/>
                <w:color w:val="222222"/>
                <w:sz w:val="16"/>
                <w:szCs w:val="16"/>
                <w:u w:val="single"/>
              </w:rPr>
            </w:pPr>
            <w:r w:rsidRPr="00666F4F">
              <w:rPr>
                <w:rFonts w:ascii="Cambria" w:eastAsia="Times New Roman" w:hAnsi="Cambria" w:cstheme="majorHAnsi"/>
                <w:b/>
                <w:color w:val="222222"/>
                <w:sz w:val="16"/>
                <w:szCs w:val="16"/>
                <w:u w:val="single"/>
              </w:rPr>
              <w:t>CHINE</w:t>
            </w:r>
          </w:p>
        </w:tc>
        <w:tc>
          <w:tcPr>
            <w:tcW w:w="497" w:type="pct"/>
            <w:tcBorders>
              <w:top w:val="nil"/>
              <w:left w:val="nil"/>
              <w:bottom w:val="single" w:sz="4" w:space="0" w:color="auto"/>
              <w:right w:val="single" w:sz="4" w:space="0" w:color="auto"/>
            </w:tcBorders>
            <w:noWrap/>
            <w:vAlign w:val="bottom"/>
            <w:hideMark/>
          </w:tcPr>
          <w:p w14:paraId="3A22BB5F" w14:textId="77777777" w:rsidR="00232EFA" w:rsidRPr="00666F4F" w:rsidRDefault="00232EFA" w:rsidP="00232EFA">
            <w:pPr>
              <w:spacing w:after="0" w:line="240" w:lineRule="auto"/>
              <w:jc w:val="both"/>
              <w:rPr>
                <w:rFonts w:ascii="Cambria" w:eastAsia="Times New Roman" w:hAnsi="Cambria" w:cstheme="majorHAnsi"/>
                <w:color w:val="222222"/>
                <w:sz w:val="16"/>
                <w:szCs w:val="16"/>
                <w:u w:val="single"/>
              </w:rPr>
            </w:pPr>
            <w:r w:rsidRPr="00666F4F">
              <w:rPr>
                <w:rFonts w:ascii="Cambria" w:eastAsia="Times New Roman" w:hAnsi="Cambria" w:cstheme="majorHAnsi"/>
                <w:color w:val="222222"/>
                <w:sz w:val="16"/>
                <w:szCs w:val="16"/>
                <w:u w:val="single"/>
              </w:rPr>
              <w:t>2,00</w:t>
            </w:r>
          </w:p>
        </w:tc>
        <w:tc>
          <w:tcPr>
            <w:tcW w:w="497" w:type="pct"/>
            <w:tcBorders>
              <w:top w:val="nil"/>
              <w:left w:val="nil"/>
              <w:bottom w:val="single" w:sz="4" w:space="0" w:color="auto"/>
              <w:right w:val="nil"/>
            </w:tcBorders>
            <w:noWrap/>
            <w:vAlign w:val="bottom"/>
            <w:hideMark/>
          </w:tcPr>
          <w:p w14:paraId="617B0C51" w14:textId="77777777" w:rsidR="00232EFA" w:rsidRPr="00666F4F" w:rsidRDefault="00232EFA" w:rsidP="00232EFA">
            <w:pPr>
              <w:spacing w:after="0" w:line="240" w:lineRule="auto"/>
              <w:jc w:val="both"/>
              <w:rPr>
                <w:rFonts w:ascii="Cambria" w:eastAsia="Times New Roman" w:hAnsi="Cambria" w:cstheme="majorHAnsi"/>
                <w:color w:val="222222"/>
                <w:sz w:val="16"/>
                <w:szCs w:val="16"/>
                <w:u w:val="single"/>
              </w:rPr>
            </w:pPr>
            <w:r w:rsidRPr="00666F4F">
              <w:rPr>
                <w:rFonts w:ascii="Cambria" w:eastAsia="Times New Roman" w:hAnsi="Cambria" w:cstheme="majorHAnsi"/>
                <w:color w:val="222222"/>
                <w:sz w:val="16"/>
                <w:szCs w:val="16"/>
                <w:u w:val="single"/>
              </w:rPr>
              <w:t>2,00</w:t>
            </w:r>
          </w:p>
        </w:tc>
        <w:tc>
          <w:tcPr>
            <w:tcW w:w="497" w:type="pct"/>
            <w:tcBorders>
              <w:top w:val="nil"/>
              <w:left w:val="single" w:sz="4" w:space="0" w:color="auto"/>
              <w:bottom w:val="single" w:sz="4" w:space="0" w:color="auto"/>
              <w:right w:val="single" w:sz="8" w:space="0" w:color="auto"/>
            </w:tcBorders>
            <w:noWrap/>
            <w:vAlign w:val="bottom"/>
            <w:hideMark/>
          </w:tcPr>
          <w:p w14:paraId="48947357" w14:textId="77777777" w:rsidR="00232EFA" w:rsidRPr="00666F4F" w:rsidRDefault="00232EFA" w:rsidP="00232EFA">
            <w:pPr>
              <w:spacing w:after="0" w:line="240" w:lineRule="auto"/>
              <w:jc w:val="both"/>
              <w:rPr>
                <w:rFonts w:ascii="Cambria" w:eastAsia="Times New Roman" w:hAnsi="Cambria" w:cstheme="majorHAnsi"/>
                <w:color w:val="222222"/>
                <w:sz w:val="16"/>
                <w:szCs w:val="16"/>
                <w:u w:val="single"/>
              </w:rPr>
            </w:pPr>
            <w:r w:rsidRPr="00666F4F">
              <w:rPr>
                <w:rFonts w:ascii="Cambria" w:eastAsia="Times New Roman" w:hAnsi="Cambria" w:cstheme="majorHAnsi"/>
                <w:color w:val="222222"/>
                <w:sz w:val="16"/>
                <w:szCs w:val="16"/>
                <w:u w:val="single"/>
              </w:rPr>
              <w:t>2,00</w:t>
            </w:r>
          </w:p>
        </w:tc>
        <w:tc>
          <w:tcPr>
            <w:tcW w:w="522" w:type="pct"/>
            <w:tcBorders>
              <w:top w:val="nil"/>
              <w:left w:val="nil"/>
              <w:bottom w:val="single" w:sz="4" w:space="0" w:color="auto"/>
              <w:right w:val="single" w:sz="4" w:space="0" w:color="auto"/>
            </w:tcBorders>
            <w:noWrap/>
            <w:vAlign w:val="bottom"/>
            <w:hideMark/>
          </w:tcPr>
          <w:p w14:paraId="0219AA60" w14:textId="77777777" w:rsidR="00232EFA" w:rsidRPr="00666F4F" w:rsidRDefault="00232EFA" w:rsidP="00232EFA">
            <w:pPr>
              <w:spacing w:after="0" w:line="240" w:lineRule="auto"/>
              <w:jc w:val="both"/>
              <w:rPr>
                <w:rFonts w:ascii="Cambria" w:eastAsia="Times New Roman" w:hAnsi="Cambria" w:cstheme="majorHAnsi"/>
                <w:color w:val="222222"/>
                <w:sz w:val="16"/>
                <w:szCs w:val="16"/>
                <w:u w:val="single"/>
              </w:rPr>
            </w:pPr>
            <w:r w:rsidRPr="00666F4F">
              <w:rPr>
                <w:rFonts w:ascii="Cambria" w:eastAsia="Times New Roman" w:hAnsi="Cambria" w:cstheme="majorHAnsi"/>
                <w:color w:val="222222"/>
                <w:sz w:val="16"/>
                <w:szCs w:val="16"/>
                <w:u w:val="single"/>
              </w:rPr>
              <w:t>0,00</w:t>
            </w:r>
          </w:p>
        </w:tc>
        <w:tc>
          <w:tcPr>
            <w:tcW w:w="497" w:type="pct"/>
            <w:tcBorders>
              <w:top w:val="nil"/>
              <w:left w:val="single" w:sz="4" w:space="0" w:color="auto"/>
              <w:bottom w:val="single" w:sz="4" w:space="0" w:color="auto"/>
              <w:right w:val="single" w:sz="8" w:space="0" w:color="auto"/>
            </w:tcBorders>
            <w:noWrap/>
            <w:vAlign w:val="bottom"/>
            <w:hideMark/>
          </w:tcPr>
          <w:p w14:paraId="2DA9C937" w14:textId="77777777" w:rsidR="00232EFA" w:rsidRPr="00666F4F" w:rsidRDefault="00232EFA" w:rsidP="00232EFA">
            <w:pPr>
              <w:spacing w:after="0" w:line="240" w:lineRule="auto"/>
              <w:jc w:val="both"/>
              <w:rPr>
                <w:rFonts w:ascii="Cambria" w:eastAsia="Times New Roman" w:hAnsi="Cambria" w:cstheme="majorHAnsi"/>
                <w:color w:val="222222"/>
                <w:sz w:val="16"/>
                <w:szCs w:val="16"/>
                <w:u w:val="single"/>
              </w:rPr>
            </w:pPr>
            <w:r w:rsidRPr="00666F4F">
              <w:rPr>
                <w:rFonts w:ascii="Cambria" w:eastAsia="Times New Roman" w:hAnsi="Cambria" w:cstheme="majorHAnsi"/>
                <w:color w:val="222222"/>
                <w:sz w:val="16"/>
                <w:szCs w:val="16"/>
                <w:u w:val="single"/>
              </w:rPr>
              <w:t>0,00</w:t>
            </w:r>
          </w:p>
        </w:tc>
        <w:tc>
          <w:tcPr>
            <w:tcW w:w="535" w:type="pct"/>
            <w:tcBorders>
              <w:top w:val="nil"/>
              <w:left w:val="nil"/>
              <w:bottom w:val="single" w:sz="4" w:space="0" w:color="auto"/>
              <w:right w:val="nil"/>
            </w:tcBorders>
            <w:noWrap/>
            <w:vAlign w:val="bottom"/>
            <w:hideMark/>
          </w:tcPr>
          <w:p w14:paraId="6599207E" w14:textId="77777777" w:rsidR="00232EFA" w:rsidRPr="00666F4F" w:rsidRDefault="00232EFA" w:rsidP="00232EFA">
            <w:pPr>
              <w:spacing w:after="0" w:line="240" w:lineRule="auto"/>
              <w:jc w:val="both"/>
              <w:rPr>
                <w:rFonts w:ascii="Cambria" w:eastAsia="Times New Roman" w:hAnsi="Cambria" w:cstheme="majorHAnsi"/>
                <w:color w:val="222222"/>
                <w:sz w:val="16"/>
                <w:szCs w:val="16"/>
                <w:u w:val="single"/>
              </w:rPr>
            </w:pPr>
            <w:r w:rsidRPr="00666F4F">
              <w:rPr>
                <w:rFonts w:ascii="Cambria" w:eastAsia="Times New Roman" w:hAnsi="Cambria" w:cstheme="majorHAnsi"/>
                <w:color w:val="222222"/>
                <w:sz w:val="16"/>
                <w:szCs w:val="16"/>
                <w:u w:val="single"/>
              </w:rPr>
              <w:t>2,00</w:t>
            </w:r>
          </w:p>
        </w:tc>
        <w:tc>
          <w:tcPr>
            <w:tcW w:w="535" w:type="pct"/>
            <w:tcBorders>
              <w:top w:val="nil"/>
              <w:left w:val="single" w:sz="4" w:space="0" w:color="auto"/>
              <w:bottom w:val="single" w:sz="4" w:space="0" w:color="auto"/>
              <w:right w:val="single" w:sz="8" w:space="0" w:color="auto"/>
            </w:tcBorders>
            <w:noWrap/>
            <w:vAlign w:val="bottom"/>
            <w:hideMark/>
          </w:tcPr>
          <w:p w14:paraId="3E8066A1" w14:textId="77777777" w:rsidR="00232EFA" w:rsidRPr="00666F4F" w:rsidRDefault="00232EFA" w:rsidP="00232EFA">
            <w:pPr>
              <w:spacing w:after="0" w:line="240" w:lineRule="auto"/>
              <w:jc w:val="both"/>
              <w:rPr>
                <w:rFonts w:ascii="Cambria" w:eastAsia="Times New Roman" w:hAnsi="Cambria" w:cstheme="majorHAnsi"/>
                <w:color w:val="222222"/>
                <w:sz w:val="16"/>
                <w:szCs w:val="16"/>
                <w:u w:val="single"/>
              </w:rPr>
            </w:pPr>
            <w:r w:rsidRPr="00666F4F">
              <w:rPr>
                <w:rFonts w:ascii="Cambria" w:eastAsia="Times New Roman" w:hAnsi="Cambria" w:cstheme="majorHAnsi"/>
                <w:color w:val="222222"/>
                <w:sz w:val="16"/>
                <w:szCs w:val="16"/>
                <w:u w:val="single"/>
              </w:rPr>
              <w:t>2,00</w:t>
            </w:r>
          </w:p>
        </w:tc>
      </w:tr>
      <w:tr w:rsidR="00232EFA" w:rsidRPr="00666F4F" w14:paraId="67396B06" w14:textId="77777777">
        <w:trPr>
          <w:trHeight w:val="113"/>
        </w:trPr>
        <w:tc>
          <w:tcPr>
            <w:tcW w:w="1420" w:type="pct"/>
            <w:tcBorders>
              <w:top w:val="nil"/>
              <w:left w:val="single" w:sz="8" w:space="0" w:color="auto"/>
              <w:bottom w:val="single" w:sz="4" w:space="0" w:color="auto"/>
              <w:right w:val="single" w:sz="8" w:space="0" w:color="auto"/>
            </w:tcBorders>
            <w:noWrap/>
            <w:vAlign w:val="bottom"/>
            <w:hideMark/>
          </w:tcPr>
          <w:p w14:paraId="69D13212" w14:textId="77777777" w:rsidR="00232EFA" w:rsidRPr="00666F4F" w:rsidRDefault="00232EFA" w:rsidP="00232EFA">
            <w:pPr>
              <w:spacing w:after="0" w:line="240" w:lineRule="auto"/>
              <w:jc w:val="both"/>
              <w:rPr>
                <w:rFonts w:ascii="Cambria" w:eastAsia="Times New Roman" w:hAnsi="Cambria" w:cstheme="majorHAnsi"/>
                <w:b/>
                <w:bCs/>
                <w:color w:val="222222"/>
                <w:sz w:val="16"/>
                <w:szCs w:val="16"/>
                <w:u w:val="single"/>
              </w:rPr>
            </w:pPr>
            <w:r w:rsidRPr="00666F4F">
              <w:rPr>
                <w:rFonts w:ascii="Cambria" w:eastAsia="Times New Roman" w:hAnsi="Cambria" w:cstheme="majorHAnsi"/>
                <w:b/>
                <w:color w:val="222222"/>
                <w:sz w:val="16"/>
                <w:szCs w:val="16"/>
                <w:u w:val="single"/>
              </w:rPr>
              <w:t>TAIPEI CHINOIS</w:t>
            </w:r>
          </w:p>
        </w:tc>
        <w:tc>
          <w:tcPr>
            <w:tcW w:w="497" w:type="pct"/>
            <w:tcBorders>
              <w:top w:val="nil"/>
              <w:left w:val="nil"/>
              <w:bottom w:val="single" w:sz="4" w:space="0" w:color="auto"/>
              <w:right w:val="single" w:sz="4" w:space="0" w:color="auto"/>
            </w:tcBorders>
            <w:noWrap/>
            <w:vAlign w:val="bottom"/>
            <w:hideMark/>
          </w:tcPr>
          <w:p w14:paraId="197ABB7A" w14:textId="77777777" w:rsidR="00232EFA" w:rsidRPr="00666F4F" w:rsidRDefault="00232EFA" w:rsidP="00232EFA">
            <w:pPr>
              <w:spacing w:after="0" w:line="240" w:lineRule="auto"/>
              <w:jc w:val="both"/>
              <w:rPr>
                <w:rFonts w:ascii="Cambria" w:eastAsia="Times New Roman" w:hAnsi="Cambria" w:cstheme="majorHAnsi"/>
                <w:color w:val="222222"/>
                <w:sz w:val="16"/>
                <w:szCs w:val="16"/>
                <w:u w:val="single"/>
              </w:rPr>
            </w:pPr>
            <w:r w:rsidRPr="00666F4F">
              <w:rPr>
                <w:rFonts w:ascii="Cambria" w:eastAsia="Times New Roman" w:hAnsi="Cambria" w:cstheme="majorHAnsi"/>
                <w:color w:val="222222"/>
                <w:sz w:val="16"/>
                <w:szCs w:val="16"/>
                <w:u w:val="single"/>
              </w:rPr>
              <w:t>61,00</w:t>
            </w:r>
          </w:p>
        </w:tc>
        <w:tc>
          <w:tcPr>
            <w:tcW w:w="497" w:type="pct"/>
            <w:tcBorders>
              <w:top w:val="nil"/>
              <w:left w:val="nil"/>
              <w:bottom w:val="single" w:sz="4" w:space="0" w:color="auto"/>
              <w:right w:val="nil"/>
            </w:tcBorders>
            <w:noWrap/>
            <w:vAlign w:val="bottom"/>
            <w:hideMark/>
          </w:tcPr>
          <w:p w14:paraId="1476F01E" w14:textId="77777777" w:rsidR="00232EFA" w:rsidRPr="00666F4F" w:rsidRDefault="00232EFA" w:rsidP="00232EFA">
            <w:pPr>
              <w:spacing w:after="0" w:line="240" w:lineRule="auto"/>
              <w:jc w:val="both"/>
              <w:rPr>
                <w:rFonts w:ascii="Cambria" w:eastAsia="Times New Roman" w:hAnsi="Cambria" w:cstheme="majorHAnsi"/>
                <w:color w:val="222222"/>
                <w:sz w:val="16"/>
                <w:szCs w:val="16"/>
                <w:u w:val="single"/>
              </w:rPr>
            </w:pPr>
            <w:r w:rsidRPr="00666F4F">
              <w:rPr>
                <w:rFonts w:ascii="Cambria" w:eastAsia="Times New Roman" w:hAnsi="Cambria" w:cstheme="majorHAnsi"/>
                <w:color w:val="222222"/>
                <w:sz w:val="16"/>
                <w:szCs w:val="16"/>
                <w:u w:val="single"/>
              </w:rPr>
              <w:t>61,00</w:t>
            </w:r>
          </w:p>
        </w:tc>
        <w:tc>
          <w:tcPr>
            <w:tcW w:w="497" w:type="pct"/>
            <w:tcBorders>
              <w:top w:val="nil"/>
              <w:left w:val="single" w:sz="4" w:space="0" w:color="auto"/>
              <w:bottom w:val="single" w:sz="4" w:space="0" w:color="auto"/>
              <w:right w:val="single" w:sz="8" w:space="0" w:color="auto"/>
            </w:tcBorders>
            <w:noWrap/>
            <w:vAlign w:val="bottom"/>
            <w:hideMark/>
          </w:tcPr>
          <w:p w14:paraId="31E67C9A" w14:textId="77777777" w:rsidR="00232EFA" w:rsidRPr="00666F4F" w:rsidRDefault="00232EFA" w:rsidP="00232EFA">
            <w:pPr>
              <w:spacing w:after="0" w:line="240" w:lineRule="auto"/>
              <w:jc w:val="both"/>
              <w:rPr>
                <w:rFonts w:ascii="Cambria" w:eastAsia="Times New Roman" w:hAnsi="Cambria" w:cstheme="majorHAnsi"/>
                <w:color w:val="222222"/>
                <w:sz w:val="16"/>
                <w:szCs w:val="16"/>
                <w:u w:val="single"/>
              </w:rPr>
            </w:pPr>
            <w:r w:rsidRPr="00666F4F">
              <w:rPr>
                <w:rFonts w:ascii="Cambria" w:eastAsia="Times New Roman" w:hAnsi="Cambria" w:cstheme="majorHAnsi"/>
                <w:color w:val="222222"/>
                <w:sz w:val="16"/>
                <w:szCs w:val="16"/>
                <w:u w:val="single"/>
              </w:rPr>
              <w:t>61,00</w:t>
            </w:r>
          </w:p>
        </w:tc>
        <w:tc>
          <w:tcPr>
            <w:tcW w:w="522" w:type="pct"/>
            <w:tcBorders>
              <w:top w:val="nil"/>
              <w:left w:val="nil"/>
              <w:bottom w:val="single" w:sz="4" w:space="0" w:color="auto"/>
              <w:right w:val="single" w:sz="4" w:space="0" w:color="auto"/>
            </w:tcBorders>
            <w:noWrap/>
            <w:vAlign w:val="bottom"/>
            <w:hideMark/>
          </w:tcPr>
          <w:p w14:paraId="7246E148" w14:textId="77777777" w:rsidR="00232EFA" w:rsidRPr="00666F4F" w:rsidRDefault="00232EFA" w:rsidP="00232EFA">
            <w:pPr>
              <w:spacing w:after="0" w:line="240" w:lineRule="auto"/>
              <w:jc w:val="both"/>
              <w:rPr>
                <w:rFonts w:ascii="Cambria" w:eastAsia="Times New Roman" w:hAnsi="Cambria" w:cstheme="majorHAnsi"/>
                <w:color w:val="222222"/>
                <w:sz w:val="16"/>
                <w:szCs w:val="16"/>
                <w:u w:val="single"/>
              </w:rPr>
            </w:pPr>
            <w:r w:rsidRPr="00666F4F">
              <w:rPr>
                <w:rFonts w:ascii="Cambria" w:eastAsia="Times New Roman" w:hAnsi="Cambria" w:cstheme="majorHAnsi"/>
                <w:color w:val="222222"/>
                <w:sz w:val="16"/>
                <w:szCs w:val="16"/>
                <w:u w:val="single"/>
              </w:rPr>
              <w:t>2,00</w:t>
            </w:r>
          </w:p>
        </w:tc>
        <w:tc>
          <w:tcPr>
            <w:tcW w:w="497" w:type="pct"/>
            <w:tcBorders>
              <w:top w:val="nil"/>
              <w:left w:val="single" w:sz="4" w:space="0" w:color="auto"/>
              <w:bottom w:val="single" w:sz="4" w:space="0" w:color="auto"/>
              <w:right w:val="single" w:sz="8" w:space="0" w:color="auto"/>
            </w:tcBorders>
            <w:noWrap/>
            <w:vAlign w:val="bottom"/>
            <w:hideMark/>
          </w:tcPr>
          <w:p w14:paraId="243D6FFC" w14:textId="77777777" w:rsidR="00232EFA" w:rsidRPr="00666F4F" w:rsidRDefault="00232EFA" w:rsidP="00232EFA">
            <w:pPr>
              <w:spacing w:after="0" w:line="240" w:lineRule="auto"/>
              <w:jc w:val="both"/>
              <w:rPr>
                <w:rFonts w:ascii="Cambria" w:eastAsia="Times New Roman" w:hAnsi="Cambria" w:cstheme="majorHAnsi"/>
                <w:color w:val="222222"/>
                <w:sz w:val="16"/>
                <w:szCs w:val="16"/>
                <w:u w:val="single"/>
              </w:rPr>
            </w:pPr>
            <w:r w:rsidRPr="00666F4F">
              <w:rPr>
                <w:rFonts w:ascii="Cambria" w:eastAsia="Times New Roman" w:hAnsi="Cambria" w:cstheme="majorHAnsi"/>
                <w:color w:val="222222"/>
                <w:sz w:val="16"/>
                <w:szCs w:val="16"/>
                <w:u w:val="single"/>
              </w:rPr>
              <w:t>4,84</w:t>
            </w:r>
          </w:p>
        </w:tc>
        <w:tc>
          <w:tcPr>
            <w:tcW w:w="535" w:type="pct"/>
            <w:tcBorders>
              <w:top w:val="nil"/>
              <w:left w:val="nil"/>
              <w:bottom w:val="single" w:sz="4" w:space="0" w:color="auto"/>
              <w:right w:val="nil"/>
            </w:tcBorders>
            <w:noWrap/>
            <w:vAlign w:val="bottom"/>
            <w:hideMark/>
          </w:tcPr>
          <w:p w14:paraId="63FDCE84" w14:textId="77777777" w:rsidR="00232EFA" w:rsidRPr="00666F4F" w:rsidRDefault="00232EFA" w:rsidP="00232EFA">
            <w:pPr>
              <w:spacing w:after="0" w:line="240" w:lineRule="auto"/>
              <w:jc w:val="both"/>
              <w:rPr>
                <w:rFonts w:ascii="Cambria" w:eastAsia="Times New Roman" w:hAnsi="Cambria" w:cstheme="majorHAnsi"/>
                <w:color w:val="222222"/>
                <w:sz w:val="16"/>
                <w:szCs w:val="16"/>
                <w:u w:val="single"/>
              </w:rPr>
            </w:pPr>
            <w:r w:rsidRPr="00666F4F">
              <w:rPr>
                <w:rFonts w:ascii="Cambria" w:eastAsia="Times New Roman" w:hAnsi="Cambria" w:cstheme="majorHAnsi"/>
                <w:color w:val="222222"/>
                <w:sz w:val="16"/>
                <w:szCs w:val="16"/>
                <w:u w:val="single"/>
              </w:rPr>
              <w:t>59,00</w:t>
            </w:r>
          </w:p>
        </w:tc>
        <w:tc>
          <w:tcPr>
            <w:tcW w:w="535" w:type="pct"/>
            <w:tcBorders>
              <w:top w:val="nil"/>
              <w:left w:val="single" w:sz="4" w:space="0" w:color="auto"/>
              <w:bottom w:val="single" w:sz="4" w:space="0" w:color="auto"/>
              <w:right w:val="single" w:sz="8" w:space="0" w:color="auto"/>
            </w:tcBorders>
            <w:noWrap/>
            <w:vAlign w:val="bottom"/>
            <w:hideMark/>
          </w:tcPr>
          <w:p w14:paraId="1AE89218" w14:textId="77777777" w:rsidR="00232EFA" w:rsidRPr="00666F4F" w:rsidRDefault="00232EFA" w:rsidP="00232EFA">
            <w:pPr>
              <w:spacing w:after="0" w:line="240" w:lineRule="auto"/>
              <w:jc w:val="both"/>
              <w:rPr>
                <w:rFonts w:ascii="Cambria" w:eastAsia="Times New Roman" w:hAnsi="Cambria" w:cstheme="majorHAnsi"/>
                <w:color w:val="222222"/>
                <w:sz w:val="16"/>
                <w:szCs w:val="16"/>
                <w:u w:val="single"/>
              </w:rPr>
            </w:pPr>
            <w:r w:rsidRPr="00666F4F">
              <w:rPr>
                <w:rFonts w:ascii="Cambria" w:eastAsia="Times New Roman" w:hAnsi="Cambria" w:cstheme="majorHAnsi"/>
                <w:color w:val="222222"/>
                <w:sz w:val="16"/>
                <w:szCs w:val="16"/>
                <w:u w:val="single"/>
              </w:rPr>
              <w:t>56,16</w:t>
            </w:r>
          </w:p>
        </w:tc>
      </w:tr>
      <w:tr w:rsidR="00232EFA" w:rsidRPr="00666F4F" w14:paraId="7AE79124" w14:textId="77777777">
        <w:trPr>
          <w:trHeight w:val="113"/>
        </w:trPr>
        <w:tc>
          <w:tcPr>
            <w:tcW w:w="1420" w:type="pct"/>
            <w:tcBorders>
              <w:top w:val="nil"/>
              <w:left w:val="single" w:sz="8" w:space="0" w:color="auto"/>
              <w:bottom w:val="single" w:sz="4" w:space="0" w:color="auto"/>
              <w:right w:val="single" w:sz="8" w:space="0" w:color="auto"/>
            </w:tcBorders>
            <w:noWrap/>
            <w:vAlign w:val="bottom"/>
            <w:hideMark/>
          </w:tcPr>
          <w:p w14:paraId="20CBA9E3" w14:textId="77777777" w:rsidR="00232EFA" w:rsidRPr="00666F4F" w:rsidRDefault="00232EFA" w:rsidP="00232EFA">
            <w:pPr>
              <w:spacing w:after="0" w:line="240" w:lineRule="auto"/>
              <w:jc w:val="both"/>
              <w:rPr>
                <w:rFonts w:ascii="Cambria" w:eastAsia="Times New Roman" w:hAnsi="Cambria" w:cstheme="majorHAnsi"/>
                <w:b/>
                <w:bCs/>
                <w:color w:val="222222"/>
                <w:sz w:val="16"/>
                <w:szCs w:val="16"/>
                <w:u w:val="single"/>
              </w:rPr>
            </w:pPr>
            <w:r w:rsidRPr="00666F4F">
              <w:rPr>
                <w:rFonts w:ascii="Cambria" w:eastAsia="Times New Roman" w:hAnsi="Cambria" w:cstheme="majorHAnsi"/>
                <w:b/>
                <w:color w:val="222222"/>
                <w:sz w:val="16"/>
                <w:szCs w:val="16"/>
                <w:u w:val="single"/>
              </w:rPr>
              <w:t>CÔTE D'IVOIRE</w:t>
            </w:r>
          </w:p>
        </w:tc>
        <w:tc>
          <w:tcPr>
            <w:tcW w:w="497" w:type="pct"/>
            <w:tcBorders>
              <w:top w:val="nil"/>
              <w:left w:val="nil"/>
              <w:bottom w:val="single" w:sz="4" w:space="0" w:color="auto"/>
              <w:right w:val="single" w:sz="4" w:space="0" w:color="auto"/>
            </w:tcBorders>
            <w:noWrap/>
            <w:vAlign w:val="bottom"/>
            <w:hideMark/>
          </w:tcPr>
          <w:p w14:paraId="404121BC" w14:textId="77777777" w:rsidR="00232EFA" w:rsidRPr="00666F4F" w:rsidRDefault="00232EFA" w:rsidP="00232EFA">
            <w:pPr>
              <w:spacing w:after="0" w:line="240" w:lineRule="auto"/>
              <w:jc w:val="both"/>
              <w:rPr>
                <w:rFonts w:ascii="Cambria" w:eastAsia="Times New Roman" w:hAnsi="Cambria" w:cstheme="majorHAnsi"/>
                <w:color w:val="222222"/>
                <w:sz w:val="16"/>
                <w:szCs w:val="16"/>
                <w:u w:val="single"/>
              </w:rPr>
            </w:pPr>
            <w:r w:rsidRPr="00666F4F">
              <w:rPr>
                <w:rFonts w:ascii="Cambria" w:eastAsia="Times New Roman" w:hAnsi="Cambria" w:cstheme="majorHAnsi"/>
                <w:color w:val="222222"/>
                <w:sz w:val="16"/>
                <w:szCs w:val="16"/>
                <w:u w:val="single"/>
              </w:rPr>
              <w:t>18,00</w:t>
            </w:r>
          </w:p>
        </w:tc>
        <w:tc>
          <w:tcPr>
            <w:tcW w:w="497" w:type="pct"/>
            <w:tcBorders>
              <w:top w:val="nil"/>
              <w:left w:val="nil"/>
              <w:bottom w:val="single" w:sz="4" w:space="0" w:color="auto"/>
              <w:right w:val="nil"/>
            </w:tcBorders>
            <w:noWrap/>
            <w:vAlign w:val="bottom"/>
            <w:hideMark/>
          </w:tcPr>
          <w:p w14:paraId="1DB812F3" w14:textId="77777777" w:rsidR="00232EFA" w:rsidRPr="00666F4F" w:rsidRDefault="00232EFA" w:rsidP="00232EFA">
            <w:pPr>
              <w:spacing w:after="0" w:line="240" w:lineRule="auto"/>
              <w:jc w:val="both"/>
              <w:rPr>
                <w:rFonts w:ascii="Cambria" w:eastAsia="Times New Roman" w:hAnsi="Cambria" w:cstheme="majorHAnsi"/>
                <w:color w:val="222222"/>
                <w:sz w:val="16"/>
                <w:szCs w:val="16"/>
                <w:u w:val="single"/>
              </w:rPr>
            </w:pPr>
            <w:r w:rsidRPr="00666F4F">
              <w:rPr>
                <w:rFonts w:ascii="Cambria" w:eastAsia="Times New Roman" w:hAnsi="Cambria" w:cstheme="majorHAnsi"/>
                <w:color w:val="222222"/>
                <w:sz w:val="16"/>
                <w:szCs w:val="16"/>
                <w:u w:val="single"/>
              </w:rPr>
              <w:t>18,00</w:t>
            </w:r>
          </w:p>
        </w:tc>
        <w:tc>
          <w:tcPr>
            <w:tcW w:w="497" w:type="pct"/>
            <w:tcBorders>
              <w:top w:val="nil"/>
              <w:left w:val="single" w:sz="4" w:space="0" w:color="auto"/>
              <w:bottom w:val="single" w:sz="4" w:space="0" w:color="auto"/>
              <w:right w:val="single" w:sz="8" w:space="0" w:color="auto"/>
            </w:tcBorders>
            <w:noWrap/>
            <w:vAlign w:val="bottom"/>
            <w:hideMark/>
          </w:tcPr>
          <w:p w14:paraId="39BBAC1A" w14:textId="77777777" w:rsidR="00232EFA" w:rsidRPr="00666F4F" w:rsidRDefault="00232EFA" w:rsidP="00232EFA">
            <w:pPr>
              <w:spacing w:after="0" w:line="240" w:lineRule="auto"/>
              <w:jc w:val="both"/>
              <w:rPr>
                <w:rFonts w:ascii="Cambria" w:eastAsia="Times New Roman" w:hAnsi="Cambria" w:cstheme="majorHAnsi"/>
                <w:color w:val="222222"/>
                <w:sz w:val="16"/>
                <w:szCs w:val="16"/>
                <w:u w:val="single"/>
              </w:rPr>
            </w:pPr>
            <w:r w:rsidRPr="00666F4F">
              <w:rPr>
                <w:rFonts w:ascii="Cambria" w:eastAsia="Times New Roman" w:hAnsi="Cambria" w:cstheme="majorHAnsi"/>
                <w:color w:val="222222"/>
                <w:sz w:val="16"/>
                <w:szCs w:val="16"/>
                <w:u w:val="single"/>
              </w:rPr>
              <w:t>18,00</w:t>
            </w:r>
          </w:p>
        </w:tc>
        <w:tc>
          <w:tcPr>
            <w:tcW w:w="522" w:type="pct"/>
            <w:tcBorders>
              <w:top w:val="nil"/>
              <w:left w:val="nil"/>
              <w:bottom w:val="single" w:sz="4" w:space="0" w:color="auto"/>
              <w:right w:val="single" w:sz="4" w:space="0" w:color="auto"/>
            </w:tcBorders>
            <w:noWrap/>
            <w:vAlign w:val="bottom"/>
            <w:hideMark/>
          </w:tcPr>
          <w:p w14:paraId="6FC62148" w14:textId="77777777" w:rsidR="00232EFA" w:rsidRPr="00666F4F" w:rsidRDefault="00232EFA" w:rsidP="00232EFA">
            <w:pPr>
              <w:spacing w:after="0" w:line="240" w:lineRule="auto"/>
              <w:jc w:val="both"/>
              <w:rPr>
                <w:rFonts w:ascii="Cambria" w:eastAsia="Times New Roman" w:hAnsi="Cambria" w:cstheme="majorHAnsi"/>
                <w:color w:val="222222"/>
                <w:sz w:val="16"/>
                <w:szCs w:val="16"/>
                <w:u w:val="single"/>
              </w:rPr>
            </w:pPr>
            <w:r w:rsidRPr="00666F4F">
              <w:rPr>
                <w:rFonts w:ascii="Cambria" w:eastAsia="Times New Roman" w:hAnsi="Cambria" w:cstheme="majorHAnsi"/>
                <w:color w:val="222222"/>
                <w:sz w:val="16"/>
                <w:szCs w:val="16"/>
                <w:u w:val="single"/>
              </w:rPr>
              <w:t>0,00</w:t>
            </w:r>
          </w:p>
        </w:tc>
        <w:tc>
          <w:tcPr>
            <w:tcW w:w="497" w:type="pct"/>
            <w:tcBorders>
              <w:top w:val="nil"/>
              <w:left w:val="single" w:sz="4" w:space="0" w:color="auto"/>
              <w:bottom w:val="single" w:sz="4" w:space="0" w:color="auto"/>
              <w:right w:val="single" w:sz="8" w:space="0" w:color="auto"/>
            </w:tcBorders>
            <w:noWrap/>
            <w:vAlign w:val="bottom"/>
            <w:hideMark/>
          </w:tcPr>
          <w:p w14:paraId="1EF7BE12" w14:textId="77777777" w:rsidR="00232EFA" w:rsidRPr="00666F4F" w:rsidRDefault="00232EFA" w:rsidP="00232EFA">
            <w:pPr>
              <w:spacing w:after="0" w:line="240" w:lineRule="auto"/>
              <w:jc w:val="both"/>
              <w:rPr>
                <w:rFonts w:ascii="Cambria" w:eastAsia="Times New Roman" w:hAnsi="Cambria" w:cstheme="majorHAnsi"/>
                <w:color w:val="222222"/>
                <w:sz w:val="16"/>
                <w:szCs w:val="16"/>
                <w:u w:val="single"/>
              </w:rPr>
            </w:pPr>
            <w:r w:rsidRPr="00666F4F">
              <w:rPr>
                <w:rFonts w:ascii="Cambria" w:eastAsia="Times New Roman" w:hAnsi="Cambria" w:cstheme="majorHAnsi"/>
                <w:color w:val="222222"/>
                <w:sz w:val="16"/>
                <w:szCs w:val="16"/>
                <w:u w:val="single"/>
              </w:rPr>
              <w:t> </w:t>
            </w:r>
          </w:p>
        </w:tc>
        <w:tc>
          <w:tcPr>
            <w:tcW w:w="535" w:type="pct"/>
            <w:tcBorders>
              <w:top w:val="nil"/>
              <w:left w:val="nil"/>
              <w:bottom w:val="single" w:sz="4" w:space="0" w:color="auto"/>
              <w:right w:val="nil"/>
            </w:tcBorders>
            <w:noWrap/>
            <w:vAlign w:val="bottom"/>
            <w:hideMark/>
          </w:tcPr>
          <w:p w14:paraId="21437635" w14:textId="77777777" w:rsidR="00232EFA" w:rsidRPr="00666F4F" w:rsidRDefault="00232EFA" w:rsidP="00232EFA">
            <w:pPr>
              <w:spacing w:after="0" w:line="240" w:lineRule="auto"/>
              <w:jc w:val="both"/>
              <w:rPr>
                <w:rFonts w:ascii="Cambria" w:eastAsia="Times New Roman" w:hAnsi="Cambria" w:cstheme="majorHAnsi"/>
                <w:color w:val="222222"/>
                <w:sz w:val="16"/>
                <w:szCs w:val="16"/>
                <w:u w:val="single"/>
              </w:rPr>
            </w:pPr>
            <w:r w:rsidRPr="00666F4F">
              <w:rPr>
                <w:rFonts w:ascii="Cambria" w:eastAsia="Times New Roman" w:hAnsi="Cambria" w:cstheme="majorHAnsi"/>
                <w:color w:val="222222"/>
                <w:sz w:val="16"/>
                <w:szCs w:val="16"/>
                <w:u w:val="single"/>
              </w:rPr>
              <w:t>18,00</w:t>
            </w:r>
          </w:p>
        </w:tc>
        <w:tc>
          <w:tcPr>
            <w:tcW w:w="535" w:type="pct"/>
            <w:tcBorders>
              <w:top w:val="nil"/>
              <w:left w:val="single" w:sz="4" w:space="0" w:color="auto"/>
              <w:bottom w:val="single" w:sz="4" w:space="0" w:color="auto"/>
              <w:right w:val="single" w:sz="8" w:space="0" w:color="auto"/>
            </w:tcBorders>
            <w:noWrap/>
            <w:vAlign w:val="bottom"/>
            <w:hideMark/>
          </w:tcPr>
          <w:p w14:paraId="341A958A" w14:textId="77777777" w:rsidR="00232EFA" w:rsidRPr="00666F4F" w:rsidRDefault="00232EFA" w:rsidP="00232EFA">
            <w:pPr>
              <w:spacing w:after="0" w:line="240" w:lineRule="auto"/>
              <w:jc w:val="both"/>
              <w:rPr>
                <w:rFonts w:ascii="Cambria" w:eastAsia="Times New Roman" w:hAnsi="Cambria" w:cstheme="majorHAnsi"/>
                <w:color w:val="222222"/>
                <w:sz w:val="16"/>
                <w:szCs w:val="16"/>
                <w:u w:val="single"/>
              </w:rPr>
            </w:pPr>
            <w:r w:rsidRPr="00666F4F">
              <w:rPr>
                <w:rFonts w:ascii="Cambria" w:eastAsia="Times New Roman" w:hAnsi="Cambria" w:cstheme="majorHAnsi"/>
                <w:color w:val="222222"/>
                <w:sz w:val="16"/>
                <w:szCs w:val="16"/>
                <w:u w:val="single"/>
              </w:rPr>
              <w:t> </w:t>
            </w:r>
          </w:p>
        </w:tc>
      </w:tr>
      <w:tr w:rsidR="00232EFA" w:rsidRPr="00666F4F" w14:paraId="20FAAF14" w14:textId="77777777">
        <w:trPr>
          <w:trHeight w:val="113"/>
        </w:trPr>
        <w:tc>
          <w:tcPr>
            <w:tcW w:w="1420" w:type="pct"/>
            <w:tcBorders>
              <w:top w:val="nil"/>
              <w:left w:val="single" w:sz="8" w:space="0" w:color="auto"/>
              <w:bottom w:val="single" w:sz="4" w:space="0" w:color="auto"/>
              <w:right w:val="single" w:sz="8" w:space="0" w:color="auto"/>
            </w:tcBorders>
            <w:noWrap/>
            <w:vAlign w:val="bottom"/>
            <w:hideMark/>
          </w:tcPr>
          <w:p w14:paraId="20B81342" w14:textId="77777777" w:rsidR="00232EFA" w:rsidRPr="00666F4F" w:rsidRDefault="00232EFA" w:rsidP="00232EFA">
            <w:pPr>
              <w:spacing w:after="0" w:line="240" w:lineRule="auto"/>
              <w:jc w:val="both"/>
              <w:rPr>
                <w:rFonts w:ascii="Cambria" w:eastAsia="Times New Roman" w:hAnsi="Cambria" w:cstheme="majorHAnsi"/>
                <w:b/>
                <w:bCs/>
                <w:color w:val="222222"/>
                <w:sz w:val="16"/>
                <w:szCs w:val="16"/>
                <w:u w:val="single"/>
              </w:rPr>
            </w:pPr>
            <w:r w:rsidRPr="00666F4F">
              <w:rPr>
                <w:rFonts w:ascii="Cambria" w:eastAsia="Times New Roman" w:hAnsi="Cambria" w:cstheme="majorHAnsi"/>
                <w:b/>
                <w:color w:val="222222"/>
                <w:sz w:val="16"/>
                <w:szCs w:val="16"/>
                <w:u w:val="single"/>
              </w:rPr>
              <w:t>CURACAO</w:t>
            </w:r>
          </w:p>
        </w:tc>
        <w:tc>
          <w:tcPr>
            <w:tcW w:w="497" w:type="pct"/>
            <w:tcBorders>
              <w:top w:val="nil"/>
              <w:left w:val="nil"/>
              <w:bottom w:val="single" w:sz="4" w:space="0" w:color="auto"/>
              <w:right w:val="single" w:sz="4" w:space="0" w:color="auto"/>
            </w:tcBorders>
            <w:noWrap/>
            <w:vAlign w:val="bottom"/>
            <w:hideMark/>
          </w:tcPr>
          <w:p w14:paraId="50C78425" w14:textId="77777777" w:rsidR="00232EFA" w:rsidRPr="00666F4F" w:rsidRDefault="00232EFA" w:rsidP="00232EFA">
            <w:pPr>
              <w:spacing w:after="0" w:line="240" w:lineRule="auto"/>
              <w:jc w:val="both"/>
              <w:rPr>
                <w:rFonts w:ascii="Cambria" w:eastAsia="Times New Roman" w:hAnsi="Cambria" w:cstheme="majorHAnsi"/>
                <w:color w:val="222222"/>
                <w:sz w:val="16"/>
                <w:szCs w:val="16"/>
                <w:u w:val="single"/>
              </w:rPr>
            </w:pPr>
            <w:r w:rsidRPr="00666F4F">
              <w:rPr>
                <w:rFonts w:ascii="Cambria" w:eastAsia="Times New Roman" w:hAnsi="Cambria" w:cstheme="majorHAnsi"/>
                <w:color w:val="222222"/>
                <w:sz w:val="16"/>
                <w:szCs w:val="16"/>
                <w:u w:val="single"/>
              </w:rPr>
              <w:t>0,00</w:t>
            </w:r>
          </w:p>
        </w:tc>
        <w:tc>
          <w:tcPr>
            <w:tcW w:w="497" w:type="pct"/>
            <w:tcBorders>
              <w:top w:val="nil"/>
              <w:left w:val="nil"/>
              <w:bottom w:val="single" w:sz="4" w:space="0" w:color="auto"/>
              <w:right w:val="nil"/>
            </w:tcBorders>
            <w:noWrap/>
            <w:vAlign w:val="bottom"/>
            <w:hideMark/>
          </w:tcPr>
          <w:p w14:paraId="11256FFD" w14:textId="77777777" w:rsidR="00232EFA" w:rsidRPr="00666F4F" w:rsidRDefault="00232EFA" w:rsidP="00232EFA">
            <w:pPr>
              <w:spacing w:after="0" w:line="240" w:lineRule="auto"/>
              <w:jc w:val="both"/>
              <w:rPr>
                <w:rFonts w:ascii="Cambria" w:eastAsia="Times New Roman" w:hAnsi="Cambria" w:cstheme="majorHAnsi"/>
                <w:color w:val="222222"/>
                <w:sz w:val="16"/>
                <w:szCs w:val="16"/>
                <w:u w:val="single"/>
              </w:rPr>
            </w:pPr>
            <w:r w:rsidRPr="00666F4F">
              <w:rPr>
                <w:rFonts w:ascii="Cambria" w:eastAsia="Times New Roman" w:hAnsi="Cambria" w:cstheme="majorHAnsi"/>
                <w:color w:val="222222"/>
                <w:sz w:val="16"/>
                <w:szCs w:val="16"/>
                <w:u w:val="single"/>
              </w:rPr>
              <w:t>0,00</w:t>
            </w:r>
          </w:p>
        </w:tc>
        <w:tc>
          <w:tcPr>
            <w:tcW w:w="497" w:type="pct"/>
            <w:tcBorders>
              <w:top w:val="nil"/>
              <w:left w:val="single" w:sz="4" w:space="0" w:color="auto"/>
              <w:bottom w:val="single" w:sz="4" w:space="0" w:color="auto"/>
              <w:right w:val="single" w:sz="8" w:space="0" w:color="auto"/>
            </w:tcBorders>
            <w:noWrap/>
            <w:vAlign w:val="bottom"/>
            <w:hideMark/>
          </w:tcPr>
          <w:p w14:paraId="6445E9A4" w14:textId="77777777" w:rsidR="00232EFA" w:rsidRPr="00666F4F" w:rsidRDefault="00232EFA" w:rsidP="00232EFA">
            <w:pPr>
              <w:spacing w:after="0" w:line="240" w:lineRule="auto"/>
              <w:jc w:val="both"/>
              <w:rPr>
                <w:rFonts w:ascii="Cambria" w:eastAsia="Times New Roman" w:hAnsi="Cambria" w:cstheme="majorHAnsi"/>
                <w:color w:val="222222"/>
                <w:sz w:val="16"/>
                <w:szCs w:val="16"/>
                <w:u w:val="single"/>
              </w:rPr>
            </w:pPr>
            <w:r w:rsidRPr="00666F4F">
              <w:rPr>
                <w:rFonts w:ascii="Cambria" w:eastAsia="Times New Roman" w:hAnsi="Cambria" w:cstheme="majorHAnsi"/>
                <w:color w:val="222222"/>
                <w:sz w:val="16"/>
                <w:szCs w:val="16"/>
                <w:u w:val="single"/>
              </w:rPr>
              <w:t>0,00</w:t>
            </w:r>
          </w:p>
        </w:tc>
        <w:tc>
          <w:tcPr>
            <w:tcW w:w="522" w:type="pct"/>
            <w:tcBorders>
              <w:top w:val="nil"/>
              <w:left w:val="nil"/>
              <w:bottom w:val="single" w:sz="4" w:space="0" w:color="auto"/>
              <w:right w:val="single" w:sz="4" w:space="0" w:color="auto"/>
            </w:tcBorders>
            <w:noWrap/>
            <w:vAlign w:val="bottom"/>
            <w:hideMark/>
          </w:tcPr>
          <w:p w14:paraId="69212346" w14:textId="77777777" w:rsidR="00232EFA" w:rsidRPr="00666F4F" w:rsidRDefault="00232EFA" w:rsidP="00232EFA">
            <w:pPr>
              <w:spacing w:after="0" w:line="240" w:lineRule="auto"/>
              <w:jc w:val="both"/>
              <w:rPr>
                <w:rFonts w:ascii="Cambria" w:eastAsia="Times New Roman" w:hAnsi="Cambria" w:cstheme="majorHAnsi"/>
                <w:color w:val="222222"/>
                <w:sz w:val="16"/>
                <w:szCs w:val="16"/>
                <w:u w:val="single"/>
              </w:rPr>
            </w:pPr>
            <w:r w:rsidRPr="00666F4F">
              <w:rPr>
                <w:rFonts w:ascii="Cambria" w:eastAsia="Times New Roman" w:hAnsi="Cambria" w:cstheme="majorHAnsi"/>
                <w:color w:val="222222"/>
                <w:sz w:val="16"/>
                <w:szCs w:val="16"/>
                <w:u w:val="single"/>
              </w:rPr>
              <w:t> </w:t>
            </w:r>
          </w:p>
        </w:tc>
        <w:tc>
          <w:tcPr>
            <w:tcW w:w="497" w:type="pct"/>
            <w:tcBorders>
              <w:top w:val="nil"/>
              <w:left w:val="single" w:sz="4" w:space="0" w:color="auto"/>
              <w:bottom w:val="single" w:sz="4" w:space="0" w:color="auto"/>
              <w:right w:val="single" w:sz="8" w:space="0" w:color="auto"/>
            </w:tcBorders>
            <w:noWrap/>
            <w:vAlign w:val="bottom"/>
            <w:hideMark/>
          </w:tcPr>
          <w:p w14:paraId="37532772" w14:textId="77777777" w:rsidR="00232EFA" w:rsidRPr="00666F4F" w:rsidRDefault="00232EFA" w:rsidP="00232EFA">
            <w:pPr>
              <w:spacing w:after="0" w:line="240" w:lineRule="auto"/>
              <w:jc w:val="both"/>
              <w:rPr>
                <w:rFonts w:ascii="Cambria" w:eastAsia="Times New Roman" w:hAnsi="Cambria" w:cstheme="majorHAnsi"/>
                <w:color w:val="222222"/>
                <w:sz w:val="16"/>
                <w:szCs w:val="16"/>
                <w:u w:val="single"/>
              </w:rPr>
            </w:pPr>
            <w:r w:rsidRPr="00666F4F">
              <w:rPr>
                <w:rFonts w:ascii="Cambria" w:eastAsia="Times New Roman" w:hAnsi="Cambria" w:cstheme="majorHAnsi"/>
                <w:color w:val="222222"/>
                <w:sz w:val="16"/>
                <w:szCs w:val="16"/>
                <w:u w:val="single"/>
              </w:rPr>
              <w:t> </w:t>
            </w:r>
          </w:p>
        </w:tc>
        <w:tc>
          <w:tcPr>
            <w:tcW w:w="535" w:type="pct"/>
            <w:tcBorders>
              <w:top w:val="nil"/>
              <w:left w:val="nil"/>
              <w:bottom w:val="single" w:sz="4" w:space="0" w:color="auto"/>
              <w:right w:val="nil"/>
            </w:tcBorders>
            <w:noWrap/>
            <w:vAlign w:val="bottom"/>
            <w:hideMark/>
          </w:tcPr>
          <w:p w14:paraId="0C1D134A" w14:textId="77777777" w:rsidR="00232EFA" w:rsidRPr="00666F4F" w:rsidRDefault="00232EFA" w:rsidP="00232EFA">
            <w:pPr>
              <w:spacing w:after="0" w:line="240" w:lineRule="auto"/>
              <w:jc w:val="both"/>
              <w:rPr>
                <w:rFonts w:ascii="Cambria" w:eastAsia="Times New Roman" w:hAnsi="Cambria" w:cstheme="majorHAnsi"/>
                <w:color w:val="222222"/>
                <w:sz w:val="16"/>
                <w:szCs w:val="16"/>
                <w:u w:val="single"/>
              </w:rPr>
            </w:pPr>
            <w:r w:rsidRPr="00666F4F">
              <w:rPr>
                <w:rFonts w:ascii="Cambria" w:eastAsia="Times New Roman" w:hAnsi="Cambria" w:cstheme="majorHAnsi"/>
                <w:color w:val="222222"/>
                <w:sz w:val="16"/>
                <w:szCs w:val="16"/>
                <w:u w:val="single"/>
              </w:rPr>
              <w:t> </w:t>
            </w:r>
          </w:p>
        </w:tc>
        <w:tc>
          <w:tcPr>
            <w:tcW w:w="535" w:type="pct"/>
            <w:tcBorders>
              <w:top w:val="nil"/>
              <w:left w:val="single" w:sz="4" w:space="0" w:color="auto"/>
              <w:bottom w:val="single" w:sz="4" w:space="0" w:color="auto"/>
              <w:right w:val="single" w:sz="8" w:space="0" w:color="auto"/>
            </w:tcBorders>
            <w:noWrap/>
            <w:vAlign w:val="bottom"/>
            <w:hideMark/>
          </w:tcPr>
          <w:p w14:paraId="5279AD50" w14:textId="77777777" w:rsidR="00232EFA" w:rsidRPr="00666F4F" w:rsidRDefault="00232EFA" w:rsidP="00232EFA">
            <w:pPr>
              <w:spacing w:after="0" w:line="240" w:lineRule="auto"/>
              <w:jc w:val="both"/>
              <w:rPr>
                <w:rFonts w:ascii="Cambria" w:eastAsia="Times New Roman" w:hAnsi="Cambria" w:cstheme="majorHAnsi"/>
                <w:color w:val="222222"/>
                <w:sz w:val="16"/>
                <w:szCs w:val="16"/>
                <w:u w:val="single"/>
              </w:rPr>
            </w:pPr>
            <w:r w:rsidRPr="00666F4F">
              <w:rPr>
                <w:rFonts w:ascii="Cambria" w:eastAsia="Times New Roman" w:hAnsi="Cambria" w:cstheme="majorHAnsi"/>
                <w:color w:val="222222"/>
                <w:sz w:val="16"/>
                <w:szCs w:val="16"/>
                <w:u w:val="single"/>
              </w:rPr>
              <w:t> </w:t>
            </w:r>
          </w:p>
        </w:tc>
      </w:tr>
      <w:tr w:rsidR="00232EFA" w:rsidRPr="00666F4F" w14:paraId="01B2973E" w14:textId="77777777">
        <w:trPr>
          <w:trHeight w:val="113"/>
        </w:trPr>
        <w:tc>
          <w:tcPr>
            <w:tcW w:w="1420" w:type="pct"/>
            <w:tcBorders>
              <w:top w:val="nil"/>
              <w:left w:val="single" w:sz="8" w:space="0" w:color="auto"/>
              <w:bottom w:val="single" w:sz="4" w:space="0" w:color="auto"/>
              <w:right w:val="single" w:sz="8" w:space="0" w:color="auto"/>
            </w:tcBorders>
            <w:noWrap/>
            <w:vAlign w:val="bottom"/>
            <w:hideMark/>
          </w:tcPr>
          <w:p w14:paraId="4C1B6403" w14:textId="77777777" w:rsidR="00232EFA" w:rsidRPr="00666F4F" w:rsidRDefault="00232EFA" w:rsidP="00232EFA">
            <w:pPr>
              <w:spacing w:after="0" w:line="240" w:lineRule="auto"/>
              <w:jc w:val="both"/>
              <w:rPr>
                <w:rFonts w:ascii="Cambria" w:eastAsia="Times New Roman" w:hAnsi="Cambria" w:cstheme="majorHAnsi"/>
                <w:b/>
                <w:bCs/>
                <w:color w:val="222222"/>
                <w:sz w:val="16"/>
                <w:szCs w:val="16"/>
                <w:u w:val="single"/>
              </w:rPr>
            </w:pPr>
            <w:r w:rsidRPr="00666F4F">
              <w:rPr>
                <w:rFonts w:ascii="Cambria" w:eastAsia="Times New Roman" w:hAnsi="Cambria" w:cstheme="majorHAnsi"/>
                <w:b/>
                <w:color w:val="222222"/>
                <w:sz w:val="16"/>
                <w:szCs w:val="16"/>
                <w:u w:val="single"/>
              </w:rPr>
              <w:t>EL SALVADOR</w:t>
            </w:r>
          </w:p>
        </w:tc>
        <w:tc>
          <w:tcPr>
            <w:tcW w:w="497" w:type="pct"/>
            <w:tcBorders>
              <w:top w:val="nil"/>
              <w:left w:val="nil"/>
              <w:bottom w:val="single" w:sz="4" w:space="0" w:color="auto"/>
              <w:right w:val="single" w:sz="4" w:space="0" w:color="auto"/>
            </w:tcBorders>
            <w:noWrap/>
            <w:vAlign w:val="bottom"/>
            <w:hideMark/>
          </w:tcPr>
          <w:p w14:paraId="51D8A772" w14:textId="77777777" w:rsidR="00232EFA" w:rsidRPr="00666F4F" w:rsidRDefault="00232EFA" w:rsidP="00232EFA">
            <w:pPr>
              <w:spacing w:after="0" w:line="240" w:lineRule="auto"/>
              <w:jc w:val="both"/>
              <w:rPr>
                <w:rFonts w:ascii="Cambria" w:eastAsia="Times New Roman" w:hAnsi="Cambria" w:cstheme="majorHAnsi"/>
                <w:color w:val="222222"/>
                <w:sz w:val="16"/>
                <w:szCs w:val="16"/>
                <w:u w:val="single"/>
              </w:rPr>
            </w:pPr>
            <w:r w:rsidRPr="00666F4F">
              <w:rPr>
                <w:rFonts w:ascii="Cambria" w:eastAsia="Times New Roman" w:hAnsi="Cambria" w:cstheme="majorHAnsi"/>
                <w:color w:val="222222"/>
                <w:sz w:val="16"/>
                <w:szCs w:val="16"/>
                <w:u w:val="single"/>
              </w:rPr>
              <w:t>0,00</w:t>
            </w:r>
          </w:p>
        </w:tc>
        <w:tc>
          <w:tcPr>
            <w:tcW w:w="497" w:type="pct"/>
            <w:tcBorders>
              <w:top w:val="nil"/>
              <w:left w:val="nil"/>
              <w:bottom w:val="single" w:sz="4" w:space="0" w:color="auto"/>
              <w:right w:val="nil"/>
            </w:tcBorders>
            <w:noWrap/>
            <w:vAlign w:val="bottom"/>
            <w:hideMark/>
          </w:tcPr>
          <w:p w14:paraId="7F9CB0E1" w14:textId="77777777" w:rsidR="00232EFA" w:rsidRPr="00666F4F" w:rsidRDefault="00232EFA" w:rsidP="00232EFA">
            <w:pPr>
              <w:spacing w:after="0" w:line="240" w:lineRule="auto"/>
              <w:jc w:val="both"/>
              <w:rPr>
                <w:rFonts w:ascii="Cambria" w:eastAsia="Times New Roman" w:hAnsi="Cambria" w:cstheme="majorHAnsi"/>
                <w:color w:val="222222"/>
                <w:sz w:val="16"/>
                <w:szCs w:val="16"/>
                <w:u w:val="single"/>
              </w:rPr>
            </w:pPr>
            <w:r w:rsidRPr="00666F4F">
              <w:rPr>
                <w:rFonts w:ascii="Cambria" w:eastAsia="Times New Roman" w:hAnsi="Cambria" w:cstheme="majorHAnsi"/>
                <w:color w:val="222222"/>
                <w:sz w:val="16"/>
                <w:szCs w:val="16"/>
                <w:u w:val="single"/>
              </w:rPr>
              <w:t>0,00</w:t>
            </w:r>
          </w:p>
        </w:tc>
        <w:tc>
          <w:tcPr>
            <w:tcW w:w="497" w:type="pct"/>
            <w:tcBorders>
              <w:top w:val="nil"/>
              <w:left w:val="single" w:sz="4" w:space="0" w:color="auto"/>
              <w:bottom w:val="single" w:sz="4" w:space="0" w:color="auto"/>
              <w:right w:val="single" w:sz="8" w:space="0" w:color="auto"/>
            </w:tcBorders>
            <w:noWrap/>
            <w:vAlign w:val="bottom"/>
            <w:hideMark/>
          </w:tcPr>
          <w:p w14:paraId="393A9A3B" w14:textId="77777777" w:rsidR="00232EFA" w:rsidRPr="00666F4F" w:rsidRDefault="00232EFA" w:rsidP="00232EFA">
            <w:pPr>
              <w:spacing w:after="0" w:line="240" w:lineRule="auto"/>
              <w:jc w:val="both"/>
              <w:rPr>
                <w:rFonts w:ascii="Cambria" w:eastAsia="Times New Roman" w:hAnsi="Cambria" w:cstheme="majorHAnsi"/>
                <w:color w:val="222222"/>
                <w:sz w:val="16"/>
                <w:szCs w:val="16"/>
                <w:u w:val="single"/>
              </w:rPr>
            </w:pPr>
            <w:r w:rsidRPr="00666F4F">
              <w:rPr>
                <w:rFonts w:ascii="Cambria" w:eastAsia="Times New Roman" w:hAnsi="Cambria" w:cstheme="majorHAnsi"/>
                <w:color w:val="222222"/>
                <w:sz w:val="16"/>
                <w:szCs w:val="16"/>
                <w:u w:val="single"/>
              </w:rPr>
              <w:t>0,00</w:t>
            </w:r>
          </w:p>
        </w:tc>
        <w:tc>
          <w:tcPr>
            <w:tcW w:w="522" w:type="pct"/>
            <w:tcBorders>
              <w:top w:val="nil"/>
              <w:left w:val="nil"/>
              <w:bottom w:val="single" w:sz="4" w:space="0" w:color="auto"/>
              <w:right w:val="single" w:sz="4" w:space="0" w:color="auto"/>
            </w:tcBorders>
            <w:noWrap/>
            <w:vAlign w:val="bottom"/>
            <w:hideMark/>
          </w:tcPr>
          <w:p w14:paraId="183B91E4" w14:textId="77777777" w:rsidR="00232EFA" w:rsidRPr="00666F4F" w:rsidRDefault="00232EFA" w:rsidP="00232EFA">
            <w:pPr>
              <w:spacing w:after="0" w:line="240" w:lineRule="auto"/>
              <w:jc w:val="both"/>
              <w:rPr>
                <w:rFonts w:ascii="Cambria" w:eastAsia="Times New Roman" w:hAnsi="Cambria" w:cstheme="majorHAnsi"/>
                <w:color w:val="222222"/>
                <w:sz w:val="16"/>
                <w:szCs w:val="16"/>
                <w:u w:val="single"/>
              </w:rPr>
            </w:pPr>
            <w:r w:rsidRPr="00666F4F">
              <w:rPr>
                <w:rFonts w:ascii="Cambria" w:eastAsia="Times New Roman" w:hAnsi="Cambria" w:cstheme="majorHAnsi"/>
                <w:color w:val="222222"/>
                <w:sz w:val="16"/>
                <w:szCs w:val="16"/>
                <w:u w:val="single"/>
              </w:rPr>
              <w:t>0,00</w:t>
            </w:r>
          </w:p>
        </w:tc>
        <w:tc>
          <w:tcPr>
            <w:tcW w:w="497" w:type="pct"/>
            <w:tcBorders>
              <w:top w:val="nil"/>
              <w:left w:val="single" w:sz="4" w:space="0" w:color="auto"/>
              <w:bottom w:val="single" w:sz="4" w:space="0" w:color="auto"/>
              <w:right w:val="single" w:sz="8" w:space="0" w:color="auto"/>
            </w:tcBorders>
            <w:noWrap/>
            <w:vAlign w:val="bottom"/>
            <w:hideMark/>
          </w:tcPr>
          <w:p w14:paraId="4058A41B" w14:textId="77777777" w:rsidR="00232EFA" w:rsidRPr="00666F4F" w:rsidRDefault="00232EFA" w:rsidP="00232EFA">
            <w:pPr>
              <w:spacing w:after="0" w:line="240" w:lineRule="auto"/>
              <w:jc w:val="both"/>
              <w:rPr>
                <w:rFonts w:ascii="Cambria" w:eastAsia="Times New Roman" w:hAnsi="Cambria" w:cstheme="majorHAnsi"/>
                <w:color w:val="222222"/>
                <w:sz w:val="16"/>
                <w:szCs w:val="16"/>
                <w:u w:val="single"/>
              </w:rPr>
            </w:pPr>
            <w:r w:rsidRPr="00666F4F">
              <w:rPr>
                <w:rFonts w:ascii="Cambria" w:eastAsia="Times New Roman" w:hAnsi="Cambria" w:cstheme="majorHAnsi"/>
                <w:color w:val="222222"/>
                <w:sz w:val="16"/>
                <w:szCs w:val="16"/>
                <w:u w:val="single"/>
              </w:rPr>
              <w:t> </w:t>
            </w:r>
          </w:p>
        </w:tc>
        <w:tc>
          <w:tcPr>
            <w:tcW w:w="535" w:type="pct"/>
            <w:tcBorders>
              <w:top w:val="nil"/>
              <w:left w:val="nil"/>
              <w:bottom w:val="single" w:sz="4" w:space="0" w:color="auto"/>
              <w:right w:val="nil"/>
            </w:tcBorders>
            <w:noWrap/>
            <w:vAlign w:val="bottom"/>
            <w:hideMark/>
          </w:tcPr>
          <w:p w14:paraId="239C7634" w14:textId="77777777" w:rsidR="00232EFA" w:rsidRPr="00666F4F" w:rsidRDefault="00232EFA" w:rsidP="00232EFA">
            <w:pPr>
              <w:spacing w:after="0" w:line="240" w:lineRule="auto"/>
              <w:jc w:val="both"/>
              <w:rPr>
                <w:rFonts w:ascii="Cambria" w:eastAsia="Times New Roman" w:hAnsi="Cambria" w:cstheme="majorHAnsi"/>
                <w:color w:val="222222"/>
                <w:sz w:val="16"/>
                <w:szCs w:val="16"/>
                <w:u w:val="single"/>
              </w:rPr>
            </w:pPr>
            <w:r w:rsidRPr="00666F4F">
              <w:rPr>
                <w:rFonts w:ascii="Cambria" w:eastAsia="Times New Roman" w:hAnsi="Cambria" w:cstheme="majorHAnsi"/>
                <w:color w:val="222222"/>
                <w:sz w:val="16"/>
                <w:szCs w:val="16"/>
                <w:u w:val="single"/>
              </w:rPr>
              <w:t>0,00</w:t>
            </w:r>
          </w:p>
        </w:tc>
        <w:tc>
          <w:tcPr>
            <w:tcW w:w="535" w:type="pct"/>
            <w:tcBorders>
              <w:top w:val="nil"/>
              <w:left w:val="single" w:sz="4" w:space="0" w:color="auto"/>
              <w:bottom w:val="single" w:sz="4" w:space="0" w:color="auto"/>
              <w:right w:val="single" w:sz="8" w:space="0" w:color="auto"/>
            </w:tcBorders>
            <w:noWrap/>
            <w:vAlign w:val="bottom"/>
            <w:hideMark/>
          </w:tcPr>
          <w:p w14:paraId="446F6CED" w14:textId="77777777" w:rsidR="00232EFA" w:rsidRPr="00666F4F" w:rsidRDefault="00232EFA" w:rsidP="00232EFA">
            <w:pPr>
              <w:spacing w:after="0" w:line="240" w:lineRule="auto"/>
              <w:jc w:val="both"/>
              <w:rPr>
                <w:rFonts w:ascii="Cambria" w:eastAsia="Times New Roman" w:hAnsi="Cambria" w:cstheme="majorHAnsi"/>
                <w:color w:val="222222"/>
                <w:sz w:val="16"/>
                <w:szCs w:val="16"/>
                <w:u w:val="single"/>
              </w:rPr>
            </w:pPr>
            <w:r w:rsidRPr="00666F4F">
              <w:rPr>
                <w:rFonts w:ascii="Cambria" w:eastAsia="Times New Roman" w:hAnsi="Cambria" w:cstheme="majorHAnsi"/>
                <w:color w:val="222222"/>
                <w:sz w:val="16"/>
                <w:szCs w:val="16"/>
                <w:u w:val="single"/>
              </w:rPr>
              <w:t> </w:t>
            </w:r>
          </w:p>
        </w:tc>
      </w:tr>
      <w:tr w:rsidR="00232EFA" w:rsidRPr="00666F4F" w14:paraId="1E03AD2B" w14:textId="77777777">
        <w:trPr>
          <w:trHeight w:val="113"/>
        </w:trPr>
        <w:tc>
          <w:tcPr>
            <w:tcW w:w="1420" w:type="pct"/>
            <w:tcBorders>
              <w:top w:val="nil"/>
              <w:left w:val="single" w:sz="8" w:space="0" w:color="auto"/>
              <w:bottom w:val="single" w:sz="4" w:space="0" w:color="auto"/>
              <w:right w:val="single" w:sz="8" w:space="0" w:color="auto"/>
            </w:tcBorders>
            <w:noWrap/>
            <w:vAlign w:val="bottom"/>
            <w:hideMark/>
          </w:tcPr>
          <w:p w14:paraId="3B60E284" w14:textId="77777777" w:rsidR="00232EFA" w:rsidRPr="00666F4F" w:rsidRDefault="00232EFA" w:rsidP="00232EFA">
            <w:pPr>
              <w:spacing w:after="0" w:line="240" w:lineRule="auto"/>
              <w:jc w:val="both"/>
              <w:rPr>
                <w:rFonts w:ascii="Cambria" w:eastAsia="Times New Roman" w:hAnsi="Cambria" w:cstheme="majorHAnsi"/>
                <w:b/>
                <w:bCs/>
                <w:color w:val="222222"/>
                <w:sz w:val="16"/>
                <w:szCs w:val="16"/>
                <w:u w:val="single"/>
              </w:rPr>
            </w:pPr>
            <w:r w:rsidRPr="00666F4F">
              <w:rPr>
                <w:rFonts w:ascii="Cambria" w:eastAsia="Times New Roman" w:hAnsi="Cambria" w:cstheme="majorHAnsi"/>
                <w:b/>
                <w:color w:val="222222"/>
                <w:sz w:val="16"/>
                <w:szCs w:val="16"/>
                <w:u w:val="single"/>
              </w:rPr>
              <w:t>UE</w:t>
            </w:r>
          </w:p>
        </w:tc>
        <w:tc>
          <w:tcPr>
            <w:tcW w:w="497" w:type="pct"/>
            <w:tcBorders>
              <w:top w:val="nil"/>
              <w:left w:val="nil"/>
              <w:bottom w:val="single" w:sz="4" w:space="0" w:color="auto"/>
              <w:right w:val="single" w:sz="4" w:space="0" w:color="auto"/>
            </w:tcBorders>
            <w:noWrap/>
            <w:vAlign w:val="bottom"/>
            <w:hideMark/>
          </w:tcPr>
          <w:p w14:paraId="0EDEB641" w14:textId="77777777" w:rsidR="00232EFA" w:rsidRPr="00666F4F" w:rsidRDefault="00232EFA" w:rsidP="00232EFA">
            <w:pPr>
              <w:spacing w:after="0" w:line="240" w:lineRule="auto"/>
              <w:jc w:val="both"/>
              <w:rPr>
                <w:rFonts w:ascii="Cambria" w:eastAsia="Times New Roman" w:hAnsi="Cambria" w:cstheme="majorHAnsi"/>
                <w:color w:val="222222"/>
                <w:sz w:val="16"/>
                <w:szCs w:val="16"/>
                <w:u w:val="single"/>
              </w:rPr>
            </w:pPr>
            <w:r w:rsidRPr="00666F4F">
              <w:rPr>
                <w:rFonts w:ascii="Cambria" w:eastAsia="Times New Roman" w:hAnsi="Cambria" w:cstheme="majorHAnsi"/>
                <w:color w:val="222222"/>
                <w:sz w:val="16"/>
                <w:szCs w:val="16"/>
                <w:u w:val="single"/>
              </w:rPr>
              <w:t>503,00</w:t>
            </w:r>
          </w:p>
        </w:tc>
        <w:tc>
          <w:tcPr>
            <w:tcW w:w="497" w:type="pct"/>
            <w:tcBorders>
              <w:top w:val="nil"/>
              <w:left w:val="nil"/>
              <w:bottom w:val="single" w:sz="4" w:space="0" w:color="auto"/>
              <w:right w:val="nil"/>
            </w:tcBorders>
            <w:noWrap/>
            <w:vAlign w:val="bottom"/>
            <w:hideMark/>
          </w:tcPr>
          <w:p w14:paraId="11028CFF" w14:textId="77777777" w:rsidR="00232EFA" w:rsidRPr="00666F4F" w:rsidRDefault="00232EFA" w:rsidP="00232EFA">
            <w:pPr>
              <w:spacing w:after="0" w:line="240" w:lineRule="auto"/>
              <w:jc w:val="both"/>
              <w:rPr>
                <w:rFonts w:ascii="Cambria" w:eastAsia="Times New Roman" w:hAnsi="Cambria" w:cstheme="majorHAnsi"/>
                <w:color w:val="222222"/>
                <w:sz w:val="16"/>
                <w:szCs w:val="16"/>
                <w:u w:val="single"/>
              </w:rPr>
            </w:pPr>
            <w:r w:rsidRPr="00666F4F">
              <w:rPr>
                <w:rFonts w:ascii="Cambria" w:eastAsia="Times New Roman" w:hAnsi="Cambria" w:cstheme="majorHAnsi"/>
                <w:color w:val="222222"/>
                <w:sz w:val="16"/>
                <w:szCs w:val="16"/>
                <w:u w:val="single"/>
              </w:rPr>
              <w:t>503,00</w:t>
            </w:r>
          </w:p>
        </w:tc>
        <w:tc>
          <w:tcPr>
            <w:tcW w:w="497" w:type="pct"/>
            <w:tcBorders>
              <w:top w:val="nil"/>
              <w:left w:val="single" w:sz="4" w:space="0" w:color="auto"/>
              <w:bottom w:val="single" w:sz="4" w:space="0" w:color="auto"/>
              <w:right w:val="single" w:sz="8" w:space="0" w:color="auto"/>
            </w:tcBorders>
            <w:noWrap/>
            <w:vAlign w:val="bottom"/>
            <w:hideMark/>
          </w:tcPr>
          <w:p w14:paraId="29E7BAA6" w14:textId="77777777" w:rsidR="00232EFA" w:rsidRPr="00666F4F" w:rsidRDefault="00232EFA" w:rsidP="00232EFA">
            <w:pPr>
              <w:spacing w:after="0" w:line="240" w:lineRule="auto"/>
              <w:jc w:val="both"/>
              <w:rPr>
                <w:rFonts w:ascii="Cambria" w:eastAsia="Times New Roman" w:hAnsi="Cambria" w:cstheme="majorHAnsi"/>
                <w:color w:val="222222"/>
                <w:sz w:val="16"/>
                <w:szCs w:val="16"/>
                <w:u w:val="single"/>
              </w:rPr>
            </w:pPr>
            <w:r w:rsidRPr="00666F4F">
              <w:rPr>
                <w:rFonts w:ascii="Cambria" w:eastAsia="Times New Roman" w:hAnsi="Cambria" w:cstheme="majorHAnsi"/>
                <w:color w:val="222222"/>
                <w:sz w:val="16"/>
                <w:szCs w:val="16"/>
                <w:u w:val="single"/>
              </w:rPr>
              <w:t>503,00</w:t>
            </w:r>
          </w:p>
        </w:tc>
        <w:tc>
          <w:tcPr>
            <w:tcW w:w="522" w:type="pct"/>
            <w:tcBorders>
              <w:top w:val="nil"/>
              <w:left w:val="nil"/>
              <w:bottom w:val="single" w:sz="4" w:space="0" w:color="auto"/>
              <w:right w:val="single" w:sz="4" w:space="0" w:color="auto"/>
            </w:tcBorders>
            <w:noWrap/>
            <w:vAlign w:val="bottom"/>
            <w:hideMark/>
          </w:tcPr>
          <w:p w14:paraId="39F04BFF" w14:textId="77777777" w:rsidR="00232EFA" w:rsidRPr="00666F4F" w:rsidRDefault="00232EFA" w:rsidP="00232EFA">
            <w:pPr>
              <w:spacing w:after="0" w:line="240" w:lineRule="auto"/>
              <w:jc w:val="both"/>
              <w:rPr>
                <w:rFonts w:ascii="Cambria" w:eastAsia="Times New Roman" w:hAnsi="Cambria" w:cstheme="majorHAnsi"/>
                <w:color w:val="222222"/>
                <w:sz w:val="16"/>
                <w:szCs w:val="16"/>
                <w:u w:val="single"/>
              </w:rPr>
            </w:pPr>
            <w:r w:rsidRPr="00666F4F">
              <w:rPr>
                <w:rFonts w:ascii="Cambria" w:eastAsia="Times New Roman" w:hAnsi="Cambria" w:cstheme="majorHAnsi"/>
                <w:color w:val="222222"/>
                <w:sz w:val="16"/>
                <w:szCs w:val="16"/>
                <w:u w:val="single"/>
              </w:rPr>
              <w:t>0,00</w:t>
            </w:r>
          </w:p>
        </w:tc>
        <w:tc>
          <w:tcPr>
            <w:tcW w:w="497" w:type="pct"/>
            <w:tcBorders>
              <w:top w:val="nil"/>
              <w:left w:val="single" w:sz="4" w:space="0" w:color="auto"/>
              <w:bottom w:val="single" w:sz="4" w:space="0" w:color="auto"/>
              <w:right w:val="single" w:sz="8" w:space="0" w:color="auto"/>
            </w:tcBorders>
            <w:noWrap/>
            <w:vAlign w:val="bottom"/>
            <w:hideMark/>
          </w:tcPr>
          <w:p w14:paraId="52A0395F" w14:textId="77777777" w:rsidR="00232EFA" w:rsidRPr="00666F4F" w:rsidRDefault="00232EFA" w:rsidP="00232EFA">
            <w:pPr>
              <w:spacing w:after="0" w:line="240" w:lineRule="auto"/>
              <w:jc w:val="both"/>
              <w:rPr>
                <w:rFonts w:ascii="Cambria" w:eastAsia="Times New Roman" w:hAnsi="Cambria" w:cstheme="majorHAnsi"/>
                <w:color w:val="222222"/>
                <w:sz w:val="16"/>
                <w:szCs w:val="16"/>
                <w:u w:val="single"/>
              </w:rPr>
            </w:pPr>
            <w:r w:rsidRPr="00666F4F">
              <w:rPr>
                <w:rFonts w:ascii="Cambria" w:eastAsia="Times New Roman" w:hAnsi="Cambria" w:cstheme="majorHAnsi"/>
                <w:color w:val="222222"/>
                <w:sz w:val="16"/>
                <w:szCs w:val="16"/>
                <w:u w:val="single"/>
              </w:rPr>
              <w:t>0,00</w:t>
            </w:r>
          </w:p>
        </w:tc>
        <w:tc>
          <w:tcPr>
            <w:tcW w:w="535" w:type="pct"/>
            <w:tcBorders>
              <w:top w:val="nil"/>
              <w:left w:val="nil"/>
              <w:bottom w:val="single" w:sz="4" w:space="0" w:color="auto"/>
              <w:right w:val="nil"/>
            </w:tcBorders>
            <w:noWrap/>
            <w:vAlign w:val="bottom"/>
            <w:hideMark/>
          </w:tcPr>
          <w:p w14:paraId="67C5D324" w14:textId="77777777" w:rsidR="00232EFA" w:rsidRPr="00666F4F" w:rsidRDefault="00232EFA" w:rsidP="00232EFA">
            <w:pPr>
              <w:spacing w:after="0" w:line="240" w:lineRule="auto"/>
              <w:jc w:val="both"/>
              <w:rPr>
                <w:rFonts w:ascii="Cambria" w:eastAsia="Times New Roman" w:hAnsi="Cambria" w:cstheme="majorHAnsi"/>
                <w:color w:val="222222"/>
                <w:sz w:val="16"/>
                <w:szCs w:val="16"/>
                <w:u w:val="single"/>
              </w:rPr>
            </w:pPr>
            <w:r w:rsidRPr="00666F4F">
              <w:rPr>
                <w:rFonts w:ascii="Cambria" w:eastAsia="Times New Roman" w:hAnsi="Cambria" w:cstheme="majorHAnsi"/>
                <w:color w:val="222222"/>
                <w:sz w:val="16"/>
                <w:szCs w:val="16"/>
                <w:u w:val="single"/>
              </w:rPr>
              <w:t>503,00</w:t>
            </w:r>
          </w:p>
        </w:tc>
        <w:tc>
          <w:tcPr>
            <w:tcW w:w="535" w:type="pct"/>
            <w:tcBorders>
              <w:top w:val="nil"/>
              <w:left w:val="single" w:sz="4" w:space="0" w:color="auto"/>
              <w:bottom w:val="single" w:sz="4" w:space="0" w:color="auto"/>
              <w:right w:val="single" w:sz="8" w:space="0" w:color="auto"/>
            </w:tcBorders>
            <w:noWrap/>
            <w:vAlign w:val="bottom"/>
            <w:hideMark/>
          </w:tcPr>
          <w:p w14:paraId="2B41FFEB" w14:textId="77777777" w:rsidR="00232EFA" w:rsidRPr="00666F4F" w:rsidRDefault="00232EFA" w:rsidP="00232EFA">
            <w:pPr>
              <w:spacing w:after="0" w:line="240" w:lineRule="auto"/>
              <w:jc w:val="both"/>
              <w:rPr>
                <w:rFonts w:ascii="Cambria" w:eastAsia="Times New Roman" w:hAnsi="Cambria" w:cstheme="majorHAnsi"/>
                <w:color w:val="222222"/>
                <w:sz w:val="16"/>
                <w:szCs w:val="16"/>
                <w:u w:val="single"/>
              </w:rPr>
            </w:pPr>
            <w:r w:rsidRPr="00666F4F">
              <w:rPr>
                <w:rFonts w:ascii="Cambria" w:eastAsia="Times New Roman" w:hAnsi="Cambria" w:cstheme="majorHAnsi"/>
                <w:color w:val="222222"/>
                <w:sz w:val="16"/>
                <w:szCs w:val="16"/>
                <w:u w:val="single"/>
              </w:rPr>
              <w:t>503,00</w:t>
            </w:r>
          </w:p>
        </w:tc>
      </w:tr>
      <w:tr w:rsidR="00232EFA" w:rsidRPr="00666F4F" w14:paraId="3950B83F" w14:textId="77777777">
        <w:trPr>
          <w:trHeight w:val="113"/>
        </w:trPr>
        <w:tc>
          <w:tcPr>
            <w:tcW w:w="1420" w:type="pct"/>
            <w:tcBorders>
              <w:top w:val="nil"/>
              <w:left w:val="single" w:sz="8" w:space="0" w:color="auto"/>
              <w:bottom w:val="single" w:sz="4" w:space="0" w:color="auto"/>
              <w:right w:val="single" w:sz="8" w:space="0" w:color="auto"/>
            </w:tcBorders>
            <w:noWrap/>
            <w:vAlign w:val="bottom"/>
            <w:hideMark/>
          </w:tcPr>
          <w:p w14:paraId="0E171973" w14:textId="77777777" w:rsidR="00232EFA" w:rsidRPr="00666F4F" w:rsidRDefault="00232EFA" w:rsidP="00232EFA">
            <w:pPr>
              <w:spacing w:after="0" w:line="240" w:lineRule="auto"/>
              <w:jc w:val="both"/>
              <w:rPr>
                <w:rFonts w:ascii="Cambria" w:eastAsia="Times New Roman" w:hAnsi="Cambria" w:cstheme="majorHAnsi"/>
                <w:b/>
                <w:bCs/>
                <w:color w:val="222222"/>
                <w:sz w:val="16"/>
                <w:szCs w:val="16"/>
                <w:u w:val="single"/>
              </w:rPr>
            </w:pPr>
            <w:r w:rsidRPr="00666F4F">
              <w:rPr>
                <w:rFonts w:ascii="Cambria" w:eastAsia="Times New Roman" w:hAnsi="Cambria" w:cstheme="majorHAnsi"/>
                <w:b/>
                <w:color w:val="222222"/>
                <w:sz w:val="16"/>
                <w:szCs w:val="16"/>
                <w:u w:val="single"/>
              </w:rPr>
              <w:t>GUATEMALA</w:t>
            </w:r>
          </w:p>
        </w:tc>
        <w:tc>
          <w:tcPr>
            <w:tcW w:w="497" w:type="pct"/>
            <w:tcBorders>
              <w:top w:val="nil"/>
              <w:left w:val="nil"/>
              <w:bottom w:val="single" w:sz="4" w:space="0" w:color="auto"/>
              <w:right w:val="single" w:sz="4" w:space="0" w:color="auto"/>
            </w:tcBorders>
            <w:noWrap/>
            <w:vAlign w:val="bottom"/>
            <w:hideMark/>
          </w:tcPr>
          <w:p w14:paraId="2738078D" w14:textId="77777777" w:rsidR="00232EFA" w:rsidRPr="00666F4F" w:rsidRDefault="00232EFA" w:rsidP="00232EFA">
            <w:pPr>
              <w:spacing w:after="0" w:line="240" w:lineRule="auto"/>
              <w:jc w:val="both"/>
              <w:rPr>
                <w:rFonts w:ascii="Cambria" w:eastAsia="Times New Roman" w:hAnsi="Cambria" w:cstheme="majorHAnsi"/>
                <w:color w:val="222222"/>
                <w:sz w:val="16"/>
                <w:szCs w:val="16"/>
                <w:u w:val="single"/>
              </w:rPr>
            </w:pPr>
            <w:r w:rsidRPr="00666F4F">
              <w:rPr>
                <w:rFonts w:ascii="Cambria" w:eastAsia="Times New Roman" w:hAnsi="Cambria" w:cstheme="majorHAnsi"/>
                <w:color w:val="222222"/>
                <w:sz w:val="16"/>
                <w:szCs w:val="16"/>
                <w:u w:val="single"/>
              </w:rPr>
              <w:t>0,00</w:t>
            </w:r>
          </w:p>
        </w:tc>
        <w:tc>
          <w:tcPr>
            <w:tcW w:w="497" w:type="pct"/>
            <w:tcBorders>
              <w:top w:val="nil"/>
              <w:left w:val="nil"/>
              <w:bottom w:val="single" w:sz="4" w:space="0" w:color="auto"/>
              <w:right w:val="nil"/>
            </w:tcBorders>
            <w:noWrap/>
            <w:vAlign w:val="bottom"/>
            <w:hideMark/>
          </w:tcPr>
          <w:p w14:paraId="2B867D99" w14:textId="77777777" w:rsidR="00232EFA" w:rsidRPr="00666F4F" w:rsidRDefault="00232EFA" w:rsidP="00232EFA">
            <w:pPr>
              <w:spacing w:after="0" w:line="240" w:lineRule="auto"/>
              <w:jc w:val="both"/>
              <w:rPr>
                <w:rFonts w:ascii="Cambria" w:eastAsia="Times New Roman" w:hAnsi="Cambria" w:cstheme="majorHAnsi"/>
                <w:color w:val="222222"/>
                <w:sz w:val="16"/>
                <w:szCs w:val="16"/>
                <w:u w:val="single"/>
              </w:rPr>
            </w:pPr>
            <w:r w:rsidRPr="00666F4F">
              <w:rPr>
                <w:rFonts w:ascii="Cambria" w:eastAsia="Times New Roman" w:hAnsi="Cambria" w:cstheme="majorHAnsi"/>
                <w:color w:val="222222"/>
                <w:sz w:val="16"/>
                <w:szCs w:val="16"/>
                <w:u w:val="single"/>
              </w:rPr>
              <w:t>0,00</w:t>
            </w:r>
          </w:p>
        </w:tc>
        <w:tc>
          <w:tcPr>
            <w:tcW w:w="497" w:type="pct"/>
            <w:tcBorders>
              <w:top w:val="nil"/>
              <w:left w:val="single" w:sz="4" w:space="0" w:color="auto"/>
              <w:bottom w:val="single" w:sz="4" w:space="0" w:color="auto"/>
              <w:right w:val="single" w:sz="8" w:space="0" w:color="auto"/>
            </w:tcBorders>
            <w:noWrap/>
            <w:vAlign w:val="bottom"/>
            <w:hideMark/>
          </w:tcPr>
          <w:p w14:paraId="618D1419" w14:textId="77777777" w:rsidR="00232EFA" w:rsidRPr="00666F4F" w:rsidRDefault="00232EFA" w:rsidP="00232EFA">
            <w:pPr>
              <w:spacing w:after="0" w:line="240" w:lineRule="auto"/>
              <w:jc w:val="both"/>
              <w:rPr>
                <w:rFonts w:ascii="Cambria" w:eastAsia="Times New Roman" w:hAnsi="Cambria" w:cstheme="majorHAnsi"/>
                <w:color w:val="222222"/>
                <w:sz w:val="16"/>
                <w:szCs w:val="16"/>
                <w:u w:val="single"/>
              </w:rPr>
            </w:pPr>
            <w:r w:rsidRPr="00666F4F">
              <w:rPr>
                <w:rFonts w:ascii="Cambria" w:eastAsia="Times New Roman" w:hAnsi="Cambria" w:cstheme="majorHAnsi"/>
                <w:color w:val="222222"/>
                <w:sz w:val="16"/>
                <w:szCs w:val="16"/>
                <w:u w:val="single"/>
              </w:rPr>
              <w:t>0,00</w:t>
            </w:r>
          </w:p>
        </w:tc>
        <w:tc>
          <w:tcPr>
            <w:tcW w:w="522" w:type="pct"/>
            <w:tcBorders>
              <w:top w:val="nil"/>
              <w:left w:val="nil"/>
              <w:bottom w:val="single" w:sz="4" w:space="0" w:color="auto"/>
              <w:right w:val="single" w:sz="4" w:space="0" w:color="auto"/>
            </w:tcBorders>
            <w:noWrap/>
            <w:vAlign w:val="bottom"/>
            <w:hideMark/>
          </w:tcPr>
          <w:p w14:paraId="7C48E1CA" w14:textId="77777777" w:rsidR="00232EFA" w:rsidRPr="00666F4F" w:rsidRDefault="00232EFA" w:rsidP="00232EFA">
            <w:pPr>
              <w:spacing w:after="0" w:line="240" w:lineRule="auto"/>
              <w:jc w:val="both"/>
              <w:rPr>
                <w:rFonts w:ascii="Cambria" w:eastAsia="Times New Roman" w:hAnsi="Cambria" w:cstheme="majorHAnsi"/>
                <w:color w:val="222222"/>
                <w:sz w:val="16"/>
                <w:szCs w:val="16"/>
                <w:u w:val="single"/>
              </w:rPr>
            </w:pPr>
            <w:r w:rsidRPr="00666F4F">
              <w:rPr>
                <w:rFonts w:ascii="Cambria" w:eastAsia="Times New Roman" w:hAnsi="Cambria" w:cstheme="majorHAnsi"/>
                <w:color w:val="222222"/>
                <w:sz w:val="16"/>
                <w:szCs w:val="16"/>
                <w:u w:val="single"/>
              </w:rPr>
              <w:t> </w:t>
            </w:r>
          </w:p>
        </w:tc>
        <w:tc>
          <w:tcPr>
            <w:tcW w:w="497" w:type="pct"/>
            <w:tcBorders>
              <w:top w:val="nil"/>
              <w:left w:val="single" w:sz="4" w:space="0" w:color="auto"/>
              <w:bottom w:val="single" w:sz="4" w:space="0" w:color="auto"/>
              <w:right w:val="single" w:sz="8" w:space="0" w:color="auto"/>
            </w:tcBorders>
            <w:noWrap/>
            <w:vAlign w:val="bottom"/>
            <w:hideMark/>
          </w:tcPr>
          <w:p w14:paraId="130AF301" w14:textId="77777777" w:rsidR="00232EFA" w:rsidRPr="00666F4F" w:rsidRDefault="00232EFA" w:rsidP="00232EFA">
            <w:pPr>
              <w:spacing w:after="0" w:line="240" w:lineRule="auto"/>
              <w:jc w:val="both"/>
              <w:rPr>
                <w:rFonts w:ascii="Cambria" w:eastAsia="Times New Roman" w:hAnsi="Cambria" w:cstheme="majorHAnsi"/>
                <w:color w:val="222222"/>
                <w:sz w:val="16"/>
                <w:szCs w:val="16"/>
                <w:u w:val="single"/>
              </w:rPr>
            </w:pPr>
            <w:r w:rsidRPr="00666F4F">
              <w:rPr>
                <w:rFonts w:ascii="Cambria" w:eastAsia="Times New Roman" w:hAnsi="Cambria" w:cstheme="majorHAnsi"/>
                <w:color w:val="222222"/>
                <w:sz w:val="16"/>
                <w:szCs w:val="16"/>
                <w:u w:val="single"/>
              </w:rPr>
              <w:t> </w:t>
            </w:r>
          </w:p>
        </w:tc>
        <w:tc>
          <w:tcPr>
            <w:tcW w:w="535" w:type="pct"/>
            <w:tcBorders>
              <w:top w:val="nil"/>
              <w:left w:val="nil"/>
              <w:bottom w:val="single" w:sz="4" w:space="0" w:color="auto"/>
              <w:right w:val="nil"/>
            </w:tcBorders>
            <w:noWrap/>
            <w:vAlign w:val="bottom"/>
            <w:hideMark/>
          </w:tcPr>
          <w:p w14:paraId="26192124" w14:textId="77777777" w:rsidR="00232EFA" w:rsidRPr="00666F4F" w:rsidRDefault="00232EFA" w:rsidP="00232EFA">
            <w:pPr>
              <w:spacing w:after="0" w:line="240" w:lineRule="auto"/>
              <w:jc w:val="both"/>
              <w:rPr>
                <w:rFonts w:ascii="Cambria" w:eastAsia="Times New Roman" w:hAnsi="Cambria" w:cstheme="majorHAnsi"/>
                <w:color w:val="222222"/>
                <w:sz w:val="16"/>
                <w:szCs w:val="16"/>
                <w:u w:val="single"/>
              </w:rPr>
            </w:pPr>
            <w:r w:rsidRPr="00666F4F">
              <w:rPr>
                <w:rFonts w:ascii="Cambria" w:eastAsia="Times New Roman" w:hAnsi="Cambria" w:cstheme="majorHAnsi"/>
                <w:color w:val="222222"/>
                <w:sz w:val="16"/>
                <w:szCs w:val="16"/>
                <w:u w:val="single"/>
              </w:rPr>
              <w:t> </w:t>
            </w:r>
          </w:p>
        </w:tc>
        <w:tc>
          <w:tcPr>
            <w:tcW w:w="535" w:type="pct"/>
            <w:tcBorders>
              <w:top w:val="nil"/>
              <w:left w:val="single" w:sz="4" w:space="0" w:color="auto"/>
              <w:bottom w:val="single" w:sz="4" w:space="0" w:color="auto"/>
              <w:right w:val="single" w:sz="8" w:space="0" w:color="auto"/>
            </w:tcBorders>
            <w:noWrap/>
            <w:vAlign w:val="bottom"/>
            <w:hideMark/>
          </w:tcPr>
          <w:p w14:paraId="2D192943" w14:textId="77777777" w:rsidR="00232EFA" w:rsidRPr="00666F4F" w:rsidRDefault="00232EFA" w:rsidP="00232EFA">
            <w:pPr>
              <w:spacing w:after="0" w:line="240" w:lineRule="auto"/>
              <w:jc w:val="both"/>
              <w:rPr>
                <w:rFonts w:ascii="Cambria" w:eastAsia="Times New Roman" w:hAnsi="Cambria" w:cstheme="majorHAnsi"/>
                <w:color w:val="222222"/>
                <w:sz w:val="16"/>
                <w:szCs w:val="16"/>
                <w:u w:val="single"/>
              </w:rPr>
            </w:pPr>
            <w:r w:rsidRPr="00666F4F">
              <w:rPr>
                <w:rFonts w:ascii="Cambria" w:eastAsia="Times New Roman" w:hAnsi="Cambria" w:cstheme="majorHAnsi"/>
                <w:color w:val="222222"/>
                <w:sz w:val="16"/>
                <w:szCs w:val="16"/>
                <w:u w:val="single"/>
              </w:rPr>
              <w:t> </w:t>
            </w:r>
          </w:p>
        </w:tc>
      </w:tr>
      <w:tr w:rsidR="00232EFA" w:rsidRPr="00666F4F" w14:paraId="3F791C70" w14:textId="77777777">
        <w:trPr>
          <w:trHeight w:val="113"/>
        </w:trPr>
        <w:tc>
          <w:tcPr>
            <w:tcW w:w="1420" w:type="pct"/>
            <w:tcBorders>
              <w:top w:val="nil"/>
              <w:left w:val="single" w:sz="8" w:space="0" w:color="auto"/>
              <w:bottom w:val="single" w:sz="4" w:space="0" w:color="auto"/>
              <w:right w:val="single" w:sz="8" w:space="0" w:color="auto"/>
            </w:tcBorders>
            <w:noWrap/>
            <w:vAlign w:val="bottom"/>
            <w:hideMark/>
          </w:tcPr>
          <w:p w14:paraId="68B9189C" w14:textId="77777777" w:rsidR="00232EFA" w:rsidRPr="00666F4F" w:rsidRDefault="00232EFA" w:rsidP="00232EFA">
            <w:pPr>
              <w:spacing w:after="0" w:line="240" w:lineRule="auto"/>
              <w:jc w:val="both"/>
              <w:rPr>
                <w:rFonts w:ascii="Cambria" w:eastAsia="Times New Roman" w:hAnsi="Cambria" w:cstheme="majorHAnsi"/>
                <w:b/>
                <w:bCs/>
                <w:color w:val="222222"/>
                <w:sz w:val="16"/>
                <w:szCs w:val="16"/>
                <w:u w:val="single"/>
              </w:rPr>
            </w:pPr>
            <w:r w:rsidRPr="00666F4F">
              <w:rPr>
                <w:rFonts w:ascii="Cambria" w:eastAsia="Times New Roman" w:hAnsi="Cambria" w:cstheme="majorHAnsi"/>
                <w:b/>
                <w:color w:val="222222"/>
                <w:sz w:val="16"/>
                <w:szCs w:val="16"/>
                <w:u w:val="single"/>
              </w:rPr>
              <w:t>JAPON</w:t>
            </w:r>
          </w:p>
        </w:tc>
        <w:tc>
          <w:tcPr>
            <w:tcW w:w="497" w:type="pct"/>
            <w:tcBorders>
              <w:top w:val="nil"/>
              <w:left w:val="nil"/>
              <w:bottom w:val="single" w:sz="4" w:space="0" w:color="auto"/>
              <w:right w:val="single" w:sz="4" w:space="0" w:color="auto"/>
            </w:tcBorders>
            <w:noWrap/>
            <w:vAlign w:val="bottom"/>
            <w:hideMark/>
          </w:tcPr>
          <w:p w14:paraId="1FF1FCB4" w14:textId="77777777" w:rsidR="00232EFA" w:rsidRPr="00666F4F" w:rsidRDefault="00232EFA" w:rsidP="00232EFA">
            <w:pPr>
              <w:spacing w:after="0" w:line="240" w:lineRule="auto"/>
              <w:jc w:val="both"/>
              <w:rPr>
                <w:rFonts w:ascii="Cambria" w:eastAsia="Times New Roman" w:hAnsi="Cambria" w:cstheme="majorHAnsi"/>
                <w:color w:val="222222"/>
                <w:sz w:val="16"/>
                <w:szCs w:val="16"/>
                <w:u w:val="single"/>
              </w:rPr>
            </w:pPr>
            <w:r w:rsidRPr="00666F4F">
              <w:rPr>
                <w:rFonts w:ascii="Cambria" w:eastAsia="Times New Roman" w:hAnsi="Cambria" w:cstheme="majorHAnsi"/>
                <w:color w:val="222222"/>
                <w:sz w:val="16"/>
                <w:szCs w:val="16"/>
                <w:u w:val="single"/>
              </w:rPr>
              <w:t>62,00</w:t>
            </w:r>
          </w:p>
        </w:tc>
        <w:tc>
          <w:tcPr>
            <w:tcW w:w="497" w:type="pct"/>
            <w:tcBorders>
              <w:top w:val="nil"/>
              <w:left w:val="nil"/>
              <w:bottom w:val="single" w:sz="4" w:space="0" w:color="auto"/>
              <w:right w:val="nil"/>
            </w:tcBorders>
            <w:noWrap/>
            <w:vAlign w:val="bottom"/>
            <w:hideMark/>
          </w:tcPr>
          <w:p w14:paraId="21784BAD" w14:textId="77777777" w:rsidR="00232EFA" w:rsidRPr="00666F4F" w:rsidRDefault="00232EFA" w:rsidP="00232EFA">
            <w:pPr>
              <w:spacing w:after="0" w:line="240" w:lineRule="auto"/>
              <w:jc w:val="both"/>
              <w:rPr>
                <w:rFonts w:ascii="Cambria" w:eastAsia="Times New Roman" w:hAnsi="Cambria" w:cstheme="majorHAnsi"/>
                <w:color w:val="222222"/>
                <w:sz w:val="16"/>
                <w:szCs w:val="16"/>
                <w:u w:val="single"/>
              </w:rPr>
            </w:pPr>
            <w:r w:rsidRPr="00666F4F">
              <w:rPr>
                <w:rFonts w:ascii="Cambria" w:eastAsia="Times New Roman" w:hAnsi="Cambria" w:cstheme="majorHAnsi"/>
                <w:color w:val="222222"/>
                <w:sz w:val="16"/>
                <w:szCs w:val="16"/>
                <w:u w:val="single"/>
              </w:rPr>
              <w:t>62,00</w:t>
            </w:r>
          </w:p>
        </w:tc>
        <w:tc>
          <w:tcPr>
            <w:tcW w:w="497" w:type="pct"/>
            <w:tcBorders>
              <w:top w:val="nil"/>
              <w:left w:val="single" w:sz="4" w:space="0" w:color="auto"/>
              <w:bottom w:val="single" w:sz="4" w:space="0" w:color="auto"/>
              <w:right w:val="single" w:sz="8" w:space="0" w:color="auto"/>
            </w:tcBorders>
            <w:noWrap/>
            <w:vAlign w:val="bottom"/>
            <w:hideMark/>
          </w:tcPr>
          <w:p w14:paraId="1EFBEDDD" w14:textId="77777777" w:rsidR="00232EFA" w:rsidRPr="00666F4F" w:rsidRDefault="00232EFA" w:rsidP="00232EFA">
            <w:pPr>
              <w:spacing w:after="0" w:line="240" w:lineRule="auto"/>
              <w:jc w:val="both"/>
              <w:rPr>
                <w:rFonts w:ascii="Cambria" w:eastAsia="Times New Roman" w:hAnsi="Cambria" w:cstheme="majorHAnsi"/>
                <w:color w:val="222222"/>
                <w:sz w:val="16"/>
                <w:szCs w:val="16"/>
                <w:u w:val="single"/>
              </w:rPr>
            </w:pPr>
            <w:r w:rsidRPr="00666F4F">
              <w:rPr>
                <w:rFonts w:ascii="Cambria" w:eastAsia="Times New Roman" w:hAnsi="Cambria" w:cstheme="majorHAnsi"/>
                <w:color w:val="222222"/>
                <w:sz w:val="16"/>
                <w:szCs w:val="16"/>
                <w:u w:val="single"/>
              </w:rPr>
              <w:t>62,00</w:t>
            </w:r>
          </w:p>
        </w:tc>
        <w:tc>
          <w:tcPr>
            <w:tcW w:w="522" w:type="pct"/>
            <w:tcBorders>
              <w:top w:val="nil"/>
              <w:left w:val="nil"/>
              <w:bottom w:val="single" w:sz="4" w:space="0" w:color="auto"/>
              <w:right w:val="single" w:sz="4" w:space="0" w:color="auto"/>
            </w:tcBorders>
            <w:noWrap/>
            <w:vAlign w:val="bottom"/>
            <w:hideMark/>
          </w:tcPr>
          <w:p w14:paraId="41E0EBBC" w14:textId="77777777" w:rsidR="00232EFA" w:rsidRPr="00666F4F" w:rsidRDefault="00232EFA" w:rsidP="00232EFA">
            <w:pPr>
              <w:spacing w:after="0" w:line="240" w:lineRule="auto"/>
              <w:jc w:val="both"/>
              <w:rPr>
                <w:rFonts w:ascii="Cambria" w:eastAsia="Times New Roman" w:hAnsi="Cambria" w:cstheme="majorHAnsi"/>
                <w:color w:val="222222"/>
                <w:sz w:val="16"/>
                <w:szCs w:val="16"/>
                <w:u w:val="single"/>
              </w:rPr>
            </w:pPr>
            <w:r w:rsidRPr="00666F4F">
              <w:rPr>
                <w:rFonts w:ascii="Cambria" w:eastAsia="Times New Roman" w:hAnsi="Cambria" w:cstheme="majorHAnsi"/>
                <w:color w:val="222222"/>
                <w:sz w:val="16"/>
                <w:szCs w:val="16"/>
                <w:u w:val="single"/>
              </w:rPr>
              <w:t>4,40</w:t>
            </w:r>
          </w:p>
        </w:tc>
        <w:tc>
          <w:tcPr>
            <w:tcW w:w="497" w:type="pct"/>
            <w:tcBorders>
              <w:top w:val="nil"/>
              <w:left w:val="single" w:sz="4" w:space="0" w:color="auto"/>
              <w:bottom w:val="single" w:sz="4" w:space="0" w:color="auto"/>
              <w:right w:val="single" w:sz="8" w:space="0" w:color="auto"/>
            </w:tcBorders>
            <w:noWrap/>
            <w:vAlign w:val="bottom"/>
            <w:hideMark/>
          </w:tcPr>
          <w:p w14:paraId="6CC06AD4" w14:textId="77777777" w:rsidR="00232EFA" w:rsidRPr="00666F4F" w:rsidRDefault="00232EFA" w:rsidP="00232EFA">
            <w:pPr>
              <w:spacing w:after="0" w:line="240" w:lineRule="auto"/>
              <w:jc w:val="both"/>
              <w:rPr>
                <w:rFonts w:ascii="Cambria" w:eastAsia="Times New Roman" w:hAnsi="Cambria" w:cstheme="majorHAnsi"/>
                <w:color w:val="222222"/>
                <w:sz w:val="16"/>
                <w:szCs w:val="16"/>
                <w:u w:val="single"/>
              </w:rPr>
            </w:pPr>
            <w:r w:rsidRPr="00666F4F">
              <w:rPr>
                <w:rFonts w:ascii="Cambria" w:eastAsia="Times New Roman" w:hAnsi="Cambria" w:cstheme="majorHAnsi"/>
                <w:color w:val="222222"/>
                <w:sz w:val="16"/>
                <w:szCs w:val="16"/>
                <w:u w:val="single"/>
              </w:rPr>
              <w:t>0,00</w:t>
            </w:r>
          </w:p>
        </w:tc>
        <w:tc>
          <w:tcPr>
            <w:tcW w:w="535" w:type="pct"/>
            <w:tcBorders>
              <w:top w:val="nil"/>
              <w:left w:val="nil"/>
              <w:bottom w:val="single" w:sz="4" w:space="0" w:color="auto"/>
              <w:right w:val="nil"/>
            </w:tcBorders>
            <w:noWrap/>
            <w:vAlign w:val="bottom"/>
            <w:hideMark/>
          </w:tcPr>
          <w:p w14:paraId="2CCF378F" w14:textId="77777777" w:rsidR="00232EFA" w:rsidRPr="00666F4F" w:rsidRDefault="00232EFA" w:rsidP="00232EFA">
            <w:pPr>
              <w:spacing w:after="0" w:line="240" w:lineRule="auto"/>
              <w:jc w:val="both"/>
              <w:rPr>
                <w:rFonts w:ascii="Cambria" w:eastAsia="Times New Roman" w:hAnsi="Cambria" w:cstheme="majorHAnsi"/>
                <w:color w:val="222222"/>
                <w:sz w:val="16"/>
                <w:szCs w:val="16"/>
                <w:u w:val="single"/>
              </w:rPr>
            </w:pPr>
            <w:r w:rsidRPr="00666F4F">
              <w:rPr>
                <w:rFonts w:ascii="Cambria" w:eastAsia="Times New Roman" w:hAnsi="Cambria" w:cstheme="majorHAnsi"/>
                <w:color w:val="222222"/>
                <w:sz w:val="16"/>
                <w:szCs w:val="16"/>
                <w:u w:val="single"/>
              </w:rPr>
              <w:t>57,60</w:t>
            </w:r>
          </w:p>
        </w:tc>
        <w:tc>
          <w:tcPr>
            <w:tcW w:w="535" w:type="pct"/>
            <w:tcBorders>
              <w:top w:val="nil"/>
              <w:left w:val="single" w:sz="4" w:space="0" w:color="auto"/>
              <w:bottom w:val="single" w:sz="4" w:space="0" w:color="auto"/>
              <w:right w:val="single" w:sz="8" w:space="0" w:color="auto"/>
            </w:tcBorders>
            <w:noWrap/>
            <w:vAlign w:val="bottom"/>
            <w:hideMark/>
          </w:tcPr>
          <w:p w14:paraId="24933C32" w14:textId="77777777" w:rsidR="00232EFA" w:rsidRPr="00666F4F" w:rsidRDefault="00232EFA" w:rsidP="00232EFA">
            <w:pPr>
              <w:spacing w:after="0" w:line="240" w:lineRule="auto"/>
              <w:jc w:val="both"/>
              <w:rPr>
                <w:rFonts w:ascii="Cambria" w:eastAsia="Times New Roman" w:hAnsi="Cambria" w:cstheme="majorHAnsi"/>
                <w:color w:val="222222"/>
                <w:sz w:val="16"/>
                <w:szCs w:val="16"/>
                <w:u w:val="single"/>
              </w:rPr>
            </w:pPr>
            <w:r w:rsidRPr="00666F4F">
              <w:rPr>
                <w:rFonts w:ascii="Cambria" w:eastAsia="Times New Roman" w:hAnsi="Cambria" w:cstheme="majorHAnsi"/>
                <w:color w:val="222222"/>
                <w:sz w:val="16"/>
                <w:szCs w:val="16"/>
                <w:u w:val="single"/>
              </w:rPr>
              <w:t>62,00</w:t>
            </w:r>
          </w:p>
        </w:tc>
      </w:tr>
      <w:tr w:rsidR="00232EFA" w:rsidRPr="00666F4F" w14:paraId="021F180F" w14:textId="77777777">
        <w:trPr>
          <w:trHeight w:val="113"/>
        </w:trPr>
        <w:tc>
          <w:tcPr>
            <w:tcW w:w="1420" w:type="pct"/>
            <w:tcBorders>
              <w:top w:val="nil"/>
              <w:left w:val="single" w:sz="8" w:space="0" w:color="auto"/>
              <w:bottom w:val="single" w:sz="4" w:space="0" w:color="auto"/>
              <w:right w:val="single" w:sz="8" w:space="0" w:color="auto"/>
            </w:tcBorders>
            <w:noWrap/>
            <w:vAlign w:val="bottom"/>
            <w:hideMark/>
          </w:tcPr>
          <w:p w14:paraId="2444B919" w14:textId="77777777" w:rsidR="00232EFA" w:rsidRPr="00666F4F" w:rsidRDefault="00232EFA" w:rsidP="00232EFA">
            <w:pPr>
              <w:spacing w:after="0" w:line="240" w:lineRule="auto"/>
              <w:jc w:val="both"/>
              <w:rPr>
                <w:rFonts w:ascii="Cambria" w:eastAsia="Times New Roman" w:hAnsi="Cambria" w:cstheme="majorHAnsi"/>
                <w:b/>
                <w:bCs/>
                <w:color w:val="222222"/>
                <w:sz w:val="16"/>
                <w:szCs w:val="16"/>
                <w:u w:val="single"/>
              </w:rPr>
            </w:pPr>
            <w:r w:rsidRPr="00666F4F">
              <w:rPr>
                <w:rFonts w:ascii="Cambria" w:eastAsia="Times New Roman" w:hAnsi="Cambria" w:cstheme="majorHAnsi"/>
                <w:b/>
                <w:color w:val="222222"/>
                <w:sz w:val="16"/>
                <w:szCs w:val="16"/>
                <w:u w:val="single"/>
              </w:rPr>
              <w:t>CORÉE</w:t>
            </w:r>
          </w:p>
        </w:tc>
        <w:tc>
          <w:tcPr>
            <w:tcW w:w="497" w:type="pct"/>
            <w:tcBorders>
              <w:top w:val="nil"/>
              <w:left w:val="nil"/>
              <w:bottom w:val="single" w:sz="4" w:space="0" w:color="auto"/>
              <w:right w:val="single" w:sz="4" w:space="0" w:color="auto"/>
            </w:tcBorders>
            <w:noWrap/>
            <w:vAlign w:val="bottom"/>
            <w:hideMark/>
          </w:tcPr>
          <w:p w14:paraId="7B7DC7B3" w14:textId="77777777" w:rsidR="00232EFA" w:rsidRPr="00666F4F" w:rsidRDefault="00232EFA" w:rsidP="00232EFA">
            <w:pPr>
              <w:spacing w:after="0" w:line="240" w:lineRule="auto"/>
              <w:jc w:val="both"/>
              <w:rPr>
                <w:rFonts w:ascii="Cambria" w:eastAsia="Times New Roman" w:hAnsi="Cambria" w:cstheme="majorHAnsi"/>
                <w:color w:val="222222"/>
                <w:sz w:val="16"/>
                <w:szCs w:val="16"/>
                <w:u w:val="single"/>
              </w:rPr>
            </w:pPr>
            <w:r w:rsidRPr="00666F4F">
              <w:rPr>
                <w:rFonts w:ascii="Cambria" w:eastAsia="Times New Roman" w:hAnsi="Cambria" w:cstheme="majorHAnsi"/>
                <w:color w:val="222222"/>
                <w:sz w:val="16"/>
                <w:szCs w:val="16"/>
                <w:u w:val="single"/>
              </w:rPr>
              <w:t>4,00</w:t>
            </w:r>
          </w:p>
        </w:tc>
        <w:tc>
          <w:tcPr>
            <w:tcW w:w="497" w:type="pct"/>
            <w:tcBorders>
              <w:top w:val="nil"/>
              <w:left w:val="nil"/>
              <w:bottom w:val="single" w:sz="4" w:space="0" w:color="auto"/>
              <w:right w:val="nil"/>
            </w:tcBorders>
            <w:noWrap/>
            <w:vAlign w:val="bottom"/>
            <w:hideMark/>
          </w:tcPr>
          <w:p w14:paraId="23631324" w14:textId="77777777" w:rsidR="00232EFA" w:rsidRPr="00666F4F" w:rsidRDefault="00232EFA" w:rsidP="00232EFA">
            <w:pPr>
              <w:spacing w:after="0" w:line="240" w:lineRule="auto"/>
              <w:jc w:val="both"/>
              <w:rPr>
                <w:rFonts w:ascii="Cambria" w:eastAsia="Times New Roman" w:hAnsi="Cambria" w:cstheme="majorHAnsi"/>
                <w:color w:val="222222"/>
                <w:sz w:val="16"/>
                <w:szCs w:val="16"/>
                <w:u w:val="single"/>
              </w:rPr>
            </w:pPr>
            <w:r w:rsidRPr="00666F4F">
              <w:rPr>
                <w:rFonts w:ascii="Cambria" w:eastAsia="Times New Roman" w:hAnsi="Cambria" w:cstheme="majorHAnsi"/>
                <w:color w:val="222222"/>
                <w:sz w:val="16"/>
                <w:szCs w:val="16"/>
                <w:u w:val="single"/>
              </w:rPr>
              <w:t>4,00</w:t>
            </w:r>
          </w:p>
        </w:tc>
        <w:tc>
          <w:tcPr>
            <w:tcW w:w="497" w:type="pct"/>
            <w:tcBorders>
              <w:top w:val="nil"/>
              <w:left w:val="single" w:sz="4" w:space="0" w:color="auto"/>
              <w:bottom w:val="single" w:sz="4" w:space="0" w:color="auto"/>
              <w:right w:val="single" w:sz="8" w:space="0" w:color="auto"/>
            </w:tcBorders>
            <w:noWrap/>
            <w:vAlign w:val="bottom"/>
            <w:hideMark/>
          </w:tcPr>
          <w:p w14:paraId="2AE22252" w14:textId="77777777" w:rsidR="00232EFA" w:rsidRPr="00666F4F" w:rsidRDefault="00232EFA" w:rsidP="00232EFA">
            <w:pPr>
              <w:spacing w:after="0" w:line="240" w:lineRule="auto"/>
              <w:jc w:val="both"/>
              <w:rPr>
                <w:rFonts w:ascii="Cambria" w:eastAsia="Times New Roman" w:hAnsi="Cambria" w:cstheme="majorHAnsi"/>
                <w:color w:val="222222"/>
                <w:sz w:val="16"/>
                <w:szCs w:val="16"/>
                <w:u w:val="single"/>
              </w:rPr>
            </w:pPr>
            <w:r w:rsidRPr="00666F4F">
              <w:rPr>
                <w:rFonts w:ascii="Cambria" w:eastAsia="Times New Roman" w:hAnsi="Cambria" w:cstheme="majorHAnsi"/>
                <w:color w:val="222222"/>
                <w:sz w:val="16"/>
                <w:szCs w:val="16"/>
                <w:u w:val="single"/>
              </w:rPr>
              <w:t>4,00</w:t>
            </w:r>
          </w:p>
        </w:tc>
        <w:tc>
          <w:tcPr>
            <w:tcW w:w="522" w:type="pct"/>
            <w:tcBorders>
              <w:top w:val="nil"/>
              <w:left w:val="nil"/>
              <w:bottom w:val="single" w:sz="4" w:space="0" w:color="auto"/>
              <w:right w:val="single" w:sz="4" w:space="0" w:color="auto"/>
            </w:tcBorders>
            <w:noWrap/>
            <w:vAlign w:val="bottom"/>
            <w:hideMark/>
          </w:tcPr>
          <w:p w14:paraId="404B8040" w14:textId="77777777" w:rsidR="00232EFA" w:rsidRPr="00666F4F" w:rsidRDefault="00232EFA" w:rsidP="00232EFA">
            <w:pPr>
              <w:spacing w:after="0" w:line="240" w:lineRule="auto"/>
              <w:jc w:val="both"/>
              <w:rPr>
                <w:rFonts w:ascii="Cambria" w:eastAsia="Times New Roman" w:hAnsi="Cambria" w:cstheme="majorHAnsi"/>
                <w:color w:val="222222"/>
                <w:sz w:val="16"/>
                <w:szCs w:val="16"/>
                <w:u w:val="single"/>
              </w:rPr>
            </w:pPr>
            <w:r w:rsidRPr="00666F4F">
              <w:rPr>
                <w:rFonts w:ascii="Cambria" w:eastAsia="Times New Roman" w:hAnsi="Cambria" w:cstheme="majorHAnsi"/>
                <w:color w:val="222222"/>
                <w:sz w:val="16"/>
                <w:szCs w:val="16"/>
                <w:u w:val="single"/>
              </w:rPr>
              <w:t>0,00</w:t>
            </w:r>
          </w:p>
        </w:tc>
        <w:tc>
          <w:tcPr>
            <w:tcW w:w="497" w:type="pct"/>
            <w:tcBorders>
              <w:top w:val="nil"/>
              <w:left w:val="single" w:sz="4" w:space="0" w:color="auto"/>
              <w:bottom w:val="single" w:sz="4" w:space="0" w:color="auto"/>
              <w:right w:val="single" w:sz="8" w:space="0" w:color="auto"/>
            </w:tcBorders>
            <w:noWrap/>
            <w:vAlign w:val="bottom"/>
            <w:hideMark/>
          </w:tcPr>
          <w:p w14:paraId="2B83F6A3" w14:textId="77777777" w:rsidR="00232EFA" w:rsidRPr="00666F4F" w:rsidRDefault="00232EFA" w:rsidP="00232EFA">
            <w:pPr>
              <w:spacing w:after="0" w:line="240" w:lineRule="auto"/>
              <w:jc w:val="both"/>
              <w:rPr>
                <w:rFonts w:ascii="Cambria" w:eastAsia="Times New Roman" w:hAnsi="Cambria" w:cstheme="majorHAnsi"/>
                <w:color w:val="222222"/>
                <w:sz w:val="16"/>
                <w:szCs w:val="16"/>
                <w:u w:val="single"/>
              </w:rPr>
            </w:pPr>
            <w:r w:rsidRPr="00666F4F">
              <w:rPr>
                <w:rFonts w:ascii="Cambria" w:eastAsia="Times New Roman" w:hAnsi="Cambria" w:cstheme="majorHAnsi"/>
                <w:color w:val="222222"/>
                <w:sz w:val="16"/>
                <w:szCs w:val="16"/>
                <w:u w:val="single"/>
              </w:rPr>
              <w:t> </w:t>
            </w:r>
          </w:p>
        </w:tc>
        <w:tc>
          <w:tcPr>
            <w:tcW w:w="535" w:type="pct"/>
            <w:tcBorders>
              <w:top w:val="nil"/>
              <w:left w:val="nil"/>
              <w:bottom w:val="single" w:sz="4" w:space="0" w:color="auto"/>
              <w:right w:val="nil"/>
            </w:tcBorders>
            <w:noWrap/>
            <w:vAlign w:val="bottom"/>
            <w:hideMark/>
          </w:tcPr>
          <w:p w14:paraId="00998776" w14:textId="77777777" w:rsidR="00232EFA" w:rsidRPr="00666F4F" w:rsidRDefault="00232EFA" w:rsidP="00232EFA">
            <w:pPr>
              <w:spacing w:after="0" w:line="240" w:lineRule="auto"/>
              <w:jc w:val="both"/>
              <w:rPr>
                <w:rFonts w:ascii="Cambria" w:eastAsia="Times New Roman" w:hAnsi="Cambria" w:cstheme="majorHAnsi"/>
                <w:color w:val="222222"/>
                <w:sz w:val="16"/>
                <w:szCs w:val="16"/>
                <w:u w:val="single"/>
              </w:rPr>
            </w:pPr>
            <w:r w:rsidRPr="00666F4F">
              <w:rPr>
                <w:rFonts w:ascii="Cambria" w:eastAsia="Times New Roman" w:hAnsi="Cambria" w:cstheme="majorHAnsi"/>
                <w:color w:val="222222"/>
                <w:sz w:val="16"/>
                <w:szCs w:val="16"/>
                <w:u w:val="single"/>
              </w:rPr>
              <w:t>4,00</w:t>
            </w:r>
          </w:p>
        </w:tc>
        <w:tc>
          <w:tcPr>
            <w:tcW w:w="535" w:type="pct"/>
            <w:tcBorders>
              <w:top w:val="nil"/>
              <w:left w:val="single" w:sz="4" w:space="0" w:color="auto"/>
              <w:bottom w:val="single" w:sz="4" w:space="0" w:color="auto"/>
              <w:right w:val="single" w:sz="8" w:space="0" w:color="auto"/>
            </w:tcBorders>
            <w:noWrap/>
            <w:vAlign w:val="bottom"/>
            <w:hideMark/>
          </w:tcPr>
          <w:p w14:paraId="1CEE6ED8" w14:textId="77777777" w:rsidR="00232EFA" w:rsidRPr="00666F4F" w:rsidRDefault="00232EFA" w:rsidP="00232EFA">
            <w:pPr>
              <w:spacing w:after="0" w:line="240" w:lineRule="auto"/>
              <w:jc w:val="both"/>
              <w:rPr>
                <w:rFonts w:ascii="Cambria" w:eastAsia="Times New Roman" w:hAnsi="Cambria" w:cstheme="majorHAnsi"/>
                <w:color w:val="222222"/>
                <w:sz w:val="16"/>
                <w:szCs w:val="16"/>
                <w:u w:val="single"/>
              </w:rPr>
            </w:pPr>
            <w:r w:rsidRPr="00666F4F">
              <w:rPr>
                <w:rFonts w:ascii="Cambria" w:eastAsia="Times New Roman" w:hAnsi="Cambria" w:cstheme="majorHAnsi"/>
                <w:color w:val="222222"/>
                <w:sz w:val="16"/>
                <w:szCs w:val="16"/>
                <w:u w:val="single"/>
              </w:rPr>
              <w:t> </w:t>
            </w:r>
          </w:p>
        </w:tc>
      </w:tr>
      <w:tr w:rsidR="00232EFA" w:rsidRPr="00666F4F" w14:paraId="5EB0F9AB" w14:textId="77777777">
        <w:trPr>
          <w:trHeight w:val="113"/>
        </w:trPr>
        <w:tc>
          <w:tcPr>
            <w:tcW w:w="1420" w:type="pct"/>
            <w:tcBorders>
              <w:top w:val="nil"/>
              <w:left w:val="single" w:sz="8" w:space="0" w:color="auto"/>
              <w:bottom w:val="single" w:sz="4" w:space="0" w:color="auto"/>
              <w:right w:val="single" w:sz="8" w:space="0" w:color="auto"/>
            </w:tcBorders>
            <w:noWrap/>
            <w:vAlign w:val="bottom"/>
            <w:hideMark/>
          </w:tcPr>
          <w:p w14:paraId="7DEAB047" w14:textId="77777777" w:rsidR="00232EFA" w:rsidRPr="00666F4F" w:rsidRDefault="00232EFA" w:rsidP="00232EFA">
            <w:pPr>
              <w:spacing w:after="0" w:line="240" w:lineRule="auto"/>
              <w:jc w:val="both"/>
              <w:rPr>
                <w:rFonts w:ascii="Cambria" w:eastAsia="Times New Roman" w:hAnsi="Cambria" w:cstheme="majorHAnsi"/>
                <w:b/>
                <w:bCs/>
                <w:color w:val="222222"/>
                <w:sz w:val="16"/>
                <w:szCs w:val="16"/>
                <w:u w:val="single"/>
              </w:rPr>
            </w:pPr>
            <w:r w:rsidRPr="00666F4F">
              <w:rPr>
                <w:rFonts w:ascii="Cambria" w:eastAsia="Times New Roman" w:hAnsi="Cambria" w:cstheme="majorHAnsi"/>
                <w:b/>
                <w:color w:val="222222"/>
                <w:sz w:val="16"/>
                <w:szCs w:val="16"/>
                <w:u w:val="single"/>
              </w:rPr>
              <w:t>NAMIBIE</w:t>
            </w:r>
          </w:p>
        </w:tc>
        <w:tc>
          <w:tcPr>
            <w:tcW w:w="497" w:type="pct"/>
            <w:tcBorders>
              <w:top w:val="nil"/>
              <w:left w:val="nil"/>
              <w:bottom w:val="single" w:sz="4" w:space="0" w:color="auto"/>
              <w:right w:val="single" w:sz="4" w:space="0" w:color="auto"/>
            </w:tcBorders>
            <w:noWrap/>
            <w:vAlign w:val="bottom"/>
            <w:hideMark/>
          </w:tcPr>
          <w:p w14:paraId="2F799E87" w14:textId="77777777" w:rsidR="00232EFA" w:rsidRPr="00666F4F" w:rsidRDefault="00232EFA" w:rsidP="00232EFA">
            <w:pPr>
              <w:spacing w:after="0" w:line="240" w:lineRule="auto"/>
              <w:jc w:val="both"/>
              <w:rPr>
                <w:rFonts w:ascii="Cambria" w:eastAsia="Times New Roman" w:hAnsi="Cambria" w:cstheme="majorHAnsi"/>
                <w:color w:val="222222"/>
                <w:sz w:val="16"/>
                <w:szCs w:val="16"/>
                <w:u w:val="single"/>
              </w:rPr>
            </w:pPr>
            <w:r w:rsidRPr="00666F4F">
              <w:rPr>
                <w:rFonts w:ascii="Cambria" w:eastAsia="Times New Roman" w:hAnsi="Cambria" w:cstheme="majorHAnsi"/>
                <w:color w:val="222222"/>
                <w:sz w:val="16"/>
                <w:szCs w:val="16"/>
                <w:u w:val="single"/>
              </w:rPr>
              <w:t>256,00</w:t>
            </w:r>
          </w:p>
        </w:tc>
        <w:tc>
          <w:tcPr>
            <w:tcW w:w="497" w:type="pct"/>
            <w:tcBorders>
              <w:top w:val="nil"/>
              <w:left w:val="nil"/>
              <w:bottom w:val="single" w:sz="4" w:space="0" w:color="auto"/>
              <w:right w:val="nil"/>
            </w:tcBorders>
            <w:noWrap/>
            <w:vAlign w:val="bottom"/>
            <w:hideMark/>
          </w:tcPr>
          <w:p w14:paraId="67C36440" w14:textId="77777777" w:rsidR="00232EFA" w:rsidRPr="00666F4F" w:rsidRDefault="00232EFA" w:rsidP="00232EFA">
            <w:pPr>
              <w:spacing w:after="0" w:line="240" w:lineRule="auto"/>
              <w:jc w:val="both"/>
              <w:rPr>
                <w:rFonts w:ascii="Cambria" w:eastAsia="Times New Roman" w:hAnsi="Cambria" w:cstheme="majorHAnsi"/>
                <w:color w:val="222222"/>
                <w:sz w:val="16"/>
                <w:szCs w:val="16"/>
                <w:u w:val="single"/>
              </w:rPr>
            </w:pPr>
            <w:r w:rsidRPr="00666F4F">
              <w:rPr>
                <w:rFonts w:ascii="Cambria" w:eastAsia="Times New Roman" w:hAnsi="Cambria" w:cstheme="majorHAnsi"/>
                <w:color w:val="222222"/>
                <w:sz w:val="16"/>
                <w:szCs w:val="16"/>
                <w:u w:val="single"/>
              </w:rPr>
              <w:t>256,00</w:t>
            </w:r>
          </w:p>
        </w:tc>
        <w:tc>
          <w:tcPr>
            <w:tcW w:w="497" w:type="pct"/>
            <w:tcBorders>
              <w:top w:val="nil"/>
              <w:left w:val="single" w:sz="4" w:space="0" w:color="auto"/>
              <w:bottom w:val="single" w:sz="4" w:space="0" w:color="auto"/>
              <w:right w:val="single" w:sz="8" w:space="0" w:color="auto"/>
            </w:tcBorders>
            <w:noWrap/>
            <w:vAlign w:val="bottom"/>
            <w:hideMark/>
          </w:tcPr>
          <w:p w14:paraId="4DE9E8D4" w14:textId="77777777" w:rsidR="00232EFA" w:rsidRPr="00666F4F" w:rsidRDefault="00232EFA" w:rsidP="00232EFA">
            <w:pPr>
              <w:spacing w:after="0" w:line="240" w:lineRule="auto"/>
              <w:jc w:val="both"/>
              <w:rPr>
                <w:rFonts w:ascii="Cambria" w:eastAsia="Times New Roman" w:hAnsi="Cambria" w:cstheme="majorHAnsi"/>
                <w:color w:val="222222"/>
                <w:sz w:val="16"/>
                <w:szCs w:val="16"/>
                <w:u w:val="single"/>
              </w:rPr>
            </w:pPr>
            <w:r w:rsidRPr="00666F4F">
              <w:rPr>
                <w:rFonts w:ascii="Cambria" w:eastAsia="Times New Roman" w:hAnsi="Cambria" w:cstheme="majorHAnsi"/>
                <w:color w:val="222222"/>
                <w:sz w:val="16"/>
                <w:szCs w:val="16"/>
                <w:u w:val="single"/>
              </w:rPr>
              <w:t>256,00</w:t>
            </w:r>
          </w:p>
        </w:tc>
        <w:tc>
          <w:tcPr>
            <w:tcW w:w="522" w:type="pct"/>
            <w:tcBorders>
              <w:top w:val="nil"/>
              <w:left w:val="nil"/>
              <w:bottom w:val="single" w:sz="4" w:space="0" w:color="auto"/>
              <w:right w:val="single" w:sz="4" w:space="0" w:color="auto"/>
            </w:tcBorders>
            <w:noWrap/>
            <w:vAlign w:val="bottom"/>
            <w:hideMark/>
          </w:tcPr>
          <w:p w14:paraId="2195F757" w14:textId="77777777" w:rsidR="00232EFA" w:rsidRPr="00666F4F" w:rsidRDefault="00232EFA" w:rsidP="00232EFA">
            <w:pPr>
              <w:spacing w:after="0" w:line="240" w:lineRule="auto"/>
              <w:jc w:val="both"/>
              <w:rPr>
                <w:rFonts w:ascii="Cambria" w:eastAsia="Times New Roman" w:hAnsi="Cambria" w:cstheme="majorHAnsi"/>
                <w:color w:val="222222"/>
                <w:sz w:val="16"/>
                <w:szCs w:val="16"/>
                <w:u w:val="single"/>
              </w:rPr>
            </w:pPr>
            <w:r w:rsidRPr="00666F4F">
              <w:rPr>
                <w:rFonts w:ascii="Cambria" w:eastAsia="Times New Roman" w:hAnsi="Cambria" w:cstheme="majorHAnsi"/>
                <w:color w:val="222222"/>
                <w:sz w:val="16"/>
                <w:szCs w:val="16"/>
                <w:u w:val="single"/>
              </w:rPr>
              <w:t>522,00</w:t>
            </w:r>
          </w:p>
        </w:tc>
        <w:tc>
          <w:tcPr>
            <w:tcW w:w="497" w:type="pct"/>
            <w:tcBorders>
              <w:top w:val="nil"/>
              <w:left w:val="single" w:sz="4" w:space="0" w:color="auto"/>
              <w:bottom w:val="single" w:sz="4" w:space="0" w:color="auto"/>
              <w:right w:val="single" w:sz="8" w:space="0" w:color="auto"/>
            </w:tcBorders>
            <w:noWrap/>
            <w:vAlign w:val="bottom"/>
            <w:hideMark/>
          </w:tcPr>
          <w:p w14:paraId="113E94C8" w14:textId="77777777" w:rsidR="00232EFA" w:rsidRPr="00666F4F" w:rsidRDefault="00232EFA" w:rsidP="00232EFA">
            <w:pPr>
              <w:spacing w:after="0" w:line="240" w:lineRule="auto"/>
              <w:jc w:val="both"/>
              <w:rPr>
                <w:rFonts w:ascii="Cambria" w:eastAsia="Times New Roman" w:hAnsi="Cambria" w:cstheme="majorHAnsi"/>
                <w:color w:val="222222"/>
                <w:sz w:val="16"/>
                <w:szCs w:val="16"/>
                <w:u w:val="single"/>
              </w:rPr>
            </w:pPr>
            <w:r w:rsidRPr="00666F4F">
              <w:rPr>
                <w:rFonts w:ascii="Cambria" w:eastAsia="Times New Roman" w:hAnsi="Cambria" w:cstheme="majorHAnsi"/>
                <w:color w:val="222222"/>
                <w:sz w:val="16"/>
                <w:szCs w:val="16"/>
                <w:u w:val="single"/>
              </w:rPr>
              <w:t>250,88</w:t>
            </w:r>
          </w:p>
        </w:tc>
        <w:tc>
          <w:tcPr>
            <w:tcW w:w="535" w:type="pct"/>
            <w:tcBorders>
              <w:top w:val="nil"/>
              <w:left w:val="nil"/>
              <w:bottom w:val="single" w:sz="4" w:space="0" w:color="auto"/>
              <w:right w:val="nil"/>
            </w:tcBorders>
            <w:noWrap/>
            <w:vAlign w:val="bottom"/>
            <w:hideMark/>
          </w:tcPr>
          <w:p w14:paraId="28DE7DC5" w14:textId="77777777" w:rsidR="00232EFA" w:rsidRPr="00666F4F" w:rsidRDefault="00232EFA" w:rsidP="00232EFA">
            <w:pPr>
              <w:spacing w:after="0" w:line="240" w:lineRule="auto"/>
              <w:jc w:val="both"/>
              <w:rPr>
                <w:rFonts w:ascii="Cambria" w:eastAsia="Times New Roman" w:hAnsi="Cambria" w:cstheme="majorHAnsi"/>
                <w:color w:val="222222"/>
                <w:sz w:val="16"/>
                <w:szCs w:val="16"/>
                <w:u w:val="single"/>
              </w:rPr>
            </w:pPr>
            <w:r w:rsidRPr="00666F4F">
              <w:rPr>
                <w:rFonts w:ascii="Cambria" w:eastAsia="Times New Roman" w:hAnsi="Cambria" w:cstheme="majorHAnsi"/>
                <w:color w:val="222222"/>
                <w:sz w:val="16"/>
                <w:szCs w:val="16"/>
                <w:u w:val="single"/>
              </w:rPr>
              <w:t>-266,00</w:t>
            </w:r>
          </w:p>
        </w:tc>
        <w:tc>
          <w:tcPr>
            <w:tcW w:w="535" w:type="pct"/>
            <w:tcBorders>
              <w:top w:val="nil"/>
              <w:left w:val="single" w:sz="4" w:space="0" w:color="auto"/>
              <w:bottom w:val="single" w:sz="4" w:space="0" w:color="auto"/>
              <w:right w:val="single" w:sz="8" w:space="0" w:color="auto"/>
            </w:tcBorders>
            <w:noWrap/>
            <w:vAlign w:val="bottom"/>
            <w:hideMark/>
          </w:tcPr>
          <w:p w14:paraId="7A8BC27C" w14:textId="77777777" w:rsidR="00232EFA" w:rsidRPr="00666F4F" w:rsidRDefault="00232EFA" w:rsidP="00232EFA">
            <w:pPr>
              <w:spacing w:after="0" w:line="240" w:lineRule="auto"/>
              <w:jc w:val="both"/>
              <w:rPr>
                <w:rFonts w:ascii="Cambria" w:eastAsia="Times New Roman" w:hAnsi="Cambria" w:cstheme="majorHAnsi"/>
                <w:color w:val="222222"/>
                <w:sz w:val="16"/>
                <w:szCs w:val="16"/>
                <w:u w:val="single"/>
              </w:rPr>
            </w:pPr>
            <w:r w:rsidRPr="00666F4F">
              <w:rPr>
                <w:rFonts w:ascii="Cambria" w:eastAsia="Times New Roman" w:hAnsi="Cambria" w:cstheme="majorHAnsi"/>
                <w:color w:val="222222"/>
                <w:sz w:val="16"/>
                <w:szCs w:val="16"/>
                <w:u w:val="single"/>
              </w:rPr>
              <w:t>-260,88</w:t>
            </w:r>
          </w:p>
        </w:tc>
      </w:tr>
      <w:tr w:rsidR="00232EFA" w:rsidRPr="00666F4F" w14:paraId="6CE3A673" w14:textId="77777777">
        <w:trPr>
          <w:trHeight w:val="113"/>
        </w:trPr>
        <w:tc>
          <w:tcPr>
            <w:tcW w:w="1420" w:type="pct"/>
            <w:tcBorders>
              <w:top w:val="nil"/>
              <w:left w:val="single" w:sz="8" w:space="0" w:color="auto"/>
              <w:bottom w:val="single" w:sz="4" w:space="0" w:color="auto"/>
              <w:right w:val="single" w:sz="8" w:space="0" w:color="auto"/>
            </w:tcBorders>
            <w:noWrap/>
            <w:vAlign w:val="bottom"/>
            <w:hideMark/>
          </w:tcPr>
          <w:p w14:paraId="4667013E" w14:textId="77777777" w:rsidR="00232EFA" w:rsidRPr="00666F4F" w:rsidRDefault="00232EFA" w:rsidP="00232EFA">
            <w:pPr>
              <w:spacing w:after="0" w:line="240" w:lineRule="auto"/>
              <w:jc w:val="both"/>
              <w:rPr>
                <w:rFonts w:ascii="Cambria" w:eastAsia="Times New Roman" w:hAnsi="Cambria" w:cstheme="majorHAnsi"/>
                <w:b/>
                <w:bCs/>
                <w:color w:val="222222"/>
                <w:sz w:val="16"/>
                <w:szCs w:val="16"/>
                <w:u w:val="single"/>
              </w:rPr>
            </w:pPr>
            <w:r w:rsidRPr="00666F4F">
              <w:rPr>
                <w:rFonts w:ascii="Cambria" w:eastAsia="Times New Roman" w:hAnsi="Cambria" w:cstheme="majorHAnsi"/>
                <w:b/>
                <w:color w:val="222222"/>
                <w:sz w:val="16"/>
                <w:szCs w:val="16"/>
                <w:u w:val="single"/>
              </w:rPr>
              <w:t>PANAMA</w:t>
            </w:r>
          </w:p>
        </w:tc>
        <w:tc>
          <w:tcPr>
            <w:tcW w:w="497" w:type="pct"/>
            <w:tcBorders>
              <w:top w:val="single" w:sz="4" w:space="0" w:color="auto"/>
              <w:left w:val="nil"/>
              <w:bottom w:val="single" w:sz="4" w:space="0" w:color="auto"/>
              <w:right w:val="single" w:sz="4" w:space="0" w:color="auto"/>
            </w:tcBorders>
            <w:noWrap/>
            <w:vAlign w:val="bottom"/>
            <w:hideMark/>
          </w:tcPr>
          <w:p w14:paraId="78A7857B" w14:textId="77777777" w:rsidR="00232EFA" w:rsidRPr="00666F4F" w:rsidRDefault="00232EFA" w:rsidP="00232EFA">
            <w:pPr>
              <w:spacing w:after="0" w:line="240" w:lineRule="auto"/>
              <w:jc w:val="both"/>
              <w:rPr>
                <w:rFonts w:ascii="Cambria" w:eastAsia="Times New Roman" w:hAnsi="Cambria" w:cstheme="majorHAnsi"/>
                <w:color w:val="222222"/>
                <w:sz w:val="16"/>
                <w:szCs w:val="16"/>
                <w:u w:val="single"/>
              </w:rPr>
            </w:pPr>
            <w:r w:rsidRPr="00666F4F">
              <w:rPr>
                <w:rFonts w:ascii="Cambria" w:eastAsia="Times New Roman" w:hAnsi="Cambria" w:cstheme="majorHAnsi"/>
                <w:color w:val="222222"/>
                <w:sz w:val="16"/>
                <w:szCs w:val="16"/>
                <w:u w:val="single"/>
              </w:rPr>
              <w:t>0,00</w:t>
            </w:r>
          </w:p>
        </w:tc>
        <w:tc>
          <w:tcPr>
            <w:tcW w:w="497" w:type="pct"/>
            <w:tcBorders>
              <w:top w:val="single" w:sz="4" w:space="0" w:color="auto"/>
              <w:left w:val="nil"/>
              <w:bottom w:val="single" w:sz="4" w:space="0" w:color="auto"/>
              <w:right w:val="nil"/>
            </w:tcBorders>
            <w:noWrap/>
            <w:vAlign w:val="bottom"/>
            <w:hideMark/>
          </w:tcPr>
          <w:p w14:paraId="4DB8B758" w14:textId="77777777" w:rsidR="00232EFA" w:rsidRPr="00666F4F" w:rsidRDefault="00232EFA" w:rsidP="00232EFA">
            <w:pPr>
              <w:spacing w:after="0" w:line="240" w:lineRule="auto"/>
              <w:jc w:val="both"/>
              <w:rPr>
                <w:rFonts w:ascii="Cambria" w:eastAsia="Times New Roman" w:hAnsi="Cambria" w:cstheme="majorHAnsi"/>
                <w:color w:val="222222"/>
                <w:sz w:val="16"/>
                <w:szCs w:val="16"/>
                <w:u w:val="single"/>
              </w:rPr>
            </w:pPr>
            <w:r w:rsidRPr="00666F4F">
              <w:rPr>
                <w:rFonts w:ascii="Cambria" w:eastAsia="Times New Roman" w:hAnsi="Cambria" w:cstheme="majorHAnsi"/>
                <w:color w:val="222222"/>
                <w:sz w:val="16"/>
                <w:szCs w:val="16"/>
                <w:u w:val="single"/>
              </w:rPr>
              <w:t>0,00</w:t>
            </w:r>
          </w:p>
        </w:tc>
        <w:tc>
          <w:tcPr>
            <w:tcW w:w="497" w:type="pct"/>
            <w:tcBorders>
              <w:top w:val="nil"/>
              <w:left w:val="single" w:sz="4" w:space="0" w:color="auto"/>
              <w:bottom w:val="single" w:sz="4" w:space="0" w:color="auto"/>
              <w:right w:val="single" w:sz="8" w:space="0" w:color="auto"/>
            </w:tcBorders>
            <w:noWrap/>
            <w:vAlign w:val="bottom"/>
            <w:hideMark/>
          </w:tcPr>
          <w:p w14:paraId="425E87F4" w14:textId="77777777" w:rsidR="00232EFA" w:rsidRPr="00666F4F" w:rsidRDefault="00232EFA" w:rsidP="00232EFA">
            <w:pPr>
              <w:spacing w:after="0" w:line="240" w:lineRule="auto"/>
              <w:jc w:val="both"/>
              <w:rPr>
                <w:rFonts w:ascii="Cambria" w:eastAsia="Times New Roman" w:hAnsi="Cambria" w:cstheme="majorHAnsi"/>
                <w:color w:val="222222"/>
                <w:sz w:val="16"/>
                <w:szCs w:val="16"/>
                <w:u w:val="single"/>
              </w:rPr>
            </w:pPr>
            <w:r w:rsidRPr="00666F4F">
              <w:rPr>
                <w:rFonts w:ascii="Cambria" w:eastAsia="Times New Roman" w:hAnsi="Cambria" w:cstheme="majorHAnsi"/>
                <w:color w:val="222222"/>
                <w:sz w:val="16"/>
                <w:szCs w:val="16"/>
                <w:u w:val="single"/>
              </w:rPr>
              <w:t>0,00</w:t>
            </w:r>
          </w:p>
        </w:tc>
        <w:tc>
          <w:tcPr>
            <w:tcW w:w="522" w:type="pct"/>
            <w:tcBorders>
              <w:top w:val="single" w:sz="4" w:space="0" w:color="auto"/>
              <w:left w:val="nil"/>
              <w:bottom w:val="single" w:sz="4" w:space="0" w:color="auto"/>
              <w:right w:val="single" w:sz="4" w:space="0" w:color="auto"/>
            </w:tcBorders>
            <w:noWrap/>
            <w:vAlign w:val="bottom"/>
            <w:hideMark/>
          </w:tcPr>
          <w:p w14:paraId="3F928571" w14:textId="77777777" w:rsidR="00232EFA" w:rsidRPr="00666F4F" w:rsidRDefault="00232EFA" w:rsidP="00232EFA">
            <w:pPr>
              <w:spacing w:after="0" w:line="240" w:lineRule="auto"/>
              <w:jc w:val="both"/>
              <w:rPr>
                <w:rFonts w:ascii="Cambria" w:eastAsia="Times New Roman" w:hAnsi="Cambria" w:cstheme="majorHAnsi"/>
                <w:color w:val="222222"/>
                <w:sz w:val="16"/>
                <w:szCs w:val="16"/>
                <w:u w:val="single"/>
              </w:rPr>
            </w:pPr>
            <w:r w:rsidRPr="00666F4F">
              <w:rPr>
                <w:rFonts w:ascii="Cambria" w:eastAsia="Times New Roman" w:hAnsi="Cambria" w:cstheme="majorHAnsi"/>
                <w:color w:val="222222"/>
                <w:sz w:val="16"/>
                <w:szCs w:val="16"/>
                <w:u w:val="single"/>
              </w:rPr>
              <w:t>0,00</w:t>
            </w:r>
          </w:p>
        </w:tc>
        <w:tc>
          <w:tcPr>
            <w:tcW w:w="497" w:type="pct"/>
            <w:tcBorders>
              <w:top w:val="nil"/>
              <w:left w:val="single" w:sz="4" w:space="0" w:color="auto"/>
              <w:bottom w:val="single" w:sz="4" w:space="0" w:color="auto"/>
              <w:right w:val="single" w:sz="8" w:space="0" w:color="auto"/>
            </w:tcBorders>
            <w:noWrap/>
            <w:vAlign w:val="bottom"/>
            <w:hideMark/>
          </w:tcPr>
          <w:p w14:paraId="731605CE" w14:textId="77777777" w:rsidR="00232EFA" w:rsidRPr="00666F4F" w:rsidRDefault="00232EFA" w:rsidP="00232EFA">
            <w:pPr>
              <w:spacing w:after="0" w:line="240" w:lineRule="auto"/>
              <w:jc w:val="both"/>
              <w:rPr>
                <w:rFonts w:ascii="Cambria" w:eastAsia="Times New Roman" w:hAnsi="Cambria" w:cstheme="majorHAnsi"/>
                <w:color w:val="222222"/>
                <w:sz w:val="16"/>
                <w:szCs w:val="16"/>
                <w:u w:val="single"/>
              </w:rPr>
            </w:pPr>
            <w:r w:rsidRPr="00666F4F">
              <w:rPr>
                <w:rFonts w:ascii="Cambria" w:eastAsia="Times New Roman" w:hAnsi="Cambria" w:cstheme="majorHAnsi"/>
                <w:color w:val="222222"/>
                <w:sz w:val="16"/>
                <w:szCs w:val="16"/>
                <w:u w:val="single"/>
              </w:rPr>
              <w:t>0,00</w:t>
            </w:r>
          </w:p>
        </w:tc>
        <w:tc>
          <w:tcPr>
            <w:tcW w:w="535" w:type="pct"/>
            <w:tcBorders>
              <w:top w:val="single" w:sz="4" w:space="0" w:color="auto"/>
              <w:left w:val="nil"/>
              <w:bottom w:val="single" w:sz="4" w:space="0" w:color="auto"/>
              <w:right w:val="nil"/>
            </w:tcBorders>
            <w:noWrap/>
            <w:vAlign w:val="bottom"/>
            <w:hideMark/>
          </w:tcPr>
          <w:p w14:paraId="2EE9B429" w14:textId="77777777" w:rsidR="00232EFA" w:rsidRPr="00666F4F" w:rsidRDefault="00232EFA" w:rsidP="00232EFA">
            <w:pPr>
              <w:spacing w:after="0" w:line="240" w:lineRule="auto"/>
              <w:jc w:val="both"/>
              <w:rPr>
                <w:rFonts w:ascii="Cambria" w:eastAsia="Times New Roman" w:hAnsi="Cambria" w:cstheme="majorHAnsi"/>
                <w:color w:val="222222"/>
                <w:sz w:val="16"/>
                <w:szCs w:val="16"/>
                <w:u w:val="single"/>
              </w:rPr>
            </w:pPr>
            <w:r w:rsidRPr="00666F4F">
              <w:rPr>
                <w:rFonts w:ascii="Cambria" w:eastAsia="Times New Roman" w:hAnsi="Cambria" w:cstheme="majorHAnsi"/>
                <w:color w:val="222222"/>
                <w:sz w:val="16"/>
                <w:szCs w:val="16"/>
                <w:u w:val="single"/>
              </w:rPr>
              <w:t>0,00</w:t>
            </w:r>
          </w:p>
        </w:tc>
        <w:tc>
          <w:tcPr>
            <w:tcW w:w="535" w:type="pct"/>
            <w:tcBorders>
              <w:top w:val="nil"/>
              <w:left w:val="single" w:sz="4" w:space="0" w:color="auto"/>
              <w:bottom w:val="single" w:sz="4" w:space="0" w:color="auto"/>
              <w:right w:val="single" w:sz="8" w:space="0" w:color="auto"/>
            </w:tcBorders>
            <w:noWrap/>
            <w:vAlign w:val="bottom"/>
            <w:hideMark/>
          </w:tcPr>
          <w:p w14:paraId="56B15A57" w14:textId="77777777" w:rsidR="00232EFA" w:rsidRPr="00666F4F" w:rsidRDefault="00232EFA" w:rsidP="00232EFA">
            <w:pPr>
              <w:spacing w:after="0" w:line="240" w:lineRule="auto"/>
              <w:jc w:val="both"/>
              <w:rPr>
                <w:rFonts w:ascii="Cambria" w:eastAsia="Times New Roman" w:hAnsi="Cambria" w:cstheme="majorHAnsi"/>
                <w:color w:val="222222"/>
                <w:sz w:val="16"/>
                <w:szCs w:val="16"/>
                <w:u w:val="single"/>
              </w:rPr>
            </w:pPr>
            <w:r w:rsidRPr="00666F4F">
              <w:rPr>
                <w:rFonts w:ascii="Cambria" w:eastAsia="Times New Roman" w:hAnsi="Cambria" w:cstheme="majorHAnsi"/>
                <w:color w:val="222222"/>
                <w:sz w:val="16"/>
                <w:szCs w:val="16"/>
                <w:u w:val="single"/>
              </w:rPr>
              <w:t>0,00</w:t>
            </w:r>
          </w:p>
        </w:tc>
      </w:tr>
      <w:tr w:rsidR="00232EFA" w:rsidRPr="00666F4F" w14:paraId="60FD746D" w14:textId="77777777">
        <w:trPr>
          <w:trHeight w:val="113"/>
        </w:trPr>
        <w:tc>
          <w:tcPr>
            <w:tcW w:w="1420" w:type="pct"/>
            <w:tcBorders>
              <w:top w:val="nil"/>
              <w:left w:val="single" w:sz="8" w:space="0" w:color="auto"/>
              <w:bottom w:val="single" w:sz="4" w:space="0" w:color="auto"/>
              <w:right w:val="single" w:sz="8" w:space="0" w:color="auto"/>
            </w:tcBorders>
            <w:noWrap/>
            <w:vAlign w:val="bottom"/>
            <w:hideMark/>
          </w:tcPr>
          <w:p w14:paraId="74758ABA" w14:textId="77777777" w:rsidR="00232EFA" w:rsidRPr="00666F4F" w:rsidRDefault="00232EFA" w:rsidP="00232EFA">
            <w:pPr>
              <w:spacing w:after="0" w:line="240" w:lineRule="auto"/>
              <w:jc w:val="both"/>
              <w:rPr>
                <w:rFonts w:ascii="Cambria" w:eastAsia="Times New Roman" w:hAnsi="Cambria" w:cstheme="majorHAnsi"/>
                <w:b/>
                <w:bCs/>
                <w:color w:val="222222"/>
                <w:sz w:val="16"/>
                <w:szCs w:val="16"/>
                <w:u w:val="single"/>
              </w:rPr>
            </w:pPr>
            <w:r w:rsidRPr="00666F4F">
              <w:rPr>
                <w:rFonts w:ascii="Cambria" w:eastAsia="Times New Roman" w:hAnsi="Cambria" w:cstheme="majorHAnsi"/>
                <w:b/>
                <w:color w:val="222222"/>
                <w:sz w:val="16"/>
                <w:szCs w:val="16"/>
                <w:u w:val="single"/>
              </w:rPr>
              <w:t>SÉNÉGAL</w:t>
            </w:r>
          </w:p>
        </w:tc>
        <w:tc>
          <w:tcPr>
            <w:tcW w:w="497" w:type="pct"/>
            <w:tcBorders>
              <w:top w:val="nil"/>
              <w:left w:val="nil"/>
              <w:bottom w:val="single" w:sz="4" w:space="0" w:color="auto"/>
              <w:right w:val="single" w:sz="4" w:space="0" w:color="auto"/>
            </w:tcBorders>
            <w:noWrap/>
            <w:vAlign w:val="bottom"/>
            <w:hideMark/>
          </w:tcPr>
          <w:p w14:paraId="5C57F2A3" w14:textId="77777777" w:rsidR="00232EFA" w:rsidRPr="00666F4F" w:rsidRDefault="00232EFA" w:rsidP="00232EFA">
            <w:pPr>
              <w:spacing w:after="0" w:line="240" w:lineRule="auto"/>
              <w:jc w:val="both"/>
              <w:rPr>
                <w:rFonts w:ascii="Cambria" w:eastAsia="Times New Roman" w:hAnsi="Cambria" w:cstheme="majorHAnsi"/>
                <w:color w:val="222222"/>
                <w:sz w:val="16"/>
                <w:szCs w:val="16"/>
                <w:u w:val="single"/>
              </w:rPr>
            </w:pPr>
            <w:r w:rsidRPr="00666F4F">
              <w:rPr>
                <w:rFonts w:ascii="Cambria" w:eastAsia="Times New Roman" w:hAnsi="Cambria" w:cstheme="majorHAnsi"/>
                <w:color w:val="222222"/>
                <w:sz w:val="16"/>
                <w:szCs w:val="16"/>
                <w:u w:val="single"/>
              </w:rPr>
              <w:t>8,00</w:t>
            </w:r>
          </w:p>
        </w:tc>
        <w:tc>
          <w:tcPr>
            <w:tcW w:w="497" w:type="pct"/>
            <w:tcBorders>
              <w:top w:val="nil"/>
              <w:left w:val="nil"/>
              <w:bottom w:val="single" w:sz="4" w:space="0" w:color="auto"/>
              <w:right w:val="nil"/>
            </w:tcBorders>
            <w:noWrap/>
            <w:vAlign w:val="bottom"/>
            <w:hideMark/>
          </w:tcPr>
          <w:p w14:paraId="350434CD" w14:textId="77777777" w:rsidR="00232EFA" w:rsidRPr="00666F4F" w:rsidRDefault="00232EFA" w:rsidP="00232EFA">
            <w:pPr>
              <w:spacing w:after="0" w:line="240" w:lineRule="auto"/>
              <w:jc w:val="both"/>
              <w:rPr>
                <w:rFonts w:ascii="Cambria" w:eastAsia="Times New Roman" w:hAnsi="Cambria" w:cstheme="majorHAnsi"/>
                <w:color w:val="222222"/>
                <w:sz w:val="16"/>
                <w:szCs w:val="16"/>
                <w:u w:val="single"/>
              </w:rPr>
            </w:pPr>
            <w:r w:rsidRPr="00666F4F">
              <w:rPr>
                <w:rFonts w:ascii="Cambria" w:eastAsia="Times New Roman" w:hAnsi="Cambria" w:cstheme="majorHAnsi"/>
                <w:color w:val="222222"/>
                <w:sz w:val="16"/>
                <w:szCs w:val="16"/>
                <w:u w:val="single"/>
              </w:rPr>
              <w:t>8,00</w:t>
            </w:r>
          </w:p>
        </w:tc>
        <w:tc>
          <w:tcPr>
            <w:tcW w:w="497" w:type="pct"/>
            <w:tcBorders>
              <w:top w:val="nil"/>
              <w:left w:val="single" w:sz="4" w:space="0" w:color="auto"/>
              <w:bottom w:val="single" w:sz="4" w:space="0" w:color="auto"/>
              <w:right w:val="single" w:sz="8" w:space="0" w:color="auto"/>
            </w:tcBorders>
            <w:noWrap/>
            <w:vAlign w:val="bottom"/>
            <w:hideMark/>
          </w:tcPr>
          <w:p w14:paraId="7D6A714A" w14:textId="77777777" w:rsidR="00232EFA" w:rsidRPr="00666F4F" w:rsidRDefault="00232EFA" w:rsidP="00232EFA">
            <w:pPr>
              <w:spacing w:after="0" w:line="240" w:lineRule="auto"/>
              <w:jc w:val="both"/>
              <w:rPr>
                <w:rFonts w:ascii="Cambria" w:eastAsia="Times New Roman" w:hAnsi="Cambria" w:cstheme="majorHAnsi"/>
                <w:color w:val="222222"/>
                <w:sz w:val="16"/>
                <w:szCs w:val="16"/>
                <w:u w:val="single"/>
              </w:rPr>
            </w:pPr>
            <w:r w:rsidRPr="00666F4F">
              <w:rPr>
                <w:rFonts w:ascii="Cambria" w:eastAsia="Times New Roman" w:hAnsi="Cambria" w:cstheme="majorHAnsi"/>
                <w:color w:val="222222"/>
                <w:sz w:val="16"/>
                <w:szCs w:val="16"/>
                <w:u w:val="single"/>
              </w:rPr>
              <w:t>8,00</w:t>
            </w:r>
          </w:p>
        </w:tc>
        <w:tc>
          <w:tcPr>
            <w:tcW w:w="522" w:type="pct"/>
            <w:tcBorders>
              <w:top w:val="nil"/>
              <w:left w:val="nil"/>
              <w:bottom w:val="single" w:sz="4" w:space="0" w:color="auto"/>
              <w:right w:val="single" w:sz="4" w:space="0" w:color="auto"/>
            </w:tcBorders>
            <w:noWrap/>
            <w:vAlign w:val="bottom"/>
            <w:hideMark/>
          </w:tcPr>
          <w:p w14:paraId="77891565" w14:textId="77777777" w:rsidR="00232EFA" w:rsidRPr="00666F4F" w:rsidRDefault="00232EFA" w:rsidP="00232EFA">
            <w:pPr>
              <w:spacing w:after="0" w:line="240" w:lineRule="auto"/>
              <w:jc w:val="both"/>
              <w:rPr>
                <w:rFonts w:ascii="Cambria" w:eastAsia="Times New Roman" w:hAnsi="Cambria" w:cstheme="majorHAnsi"/>
                <w:color w:val="222222"/>
                <w:sz w:val="16"/>
                <w:szCs w:val="16"/>
                <w:u w:val="single"/>
              </w:rPr>
            </w:pPr>
            <w:r w:rsidRPr="00666F4F">
              <w:rPr>
                <w:rFonts w:ascii="Cambria" w:eastAsia="Times New Roman" w:hAnsi="Cambria" w:cstheme="majorHAnsi"/>
                <w:color w:val="222222"/>
                <w:sz w:val="16"/>
                <w:szCs w:val="16"/>
                <w:u w:val="single"/>
              </w:rPr>
              <w:t>0,00</w:t>
            </w:r>
          </w:p>
        </w:tc>
        <w:tc>
          <w:tcPr>
            <w:tcW w:w="497" w:type="pct"/>
            <w:tcBorders>
              <w:top w:val="nil"/>
              <w:left w:val="single" w:sz="4" w:space="0" w:color="auto"/>
              <w:bottom w:val="single" w:sz="4" w:space="0" w:color="auto"/>
              <w:right w:val="single" w:sz="8" w:space="0" w:color="auto"/>
            </w:tcBorders>
            <w:noWrap/>
            <w:vAlign w:val="bottom"/>
            <w:hideMark/>
          </w:tcPr>
          <w:p w14:paraId="6106CB16" w14:textId="77777777" w:rsidR="00232EFA" w:rsidRPr="00666F4F" w:rsidRDefault="00232EFA" w:rsidP="00232EFA">
            <w:pPr>
              <w:spacing w:after="0" w:line="240" w:lineRule="auto"/>
              <w:jc w:val="both"/>
              <w:rPr>
                <w:rFonts w:ascii="Cambria" w:eastAsia="Times New Roman" w:hAnsi="Cambria" w:cstheme="majorHAnsi"/>
                <w:color w:val="222222"/>
                <w:sz w:val="16"/>
                <w:szCs w:val="16"/>
                <w:u w:val="single"/>
              </w:rPr>
            </w:pPr>
            <w:r w:rsidRPr="00666F4F">
              <w:rPr>
                <w:rFonts w:ascii="Cambria" w:eastAsia="Times New Roman" w:hAnsi="Cambria" w:cstheme="majorHAnsi"/>
                <w:color w:val="222222"/>
                <w:sz w:val="16"/>
                <w:szCs w:val="16"/>
                <w:u w:val="single"/>
              </w:rPr>
              <w:t>0,00</w:t>
            </w:r>
          </w:p>
        </w:tc>
        <w:tc>
          <w:tcPr>
            <w:tcW w:w="535" w:type="pct"/>
            <w:tcBorders>
              <w:top w:val="nil"/>
              <w:left w:val="nil"/>
              <w:bottom w:val="single" w:sz="4" w:space="0" w:color="auto"/>
              <w:right w:val="nil"/>
            </w:tcBorders>
            <w:noWrap/>
            <w:vAlign w:val="bottom"/>
            <w:hideMark/>
          </w:tcPr>
          <w:p w14:paraId="5CA9ED85" w14:textId="77777777" w:rsidR="00232EFA" w:rsidRPr="00666F4F" w:rsidRDefault="00232EFA" w:rsidP="00232EFA">
            <w:pPr>
              <w:spacing w:after="0" w:line="240" w:lineRule="auto"/>
              <w:jc w:val="both"/>
              <w:rPr>
                <w:rFonts w:ascii="Cambria" w:eastAsia="Times New Roman" w:hAnsi="Cambria" w:cstheme="majorHAnsi"/>
                <w:color w:val="222222"/>
                <w:sz w:val="16"/>
                <w:szCs w:val="16"/>
                <w:u w:val="single"/>
              </w:rPr>
            </w:pPr>
            <w:r w:rsidRPr="00666F4F">
              <w:rPr>
                <w:rFonts w:ascii="Cambria" w:eastAsia="Times New Roman" w:hAnsi="Cambria" w:cstheme="majorHAnsi"/>
                <w:color w:val="222222"/>
                <w:sz w:val="16"/>
                <w:szCs w:val="16"/>
                <w:u w:val="single"/>
              </w:rPr>
              <w:t>8,00</w:t>
            </w:r>
          </w:p>
        </w:tc>
        <w:tc>
          <w:tcPr>
            <w:tcW w:w="535" w:type="pct"/>
            <w:tcBorders>
              <w:top w:val="nil"/>
              <w:left w:val="single" w:sz="4" w:space="0" w:color="auto"/>
              <w:bottom w:val="single" w:sz="4" w:space="0" w:color="auto"/>
              <w:right w:val="single" w:sz="8" w:space="0" w:color="auto"/>
            </w:tcBorders>
            <w:noWrap/>
            <w:vAlign w:val="bottom"/>
            <w:hideMark/>
          </w:tcPr>
          <w:p w14:paraId="7E0A020C" w14:textId="77777777" w:rsidR="00232EFA" w:rsidRPr="00666F4F" w:rsidRDefault="00232EFA" w:rsidP="00232EFA">
            <w:pPr>
              <w:spacing w:after="0" w:line="240" w:lineRule="auto"/>
              <w:jc w:val="both"/>
              <w:rPr>
                <w:rFonts w:ascii="Cambria" w:eastAsia="Times New Roman" w:hAnsi="Cambria" w:cstheme="majorHAnsi"/>
                <w:color w:val="222222"/>
                <w:sz w:val="16"/>
                <w:szCs w:val="16"/>
                <w:u w:val="single"/>
              </w:rPr>
            </w:pPr>
            <w:r w:rsidRPr="00966079">
              <w:rPr>
                <w:rFonts w:ascii="Cambria" w:eastAsia="Times New Roman" w:hAnsi="Cambria" w:cstheme="majorHAnsi"/>
                <w:color w:val="005E00"/>
                <w:sz w:val="16"/>
                <w:szCs w:val="16"/>
                <w:u w:val="single"/>
              </w:rPr>
              <w:t>8,00</w:t>
            </w:r>
          </w:p>
        </w:tc>
      </w:tr>
      <w:tr w:rsidR="00232EFA" w:rsidRPr="00666F4F" w14:paraId="089423BE" w14:textId="77777777">
        <w:trPr>
          <w:trHeight w:val="113"/>
        </w:trPr>
        <w:tc>
          <w:tcPr>
            <w:tcW w:w="1420" w:type="pct"/>
            <w:tcBorders>
              <w:top w:val="nil"/>
              <w:left w:val="single" w:sz="8" w:space="0" w:color="auto"/>
              <w:bottom w:val="single" w:sz="4" w:space="0" w:color="auto"/>
              <w:right w:val="single" w:sz="8" w:space="0" w:color="auto"/>
            </w:tcBorders>
            <w:noWrap/>
            <w:vAlign w:val="bottom"/>
            <w:hideMark/>
          </w:tcPr>
          <w:p w14:paraId="7668735A" w14:textId="77777777" w:rsidR="00232EFA" w:rsidRPr="00666F4F" w:rsidRDefault="00232EFA" w:rsidP="00232EFA">
            <w:pPr>
              <w:spacing w:after="0" w:line="240" w:lineRule="auto"/>
              <w:jc w:val="both"/>
              <w:rPr>
                <w:rFonts w:ascii="Cambria" w:eastAsia="Times New Roman" w:hAnsi="Cambria" w:cstheme="majorHAnsi"/>
                <w:b/>
                <w:bCs/>
                <w:color w:val="222222"/>
                <w:sz w:val="16"/>
                <w:szCs w:val="16"/>
                <w:u w:val="single"/>
              </w:rPr>
            </w:pPr>
            <w:r w:rsidRPr="00666F4F">
              <w:rPr>
                <w:rFonts w:ascii="Cambria" w:eastAsia="Times New Roman" w:hAnsi="Cambria" w:cstheme="majorHAnsi"/>
                <w:b/>
                <w:color w:val="222222"/>
                <w:sz w:val="16"/>
                <w:szCs w:val="16"/>
                <w:u w:val="single"/>
              </w:rPr>
              <w:t>AFRIQUE DU SUD</w:t>
            </w:r>
          </w:p>
        </w:tc>
        <w:tc>
          <w:tcPr>
            <w:tcW w:w="497" w:type="pct"/>
            <w:tcBorders>
              <w:top w:val="nil"/>
              <w:left w:val="nil"/>
              <w:bottom w:val="single" w:sz="4" w:space="0" w:color="auto"/>
              <w:right w:val="single" w:sz="4" w:space="0" w:color="auto"/>
            </w:tcBorders>
            <w:noWrap/>
            <w:vAlign w:val="bottom"/>
            <w:hideMark/>
          </w:tcPr>
          <w:p w14:paraId="201E4A45" w14:textId="77777777" w:rsidR="00232EFA" w:rsidRPr="00666F4F" w:rsidRDefault="00232EFA" w:rsidP="00232EFA">
            <w:pPr>
              <w:spacing w:after="0" w:line="240" w:lineRule="auto"/>
              <w:jc w:val="both"/>
              <w:rPr>
                <w:rFonts w:ascii="Cambria" w:eastAsia="Times New Roman" w:hAnsi="Cambria" w:cstheme="majorHAnsi"/>
                <w:color w:val="222222"/>
                <w:sz w:val="16"/>
                <w:szCs w:val="16"/>
                <w:u w:val="single"/>
              </w:rPr>
            </w:pPr>
            <w:r w:rsidRPr="00666F4F">
              <w:rPr>
                <w:rFonts w:ascii="Cambria" w:eastAsia="Times New Roman" w:hAnsi="Cambria" w:cstheme="majorHAnsi"/>
                <w:color w:val="222222"/>
                <w:sz w:val="16"/>
                <w:szCs w:val="16"/>
                <w:u w:val="single"/>
              </w:rPr>
              <w:t>154,00</w:t>
            </w:r>
          </w:p>
        </w:tc>
        <w:tc>
          <w:tcPr>
            <w:tcW w:w="497" w:type="pct"/>
            <w:tcBorders>
              <w:top w:val="nil"/>
              <w:left w:val="nil"/>
              <w:bottom w:val="single" w:sz="4" w:space="0" w:color="auto"/>
              <w:right w:val="nil"/>
            </w:tcBorders>
            <w:noWrap/>
            <w:vAlign w:val="bottom"/>
            <w:hideMark/>
          </w:tcPr>
          <w:p w14:paraId="4513F53C" w14:textId="77777777" w:rsidR="00232EFA" w:rsidRPr="00666F4F" w:rsidRDefault="00232EFA" w:rsidP="00232EFA">
            <w:pPr>
              <w:spacing w:after="0" w:line="240" w:lineRule="auto"/>
              <w:jc w:val="both"/>
              <w:rPr>
                <w:rFonts w:ascii="Cambria" w:eastAsia="Times New Roman" w:hAnsi="Cambria" w:cstheme="majorHAnsi"/>
                <w:color w:val="222222"/>
                <w:sz w:val="16"/>
                <w:szCs w:val="16"/>
                <w:u w:val="single"/>
              </w:rPr>
            </w:pPr>
            <w:r w:rsidRPr="00666F4F">
              <w:rPr>
                <w:rFonts w:ascii="Cambria" w:eastAsia="Times New Roman" w:hAnsi="Cambria" w:cstheme="majorHAnsi"/>
                <w:color w:val="222222"/>
                <w:sz w:val="16"/>
                <w:szCs w:val="16"/>
                <w:u w:val="single"/>
              </w:rPr>
              <w:t>154,00</w:t>
            </w:r>
          </w:p>
        </w:tc>
        <w:tc>
          <w:tcPr>
            <w:tcW w:w="497" w:type="pct"/>
            <w:tcBorders>
              <w:top w:val="nil"/>
              <w:left w:val="single" w:sz="4" w:space="0" w:color="auto"/>
              <w:bottom w:val="single" w:sz="4" w:space="0" w:color="auto"/>
              <w:right w:val="single" w:sz="8" w:space="0" w:color="auto"/>
            </w:tcBorders>
            <w:noWrap/>
            <w:vAlign w:val="bottom"/>
            <w:hideMark/>
          </w:tcPr>
          <w:p w14:paraId="29B3D32B" w14:textId="77777777" w:rsidR="00232EFA" w:rsidRPr="00666F4F" w:rsidRDefault="00232EFA" w:rsidP="00232EFA">
            <w:pPr>
              <w:spacing w:after="0" w:line="240" w:lineRule="auto"/>
              <w:jc w:val="both"/>
              <w:rPr>
                <w:rFonts w:ascii="Cambria" w:eastAsia="Times New Roman" w:hAnsi="Cambria" w:cstheme="majorHAnsi"/>
                <w:color w:val="222222"/>
                <w:sz w:val="16"/>
                <w:szCs w:val="16"/>
                <w:u w:val="single"/>
              </w:rPr>
            </w:pPr>
            <w:r w:rsidRPr="00666F4F">
              <w:rPr>
                <w:rFonts w:ascii="Cambria" w:eastAsia="Times New Roman" w:hAnsi="Cambria" w:cstheme="majorHAnsi"/>
                <w:color w:val="222222"/>
                <w:sz w:val="16"/>
                <w:szCs w:val="16"/>
                <w:u w:val="single"/>
              </w:rPr>
              <w:t>154,00</w:t>
            </w:r>
          </w:p>
        </w:tc>
        <w:tc>
          <w:tcPr>
            <w:tcW w:w="522" w:type="pct"/>
            <w:tcBorders>
              <w:top w:val="nil"/>
              <w:left w:val="nil"/>
              <w:bottom w:val="single" w:sz="4" w:space="0" w:color="auto"/>
              <w:right w:val="single" w:sz="4" w:space="0" w:color="auto"/>
            </w:tcBorders>
            <w:noWrap/>
            <w:vAlign w:val="bottom"/>
            <w:hideMark/>
          </w:tcPr>
          <w:p w14:paraId="72B8E053" w14:textId="77777777" w:rsidR="00232EFA" w:rsidRPr="00666F4F" w:rsidRDefault="00232EFA" w:rsidP="00232EFA">
            <w:pPr>
              <w:spacing w:after="0" w:line="240" w:lineRule="auto"/>
              <w:jc w:val="both"/>
              <w:rPr>
                <w:rFonts w:ascii="Cambria" w:eastAsia="Times New Roman" w:hAnsi="Cambria" w:cstheme="majorHAnsi"/>
                <w:color w:val="222222"/>
                <w:sz w:val="16"/>
                <w:szCs w:val="16"/>
                <w:u w:val="single"/>
              </w:rPr>
            </w:pPr>
            <w:r w:rsidRPr="00666F4F">
              <w:rPr>
                <w:rFonts w:ascii="Cambria" w:eastAsia="Times New Roman" w:hAnsi="Cambria" w:cstheme="majorHAnsi"/>
                <w:color w:val="222222"/>
                <w:sz w:val="16"/>
                <w:szCs w:val="16"/>
                <w:u w:val="single"/>
              </w:rPr>
              <w:t>95,99</w:t>
            </w:r>
          </w:p>
        </w:tc>
        <w:tc>
          <w:tcPr>
            <w:tcW w:w="497" w:type="pct"/>
            <w:tcBorders>
              <w:top w:val="nil"/>
              <w:left w:val="single" w:sz="4" w:space="0" w:color="auto"/>
              <w:bottom w:val="single" w:sz="4" w:space="0" w:color="auto"/>
              <w:right w:val="single" w:sz="8" w:space="0" w:color="auto"/>
            </w:tcBorders>
            <w:noWrap/>
            <w:vAlign w:val="bottom"/>
            <w:hideMark/>
          </w:tcPr>
          <w:p w14:paraId="3982C9D6" w14:textId="77777777" w:rsidR="00232EFA" w:rsidRPr="00666F4F" w:rsidRDefault="00232EFA" w:rsidP="00232EFA">
            <w:pPr>
              <w:spacing w:after="0" w:line="240" w:lineRule="auto"/>
              <w:jc w:val="both"/>
              <w:rPr>
                <w:rFonts w:ascii="Cambria" w:eastAsia="Times New Roman" w:hAnsi="Cambria" w:cstheme="majorHAnsi"/>
                <w:color w:val="222222"/>
                <w:sz w:val="16"/>
                <w:szCs w:val="16"/>
                <w:u w:val="single"/>
              </w:rPr>
            </w:pPr>
            <w:r w:rsidRPr="00666F4F">
              <w:rPr>
                <w:rFonts w:ascii="Cambria" w:eastAsia="Times New Roman" w:hAnsi="Cambria" w:cstheme="majorHAnsi"/>
                <w:color w:val="222222"/>
                <w:sz w:val="16"/>
                <w:szCs w:val="16"/>
                <w:u w:val="single"/>
              </w:rPr>
              <w:t>139,60</w:t>
            </w:r>
          </w:p>
        </w:tc>
        <w:tc>
          <w:tcPr>
            <w:tcW w:w="535" w:type="pct"/>
            <w:tcBorders>
              <w:top w:val="nil"/>
              <w:left w:val="nil"/>
              <w:bottom w:val="single" w:sz="4" w:space="0" w:color="auto"/>
              <w:right w:val="nil"/>
            </w:tcBorders>
            <w:noWrap/>
            <w:vAlign w:val="bottom"/>
            <w:hideMark/>
          </w:tcPr>
          <w:p w14:paraId="6985EFFB" w14:textId="77777777" w:rsidR="00232EFA" w:rsidRPr="00666F4F" w:rsidRDefault="00232EFA" w:rsidP="00232EFA">
            <w:pPr>
              <w:spacing w:after="0" w:line="240" w:lineRule="auto"/>
              <w:jc w:val="both"/>
              <w:rPr>
                <w:rFonts w:ascii="Cambria" w:eastAsia="Times New Roman" w:hAnsi="Cambria" w:cstheme="majorHAnsi"/>
                <w:color w:val="222222"/>
                <w:sz w:val="16"/>
                <w:szCs w:val="16"/>
                <w:u w:val="single"/>
              </w:rPr>
            </w:pPr>
            <w:r w:rsidRPr="00666F4F">
              <w:rPr>
                <w:rFonts w:ascii="Cambria" w:eastAsia="Times New Roman" w:hAnsi="Cambria" w:cstheme="majorHAnsi"/>
                <w:color w:val="222222"/>
                <w:sz w:val="16"/>
                <w:szCs w:val="16"/>
                <w:u w:val="single"/>
              </w:rPr>
              <w:t>58,01</w:t>
            </w:r>
          </w:p>
        </w:tc>
        <w:tc>
          <w:tcPr>
            <w:tcW w:w="535" w:type="pct"/>
            <w:tcBorders>
              <w:top w:val="nil"/>
              <w:left w:val="single" w:sz="4" w:space="0" w:color="auto"/>
              <w:bottom w:val="single" w:sz="4" w:space="0" w:color="auto"/>
              <w:right w:val="single" w:sz="8" w:space="0" w:color="auto"/>
            </w:tcBorders>
            <w:noWrap/>
            <w:vAlign w:val="bottom"/>
            <w:hideMark/>
          </w:tcPr>
          <w:p w14:paraId="525456D6" w14:textId="77777777" w:rsidR="00232EFA" w:rsidRPr="00666F4F" w:rsidRDefault="00232EFA" w:rsidP="00232EFA">
            <w:pPr>
              <w:spacing w:after="0" w:line="240" w:lineRule="auto"/>
              <w:jc w:val="both"/>
              <w:rPr>
                <w:rFonts w:ascii="Cambria" w:eastAsia="Times New Roman" w:hAnsi="Cambria" w:cstheme="majorHAnsi"/>
                <w:color w:val="222222"/>
                <w:sz w:val="16"/>
                <w:szCs w:val="16"/>
                <w:u w:val="single"/>
              </w:rPr>
            </w:pPr>
            <w:r w:rsidRPr="00666F4F">
              <w:rPr>
                <w:rFonts w:ascii="Cambria" w:eastAsia="Times New Roman" w:hAnsi="Cambria" w:cstheme="majorHAnsi"/>
                <w:color w:val="222222"/>
                <w:sz w:val="16"/>
                <w:szCs w:val="16"/>
                <w:u w:val="single"/>
              </w:rPr>
              <w:t>14,40</w:t>
            </w:r>
          </w:p>
        </w:tc>
      </w:tr>
      <w:tr w:rsidR="00232EFA" w:rsidRPr="00666F4F" w14:paraId="04D9FB9A" w14:textId="77777777">
        <w:trPr>
          <w:trHeight w:val="113"/>
        </w:trPr>
        <w:tc>
          <w:tcPr>
            <w:tcW w:w="1420" w:type="pct"/>
            <w:tcBorders>
              <w:top w:val="nil"/>
              <w:left w:val="single" w:sz="8" w:space="0" w:color="auto"/>
              <w:bottom w:val="single" w:sz="4" w:space="0" w:color="auto"/>
              <w:right w:val="single" w:sz="8" w:space="0" w:color="auto"/>
            </w:tcBorders>
            <w:noWrap/>
            <w:vAlign w:val="bottom"/>
            <w:hideMark/>
          </w:tcPr>
          <w:p w14:paraId="362BD4E4" w14:textId="77777777" w:rsidR="00232EFA" w:rsidRPr="00666F4F" w:rsidRDefault="00232EFA" w:rsidP="00232EFA">
            <w:pPr>
              <w:spacing w:after="0" w:line="240" w:lineRule="auto"/>
              <w:jc w:val="both"/>
              <w:rPr>
                <w:rFonts w:ascii="Cambria" w:eastAsia="Times New Roman" w:hAnsi="Cambria" w:cstheme="majorHAnsi"/>
                <w:b/>
                <w:bCs/>
                <w:color w:val="222222"/>
                <w:sz w:val="16"/>
                <w:szCs w:val="16"/>
                <w:u w:val="single"/>
              </w:rPr>
            </w:pPr>
            <w:r w:rsidRPr="00666F4F">
              <w:rPr>
                <w:rFonts w:ascii="Cambria" w:eastAsia="Times New Roman" w:hAnsi="Cambria" w:cstheme="majorHAnsi"/>
                <w:b/>
                <w:color w:val="222222"/>
                <w:sz w:val="16"/>
                <w:szCs w:val="16"/>
                <w:u w:val="single"/>
              </w:rPr>
              <w:t>ROYAUME-UNI</w:t>
            </w:r>
          </w:p>
        </w:tc>
        <w:tc>
          <w:tcPr>
            <w:tcW w:w="497" w:type="pct"/>
            <w:tcBorders>
              <w:top w:val="nil"/>
              <w:left w:val="nil"/>
              <w:bottom w:val="single" w:sz="4" w:space="0" w:color="auto"/>
              <w:right w:val="single" w:sz="4" w:space="0" w:color="auto"/>
            </w:tcBorders>
            <w:noWrap/>
            <w:vAlign w:val="bottom"/>
            <w:hideMark/>
          </w:tcPr>
          <w:p w14:paraId="4A92F064" w14:textId="77777777" w:rsidR="00232EFA" w:rsidRPr="00666F4F" w:rsidRDefault="00232EFA" w:rsidP="00232EFA">
            <w:pPr>
              <w:spacing w:after="0" w:line="240" w:lineRule="auto"/>
              <w:jc w:val="both"/>
              <w:rPr>
                <w:rFonts w:ascii="Cambria" w:eastAsia="Times New Roman" w:hAnsi="Cambria" w:cstheme="majorHAnsi"/>
                <w:color w:val="222222"/>
                <w:sz w:val="16"/>
                <w:szCs w:val="16"/>
                <w:u w:val="single"/>
              </w:rPr>
            </w:pPr>
            <w:r w:rsidRPr="00666F4F">
              <w:rPr>
                <w:rFonts w:ascii="Cambria" w:eastAsia="Times New Roman" w:hAnsi="Cambria" w:cstheme="majorHAnsi"/>
                <w:color w:val="222222"/>
                <w:sz w:val="16"/>
                <w:szCs w:val="16"/>
                <w:u w:val="single"/>
              </w:rPr>
              <w:t>0,00</w:t>
            </w:r>
          </w:p>
        </w:tc>
        <w:tc>
          <w:tcPr>
            <w:tcW w:w="497" w:type="pct"/>
            <w:tcBorders>
              <w:top w:val="nil"/>
              <w:left w:val="nil"/>
              <w:bottom w:val="single" w:sz="4" w:space="0" w:color="auto"/>
              <w:right w:val="nil"/>
            </w:tcBorders>
            <w:noWrap/>
            <w:vAlign w:val="bottom"/>
            <w:hideMark/>
          </w:tcPr>
          <w:p w14:paraId="021D03B3" w14:textId="77777777" w:rsidR="00232EFA" w:rsidRPr="00666F4F" w:rsidRDefault="00232EFA" w:rsidP="00232EFA">
            <w:pPr>
              <w:spacing w:after="0" w:line="240" w:lineRule="auto"/>
              <w:jc w:val="both"/>
              <w:rPr>
                <w:rFonts w:ascii="Cambria" w:eastAsia="Times New Roman" w:hAnsi="Cambria" w:cstheme="majorHAnsi"/>
                <w:color w:val="222222"/>
                <w:sz w:val="16"/>
                <w:szCs w:val="16"/>
                <w:u w:val="single"/>
              </w:rPr>
            </w:pPr>
            <w:r w:rsidRPr="00666F4F">
              <w:rPr>
                <w:rFonts w:ascii="Cambria" w:eastAsia="Times New Roman" w:hAnsi="Cambria" w:cstheme="majorHAnsi"/>
                <w:color w:val="222222"/>
                <w:sz w:val="16"/>
                <w:szCs w:val="16"/>
                <w:u w:val="single"/>
              </w:rPr>
              <w:t>0,00</w:t>
            </w:r>
          </w:p>
        </w:tc>
        <w:tc>
          <w:tcPr>
            <w:tcW w:w="497" w:type="pct"/>
            <w:tcBorders>
              <w:top w:val="nil"/>
              <w:left w:val="single" w:sz="4" w:space="0" w:color="auto"/>
              <w:bottom w:val="single" w:sz="4" w:space="0" w:color="auto"/>
              <w:right w:val="single" w:sz="8" w:space="0" w:color="auto"/>
            </w:tcBorders>
            <w:noWrap/>
            <w:vAlign w:val="bottom"/>
            <w:hideMark/>
          </w:tcPr>
          <w:p w14:paraId="2E239590" w14:textId="77777777" w:rsidR="00232EFA" w:rsidRPr="00666F4F" w:rsidRDefault="00232EFA" w:rsidP="00232EFA">
            <w:pPr>
              <w:spacing w:after="0" w:line="240" w:lineRule="auto"/>
              <w:jc w:val="both"/>
              <w:rPr>
                <w:rFonts w:ascii="Cambria" w:eastAsia="Times New Roman" w:hAnsi="Cambria" w:cstheme="majorHAnsi"/>
                <w:color w:val="222222"/>
                <w:sz w:val="16"/>
                <w:szCs w:val="16"/>
                <w:u w:val="single"/>
              </w:rPr>
            </w:pPr>
            <w:r w:rsidRPr="00666F4F">
              <w:rPr>
                <w:rFonts w:ascii="Cambria" w:eastAsia="Times New Roman" w:hAnsi="Cambria" w:cstheme="majorHAnsi"/>
                <w:color w:val="222222"/>
                <w:sz w:val="16"/>
                <w:szCs w:val="16"/>
                <w:u w:val="single"/>
              </w:rPr>
              <w:t>0,00</w:t>
            </w:r>
          </w:p>
        </w:tc>
        <w:tc>
          <w:tcPr>
            <w:tcW w:w="522" w:type="pct"/>
            <w:tcBorders>
              <w:top w:val="nil"/>
              <w:left w:val="nil"/>
              <w:bottom w:val="single" w:sz="4" w:space="0" w:color="auto"/>
              <w:right w:val="single" w:sz="4" w:space="0" w:color="auto"/>
            </w:tcBorders>
            <w:noWrap/>
            <w:vAlign w:val="bottom"/>
            <w:hideMark/>
          </w:tcPr>
          <w:p w14:paraId="262D7D3F" w14:textId="77777777" w:rsidR="00232EFA" w:rsidRPr="00666F4F" w:rsidRDefault="00232EFA" w:rsidP="00232EFA">
            <w:pPr>
              <w:spacing w:after="0" w:line="240" w:lineRule="auto"/>
              <w:jc w:val="both"/>
              <w:rPr>
                <w:rFonts w:ascii="Cambria" w:eastAsia="Times New Roman" w:hAnsi="Cambria" w:cstheme="majorHAnsi"/>
                <w:color w:val="222222"/>
                <w:sz w:val="16"/>
                <w:szCs w:val="16"/>
                <w:u w:val="single"/>
              </w:rPr>
            </w:pPr>
            <w:r w:rsidRPr="00666F4F">
              <w:rPr>
                <w:rFonts w:ascii="Cambria" w:eastAsia="Times New Roman" w:hAnsi="Cambria" w:cstheme="majorHAnsi"/>
                <w:color w:val="222222"/>
                <w:sz w:val="16"/>
                <w:szCs w:val="16"/>
                <w:u w:val="single"/>
              </w:rPr>
              <w:t>0,00</w:t>
            </w:r>
          </w:p>
        </w:tc>
        <w:tc>
          <w:tcPr>
            <w:tcW w:w="497" w:type="pct"/>
            <w:tcBorders>
              <w:top w:val="nil"/>
              <w:left w:val="single" w:sz="4" w:space="0" w:color="auto"/>
              <w:bottom w:val="single" w:sz="4" w:space="0" w:color="auto"/>
              <w:right w:val="single" w:sz="8" w:space="0" w:color="auto"/>
            </w:tcBorders>
            <w:noWrap/>
            <w:vAlign w:val="bottom"/>
            <w:hideMark/>
          </w:tcPr>
          <w:p w14:paraId="3A2AB2C1" w14:textId="77777777" w:rsidR="00232EFA" w:rsidRPr="00666F4F" w:rsidRDefault="00232EFA" w:rsidP="00232EFA">
            <w:pPr>
              <w:spacing w:after="0" w:line="240" w:lineRule="auto"/>
              <w:jc w:val="both"/>
              <w:rPr>
                <w:rFonts w:ascii="Cambria" w:eastAsia="Times New Roman" w:hAnsi="Cambria" w:cstheme="majorHAnsi"/>
                <w:color w:val="222222"/>
                <w:sz w:val="16"/>
                <w:szCs w:val="16"/>
                <w:u w:val="single"/>
              </w:rPr>
            </w:pPr>
            <w:r w:rsidRPr="00666F4F">
              <w:rPr>
                <w:rFonts w:ascii="Cambria" w:eastAsia="Times New Roman" w:hAnsi="Cambria" w:cstheme="majorHAnsi"/>
                <w:color w:val="222222"/>
                <w:sz w:val="16"/>
                <w:szCs w:val="16"/>
                <w:u w:val="single"/>
              </w:rPr>
              <w:t>0,00</w:t>
            </w:r>
          </w:p>
        </w:tc>
        <w:tc>
          <w:tcPr>
            <w:tcW w:w="535" w:type="pct"/>
            <w:tcBorders>
              <w:top w:val="nil"/>
              <w:left w:val="nil"/>
              <w:bottom w:val="single" w:sz="4" w:space="0" w:color="auto"/>
              <w:right w:val="nil"/>
            </w:tcBorders>
            <w:noWrap/>
            <w:vAlign w:val="bottom"/>
            <w:hideMark/>
          </w:tcPr>
          <w:p w14:paraId="131859ED" w14:textId="77777777" w:rsidR="00232EFA" w:rsidRPr="00666F4F" w:rsidRDefault="00232EFA" w:rsidP="00232EFA">
            <w:pPr>
              <w:spacing w:after="0" w:line="240" w:lineRule="auto"/>
              <w:jc w:val="both"/>
              <w:rPr>
                <w:rFonts w:ascii="Cambria" w:eastAsia="Times New Roman" w:hAnsi="Cambria" w:cstheme="majorHAnsi"/>
                <w:color w:val="222222"/>
                <w:sz w:val="16"/>
                <w:szCs w:val="16"/>
                <w:u w:val="single"/>
              </w:rPr>
            </w:pPr>
            <w:r w:rsidRPr="00666F4F">
              <w:rPr>
                <w:rFonts w:ascii="Cambria" w:eastAsia="Times New Roman" w:hAnsi="Cambria" w:cstheme="majorHAnsi"/>
                <w:color w:val="222222"/>
                <w:sz w:val="16"/>
                <w:szCs w:val="16"/>
                <w:u w:val="single"/>
              </w:rPr>
              <w:t>0,00</w:t>
            </w:r>
          </w:p>
        </w:tc>
        <w:tc>
          <w:tcPr>
            <w:tcW w:w="535" w:type="pct"/>
            <w:tcBorders>
              <w:top w:val="nil"/>
              <w:left w:val="single" w:sz="4" w:space="0" w:color="auto"/>
              <w:bottom w:val="single" w:sz="4" w:space="0" w:color="auto"/>
              <w:right w:val="single" w:sz="8" w:space="0" w:color="auto"/>
            </w:tcBorders>
            <w:noWrap/>
            <w:vAlign w:val="bottom"/>
            <w:hideMark/>
          </w:tcPr>
          <w:p w14:paraId="283E9B56" w14:textId="77777777" w:rsidR="00232EFA" w:rsidRPr="00666F4F" w:rsidRDefault="00232EFA" w:rsidP="00232EFA">
            <w:pPr>
              <w:spacing w:after="0" w:line="240" w:lineRule="auto"/>
              <w:jc w:val="both"/>
              <w:rPr>
                <w:rFonts w:ascii="Cambria" w:eastAsia="Times New Roman" w:hAnsi="Cambria" w:cstheme="majorHAnsi"/>
                <w:color w:val="222222"/>
                <w:sz w:val="16"/>
                <w:szCs w:val="16"/>
                <w:u w:val="single"/>
              </w:rPr>
            </w:pPr>
            <w:r w:rsidRPr="00666F4F">
              <w:rPr>
                <w:rFonts w:ascii="Cambria" w:eastAsia="Times New Roman" w:hAnsi="Cambria" w:cstheme="majorHAnsi"/>
                <w:color w:val="222222"/>
                <w:sz w:val="16"/>
                <w:szCs w:val="16"/>
                <w:u w:val="single"/>
              </w:rPr>
              <w:t>0,00</w:t>
            </w:r>
          </w:p>
        </w:tc>
      </w:tr>
      <w:tr w:rsidR="00232EFA" w:rsidRPr="00666F4F" w14:paraId="7485FA69" w14:textId="77777777">
        <w:trPr>
          <w:trHeight w:val="113"/>
        </w:trPr>
        <w:tc>
          <w:tcPr>
            <w:tcW w:w="1420" w:type="pct"/>
            <w:tcBorders>
              <w:top w:val="nil"/>
              <w:left w:val="single" w:sz="8" w:space="0" w:color="auto"/>
              <w:bottom w:val="single" w:sz="4" w:space="0" w:color="auto"/>
              <w:right w:val="single" w:sz="8" w:space="0" w:color="auto"/>
            </w:tcBorders>
            <w:noWrap/>
            <w:vAlign w:val="bottom"/>
            <w:hideMark/>
          </w:tcPr>
          <w:p w14:paraId="3995EFC1" w14:textId="77777777" w:rsidR="00232EFA" w:rsidRPr="00666F4F" w:rsidRDefault="00232EFA" w:rsidP="00232EFA">
            <w:pPr>
              <w:spacing w:after="0" w:line="240" w:lineRule="auto"/>
              <w:jc w:val="both"/>
              <w:rPr>
                <w:rFonts w:ascii="Cambria" w:eastAsia="Times New Roman" w:hAnsi="Cambria" w:cstheme="majorHAnsi"/>
                <w:b/>
                <w:bCs/>
                <w:color w:val="222222"/>
                <w:sz w:val="16"/>
                <w:szCs w:val="16"/>
                <w:u w:val="single"/>
              </w:rPr>
            </w:pPr>
            <w:r w:rsidRPr="00666F4F">
              <w:rPr>
                <w:rFonts w:ascii="Cambria" w:eastAsia="Times New Roman" w:hAnsi="Cambria" w:cstheme="majorHAnsi"/>
                <w:b/>
                <w:color w:val="222222"/>
                <w:sz w:val="16"/>
                <w:szCs w:val="16"/>
                <w:u w:val="single"/>
              </w:rPr>
              <w:t>URUGUAY</w:t>
            </w:r>
          </w:p>
        </w:tc>
        <w:tc>
          <w:tcPr>
            <w:tcW w:w="497" w:type="pct"/>
            <w:tcBorders>
              <w:top w:val="nil"/>
              <w:left w:val="nil"/>
              <w:bottom w:val="single" w:sz="4" w:space="0" w:color="auto"/>
              <w:right w:val="single" w:sz="4" w:space="0" w:color="auto"/>
            </w:tcBorders>
            <w:noWrap/>
            <w:vAlign w:val="bottom"/>
            <w:hideMark/>
          </w:tcPr>
          <w:p w14:paraId="481B8A6B" w14:textId="77777777" w:rsidR="00232EFA" w:rsidRPr="00666F4F" w:rsidRDefault="00232EFA" w:rsidP="00232EFA">
            <w:pPr>
              <w:spacing w:after="0" w:line="240" w:lineRule="auto"/>
              <w:jc w:val="both"/>
              <w:rPr>
                <w:rFonts w:ascii="Cambria" w:eastAsia="Times New Roman" w:hAnsi="Cambria" w:cstheme="majorHAnsi"/>
                <w:color w:val="222222"/>
                <w:sz w:val="16"/>
                <w:szCs w:val="16"/>
                <w:u w:val="single"/>
              </w:rPr>
            </w:pPr>
            <w:r w:rsidRPr="00666F4F">
              <w:rPr>
                <w:rFonts w:ascii="Cambria" w:eastAsia="Times New Roman" w:hAnsi="Cambria" w:cstheme="majorHAnsi"/>
                <w:color w:val="222222"/>
                <w:sz w:val="16"/>
                <w:szCs w:val="16"/>
                <w:u w:val="single"/>
              </w:rPr>
              <w:t>2,00</w:t>
            </w:r>
          </w:p>
        </w:tc>
        <w:tc>
          <w:tcPr>
            <w:tcW w:w="497" w:type="pct"/>
            <w:tcBorders>
              <w:top w:val="nil"/>
              <w:left w:val="nil"/>
              <w:bottom w:val="single" w:sz="4" w:space="0" w:color="auto"/>
              <w:right w:val="nil"/>
            </w:tcBorders>
            <w:noWrap/>
            <w:vAlign w:val="bottom"/>
            <w:hideMark/>
          </w:tcPr>
          <w:p w14:paraId="6399F366" w14:textId="77777777" w:rsidR="00232EFA" w:rsidRPr="00666F4F" w:rsidRDefault="00232EFA" w:rsidP="00232EFA">
            <w:pPr>
              <w:spacing w:after="0" w:line="240" w:lineRule="auto"/>
              <w:jc w:val="both"/>
              <w:rPr>
                <w:rFonts w:ascii="Cambria" w:eastAsia="Times New Roman" w:hAnsi="Cambria" w:cstheme="majorHAnsi"/>
                <w:color w:val="222222"/>
                <w:sz w:val="16"/>
                <w:szCs w:val="16"/>
                <w:u w:val="single"/>
              </w:rPr>
            </w:pPr>
            <w:r w:rsidRPr="00666F4F">
              <w:rPr>
                <w:rFonts w:ascii="Cambria" w:eastAsia="Times New Roman" w:hAnsi="Cambria" w:cstheme="majorHAnsi"/>
                <w:color w:val="222222"/>
                <w:sz w:val="16"/>
                <w:szCs w:val="16"/>
                <w:u w:val="single"/>
              </w:rPr>
              <w:t>2,00</w:t>
            </w:r>
          </w:p>
        </w:tc>
        <w:tc>
          <w:tcPr>
            <w:tcW w:w="497" w:type="pct"/>
            <w:tcBorders>
              <w:top w:val="nil"/>
              <w:left w:val="single" w:sz="4" w:space="0" w:color="auto"/>
              <w:bottom w:val="single" w:sz="4" w:space="0" w:color="auto"/>
              <w:right w:val="single" w:sz="8" w:space="0" w:color="auto"/>
            </w:tcBorders>
            <w:noWrap/>
            <w:vAlign w:val="bottom"/>
            <w:hideMark/>
          </w:tcPr>
          <w:p w14:paraId="241B89AA" w14:textId="77777777" w:rsidR="00232EFA" w:rsidRPr="00666F4F" w:rsidRDefault="00232EFA" w:rsidP="00232EFA">
            <w:pPr>
              <w:spacing w:after="0" w:line="240" w:lineRule="auto"/>
              <w:jc w:val="both"/>
              <w:rPr>
                <w:rFonts w:ascii="Cambria" w:eastAsia="Times New Roman" w:hAnsi="Cambria" w:cstheme="majorHAnsi"/>
                <w:color w:val="222222"/>
                <w:sz w:val="16"/>
                <w:szCs w:val="16"/>
                <w:u w:val="single"/>
              </w:rPr>
            </w:pPr>
            <w:r w:rsidRPr="00666F4F">
              <w:rPr>
                <w:rFonts w:ascii="Cambria" w:eastAsia="Times New Roman" w:hAnsi="Cambria" w:cstheme="majorHAnsi"/>
                <w:color w:val="222222"/>
                <w:sz w:val="16"/>
                <w:szCs w:val="16"/>
                <w:u w:val="single"/>
              </w:rPr>
              <w:t>2,00</w:t>
            </w:r>
          </w:p>
        </w:tc>
        <w:tc>
          <w:tcPr>
            <w:tcW w:w="522" w:type="pct"/>
            <w:tcBorders>
              <w:top w:val="nil"/>
              <w:left w:val="nil"/>
              <w:bottom w:val="single" w:sz="4" w:space="0" w:color="auto"/>
              <w:right w:val="single" w:sz="4" w:space="0" w:color="auto"/>
            </w:tcBorders>
            <w:noWrap/>
            <w:vAlign w:val="bottom"/>
            <w:hideMark/>
          </w:tcPr>
          <w:p w14:paraId="4F7D1107" w14:textId="77777777" w:rsidR="00232EFA" w:rsidRPr="00666F4F" w:rsidRDefault="00232EFA" w:rsidP="00232EFA">
            <w:pPr>
              <w:spacing w:after="0" w:line="240" w:lineRule="auto"/>
              <w:jc w:val="both"/>
              <w:rPr>
                <w:rFonts w:ascii="Cambria" w:eastAsia="Times New Roman" w:hAnsi="Cambria" w:cstheme="majorHAnsi"/>
                <w:color w:val="222222"/>
                <w:sz w:val="16"/>
                <w:szCs w:val="16"/>
                <w:u w:val="single"/>
              </w:rPr>
            </w:pPr>
            <w:r w:rsidRPr="00666F4F">
              <w:rPr>
                <w:rFonts w:ascii="Cambria" w:eastAsia="Times New Roman" w:hAnsi="Cambria" w:cstheme="majorHAnsi"/>
                <w:color w:val="222222"/>
                <w:sz w:val="16"/>
                <w:szCs w:val="16"/>
                <w:u w:val="single"/>
              </w:rPr>
              <w:t>0,00</w:t>
            </w:r>
          </w:p>
        </w:tc>
        <w:tc>
          <w:tcPr>
            <w:tcW w:w="497" w:type="pct"/>
            <w:tcBorders>
              <w:top w:val="nil"/>
              <w:left w:val="single" w:sz="4" w:space="0" w:color="auto"/>
              <w:bottom w:val="single" w:sz="4" w:space="0" w:color="auto"/>
              <w:right w:val="single" w:sz="8" w:space="0" w:color="auto"/>
            </w:tcBorders>
            <w:noWrap/>
            <w:vAlign w:val="bottom"/>
            <w:hideMark/>
          </w:tcPr>
          <w:p w14:paraId="0C032452" w14:textId="77777777" w:rsidR="00232EFA" w:rsidRPr="00666F4F" w:rsidRDefault="00232EFA" w:rsidP="00232EFA">
            <w:pPr>
              <w:spacing w:after="0" w:line="240" w:lineRule="auto"/>
              <w:jc w:val="both"/>
              <w:rPr>
                <w:rFonts w:ascii="Cambria" w:eastAsia="Times New Roman" w:hAnsi="Cambria" w:cstheme="majorHAnsi"/>
                <w:color w:val="222222"/>
                <w:sz w:val="16"/>
                <w:szCs w:val="16"/>
                <w:u w:val="single"/>
              </w:rPr>
            </w:pPr>
            <w:r w:rsidRPr="00666F4F">
              <w:rPr>
                <w:rFonts w:ascii="Cambria" w:eastAsia="Times New Roman" w:hAnsi="Cambria" w:cstheme="majorHAnsi"/>
                <w:color w:val="222222"/>
                <w:sz w:val="16"/>
                <w:szCs w:val="16"/>
                <w:u w:val="single"/>
              </w:rPr>
              <w:t>0,00</w:t>
            </w:r>
          </w:p>
        </w:tc>
        <w:tc>
          <w:tcPr>
            <w:tcW w:w="535" w:type="pct"/>
            <w:tcBorders>
              <w:top w:val="nil"/>
              <w:left w:val="nil"/>
              <w:bottom w:val="single" w:sz="4" w:space="0" w:color="auto"/>
              <w:right w:val="nil"/>
            </w:tcBorders>
            <w:noWrap/>
            <w:vAlign w:val="bottom"/>
            <w:hideMark/>
          </w:tcPr>
          <w:p w14:paraId="6F950B0B" w14:textId="77777777" w:rsidR="00232EFA" w:rsidRPr="00666F4F" w:rsidRDefault="00232EFA" w:rsidP="00232EFA">
            <w:pPr>
              <w:spacing w:after="0" w:line="240" w:lineRule="auto"/>
              <w:jc w:val="both"/>
              <w:rPr>
                <w:rFonts w:ascii="Cambria" w:eastAsia="Times New Roman" w:hAnsi="Cambria" w:cstheme="majorHAnsi"/>
                <w:color w:val="222222"/>
                <w:sz w:val="16"/>
                <w:szCs w:val="16"/>
                <w:u w:val="single"/>
              </w:rPr>
            </w:pPr>
            <w:r w:rsidRPr="00666F4F">
              <w:rPr>
                <w:rFonts w:ascii="Cambria" w:eastAsia="Times New Roman" w:hAnsi="Cambria" w:cstheme="majorHAnsi"/>
                <w:color w:val="222222"/>
                <w:sz w:val="16"/>
                <w:szCs w:val="16"/>
                <w:u w:val="single"/>
              </w:rPr>
              <w:t>2,00</w:t>
            </w:r>
          </w:p>
        </w:tc>
        <w:tc>
          <w:tcPr>
            <w:tcW w:w="535" w:type="pct"/>
            <w:tcBorders>
              <w:top w:val="nil"/>
              <w:left w:val="single" w:sz="4" w:space="0" w:color="auto"/>
              <w:bottom w:val="single" w:sz="4" w:space="0" w:color="auto"/>
              <w:right w:val="single" w:sz="8" w:space="0" w:color="auto"/>
            </w:tcBorders>
            <w:noWrap/>
            <w:vAlign w:val="bottom"/>
            <w:hideMark/>
          </w:tcPr>
          <w:p w14:paraId="43D59A1C" w14:textId="77777777" w:rsidR="00232EFA" w:rsidRPr="00666F4F" w:rsidRDefault="00232EFA" w:rsidP="00232EFA">
            <w:pPr>
              <w:spacing w:after="0" w:line="240" w:lineRule="auto"/>
              <w:jc w:val="both"/>
              <w:rPr>
                <w:rFonts w:ascii="Cambria" w:eastAsia="Times New Roman" w:hAnsi="Cambria" w:cstheme="majorHAnsi"/>
                <w:color w:val="222222"/>
                <w:sz w:val="16"/>
                <w:szCs w:val="16"/>
                <w:u w:val="single"/>
              </w:rPr>
            </w:pPr>
            <w:r w:rsidRPr="00666F4F">
              <w:rPr>
                <w:rFonts w:ascii="Cambria" w:eastAsia="Times New Roman" w:hAnsi="Cambria" w:cstheme="majorHAnsi"/>
                <w:color w:val="222222"/>
                <w:sz w:val="16"/>
                <w:szCs w:val="16"/>
                <w:u w:val="single"/>
              </w:rPr>
              <w:t>2,00</w:t>
            </w:r>
          </w:p>
        </w:tc>
      </w:tr>
      <w:tr w:rsidR="00232EFA" w:rsidRPr="00666F4F" w14:paraId="18CF0E57" w14:textId="77777777">
        <w:trPr>
          <w:trHeight w:val="113"/>
        </w:trPr>
        <w:tc>
          <w:tcPr>
            <w:tcW w:w="1420" w:type="pct"/>
            <w:tcBorders>
              <w:top w:val="nil"/>
              <w:left w:val="single" w:sz="8" w:space="0" w:color="auto"/>
              <w:bottom w:val="single" w:sz="8" w:space="0" w:color="auto"/>
              <w:right w:val="single" w:sz="8" w:space="0" w:color="auto"/>
            </w:tcBorders>
            <w:noWrap/>
            <w:vAlign w:val="bottom"/>
            <w:hideMark/>
          </w:tcPr>
          <w:p w14:paraId="52E490F8" w14:textId="77777777" w:rsidR="00232EFA" w:rsidRPr="00666F4F" w:rsidRDefault="00232EFA" w:rsidP="00232EFA">
            <w:pPr>
              <w:spacing w:after="0" w:line="240" w:lineRule="auto"/>
              <w:jc w:val="both"/>
              <w:rPr>
                <w:rFonts w:ascii="Cambria" w:eastAsia="Times New Roman" w:hAnsi="Cambria" w:cstheme="majorHAnsi"/>
                <w:b/>
                <w:bCs/>
                <w:color w:val="222222"/>
                <w:sz w:val="16"/>
                <w:szCs w:val="16"/>
                <w:u w:val="single"/>
              </w:rPr>
            </w:pPr>
            <w:r w:rsidRPr="00666F4F">
              <w:rPr>
                <w:rFonts w:ascii="Cambria" w:eastAsia="Times New Roman" w:hAnsi="Cambria" w:cstheme="majorHAnsi"/>
                <w:b/>
                <w:color w:val="222222"/>
                <w:sz w:val="16"/>
                <w:szCs w:val="16"/>
                <w:u w:val="single"/>
              </w:rPr>
              <w:t>CAPTURE TOTALE</w:t>
            </w:r>
          </w:p>
        </w:tc>
        <w:tc>
          <w:tcPr>
            <w:tcW w:w="497" w:type="pct"/>
            <w:tcBorders>
              <w:top w:val="nil"/>
              <w:left w:val="nil"/>
              <w:bottom w:val="single" w:sz="8" w:space="0" w:color="auto"/>
              <w:right w:val="single" w:sz="4" w:space="0" w:color="auto"/>
            </w:tcBorders>
            <w:noWrap/>
            <w:vAlign w:val="bottom"/>
            <w:hideMark/>
          </w:tcPr>
          <w:p w14:paraId="259A59A1" w14:textId="77777777" w:rsidR="00232EFA" w:rsidRPr="00666F4F" w:rsidRDefault="00232EFA" w:rsidP="00232EFA">
            <w:pPr>
              <w:spacing w:after="0" w:line="240" w:lineRule="auto"/>
              <w:jc w:val="both"/>
              <w:rPr>
                <w:rFonts w:ascii="Cambria" w:eastAsia="Times New Roman" w:hAnsi="Cambria" w:cstheme="majorHAnsi"/>
                <w:b/>
                <w:bCs/>
                <w:color w:val="222222"/>
                <w:sz w:val="16"/>
                <w:szCs w:val="16"/>
                <w:u w:val="single"/>
              </w:rPr>
            </w:pPr>
            <w:r w:rsidRPr="00666F4F">
              <w:rPr>
                <w:rFonts w:ascii="Cambria" w:eastAsia="Times New Roman" w:hAnsi="Cambria" w:cstheme="majorHAnsi"/>
                <w:b/>
                <w:color w:val="222222"/>
                <w:sz w:val="16"/>
                <w:szCs w:val="16"/>
                <w:u w:val="single"/>
              </w:rPr>
              <w:t> </w:t>
            </w:r>
          </w:p>
        </w:tc>
        <w:tc>
          <w:tcPr>
            <w:tcW w:w="497" w:type="pct"/>
            <w:tcBorders>
              <w:top w:val="single" w:sz="4" w:space="0" w:color="auto"/>
              <w:left w:val="nil"/>
              <w:bottom w:val="single" w:sz="8" w:space="0" w:color="auto"/>
              <w:right w:val="nil"/>
            </w:tcBorders>
            <w:noWrap/>
            <w:vAlign w:val="bottom"/>
            <w:hideMark/>
          </w:tcPr>
          <w:p w14:paraId="2D6D3FAB" w14:textId="77777777" w:rsidR="00232EFA" w:rsidRPr="00666F4F" w:rsidRDefault="00232EFA" w:rsidP="00232EFA">
            <w:pPr>
              <w:spacing w:after="0" w:line="240" w:lineRule="auto"/>
              <w:jc w:val="both"/>
              <w:rPr>
                <w:rFonts w:ascii="Cambria" w:eastAsia="Times New Roman" w:hAnsi="Cambria" w:cstheme="majorHAnsi"/>
                <w:b/>
                <w:bCs/>
                <w:color w:val="222222"/>
                <w:sz w:val="16"/>
                <w:szCs w:val="16"/>
                <w:u w:val="single"/>
              </w:rPr>
            </w:pPr>
            <w:r w:rsidRPr="00666F4F">
              <w:rPr>
                <w:rFonts w:ascii="Cambria" w:eastAsia="Times New Roman" w:hAnsi="Cambria" w:cstheme="majorHAnsi"/>
                <w:b/>
                <w:color w:val="222222"/>
                <w:sz w:val="16"/>
                <w:szCs w:val="16"/>
                <w:u w:val="single"/>
              </w:rPr>
              <w:t> </w:t>
            </w:r>
          </w:p>
        </w:tc>
        <w:tc>
          <w:tcPr>
            <w:tcW w:w="497" w:type="pct"/>
            <w:tcBorders>
              <w:top w:val="single" w:sz="4" w:space="0" w:color="auto"/>
              <w:left w:val="single" w:sz="4" w:space="0" w:color="auto"/>
              <w:bottom w:val="single" w:sz="8" w:space="0" w:color="auto"/>
              <w:right w:val="single" w:sz="8" w:space="0" w:color="auto"/>
            </w:tcBorders>
            <w:noWrap/>
            <w:vAlign w:val="bottom"/>
            <w:hideMark/>
          </w:tcPr>
          <w:p w14:paraId="53305637" w14:textId="77777777" w:rsidR="00232EFA" w:rsidRPr="00666F4F" w:rsidRDefault="00232EFA" w:rsidP="00232EFA">
            <w:pPr>
              <w:spacing w:after="0" w:line="240" w:lineRule="auto"/>
              <w:jc w:val="both"/>
              <w:rPr>
                <w:rFonts w:ascii="Cambria" w:eastAsia="Times New Roman" w:hAnsi="Cambria" w:cstheme="majorHAnsi"/>
                <w:b/>
                <w:bCs/>
                <w:color w:val="222222"/>
                <w:sz w:val="16"/>
                <w:szCs w:val="16"/>
                <w:u w:val="single"/>
              </w:rPr>
            </w:pPr>
            <w:r w:rsidRPr="00666F4F">
              <w:rPr>
                <w:rFonts w:ascii="Cambria" w:eastAsia="Times New Roman" w:hAnsi="Cambria" w:cstheme="majorHAnsi"/>
                <w:b/>
                <w:color w:val="222222"/>
                <w:sz w:val="16"/>
                <w:szCs w:val="16"/>
                <w:u w:val="single"/>
              </w:rPr>
              <w:t> </w:t>
            </w:r>
          </w:p>
        </w:tc>
        <w:tc>
          <w:tcPr>
            <w:tcW w:w="522" w:type="pct"/>
            <w:tcBorders>
              <w:top w:val="nil"/>
              <w:left w:val="nil"/>
              <w:bottom w:val="single" w:sz="8" w:space="0" w:color="auto"/>
              <w:right w:val="single" w:sz="4" w:space="0" w:color="auto"/>
            </w:tcBorders>
            <w:noWrap/>
            <w:vAlign w:val="bottom"/>
            <w:hideMark/>
          </w:tcPr>
          <w:p w14:paraId="006866AF" w14:textId="77777777" w:rsidR="00232EFA" w:rsidRPr="00666F4F" w:rsidRDefault="00232EFA" w:rsidP="00232EFA">
            <w:pPr>
              <w:spacing w:after="0" w:line="240" w:lineRule="auto"/>
              <w:jc w:val="both"/>
              <w:rPr>
                <w:rFonts w:ascii="Cambria" w:eastAsia="Times New Roman" w:hAnsi="Cambria" w:cstheme="majorHAnsi"/>
                <w:b/>
                <w:bCs/>
                <w:color w:val="222222"/>
                <w:sz w:val="16"/>
                <w:szCs w:val="16"/>
                <w:u w:val="single"/>
              </w:rPr>
            </w:pPr>
            <w:r w:rsidRPr="00666F4F">
              <w:rPr>
                <w:rFonts w:ascii="Cambria" w:eastAsia="Times New Roman" w:hAnsi="Cambria" w:cstheme="majorHAnsi"/>
                <w:b/>
                <w:color w:val="222222"/>
                <w:sz w:val="16"/>
                <w:szCs w:val="16"/>
                <w:u w:val="single"/>
              </w:rPr>
              <w:t>745,39</w:t>
            </w:r>
          </w:p>
        </w:tc>
        <w:tc>
          <w:tcPr>
            <w:tcW w:w="497" w:type="pct"/>
            <w:tcBorders>
              <w:top w:val="single" w:sz="4" w:space="0" w:color="auto"/>
              <w:left w:val="nil"/>
              <w:bottom w:val="single" w:sz="8" w:space="0" w:color="auto"/>
              <w:right w:val="single" w:sz="8" w:space="0" w:color="auto"/>
            </w:tcBorders>
            <w:noWrap/>
            <w:vAlign w:val="bottom"/>
            <w:hideMark/>
          </w:tcPr>
          <w:p w14:paraId="4037EDDD" w14:textId="77777777" w:rsidR="00232EFA" w:rsidRPr="00666F4F" w:rsidRDefault="00232EFA" w:rsidP="00232EFA">
            <w:pPr>
              <w:spacing w:after="0" w:line="240" w:lineRule="auto"/>
              <w:jc w:val="both"/>
              <w:rPr>
                <w:rFonts w:ascii="Cambria" w:eastAsia="Times New Roman" w:hAnsi="Cambria" w:cstheme="majorHAnsi"/>
                <w:b/>
                <w:bCs/>
                <w:color w:val="222222"/>
                <w:sz w:val="16"/>
                <w:szCs w:val="16"/>
                <w:u w:val="single"/>
              </w:rPr>
            </w:pPr>
            <w:r w:rsidRPr="00666F4F">
              <w:rPr>
                <w:rFonts w:ascii="Cambria" w:eastAsia="Times New Roman" w:hAnsi="Cambria" w:cstheme="majorHAnsi"/>
                <w:b/>
                <w:color w:val="222222"/>
                <w:sz w:val="16"/>
                <w:szCs w:val="16"/>
                <w:u w:val="single"/>
              </w:rPr>
              <w:t> </w:t>
            </w:r>
          </w:p>
        </w:tc>
        <w:tc>
          <w:tcPr>
            <w:tcW w:w="535" w:type="pct"/>
            <w:tcBorders>
              <w:top w:val="nil"/>
              <w:left w:val="nil"/>
              <w:bottom w:val="single" w:sz="8" w:space="0" w:color="auto"/>
              <w:right w:val="nil"/>
            </w:tcBorders>
            <w:noWrap/>
            <w:vAlign w:val="bottom"/>
            <w:hideMark/>
          </w:tcPr>
          <w:p w14:paraId="3CAD0A28" w14:textId="77777777" w:rsidR="00232EFA" w:rsidRPr="00666F4F" w:rsidRDefault="00232EFA" w:rsidP="00232EFA">
            <w:pPr>
              <w:spacing w:after="0" w:line="240" w:lineRule="auto"/>
              <w:jc w:val="both"/>
              <w:rPr>
                <w:rFonts w:ascii="Cambria" w:eastAsia="Times New Roman" w:hAnsi="Cambria" w:cstheme="majorHAnsi"/>
                <w:color w:val="222222"/>
                <w:sz w:val="16"/>
                <w:szCs w:val="16"/>
                <w:u w:val="single"/>
              </w:rPr>
            </w:pPr>
            <w:r w:rsidRPr="00666F4F">
              <w:rPr>
                <w:rFonts w:ascii="Cambria" w:eastAsia="Times New Roman" w:hAnsi="Cambria" w:cstheme="majorHAnsi"/>
                <w:color w:val="222222"/>
                <w:sz w:val="16"/>
                <w:szCs w:val="16"/>
                <w:u w:val="single"/>
              </w:rPr>
              <w:t> </w:t>
            </w:r>
          </w:p>
        </w:tc>
        <w:tc>
          <w:tcPr>
            <w:tcW w:w="535" w:type="pct"/>
            <w:tcBorders>
              <w:top w:val="single" w:sz="4" w:space="0" w:color="auto"/>
              <w:left w:val="single" w:sz="4" w:space="0" w:color="auto"/>
              <w:bottom w:val="single" w:sz="8" w:space="0" w:color="auto"/>
              <w:right w:val="single" w:sz="8" w:space="0" w:color="auto"/>
            </w:tcBorders>
            <w:noWrap/>
            <w:vAlign w:val="bottom"/>
            <w:hideMark/>
          </w:tcPr>
          <w:p w14:paraId="556B84B6" w14:textId="77777777" w:rsidR="00232EFA" w:rsidRPr="00666F4F" w:rsidRDefault="00232EFA" w:rsidP="00232EFA">
            <w:pPr>
              <w:spacing w:after="0" w:line="240" w:lineRule="auto"/>
              <w:jc w:val="both"/>
              <w:rPr>
                <w:rFonts w:ascii="Cambria" w:eastAsia="Times New Roman" w:hAnsi="Cambria" w:cstheme="majorHAnsi"/>
                <w:color w:val="222222"/>
                <w:sz w:val="16"/>
                <w:szCs w:val="16"/>
                <w:u w:val="single"/>
              </w:rPr>
            </w:pPr>
            <w:r w:rsidRPr="00666F4F">
              <w:rPr>
                <w:rFonts w:ascii="Cambria" w:eastAsia="Times New Roman" w:hAnsi="Cambria" w:cstheme="majorHAnsi"/>
                <w:color w:val="222222"/>
                <w:sz w:val="16"/>
                <w:szCs w:val="16"/>
                <w:u w:val="single"/>
              </w:rPr>
              <w:t> </w:t>
            </w:r>
          </w:p>
        </w:tc>
      </w:tr>
      <w:tr w:rsidR="00232EFA" w:rsidRPr="00666F4F" w14:paraId="7A83776D" w14:textId="77777777">
        <w:trPr>
          <w:trHeight w:val="113"/>
        </w:trPr>
        <w:tc>
          <w:tcPr>
            <w:tcW w:w="1420" w:type="pct"/>
            <w:tcBorders>
              <w:top w:val="nil"/>
              <w:left w:val="single" w:sz="8" w:space="0" w:color="auto"/>
              <w:bottom w:val="single" w:sz="8" w:space="0" w:color="auto"/>
              <w:right w:val="single" w:sz="8" w:space="0" w:color="auto"/>
            </w:tcBorders>
            <w:noWrap/>
            <w:vAlign w:val="bottom"/>
            <w:hideMark/>
          </w:tcPr>
          <w:p w14:paraId="5A65D960" w14:textId="77777777" w:rsidR="00232EFA" w:rsidRPr="00666F4F" w:rsidRDefault="00232EFA" w:rsidP="00232EFA">
            <w:pPr>
              <w:spacing w:after="0" w:line="240" w:lineRule="auto"/>
              <w:jc w:val="both"/>
              <w:rPr>
                <w:rFonts w:ascii="Cambria" w:eastAsia="Times New Roman" w:hAnsi="Cambria" w:cstheme="majorHAnsi"/>
                <w:i/>
                <w:iCs/>
                <w:color w:val="222222"/>
                <w:sz w:val="16"/>
                <w:szCs w:val="16"/>
                <w:u w:val="single"/>
              </w:rPr>
            </w:pPr>
            <w:r w:rsidRPr="00666F4F">
              <w:rPr>
                <w:rFonts w:ascii="Cambria" w:eastAsia="Times New Roman" w:hAnsi="Cambria" w:cstheme="majorHAnsi"/>
                <w:i/>
                <w:color w:val="222222"/>
                <w:sz w:val="16"/>
                <w:szCs w:val="16"/>
                <w:u w:val="single"/>
              </w:rPr>
              <w:t>Nº de la Rec.</w:t>
            </w:r>
          </w:p>
        </w:tc>
        <w:tc>
          <w:tcPr>
            <w:tcW w:w="497" w:type="pct"/>
            <w:tcBorders>
              <w:top w:val="nil"/>
              <w:left w:val="nil"/>
              <w:bottom w:val="single" w:sz="8" w:space="0" w:color="auto"/>
              <w:right w:val="single" w:sz="4" w:space="0" w:color="auto"/>
            </w:tcBorders>
            <w:noWrap/>
            <w:vAlign w:val="bottom"/>
            <w:hideMark/>
          </w:tcPr>
          <w:p w14:paraId="10511371" w14:textId="77777777" w:rsidR="00232EFA" w:rsidRPr="00666F4F" w:rsidRDefault="00232EFA" w:rsidP="00232EFA">
            <w:pPr>
              <w:spacing w:after="0" w:line="240" w:lineRule="auto"/>
              <w:jc w:val="both"/>
              <w:rPr>
                <w:rFonts w:ascii="Cambria" w:eastAsia="Times New Roman" w:hAnsi="Cambria" w:cstheme="majorHAnsi"/>
                <w:i/>
                <w:iCs/>
                <w:color w:val="222222"/>
                <w:sz w:val="16"/>
                <w:szCs w:val="16"/>
                <w:u w:val="single"/>
              </w:rPr>
            </w:pPr>
            <w:r w:rsidRPr="00666F4F">
              <w:rPr>
                <w:rFonts w:ascii="Cambria" w:eastAsia="Times New Roman" w:hAnsi="Cambria" w:cstheme="majorHAnsi"/>
                <w:i/>
                <w:color w:val="222222"/>
                <w:sz w:val="16"/>
                <w:szCs w:val="16"/>
                <w:u w:val="single"/>
              </w:rPr>
              <w:t>22-11</w:t>
            </w:r>
          </w:p>
        </w:tc>
        <w:tc>
          <w:tcPr>
            <w:tcW w:w="497" w:type="pct"/>
            <w:tcBorders>
              <w:top w:val="nil"/>
              <w:left w:val="nil"/>
              <w:bottom w:val="single" w:sz="8" w:space="0" w:color="auto"/>
              <w:right w:val="nil"/>
            </w:tcBorders>
            <w:noWrap/>
            <w:vAlign w:val="bottom"/>
            <w:hideMark/>
          </w:tcPr>
          <w:p w14:paraId="1163882E" w14:textId="77777777" w:rsidR="00232EFA" w:rsidRPr="00666F4F" w:rsidRDefault="00232EFA" w:rsidP="00232EFA">
            <w:pPr>
              <w:spacing w:after="0" w:line="240" w:lineRule="auto"/>
              <w:jc w:val="both"/>
              <w:rPr>
                <w:rFonts w:ascii="Cambria" w:eastAsia="Times New Roman" w:hAnsi="Cambria" w:cstheme="majorHAnsi"/>
                <w:i/>
                <w:iCs/>
                <w:color w:val="222222"/>
                <w:sz w:val="16"/>
                <w:szCs w:val="16"/>
                <w:u w:val="single"/>
              </w:rPr>
            </w:pPr>
            <w:r w:rsidRPr="00666F4F">
              <w:rPr>
                <w:rFonts w:ascii="Cambria" w:eastAsia="Times New Roman" w:hAnsi="Cambria" w:cstheme="majorHAnsi"/>
                <w:i/>
                <w:color w:val="222222"/>
                <w:sz w:val="16"/>
                <w:szCs w:val="16"/>
                <w:u w:val="single"/>
              </w:rPr>
              <w:t>22-11</w:t>
            </w:r>
          </w:p>
        </w:tc>
        <w:tc>
          <w:tcPr>
            <w:tcW w:w="497" w:type="pct"/>
            <w:tcBorders>
              <w:top w:val="nil"/>
              <w:left w:val="single" w:sz="4" w:space="0" w:color="auto"/>
              <w:bottom w:val="single" w:sz="8" w:space="0" w:color="auto"/>
              <w:right w:val="nil"/>
            </w:tcBorders>
            <w:noWrap/>
            <w:vAlign w:val="bottom"/>
            <w:hideMark/>
          </w:tcPr>
          <w:p w14:paraId="326C140B" w14:textId="77777777" w:rsidR="00232EFA" w:rsidRPr="00666F4F" w:rsidRDefault="00232EFA" w:rsidP="00232EFA">
            <w:pPr>
              <w:spacing w:after="0" w:line="240" w:lineRule="auto"/>
              <w:jc w:val="both"/>
              <w:rPr>
                <w:rFonts w:ascii="Cambria" w:eastAsia="Times New Roman" w:hAnsi="Cambria" w:cstheme="majorHAnsi"/>
                <w:i/>
                <w:iCs/>
                <w:color w:val="222222"/>
                <w:sz w:val="16"/>
                <w:szCs w:val="16"/>
                <w:u w:val="single"/>
              </w:rPr>
            </w:pPr>
            <w:r w:rsidRPr="00666F4F">
              <w:rPr>
                <w:rFonts w:ascii="Cambria" w:eastAsia="Times New Roman" w:hAnsi="Cambria" w:cstheme="majorHAnsi"/>
                <w:i/>
                <w:color w:val="222222"/>
                <w:sz w:val="16"/>
                <w:szCs w:val="16"/>
                <w:u w:val="single"/>
              </w:rPr>
              <w:t>22-11</w:t>
            </w:r>
          </w:p>
        </w:tc>
        <w:tc>
          <w:tcPr>
            <w:tcW w:w="522" w:type="pct"/>
            <w:tcBorders>
              <w:top w:val="nil"/>
              <w:left w:val="single" w:sz="8" w:space="0" w:color="auto"/>
              <w:bottom w:val="single" w:sz="8" w:space="0" w:color="auto"/>
              <w:right w:val="single" w:sz="4" w:space="0" w:color="auto"/>
            </w:tcBorders>
            <w:noWrap/>
            <w:vAlign w:val="bottom"/>
            <w:hideMark/>
          </w:tcPr>
          <w:p w14:paraId="7749C0D6" w14:textId="77777777" w:rsidR="00232EFA" w:rsidRPr="00666F4F" w:rsidRDefault="00232EFA" w:rsidP="00232EFA">
            <w:pPr>
              <w:spacing w:after="0" w:line="240" w:lineRule="auto"/>
              <w:jc w:val="both"/>
              <w:rPr>
                <w:rFonts w:ascii="Cambria" w:eastAsia="Times New Roman" w:hAnsi="Cambria" w:cstheme="majorHAnsi"/>
                <w:i/>
                <w:iCs/>
                <w:color w:val="222222"/>
                <w:sz w:val="16"/>
                <w:szCs w:val="16"/>
                <w:u w:val="single"/>
              </w:rPr>
            </w:pPr>
            <w:r w:rsidRPr="00666F4F">
              <w:rPr>
                <w:rFonts w:ascii="Cambria" w:eastAsia="Times New Roman" w:hAnsi="Cambria" w:cstheme="majorHAnsi"/>
                <w:i/>
                <w:color w:val="222222"/>
                <w:sz w:val="16"/>
                <w:szCs w:val="16"/>
                <w:u w:val="single"/>
              </w:rPr>
              <w:t> </w:t>
            </w:r>
          </w:p>
        </w:tc>
        <w:tc>
          <w:tcPr>
            <w:tcW w:w="497" w:type="pct"/>
            <w:tcBorders>
              <w:top w:val="nil"/>
              <w:left w:val="single" w:sz="4" w:space="0" w:color="auto"/>
              <w:bottom w:val="single" w:sz="8" w:space="0" w:color="auto"/>
              <w:right w:val="single" w:sz="8" w:space="0" w:color="auto"/>
            </w:tcBorders>
            <w:noWrap/>
            <w:vAlign w:val="bottom"/>
            <w:hideMark/>
          </w:tcPr>
          <w:p w14:paraId="6377BF96" w14:textId="77777777" w:rsidR="00232EFA" w:rsidRPr="00666F4F" w:rsidRDefault="00232EFA" w:rsidP="00232EFA">
            <w:pPr>
              <w:spacing w:after="0" w:line="240" w:lineRule="auto"/>
              <w:jc w:val="both"/>
              <w:rPr>
                <w:rFonts w:ascii="Cambria" w:eastAsia="Times New Roman" w:hAnsi="Cambria" w:cstheme="majorHAnsi"/>
                <w:i/>
                <w:iCs/>
                <w:color w:val="222222"/>
                <w:sz w:val="16"/>
                <w:szCs w:val="16"/>
                <w:u w:val="single"/>
              </w:rPr>
            </w:pPr>
            <w:r w:rsidRPr="00666F4F">
              <w:rPr>
                <w:rFonts w:ascii="Cambria" w:eastAsia="Times New Roman" w:hAnsi="Cambria" w:cstheme="majorHAnsi"/>
                <w:i/>
                <w:color w:val="222222"/>
                <w:sz w:val="16"/>
                <w:szCs w:val="16"/>
                <w:u w:val="single"/>
              </w:rPr>
              <w:t> </w:t>
            </w:r>
          </w:p>
        </w:tc>
        <w:tc>
          <w:tcPr>
            <w:tcW w:w="535" w:type="pct"/>
            <w:tcBorders>
              <w:top w:val="nil"/>
              <w:left w:val="nil"/>
              <w:bottom w:val="single" w:sz="8" w:space="0" w:color="auto"/>
              <w:right w:val="nil"/>
            </w:tcBorders>
            <w:noWrap/>
            <w:vAlign w:val="bottom"/>
            <w:hideMark/>
          </w:tcPr>
          <w:p w14:paraId="03FDC26D" w14:textId="77777777" w:rsidR="00232EFA" w:rsidRPr="00666F4F" w:rsidRDefault="00232EFA" w:rsidP="00232EFA">
            <w:pPr>
              <w:spacing w:after="0" w:line="240" w:lineRule="auto"/>
              <w:jc w:val="both"/>
              <w:rPr>
                <w:rFonts w:ascii="Cambria" w:eastAsia="Times New Roman" w:hAnsi="Cambria" w:cstheme="majorHAnsi"/>
                <w:b/>
                <w:bCs/>
                <w:color w:val="222222"/>
                <w:sz w:val="16"/>
                <w:szCs w:val="16"/>
                <w:u w:val="single"/>
              </w:rPr>
            </w:pPr>
            <w:r w:rsidRPr="00666F4F">
              <w:rPr>
                <w:rFonts w:ascii="Cambria" w:eastAsia="Times New Roman" w:hAnsi="Cambria" w:cstheme="majorHAnsi"/>
                <w:b/>
                <w:color w:val="222222"/>
                <w:sz w:val="16"/>
                <w:szCs w:val="16"/>
                <w:u w:val="single"/>
              </w:rPr>
              <w:t> </w:t>
            </w:r>
          </w:p>
        </w:tc>
        <w:tc>
          <w:tcPr>
            <w:tcW w:w="535" w:type="pct"/>
            <w:tcBorders>
              <w:top w:val="nil"/>
              <w:left w:val="single" w:sz="4" w:space="0" w:color="auto"/>
              <w:bottom w:val="single" w:sz="8" w:space="0" w:color="auto"/>
              <w:right w:val="single" w:sz="8" w:space="0" w:color="auto"/>
            </w:tcBorders>
            <w:noWrap/>
            <w:vAlign w:val="bottom"/>
            <w:hideMark/>
          </w:tcPr>
          <w:p w14:paraId="39187669" w14:textId="77777777" w:rsidR="00232EFA" w:rsidRPr="00666F4F" w:rsidRDefault="00232EFA" w:rsidP="00232EFA">
            <w:pPr>
              <w:spacing w:after="0" w:line="240" w:lineRule="auto"/>
              <w:jc w:val="both"/>
              <w:rPr>
                <w:rFonts w:ascii="Cambria" w:eastAsia="Times New Roman" w:hAnsi="Cambria" w:cstheme="majorHAnsi"/>
                <w:b/>
                <w:bCs/>
                <w:color w:val="222222"/>
                <w:sz w:val="16"/>
                <w:szCs w:val="16"/>
                <w:u w:val="single"/>
              </w:rPr>
            </w:pPr>
            <w:r w:rsidRPr="00666F4F">
              <w:rPr>
                <w:rFonts w:ascii="Cambria" w:eastAsia="Times New Roman" w:hAnsi="Cambria" w:cstheme="majorHAnsi"/>
                <w:b/>
                <w:color w:val="222222"/>
                <w:sz w:val="16"/>
                <w:szCs w:val="16"/>
                <w:u w:val="single"/>
              </w:rPr>
              <w:t> </w:t>
            </w:r>
          </w:p>
        </w:tc>
      </w:tr>
    </w:tbl>
    <w:p w14:paraId="5956B0B4" w14:textId="435522EE" w:rsidR="00232EFA" w:rsidRPr="00232EFA" w:rsidRDefault="00232EFA" w:rsidP="003411F8">
      <w:pPr>
        <w:numPr>
          <w:ilvl w:val="0"/>
          <w:numId w:val="14"/>
        </w:numPr>
        <w:tabs>
          <w:tab w:val="clear" w:pos="720"/>
        </w:tabs>
        <w:spacing w:after="0" w:line="240" w:lineRule="auto"/>
        <w:ind w:left="426" w:hanging="426"/>
        <w:jc w:val="both"/>
        <w:rPr>
          <w:rFonts w:ascii="Cambria" w:eastAsia="Times New Roman" w:hAnsi="Cambria" w:cstheme="majorHAnsi"/>
          <w:color w:val="222222"/>
          <w:sz w:val="20"/>
          <w:szCs w:val="20"/>
          <w:u w:val="single"/>
        </w:rPr>
      </w:pPr>
      <w:r w:rsidRPr="00232EFA">
        <w:rPr>
          <w:rFonts w:ascii="Cambria" w:eastAsia="Times New Roman" w:hAnsi="Cambria" w:cstheme="majorHAnsi"/>
          <w:b/>
          <w:bCs/>
          <w:color w:val="222222"/>
          <w:sz w:val="20"/>
          <w:szCs w:val="20"/>
          <w:u w:val="single"/>
        </w:rPr>
        <w:t>Dépassement de la limite de capture</w:t>
      </w:r>
      <w:r w:rsidR="004C27D6">
        <w:rPr>
          <w:rFonts w:ascii="Cambria" w:eastAsia="Times New Roman" w:hAnsi="Cambria" w:cstheme="majorHAnsi"/>
          <w:b/>
          <w:bCs/>
          <w:color w:val="222222"/>
          <w:sz w:val="20"/>
          <w:szCs w:val="20"/>
          <w:u w:val="single"/>
        </w:rPr>
        <w:t> :</w:t>
      </w:r>
    </w:p>
    <w:p w14:paraId="6DC5C8D9" w14:textId="77777777" w:rsidR="00232EFA" w:rsidRPr="00232EFA" w:rsidRDefault="00232EFA" w:rsidP="00232EFA">
      <w:pPr>
        <w:spacing w:after="0" w:line="240" w:lineRule="auto"/>
        <w:jc w:val="both"/>
        <w:rPr>
          <w:rFonts w:ascii="Cambria" w:eastAsia="Times New Roman" w:hAnsi="Cambria" w:cstheme="majorHAnsi"/>
          <w:color w:val="222222"/>
          <w:sz w:val="20"/>
          <w:szCs w:val="20"/>
          <w:u w:val="single"/>
        </w:rPr>
      </w:pPr>
    </w:p>
    <w:p w14:paraId="57B71668" w14:textId="4497A148" w:rsidR="00232EFA" w:rsidRPr="00232EFA" w:rsidRDefault="00232EFA" w:rsidP="003411F8">
      <w:pPr>
        <w:numPr>
          <w:ilvl w:val="0"/>
          <w:numId w:val="15"/>
        </w:numPr>
        <w:spacing w:after="0" w:line="240" w:lineRule="auto"/>
        <w:ind w:left="426" w:hanging="426"/>
        <w:jc w:val="both"/>
        <w:rPr>
          <w:rFonts w:ascii="Cambria" w:eastAsia="Times New Roman" w:hAnsi="Cambria" w:cstheme="majorHAnsi"/>
          <w:color w:val="222222"/>
          <w:sz w:val="20"/>
          <w:szCs w:val="20"/>
          <w:u w:val="single"/>
        </w:rPr>
      </w:pPr>
      <w:r w:rsidRPr="00232EFA">
        <w:rPr>
          <w:rFonts w:ascii="Cambria" w:eastAsia="Times New Roman" w:hAnsi="Cambria" w:cstheme="majorHAnsi"/>
          <w:color w:val="222222"/>
          <w:sz w:val="20"/>
          <w:szCs w:val="20"/>
          <w:u w:val="single"/>
        </w:rPr>
        <w:t xml:space="preserve">La </w:t>
      </w:r>
      <w:bookmarkStart w:id="3" w:name="_Hlk212460736"/>
      <w:r w:rsidRPr="00232EFA">
        <w:rPr>
          <w:rFonts w:ascii="Cambria" w:eastAsia="Times New Roman" w:hAnsi="Cambria" w:cstheme="majorHAnsi"/>
          <w:color w:val="222222"/>
          <w:sz w:val="20"/>
          <w:szCs w:val="20"/>
          <w:u w:val="single"/>
        </w:rPr>
        <w:t xml:space="preserve">Rec. 22-11 </w:t>
      </w:r>
      <w:bookmarkEnd w:id="3"/>
      <w:r w:rsidRPr="00232EFA">
        <w:rPr>
          <w:rFonts w:ascii="Cambria" w:eastAsia="Times New Roman" w:hAnsi="Cambria" w:cstheme="majorHAnsi"/>
          <w:color w:val="222222"/>
          <w:sz w:val="20"/>
          <w:szCs w:val="20"/>
          <w:u w:val="single"/>
        </w:rPr>
        <w:t>fixe une limite de 256 tonnes pour les débarquements de requin-taupe bleu en 2022.</w:t>
      </w:r>
    </w:p>
    <w:p w14:paraId="5C5A5628" w14:textId="77777777" w:rsidR="003411F8" w:rsidRDefault="003411F8" w:rsidP="003411F8">
      <w:pPr>
        <w:spacing w:after="0" w:line="240" w:lineRule="auto"/>
        <w:ind w:left="426"/>
        <w:jc w:val="both"/>
        <w:rPr>
          <w:rFonts w:ascii="Cambria" w:eastAsia="Times New Roman" w:hAnsi="Cambria" w:cstheme="majorHAnsi"/>
          <w:color w:val="222222"/>
          <w:sz w:val="20"/>
          <w:szCs w:val="20"/>
          <w:u w:val="single"/>
        </w:rPr>
      </w:pPr>
    </w:p>
    <w:p w14:paraId="25E36B13" w14:textId="21E4A9FF" w:rsidR="00232EFA" w:rsidRPr="00232EFA" w:rsidRDefault="00232EFA" w:rsidP="003411F8">
      <w:pPr>
        <w:numPr>
          <w:ilvl w:val="0"/>
          <w:numId w:val="15"/>
        </w:numPr>
        <w:spacing w:after="0" w:line="240" w:lineRule="auto"/>
        <w:ind w:left="426" w:hanging="426"/>
        <w:jc w:val="both"/>
        <w:rPr>
          <w:rFonts w:ascii="Cambria" w:eastAsia="Times New Roman" w:hAnsi="Cambria" w:cstheme="majorHAnsi"/>
          <w:color w:val="222222"/>
          <w:sz w:val="20"/>
          <w:szCs w:val="20"/>
          <w:u w:val="single"/>
        </w:rPr>
      </w:pPr>
      <w:r w:rsidRPr="00232EFA">
        <w:rPr>
          <w:rFonts w:ascii="Cambria" w:eastAsia="Times New Roman" w:hAnsi="Cambria" w:cstheme="majorHAnsi"/>
          <w:color w:val="222222"/>
          <w:sz w:val="20"/>
          <w:szCs w:val="20"/>
          <w:u w:val="single"/>
        </w:rPr>
        <w:t>La Namibie a débarqué 250,88 tonnes en 2024, contre 522 tonnes en 2023.</w:t>
      </w:r>
    </w:p>
    <w:p w14:paraId="208F82D5" w14:textId="77777777" w:rsidR="00232EFA" w:rsidRPr="00232EFA" w:rsidRDefault="00232EFA" w:rsidP="00232EFA">
      <w:pPr>
        <w:spacing w:after="0" w:line="240" w:lineRule="auto"/>
        <w:jc w:val="both"/>
        <w:rPr>
          <w:rFonts w:ascii="Cambria" w:eastAsia="Times New Roman" w:hAnsi="Cambria" w:cstheme="majorHAnsi"/>
          <w:color w:val="222222"/>
          <w:sz w:val="20"/>
          <w:szCs w:val="20"/>
          <w:u w:val="single"/>
        </w:rPr>
      </w:pPr>
    </w:p>
    <w:p w14:paraId="3C9AF16F" w14:textId="37F55844" w:rsidR="00232EFA" w:rsidRPr="00232EFA" w:rsidRDefault="00232EFA" w:rsidP="003411F8">
      <w:pPr>
        <w:numPr>
          <w:ilvl w:val="0"/>
          <w:numId w:val="14"/>
        </w:numPr>
        <w:tabs>
          <w:tab w:val="clear" w:pos="720"/>
        </w:tabs>
        <w:spacing w:after="0" w:line="240" w:lineRule="auto"/>
        <w:ind w:left="426" w:hanging="426"/>
        <w:jc w:val="both"/>
        <w:rPr>
          <w:rFonts w:ascii="Cambria" w:eastAsia="Times New Roman" w:hAnsi="Cambria" w:cstheme="majorHAnsi"/>
          <w:color w:val="222222"/>
          <w:sz w:val="20"/>
          <w:szCs w:val="20"/>
          <w:u w:val="single"/>
        </w:rPr>
      </w:pPr>
      <w:r w:rsidRPr="00232EFA">
        <w:rPr>
          <w:rFonts w:ascii="Cambria" w:eastAsia="Times New Roman" w:hAnsi="Cambria" w:cstheme="majorHAnsi"/>
          <w:b/>
          <w:bCs/>
          <w:color w:val="222222"/>
          <w:sz w:val="20"/>
          <w:szCs w:val="20"/>
          <w:u w:val="single"/>
        </w:rPr>
        <w:t>Lois nationales sur les rejets</w:t>
      </w:r>
      <w:r w:rsidR="004C27D6">
        <w:rPr>
          <w:rFonts w:ascii="Cambria" w:eastAsia="Times New Roman" w:hAnsi="Cambria" w:cstheme="majorHAnsi"/>
          <w:b/>
          <w:bCs/>
          <w:color w:val="222222"/>
          <w:sz w:val="20"/>
          <w:szCs w:val="20"/>
          <w:u w:val="single"/>
        </w:rPr>
        <w:t> :</w:t>
      </w:r>
    </w:p>
    <w:p w14:paraId="1F2CF0D0" w14:textId="77777777" w:rsidR="00232EFA" w:rsidRPr="00232EFA" w:rsidRDefault="00232EFA" w:rsidP="00232EFA">
      <w:pPr>
        <w:spacing w:after="0" w:line="240" w:lineRule="auto"/>
        <w:jc w:val="both"/>
        <w:rPr>
          <w:rFonts w:ascii="Cambria" w:eastAsia="Times New Roman" w:hAnsi="Cambria" w:cstheme="majorHAnsi"/>
          <w:color w:val="222222"/>
          <w:sz w:val="20"/>
          <w:szCs w:val="20"/>
          <w:u w:val="single"/>
        </w:rPr>
      </w:pPr>
    </w:p>
    <w:p w14:paraId="1A1F2BF7" w14:textId="77777777" w:rsidR="00232EFA" w:rsidRPr="00232EFA" w:rsidRDefault="00232EFA" w:rsidP="003411F8">
      <w:pPr>
        <w:numPr>
          <w:ilvl w:val="0"/>
          <w:numId w:val="15"/>
        </w:numPr>
        <w:spacing w:after="0" w:line="240" w:lineRule="auto"/>
        <w:ind w:left="426" w:hanging="426"/>
        <w:jc w:val="both"/>
        <w:rPr>
          <w:rFonts w:ascii="Cambria" w:eastAsia="Times New Roman" w:hAnsi="Cambria" w:cstheme="majorHAnsi"/>
          <w:color w:val="222222"/>
          <w:sz w:val="20"/>
          <w:szCs w:val="20"/>
          <w:u w:val="single"/>
        </w:rPr>
      </w:pPr>
      <w:r w:rsidRPr="00232EFA">
        <w:rPr>
          <w:rFonts w:ascii="Cambria" w:eastAsia="Times New Roman" w:hAnsi="Cambria" w:cstheme="majorHAnsi"/>
          <w:color w:val="222222"/>
          <w:sz w:val="20"/>
          <w:szCs w:val="20"/>
          <w:u w:val="single"/>
        </w:rPr>
        <w:t>La loi namibienne interdit de rejeter tout poisson mort, y compris le requin-taupe bleu, ce qui signifie que toutes les prises mortes doivent être conservées à bord et débarquées.</w:t>
      </w:r>
    </w:p>
    <w:p w14:paraId="38E65263" w14:textId="77777777" w:rsidR="00232EFA" w:rsidRPr="00232EFA" w:rsidRDefault="00232EFA" w:rsidP="00232EFA">
      <w:pPr>
        <w:spacing w:after="0" w:line="240" w:lineRule="auto"/>
        <w:jc w:val="both"/>
        <w:rPr>
          <w:rFonts w:ascii="Cambria" w:eastAsia="Times New Roman" w:hAnsi="Cambria" w:cstheme="majorHAnsi"/>
          <w:color w:val="222222"/>
          <w:sz w:val="20"/>
          <w:szCs w:val="20"/>
          <w:u w:val="single"/>
        </w:rPr>
      </w:pPr>
    </w:p>
    <w:p w14:paraId="76F36785" w14:textId="77777777" w:rsidR="00232EFA" w:rsidRPr="00232EFA" w:rsidRDefault="00232EFA" w:rsidP="003411F8">
      <w:pPr>
        <w:numPr>
          <w:ilvl w:val="0"/>
          <w:numId w:val="15"/>
        </w:numPr>
        <w:spacing w:after="0" w:line="240" w:lineRule="auto"/>
        <w:ind w:left="426" w:hanging="426"/>
        <w:jc w:val="both"/>
        <w:rPr>
          <w:rFonts w:ascii="Cambria" w:eastAsia="Times New Roman" w:hAnsi="Cambria" w:cstheme="majorHAnsi"/>
          <w:color w:val="222222"/>
          <w:sz w:val="20"/>
          <w:szCs w:val="20"/>
          <w:u w:val="single"/>
        </w:rPr>
      </w:pPr>
      <w:r w:rsidRPr="00232EFA">
        <w:rPr>
          <w:rFonts w:ascii="Cambria" w:eastAsia="Times New Roman" w:hAnsi="Cambria" w:cstheme="majorHAnsi"/>
          <w:color w:val="222222"/>
          <w:sz w:val="20"/>
          <w:szCs w:val="20"/>
          <w:u w:val="single"/>
        </w:rPr>
        <w:t>Cette réglementation a une incidence sur la manière dont la Namibie peut gérer les captures de requins, car nous sommes légalement tenus de débarquer tous les spécimens de requin-taupe bleu morts plutôt que de les rejeter en mer.</w:t>
      </w:r>
    </w:p>
    <w:p w14:paraId="72D7450F" w14:textId="77777777" w:rsidR="00232EFA" w:rsidRPr="00232EFA" w:rsidRDefault="00232EFA" w:rsidP="00232EFA">
      <w:pPr>
        <w:spacing w:after="0" w:line="240" w:lineRule="auto"/>
        <w:jc w:val="both"/>
        <w:rPr>
          <w:rFonts w:ascii="Cambria" w:eastAsia="Times New Roman" w:hAnsi="Cambria" w:cstheme="majorHAnsi"/>
          <w:color w:val="222222"/>
          <w:sz w:val="20"/>
          <w:szCs w:val="20"/>
          <w:u w:val="single"/>
        </w:rPr>
      </w:pPr>
    </w:p>
    <w:p w14:paraId="47815872" w14:textId="6D9DB7CC" w:rsidR="00232EFA" w:rsidRPr="00232EFA" w:rsidRDefault="00232EFA" w:rsidP="003411F8">
      <w:pPr>
        <w:numPr>
          <w:ilvl w:val="0"/>
          <w:numId w:val="14"/>
        </w:numPr>
        <w:tabs>
          <w:tab w:val="clear" w:pos="720"/>
        </w:tabs>
        <w:spacing w:after="0" w:line="240" w:lineRule="auto"/>
        <w:ind w:left="426" w:hanging="426"/>
        <w:jc w:val="both"/>
        <w:rPr>
          <w:rFonts w:ascii="Cambria" w:eastAsia="Times New Roman" w:hAnsi="Cambria" w:cstheme="majorHAnsi"/>
          <w:color w:val="222222"/>
          <w:sz w:val="20"/>
          <w:szCs w:val="20"/>
          <w:u w:val="single"/>
        </w:rPr>
      </w:pPr>
      <w:r w:rsidRPr="00232EFA">
        <w:rPr>
          <w:rFonts w:ascii="Cambria" w:eastAsia="Times New Roman" w:hAnsi="Cambria" w:cstheme="majorHAnsi"/>
          <w:b/>
          <w:bCs/>
          <w:color w:val="222222"/>
          <w:sz w:val="20"/>
          <w:szCs w:val="20"/>
          <w:u w:val="single"/>
        </w:rPr>
        <w:t>Mesures mises en œuvre pour réduire les débarquements</w:t>
      </w:r>
      <w:r w:rsidR="004C27D6">
        <w:rPr>
          <w:rFonts w:ascii="Cambria" w:eastAsia="Times New Roman" w:hAnsi="Cambria" w:cstheme="majorHAnsi"/>
          <w:b/>
          <w:bCs/>
          <w:color w:val="222222"/>
          <w:sz w:val="20"/>
          <w:szCs w:val="20"/>
          <w:u w:val="single"/>
        </w:rPr>
        <w:t> :</w:t>
      </w:r>
    </w:p>
    <w:p w14:paraId="482ADAF7" w14:textId="77777777" w:rsidR="00232EFA" w:rsidRPr="00232EFA" w:rsidRDefault="00232EFA" w:rsidP="00232EFA">
      <w:pPr>
        <w:spacing w:after="0" w:line="240" w:lineRule="auto"/>
        <w:jc w:val="both"/>
        <w:rPr>
          <w:rFonts w:ascii="Cambria" w:eastAsia="Times New Roman" w:hAnsi="Cambria" w:cstheme="majorHAnsi"/>
          <w:color w:val="222222"/>
          <w:sz w:val="20"/>
          <w:szCs w:val="20"/>
          <w:u w:val="single"/>
        </w:rPr>
      </w:pPr>
    </w:p>
    <w:p w14:paraId="2F1F0F7F" w14:textId="017F8CB6" w:rsidR="00232EFA" w:rsidRPr="00232EFA" w:rsidRDefault="00232EFA" w:rsidP="003411F8">
      <w:pPr>
        <w:numPr>
          <w:ilvl w:val="0"/>
          <w:numId w:val="15"/>
        </w:numPr>
        <w:spacing w:after="0" w:line="240" w:lineRule="auto"/>
        <w:ind w:left="426" w:hanging="426"/>
        <w:jc w:val="both"/>
        <w:rPr>
          <w:rFonts w:ascii="Cambria" w:eastAsia="Times New Roman" w:hAnsi="Cambria" w:cstheme="majorHAnsi"/>
          <w:color w:val="222222"/>
          <w:sz w:val="20"/>
          <w:szCs w:val="20"/>
          <w:u w:val="single"/>
        </w:rPr>
      </w:pPr>
      <w:r w:rsidRPr="00232EFA">
        <w:rPr>
          <w:rFonts w:ascii="Cambria" w:eastAsia="Times New Roman" w:hAnsi="Cambria" w:cstheme="majorHAnsi"/>
          <w:color w:val="222222"/>
          <w:sz w:val="20"/>
          <w:szCs w:val="20"/>
          <w:u w:val="single"/>
        </w:rPr>
        <w:t>Pour se conformer aux objectifs de l’ICCAT, la Namibie a mis en place des mesures spécifiques</w:t>
      </w:r>
      <w:r w:rsidR="008477AF">
        <w:rPr>
          <w:rFonts w:ascii="Cambria" w:eastAsia="Times New Roman" w:hAnsi="Cambria" w:cstheme="majorHAnsi"/>
          <w:color w:val="222222"/>
          <w:sz w:val="20"/>
          <w:szCs w:val="20"/>
          <w:u w:val="single"/>
        </w:rPr>
        <w:t> :</w:t>
      </w:r>
    </w:p>
    <w:p w14:paraId="55A245D7" w14:textId="77777777" w:rsidR="00232EFA" w:rsidRPr="00232EFA" w:rsidRDefault="00232EFA" w:rsidP="00232EFA">
      <w:pPr>
        <w:spacing w:after="0" w:line="240" w:lineRule="auto"/>
        <w:jc w:val="both"/>
        <w:rPr>
          <w:rFonts w:ascii="Cambria" w:eastAsia="Times New Roman" w:hAnsi="Cambria" w:cstheme="majorHAnsi"/>
          <w:color w:val="222222"/>
          <w:sz w:val="20"/>
          <w:szCs w:val="20"/>
          <w:u w:val="single"/>
        </w:rPr>
      </w:pPr>
    </w:p>
    <w:p w14:paraId="4D5E269E" w14:textId="174FB908" w:rsidR="00232EFA" w:rsidRPr="00232EFA" w:rsidRDefault="00232EFA" w:rsidP="003411F8">
      <w:pPr>
        <w:numPr>
          <w:ilvl w:val="2"/>
          <w:numId w:val="14"/>
        </w:numPr>
        <w:spacing w:after="0" w:line="240" w:lineRule="auto"/>
        <w:ind w:left="1276" w:hanging="425"/>
        <w:jc w:val="both"/>
        <w:rPr>
          <w:rFonts w:ascii="Cambria" w:eastAsia="Times New Roman" w:hAnsi="Cambria" w:cstheme="majorHAnsi"/>
          <w:color w:val="222222"/>
          <w:sz w:val="20"/>
          <w:szCs w:val="20"/>
          <w:u w:val="single"/>
        </w:rPr>
      </w:pPr>
      <w:r w:rsidRPr="00232EFA">
        <w:rPr>
          <w:rFonts w:ascii="Cambria" w:eastAsia="Times New Roman" w:hAnsi="Cambria" w:cstheme="majorHAnsi"/>
          <w:color w:val="222222"/>
          <w:sz w:val="20"/>
          <w:szCs w:val="20"/>
          <w:u w:val="single"/>
        </w:rPr>
        <w:t>Tous les requins-taupes bleus vivants remontés lors des opérations de pêche sont relâchés dans la mer</w:t>
      </w:r>
      <w:r w:rsidR="008477AF">
        <w:rPr>
          <w:rFonts w:ascii="Cambria" w:eastAsia="Times New Roman" w:hAnsi="Cambria" w:cstheme="majorHAnsi"/>
          <w:color w:val="222222"/>
          <w:sz w:val="20"/>
          <w:szCs w:val="20"/>
          <w:u w:val="single"/>
        </w:rPr>
        <w:t>.</w:t>
      </w:r>
    </w:p>
    <w:p w14:paraId="2FFC4940" w14:textId="77777777" w:rsidR="00232EFA" w:rsidRPr="00232EFA" w:rsidRDefault="00232EFA" w:rsidP="003411F8">
      <w:pPr>
        <w:numPr>
          <w:ilvl w:val="2"/>
          <w:numId w:val="14"/>
        </w:numPr>
        <w:spacing w:after="0" w:line="240" w:lineRule="auto"/>
        <w:ind w:left="1276" w:hanging="425"/>
        <w:jc w:val="both"/>
        <w:rPr>
          <w:rFonts w:ascii="Cambria" w:eastAsia="Times New Roman" w:hAnsi="Cambria" w:cstheme="majorHAnsi"/>
          <w:color w:val="222222"/>
          <w:sz w:val="20"/>
          <w:szCs w:val="20"/>
          <w:u w:val="single"/>
        </w:rPr>
      </w:pPr>
      <w:r w:rsidRPr="00232EFA">
        <w:rPr>
          <w:rFonts w:ascii="Cambria" w:eastAsia="Times New Roman" w:hAnsi="Cambria" w:cstheme="majorHAnsi"/>
          <w:color w:val="222222"/>
          <w:sz w:val="20"/>
          <w:szCs w:val="20"/>
          <w:u w:val="single"/>
        </w:rPr>
        <w:t>Seuls les spécimens morts sont retenus et débarqués, conformément à la législation namibienne anti-rejets.</w:t>
      </w:r>
    </w:p>
    <w:p w14:paraId="7C92EB85" w14:textId="0B2FBFFB" w:rsidR="00232EFA" w:rsidRPr="00232EFA" w:rsidRDefault="00232EFA" w:rsidP="003411F8">
      <w:pPr>
        <w:numPr>
          <w:ilvl w:val="2"/>
          <w:numId w:val="14"/>
        </w:numPr>
        <w:spacing w:after="0" w:line="240" w:lineRule="auto"/>
        <w:ind w:left="1276" w:hanging="425"/>
        <w:jc w:val="both"/>
        <w:rPr>
          <w:rFonts w:ascii="Cambria" w:eastAsia="Times New Roman" w:hAnsi="Cambria" w:cstheme="majorHAnsi"/>
          <w:color w:val="222222"/>
          <w:sz w:val="20"/>
          <w:szCs w:val="20"/>
          <w:u w:val="single"/>
        </w:rPr>
      </w:pPr>
      <w:r w:rsidRPr="00232EFA">
        <w:rPr>
          <w:rFonts w:ascii="Cambria" w:eastAsia="Times New Roman" w:hAnsi="Cambria" w:cstheme="majorHAnsi"/>
          <w:color w:val="222222"/>
          <w:sz w:val="20"/>
          <w:szCs w:val="20"/>
          <w:u w:val="single"/>
        </w:rPr>
        <w:t xml:space="preserve">En outre, les navires titulaires d'une licence délivrée par la Namibie ont reçu pour instruction d'éviter les zones où les captures de requins-taupes bleus sont les plus </w:t>
      </w:r>
      <w:r w:rsidR="005B546B">
        <w:rPr>
          <w:rFonts w:ascii="Cambria" w:eastAsia="Times New Roman" w:hAnsi="Cambria" w:cstheme="majorHAnsi"/>
          <w:color w:val="222222"/>
          <w:sz w:val="20"/>
          <w:szCs w:val="20"/>
          <w:u w:val="single"/>
        </w:rPr>
        <w:t>élevées</w:t>
      </w:r>
      <w:r w:rsidR="008477AF">
        <w:rPr>
          <w:rFonts w:ascii="Cambria" w:eastAsia="Times New Roman" w:hAnsi="Cambria" w:cstheme="majorHAnsi"/>
          <w:color w:val="222222"/>
          <w:sz w:val="20"/>
          <w:szCs w:val="20"/>
          <w:u w:val="single"/>
        </w:rPr>
        <w:t>.</w:t>
      </w:r>
    </w:p>
    <w:p w14:paraId="2B625444" w14:textId="2DF2BB39" w:rsidR="00232EFA" w:rsidRPr="00232EFA" w:rsidRDefault="00232EFA" w:rsidP="003411F8">
      <w:pPr>
        <w:numPr>
          <w:ilvl w:val="2"/>
          <w:numId w:val="14"/>
        </w:numPr>
        <w:spacing w:after="0" w:line="240" w:lineRule="auto"/>
        <w:ind w:left="1276" w:hanging="425"/>
        <w:jc w:val="both"/>
        <w:rPr>
          <w:rFonts w:ascii="Cambria" w:eastAsia="Times New Roman" w:hAnsi="Cambria" w:cstheme="majorHAnsi"/>
          <w:color w:val="222222"/>
          <w:sz w:val="20"/>
          <w:szCs w:val="20"/>
          <w:u w:val="single"/>
        </w:rPr>
      </w:pPr>
      <w:r w:rsidRPr="00232EFA">
        <w:rPr>
          <w:rFonts w:ascii="Cambria" w:eastAsia="Times New Roman" w:hAnsi="Cambria" w:cstheme="majorHAnsi"/>
          <w:color w:val="222222"/>
          <w:sz w:val="20"/>
          <w:szCs w:val="20"/>
          <w:u w:val="single"/>
        </w:rPr>
        <w:t>Il convient de noter que ces mesures n'ont été mises en œuvre par la Namibie qu'en juin/juillet 2023, de sorte que l'impact des mesures ne reflète que la moitié de la réduction de l'effort de capture réalisée par la Namibie en 2023</w:t>
      </w:r>
      <w:r w:rsidR="008477AF">
        <w:rPr>
          <w:rFonts w:ascii="Cambria" w:eastAsia="Times New Roman" w:hAnsi="Cambria" w:cstheme="majorHAnsi"/>
          <w:color w:val="222222"/>
          <w:sz w:val="20"/>
          <w:szCs w:val="20"/>
          <w:u w:val="single"/>
        </w:rPr>
        <w:t>.</w:t>
      </w:r>
    </w:p>
    <w:p w14:paraId="76476D6C" w14:textId="77777777" w:rsidR="00232EFA" w:rsidRPr="00232EFA" w:rsidRDefault="00232EFA" w:rsidP="003411F8">
      <w:pPr>
        <w:numPr>
          <w:ilvl w:val="2"/>
          <w:numId w:val="14"/>
        </w:numPr>
        <w:spacing w:after="0" w:line="240" w:lineRule="auto"/>
        <w:ind w:left="1276" w:hanging="425"/>
        <w:jc w:val="both"/>
        <w:rPr>
          <w:rFonts w:ascii="Cambria" w:eastAsia="Times New Roman" w:hAnsi="Cambria" w:cstheme="majorHAnsi"/>
          <w:color w:val="222222"/>
          <w:sz w:val="20"/>
          <w:szCs w:val="20"/>
          <w:u w:val="single"/>
        </w:rPr>
      </w:pPr>
      <w:r w:rsidRPr="00232EFA">
        <w:rPr>
          <w:rFonts w:ascii="Cambria" w:eastAsia="Times New Roman" w:hAnsi="Cambria" w:cstheme="majorHAnsi"/>
          <w:color w:val="222222"/>
          <w:sz w:val="20"/>
          <w:szCs w:val="20"/>
          <w:u w:val="single"/>
        </w:rPr>
        <w:t>En Namibie, le requin-taupe est plus abondant à un niveau plus élevé (moins profond) dans la colonne d'eau que les autres grandes espèces pélagiques. Afin de réduire davantage nos prises de requins-taupes, nos navires mouillent leurs lignes plus profondément dans la colonne d'eau.</w:t>
      </w:r>
    </w:p>
    <w:p w14:paraId="2D3DB555" w14:textId="77777777" w:rsidR="00232EFA" w:rsidRPr="00232EFA" w:rsidRDefault="00232EFA" w:rsidP="00232EFA">
      <w:pPr>
        <w:spacing w:after="0" w:line="240" w:lineRule="auto"/>
        <w:jc w:val="both"/>
        <w:rPr>
          <w:rFonts w:ascii="Cambria" w:eastAsia="Times New Roman" w:hAnsi="Cambria" w:cstheme="majorHAnsi"/>
          <w:color w:val="222222"/>
          <w:sz w:val="20"/>
          <w:szCs w:val="20"/>
          <w:u w:val="single"/>
        </w:rPr>
      </w:pPr>
    </w:p>
    <w:p w14:paraId="33624357" w14:textId="77777777" w:rsidR="00232EFA" w:rsidRPr="00232EFA" w:rsidRDefault="00232EFA" w:rsidP="003411F8">
      <w:pPr>
        <w:numPr>
          <w:ilvl w:val="0"/>
          <w:numId w:val="15"/>
        </w:numPr>
        <w:spacing w:after="0" w:line="240" w:lineRule="auto"/>
        <w:ind w:left="426" w:hanging="426"/>
        <w:jc w:val="both"/>
        <w:rPr>
          <w:rFonts w:ascii="Cambria" w:eastAsia="Times New Roman" w:hAnsi="Cambria" w:cstheme="majorHAnsi"/>
          <w:color w:val="222222"/>
          <w:sz w:val="20"/>
          <w:szCs w:val="20"/>
          <w:u w:val="single"/>
        </w:rPr>
      </w:pPr>
      <w:r w:rsidRPr="00232EFA">
        <w:rPr>
          <w:rFonts w:ascii="Cambria" w:eastAsia="Times New Roman" w:hAnsi="Cambria" w:cstheme="majorHAnsi"/>
          <w:color w:val="222222"/>
          <w:sz w:val="20"/>
          <w:szCs w:val="20"/>
          <w:u w:val="single"/>
        </w:rPr>
        <w:t xml:space="preserve">Les </w:t>
      </w:r>
      <w:r w:rsidRPr="00232EFA">
        <w:rPr>
          <w:rFonts w:ascii="Cambria" w:eastAsia="Times New Roman" w:hAnsi="Cambria" w:cstheme="majorHAnsi"/>
          <w:b/>
          <w:bCs/>
          <w:color w:val="222222"/>
          <w:sz w:val="20"/>
          <w:szCs w:val="20"/>
          <w:u w:val="single"/>
        </w:rPr>
        <w:t>figures 2 et 3</w:t>
      </w:r>
      <w:r w:rsidRPr="00232EFA">
        <w:rPr>
          <w:rFonts w:ascii="Cambria" w:eastAsia="Times New Roman" w:hAnsi="Cambria" w:cstheme="majorHAnsi"/>
          <w:color w:val="222222"/>
          <w:sz w:val="20"/>
          <w:szCs w:val="20"/>
          <w:u w:val="single"/>
        </w:rPr>
        <w:t xml:space="preserve"> du présent rapport montrent que la Namibie a déployé des efforts constants depuis l'adoption de la Rec. 22-11 afin de réduire au minimum les débarquements de requin-taupe bleu en adhérant à cette approche de rétention sélective.</w:t>
      </w:r>
    </w:p>
    <w:p w14:paraId="5BBE22B1" w14:textId="77777777" w:rsidR="00232EFA" w:rsidRPr="00232EFA" w:rsidRDefault="00232EFA" w:rsidP="00232EFA">
      <w:pPr>
        <w:spacing w:after="0" w:line="240" w:lineRule="auto"/>
        <w:jc w:val="both"/>
        <w:rPr>
          <w:rFonts w:ascii="Cambria" w:eastAsia="Times New Roman" w:hAnsi="Cambria" w:cstheme="majorHAnsi"/>
          <w:color w:val="222222"/>
          <w:sz w:val="20"/>
          <w:szCs w:val="20"/>
          <w:u w:val="single"/>
        </w:rPr>
      </w:pPr>
    </w:p>
    <w:p w14:paraId="2845C215" w14:textId="1166EB47" w:rsidR="00232EFA" w:rsidRPr="00232EFA" w:rsidRDefault="00232EFA" w:rsidP="003411F8">
      <w:pPr>
        <w:numPr>
          <w:ilvl w:val="0"/>
          <w:numId w:val="15"/>
        </w:numPr>
        <w:spacing w:after="0" w:line="240" w:lineRule="auto"/>
        <w:ind w:left="426" w:hanging="426"/>
        <w:jc w:val="both"/>
        <w:rPr>
          <w:rFonts w:ascii="Cambria" w:eastAsia="Times New Roman" w:hAnsi="Cambria" w:cstheme="majorHAnsi"/>
          <w:color w:val="222222"/>
          <w:sz w:val="20"/>
          <w:szCs w:val="20"/>
          <w:u w:val="single"/>
        </w:rPr>
      </w:pPr>
      <w:r w:rsidRPr="00232EFA">
        <w:rPr>
          <w:rFonts w:ascii="Cambria" w:eastAsia="Times New Roman" w:hAnsi="Cambria" w:cstheme="majorHAnsi"/>
          <w:color w:val="222222"/>
          <w:sz w:val="20"/>
          <w:szCs w:val="20"/>
          <w:u w:val="single"/>
        </w:rPr>
        <w:t>Les données relatives aux captures indiquent clairement que les mesures mises en place ont entraîné une diminution considérable des débarquements. Les débarquements pour 2024 ont diminué de 68 % par rapport aux captures de 2022 et de 53</w:t>
      </w:r>
      <w:r w:rsidR="007131F9">
        <w:rPr>
          <w:rFonts w:ascii="Cambria" w:eastAsia="Times New Roman" w:hAnsi="Cambria" w:cstheme="majorHAnsi"/>
          <w:color w:val="222222"/>
          <w:sz w:val="20"/>
          <w:szCs w:val="20"/>
          <w:u w:val="single"/>
        </w:rPr>
        <w:t> </w:t>
      </w:r>
      <w:r w:rsidRPr="00232EFA">
        <w:rPr>
          <w:rFonts w:ascii="Cambria" w:eastAsia="Times New Roman" w:hAnsi="Cambria" w:cstheme="majorHAnsi"/>
          <w:color w:val="222222"/>
          <w:sz w:val="20"/>
          <w:szCs w:val="20"/>
          <w:u w:val="single"/>
        </w:rPr>
        <w:t xml:space="preserve">% par rapport aux captures de 2023 à 2024. </w:t>
      </w:r>
    </w:p>
    <w:p w14:paraId="17337B0B" w14:textId="77777777" w:rsidR="00232EFA" w:rsidRPr="00232EFA" w:rsidRDefault="00232EFA" w:rsidP="00232EFA">
      <w:pPr>
        <w:spacing w:after="0" w:line="240" w:lineRule="auto"/>
        <w:jc w:val="both"/>
        <w:rPr>
          <w:rFonts w:ascii="Cambria" w:eastAsia="Times New Roman" w:hAnsi="Cambria" w:cstheme="majorHAnsi"/>
          <w:color w:val="222222"/>
          <w:sz w:val="20"/>
          <w:szCs w:val="20"/>
          <w:u w:val="single"/>
        </w:rPr>
      </w:pPr>
    </w:p>
    <w:p w14:paraId="2D041F8D" w14:textId="77777777" w:rsidR="00232EFA" w:rsidRDefault="00232EFA" w:rsidP="00232EFA">
      <w:pPr>
        <w:spacing w:after="0" w:line="240" w:lineRule="auto"/>
        <w:jc w:val="both"/>
        <w:rPr>
          <w:rFonts w:ascii="Cambria" w:eastAsia="Times New Roman" w:hAnsi="Cambria" w:cstheme="majorHAnsi"/>
          <w:color w:val="222222"/>
          <w:sz w:val="20"/>
          <w:szCs w:val="20"/>
          <w:u w:val="single"/>
        </w:rPr>
      </w:pPr>
      <w:r w:rsidRPr="00232EFA">
        <w:rPr>
          <w:rFonts w:ascii="Cambria" w:eastAsia="Times New Roman" w:hAnsi="Cambria" w:cstheme="majorHAnsi"/>
          <w:b/>
          <w:color w:val="222222"/>
          <w:sz w:val="20"/>
          <w:szCs w:val="20"/>
          <w:u w:val="single"/>
        </w:rPr>
        <w:t xml:space="preserve">Figure 2. </w:t>
      </w:r>
      <w:r w:rsidRPr="00232EFA">
        <w:rPr>
          <w:rFonts w:ascii="Cambria" w:eastAsia="Times New Roman" w:hAnsi="Cambria" w:cstheme="majorHAnsi"/>
          <w:color w:val="222222"/>
          <w:sz w:val="20"/>
          <w:szCs w:val="20"/>
          <w:u w:val="single"/>
        </w:rPr>
        <w:t>Données relatives aux débarquements de la Namibie (2012-2024) en tonnes [COC_304_TRI/2025].</w:t>
      </w:r>
    </w:p>
    <w:p w14:paraId="699A71ED" w14:textId="77777777" w:rsidR="003411F8" w:rsidRPr="00232EFA" w:rsidRDefault="003411F8" w:rsidP="00232EFA">
      <w:pPr>
        <w:spacing w:after="0" w:line="240" w:lineRule="auto"/>
        <w:jc w:val="both"/>
        <w:rPr>
          <w:rFonts w:ascii="Cambria" w:eastAsia="Times New Roman" w:hAnsi="Cambria" w:cstheme="majorHAnsi"/>
          <w:color w:val="222222"/>
          <w:sz w:val="20"/>
          <w:szCs w:val="20"/>
          <w:u w:val="single"/>
        </w:rPr>
      </w:pPr>
    </w:p>
    <w:tbl>
      <w:tblPr>
        <w:tblStyle w:val="TableGrid"/>
        <w:tblW w:w="5000" w:type="pct"/>
        <w:jc w:val="center"/>
        <w:tblLook w:val="04A0" w:firstRow="1" w:lastRow="0" w:firstColumn="1" w:lastColumn="0" w:noHBand="0" w:noVBand="1"/>
      </w:tblPr>
      <w:tblGrid>
        <w:gridCol w:w="553"/>
        <w:gridCol w:w="651"/>
        <w:gridCol w:w="651"/>
        <w:gridCol w:w="651"/>
        <w:gridCol w:w="651"/>
        <w:gridCol w:w="651"/>
        <w:gridCol w:w="651"/>
        <w:gridCol w:w="651"/>
        <w:gridCol w:w="651"/>
        <w:gridCol w:w="652"/>
        <w:gridCol w:w="652"/>
        <w:gridCol w:w="652"/>
        <w:gridCol w:w="652"/>
        <w:gridCol w:w="692"/>
      </w:tblGrid>
      <w:tr w:rsidR="00232EFA" w:rsidRPr="00232EFA" w14:paraId="41F26E78" w14:textId="77777777" w:rsidTr="003411F8">
        <w:trPr>
          <w:trHeight w:val="211"/>
          <w:jc w:val="center"/>
        </w:trPr>
        <w:tc>
          <w:tcPr>
            <w:tcW w:w="300" w:type="pct"/>
            <w:tcBorders>
              <w:top w:val="single" w:sz="4" w:space="0" w:color="auto"/>
              <w:left w:val="single" w:sz="4" w:space="0" w:color="auto"/>
              <w:bottom w:val="single" w:sz="4" w:space="0" w:color="auto"/>
              <w:right w:val="single" w:sz="4" w:space="0" w:color="auto"/>
            </w:tcBorders>
            <w:hideMark/>
          </w:tcPr>
          <w:p w14:paraId="123B33CD" w14:textId="77777777" w:rsidR="00232EFA" w:rsidRPr="00232EFA" w:rsidRDefault="00232EFA" w:rsidP="00232EFA">
            <w:pPr>
              <w:jc w:val="both"/>
              <w:rPr>
                <w:rFonts w:ascii="Cambria" w:eastAsia="Times New Roman" w:hAnsi="Cambria" w:cstheme="majorHAnsi"/>
                <w:b/>
                <w:bCs/>
                <w:i/>
                <w:iCs/>
                <w:color w:val="222222"/>
                <w:sz w:val="16"/>
                <w:szCs w:val="16"/>
                <w:u w:val="single"/>
              </w:rPr>
            </w:pPr>
            <w:r w:rsidRPr="00232EFA">
              <w:rPr>
                <w:rFonts w:ascii="Cambria" w:eastAsia="Times New Roman" w:hAnsi="Cambria" w:cstheme="majorHAnsi"/>
                <w:b/>
                <w:i/>
                <w:color w:val="222222"/>
                <w:sz w:val="16"/>
                <w:szCs w:val="16"/>
                <w:u w:val="single"/>
              </w:rPr>
              <w:t>CPC</w:t>
            </w:r>
          </w:p>
        </w:tc>
        <w:tc>
          <w:tcPr>
            <w:tcW w:w="362" w:type="pct"/>
            <w:tcBorders>
              <w:top w:val="single" w:sz="4" w:space="0" w:color="auto"/>
              <w:left w:val="single" w:sz="4" w:space="0" w:color="auto"/>
              <w:bottom w:val="single" w:sz="4" w:space="0" w:color="auto"/>
              <w:right w:val="single" w:sz="4" w:space="0" w:color="auto"/>
            </w:tcBorders>
            <w:hideMark/>
          </w:tcPr>
          <w:p w14:paraId="043EEF35" w14:textId="77777777" w:rsidR="00232EFA" w:rsidRPr="00232EFA" w:rsidRDefault="00232EFA" w:rsidP="00232EFA">
            <w:pPr>
              <w:jc w:val="both"/>
              <w:rPr>
                <w:rFonts w:ascii="Cambria" w:eastAsia="Times New Roman" w:hAnsi="Cambria" w:cstheme="majorHAnsi"/>
                <w:b/>
                <w:bCs/>
                <w:i/>
                <w:iCs/>
                <w:color w:val="222222"/>
                <w:sz w:val="16"/>
                <w:szCs w:val="16"/>
                <w:u w:val="single"/>
              </w:rPr>
            </w:pPr>
            <w:r w:rsidRPr="00232EFA">
              <w:rPr>
                <w:rFonts w:ascii="Cambria" w:eastAsia="Times New Roman" w:hAnsi="Cambria" w:cstheme="majorHAnsi"/>
                <w:b/>
                <w:i/>
                <w:color w:val="222222"/>
                <w:sz w:val="16"/>
                <w:szCs w:val="16"/>
                <w:u w:val="single"/>
              </w:rPr>
              <w:t>2012</w:t>
            </w:r>
          </w:p>
        </w:tc>
        <w:tc>
          <w:tcPr>
            <w:tcW w:w="362" w:type="pct"/>
            <w:tcBorders>
              <w:top w:val="single" w:sz="4" w:space="0" w:color="auto"/>
              <w:left w:val="single" w:sz="4" w:space="0" w:color="auto"/>
              <w:bottom w:val="single" w:sz="4" w:space="0" w:color="auto"/>
              <w:right w:val="single" w:sz="4" w:space="0" w:color="auto"/>
            </w:tcBorders>
            <w:hideMark/>
          </w:tcPr>
          <w:p w14:paraId="7D6B6C69" w14:textId="77777777" w:rsidR="00232EFA" w:rsidRPr="00232EFA" w:rsidRDefault="00232EFA" w:rsidP="00232EFA">
            <w:pPr>
              <w:jc w:val="both"/>
              <w:rPr>
                <w:rFonts w:ascii="Cambria" w:eastAsia="Times New Roman" w:hAnsi="Cambria" w:cstheme="majorHAnsi"/>
                <w:b/>
                <w:bCs/>
                <w:i/>
                <w:iCs/>
                <w:color w:val="222222"/>
                <w:sz w:val="16"/>
                <w:szCs w:val="16"/>
                <w:u w:val="single"/>
              </w:rPr>
            </w:pPr>
            <w:r w:rsidRPr="00232EFA">
              <w:rPr>
                <w:rFonts w:ascii="Cambria" w:eastAsia="Times New Roman" w:hAnsi="Cambria" w:cstheme="majorHAnsi"/>
                <w:b/>
                <w:i/>
                <w:color w:val="222222"/>
                <w:sz w:val="16"/>
                <w:szCs w:val="16"/>
                <w:u w:val="single"/>
              </w:rPr>
              <w:t>2013</w:t>
            </w:r>
          </w:p>
        </w:tc>
        <w:tc>
          <w:tcPr>
            <w:tcW w:w="362" w:type="pct"/>
            <w:tcBorders>
              <w:top w:val="single" w:sz="4" w:space="0" w:color="auto"/>
              <w:left w:val="single" w:sz="4" w:space="0" w:color="auto"/>
              <w:bottom w:val="single" w:sz="4" w:space="0" w:color="auto"/>
              <w:right w:val="single" w:sz="4" w:space="0" w:color="auto"/>
            </w:tcBorders>
            <w:hideMark/>
          </w:tcPr>
          <w:p w14:paraId="1D2B0623" w14:textId="77777777" w:rsidR="00232EFA" w:rsidRPr="00232EFA" w:rsidRDefault="00232EFA" w:rsidP="00232EFA">
            <w:pPr>
              <w:jc w:val="both"/>
              <w:rPr>
                <w:rFonts w:ascii="Cambria" w:eastAsia="Times New Roman" w:hAnsi="Cambria" w:cstheme="majorHAnsi"/>
                <w:b/>
                <w:bCs/>
                <w:i/>
                <w:iCs/>
                <w:color w:val="222222"/>
                <w:sz w:val="16"/>
                <w:szCs w:val="16"/>
                <w:u w:val="single"/>
              </w:rPr>
            </w:pPr>
            <w:r w:rsidRPr="00232EFA">
              <w:rPr>
                <w:rFonts w:ascii="Cambria" w:eastAsia="Times New Roman" w:hAnsi="Cambria" w:cstheme="majorHAnsi"/>
                <w:b/>
                <w:i/>
                <w:color w:val="222222"/>
                <w:sz w:val="16"/>
                <w:szCs w:val="16"/>
                <w:u w:val="single"/>
              </w:rPr>
              <w:t>2014</w:t>
            </w:r>
          </w:p>
        </w:tc>
        <w:tc>
          <w:tcPr>
            <w:tcW w:w="362" w:type="pct"/>
            <w:tcBorders>
              <w:top w:val="single" w:sz="4" w:space="0" w:color="auto"/>
              <w:left w:val="single" w:sz="4" w:space="0" w:color="auto"/>
              <w:bottom w:val="single" w:sz="4" w:space="0" w:color="auto"/>
              <w:right w:val="single" w:sz="4" w:space="0" w:color="auto"/>
            </w:tcBorders>
            <w:hideMark/>
          </w:tcPr>
          <w:p w14:paraId="16972849" w14:textId="77777777" w:rsidR="00232EFA" w:rsidRPr="00232EFA" w:rsidRDefault="00232EFA" w:rsidP="00232EFA">
            <w:pPr>
              <w:jc w:val="both"/>
              <w:rPr>
                <w:rFonts w:ascii="Cambria" w:eastAsia="Times New Roman" w:hAnsi="Cambria" w:cstheme="majorHAnsi"/>
                <w:b/>
                <w:bCs/>
                <w:i/>
                <w:iCs/>
                <w:color w:val="222222"/>
                <w:sz w:val="16"/>
                <w:szCs w:val="16"/>
                <w:u w:val="single"/>
              </w:rPr>
            </w:pPr>
            <w:r w:rsidRPr="00232EFA">
              <w:rPr>
                <w:rFonts w:ascii="Cambria" w:eastAsia="Times New Roman" w:hAnsi="Cambria" w:cstheme="majorHAnsi"/>
                <w:b/>
                <w:i/>
                <w:color w:val="222222"/>
                <w:sz w:val="16"/>
                <w:szCs w:val="16"/>
                <w:u w:val="single"/>
              </w:rPr>
              <w:t>2015</w:t>
            </w:r>
          </w:p>
        </w:tc>
        <w:tc>
          <w:tcPr>
            <w:tcW w:w="362" w:type="pct"/>
            <w:tcBorders>
              <w:top w:val="single" w:sz="4" w:space="0" w:color="auto"/>
              <w:left w:val="single" w:sz="4" w:space="0" w:color="auto"/>
              <w:bottom w:val="single" w:sz="4" w:space="0" w:color="auto"/>
              <w:right w:val="single" w:sz="4" w:space="0" w:color="auto"/>
            </w:tcBorders>
            <w:hideMark/>
          </w:tcPr>
          <w:p w14:paraId="3FF13B81" w14:textId="77777777" w:rsidR="00232EFA" w:rsidRPr="00232EFA" w:rsidRDefault="00232EFA" w:rsidP="00232EFA">
            <w:pPr>
              <w:jc w:val="both"/>
              <w:rPr>
                <w:rFonts w:ascii="Cambria" w:eastAsia="Times New Roman" w:hAnsi="Cambria" w:cstheme="majorHAnsi"/>
                <w:b/>
                <w:bCs/>
                <w:i/>
                <w:iCs/>
                <w:color w:val="222222"/>
                <w:sz w:val="16"/>
                <w:szCs w:val="16"/>
                <w:u w:val="single"/>
              </w:rPr>
            </w:pPr>
            <w:r w:rsidRPr="00232EFA">
              <w:rPr>
                <w:rFonts w:ascii="Cambria" w:eastAsia="Times New Roman" w:hAnsi="Cambria" w:cstheme="majorHAnsi"/>
                <w:b/>
                <w:i/>
                <w:color w:val="222222"/>
                <w:sz w:val="16"/>
                <w:szCs w:val="16"/>
                <w:u w:val="single"/>
              </w:rPr>
              <w:t>2016</w:t>
            </w:r>
          </w:p>
        </w:tc>
        <w:tc>
          <w:tcPr>
            <w:tcW w:w="362" w:type="pct"/>
            <w:tcBorders>
              <w:top w:val="single" w:sz="4" w:space="0" w:color="auto"/>
              <w:left w:val="single" w:sz="4" w:space="0" w:color="auto"/>
              <w:bottom w:val="single" w:sz="4" w:space="0" w:color="auto"/>
              <w:right w:val="single" w:sz="4" w:space="0" w:color="auto"/>
            </w:tcBorders>
            <w:hideMark/>
          </w:tcPr>
          <w:p w14:paraId="2484AC8A" w14:textId="77777777" w:rsidR="00232EFA" w:rsidRPr="00232EFA" w:rsidRDefault="00232EFA" w:rsidP="00232EFA">
            <w:pPr>
              <w:jc w:val="both"/>
              <w:rPr>
                <w:rFonts w:ascii="Cambria" w:eastAsia="Times New Roman" w:hAnsi="Cambria" w:cstheme="majorHAnsi"/>
                <w:b/>
                <w:bCs/>
                <w:i/>
                <w:iCs/>
                <w:color w:val="222222"/>
                <w:sz w:val="16"/>
                <w:szCs w:val="16"/>
                <w:u w:val="single"/>
              </w:rPr>
            </w:pPr>
            <w:r w:rsidRPr="00232EFA">
              <w:rPr>
                <w:rFonts w:ascii="Cambria" w:eastAsia="Times New Roman" w:hAnsi="Cambria" w:cstheme="majorHAnsi"/>
                <w:b/>
                <w:i/>
                <w:color w:val="222222"/>
                <w:sz w:val="16"/>
                <w:szCs w:val="16"/>
                <w:u w:val="single"/>
              </w:rPr>
              <w:t>2017</w:t>
            </w:r>
          </w:p>
        </w:tc>
        <w:tc>
          <w:tcPr>
            <w:tcW w:w="362" w:type="pct"/>
            <w:tcBorders>
              <w:top w:val="single" w:sz="4" w:space="0" w:color="auto"/>
              <w:left w:val="single" w:sz="4" w:space="0" w:color="auto"/>
              <w:bottom w:val="single" w:sz="4" w:space="0" w:color="auto"/>
              <w:right w:val="single" w:sz="4" w:space="0" w:color="auto"/>
            </w:tcBorders>
            <w:hideMark/>
          </w:tcPr>
          <w:p w14:paraId="10DBFA76" w14:textId="77777777" w:rsidR="00232EFA" w:rsidRPr="00232EFA" w:rsidRDefault="00232EFA" w:rsidP="00232EFA">
            <w:pPr>
              <w:jc w:val="both"/>
              <w:rPr>
                <w:rFonts w:ascii="Cambria" w:eastAsia="Times New Roman" w:hAnsi="Cambria" w:cstheme="majorHAnsi"/>
                <w:b/>
                <w:bCs/>
                <w:i/>
                <w:iCs/>
                <w:color w:val="222222"/>
                <w:sz w:val="16"/>
                <w:szCs w:val="16"/>
                <w:u w:val="single"/>
              </w:rPr>
            </w:pPr>
            <w:r w:rsidRPr="00232EFA">
              <w:rPr>
                <w:rFonts w:ascii="Cambria" w:eastAsia="Times New Roman" w:hAnsi="Cambria" w:cstheme="majorHAnsi"/>
                <w:b/>
                <w:i/>
                <w:color w:val="222222"/>
                <w:sz w:val="16"/>
                <w:szCs w:val="16"/>
                <w:u w:val="single"/>
              </w:rPr>
              <w:t>2018</w:t>
            </w:r>
          </w:p>
        </w:tc>
        <w:tc>
          <w:tcPr>
            <w:tcW w:w="362" w:type="pct"/>
            <w:tcBorders>
              <w:top w:val="single" w:sz="4" w:space="0" w:color="auto"/>
              <w:left w:val="single" w:sz="4" w:space="0" w:color="auto"/>
              <w:bottom w:val="single" w:sz="4" w:space="0" w:color="auto"/>
              <w:right w:val="single" w:sz="4" w:space="0" w:color="auto"/>
            </w:tcBorders>
            <w:hideMark/>
          </w:tcPr>
          <w:p w14:paraId="6224298D" w14:textId="77777777" w:rsidR="00232EFA" w:rsidRPr="00232EFA" w:rsidRDefault="00232EFA" w:rsidP="00232EFA">
            <w:pPr>
              <w:jc w:val="both"/>
              <w:rPr>
                <w:rFonts w:ascii="Cambria" w:eastAsia="Times New Roman" w:hAnsi="Cambria" w:cstheme="majorHAnsi"/>
                <w:b/>
                <w:bCs/>
                <w:i/>
                <w:iCs/>
                <w:color w:val="222222"/>
                <w:sz w:val="16"/>
                <w:szCs w:val="16"/>
                <w:u w:val="single"/>
              </w:rPr>
            </w:pPr>
            <w:r w:rsidRPr="00232EFA">
              <w:rPr>
                <w:rFonts w:ascii="Cambria" w:eastAsia="Times New Roman" w:hAnsi="Cambria" w:cstheme="majorHAnsi"/>
                <w:b/>
                <w:i/>
                <w:color w:val="222222"/>
                <w:sz w:val="16"/>
                <w:szCs w:val="16"/>
                <w:u w:val="single"/>
              </w:rPr>
              <w:t>2019</w:t>
            </w:r>
          </w:p>
        </w:tc>
        <w:tc>
          <w:tcPr>
            <w:tcW w:w="362" w:type="pct"/>
            <w:tcBorders>
              <w:top w:val="single" w:sz="4" w:space="0" w:color="auto"/>
              <w:left w:val="single" w:sz="4" w:space="0" w:color="auto"/>
              <w:bottom w:val="single" w:sz="4" w:space="0" w:color="auto"/>
              <w:right w:val="single" w:sz="4" w:space="0" w:color="auto"/>
            </w:tcBorders>
            <w:hideMark/>
          </w:tcPr>
          <w:p w14:paraId="205AF844" w14:textId="77777777" w:rsidR="00232EFA" w:rsidRPr="00232EFA" w:rsidRDefault="00232EFA" w:rsidP="00232EFA">
            <w:pPr>
              <w:jc w:val="both"/>
              <w:rPr>
                <w:rFonts w:ascii="Cambria" w:eastAsia="Times New Roman" w:hAnsi="Cambria" w:cstheme="majorHAnsi"/>
                <w:b/>
                <w:bCs/>
                <w:i/>
                <w:iCs/>
                <w:color w:val="222222"/>
                <w:sz w:val="16"/>
                <w:szCs w:val="16"/>
                <w:u w:val="single"/>
              </w:rPr>
            </w:pPr>
            <w:r w:rsidRPr="00232EFA">
              <w:rPr>
                <w:rFonts w:ascii="Cambria" w:eastAsia="Times New Roman" w:hAnsi="Cambria" w:cstheme="majorHAnsi"/>
                <w:b/>
                <w:i/>
                <w:color w:val="222222"/>
                <w:sz w:val="16"/>
                <w:szCs w:val="16"/>
                <w:u w:val="single"/>
              </w:rPr>
              <w:t>2020</w:t>
            </w:r>
          </w:p>
        </w:tc>
        <w:tc>
          <w:tcPr>
            <w:tcW w:w="362" w:type="pct"/>
            <w:tcBorders>
              <w:top w:val="single" w:sz="4" w:space="0" w:color="auto"/>
              <w:left w:val="single" w:sz="4" w:space="0" w:color="auto"/>
              <w:bottom w:val="single" w:sz="4" w:space="0" w:color="auto"/>
              <w:right w:val="single" w:sz="4" w:space="0" w:color="auto"/>
            </w:tcBorders>
            <w:hideMark/>
          </w:tcPr>
          <w:p w14:paraId="5CF30DB6" w14:textId="77777777" w:rsidR="00232EFA" w:rsidRPr="00232EFA" w:rsidRDefault="00232EFA" w:rsidP="00232EFA">
            <w:pPr>
              <w:jc w:val="both"/>
              <w:rPr>
                <w:rFonts w:ascii="Cambria" w:eastAsia="Times New Roman" w:hAnsi="Cambria" w:cstheme="majorHAnsi"/>
                <w:b/>
                <w:bCs/>
                <w:i/>
                <w:iCs/>
                <w:color w:val="222222"/>
                <w:sz w:val="16"/>
                <w:szCs w:val="16"/>
                <w:u w:val="single"/>
              </w:rPr>
            </w:pPr>
            <w:r w:rsidRPr="00232EFA">
              <w:rPr>
                <w:rFonts w:ascii="Cambria" w:eastAsia="Times New Roman" w:hAnsi="Cambria" w:cstheme="majorHAnsi"/>
                <w:b/>
                <w:i/>
                <w:color w:val="222222"/>
                <w:sz w:val="16"/>
                <w:szCs w:val="16"/>
                <w:u w:val="single"/>
              </w:rPr>
              <w:t>2021</w:t>
            </w:r>
          </w:p>
        </w:tc>
        <w:tc>
          <w:tcPr>
            <w:tcW w:w="362" w:type="pct"/>
            <w:tcBorders>
              <w:top w:val="single" w:sz="4" w:space="0" w:color="auto"/>
              <w:left w:val="single" w:sz="4" w:space="0" w:color="auto"/>
              <w:bottom w:val="single" w:sz="4" w:space="0" w:color="auto"/>
              <w:right w:val="single" w:sz="4" w:space="0" w:color="auto"/>
            </w:tcBorders>
            <w:hideMark/>
          </w:tcPr>
          <w:p w14:paraId="7361E41E" w14:textId="77777777" w:rsidR="00232EFA" w:rsidRPr="00232EFA" w:rsidRDefault="00232EFA" w:rsidP="00232EFA">
            <w:pPr>
              <w:jc w:val="both"/>
              <w:rPr>
                <w:rFonts w:ascii="Cambria" w:eastAsia="Times New Roman" w:hAnsi="Cambria" w:cstheme="majorHAnsi"/>
                <w:b/>
                <w:bCs/>
                <w:i/>
                <w:iCs/>
                <w:color w:val="222222"/>
                <w:sz w:val="16"/>
                <w:szCs w:val="16"/>
                <w:u w:val="single"/>
              </w:rPr>
            </w:pPr>
            <w:r w:rsidRPr="00232EFA">
              <w:rPr>
                <w:rFonts w:ascii="Cambria" w:eastAsia="Times New Roman" w:hAnsi="Cambria" w:cstheme="majorHAnsi"/>
                <w:b/>
                <w:i/>
                <w:color w:val="222222"/>
                <w:sz w:val="16"/>
                <w:szCs w:val="16"/>
                <w:u w:val="single"/>
              </w:rPr>
              <w:t>2022</w:t>
            </w:r>
          </w:p>
        </w:tc>
        <w:tc>
          <w:tcPr>
            <w:tcW w:w="362" w:type="pct"/>
            <w:tcBorders>
              <w:top w:val="single" w:sz="4" w:space="0" w:color="auto"/>
              <w:left w:val="single" w:sz="4" w:space="0" w:color="auto"/>
              <w:bottom w:val="single" w:sz="4" w:space="0" w:color="auto"/>
              <w:right w:val="single" w:sz="4" w:space="0" w:color="auto"/>
            </w:tcBorders>
            <w:hideMark/>
          </w:tcPr>
          <w:p w14:paraId="0D794D69" w14:textId="77777777" w:rsidR="00232EFA" w:rsidRPr="00232EFA" w:rsidRDefault="00232EFA" w:rsidP="00232EFA">
            <w:pPr>
              <w:jc w:val="both"/>
              <w:rPr>
                <w:rFonts w:ascii="Cambria" w:eastAsia="Times New Roman" w:hAnsi="Cambria" w:cstheme="majorHAnsi"/>
                <w:b/>
                <w:bCs/>
                <w:i/>
                <w:iCs/>
                <w:color w:val="222222"/>
                <w:sz w:val="16"/>
                <w:szCs w:val="16"/>
                <w:u w:val="single"/>
              </w:rPr>
            </w:pPr>
            <w:r w:rsidRPr="00232EFA">
              <w:rPr>
                <w:rFonts w:ascii="Cambria" w:eastAsia="Times New Roman" w:hAnsi="Cambria" w:cstheme="majorHAnsi"/>
                <w:b/>
                <w:i/>
                <w:color w:val="222222"/>
                <w:sz w:val="16"/>
                <w:szCs w:val="16"/>
                <w:u w:val="single"/>
              </w:rPr>
              <w:t>2023</w:t>
            </w:r>
          </w:p>
        </w:tc>
        <w:tc>
          <w:tcPr>
            <w:tcW w:w="362" w:type="pct"/>
            <w:tcBorders>
              <w:top w:val="single" w:sz="4" w:space="0" w:color="auto"/>
              <w:left w:val="single" w:sz="4" w:space="0" w:color="auto"/>
              <w:bottom w:val="single" w:sz="4" w:space="0" w:color="auto"/>
              <w:right w:val="single" w:sz="4" w:space="0" w:color="auto"/>
            </w:tcBorders>
            <w:hideMark/>
          </w:tcPr>
          <w:p w14:paraId="019B6806" w14:textId="77777777" w:rsidR="00232EFA" w:rsidRPr="00232EFA" w:rsidRDefault="00232EFA" w:rsidP="00232EFA">
            <w:pPr>
              <w:jc w:val="both"/>
              <w:rPr>
                <w:rFonts w:ascii="Cambria" w:eastAsia="Times New Roman" w:hAnsi="Cambria" w:cstheme="majorHAnsi"/>
                <w:b/>
                <w:bCs/>
                <w:i/>
                <w:iCs/>
                <w:color w:val="222222"/>
                <w:sz w:val="16"/>
                <w:szCs w:val="16"/>
                <w:u w:val="single"/>
              </w:rPr>
            </w:pPr>
            <w:r w:rsidRPr="00232EFA">
              <w:rPr>
                <w:rFonts w:ascii="Cambria" w:eastAsia="Times New Roman" w:hAnsi="Cambria" w:cstheme="majorHAnsi"/>
                <w:b/>
                <w:i/>
                <w:color w:val="222222"/>
                <w:sz w:val="16"/>
                <w:szCs w:val="16"/>
                <w:u w:val="single"/>
              </w:rPr>
              <w:t>2024</w:t>
            </w:r>
          </w:p>
        </w:tc>
      </w:tr>
      <w:tr w:rsidR="00232EFA" w:rsidRPr="00232EFA" w14:paraId="3C3EFDAE" w14:textId="77777777" w:rsidTr="003411F8">
        <w:trPr>
          <w:trHeight w:val="211"/>
          <w:jc w:val="center"/>
        </w:trPr>
        <w:tc>
          <w:tcPr>
            <w:tcW w:w="300" w:type="pct"/>
            <w:tcBorders>
              <w:top w:val="single" w:sz="4" w:space="0" w:color="auto"/>
              <w:left w:val="single" w:sz="4" w:space="0" w:color="auto"/>
              <w:bottom w:val="single" w:sz="4" w:space="0" w:color="auto"/>
              <w:right w:val="single" w:sz="4" w:space="0" w:color="auto"/>
            </w:tcBorders>
            <w:hideMark/>
          </w:tcPr>
          <w:p w14:paraId="0C84C598" w14:textId="77777777" w:rsidR="00232EFA" w:rsidRPr="00232EFA" w:rsidRDefault="00232EFA" w:rsidP="00232EFA">
            <w:pPr>
              <w:jc w:val="both"/>
              <w:rPr>
                <w:rFonts w:ascii="Cambria" w:eastAsia="Times New Roman" w:hAnsi="Cambria" w:cstheme="majorHAnsi"/>
                <w:color w:val="222222"/>
                <w:sz w:val="16"/>
                <w:szCs w:val="16"/>
                <w:u w:val="single"/>
              </w:rPr>
            </w:pPr>
            <w:r w:rsidRPr="00232EFA">
              <w:rPr>
                <w:rFonts w:ascii="Cambria" w:eastAsia="Times New Roman" w:hAnsi="Cambria" w:cstheme="majorHAnsi"/>
                <w:color w:val="222222"/>
                <w:sz w:val="16"/>
                <w:szCs w:val="16"/>
                <w:u w:val="single"/>
              </w:rPr>
              <w:t>NAM</w:t>
            </w:r>
          </w:p>
        </w:tc>
        <w:tc>
          <w:tcPr>
            <w:tcW w:w="362" w:type="pct"/>
            <w:tcBorders>
              <w:top w:val="single" w:sz="4" w:space="0" w:color="auto"/>
              <w:left w:val="single" w:sz="4" w:space="0" w:color="auto"/>
              <w:bottom w:val="single" w:sz="4" w:space="0" w:color="auto"/>
              <w:right w:val="single" w:sz="4" w:space="0" w:color="auto"/>
            </w:tcBorders>
            <w:hideMark/>
          </w:tcPr>
          <w:p w14:paraId="5C9D088C" w14:textId="77777777" w:rsidR="00232EFA" w:rsidRPr="00232EFA" w:rsidRDefault="00232EFA" w:rsidP="00232EFA">
            <w:pPr>
              <w:jc w:val="both"/>
              <w:rPr>
                <w:rFonts w:ascii="Cambria" w:eastAsia="Times New Roman" w:hAnsi="Cambria" w:cstheme="majorHAnsi"/>
                <w:color w:val="222222"/>
                <w:sz w:val="16"/>
                <w:szCs w:val="16"/>
                <w:u w:val="single"/>
              </w:rPr>
            </w:pPr>
            <w:r w:rsidRPr="00232EFA">
              <w:rPr>
                <w:rFonts w:ascii="Cambria" w:eastAsia="Times New Roman" w:hAnsi="Cambria" w:cstheme="majorHAnsi"/>
                <w:color w:val="222222"/>
                <w:sz w:val="16"/>
                <w:szCs w:val="16"/>
                <w:u w:val="single"/>
              </w:rPr>
              <w:t>586</w:t>
            </w:r>
          </w:p>
        </w:tc>
        <w:tc>
          <w:tcPr>
            <w:tcW w:w="362" w:type="pct"/>
            <w:tcBorders>
              <w:top w:val="single" w:sz="4" w:space="0" w:color="auto"/>
              <w:left w:val="single" w:sz="4" w:space="0" w:color="auto"/>
              <w:bottom w:val="single" w:sz="4" w:space="0" w:color="auto"/>
              <w:right w:val="single" w:sz="4" w:space="0" w:color="auto"/>
            </w:tcBorders>
            <w:hideMark/>
          </w:tcPr>
          <w:p w14:paraId="0F5DC2C5" w14:textId="77777777" w:rsidR="00232EFA" w:rsidRPr="00232EFA" w:rsidRDefault="00232EFA" w:rsidP="00232EFA">
            <w:pPr>
              <w:jc w:val="both"/>
              <w:rPr>
                <w:rFonts w:ascii="Cambria" w:eastAsia="Times New Roman" w:hAnsi="Cambria" w:cstheme="majorHAnsi"/>
                <w:color w:val="222222"/>
                <w:sz w:val="16"/>
                <w:szCs w:val="16"/>
                <w:u w:val="single"/>
              </w:rPr>
            </w:pPr>
            <w:r w:rsidRPr="00232EFA">
              <w:rPr>
                <w:rFonts w:ascii="Cambria" w:eastAsia="Times New Roman" w:hAnsi="Cambria" w:cstheme="majorHAnsi"/>
                <w:color w:val="222222"/>
                <w:sz w:val="16"/>
                <w:szCs w:val="16"/>
                <w:u w:val="single"/>
              </w:rPr>
              <w:t>9</w:t>
            </w:r>
          </w:p>
        </w:tc>
        <w:tc>
          <w:tcPr>
            <w:tcW w:w="362" w:type="pct"/>
            <w:tcBorders>
              <w:top w:val="single" w:sz="4" w:space="0" w:color="auto"/>
              <w:left w:val="single" w:sz="4" w:space="0" w:color="auto"/>
              <w:bottom w:val="single" w:sz="4" w:space="0" w:color="auto"/>
              <w:right w:val="single" w:sz="4" w:space="0" w:color="auto"/>
            </w:tcBorders>
            <w:hideMark/>
          </w:tcPr>
          <w:p w14:paraId="1B05C63A" w14:textId="77777777" w:rsidR="00232EFA" w:rsidRPr="00232EFA" w:rsidRDefault="00232EFA" w:rsidP="00232EFA">
            <w:pPr>
              <w:jc w:val="both"/>
              <w:rPr>
                <w:rFonts w:ascii="Cambria" w:eastAsia="Times New Roman" w:hAnsi="Cambria" w:cstheme="majorHAnsi"/>
                <w:color w:val="222222"/>
                <w:sz w:val="16"/>
                <w:szCs w:val="16"/>
                <w:u w:val="single"/>
              </w:rPr>
            </w:pPr>
            <w:r w:rsidRPr="00232EFA">
              <w:rPr>
                <w:rFonts w:ascii="Cambria" w:eastAsia="Times New Roman" w:hAnsi="Cambria" w:cstheme="majorHAnsi"/>
                <w:color w:val="222222"/>
                <w:sz w:val="16"/>
                <w:szCs w:val="16"/>
                <w:u w:val="single"/>
              </w:rPr>
              <w:t>950</w:t>
            </w:r>
          </w:p>
        </w:tc>
        <w:tc>
          <w:tcPr>
            <w:tcW w:w="362" w:type="pct"/>
            <w:tcBorders>
              <w:top w:val="single" w:sz="4" w:space="0" w:color="auto"/>
              <w:left w:val="single" w:sz="4" w:space="0" w:color="auto"/>
              <w:bottom w:val="single" w:sz="4" w:space="0" w:color="auto"/>
              <w:right w:val="single" w:sz="4" w:space="0" w:color="auto"/>
            </w:tcBorders>
            <w:hideMark/>
          </w:tcPr>
          <w:p w14:paraId="47925D8F" w14:textId="77777777" w:rsidR="00232EFA" w:rsidRPr="00232EFA" w:rsidRDefault="00232EFA" w:rsidP="00232EFA">
            <w:pPr>
              <w:jc w:val="both"/>
              <w:rPr>
                <w:rFonts w:ascii="Cambria" w:eastAsia="Times New Roman" w:hAnsi="Cambria" w:cstheme="majorHAnsi"/>
                <w:color w:val="222222"/>
                <w:sz w:val="16"/>
                <w:szCs w:val="16"/>
                <w:u w:val="single"/>
              </w:rPr>
            </w:pPr>
            <w:r w:rsidRPr="00232EFA">
              <w:rPr>
                <w:rFonts w:ascii="Cambria" w:eastAsia="Times New Roman" w:hAnsi="Cambria" w:cstheme="majorHAnsi"/>
                <w:color w:val="222222"/>
                <w:sz w:val="16"/>
                <w:szCs w:val="16"/>
                <w:u w:val="single"/>
              </w:rPr>
              <w:t>661</w:t>
            </w:r>
          </w:p>
        </w:tc>
        <w:tc>
          <w:tcPr>
            <w:tcW w:w="362" w:type="pct"/>
            <w:tcBorders>
              <w:top w:val="single" w:sz="4" w:space="0" w:color="auto"/>
              <w:left w:val="single" w:sz="4" w:space="0" w:color="auto"/>
              <w:bottom w:val="single" w:sz="4" w:space="0" w:color="auto"/>
              <w:right w:val="single" w:sz="4" w:space="0" w:color="auto"/>
            </w:tcBorders>
            <w:hideMark/>
          </w:tcPr>
          <w:p w14:paraId="551C2385" w14:textId="77777777" w:rsidR="00232EFA" w:rsidRPr="00232EFA" w:rsidRDefault="00232EFA" w:rsidP="00232EFA">
            <w:pPr>
              <w:jc w:val="both"/>
              <w:rPr>
                <w:rFonts w:ascii="Cambria" w:eastAsia="Times New Roman" w:hAnsi="Cambria" w:cstheme="majorHAnsi"/>
                <w:color w:val="222222"/>
                <w:sz w:val="16"/>
                <w:szCs w:val="16"/>
                <w:u w:val="single"/>
              </w:rPr>
            </w:pPr>
            <w:r w:rsidRPr="00232EFA">
              <w:rPr>
                <w:rFonts w:ascii="Cambria" w:eastAsia="Times New Roman" w:hAnsi="Cambria" w:cstheme="majorHAnsi"/>
                <w:color w:val="222222"/>
                <w:sz w:val="16"/>
                <w:szCs w:val="16"/>
                <w:u w:val="single"/>
              </w:rPr>
              <w:t>799</w:t>
            </w:r>
          </w:p>
        </w:tc>
        <w:tc>
          <w:tcPr>
            <w:tcW w:w="362" w:type="pct"/>
            <w:tcBorders>
              <w:top w:val="single" w:sz="4" w:space="0" w:color="auto"/>
              <w:left w:val="single" w:sz="4" w:space="0" w:color="auto"/>
              <w:bottom w:val="single" w:sz="4" w:space="0" w:color="auto"/>
              <w:right w:val="single" w:sz="4" w:space="0" w:color="auto"/>
            </w:tcBorders>
            <w:hideMark/>
          </w:tcPr>
          <w:p w14:paraId="338B86B9" w14:textId="77777777" w:rsidR="00232EFA" w:rsidRPr="00232EFA" w:rsidRDefault="00232EFA" w:rsidP="00232EFA">
            <w:pPr>
              <w:jc w:val="both"/>
              <w:rPr>
                <w:rFonts w:ascii="Cambria" w:eastAsia="Times New Roman" w:hAnsi="Cambria" w:cstheme="majorHAnsi"/>
                <w:color w:val="222222"/>
                <w:sz w:val="16"/>
                <w:szCs w:val="16"/>
                <w:u w:val="single"/>
              </w:rPr>
            </w:pPr>
            <w:r w:rsidRPr="00232EFA">
              <w:rPr>
                <w:rFonts w:ascii="Cambria" w:eastAsia="Times New Roman" w:hAnsi="Cambria" w:cstheme="majorHAnsi"/>
                <w:color w:val="222222"/>
                <w:sz w:val="16"/>
                <w:szCs w:val="16"/>
                <w:u w:val="single"/>
              </w:rPr>
              <w:t>194</w:t>
            </w:r>
          </w:p>
        </w:tc>
        <w:tc>
          <w:tcPr>
            <w:tcW w:w="362" w:type="pct"/>
            <w:tcBorders>
              <w:top w:val="single" w:sz="4" w:space="0" w:color="auto"/>
              <w:left w:val="single" w:sz="4" w:space="0" w:color="auto"/>
              <w:bottom w:val="single" w:sz="4" w:space="0" w:color="auto"/>
              <w:right w:val="single" w:sz="4" w:space="0" w:color="auto"/>
            </w:tcBorders>
            <w:hideMark/>
          </w:tcPr>
          <w:p w14:paraId="0ABC4625" w14:textId="77777777" w:rsidR="00232EFA" w:rsidRPr="00232EFA" w:rsidRDefault="00232EFA" w:rsidP="00232EFA">
            <w:pPr>
              <w:jc w:val="both"/>
              <w:rPr>
                <w:rFonts w:ascii="Cambria" w:eastAsia="Times New Roman" w:hAnsi="Cambria" w:cstheme="majorHAnsi"/>
                <w:color w:val="222222"/>
                <w:sz w:val="16"/>
                <w:szCs w:val="16"/>
                <w:u w:val="single"/>
              </w:rPr>
            </w:pPr>
            <w:r w:rsidRPr="00232EFA">
              <w:rPr>
                <w:rFonts w:ascii="Cambria" w:eastAsia="Times New Roman" w:hAnsi="Cambria" w:cstheme="majorHAnsi"/>
                <w:color w:val="222222"/>
                <w:sz w:val="16"/>
                <w:szCs w:val="16"/>
                <w:u w:val="single"/>
              </w:rPr>
              <w:t>980</w:t>
            </w:r>
          </w:p>
        </w:tc>
        <w:tc>
          <w:tcPr>
            <w:tcW w:w="362" w:type="pct"/>
            <w:tcBorders>
              <w:top w:val="single" w:sz="4" w:space="0" w:color="auto"/>
              <w:left w:val="single" w:sz="4" w:space="0" w:color="auto"/>
              <w:bottom w:val="single" w:sz="4" w:space="0" w:color="auto"/>
              <w:right w:val="single" w:sz="4" w:space="0" w:color="auto"/>
            </w:tcBorders>
            <w:hideMark/>
          </w:tcPr>
          <w:p w14:paraId="73DBB23C" w14:textId="77777777" w:rsidR="00232EFA" w:rsidRPr="00232EFA" w:rsidRDefault="00232EFA" w:rsidP="00232EFA">
            <w:pPr>
              <w:jc w:val="both"/>
              <w:rPr>
                <w:rFonts w:ascii="Cambria" w:eastAsia="Times New Roman" w:hAnsi="Cambria" w:cstheme="majorHAnsi"/>
                <w:color w:val="222222"/>
                <w:sz w:val="16"/>
                <w:szCs w:val="16"/>
                <w:u w:val="single"/>
              </w:rPr>
            </w:pPr>
            <w:r w:rsidRPr="00232EFA">
              <w:rPr>
                <w:rFonts w:ascii="Cambria" w:eastAsia="Times New Roman" w:hAnsi="Cambria" w:cstheme="majorHAnsi"/>
                <w:color w:val="222222"/>
                <w:sz w:val="16"/>
                <w:szCs w:val="16"/>
                <w:u w:val="single"/>
              </w:rPr>
              <w:t>0</w:t>
            </w:r>
          </w:p>
        </w:tc>
        <w:tc>
          <w:tcPr>
            <w:tcW w:w="362" w:type="pct"/>
            <w:tcBorders>
              <w:top w:val="single" w:sz="4" w:space="0" w:color="auto"/>
              <w:left w:val="single" w:sz="4" w:space="0" w:color="auto"/>
              <w:bottom w:val="single" w:sz="4" w:space="0" w:color="auto"/>
              <w:right w:val="single" w:sz="4" w:space="0" w:color="auto"/>
            </w:tcBorders>
            <w:hideMark/>
          </w:tcPr>
          <w:p w14:paraId="4E519BDC" w14:textId="77777777" w:rsidR="00232EFA" w:rsidRPr="00232EFA" w:rsidRDefault="00232EFA" w:rsidP="00232EFA">
            <w:pPr>
              <w:jc w:val="both"/>
              <w:rPr>
                <w:rFonts w:ascii="Cambria" w:eastAsia="Times New Roman" w:hAnsi="Cambria" w:cstheme="majorHAnsi"/>
                <w:color w:val="222222"/>
                <w:sz w:val="16"/>
                <w:szCs w:val="16"/>
                <w:u w:val="single"/>
              </w:rPr>
            </w:pPr>
            <w:r w:rsidRPr="00232EFA">
              <w:rPr>
                <w:rFonts w:ascii="Cambria" w:eastAsia="Times New Roman" w:hAnsi="Cambria" w:cstheme="majorHAnsi"/>
                <w:color w:val="222222"/>
                <w:sz w:val="16"/>
                <w:szCs w:val="16"/>
                <w:u w:val="single"/>
              </w:rPr>
              <w:t>945</w:t>
            </w:r>
          </w:p>
        </w:tc>
        <w:tc>
          <w:tcPr>
            <w:tcW w:w="362" w:type="pct"/>
            <w:tcBorders>
              <w:top w:val="single" w:sz="4" w:space="0" w:color="auto"/>
              <w:left w:val="single" w:sz="4" w:space="0" w:color="auto"/>
              <w:bottom w:val="single" w:sz="4" w:space="0" w:color="auto"/>
              <w:right w:val="single" w:sz="4" w:space="0" w:color="auto"/>
            </w:tcBorders>
            <w:hideMark/>
          </w:tcPr>
          <w:p w14:paraId="2BD52EB3" w14:textId="77777777" w:rsidR="00232EFA" w:rsidRPr="00232EFA" w:rsidRDefault="00232EFA" w:rsidP="00232EFA">
            <w:pPr>
              <w:jc w:val="both"/>
              <w:rPr>
                <w:rFonts w:ascii="Cambria" w:eastAsia="Times New Roman" w:hAnsi="Cambria" w:cstheme="majorHAnsi"/>
                <w:color w:val="222222"/>
                <w:sz w:val="16"/>
                <w:szCs w:val="16"/>
                <w:u w:val="single"/>
              </w:rPr>
            </w:pPr>
            <w:r w:rsidRPr="00232EFA">
              <w:rPr>
                <w:rFonts w:ascii="Cambria" w:eastAsia="Times New Roman" w:hAnsi="Cambria" w:cstheme="majorHAnsi"/>
                <w:color w:val="222222"/>
                <w:sz w:val="16"/>
                <w:szCs w:val="16"/>
                <w:u w:val="single"/>
              </w:rPr>
              <w:t>637</w:t>
            </w:r>
          </w:p>
        </w:tc>
        <w:tc>
          <w:tcPr>
            <w:tcW w:w="362" w:type="pct"/>
            <w:tcBorders>
              <w:top w:val="single" w:sz="4" w:space="0" w:color="auto"/>
              <w:left w:val="single" w:sz="4" w:space="0" w:color="auto"/>
              <w:bottom w:val="single" w:sz="4" w:space="0" w:color="auto"/>
              <w:right w:val="single" w:sz="4" w:space="0" w:color="auto"/>
            </w:tcBorders>
            <w:hideMark/>
          </w:tcPr>
          <w:p w14:paraId="2C6D5275" w14:textId="77777777" w:rsidR="00232EFA" w:rsidRPr="00232EFA" w:rsidRDefault="00232EFA" w:rsidP="00232EFA">
            <w:pPr>
              <w:jc w:val="both"/>
              <w:rPr>
                <w:rFonts w:ascii="Cambria" w:eastAsia="Times New Roman" w:hAnsi="Cambria" w:cstheme="majorHAnsi"/>
                <w:color w:val="222222"/>
                <w:sz w:val="16"/>
                <w:szCs w:val="16"/>
                <w:u w:val="single"/>
              </w:rPr>
            </w:pPr>
            <w:r w:rsidRPr="00232EFA">
              <w:rPr>
                <w:rFonts w:ascii="Cambria" w:eastAsia="Times New Roman" w:hAnsi="Cambria" w:cstheme="majorHAnsi"/>
                <w:color w:val="222222"/>
                <w:sz w:val="16"/>
                <w:szCs w:val="16"/>
                <w:u w:val="single"/>
              </w:rPr>
              <w:t>789</w:t>
            </w:r>
          </w:p>
        </w:tc>
        <w:tc>
          <w:tcPr>
            <w:tcW w:w="362" w:type="pct"/>
            <w:tcBorders>
              <w:top w:val="single" w:sz="4" w:space="0" w:color="auto"/>
              <w:left w:val="single" w:sz="4" w:space="0" w:color="auto"/>
              <w:bottom w:val="single" w:sz="4" w:space="0" w:color="auto"/>
              <w:right w:val="single" w:sz="4" w:space="0" w:color="auto"/>
            </w:tcBorders>
            <w:hideMark/>
          </w:tcPr>
          <w:p w14:paraId="79012CA4" w14:textId="77777777" w:rsidR="00232EFA" w:rsidRPr="00232EFA" w:rsidRDefault="00232EFA" w:rsidP="00232EFA">
            <w:pPr>
              <w:jc w:val="both"/>
              <w:rPr>
                <w:rFonts w:ascii="Cambria" w:eastAsia="Times New Roman" w:hAnsi="Cambria" w:cstheme="majorHAnsi"/>
                <w:color w:val="222222"/>
                <w:sz w:val="16"/>
                <w:szCs w:val="16"/>
                <w:u w:val="single"/>
              </w:rPr>
            </w:pPr>
            <w:r w:rsidRPr="00232EFA">
              <w:rPr>
                <w:rFonts w:ascii="Cambria" w:eastAsia="Times New Roman" w:hAnsi="Cambria" w:cstheme="majorHAnsi"/>
                <w:color w:val="222222"/>
                <w:sz w:val="16"/>
                <w:szCs w:val="16"/>
                <w:u w:val="single"/>
              </w:rPr>
              <w:t>522</w:t>
            </w:r>
          </w:p>
        </w:tc>
        <w:tc>
          <w:tcPr>
            <w:tcW w:w="362" w:type="pct"/>
            <w:tcBorders>
              <w:top w:val="single" w:sz="4" w:space="0" w:color="auto"/>
              <w:left w:val="single" w:sz="4" w:space="0" w:color="auto"/>
              <w:bottom w:val="single" w:sz="4" w:space="0" w:color="auto"/>
              <w:right w:val="single" w:sz="4" w:space="0" w:color="auto"/>
            </w:tcBorders>
            <w:hideMark/>
          </w:tcPr>
          <w:p w14:paraId="3D1A7D20" w14:textId="77777777" w:rsidR="00232EFA" w:rsidRPr="00232EFA" w:rsidRDefault="00232EFA" w:rsidP="00232EFA">
            <w:pPr>
              <w:jc w:val="both"/>
              <w:rPr>
                <w:rFonts w:ascii="Cambria" w:eastAsia="Times New Roman" w:hAnsi="Cambria" w:cstheme="majorHAnsi"/>
                <w:color w:val="222222"/>
                <w:sz w:val="16"/>
                <w:szCs w:val="16"/>
                <w:u w:val="single"/>
              </w:rPr>
            </w:pPr>
            <w:r w:rsidRPr="00232EFA">
              <w:rPr>
                <w:rFonts w:ascii="Cambria" w:eastAsia="Times New Roman" w:hAnsi="Cambria" w:cstheme="majorHAnsi"/>
                <w:color w:val="222222"/>
                <w:sz w:val="16"/>
                <w:szCs w:val="16"/>
                <w:u w:val="single"/>
              </w:rPr>
              <w:t>250,88</w:t>
            </w:r>
          </w:p>
        </w:tc>
      </w:tr>
      <w:tr w:rsidR="00232EFA" w:rsidRPr="00232EFA" w14:paraId="7EAAA0D5" w14:textId="77777777" w:rsidTr="003411F8">
        <w:trPr>
          <w:trHeight w:val="211"/>
          <w:jc w:val="center"/>
        </w:trPr>
        <w:tc>
          <w:tcPr>
            <w:tcW w:w="300" w:type="pct"/>
            <w:tcBorders>
              <w:top w:val="single" w:sz="4" w:space="0" w:color="auto"/>
              <w:left w:val="single" w:sz="4" w:space="0" w:color="auto"/>
              <w:bottom w:val="single" w:sz="4" w:space="0" w:color="auto"/>
              <w:right w:val="single" w:sz="4" w:space="0" w:color="auto"/>
            </w:tcBorders>
          </w:tcPr>
          <w:p w14:paraId="5796D9DF" w14:textId="77777777" w:rsidR="00232EFA" w:rsidRPr="00232EFA" w:rsidRDefault="00232EFA" w:rsidP="00232EFA">
            <w:pPr>
              <w:jc w:val="both"/>
              <w:rPr>
                <w:rFonts w:ascii="Cambria" w:eastAsia="Times New Roman" w:hAnsi="Cambria" w:cstheme="majorHAnsi"/>
                <w:b/>
                <w:bCs/>
                <w:color w:val="222222"/>
                <w:sz w:val="16"/>
                <w:szCs w:val="16"/>
                <w:u w:val="single"/>
              </w:rPr>
            </w:pPr>
          </w:p>
        </w:tc>
        <w:tc>
          <w:tcPr>
            <w:tcW w:w="362" w:type="pct"/>
            <w:tcBorders>
              <w:top w:val="single" w:sz="4" w:space="0" w:color="auto"/>
              <w:left w:val="single" w:sz="4" w:space="0" w:color="auto"/>
              <w:bottom w:val="single" w:sz="4" w:space="0" w:color="auto"/>
              <w:right w:val="single" w:sz="4" w:space="0" w:color="auto"/>
            </w:tcBorders>
          </w:tcPr>
          <w:p w14:paraId="51311BCC" w14:textId="77777777" w:rsidR="00232EFA" w:rsidRPr="00232EFA" w:rsidRDefault="00232EFA" w:rsidP="00232EFA">
            <w:pPr>
              <w:jc w:val="both"/>
              <w:rPr>
                <w:rFonts w:ascii="Cambria" w:eastAsia="Times New Roman" w:hAnsi="Cambria" w:cstheme="majorHAnsi"/>
                <w:b/>
                <w:bCs/>
                <w:color w:val="222222"/>
                <w:sz w:val="16"/>
                <w:szCs w:val="16"/>
                <w:u w:val="single"/>
              </w:rPr>
            </w:pPr>
          </w:p>
        </w:tc>
        <w:tc>
          <w:tcPr>
            <w:tcW w:w="362" w:type="pct"/>
            <w:tcBorders>
              <w:top w:val="single" w:sz="4" w:space="0" w:color="auto"/>
              <w:left w:val="single" w:sz="4" w:space="0" w:color="auto"/>
              <w:bottom w:val="single" w:sz="4" w:space="0" w:color="auto"/>
              <w:right w:val="single" w:sz="4" w:space="0" w:color="auto"/>
            </w:tcBorders>
          </w:tcPr>
          <w:p w14:paraId="64044E81" w14:textId="77777777" w:rsidR="00232EFA" w:rsidRPr="00232EFA" w:rsidRDefault="00232EFA" w:rsidP="00232EFA">
            <w:pPr>
              <w:jc w:val="both"/>
              <w:rPr>
                <w:rFonts w:ascii="Cambria" w:eastAsia="Times New Roman" w:hAnsi="Cambria" w:cstheme="majorHAnsi"/>
                <w:b/>
                <w:bCs/>
                <w:color w:val="222222"/>
                <w:sz w:val="16"/>
                <w:szCs w:val="16"/>
                <w:u w:val="single"/>
              </w:rPr>
            </w:pPr>
          </w:p>
        </w:tc>
        <w:tc>
          <w:tcPr>
            <w:tcW w:w="362" w:type="pct"/>
            <w:tcBorders>
              <w:top w:val="single" w:sz="4" w:space="0" w:color="auto"/>
              <w:left w:val="single" w:sz="4" w:space="0" w:color="auto"/>
              <w:bottom w:val="single" w:sz="4" w:space="0" w:color="auto"/>
              <w:right w:val="single" w:sz="4" w:space="0" w:color="auto"/>
            </w:tcBorders>
          </w:tcPr>
          <w:p w14:paraId="14448C33" w14:textId="77777777" w:rsidR="00232EFA" w:rsidRPr="00232EFA" w:rsidRDefault="00232EFA" w:rsidP="00232EFA">
            <w:pPr>
              <w:jc w:val="both"/>
              <w:rPr>
                <w:rFonts w:ascii="Cambria" w:eastAsia="Times New Roman" w:hAnsi="Cambria" w:cstheme="majorHAnsi"/>
                <w:b/>
                <w:bCs/>
                <w:color w:val="222222"/>
                <w:sz w:val="16"/>
                <w:szCs w:val="16"/>
                <w:u w:val="single"/>
              </w:rPr>
            </w:pPr>
          </w:p>
        </w:tc>
        <w:tc>
          <w:tcPr>
            <w:tcW w:w="362" w:type="pct"/>
            <w:tcBorders>
              <w:top w:val="single" w:sz="4" w:space="0" w:color="auto"/>
              <w:left w:val="single" w:sz="4" w:space="0" w:color="auto"/>
              <w:bottom w:val="single" w:sz="4" w:space="0" w:color="auto"/>
              <w:right w:val="single" w:sz="4" w:space="0" w:color="auto"/>
            </w:tcBorders>
          </w:tcPr>
          <w:p w14:paraId="24C33222" w14:textId="77777777" w:rsidR="00232EFA" w:rsidRPr="00232EFA" w:rsidRDefault="00232EFA" w:rsidP="00232EFA">
            <w:pPr>
              <w:jc w:val="both"/>
              <w:rPr>
                <w:rFonts w:ascii="Cambria" w:eastAsia="Times New Roman" w:hAnsi="Cambria" w:cstheme="majorHAnsi"/>
                <w:b/>
                <w:bCs/>
                <w:color w:val="222222"/>
                <w:sz w:val="16"/>
                <w:szCs w:val="16"/>
                <w:u w:val="single"/>
              </w:rPr>
            </w:pPr>
          </w:p>
        </w:tc>
        <w:tc>
          <w:tcPr>
            <w:tcW w:w="362" w:type="pct"/>
            <w:tcBorders>
              <w:top w:val="single" w:sz="4" w:space="0" w:color="auto"/>
              <w:left w:val="single" w:sz="4" w:space="0" w:color="auto"/>
              <w:bottom w:val="single" w:sz="4" w:space="0" w:color="auto"/>
              <w:right w:val="single" w:sz="4" w:space="0" w:color="auto"/>
            </w:tcBorders>
          </w:tcPr>
          <w:p w14:paraId="6F66FF44" w14:textId="77777777" w:rsidR="00232EFA" w:rsidRPr="00232EFA" w:rsidRDefault="00232EFA" w:rsidP="00232EFA">
            <w:pPr>
              <w:jc w:val="both"/>
              <w:rPr>
                <w:rFonts w:ascii="Cambria" w:eastAsia="Times New Roman" w:hAnsi="Cambria" w:cstheme="majorHAnsi"/>
                <w:b/>
                <w:bCs/>
                <w:color w:val="222222"/>
                <w:sz w:val="16"/>
                <w:szCs w:val="16"/>
                <w:u w:val="single"/>
              </w:rPr>
            </w:pPr>
          </w:p>
        </w:tc>
        <w:tc>
          <w:tcPr>
            <w:tcW w:w="362" w:type="pct"/>
            <w:tcBorders>
              <w:top w:val="single" w:sz="4" w:space="0" w:color="auto"/>
              <w:left w:val="single" w:sz="4" w:space="0" w:color="auto"/>
              <w:bottom w:val="single" w:sz="4" w:space="0" w:color="auto"/>
              <w:right w:val="single" w:sz="4" w:space="0" w:color="auto"/>
            </w:tcBorders>
          </w:tcPr>
          <w:p w14:paraId="5D5BC764" w14:textId="77777777" w:rsidR="00232EFA" w:rsidRPr="00232EFA" w:rsidRDefault="00232EFA" w:rsidP="00232EFA">
            <w:pPr>
              <w:jc w:val="both"/>
              <w:rPr>
                <w:rFonts w:ascii="Cambria" w:eastAsia="Times New Roman" w:hAnsi="Cambria" w:cstheme="majorHAnsi"/>
                <w:b/>
                <w:bCs/>
                <w:color w:val="222222"/>
                <w:sz w:val="16"/>
                <w:szCs w:val="16"/>
                <w:u w:val="single"/>
              </w:rPr>
            </w:pPr>
          </w:p>
        </w:tc>
        <w:tc>
          <w:tcPr>
            <w:tcW w:w="362" w:type="pct"/>
            <w:tcBorders>
              <w:top w:val="single" w:sz="4" w:space="0" w:color="auto"/>
              <w:left w:val="single" w:sz="4" w:space="0" w:color="auto"/>
              <w:bottom w:val="single" w:sz="4" w:space="0" w:color="auto"/>
              <w:right w:val="single" w:sz="4" w:space="0" w:color="auto"/>
            </w:tcBorders>
          </w:tcPr>
          <w:p w14:paraId="24FD328D" w14:textId="77777777" w:rsidR="00232EFA" w:rsidRPr="00232EFA" w:rsidRDefault="00232EFA" w:rsidP="00232EFA">
            <w:pPr>
              <w:jc w:val="both"/>
              <w:rPr>
                <w:rFonts w:ascii="Cambria" w:eastAsia="Times New Roman" w:hAnsi="Cambria" w:cstheme="majorHAnsi"/>
                <w:b/>
                <w:bCs/>
                <w:color w:val="222222"/>
                <w:sz w:val="16"/>
                <w:szCs w:val="16"/>
                <w:u w:val="single"/>
              </w:rPr>
            </w:pPr>
          </w:p>
        </w:tc>
        <w:tc>
          <w:tcPr>
            <w:tcW w:w="362" w:type="pct"/>
            <w:tcBorders>
              <w:top w:val="single" w:sz="4" w:space="0" w:color="auto"/>
              <w:left w:val="single" w:sz="4" w:space="0" w:color="auto"/>
              <w:bottom w:val="single" w:sz="4" w:space="0" w:color="auto"/>
              <w:right w:val="single" w:sz="4" w:space="0" w:color="auto"/>
            </w:tcBorders>
          </w:tcPr>
          <w:p w14:paraId="2089224B" w14:textId="77777777" w:rsidR="00232EFA" w:rsidRPr="00232EFA" w:rsidRDefault="00232EFA" w:rsidP="00232EFA">
            <w:pPr>
              <w:jc w:val="both"/>
              <w:rPr>
                <w:rFonts w:ascii="Cambria" w:eastAsia="Times New Roman" w:hAnsi="Cambria" w:cstheme="majorHAnsi"/>
                <w:b/>
                <w:bCs/>
                <w:color w:val="222222"/>
                <w:sz w:val="16"/>
                <w:szCs w:val="16"/>
                <w:u w:val="single"/>
              </w:rPr>
            </w:pPr>
          </w:p>
        </w:tc>
        <w:tc>
          <w:tcPr>
            <w:tcW w:w="362" w:type="pct"/>
            <w:tcBorders>
              <w:top w:val="single" w:sz="4" w:space="0" w:color="auto"/>
              <w:left w:val="single" w:sz="4" w:space="0" w:color="auto"/>
              <w:bottom w:val="single" w:sz="4" w:space="0" w:color="auto"/>
              <w:right w:val="single" w:sz="4" w:space="0" w:color="auto"/>
            </w:tcBorders>
          </w:tcPr>
          <w:p w14:paraId="47F54D45" w14:textId="77777777" w:rsidR="00232EFA" w:rsidRPr="00232EFA" w:rsidRDefault="00232EFA" w:rsidP="00232EFA">
            <w:pPr>
              <w:jc w:val="both"/>
              <w:rPr>
                <w:rFonts w:ascii="Cambria" w:eastAsia="Times New Roman" w:hAnsi="Cambria" w:cstheme="majorHAnsi"/>
                <w:b/>
                <w:bCs/>
                <w:color w:val="222222"/>
                <w:sz w:val="16"/>
                <w:szCs w:val="16"/>
                <w:u w:val="single"/>
              </w:rPr>
            </w:pPr>
          </w:p>
        </w:tc>
        <w:tc>
          <w:tcPr>
            <w:tcW w:w="362" w:type="pct"/>
            <w:tcBorders>
              <w:top w:val="single" w:sz="4" w:space="0" w:color="auto"/>
              <w:left w:val="single" w:sz="4" w:space="0" w:color="auto"/>
              <w:bottom w:val="single" w:sz="4" w:space="0" w:color="auto"/>
              <w:right w:val="single" w:sz="4" w:space="0" w:color="auto"/>
            </w:tcBorders>
          </w:tcPr>
          <w:p w14:paraId="28A2287C" w14:textId="77777777" w:rsidR="00232EFA" w:rsidRPr="00232EFA" w:rsidRDefault="00232EFA" w:rsidP="00232EFA">
            <w:pPr>
              <w:jc w:val="both"/>
              <w:rPr>
                <w:rFonts w:ascii="Cambria" w:eastAsia="Times New Roman" w:hAnsi="Cambria" w:cstheme="majorHAnsi"/>
                <w:b/>
                <w:bCs/>
                <w:color w:val="222222"/>
                <w:sz w:val="16"/>
                <w:szCs w:val="16"/>
                <w:u w:val="single"/>
              </w:rPr>
            </w:pPr>
          </w:p>
        </w:tc>
        <w:tc>
          <w:tcPr>
            <w:tcW w:w="362" w:type="pct"/>
            <w:tcBorders>
              <w:top w:val="single" w:sz="4" w:space="0" w:color="auto"/>
              <w:left w:val="single" w:sz="4" w:space="0" w:color="auto"/>
              <w:bottom w:val="single" w:sz="4" w:space="0" w:color="auto"/>
              <w:right w:val="single" w:sz="4" w:space="0" w:color="auto"/>
            </w:tcBorders>
          </w:tcPr>
          <w:p w14:paraId="6FF7DD68" w14:textId="77777777" w:rsidR="00232EFA" w:rsidRPr="00232EFA" w:rsidRDefault="00232EFA" w:rsidP="00232EFA">
            <w:pPr>
              <w:jc w:val="both"/>
              <w:rPr>
                <w:rFonts w:ascii="Cambria" w:eastAsia="Times New Roman" w:hAnsi="Cambria" w:cstheme="majorHAnsi"/>
                <w:b/>
                <w:bCs/>
                <w:color w:val="222222"/>
                <w:sz w:val="16"/>
                <w:szCs w:val="16"/>
                <w:u w:val="single"/>
              </w:rPr>
            </w:pPr>
          </w:p>
        </w:tc>
        <w:tc>
          <w:tcPr>
            <w:tcW w:w="362" w:type="pct"/>
            <w:tcBorders>
              <w:top w:val="single" w:sz="4" w:space="0" w:color="auto"/>
              <w:left w:val="single" w:sz="4" w:space="0" w:color="auto"/>
              <w:bottom w:val="single" w:sz="4" w:space="0" w:color="auto"/>
              <w:right w:val="single" w:sz="4" w:space="0" w:color="auto"/>
            </w:tcBorders>
          </w:tcPr>
          <w:p w14:paraId="12F5E01C" w14:textId="77777777" w:rsidR="00232EFA" w:rsidRPr="00232EFA" w:rsidRDefault="00232EFA" w:rsidP="00232EFA">
            <w:pPr>
              <w:jc w:val="both"/>
              <w:rPr>
                <w:rFonts w:ascii="Cambria" w:eastAsia="Times New Roman" w:hAnsi="Cambria" w:cstheme="majorHAnsi"/>
                <w:b/>
                <w:bCs/>
                <w:color w:val="222222"/>
                <w:sz w:val="16"/>
                <w:szCs w:val="16"/>
                <w:u w:val="single"/>
              </w:rPr>
            </w:pPr>
          </w:p>
        </w:tc>
        <w:tc>
          <w:tcPr>
            <w:tcW w:w="362" w:type="pct"/>
            <w:tcBorders>
              <w:top w:val="single" w:sz="4" w:space="0" w:color="auto"/>
              <w:left w:val="single" w:sz="4" w:space="0" w:color="auto"/>
              <w:bottom w:val="single" w:sz="4" w:space="0" w:color="auto"/>
              <w:right w:val="single" w:sz="4" w:space="0" w:color="auto"/>
            </w:tcBorders>
          </w:tcPr>
          <w:p w14:paraId="7DA3596D" w14:textId="77777777" w:rsidR="00232EFA" w:rsidRPr="00232EFA" w:rsidRDefault="00232EFA" w:rsidP="00232EFA">
            <w:pPr>
              <w:jc w:val="both"/>
              <w:rPr>
                <w:rFonts w:ascii="Cambria" w:eastAsia="Times New Roman" w:hAnsi="Cambria" w:cstheme="majorHAnsi"/>
                <w:b/>
                <w:bCs/>
                <w:color w:val="222222"/>
                <w:sz w:val="16"/>
                <w:szCs w:val="16"/>
                <w:u w:val="single"/>
              </w:rPr>
            </w:pPr>
          </w:p>
        </w:tc>
      </w:tr>
    </w:tbl>
    <w:p w14:paraId="72E8FD7E" w14:textId="77777777" w:rsidR="00232EFA" w:rsidRPr="00232EFA" w:rsidRDefault="00232EFA" w:rsidP="00232EFA">
      <w:pPr>
        <w:spacing w:after="0" w:line="240" w:lineRule="auto"/>
        <w:jc w:val="both"/>
        <w:rPr>
          <w:rFonts w:ascii="Cambria" w:eastAsia="Times New Roman" w:hAnsi="Cambria" w:cstheme="majorHAnsi"/>
          <w:b/>
          <w:bCs/>
          <w:color w:val="222222"/>
          <w:sz w:val="20"/>
          <w:szCs w:val="20"/>
          <w:u w:val="single"/>
        </w:rPr>
      </w:pPr>
    </w:p>
    <w:p w14:paraId="6F51BD30" w14:textId="77777777" w:rsidR="00232EFA" w:rsidRDefault="00232EFA" w:rsidP="00232EFA">
      <w:pPr>
        <w:spacing w:after="0" w:line="240" w:lineRule="auto"/>
        <w:jc w:val="both"/>
        <w:rPr>
          <w:rFonts w:ascii="Cambria" w:eastAsia="Times New Roman" w:hAnsi="Cambria" w:cstheme="majorHAnsi"/>
          <w:color w:val="222222"/>
          <w:sz w:val="20"/>
          <w:szCs w:val="20"/>
          <w:u w:val="single"/>
        </w:rPr>
      </w:pPr>
      <w:r w:rsidRPr="00232EFA">
        <w:rPr>
          <w:rFonts w:ascii="Cambria" w:eastAsia="Times New Roman" w:hAnsi="Cambria" w:cstheme="majorHAnsi"/>
          <w:b/>
          <w:color w:val="222222"/>
          <w:sz w:val="20"/>
          <w:szCs w:val="20"/>
          <w:u w:val="single"/>
        </w:rPr>
        <w:t xml:space="preserve">Figure 3. </w:t>
      </w:r>
      <w:r w:rsidRPr="00232EFA">
        <w:rPr>
          <w:rFonts w:ascii="Cambria" w:eastAsia="Times New Roman" w:hAnsi="Cambria" w:cstheme="majorHAnsi"/>
          <w:color w:val="222222"/>
          <w:sz w:val="20"/>
          <w:szCs w:val="20"/>
          <w:u w:val="single"/>
        </w:rPr>
        <w:t>Données sur les remises à l'eau de spécimens vivants de la Namibie (2019-2025) en tonnes.</w:t>
      </w:r>
    </w:p>
    <w:p w14:paraId="69C73945" w14:textId="77777777" w:rsidR="003411F8" w:rsidRPr="00232EFA" w:rsidRDefault="003411F8" w:rsidP="00232EFA">
      <w:pPr>
        <w:spacing w:after="0" w:line="240" w:lineRule="auto"/>
        <w:jc w:val="both"/>
        <w:rPr>
          <w:rFonts w:ascii="Cambria" w:eastAsia="Times New Roman" w:hAnsi="Cambria" w:cstheme="majorHAnsi"/>
          <w:b/>
          <w:bCs/>
          <w:color w:val="222222"/>
          <w:sz w:val="20"/>
          <w:szCs w:val="20"/>
          <w:u w:val="single"/>
        </w:rPr>
      </w:pPr>
    </w:p>
    <w:tbl>
      <w:tblPr>
        <w:tblStyle w:val="TableGrid"/>
        <w:tblW w:w="0" w:type="auto"/>
        <w:tblInd w:w="-5" w:type="dxa"/>
        <w:tblLook w:val="04A0" w:firstRow="1" w:lastRow="0" w:firstColumn="1" w:lastColumn="0" w:noHBand="0" w:noVBand="1"/>
      </w:tblPr>
      <w:tblGrid>
        <w:gridCol w:w="637"/>
        <w:gridCol w:w="692"/>
        <w:gridCol w:w="692"/>
        <w:gridCol w:w="692"/>
        <w:gridCol w:w="692"/>
        <w:gridCol w:w="737"/>
        <w:gridCol w:w="855"/>
        <w:gridCol w:w="855"/>
      </w:tblGrid>
      <w:tr w:rsidR="00232EFA" w:rsidRPr="00232EFA" w14:paraId="5BE35382" w14:textId="77777777" w:rsidTr="003411F8">
        <w:tc>
          <w:tcPr>
            <w:tcW w:w="579" w:type="dxa"/>
            <w:tcBorders>
              <w:top w:val="single" w:sz="4" w:space="0" w:color="auto"/>
              <w:left w:val="single" w:sz="4" w:space="0" w:color="auto"/>
              <w:bottom w:val="single" w:sz="4" w:space="0" w:color="auto"/>
              <w:right w:val="single" w:sz="4" w:space="0" w:color="auto"/>
            </w:tcBorders>
            <w:hideMark/>
          </w:tcPr>
          <w:p w14:paraId="2DD3C25D" w14:textId="77777777" w:rsidR="00232EFA" w:rsidRPr="00232EFA" w:rsidRDefault="00232EFA" w:rsidP="00232EFA">
            <w:pPr>
              <w:jc w:val="both"/>
              <w:rPr>
                <w:rFonts w:ascii="Cambria" w:eastAsia="Times New Roman" w:hAnsi="Cambria" w:cstheme="majorHAnsi"/>
                <w:b/>
                <w:bCs/>
                <w:i/>
                <w:iCs/>
                <w:color w:val="222222"/>
                <w:sz w:val="20"/>
                <w:szCs w:val="20"/>
                <w:u w:val="single"/>
              </w:rPr>
            </w:pPr>
            <w:r w:rsidRPr="00232EFA">
              <w:rPr>
                <w:rFonts w:ascii="Cambria" w:eastAsia="Times New Roman" w:hAnsi="Cambria" w:cstheme="majorHAnsi"/>
                <w:b/>
                <w:i/>
                <w:color w:val="222222"/>
                <w:sz w:val="20"/>
                <w:szCs w:val="20"/>
                <w:u w:val="single"/>
              </w:rPr>
              <w:t>CPC</w:t>
            </w:r>
          </w:p>
        </w:tc>
        <w:tc>
          <w:tcPr>
            <w:tcW w:w="692" w:type="dxa"/>
            <w:tcBorders>
              <w:top w:val="single" w:sz="4" w:space="0" w:color="auto"/>
              <w:left w:val="single" w:sz="4" w:space="0" w:color="auto"/>
              <w:bottom w:val="single" w:sz="4" w:space="0" w:color="auto"/>
              <w:right w:val="single" w:sz="4" w:space="0" w:color="auto"/>
            </w:tcBorders>
            <w:hideMark/>
          </w:tcPr>
          <w:p w14:paraId="2FD4413A" w14:textId="77777777" w:rsidR="00232EFA" w:rsidRPr="00232EFA" w:rsidRDefault="00232EFA" w:rsidP="00232EFA">
            <w:pPr>
              <w:jc w:val="both"/>
              <w:rPr>
                <w:rFonts w:ascii="Cambria" w:eastAsia="Times New Roman" w:hAnsi="Cambria" w:cstheme="majorHAnsi"/>
                <w:b/>
                <w:bCs/>
                <w:i/>
                <w:iCs/>
                <w:color w:val="222222"/>
                <w:sz w:val="20"/>
                <w:szCs w:val="20"/>
                <w:u w:val="single"/>
              </w:rPr>
            </w:pPr>
            <w:r w:rsidRPr="00232EFA">
              <w:rPr>
                <w:rFonts w:ascii="Cambria" w:eastAsia="Times New Roman" w:hAnsi="Cambria" w:cstheme="majorHAnsi"/>
                <w:b/>
                <w:i/>
                <w:color w:val="222222"/>
                <w:sz w:val="20"/>
                <w:szCs w:val="20"/>
                <w:u w:val="single"/>
              </w:rPr>
              <w:t>2019</w:t>
            </w:r>
          </w:p>
        </w:tc>
        <w:tc>
          <w:tcPr>
            <w:tcW w:w="692" w:type="dxa"/>
            <w:tcBorders>
              <w:top w:val="single" w:sz="4" w:space="0" w:color="auto"/>
              <w:left w:val="single" w:sz="4" w:space="0" w:color="auto"/>
              <w:bottom w:val="single" w:sz="4" w:space="0" w:color="auto"/>
              <w:right w:val="single" w:sz="4" w:space="0" w:color="auto"/>
            </w:tcBorders>
            <w:hideMark/>
          </w:tcPr>
          <w:p w14:paraId="7CD726EF" w14:textId="77777777" w:rsidR="00232EFA" w:rsidRPr="00232EFA" w:rsidRDefault="00232EFA" w:rsidP="00232EFA">
            <w:pPr>
              <w:jc w:val="both"/>
              <w:rPr>
                <w:rFonts w:ascii="Cambria" w:eastAsia="Times New Roman" w:hAnsi="Cambria" w:cstheme="majorHAnsi"/>
                <w:b/>
                <w:bCs/>
                <w:i/>
                <w:iCs/>
                <w:color w:val="222222"/>
                <w:sz w:val="20"/>
                <w:szCs w:val="20"/>
                <w:u w:val="single"/>
              </w:rPr>
            </w:pPr>
            <w:r w:rsidRPr="00232EFA">
              <w:rPr>
                <w:rFonts w:ascii="Cambria" w:eastAsia="Times New Roman" w:hAnsi="Cambria" w:cstheme="majorHAnsi"/>
                <w:b/>
                <w:i/>
                <w:color w:val="222222"/>
                <w:sz w:val="20"/>
                <w:szCs w:val="20"/>
                <w:u w:val="single"/>
              </w:rPr>
              <w:t>2020</w:t>
            </w:r>
          </w:p>
        </w:tc>
        <w:tc>
          <w:tcPr>
            <w:tcW w:w="692" w:type="dxa"/>
            <w:tcBorders>
              <w:top w:val="single" w:sz="4" w:space="0" w:color="auto"/>
              <w:left w:val="single" w:sz="4" w:space="0" w:color="auto"/>
              <w:bottom w:val="single" w:sz="4" w:space="0" w:color="auto"/>
              <w:right w:val="single" w:sz="4" w:space="0" w:color="auto"/>
            </w:tcBorders>
            <w:hideMark/>
          </w:tcPr>
          <w:p w14:paraId="64FD88FF" w14:textId="77777777" w:rsidR="00232EFA" w:rsidRPr="00232EFA" w:rsidRDefault="00232EFA" w:rsidP="00232EFA">
            <w:pPr>
              <w:jc w:val="both"/>
              <w:rPr>
                <w:rFonts w:ascii="Cambria" w:eastAsia="Times New Roman" w:hAnsi="Cambria" w:cstheme="majorHAnsi"/>
                <w:b/>
                <w:bCs/>
                <w:i/>
                <w:iCs/>
                <w:color w:val="222222"/>
                <w:sz w:val="20"/>
                <w:szCs w:val="20"/>
                <w:u w:val="single"/>
              </w:rPr>
            </w:pPr>
            <w:r w:rsidRPr="00232EFA">
              <w:rPr>
                <w:rFonts w:ascii="Cambria" w:eastAsia="Times New Roman" w:hAnsi="Cambria" w:cstheme="majorHAnsi"/>
                <w:b/>
                <w:i/>
                <w:color w:val="222222"/>
                <w:sz w:val="20"/>
                <w:szCs w:val="20"/>
                <w:u w:val="single"/>
              </w:rPr>
              <w:t>2021</w:t>
            </w:r>
          </w:p>
        </w:tc>
        <w:tc>
          <w:tcPr>
            <w:tcW w:w="692" w:type="dxa"/>
            <w:tcBorders>
              <w:top w:val="single" w:sz="4" w:space="0" w:color="auto"/>
              <w:left w:val="single" w:sz="4" w:space="0" w:color="auto"/>
              <w:bottom w:val="single" w:sz="4" w:space="0" w:color="auto"/>
              <w:right w:val="single" w:sz="4" w:space="0" w:color="auto"/>
            </w:tcBorders>
            <w:hideMark/>
          </w:tcPr>
          <w:p w14:paraId="6D7D874F" w14:textId="77777777" w:rsidR="00232EFA" w:rsidRPr="00232EFA" w:rsidRDefault="00232EFA" w:rsidP="00232EFA">
            <w:pPr>
              <w:jc w:val="both"/>
              <w:rPr>
                <w:rFonts w:ascii="Cambria" w:eastAsia="Times New Roman" w:hAnsi="Cambria" w:cstheme="majorHAnsi"/>
                <w:b/>
                <w:bCs/>
                <w:i/>
                <w:iCs/>
                <w:color w:val="222222"/>
                <w:sz w:val="20"/>
                <w:szCs w:val="20"/>
                <w:u w:val="single"/>
              </w:rPr>
            </w:pPr>
            <w:r w:rsidRPr="00232EFA">
              <w:rPr>
                <w:rFonts w:ascii="Cambria" w:eastAsia="Times New Roman" w:hAnsi="Cambria" w:cstheme="majorHAnsi"/>
                <w:b/>
                <w:i/>
                <w:color w:val="222222"/>
                <w:sz w:val="20"/>
                <w:szCs w:val="20"/>
                <w:u w:val="single"/>
              </w:rPr>
              <w:t>2022</w:t>
            </w:r>
          </w:p>
        </w:tc>
        <w:tc>
          <w:tcPr>
            <w:tcW w:w="737" w:type="dxa"/>
            <w:tcBorders>
              <w:top w:val="single" w:sz="4" w:space="0" w:color="auto"/>
              <w:left w:val="single" w:sz="4" w:space="0" w:color="auto"/>
              <w:bottom w:val="single" w:sz="4" w:space="0" w:color="auto"/>
              <w:right w:val="single" w:sz="4" w:space="0" w:color="auto"/>
            </w:tcBorders>
            <w:hideMark/>
          </w:tcPr>
          <w:p w14:paraId="03BCD864" w14:textId="77777777" w:rsidR="00232EFA" w:rsidRPr="00232EFA" w:rsidRDefault="00232EFA" w:rsidP="00232EFA">
            <w:pPr>
              <w:jc w:val="both"/>
              <w:rPr>
                <w:rFonts w:ascii="Cambria" w:eastAsia="Times New Roman" w:hAnsi="Cambria" w:cstheme="majorHAnsi"/>
                <w:b/>
                <w:bCs/>
                <w:i/>
                <w:iCs/>
                <w:color w:val="222222"/>
                <w:sz w:val="20"/>
                <w:szCs w:val="20"/>
                <w:u w:val="single"/>
              </w:rPr>
            </w:pPr>
            <w:r w:rsidRPr="00232EFA">
              <w:rPr>
                <w:rFonts w:ascii="Cambria" w:eastAsia="Times New Roman" w:hAnsi="Cambria" w:cstheme="majorHAnsi"/>
                <w:b/>
                <w:i/>
                <w:color w:val="222222"/>
                <w:sz w:val="20"/>
                <w:szCs w:val="20"/>
                <w:u w:val="single"/>
              </w:rPr>
              <w:t>2023</w:t>
            </w:r>
          </w:p>
        </w:tc>
        <w:tc>
          <w:tcPr>
            <w:tcW w:w="855" w:type="dxa"/>
            <w:tcBorders>
              <w:top w:val="single" w:sz="4" w:space="0" w:color="auto"/>
              <w:left w:val="single" w:sz="4" w:space="0" w:color="auto"/>
              <w:bottom w:val="single" w:sz="4" w:space="0" w:color="auto"/>
              <w:right w:val="single" w:sz="4" w:space="0" w:color="auto"/>
            </w:tcBorders>
            <w:hideMark/>
          </w:tcPr>
          <w:p w14:paraId="7EC61D03" w14:textId="77777777" w:rsidR="00232EFA" w:rsidRPr="00232EFA" w:rsidRDefault="00232EFA" w:rsidP="00232EFA">
            <w:pPr>
              <w:jc w:val="both"/>
              <w:rPr>
                <w:rFonts w:ascii="Cambria" w:eastAsia="Times New Roman" w:hAnsi="Cambria" w:cstheme="majorHAnsi"/>
                <w:b/>
                <w:bCs/>
                <w:i/>
                <w:iCs/>
                <w:color w:val="222222"/>
                <w:sz w:val="20"/>
                <w:szCs w:val="20"/>
                <w:u w:val="single"/>
              </w:rPr>
            </w:pPr>
            <w:r w:rsidRPr="00232EFA">
              <w:rPr>
                <w:rFonts w:ascii="Cambria" w:eastAsia="Times New Roman" w:hAnsi="Cambria" w:cstheme="majorHAnsi"/>
                <w:b/>
                <w:i/>
                <w:color w:val="222222"/>
                <w:sz w:val="20"/>
                <w:szCs w:val="20"/>
                <w:u w:val="single"/>
              </w:rPr>
              <w:t>2024</w:t>
            </w:r>
          </w:p>
        </w:tc>
        <w:tc>
          <w:tcPr>
            <w:tcW w:w="855" w:type="dxa"/>
            <w:tcBorders>
              <w:top w:val="single" w:sz="4" w:space="0" w:color="auto"/>
              <w:left w:val="single" w:sz="4" w:space="0" w:color="auto"/>
              <w:bottom w:val="single" w:sz="4" w:space="0" w:color="auto"/>
              <w:right w:val="single" w:sz="4" w:space="0" w:color="auto"/>
            </w:tcBorders>
            <w:hideMark/>
          </w:tcPr>
          <w:p w14:paraId="1153EE22" w14:textId="77777777" w:rsidR="00232EFA" w:rsidRPr="00232EFA" w:rsidRDefault="00232EFA" w:rsidP="00232EFA">
            <w:pPr>
              <w:jc w:val="both"/>
              <w:rPr>
                <w:rFonts w:ascii="Cambria" w:eastAsia="Times New Roman" w:hAnsi="Cambria" w:cstheme="majorHAnsi"/>
                <w:b/>
                <w:bCs/>
                <w:i/>
                <w:iCs/>
                <w:color w:val="222222"/>
                <w:sz w:val="20"/>
                <w:szCs w:val="20"/>
                <w:u w:val="single"/>
              </w:rPr>
            </w:pPr>
            <w:r w:rsidRPr="00232EFA">
              <w:rPr>
                <w:rFonts w:ascii="Cambria" w:eastAsia="Times New Roman" w:hAnsi="Cambria" w:cstheme="majorHAnsi"/>
                <w:b/>
                <w:i/>
                <w:color w:val="222222"/>
                <w:sz w:val="20"/>
                <w:szCs w:val="20"/>
                <w:u w:val="single"/>
              </w:rPr>
              <w:t>2025</w:t>
            </w:r>
          </w:p>
        </w:tc>
      </w:tr>
      <w:tr w:rsidR="00232EFA" w:rsidRPr="00232EFA" w14:paraId="70E7D963" w14:textId="77777777" w:rsidTr="003411F8">
        <w:tc>
          <w:tcPr>
            <w:tcW w:w="579" w:type="dxa"/>
            <w:tcBorders>
              <w:top w:val="single" w:sz="4" w:space="0" w:color="auto"/>
              <w:left w:val="single" w:sz="4" w:space="0" w:color="auto"/>
              <w:bottom w:val="single" w:sz="4" w:space="0" w:color="auto"/>
              <w:right w:val="single" w:sz="4" w:space="0" w:color="auto"/>
            </w:tcBorders>
            <w:hideMark/>
          </w:tcPr>
          <w:p w14:paraId="3B07952B" w14:textId="77777777" w:rsidR="00232EFA" w:rsidRPr="00232EFA" w:rsidRDefault="00232EFA" w:rsidP="00232EFA">
            <w:pPr>
              <w:jc w:val="both"/>
              <w:rPr>
                <w:rFonts w:ascii="Cambria" w:eastAsia="Times New Roman" w:hAnsi="Cambria" w:cstheme="majorHAnsi"/>
                <w:color w:val="222222"/>
                <w:sz w:val="20"/>
                <w:szCs w:val="20"/>
                <w:u w:val="single"/>
              </w:rPr>
            </w:pPr>
            <w:r w:rsidRPr="00232EFA">
              <w:rPr>
                <w:rFonts w:ascii="Cambria" w:eastAsia="Times New Roman" w:hAnsi="Cambria" w:cstheme="majorHAnsi"/>
                <w:color w:val="222222"/>
                <w:sz w:val="20"/>
                <w:szCs w:val="20"/>
                <w:u w:val="single"/>
              </w:rPr>
              <w:t>NAM</w:t>
            </w:r>
          </w:p>
        </w:tc>
        <w:tc>
          <w:tcPr>
            <w:tcW w:w="692" w:type="dxa"/>
            <w:tcBorders>
              <w:top w:val="single" w:sz="4" w:space="0" w:color="auto"/>
              <w:left w:val="single" w:sz="4" w:space="0" w:color="auto"/>
              <w:bottom w:val="single" w:sz="4" w:space="0" w:color="auto"/>
              <w:right w:val="single" w:sz="4" w:space="0" w:color="auto"/>
            </w:tcBorders>
            <w:hideMark/>
          </w:tcPr>
          <w:p w14:paraId="2CF25E86" w14:textId="77777777" w:rsidR="00232EFA" w:rsidRPr="00232EFA" w:rsidRDefault="00232EFA" w:rsidP="00232EFA">
            <w:pPr>
              <w:jc w:val="both"/>
              <w:rPr>
                <w:rFonts w:ascii="Cambria" w:eastAsia="Times New Roman" w:hAnsi="Cambria" w:cstheme="majorHAnsi"/>
                <w:color w:val="222222"/>
                <w:sz w:val="20"/>
                <w:szCs w:val="20"/>
                <w:u w:val="single"/>
              </w:rPr>
            </w:pPr>
            <w:r w:rsidRPr="00232EFA">
              <w:rPr>
                <w:rFonts w:ascii="Cambria" w:eastAsia="Times New Roman" w:hAnsi="Cambria" w:cstheme="majorHAnsi"/>
                <w:color w:val="222222"/>
                <w:sz w:val="20"/>
                <w:szCs w:val="20"/>
                <w:u w:val="single"/>
              </w:rPr>
              <w:t>0</w:t>
            </w:r>
          </w:p>
        </w:tc>
        <w:tc>
          <w:tcPr>
            <w:tcW w:w="692" w:type="dxa"/>
            <w:tcBorders>
              <w:top w:val="single" w:sz="4" w:space="0" w:color="auto"/>
              <w:left w:val="single" w:sz="4" w:space="0" w:color="auto"/>
              <w:bottom w:val="single" w:sz="4" w:space="0" w:color="auto"/>
              <w:right w:val="single" w:sz="4" w:space="0" w:color="auto"/>
            </w:tcBorders>
            <w:hideMark/>
          </w:tcPr>
          <w:p w14:paraId="69211497" w14:textId="77777777" w:rsidR="00232EFA" w:rsidRPr="00232EFA" w:rsidRDefault="00232EFA" w:rsidP="00232EFA">
            <w:pPr>
              <w:jc w:val="both"/>
              <w:rPr>
                <w:rFonts w:ascii="Cambria" w:eastAsia="Times New Roman" w:hAnsi="Cambria" w:cstheme="majorHAnsi"/>
                <w:color w:val="222222"/>
                <w:sz w:val="20"/>
                <w:szCs w:val="20"/>
                <w:u w:val="single"/>
              </w:rPr>
            </w:pPr>
            <w:r w:rsidRPr="00232EFA">
              <w:rPr>
                <w:rFonts w:ascii="Cambria" w:eastAsia="Times New Roman" w:hAnsi="Cambria" w:cstheme="majorHAnsi"/>
                <w:color w:val="222222"/>
                <w:sz w:val="20"/>
                <w:szCs w:val="20"/>
                <w:u w:val="single"/>
              </w:rPr>
              <w:t>0</w:t>
            </w:r>
          </w:p>
        </w:tc>
        <w:tc>
          <w:tcPr>
            <w:tcW w:w="692" w:type="dxa"/>
            <w:tcBorders>
              <w:top w:val="single" w:sz="4" w:space="0" w:color="auto"/>
              <w:left w:val="single" w:sz="4" w:space="0" w:color="auto"/>
              <w:bottom w:val="single" w:sz="4" w:space="0" w:color="auto"/>
              <w:right w:val="single" w:sz="4" w:space="0" w:color="auto"/>
            </w:tcBorders>
            <w:hideMark/>
          </w:tcPr>
          <w:p w14:paraId="351FE3DC" w14:textId="77777777" w:rsidR="00232EFA" w:rsidRPr="00232EFA" w:rsidRDefault="00232EFA" w:rsidP="00232EFA">
            <w:pPr>
              <w:jc w:val="both"/>
              <w:rPr>
                <w:rFonts w:ascii="Cambria" w:eastAsia="Times New Roman" w:hAnsi="Cambria" w:cstheme="majorHAnsi"/>
                <w:color w:val="222222"/>
                <w:sz w:val="20"/>
                <w:szCs w:val="20"/>
                <w:u w:val="single"/>
              </w:rPr>
            </w:pPr>
            <w:r w:rsidRPr="00232EFA">
              <w:rPr>
                <w:rFonts w:ascii="Cambria" w:eastAsia="Times New Roman" w:hAnsi="Cambria" w:cstheme="majorHAnsi"/>
                <w:color w:val="222222"/>
                <w:sz w:val="20"/>
                <w:szCs w:val="20"/>
                <w:u w:val="single"/>
              </w:rPr>
              <w:t>0</w:t>
            </w:r>
          </w:p>
        </w:tc>
        <w:tc>
          <w:tcPr>
            <w:tcW w:w="692" w:type="dxa"/>
            <w:tcBorders>
              <w:top w:val="single" w:sz="4" w:space="0" w:color="auto"/>
              <w:left w:val="single" w:sz="4" w:space="0" w:color="auto"/>
              <w:bottom w:val="single" w:sz="4" w:space="0" w:color="auto"/>
              <w:right w:val="single" w:sz="4" w:space="0" w:color="auto"/>
            </w:tcBorders>
            <w:hideMark/>
          </w:tcPr>
          <w:p w14:paraId="23754431" w14:textId="77777777" w:rsidR="00232EFA" w:rsidRPr="00232EFA" w:rsidRDefault="00232EFA" w:rsidP="00232EFA">
            <w:pPr>
              <w:jc w:val="both"/>
              <w:rPr>
                <w:rFonts w:ascii="Cambria" w:eastAsia="Times New Roman" w:hAnsi="Cambria" w:cstheme="majorHAnsi"/>
                <w:color w:val="222222"/>
                <w:sz w:val="20"/>
                <w:szCs w:val="20"/>
                <w:u w:val="single"/>
              </w:rPr>
            </w:pPr>
            <w:r w:rsidRPr="00232EFA">
              <w:rPr>
                <w:rFonts w:ascii="Cambria" w:eastAsia="Times New Roman" w:hAnsi="Cambria" w:cstheme="majorHAnsi"/>
                <w:color w:val="222222"/>
                <w:sz w:val="20"/>
                <w:szCs w:val="20"/>
                <w:u w:val="single"/>
              </w:rPr>
              <w:t>0</w:t>
            </w:r>
          </w:p>
        </w:tc>
        <w:tc>
          <w:tcPr>
            <w:tcW w:w="737" w:type="dxa"/>
            <w:tcBorders>
              <w:top w:val="single" w:sz="4" w:space="0" w:color="auto"/>
              <w:left w:val="single" w:sz="4" w:space="0" w:color="auto"/>
              <w:bottom w:val="single" w:sz="4" w:space="0" w:color="auto"/>
              <w:right w:val="single" w:sz="4" w:space="0" w:color="auto"/>
            </w:tcBorders>
            <w:hideMark/>
          </w:tcPr>
          <w:p w14:paraId="64C5DA66" w14:textId="77777777" w:rsidR="00232EFA" w:rsidRPr="00232EFA" w:rsidRDefault="00232EFA" w:rsidP="00232EFA">
            <w:pPr>
              <w:jc w:val="both"/>
              <w:rPr>
                <w:rFonts w:ascii="Cambria" w:eastAsia="Times New Roman" w:hAnsi="Cambria" w:cstheme="majorHAnsi"/>
                <w:color w:val="222222"/>
                <w:sz w:val="20"/>
                <w:szCs w:val="20"/>
                <w:u w:val="single"/>
              </w:rPr>
            </w:pPr>
            <w:r w:rsidRPr="00232EFA">
              <w:rPr>
                <w:rFonts w:ascii="Cambria" w:eastAsia="Times New Roman" w:hAnsi="Cambria" w:cstheme="majorHAnsi"/>
                <w:color w:val="222222"/>
                <w:sz w:val="20"/>
                <w:szCs w:val="20"/>
                <w:u w:val="single"/>
              </w:rPr>
              <w:t>97,75</w:t>
            </w:r>
          </w:p>
        </w:tc>
        <w:tc>
          <w:tcPr>
            <w:tcW w:w="855" w:type="dxa"/>
            <w:tcBorders>
              <w:top w:val="single" w:sz="4" w:space="0" w:color="auto"/>
              <w:left w:val="single" w:sz="4" w:space="0" w:color="auto"/>
              <w:bottom w:val="single" w:sz="4" w:space="0" w:color="auto"/>
              <w:right w:val="single" w:sz="4" w:space="0" w:color="auto"/>
            </w:tcBorders>
            <w:hideMark/>
          </w:tcPr>
          <w:p w14:paraId="155869A7" w14:textId="77777777" w:rsidR="00232EFA" w:rsidRPr="00232EFA" w:rsidRDefault="00232EFA" w:rsidP="00232EFA">
            <w:pPr>
              <w:jc w:val="both"/>
              <w:rPr>
                <w:rFonts w:ascii="Cambria" w:eastAsia="Times New Roman" w:hAnsi="Cambria" w:cstheme="majorHAnsi"/>
                <w:color w:val="222222"/>
                <w:sz w:val="20"/>
                <w:szCs w:val="20"/>
                <w:u w:val="single"/>
              </w:rPr>
            </w:pPr>
            <w:r w:rsidRPr="00232EFA">
              <w:rPr>
                <w:rFonts w:ascii="Cambria" w:eastAsia="Times New Roman" w:hAnsi="Cambria" w:cstheme="majorHAnsi"/>
                <w:color w:val="222222"/>
                <w:sz w:val="20"/>
                <w:szCs w:val="20"/>
                <w:u w:val="single"/>
              </w:rPr>
              <w:t>181,96</w:t>
            </w:r>
          </w:p>
        </w:tc>
        <w:tc>
          <w:tcPr>
            <w:tcW w:w="855" w:type="dxa"/>
            <w:tcBorders>
              <w:top w:val="single" w:sz="4" w:space="0" w:color="auto"/>
              <w:left w:val="single" w:sz="4" w:space="0" w:color="auto"/>
              <w:bottom w:val="single" w:sz="4" w:space="0" w:color="auto"/>
              <w:right w:val="single" w:sz="4" w:space="0" w:color="auto"/>
            </w:tcBorders>
            <w:hideMark/>
          </w:tcPr>
          <w:p w14:paraId="7BD9E309" w14:textId="77777777" w:rsidR="00232EFA" w:rsidRPr="00232EFA" w:rsidRDefault="00232EFA" w:rsidP="00232EFA">
            <w:pPr>
              <w:jc w:val="both"/>
              <w:rPr>
                <w:rFonts w:ascii="Cambria" w:eastAsia="Times New Roman" w:hAnsi="Cambria" w:cstheme="majorHAnsi"/>
                <w:color w:val="222222"/>
                <w:sz w:val="20"/>
                <w:szCs w:val="20"/>
                <w:u w:val="single"/>
              </w:rPr>
            </w:pPr>
            <w:r w:rsidRPr="00232EFA">
              <w:rPr>
                <w:rFonts w:ascii="Cambria" w:eastAsia="Times New Roman" w:hAnsi="Cambria" w:cstheme="majorHAnsi"/>
                <w:color w:val="222222"/>
                <w:sz w:val="20"/>
                <w:szCs w:val="20"/>
                <w:u w:val="single"/>
              </w:rPr>
              <w:t>215,06</w:t>
            </w:r>
          </w:p>
        </w:tc>
      </w:tr>
      <w:tr w:rsidR="00232EFA" w:rsidRPr="00232EFA" w14:paraId="5AFF7CD9" w14:textId="77777777" w:rsidTr="003411F8">
        <w:tc>
          <w:tcPr>
            <w:tcW w:w="579" w:type="dxa"/>
            <w:tcBorders>
              <w:top w:val="single" w:sz="4" w:space="0" w:color="auto"/>
              <w:left w:val="single" w:sz="4" w:space="0" w:color="auto"/>
              <w:bottom w:val="single" w:sz="4" w:space="0" w:color="auto"/>
              <w:right w:val="single" w:sz="4" w:space="0" w:color="auto"/>
            </w:tcBorders>
          </w:tcPr>
          <w:p w14:paraId="098B9465" w14:textId="77777777" w:rsidR="00232EFA" w:rsidRPr="00232EFA" w:rsidRDefault="00232EFA" w:rsidP="00232EFA">
            <w:pPr>
              <w:jc w:val="both"/>
              <w:rPr>
                <w:rFonts w:ascii="Cambria" w:eastAsia="Times New Roman" w:hAnsi="Cambria" w:cstheme="majorHAnsi"/>
                <w:b/>
                <w:bCs/>
                <w:color w:val="222222"/>
                <w:sz w:val="20"/>
                <w:szCs w:val="20"/>
                <w:u w:val="single"/>
              </w:rPr>
            </w:pPr>
          </w:p>
        </w:tc>
        <w:tc>
          <w:tcPr>
            <w:tcW w:w="692" w:type="dxa"/>
            <w:tcBorders>
              <w:top w:val="single" w:sz="4" w:space="0" w:color="auto"/>
              <w:left w:val="single" w:sz="4" w:space="0" w:color="auto"/>
              <w:bottom w:val="single" w:sz="4" w:space="0" w:color="auto"/>
              <w:right w:val="single" w:sz="4" w:space="0" w:color="auto"/>
            </w:tcBorders>
          </w:tcPr>
          <w:p w14:paraId="4AC889AF" w14:textId="77777777" w:rsidR="00232EFA" w:rsidRPr="00232EFA" w:rsidRDefault="00232EFA" w:rsidP="00232EFA">
            <w:pPr>
              <w:jc w:val="both"/>
              <w:rPr>
                <w:rFonts w:ascii="Cambria" w:eastAsia="Times New Roman" w:hAnsi="Cambria" w:cstheme="majorHAnsi"/>
                <w:b/>
                <w:bCs/>
                <w:color w:val="222222"/>
                <w:sz w:val="20"/>
                <w:szCs w:val="20"/>
                <w:u w:val="single"/>
              </w:rPr>
            </w:pPr>
          </w:p>
        </w:tc>
        <w:tc>
          <w:tcPr>
            <w:tcW w:w="692" w:type="dxa"/>
            <w:tcBorders>
              <w:top w:val="single" w:sz="4" w:space="0" w:color="auto"/>
              <w:left w:val="single" w:sz="4" w:space="0" w:color="auto"/>
              <w:bottom w:val="single" w:sz="4" w:space="0" w:color="auto"/>
              <w:right w:val="single" w:sz="4" w:space="0" w:color="auto"/>
            </w:tcBorders>
          </w:tcPr>
          <w:p w14:paraId="0A56D1C0" w14:textId="77777777" w:rsidR="00232EFA" w:rsidRPr="00232EFA" w:rsidRDefault="00232EFA" w:rsidP="00232EFA">
            <w:pPr>
              <w:jc w:val="both"/>
              <w:rPr>
                <w:rFonts w:ascii="Cambria" w:eastAsia="Times New Roman" w:hAnsi="Cambria" w:cstheme="majorHAnsi"/>
                <w:b/>
                <w:bCs/>
                <w:color w:val="222222"/>
                <w:sz w:val="20"/>
                <w:szCs w:val="20"/>
                <w:u w:val="single"/>
              </w:rPr>
            </w:pPr>
          </w:p>
        </w:tc>
        <w:tc>
          <w:tcPr>
            <w:tcW w:w="692" w:type="dxa"/>
            <w:tcBorders>
              <w:top w:val="single" w:sz="4" w:space="0" w:color="auto"/>
              <w:left w:val="single" w:sz="4" w:space="0" w:color="auto"/>
              <w:bottom w:val="single" w:sz="4" w:space="0" w:color="auto"/>
              <w:right w:val="single" w:sz="4" w:space="0" w:color="auto"/>
            </w:tcBorders>
          </w:tcPr>
          <w:p w14:paraId="3FB957B1" w14:textId="77777777" w:rsidR="00232EFA" w:rsidRPr="00232EFA" w:rsidRDefault="00232EFA" w:rsidP="00232EFA">
            <w:pPr>
              <w:jc w:val="both"/>
              <w:rPr>
                <w:rFonts w:ascii="Cambria" w:eastAsia="Times New Roman" w:hAnsi="Cambria" w:cstheme="majorHAnsi"/>
                <w:b/>
                <w:bCs/>
                <w:color w:val="222222"/>
                <w:sz w:val="20"/>
                <w:szCs w:val="20"/>
                <w:u w:val="single"/>
              </w:rPr>
            </w:pPr>
          </w:p>
        </w:tc>
        <w:tc>
          <w:tcPr>
            <w:tcW w:w="692" w:type="dxa"/>
            <w:tcBorders>
              <w:top w:val="single" w:sz="4" w:space="0" w:color="auto"/>
              <w:left w:val="single" w:sz="4" w:space="0" w:color="auto"/>
              <w:bottom w:val="single" w:sz="4" w:space="0" w:color="auto"/>
              <w:right w:val="single" w:sz="4" w:space="0" w:color="auto"/>
            </w:tcBorders>
          </w:tcPr>
          <w:p w14:paraId="4465E9D5" w14:textId="77777777" w:rsidR="00232EFA" w:rsidRPr="00232EFA" w:rsidRDefault="00232EFA" w:rsidP="00232EFA">
            <w:pPr>
              <w:jc w:val="both"/>
              <w:rPr>
                <w:rFonts w:ascii="Cambria" w:eastAsia="Times New Roman" w:hAnsi="Cambria" w:cstheme="majorHAnsi"/>
                <w:b/>
                <w:bCs/>
                <w:color w:val="222222"/>
                <w:sz w:val="20"/>
                <w:szCs w:val="20"/>
                <w:u w:val="single"/>
              </w:rPr>
            </w:pPr>
          </w:p>
        </w:tc>
        <w:tc>
          <w:tcPr>
            <w:tcW w:w="737" w:type="dxa"/>
            <w:tcBorders>
              <w:top w:val="single" w:sz="4" w:space="0" w:color="auto"/>
              <w:left w:val="single" w:sz="4" w:space="0" w:color="auto"/>
              <w:bottom w:val="single" w:sz="4" w:space="0" w:color="auto"/>
              <w:right w:val="single" w:sz="4" w:space="0" w:color="auto"/>
            </w:tcBorders>
          </w:tcPr>
          <w:p w14:paraId="14C863A1" w14:textId="77777777" w:rsidR="00232EFA" w:rsidRPr="00232EFA" w:rsidRDefault="00232EFA" w:rsidP="00232EFA">
            <w:pPr>
              <w:jc w:val="both"/>
              <w:rPr>
                <w:rFonts w:ascii="Cambria" w:eastAsia="Times New Roman" w:hAnsi="Cambria" w:cstheme="majorHAnsi"/>
                <w:b/>
                <w:bCs/>
                <w:color w:val="222222"/>
                <w:sz w:val="20"/>
                <w:szCs w:val="20"/>
                <w:u w:val="single"/>
              </w:rPr>
            </w:pPr>
          </w:p>
        </w:tc>
        <w:tc>
          <w:tcPr>
            <w:tcW w:w="855" w:type="dxa"/>
            <w:tcBorders>
              <w:top w:val="single" w:sz="4" w:space="0" w:color="auto"/>
              <w:left w:val="single" w:sz="4" w:space="0" w:color="auto"/>
              <w:bottom w:val="single" w:sz="4" w:space="0" w:color="auto"/>
              <w:right w:val="single" w:sz="4" w:space="0" w:color="auto"/>
            </w:tcBorders>
          </w:tcPr>
          <w:p w14:paraId="66A2C365" w14:textId="77777777" w:rsidR="00232EFA" w:rsidRPr="00232EFA" w:rsidRDefault="00232EFA" w:rsidP="00232EFA">
            <w:pPr>
              <w:jc w:val="both"/>
              <w:rPr>
                <w:rFonts w:ascii="Cambria" w:eastAsia="Times New Roman" w:hAnsi="Cambria" w:cstheme="majorHAnsi"/>
                <w:b/>
                <w:bCs/>
                <w:color w:val="222222"/>
                <w:sz w:val="20"/>
                <w:szCs w:val="20"/>
                <w:u w:val="single"/>
              </w:rPr>
            </w:pPr>
          </w:p>
        </w:tc>
        <w:tc>
          <w:tcPr>
            <w:tcW w:w="855" w:type="dxa"/>
            <w:tcBorders>
              <w:top w:val="single" w:sz="4" w:space="0" w:color="auto"/>
              <w:left w:val="single" w:sz="4" w:space="0" w:color="auto"/>
              <w:bottom w:val="single" w:sz="4" w:space="0" w:color="auto"/>
              <w:right w:val="single" w:sz="4" w:space="0" w:color="auto"/>
            </w:tcBorders>
          </w:tcPr>
          <w:p w14:paraId="0D2EE478" w14:textId="77777777" w:rsidR="00232EFA" w:rsidRPr="00232EFA" w:rsidRDefault="00232EFA" w:rsidP="00232EFA">
            <w:pPr>
              <w:jc w:val="both"/>
              <w:rPr>
                <w:rFonts w:ascii="Cambria" w:eastAsia="Times New Roman" w:hAnsi="Cambria" w:cstheme="majorHAnsi"/>
                <w:b/>
                <w:bCs/>
                <w:color w:val="222222"/>
                <w:sz w:val="20"/>
                <w:szCs w:val="20"/>
                <w:u w:val="single"/>
              </w:rPr>
            </w:pPr>
          </w:p>
        </w:tc>
      </w:tr>
    </w:tbl>
    <w:p w14:paraId="166585F3" w14:textId="77777777" w:rsidR="00232EFA" w:rsidRPr="00232EFA" w:rsidRDefault="00232EFA" w:rsidP="00232EFA">
      <w:pPr>
        <w:spacing w:after="0" w:line="240" w:lineRule="auto"/>
        <w:jc w:val="both"/>
        <w:rPr>
          <w:rFonts w:ascii="Cambria" w:eastAsia="Times New Roman" w:hAnsi="Cambria" w:cstheme="majorHAnsi"/>
          <w:color w:val="222222"/>
          <w:sz w:val="20"/>
          <w:szCs w:val="20"/>
          <w:u w:val="single"/>
        </w:rPr>
      </w:pPr>
      <w:r w:rsidRPr="00232EFA">
        <w:rPr>
          <w:rFonts w:ascii="Cambria" w:eastAsia="Times New Roman" w:hAnsi="Cambria" w:cstheme="majorHAnsi"/>
          <w:color w:val="222222"/>
          <w:sz w:val="20"/>
          <w:szCs w:val="20"/>
          <w:u w:val="single"/>
        </w:rPr>
        <w:t>*Les chiffres pour 2025 correspondent à la période allant de janvier 2025 à octobre 2025.</w:t>
      </w:r>
    </w:p>
    <w:p w14:paraId="4FD06B15" w14:textId="77777777" w:rsidR="00232EFA" w:rsidRPr="00232EFA" w:rsidRDefault="00232EFA" w:rsidP="00232EFA">
      <w:pPr>
        <w:spacing w:after="0" w:line="240" w:lineRule="auto"/>
        <w:jc w:val="both"/>
        <w:rPr>
          <w:rFonts w:ascii="Cambria" w:eastAsia="Times New Roman" w:hAnsi="Cambria" w:cstheme="majorHAnsi"/>
          <w:color w:val="222222"/>
          <w:sz w:val="20"/>
          <w:szCs w:val="20"/>
          <w:u w:val="single"/>
        </w:rPr>
      </w:pPr>
    </w:p>
    <w:p w14:paraId="1AAE96BB" w14:textId="77777777" w:rsidR="003411F8" w:rsidRDefault="003411F8">
      <w:pPr>
        <w:rPr>
          <w:rFonts w:ascii="Cambria" w:eastAsia="Times New Roman" w:hAnsi="Cambria" w:cstheme="majorHAnsi"/>
          <w:b/>
          <w:bCs/>
          <w:color w:val="222222"/>
          <w:sz w:val="20"/>
          <w:szCs w:val="20"/>
          <w:u w:val="single"/>
        </w:rPr>
      </w:pPr>
      <w:r>
        <w:rPr>
          <w:rFonts w:ascii="Cambria" w:eastAsia="Times New Roman" w:hAnsi="Cambria" w:cstheme="majorHAnsi"/>
          <w:b/>
          <w:bCs/>
          <w:color w:val="222222"/>
          <w:sz w:val="20"/>
          <w:szCs w:val="20"/>
          <w:u w:val="single"/>
        </w:rPr>
        <w:br w:type="page"/>
      </w:r>
    </w:p>
    <w:p w14:paraId="09A8DA20" w14:textId="5DBF9B1D" w:rsidR="00232EFA" w:rsidRPr="00232EFA" w:rsidRDefault="00232EFA" w:rsidP="003411F8">
      <w:pPr>
        <w:numPr>
          <w:ilvl w:val="0"/>
          <w:numId w:val="14"/>
        </w:numPr>
        <w:tabs>
          <w:tab w:val="clear" w:pos="720"/>
        </w:tabs>
        <w:spacing w:after="0" w:line="240" w:lineRule="auto"/>
        <w:ind w:left="426" w:hanging="426"/>
        <w:jc w:val="both"/>
        <w:rPr>
          <w:rFonts w:ascii="Cambria" w:eastAsia="Times New Roman" w:hAnsi="Cambria" w:cstheme="majorHAnsi"/>
          <w:b/>
          <w:bCs/>
          <w:color w:val="222222"/>
          <w:sz w:val="20"/>
          <w:szCs w:val="20"/>
          <w:u w:val="single"/>
        </w:rPr>
      </w:pPr>
      <w:r w:rsidRPr="00232EFA">
        <w:rPr>
          <w:rFonts w:ascii="Cambria" w:eastAsia="Times New Roman" w:hAnsi="Cambria" w:cstheme="majorHAnsi"/>
          <w:b/>
          <w:bCs/>
          <w:color w:val="222222"/>
          <w:sz w:val="20"/>
          <w:szCs w:val="20"/>
          <w:u w:val="single"/>
        </w:rPr>
        <w:t>Conclusion</w:t>
      </w:r>
      <w:r w:rsidRPr="00232EFA">
        <w:rPr>
          <w:rFonts w:ascii="Cambria" w:eastAsia="Times New Roman" w:hAnsi="Cambria" w:cstheme="majorHAnsi"/>
          <w:b/>
          <w:color w:val="222222"/>
          <w:sz w:val="20"/>
          <w:szCs w:val="20"/>
          <w:u w:val="single"/>
        </w:rPr>
        <w:t xml:space="preserve"> </w:t>
      </w:r>
    </w:p>
    <w:p w14:paraId="2DC4BAC5" w14:textId="77777777" w:rsidR="00232EFA" w:rsidRPr="00232EFA" w:rsidRDefault="00232EFA" w:rsidP="00232EFA">
      <w:pPr>
        <w:spacing w:after="0" w:line="240" w:lineRule="auto"/>
        <w:jc w:val="both"/>
        <w:rPr>
          <w:rFonts w:ascii="Cambria" w:eastAsia="Times New Roman" w:hAnsi="Cambria" w:cstheme="majorHAnsi"/>
          <w:color w:val="222222"/>
          <w:sz w:val="20"/>
          <w:szCs w:val="20"/>
          <w:u w:val="single"/>
        </w:rPr>
      </w:pPr>
    </w:p>
    <w:p w14:paraId="6F3DD36E" w14:textId="536E5FA7" w:rsidR="00232EFA" w:rsidRPr="00232EFA" w:rsidRDefault="00232EFA" w:rsidP="00232EFA">
      <w:pPr>
        <w:spacing w:after="0" w:line="240" w:lineRule="auto"/>
        <w:jc w:val="both"/>
        <w:rPr>
          <w:rFonts w:ascii="Cambria" w:eastAsia="Times New Roman" w:hAnsi="Cambria" w:cstheme="majorHAnsi"/>
          <w:color w:val="222222"/>
          <w:sz w:val="20"/>
          <w:szCs w:val="20"/>
          <w:u w:val="single"/>
        </w:rPr>
      </w:pPr>
      <w:r w:rsidRPr="00232EFA">
        <w:rPr>
          <w:rFonts w:ascii="Cambria" w:eastAsia="Times New Roman" w:hAnsi="Cambria" w:cstheme="majorHAnsi"/>
          <w:color w:val="222222"/>
          <w:sz w:val="20"/>
          <w:szCs w:val="20"/>
          <w:u w:val="single"/>
        </w:rPr>
        <w:t xml:space="preserve">Depuis juin/juillet 2023, la Namibie a mis en œuvre avec succès des mesures efficaces pour réduire ses captures de requin-taupe. La Namibie continuera à réduire ses débarquements de requin-taupe afin de rembourser sa surconsommation de 2023. Malgré l'abondance de requin-taupe dans les eaux namibiennes, la Namibie continuera à s'efforcer de maintenir ses captures de requin-taupe dans les limites de </w:t>
      </w:r>
      <w:r w:rsidR="00BA59A5">
        <w:rPr>
          <w:rFonts w:ascii="Cambria" w:eastAsia="Times New Roman" w:hAnsi="Cambria" w:cstheme="majorHAnsi"/>
          <w:color w:val="222222"/>
          <w:sz w:val="20"/>
          <w:szCs w:val="20"/>
          <w:u w:val="single"/>
        </w:rPr>
        <w:t>sa</w:t>
      </w:r>
      <w:r w:rsidRPr="00232EFA">
        <w:rPr>
          <w:rFonts w:ascii="Cambria" w:eastAsia="Times New Roman" w:hAnsi="Cambria" w:cstheme="majorHAnsi"/>
          <w:color w:val="222222"/>
          <w:sz w:val="20"/>
          <w:szCs w:val="20"/>
          <w:u w:val="single"/>
        </w:rPr>
        <w:t xml:space="preserve"> </w:t>
      </w:r>
      <w:r w:rsidR="00BA59A5">
        <w:rPr>
          <w:rFonts w:ascii="Cambria" w:eastAsia="Times New Roman" w:hAnsi="Cambria" w:cstheme="majorHAnsi"/>
          <w:color w:val="222222"/>
          <w:sz w:val="20"/>
          <w:szCs w:val="20"/>
          <w:u w:val="single"/>
        </w:rPr>
        <w:t>capture</w:t>
      </w:r>
      <w:r w:rsidRPr="00232EFA">
        <w:rPr>
          <w:rFonts w:ascii="Cambria" w:eastAsia="Times New Roman" w:hAnsi="Cambria" w:cstheme="majorHAnsi"/>
          <w:color w:val="222222"/>
          <w:sz w:val="20"/>
          <w:szCs w:val="20"/>
          <w:u w:val="single"/>
        </w:rPr>
        <w:t xml:space="preserve"> autorisé</w:t>
      </w:r>
      <w:r w:rsidR="00BA59A5">
        <w:rPr>
          <w:rFonts w:ascii="Cambria" w:eastAsia="Times New Roman" w:hAnsi="Cambria" w:cstheme="majorHAnsi"/>
          <w:color w:val="222222"/>
          <w:sz w:val="20"/>
          <w:szCs w:val="20"/>
          <w:u w:val="single"/>
        </w:rPr>
        <w:t>e</w:t>
      </w:r>
      <w:r w:rsidRPr="00232EFA">
        <w:rPr>
          <w:rFonts w:ascii="Cambria" w:eastAsia="Times New Roman" w:hAnsi="Cambria" w:cstheme="majorHAnsi"/>
          <w:color w:val="222222"/>
          <w:sz w:val="20"/>
          <w:szCs w:val="20"/>
          <w:u w:val="single"/>
        </w:rPr>
        <w:t>. Si des éclaircissements ou des documents supplémentaires sont nécessaires, nous sommes prêts à les fournir.</w:t>
      </w:r>
    </w:p>
    <w:p w14:paraId="6DA50B5B" w14:textId="77777777" w:rsidR="00C23F27" w:rsidRDefault="00C23F27" w:rsidP="00240776">
      <w:pPr>
        <w:spacing w:after="0" w:line="240" w:lineRule="auto"/>
        <w:jc w:val="both"/>
        <w:rPr>
          <w:rFonts w:ascii="Cambria" w:eastAsia="Times New Roman" w:hAnsi="Cambria" w:cstheme="majorHAnsi"/>
          <w:color w:val="222222"/>
          <w:sz w:val="20"/>
          <w:szCs w:val="20"/>
        </w:rPr>
      </w:pPr>
    </w:p>
    <w:p w14:paraId="54FE7D78" w14:textId="77777777" w:rsidR="003411F8" w:rsidRPr="006E557D" w:rsidRDefault="003411F8" w:rsidP="00240776">
      <w:pPr>
        <w:spacing w:after="0" w:line="240" w:lineRule="auto"/>
        <w:jc w:val="both"/>
        <w:rPr>
          <w:rFonts w:ascii="Cambria" w:eastAsia="Times New Roman" w:hAnsi="Cambria" w:cstheme="majorHAnsi"/>
          <w:color w:val="222222"/>
          <w:sz w:val="20"/>
          <w:szCs w:val="20"/>
        </w:rPr>
      </w:pPr>
    </w:p>
    <w:p w14:paraId="73320ECD" w14:textId="5A10D3CC" w:rsidR="00947ED5" w:rsidRPr="006E557D" w:rsidRDefault="00816BDC" w:rsidP="00240776">
      <w:pPr>
        <w:spacing w:after="0" w:line="240" w:lineRule="auto"/>
        <w:jc w:val="both"/>
        <w:rPr>
          <w:rFonts w:ascii="Cambria" w:eastAsia="Times New Roman" w:hAnsi="Cambria" w:cstheme="majorHAnsi"/>
          <w:b/>
          <w:bCs/>
          <w:color w:val="222222"/>
          <w:sz w:val="20"/>
          <w:szCs w:val="20"/>
        </w:rPr>
      </w:pPr>
      <w:bookmarkStart w:id="4" w:name="_Hlk181566323"/>
      <w:r w:rsidRPr="006E557D">
        <w:rPr>
          <w:rFonts w:ascii="Cambria" w:hAnsi="Cambria" w:cstheme="majorHAnsi"/>
          <w:b/>
          <w:color w:val="222222"/>
          <w:sz w:val="20"/>
          <w:szCs w:val="20"/>
        </w:rPr>
        <w:t xml:space="preserve">A l’attention du </w:t>
      </w:r>
      <w:r w:rsidR="00947ED5" w:rsidRPr="006E557D">
        <w:rPr>
          <w:rFonts w:ascii="Cambria" w:hAnsi="Cambria" w:cstheme="majorHAnsi"/>
          <w:b/>
          <w:color w:val="222222"/>
          <w:sz w:val="20"/>
          <w:szCs w:val="20"/>
        </w:rPr>
        <w:t>Sénégal</w:t>
      </w:r>
      <w:r w:rsidR="00E408F0" w:rsidRPr="006E557D">
        <w:rPr>
          <w:rFonts w:ascii="Cambria" w:hAnsi="Cambria" w:cstheme="majorHAnsi"/>
          <w:b/>
          <w:color w:val="222222"/>
          <w:sz w:val="20"/>
          <w:szCs w:val="20"/>
        </w:rPr>
        <w:t> :</w:t>
      </w:r>
    </w:p>
    <w:p w14:paraId="0878B51B" w14:textId="77777777" w:rsidR="00240776" w:rsidRPr="006E557D" w:rsidRDefault="00240776" w:rsidP="00240776">
      <w:pPr>
        <w:spacing w:after="0" w:line="240" w:lineRule="auto"/>
        <w:jc w:val="both"/>
        <w:rPr>
          <w:rFonts w:ascii="Cambria" w:eastAsia="Times New Roman" w:hAnsi="Cambria" w:cstheme="majorHAnsi"/>
          <w:b/>
          <w:bCs/>
          <w:color w:val="222222"/>
          <w:sz w:val="20"/>
          <w:szCs w:val="20"/>
        </w:rPr>
      </w:pPr>
    </w:p>
    <w:bookmarkEnd w:id="4"/>
    <w:p w14:paraId="5ECDFF06" w14:textId="0BC28EE7" w:rsidR="00E20958" w:rsidRPr="009A0416" w:rsidRDefault="00C06B4A" w:rsidP="00240776">
      <w:pPr>
        <w:spacing w:after="0" w:line="240" w:lineRule="auto"/>
        <w:jc w:val="both"/>
        <w:rPr>
          <w:rFonts w:ascii="Cambria" w:eastAsia="Times New Roman" w:hAnsi="Cambria" w:cstheme="majorHAnsi"/>
          <w:color w:val="222222"/>
          <w:sz w:val="20"/>
          <w:szCs w:val="20"/>
        </w:rPr>
      </w:pPr>
      <w:r w:rsidRPr="006E557D">
        <w:rPr>
          <w:rFonts w:ascii="Cambria" w:hAnsi="Cambria" w:cstheme="majorHAnsi"/>
          <w:color w:val="222222"/>
          <w:sz w:val="20"/>
          <w:szCs w:val="20"/>
        </w:rPr>
        <w:t>Le Sénégal pourrait</w:t>
      </w:r>
      <w:r w:rsidR="00F44023" w:rsidRPr="006E557D">
        <w:rPr>
          <w:rFonts w:ascii="Cambria" w:hAnsi="Cambria" w:cstheme="majorHAnsi"/>
          <w:color w:val="222222"/>
          <w:sz w:val="20"/>
          <w:szCs w:val="20"/>
        </w:rPr>
        <w:t>-il</w:t>
      </w:r>
      <w:r w:rsidRPr="006E557D">
        <w:rPr>
          <w:rFonts w:ascii="Cambria" w:hAnsi="Cambria" w:cstheme="majorHAnsi"/>
          <w:color w:val="222222"/>
          <w:sz w:val="20"/>
          <w:szCs w:val="20"/>
        </w:rPr>
        <w:t xml:space="preserve"> expliquer comment il applique la limite de </w:t>
      </w:r>
      <w:r w:rsidR="00364A73" w:rsidRPr="006E557D">
        <w:rPr>
          <w:rFonts w:ascii="Cambria" w:hAnsi="Cambria" w:cstheme="majorHAnsi"/>
          <w:color w:val="222222"/>
          <w:sz w:val="20"/>
          <w:szCs w:val="20"/>
        </w:rPr>
        <w:t>longueur</w:t>
      </w:r>
      <w:r w:rsidRPr="006E557D">
        <w:rPr>
          <w:rFonts w:ascii="Cambria" w:hAnsi="Cambria" w:cstheme="majorHAnsi"/>
          <w:color w:val="222222"/>
          <w:sz w:val="20"/>
          <w:szCs w:val="20"/>
        </w:rPr>
        <w:t xml:space="preserve"> pour l'inscription au registre ICCAT des navires autorisés pour ses navires pirogues.</w:t>
      </w:r>
    </w:p>
    <w:sectPr w:rsidR="00E20958" w:rsidRPr="009A0416" w:rsidSect="00127313">
      <w:headerReference w:type="default" r:id="rId11"/>
      <w:footerReference w:type="default" r:id="rId12"/>
      <w:pgSz w:w="11907" w:h="16840" w:code="9"/>
      <w:pgMar w:top="1418" w:right="1418" w:bottom="1418" w:left="1418" w:header="851" w:footer="11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8B3C6F" w14:textId="77777777" w:rsidR="005B3745" w:rsidRDefault="005B3745" w:rsidP="00175D7F">
      <w:pPr>
        <w:spacing w:after="0" w:line="240" w:lineRule="auto"/>
      </w:pPr>
      <w:r>
        <w:separator/>
      </w:r>
    </w:p>
  </w:endnote>
  <w:endnote w:type="continuationSeparator" w:id="0">
    <w:p w14:paraId="3725810D" w14:textId="77777777" w:rsidR="005B3745" w:rsidRDefault="005B3745" w:rsidP="00175D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FF59F" w14:textId="3B631932" w:rsidR="00DF5B9A" w:rsidRPr="00DF5B9A" w:rsidRDefault="00DF5B9A" w:rsidP="00DF5B9A">
    <w:pPr>
      <w:tabs>
        <w:tab w:val="center" w:pos="4535"/>
        <w:tab w:val="center" w:pos="4680"/>
        <w:tab w:val="left" w:pos="6150"/>
        <w:tab w:val="right" w:pos="9360"/>
      </w:tabs>
      <w:spacing w:after="0" w:line="240" w:lineRule="auto"/>
      <w:jc w:val="center"/>
      <w:rPr>
        <w:rFonts w:ascii="Cambria" w:hAnsi="Cambria"/>
        <w:sz w:val="20"/>
      </w:rPr>
    </w:pPr>
    <w:r w:rsidRPr="00DF5B9A">
      <w:rPr>
        <w:rFonts w:ascii="Cambria" w:eastAsia="Calibri" w:hAnsi="Cambria" w:cs="Calibri"/>
        <w:sz w:val="20"/>
      </w:rPr>
      <w:fldChar w:fldCharType="begin"/>
    </w:r>
    <w:r w:rsidRPr="00DF5B9A">
      <w:rPr>
        <w:rFonts w:ascii="Cambria" w:eastAsia="Calibri" w:hAnsi="Cambria" w:cs="Calibri"/>
        <w:sz w:val="20"/>
      </w:rPr>
      <w:instrText xml:space="preserve"> PAGE </w:instrText>
    </w:r>
    <w:r w:rsidRPr="00DF5B9A">
      <w:rPr>
        <w:rFonts w:ascii="Cambria" w:eastAsia="Calibri" w:hAnsi="Cambria" w:cs="Calibri"/>
        <w:sz w:val="20"/>
      </w:rPr>
      <w:fldChar w:fldCharType="separate"/>
    </w:r>
    <w:r w:rsidRPr="00DF5B9A">
      <w:rPr>
        <w:rFonts w:ascii="Cambria" w:eastAsia="Calibri" w:hAnsi="Cambria" w:cs="Calibri"/>
        <w:sz w:val="20"/>
      </w:rPr>
      <w:t>1</w:t>
    </w:r>
    <w:r w:rsidRPr="00DF5B9A">
      <w:rPr>
        <w:rFonts w:ascii="Cambria" w:eastAsia="Calibri" w:hAnsi="Cambria" w:cs="Calibri"/>
        <w:sz w:val="20"/>
      </w:rPr>
      <w:fldChar w:fldCharType="end"/>
    </w:r>
    <w:r>
      <w:rPr>
        <w:rFonts w:ascii="Cambria" w:hAnsi="Cambria"/>
        <w:sz w:val="20"/>
      </w:rPr>
      <w:t xml:space="preserve"> / </w:t>
    </w:r>
    <w:r w:rsidRPr="00DF5B9A">
      <w:rPr>
        <w:rFonts w:ascii="Cambria" w:eastAsia="Calibri" w:hAnsi="Cambria" w:cs="Calibri"/>
        <w:sz w:val="20"/>
      </w:rPr>
      <w:fldChar w:fldCharType="begin"/>
    </w:r>
    <w:r w:rsidRPr="00DF5B9A">
      <w:rPr>
        <w:rFonts w:ascii="Cambria" w:eastAsia="Calibri" w:hAnsi="Cambria" w:cs="Calibri"/>
        <w:sz w:val="20"/>
      </w:rPr>
      <w:instrText xml:space="preserve"> NUMPAGES  </w:instrText>
    </w:r>
    <w:r w:rsidRPr="00DF5B9A">
      <w:rPr>
        <w:rFonts w:ascii="Cambria" w:eastAsia="Calibri" w:hAnsi="Cambria" w:cs="Calibri"/>
        <w:sz w:val="20"/>
      </w:rPr>
      <w:fldChar w:fldCharType="separate"/>
    </w:r>
    <w:r w:rsidRPr="00DF5B9A">
      <w:rPr>
        <w:rFonts w:ascii="Cambria" w:eastAsia="Calibri" w:hAnsi="Cambria" w:cs="Calibri"/>
        <w:sz w:val="20"/>
      </w:rPr>
      <w:t>8</w:t>
    </w:r>
    <w:r w:rsidRPr="00DF5B9A">
      <w:rPr>
        <w:rFonts w:ascii="Cambria" w:eastAsia="Calibri" w:hAnsi="Cambria" w:cs="Calibr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DCE194" w14:textId="77777777" w:rsidR="005B3745" w:rsidRDefault="005B3745" w:rsidP="00175D7F">
      <w:pPr>
        <w:spacing w:after="0" w:line="240" w:lineRule="auto"/>
      </w:pPr>
      <w:r>
        <w:separator/>
      </w:r>
    </w:p>
  </w:footnote>
  <w:footnote w:type="continuationSeparator" w:id="0">
    <w:p w14:paraId="0CA80909" w14:textId="77777777" w:rsidR="005B3745" w:rsidRDefault="005B3745" w:rsidP="00175D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45A4B" w14:textId="3554A8EF" w:rsidR="00175D7F" w:rsidRPr="00793F38" w:rsidRDefault="00175D7F" w:rsidP="00175D7F">
    <w:pPr>
      <w:tabs>
        <w:tab w:val="center" w:pos="4680"/>
        <w:tab w:val="left" w:pos="6520"/>
        <w:tab w:val="right" w:pos="9360"/>
        <w:tab w:val="right" w:pos="14240"/>
      </w:tabs>
      <w:spacing w:after="0" w:line="240" w:lineRule="atLeast"/>
      <w:jc w:val="right"/>
      <w:rPr>
        <w:rFonts w:ascii="Cambria" w:eastAsia="Calibri" w:hAnsi="Cambria"/>
        <w:b/>
        <w:bCs/>
        <w:sz w:val="20"/>
        <w:szCs w:val="20"/>
      </w:rPr>
    </w:pPr>
    <w:bookmarkStart w:id="5" w:name="_Hlk107908354"/>
    <w:bookmarkStart w:id="6" w:name="_Hlk107908355"/>
    <w:bookmarkStart w:id="7" w:name="_Hlk107908359"/>
    <w:bookmarkStart w:id="8" w:name="_Hlk107908360"/>
    <w:bookmarkStart w:id="9" w:name="_Hlk107908361"/>
    <w:bookmarkStart w:id="10" w:name="_Hlk107908362"/>
    <w:r>
      <w:rPr>
        <w:rFonts w:ascii="Cambria" w:hAnsi="Cambria"/>
        <w:b/>
        <w:sz w:val="20"/>
      </w:rPr>
      <w:t>COC_306</w:t>
    </w:r>
    <w:r w:rsidR="00475936">
      <w:rPr>
        <w:rFonts w:ascii="Cambria" w:hAnsi="Cambria"/>
        <w:b/>
        <w:sz w:val="20"/>
      </w:rPr>
      <w:t>_REV_</w:t>
    </w:r>
    <w:r w:rsidR="00372397">
      <w:rPr>
        <w:rFonts w:ascii="Cambria" w:hAnsi="Cambria"/>
        <w:b/>
        <w:sz w:val="20"/>
      </w:rPr>
      <w:t>2</w:t>
    </w:r>
    <w:r>
      <w:rPr>
        <w:rFonts w:ascii="Cambria" w:hAnsi="Cambria"/>
        <w:b/>
        <w:sz w:val="20"/>
      </w:rPr>
      <w:t>/2025</w:t>
    </w:r>
  </w:p>
  <w:p w14:paraId="09F66D9A" w14:textId="04F20AEE" w:rsidR="00175D7F" w:rsidRDefault="00175D7F" w:rsidP="00127313">
    <w:pPr>
      <w:tabs>
        <w:tab w:val="left" w:pos="7320"/>
      </w:tabs>
      <w:spacing w:after="0" w:line="240" w:lineRule="atLeast"/>
      <w:jc w:val="right"/>
    </w:pPr>
    <w:r w:rsidRPr="00793F38">
      <w:rPr>
        <w:rFonts w:ascii="Cambria" w:hAnsi="Cambria"/>
        <w:b/>
        <w:sz w:val="16"/>
      </w:rPr>
      <w:fldChar w:fldCharType="begin"/>
    </w:r>
    <w:r w:rsidRPr="00793F38">
      <w:rPr>
        <w:rFonts w:ascii="Cambria" w:hAnsi="Cambria"/>
        <w:b/>
        <w:sz w:val="16"/>
      </w:rPr>
      <w:instrText xml:space="preserve"> TIME \@ "dd/MM/yyyy H:mm" </w:instrText>
    </w:r>
    <w:r w:rsidRPr="00793F38">
      <w:rPr>
        <w:rFonts w:ascii="Cambria" w:hAnsi="Cambria"/>
        <w:b/>
        <w:sz w:val="16"/>
      </w:rPr>
      <w:fldChar w:fldCharType="separate"/>
    </w:r>
    <w:r w:rsidR="00666F4F">
      <w:rPr>
        <w:rFonts w:ascii="Cambria" w:hAnsi="Cambria"/>
        <w:b/>
        <w:noProof/>
        <w:sz w:val="16"/>
      </w:rPr>
      <w:t>13/11/2025 14:32</w:t>
    </w:r>
    <w:r w:rsidRPr="00793F38">
      <w:rPr>
        <w:rFonts w:ascii="Cambria" w:hAnsi="Cambria"/>
        <w:b/>
        <w:bCs/>
        <w:sz w:val="16"/>
        <w:szCs w:val="16"/>
        <w:lang w:val="es-ES_tradnl"/>
      </w:rPr>
      <w:fldChar w:fldCharType="end"/>
    </w:r>
    <w:bookmarkEnd w:id="5"/>
    <w:bookmarkEnd w:id="6"/>
    <w:bookmarkEnd w:id="7"/>
    <w:bookmarkEnd w:id="8"/>
    <w:bookmarkEnd w:id="9"/>
    <w:bookmarkEnd w:id="1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C1233"/>
    <w:multiLevelType w:val="hybridMultilevel"/>
    <w:tmpl w:val="B446629A"/>
    <w:lvl w:ilvl="0" w:tplc="5C6067C6">
      <w:numFmt w:val="bullet"/>
      <w:lvlText w:val="•"/>
      <w:lvlJc w:val="left"/>
      <w:pPr>
        <w:ind w:left="720" w:hanging="360"/>
      </w:pPr>
      <w:rPr>
        <w:rFonts w:ascii="Cambria" w:eastAsia="Times New Roman" w:hAnsi="Cambri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D149E1"/>
    <w:multiLevelType w:val="hybridMultilevel"/>
    <w:tmpl w:val="5FBC1FB4"/>
    <w:lvl w:ilvl="0" w:tplc="D4CAFA48">
      <w:numFmt w:val="bullet"/>
      <w:lvlText w:val="–"/>
      <w:lvlJc w:val="left"/>
      <w:pPr>
        <w:ind w:left="720" w:hanging="360"/>
      </w:pPr>
      <w:rPr>
        <w:rFonts w:ascii="Cambria" w:eastAsia="MS Gothic" w:hAnsi="Cambria" w:cs="Times New Roman" w:hint="default"/>
      </w:rPr>
    </w:lvl>
    <w:lvl w:ilvl="1" w:tplc="04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1D4918"/>
    <w:multiLevelType w:val="hybridMultilevel"/>
    <w:tmpl w:val="E0A009D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7CC15C8"/>
    <w:multiLevelType w:val="multilevel"/>
    <w:tmpl w:val="524C7E54"/>
    <w:lvl w:ilvl="0">
      <w:start w:val="1"/>
      <w:numFmt w:val="decimal"/>
      <w:lvlText w:val="%1."/>
      <w:lvlJc w:val="left"/>
      <w:pPr>
        <w:tabs>
          <w:tab w:val="num" w:pos="720"/>
        </w:tabs>
        <w:ind w:left="720" w:hanging="360"/>
      </w:pPr>
      <w:rPr>
        <w:b/>
        <w:bCs/>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1A1C5259"/>
    <w:multiLevelType w:val="multilevel"/>
    <w:tmpl w:val="8564F7F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59186D"/>
    <w:multiLevelType w:val="multilevel"/>
    <w:tmpl w:val="8940E8C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300452CE"/>
    <w:multiLevelType w:val="hybridMultilevel"/>
    <w:tmpl w:val="E75C36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F73789"/>
    <w:multiLevelType w:val="multilevel"/>
    <w:tmpl w:val="91E689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9F20C3"/>
    <w:multiLevelType w:val="hybridMultilevel"/>
    <w:tmpl w:val="D51E67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4C937C0"/>
    <w:multiLevelType w:val="multilevel"/>
    <w:tmpl w:val="ECDC47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E1E2320"/>
    <w:multiLevelType w:val="hybridMultilevel"/>
    <w:tmpl w:val="57F24B18"/>
    <w:lvl w:ilvl="0" w:tplc="04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6D79024C"/>
    <w:multiLevelType w:val="hybridMultilevel"/>
    <w:tmpl w:val="43BE4F3A"/>
    <w:lvl w:ilvl="0" w:tplc="D1846EA6">
      <w:start w:val="4"/>
      <w:numFmt w:val="bullet"/>
      <w:lvlText w:val="-"/>
      <w:lvlJc w:val="left"/>
      <w:pPr>
        <w:ind w:left="720" w:hanging="360"/>
      </w:pPr>
      <w:rPr>
        <w:rFonts w:ascii="Cambria" w:eastAsia="Times New Roman" w:hAnsi="Cambria"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71922CD7"/>
    <w:multiLevelType w:val="multilevel"/>
    <w:tmpl w:val="3B940D84"/>
    <w:lvl w:ilvl="0">
      <w:numFmt w:val="bullet"/>
      <w:lvlText w:val="–"/>
      <w:lvlJc w:val="left"/>
      <w:pPr>
        <w:tabs>
          <w:tab w:val="num" w:pos="720"/>
        </w:tabs>
        <w:ind w:left="720" w:hanging="360"/>
      </w:pPr>
      <w:rPr>
        <w:rFonts w:ascii="Cambria" w:eastAsia="MS Gothic" w:hAnsi="Cambria"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54E7D0F"/>
    <w:multiLevelType w:val="hybridMultilevel"/>
    <w:tmpl w:val="1082A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56B4C6C"/>
    <w:multiLevelType w:val="multilevel"/>
    <w:tmpl w:val="681218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10128403">
    <w:abstractNumId w:val="6"/>
  </w:num>
  <w:num w:numId="2" w16cid:durableId="674965872">
    <w:abstractNumId w:val="13"/>
  </w:num>
  <w:num w:numId="3" w16cid:durableId="1484351839">
    <w:abstractNumId w:val="0"/>
  </w:num>
  <w:num w:numId="4" w16cid:durableId="40134449">
    <w:abstractNumId w:val="2"/>
  </w:num>
  <w:num w:numId="5" w16cid:durableId="2135907501">
    <w:abstractNumId w:val="8"/>
  </w:num>
  <w:num w:numId="6" w16cid:durableId="326176812">
    <w:abstractNumId w:val="1"/>
  </w:num>
  <w:num w:numId="7" w16cid:durableId="1156218036">
    <w:abstractNumId w:val="10"/>
  </w:num>
  <w:num w:numId="8" w16cid:durableId="20346434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98857780">
    <w:abstractNumId w:val="7"/>
  </w:num>
  <w:num w:numId="10" w16cid:durableId="1242832777">
    <w:abstractNumId w:val="4"/>
  </w:num>
  <w:num w:numId="11" w16cid:durableId="271986011">
    <w:abstractNumId w:val="9"/>
  </w:num>
  <w:num w:numId="12" w16cid:durableId="1993175204">
    <w:abstractNumId w:val="12"/>
  </w:num>
  <w:num w:numId="13" w16cid:durableId="7103509">
    <w:abstractNumId w:val="14"/>
  </w:num>
  <w:num w:numId="14" w16cid:durableId="1014259376">
    <w:abstractNumId w:val="3"/>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1826849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366"/>
    <w:rsid w:val="0000295C"/>
    <w:rsid w:val="00021AC4"/>
    <w:rsid w:val="00021FC8"/>
    <w:rsid w:val="000239A7"/>
    <w:rsid w:val="00042A6C"/>
    <w:rsid w:val="00052C5C"/>
    <w:rsid w:val="00057E6C"/>
    <w:rsid w:val="00111966"/>
    <w:rsid w:val="00127313"/>
    <w:rsid w:val="0013065B"/>
    <w:rsid w:val="0015420E"/>
    <w:rsid w:val="00174C34"/>
    <w:rsid w:val="00174E99"/>
    <w:rsid w:val="00175379"/>
    <w:rsid w:val="00175D7F"/>
    <w:rsid w:val="001770F1"/>
    <w:rsid w:val="001805CE"/>
    <w:rsid w:val="0018692A"/>
    <w:rsid w:val="001C3820"/>
    <w:rsid w:val="001F164C"/>
    <w:rsid w:val="00232EFA"/>
    <w:rsid w:val="00240776"/>
    <w:rsid w:val="00265FFB"/>
    <w:rsid w:val="00270B46"/>
    <w:rsid w:val="002D127C"/>
    <w:rsid w:val="003361CA"/>
    <w:rsid w:val="003411F8"/>
    <w:rsid w:val="003623A1"/>
    <w:rsid w:val="00364A73"/>
    <w:rsid w:val="00372397"/>
    <w:rsid w:val="00393234"/>
    <w:rsid w:val="003F4F07"/>
    <w:rsid w:val="003F66E2"/>
    <w:rsid w:val="00402366"/>
    <w:rsid w:val="00433AC9"/>
    <w:rsid w:val="00475936"/>
    <w:rsid w:val="004C27D6"/>
    <w:rsid w:val="004D0916"/>
    <w:rsid w:val="005022AD"/>
    <w:rsid w:val="00525166"/>
    <w:rsid w:val="005656B1"/>
    <w:rsid w:val="00584D32"/>
    <w:rsid w:val="005B34B1"/>
    <w:rsid w:val="005B3745"/>
    <w:rsid w:val="005B3879"/>
    <w:rsid w:val="005B546B"/>
    <w:rsid w:val="005B606A"/>
    <w:rsid w:val="005C24EA"/>
    <w:rsid w:val="00624DB8"/>
    <w:rsid w:val="00666F4F"/>
    <w:rsid w:val="006D01DE"/>
    <w:rsid w:val="006E557D"/>
    <w:rsid w:val="006F0BF9"/>
    <w:rsid w:val="00700797"/>
    <w:rsid w:val="007131F9"/>
    <w:rsid w:val="00714F1F"/>
    <w:rsid w:val="00751522"/>
    <w:rsid w:val="007D2D8B"/>
    <w:rsid w:val="007E0A5C"/>
    <w:rsid w:val="008115E9"/>
    <w:rsid w:val="00816BDC"/>
    <w:rsid w:val="00833840"/>
    <w:rsid w:val="008477AF"/>
    <w:rsid w:val="008761F9"/>
    <w:rsid w:val="00885FF1"/>
    <w:rsid w:val="008A4127"/>
    <w:rsid w:val="008B4E57"/>
    <w:rsid w:val="008C467B"/>
    <w:rsid w:val="008E70CA"/>
    <w:rsid w:val="008F1D17"/>
    <w:rsid w:val="008F26F0"/>
    <w:rsid w:val="008F55CF"/>
    <w:rsid w:val="00917F84"/>
    <w:rsid w:val="0092031E"/>
    <w:rsid w:val="0092563E"/>
    <w:rsid w:val="00943A0D"/>
    <w:rsid w:val="0094618C"/>
    <w:rsid w:val="00947ED5"/>
    <w:rsid w:val="00951856"/>
    <w:rsid w:val="00963DB6"/>
    <w:rsid w:val="00966079"/>
    <w:rsid w:val="00973FA6"/>
    <w:rsid w:val="00981032"/>
    <w:rsid w:val="00993FFC"/>
    <w:rsid w:val="009971BC"/>
    <w:rsid w:val="009A0416"/>
    <w:rsid w:val="009C017C"/>
    <w:rsid w:val="00A134AB"/>
    <w:rsid w:val="00A169D3"/>
    <w:rsid w:val="00AA1B7D"/>
    <w:rsid w:val="00AA26BE"/>
    <w:rsid w:val="00AB4002"/>
    <w:rsid w:val="00AC3F49"/>
    <w:rsid w:val="00AE2A20"/>
    <w:rsid w:val="00B3790C"/>
    <w:rsid w:val="00B416C2"/>
    <w:rsid w:val="00B93026"/>
    <w:rsid w:val="00B964BD"/>
    <w:rsid w:val="00BA59A5"/>
    <w:rsid w:val="00BA7207"/>
    <w:rsid w:val="00BC7964"/>
    <w:rsid w:val="00BE1BF9"/>
    <w:rsid w:val="00C06B4A"/>
    <w:rsid w:val="00C219D2"/>
    <w:rsid w:val="00C23F27"/>
    <w:rsid w:val="00C81EF8"/>
    <w:rsid w:val="00C82B4C"/>
    <w:rsid w:val="00CC3A99"/>
    <w:rsid w:val="00CD4F3A"/>
    <w:rsid w:val="00CE3EE7"/>
    <w:rsid w:val="00CF29AE"/>
    <w:rsid w:val="00CF3C8F"/>
    <w:rsid w:val="00D46DC5"/>
    <w:rsid w:val="00D90DE0"/>
    <w:rsid w:val="00DA55D7"/>
    <w:rsid w:val="00DD55BA"/>
    <w:rsid w:val="00DE003E"/>
    <w:rsid w:val="00DF5B9A"/>
    <w:rsid w:val="00E04741"/>
    <w:rsid w:val="00E12321"/>
    <w:rsid w:val="00E20958"/>
    <w:rsid w:val="00E32B50"/>
    <w:rsid w:val="00E34846"/>
    <w:rsid w:val="00E408F0"/>
    <w:rsid w:val="00E423B0"/>
    <w:rsid w:val="00E5422B"/>
    <w:rsid w:val="00E56BA4"/>
    <w:rsid w:val="00EA2287"/>
    <w:rsid w:val="00EA433C"/>
    <w:rsid w:val="00EA6CBA"/>
    <w:rsid w:val="00EA724B"/>
    <w:rsid w:val="00EB2E40"/>
    <w:rsid w:val="00EC115E"/>
    <w:rsid w:val="00F32325"/>
    <w:rsid w:val="00F44023"/>
    <w:rsid w:val="00F52805"/>
    <w:rsid w:val="00F6799F"/>
    <w:rsid w:val="00F913C4"/>
    <w:rsid w:val="00FA4697"/>
    <w:rsid w:val="00FA6ED5"/>
    <w:rsid w:val="00FC7395"/>
    <w:rsid w:val="00FE5D8D"/>
    <w:rsid w:val="00FF75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F40C1A"/>
  <w15:chartTrackingRefBased/>
  <w15:docId w15:val="{A8F5B87C-F64F-48F0-800E-EC80817B7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fr-FR"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3F4F07"/>
    <w:pPr>
      <w:spacing w:after="0" w:line="240" w:lineRule="auto"/>
    </w:pPr>
    <w:rPr>
      <w:rFonts w:ascii="Calibri" w:eastAsia="Yu Gothic" w:hAnsi="Calibri" w:cs="Times New Roman"/>
      <w:szCs w:val="21"/>
      <w14:ligatures w14:val="none"/>
    </w:rPr>
  </w:style>
  <w:style w:type="character" w:customStyle="1" w:styleId="PlainTextChar">
    <w:name w:val="Plain Text Char"/>
    <w:basedOn w:val="DefaultParagraphFont"/>
    <w:link w:val="PlainText"/>
    <w:uiPriority w:val="99"/>
    <w:rsid w:val="003F4F07"/>
    <w:rPr>
      <w:rFonts w:ascii="Calibri" w:eastAsia="Yu Gothic" w:hAnsi="Calibri" w:cs="Times New Roman"/>
      <w:szCs w:val="21"/>
      <w14:ligatures w14:val="none"/>
    </w:rPr>
  </w:style>
  <w:style w:type="character" w:styleId="Hyperlink">
    <w:name w:val="Hyperlink"/>
    <w:basedOn w:val="DefaultParagraphFont"/>
    <w:uiPriority w:val="99"/>
    <w:unhideWhenUsed/>
    <w:rsid w:val="00175D7F"/>
    <w:rPr>
      <w:color w:val="0563C1" w:themeColor="hyperlink"/>
      <w:u w:val="single"/>
    </w:rPr>
  </w:style>
  <w:style w:type="character" w:styleId="UnresolvedMention">
    <w:name w:val="Unresolved Mention"/>
    <w:basedOn w:val="DefaultParagraphFont"/>
    <w:uiPriority w:val="99"/>
    <w:semiHidden/>
    <w:unhideWhenUsed/>
    <w:rsid w:val="00175D7F"/>
    <w:rPr>
      <w:color w:val="605E5C"/>
      <w:shd w:val="clear" w:color="auto" w:fill="E1DFDD"/>
    </w:rPr>
  </w:style>
  <w:style w:type="paragraph" w:styleId="Header">
    <w:name w:val="header"/>
    <w:basedOn w:val="Normal"/>
    <w:link w:val="HeaderChar"/>
    <w:uiPriority w:val="99"/>
    <w:unhideWhenUsed/>
    <w:rsid w:val="00175D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5D7F"/>
  </w:style>
  <w:style w:type="paragraph" w:styleId="Footer">
    <w:name w:val="footer"/>
    <w:basedOn w:val="Normal"/>
    <w:link w:val="FooterChar"/>
    <w:uiPriority w:val="99"/>
    <w:unhideWhenUsed/>
    <w:rsid w:val="00175D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5D7F"/>
  </w:style>
  <w:style w:type="paragraph" w:styleId="ListParagraph">
    <w:name w:val="List Paragraph"/>
    <w:basedOn w:val="Normal"/>
    <w:uiPriority w:val="34"/>
    <w:qFormat/>
    <w:rsid w:val="00947ED5"/>
    <w:pPr>
      <w:ind w:left="720"/>
      <w:contextualSpacing/>
    </w:pPr>
  </w:style>
  <w:style w:type="paragraph" w:styleId="Revision">
    <w:name w:val="Revision"/>
    <w:hidden/>
    <w:uiPriority w:val="99"/>
    <w:semiHidden/>
    <w:rsid w:val="00393234"/>
    <w:pPr>
      <w:spacing w:after="0" w:line="240" w:lineRule="auto"/>
    </w:pPr>
  </w:style>
  <w:style w:type="table" w:styleId="TableGrid">
    <w:name w:val="Table Grid"/>
    <w:basedOn w:val="TableNormal"/>
    <w:uiPriority w:val="39"/>
    <w:rsid w:val="00232E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968719">
      <w:bodyDiv w:val="1"/>
      <w:marLeft w:val="0"/>
      <w:marRight w:val="0"/>
      <w:marTop w:val="0"/>
      <w:marBottom w:val="0"/>
      <w:divBdr>
        <w:top w:val="none" w:sz="0" w:space="0" w:color="auto"/>
        <w:left w:val="none" w:sz="0" w:space="0" w:color="auto"/>
        <w:bottom w:val="none" w:sz="0" w:space="0" w:color="auto"/>
        <w:right w:val="none" w:sz="0" w:space="0" w:color="auto"/>
      </w:divBdr>
    </w:div>
    <w:div w:id="163596895">
      <w:bodyDiv w:val="1"/>
      <w:marLeft w:val="0"/>
      <w:marRight w:val="0"/>
      <w:marTop w:val="0"/>
      <w:marBottom w:val="0"/>
      <w:divBdr>
        <w:top w:val="none" w:sz="0" w:space="0" w:color="auto"/>
        <w:left w:val="none" w:sz="0" w:space="0" w:color="auto"/>
        <w:bottom w:val="none" w:sz="0" w:space="0" w:color="auto"/>
        <w:right w:val="none" w:sz="0" w:space="0" w:color="auto"/>
      </w:divBdr>
    </w:div>
    <w:div w:id="219175078">
      <w:bodyDiv w:val="1"/>
      <w:marLeft w:val="0"/>
      <w:marRight w:val="0"/>
      <w:marTop w:val="0"/>
      <w:marBottom w:val="0"/>
      <w:divBdr>
        <w:top w:val="none" w:sz="0" w:space="0" w:color="auto"/>
        <w:left w:val="none" w:sz="0" w:space="0" w:color="auto"/>
        <w:bottom w:val="none" w:sz="0" w:space="0" w:color="auto"/>
        <w:right w:val="none" w:sz="0" w:space="0" w:color="auto"/>
      </w:divBdr>
    </w:div>
    <w:div w:id="259995246">
      <w:bodyDiv w:val="1"/>
      <w:marLeft w:val="0"/>
      <w:marRight w:val="0"/>
      <w:marTop w:val="0"/>
      <w:marBottom w:val="0"/>
      <w:divBdr>
        <w:top w:val="none" w:sz="0" w:space="0" w:color="auto"/>
        <w:left w:val="none" w:sz="0" w:space="0" w:color="auto"/>
        <w:bottom w:val="none" w:sz="0" w:space="0" w:color="auto"/>
        <w:right w:val="none" w:sz="0" w:space="0" w:color="auto"/>
      </w:divBdr>
    </w:div>
    <w:div w:id="282930820">
      <w:bodyDiv w:val="1"/>
      <w:marLeft w:val="0"/>
      <w:marRight w:val="0"/>
      <w:marTop w:val="0"/>
      <w:marBottom w:val="0"/>
      <w:divBdr>
        <w:top w:val="none" w:sz="0" w:space="0" w:color="auto"/>
        <w:left w:val="none" w:sz="0" w:space="0" w:color="auto"/>
        <w:bottom w:val="none" w:sz="0" w:space="0" w:color="auto"/>
        <w:right w:val="none" w:sz="0" w:space="0" w:color="auto"/>
      </w:divBdr>
    </w:div>
    <w:div w:id="652565026">
      <w:bodyDiv w:val="1"/>
      <w:marLeft w:val="0"/>
      <w:marRight w:val="0"/>
      <w:marTop w:val="0"/>
      <w:marBottom w:val="0"/>
      <w:divBdr>
        <w:top w:val="none" w:sz="0" w:space="0" w:color="auto"/>
        <w:left w:val="none" w:sz="0" w:space="0" w:color="auto"/>
        <w:bottom w:val="none" w:sz="0" w:space="0" w:color="auto"/>
        <w:right w:val="none" w:sz="0" w:space="0" w:color="auto"/>
      </w:divBdr>
    </w:div>
    <w:div w:id="690031905">
      <w:bodyDiv w:val="1"/>
      <w:marLeft w:val="0"/>
      <w:marRight w:val="0"/>
      <w:marTop w:val="0"/>
      <w:marBottom w:val="0"/>
      <w:divBdr>
        <w:top w:val="none" w:sz="0" w:space="0" w:color="auto"/>
        <w:left w:val="none" w:sz="0" w:space="0" w:color="auto"/>
        <w:bottom w:val="none" w:sz="0" w:space="0" w:color="auto"/>
        <w:right w:val="none" w:sz="0" w:space="0" w:color="auto"/>
      </w:divBdr>
    </w:div>
    <w:div w:id="741488059">
      <w:bodyDiv w:val="1"/>
      <w:marLeft w:val="0"/>
      <w:marRight w:val="0"/>
      <w:marTop w:val="0"/>
      <w:marBottom w:val="0"/>
      <w:divBdr>
        <w:top w:val="none" w:sz="0" w:space="0" w:color="auto"/>
        <w:left w:val="none" w:sz="0" w:space="0" w:color="auto"/>
        <w:bottom w:val="none" w:sz="0" w:space="0" w:color="auto"/>
        <w:right w:val="none" w:sz="0" w:space="0" w:color="auto"/>
      </w:divBdr>
    </w:div>
    <w:div w:id="845249358">
      <w:bodyDiv w:val="1"/>
      <w:marLeft w:val="0"/>
      <w:marRight w:val="0"/>
      <w:marTop w:val="0"/>
      <w:marBottom w:val="0"/>
      <w:divBdr>
        <w:top w:val="none" w:sz="0" w:space="0" w:color="auto"/>
        <w:left w:val="none" w:sz="0" w:space="0" w:color="auto"/>
        <w:bottom w:val="none" w:sz="0" w:space="0" w:color="auto"/>
        <w:right w:val="none" w:sz="0" w:space="0" w:color="auto"/>
      </w:divBdr>
    </w:div>
    <w:div w:id="1178350934">
      <w:bodyDiv w:val="1"/>
      <w:marLeft w:val="0"/>
      <w:marRight w:val="0"/>
      <w:marTop w:val="0"/>
      <w:marBottom w:val="0"/>
      <w:divBdr>
        <w:top w:val="none" w:sz="0" w:space="0" w:color="auto"/>
        <w:left w:val="none" w:sz="0" w:space="0" w:color="auto"/>
        <w:bottom w:val="none" w:sz="0" w:space="0" w:color="auto"/>
        <w:right w:val="none" w:sz="0" w:space="0" w:color="auto"/>
      </w:divBdr>
    </w:div>
    <w:div w:id="1509558222">
      <w:bodyDiv w:val="1"/>
      <w:marLeft w:val="0"/>
      <w:marRight w:val="0"/>
      <w:marTop w:val="0"/>
      <w:marBottom w:val="0"/>
      <w:divBdr>
        <w:top w:val="none" w:sz="0" w:space="0" w:color="auto"/>
        <w:left w:val="none" w:sz="0" w:space="0" w:color="auto"/>
        <w:bottom w:val="none" w:sz="0" w:space="0" w:color="auto"/>
        <w:right w:val="none" w:sz="0" w:space="0" w:color="auto"/>
      </w:divBdr>
    </w:div>
    <w:div w:id="1549609263">
      <w:bodyDiv w:val="1"/>
      <w:marLeft w:val="0"/>
      <w:marRight w:val="0"/>
      <w:marTop w:val="0"/>
      <w:marBottom w:val="0"/>
      <w:divBdr>
        <w:top w:val="none" w:sz="0" w:space="0" w:color="auto"/>
        <w:left w:val="none" w:sz="0" w:space="0" w:color="auto"/>
        <w:bottom w:val="none" w:sz="0" w:space="0" w:color="auto"/>
        <w:right w:val="none" w:sz="0" w:space="0" w:color="auto"/>
      </w:divBdr>
    </w:div>
    <w:div w:id="1603996841">
      <w:bodyDiv w:val="1"/>
      <w:marLeft w:val="0"/>
      <w:marRight w:val="0"/>
      <w:marTop w:val="0"/>
      <w:marBottom w:val="0"/>
      <w:divBdr>
        <w:top w:val="none" w:sz="0" w:space="0" w:color="auto"/>
        <w:left w:val="none" w:sz="0" w:space="0" w:color="auto"/>
        <w:bottom w:val="none" w:sz="0" w:space="0" w:color="auto"/>
        <w:right w:val="none" w:sz="0" w:space="0" w:color="auto"/>
      </w:divBdr>
    </w:div>
    <w:div w:id="1691754822">
      <w:bodyDiv w:val="1"/>
      <w:marLeft w:val="0"/>
      <w:marRight w:val="0"/>
      <w:marTop w:val="0"/>
      <w:marBottom w:val="0"/>
      <w:divBdr>
        <w:top w:val="none" w:sz="0" w:space="0" w:color="auto"/>
        <w:left w:val="none" w:sz="0" w:space="0" w:color="auto"/>
        <w:bottom w:val="none" w:sz="0" w:space="0" w:color="auto"/>
        <w:right w:val="none" w:sz="0" w:space="0" w:color="auto"/>
      </w:divBdr>
    </w:div>
    <w:div w:id="2072460128">
      <w:bodyDiv w:val="1"/>
      <w:marLeft w:val="0"/>
      <w:marRight w:val="0"/>
      <w:marTop w:val="0"/>
      <w:marBottom w:val="0"/>
      <w:divBdr>
        <w:top w:val="none" w:sz="0" w:space="0" w:color="auto"/>
        <w:left w:val="none" w:sz="0" w:space="0" w:color="auto"/>
        <w:bottom w:val="none" w:sz="0" w:space="0" w:color="auto"/>
        <w:right w:val="none" w:sz="0" w:space="0" w:color="auto"/>
      </w:divBdr>
    </w:div>
    <w:div w:id="2119595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sgg.gov.mr/sites/default/files/2020-11/J.O%201414%20F%20du%2015.06.2018.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iccat.int/Documents/Recs/compendiopdf-f/2017-01-f.pdf"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iccat.int/Documents/Recs/compendiopdf-f/2022-11-f.pdf" TargetMode="External"/><Relationship Id="rId4" Type="http://schemas.openxmlformats.org/officeDocument/2006/relationships/webSettings" Target="webSettings.xml"/><Relationship Id="rId9" Type="http://schemas.openxmlformats.org/officeDocument/2006/relationships/hyperlink" Target="https://www.iccat.int/Documents/Recs/compendiopdf-f/2010-07-f.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531</TotalTime>
  <Pages>6</Pages>
  <Words>2829</Words>
  <Characters>16126</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Cheatle</dc:creator>
  <cp:keywords/>
  <dc:description/>
  <cp:lastModifiedBy>Dorothee Pinet</cp:lastModifiedBy>
  <cp:revision>106</cp:revision>
  <dcterms:created xsi:type="dcterms:W3CDTF">2023-11-01T08:46:00Z</dcterms:created>
  <dcterms:modified xsi:type="dcterms:W3CDTF">2025-11-13T13:59:00Z</dcterms:modified>
</cp:coreProperties>
</file>