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06D" w14:textId="77777777" w:rsidR="009A0416" w:rsidRPr="009A0416" w:rsidRDefault="009A0416" w:rsidP="00240776">
      <w:pPr>
        <w:spacing w:after="0" w:line="240" w:lineRule="auto"/>
        <w:jc w:val="right"/>
        <w:rPr>
          <w:rFonts w:ascii="Cambria" w:hAnsi="Cambria" w:cstheme="majorHAnsi"/>
          <w:b/>
          <w:bCs/>
          <w:sz w:val="20"/>
          <w:szCs w:val="20"/>
        </w:rPr>
      </w:pPr>
    </w:p>
    <w:p w14:paraId="67F014A0" w14:textId="611D594C" w:rsidR="00175D7F" w:rsidRPr="00FC7395" w:rsidRDefault="00175D7F" w:rsidP="00240776">
      <w:pPr>
        <w:spacing w:after="0" w:line="240" w:lineRule="auto"/>
        <w:jc w:val="right"/>
        <w:rPr>
          <w:rFonts w:ascii="Cambria" w:hAnsi="Cambria" w:cstheme="majorHAnsi"/>
          <w:b/>
          <w:bCs/>
          <w:sz w:val="20"/>
          <w:szCs w:val="20"/>
        </w:rPr>
      </w:pPr>
      <w:r w:rsidRPr="00FC7395">
        <w:rPr>
          <w:rFonts w:ascii="Cambria" w:hAnsi="Cambria" w:cstheme="majorHAnsi"/>
          <w:b/>
          <w:bCs/>
          <w:sz w:val="20"/>
          <w:szCs w:val="20"/>
        </w:rPr>
        <w:t>Original :</w:t>
      </w:r>
      <w:r w:rsidRPr="00FC7395">
        <w:rPr>
          <w:rFonts w:ascii="Cambria" w:hAnsi="Cambria" w:cstheme="majorHAnsi"/>
          <w:b/>
          <w:sz w:val="20"/>
          <w:szCs w:val="20"/>
        </w:rPr>
        <w:t xml:space="preserve"> </w:t>
      </w:r>
      <w:r w:rsidRPr="00FC7395">
        <w:rPr>
          <w:rFonts w:ascii="Cambria" w:hAnsi="Cambria" w:cstheme="majorHAnsi"/>
          <w:b/>
          <w:bCs/>
          <w:sz w:val="20"/>
          <w:szCs w:val="20"/>
        </w:rPr>
        <w:t>anglais</w:t>
      </w:r>
      <w:r w:rsidR="009971BC" w:rsidRPr="00FC7395">
        <w:rPr>
          <w:rFonts w:ascii="Cambria" w:hAnsi="Cambria" w:cstheme="majorHAnsi"/>
          <w:b/>
          <w:bCs/>
          <w:sz w:val="20"/>
          <w:szCs w:val="20"/>
        </w:rPr>
        <w:t>/espagnol</w:t>
      </w:r>
    </w:p>
    <w:p w14:paraId="3D7D0A72" w14:textId="77777777" w:rsidR="009971BC" w:rsidRPr="00FC7395" w:rsidRDefault="009971BC" w:rsidP="00240776">
      <w:pPr>
        <w:spacing w:after="0" w:line="240" w:lineRule="auto"/>
        <w:jc w:val="right"/>
        <w:rPr>
          <w:rFonts w:ascii="Cambria" w:hAnsi="Cambria" w:cstheme="majorHAnsi"/>
          <w:b/>
          <w:bCs/>
          <w:sz w:val="20"/>
          <w:szCs w:val="20"/>
        </w:rPr>
      </w:pPr>
    </w:p>
    <w:p w14:paraId="738EED15" w14:textId="7A5EF442" w:rsidR="00402366" w:rsidRPr="00FC7395" w:rsidRDefault="00127313" w:rsidP="00240776">
      <w:pPr>
        <w:spacing w:after="0" w:line="240" w:lineRule="auto"/>
        <w:jc w:val="center"/>
        <w:rPr>
          <w:rFonts w:ascii="Cambria" w:hAnsi="Cambria" w:cstheme="majorHAnsi"/>
          <w:b/>
          <w:bCs/>
          <w:sz w:val="20"/>
          <w:szCs w:val="20"/>
        </w:rPr>
      </w:pPr>
      <w:r w:rsidRPr="00FC7395">
        <w:rPr>
          <w:rFonts w:ascii="Cambria" w:hAnsi="Cambria" w:cstheme="majorHAnsi"/>
          <w:b/>
          <w:sz w:val="20"/>
          <w:szCs w:val="20"/>
        </w:rPr>
        <w:t>Questions et réponses des CPC sur des questions d’application</w:t>
      </w:r>
    </w:p>
    <w:p w14:paraId="7066F5BE" w14:textId="61C0A802" w:rsidR="005B606A" w:rsidRPr="00FC7395" w:rsidRDefault="00CF3C8F" w:rsidP="00240776">
      <w:pPr>
        <w:spacing w:after="0" w:line="240" w:lineRule="auto"/>
        <w:jc w:val="center"/>
        <w:rPr>
          <w:rFonts w:ascii="Cambria" w:hAnsi="Cambria" w:cstheme="majorHAnsi"/>
          <w:i/>
          <w:iCs/>
          <w:sz w:val="20"/>
          <w:szCs w:val="20"/>
        </w:rPr>
      </w:pPr>
      <w:r w:rsidRPr="00FC7395">
        <w:rPr>
          <w:rFonts w:ascii="Cambria" w:hAnsi="Cambria" w:cstheme="majorHAnsi"/>
          <w:i/>
          <w:sz w:val="20"/>
          <w:szCs w:val="20"/>
        </w:rPr>
        <w:t>(</w:t>
      </w:r>
      <w:r w:rsidR="005B606A" w:rsidRPr="00FC7395">
        <w:rPr>
          <w:rFonts w:ascii="Cambria" w:hAnsi="Cambria" w:cstheme="majorHAnsi"/>
          <w:i/>
          <w:sz w:val="20"/>
          <w:szCs w:val="20"/>
        </w:rPr>
        <w:t>Secrétariat de l’ICCAT</w:t>
      </w:r>
      <w:r w:rsidRPr="00FC7395">
        <w:rPr>
          <w:rFonts w:ascii="Cambria" w:hAnsi="Cambria" w:cstheme="majorHAnsi"/>
          <w:i/>
          <w:sz w:val="20"/>
          <w:szCs w:val="20"/>
        </w:rPr>
        <w:t>)</w:t>
      </w:r>
    </w:p>
    <w:p w14:paraId="286BB45F" w14:textId="77777777" w:rsidR="003F4F07" w:rsidRPr="00FC7395" w:rsidRDefault="003F4F07" w:rsidP="00240776">
      <w:pPr>
        <w:pStyle w:val="PlainText"/>
        <w:jc w:val="both"/>
        <w:rPr>
          <w:rFonts w:ascii="Cambria" w:hAnsi="Cambria" w:cstheme="majorHAnsi"/>
          <w:sz w:val="20"/>
          <w:szCs w:val="20"/>
        </w:rPr>
      </w:pPr>
    </w:p>
    <w:p w14:paraId="5D19C30D" w14:textId="33B04BFA" w:rsidR="00C06B4A" w:rsidRPr="00FC7395" w:rsidRDefault="00C06B4A" w:rsidP="00240776">
      <w:pPr>
        <w:pStyle w:val="PlainText"/>
        <w:jc w:val="both"/>
        <w:rPr>
          <w:rFonts w:ascii="Cambria" w:hAnsi="Cambria" w:cstheme="majorHAnsi"/>
          <w:sz w:val="20"/>
          <w:szCs w:val="20"/>
        </w:rPr>
      </w:pPr>
      <w:r w:rsidRPr="00FC7395">
        <w:rPr>
          <w:rFonts w:ascii="Cambria" w:hAnsi="Cambria" w:cstheme="majorHAnsi"/>
          <w:sz w:val="20"/>
          <w:szCs w:val="20"/>
        </w:rPr>
        <w:t xml:space="preserve">Par voie de </w:t>
      </w:r>
      <w:r w:rsidR="00175379" w:rsidRPr="00FC7395">
        <w:rPr>
          <w:rFonts w:ascii="Cambria" w:hAnsi="Cambria" w:cstheme="majorHAnsi"/>
          <w:sz w:val="20"/>
          <w:szCs w:val="20"/>
        </w:rPr>
        <w:t>c</w:t>
      </w:r>
      <w:r w:rsidRPr="00FC7395">
        <w:rPr>
          <w:rFonts w:ascii="Cambria" w:hAnsi="Cambria" w:cstheme="majorHAnsi"/>
          <w:sz w:val="20"/>
          <w:szCs w:val="20"/>
        </w:rPr>
        <w:t>irculaire ICCAT nº10017/2025, du 8 octobre 2025, les CPC ont été invitées à soumettre des questions aux autres CPC en ce qui concerne d’éventuels problèmes d’application.</w:t>
      </w:r>
    </w:p>
    <w:p w14:paraId="0922E85B" w14:textId="77777777" w:rsidR="00C06B4A" w:rsidRPr="00FC7395" w:rsidRDefault="00C06B4A" w:rsidP="00240776">
      <w:pPr>
        <w:pStyle w:val="PlainText"/>
        <w:jc w:val="both"/>
        <w:rPr>
          <w:rFonts w:ascii="Cambria" w:hAnsi="Cambria" w:cstheme="majorHAnsi"/>
          <w:sz w:val="20"/>
          <w:szCs w:val="20"/>
        </w:rPr>
      </w:pPr>
    </w:p>
    <w:p w14:paraId="405CB8B1" w14:textId="60C3E744" w:rsidR="00C06B4A" w:rsidRPr="00FC7395" w:rsidRDefault="00C06B4A" w:rsidP="00240776">
      <w:pPr>
        <w:pStyle w:val="PlainText"/>
        <w:jc w:val="both"/>
        <w:rPr>
          <w:rFonts w:ascii="Cambria" w:hAnsi="Cambria" w:cstheme="majorHAnsi"/>
          <w:sz w:val="20"/>
          <w:szCs w:val="20"/>
        </w:rPr>
      </w:pPr>
      <w:r w:rsidRPr="00FC7395">
        <w:rPr>
          <w:rFonts w:ascii="Cambria" w:hAnsi="Cambria" w:cstheme="majorHAnsi"/>
          <w:sz w:val="20"/>
          <w:szCs w:val="20"/>
        </w:rPr>
        <w:t>Le Secrétariat a reçu des questions et des commentaires de l'Union européenne et du Japon. Dans la mesure du possible, ces questions ont été envoyées à l’avance aux CPC concernées et les réponses reçues à ce jour sont incluses ici, le cas échéant. Compte tenu du laps de temps disponible pour préparer les réponses, les CPC qui n’ont pas été en mesure de soumettre une réponse par écrit avant la réunion pourront répondre oralement ou par écrit, lors de, ou avant, la réunion du Comité d’application (COC).</w:t>
      </w:r>
    </w:p>
    <w:p w14:paraId="691322C0" w14:textId="77777777" w:rsidR="00C06B4A" w:rsidRPr="00FC7395" w:rsidRDefault="00C06B4A" w:rsidP="00240776">
      <w:pPr>
        <w:pStyle w:val="PlainText"/>
        <w:jc w:val="both"/>
        <w:rPr>
          <w:rFonts w:ascii="Cambria" w:hAnsi="Cambria" w:cstheme="majorHAnsi"/>
          <w:sz w:val="20"/>
          <w:szCs w:val="20"/>
        </w:rPr>
      </w:pPr>
    </w:p>
    <w:p w14:paraId="1F7D9534" w14:textId="03369992" w:rsidR="00DE003E" w:rsidRPr="00FC7395" w:rsidRDefault="00DE003E" w:rsidP="00240776">
      <w:pPr>
        <w:spacing w:after="0" w:line="240" w:lineRule="auto"/>
        <w:jc w:val="both"/>
        <w:rPr>
          <w:rFonts w:ascii="Cambria" w:eastAsia="Times New Roman" w:hAnsi="Cambria" w:cstheme="majorHAnsi"/>
          <w:b/>
          <w:sz w:val="20"/>
          <w:szCs w:val="20"/>
        </w:rPr>
      </w:pPr>
      <w:bookmarkStart w:id="0" w:name="_Hlk181564720"/>
      <w:r w:rsidRPr="00FC7395">
        <w:rPr>
          <w:rFonts w:ascii="Cambria" w:hAnsi="Cambria" w:cstheme="majorHAnsi"/>
          <w:b/>
          <w:sz w:val="20"/>
          <w:szCs w:val="20"/>
        </w:rPr>
        <w:t>À l’attention de l’Algérie</w:t>
      </w:r>
      <w:r w:rsidR="00BC7964" w:rsidRPr="00FC7395">
        <w:rPr>
          <w:rFonts w:ascii="Cambria" w:hAnsi="Cambria" w:cstheme="majorHAnsi"/>
          <w:b/>
          <w:sz w:val="20"/>
          <w:szCs w:val="20"/>
        </w:rPr>
        <w:t> :</w:t>
      </w:r>
    </w:p>
    <w:p w14:paraId="63FD7D87" w14:textId="77777777" w:rsidR="00240776" w:rsidRPr="00FC7395" w:rsidRDefault="00240776" w:rsidP="00240776">
      <w:pPr>
        <w:spacing w:after="0" w:line="240" w:lineRule="auto"/>
        <w:jc w:val="both"/>
        <w:rPr>
          <w:rFonts w:ascii="Cambria" w:eastAsia="Times New Roman" w:hAnsi="Cambria" w:cstheme="majorHAnsi"/>
          <w:b/>
          <w:sz w:val="20"/>
          <w:szCs w:val="20"/>
        </w:rPr>
      </w:pPr>
    </w:p>
    <w:bookmarkEnd w:id="0"/>
    <w:p w14:paraId="751ED80C" w14:textId="2E5B7760" w:rsidR="00C06B4A" w:rsidRPr="00FC7395" w:rsidRDefault="00C06B4A" w:rsidP="00240776">
      <w:pPr>
        <w:spacing w:after="0" w:line="240" w:lineRule="auto"/>
        <w:jc w:val="both"/>
        <w:rPr>
          <w:rFonts w:ascii="Cambria" w:eastAsia="Times New Roman" w:hAnsi="Cambria" w:cstheme="majorHAnsi"/>
          <w:bCs/>
          <w:sz w:val="20"/>
          <w:szCs w:val="20"/>
        </w:rPr>
      </w:pPr>
      <w:r w:rsidRPr="00FC7395">
        <w:rPr>
          <w:rFonts w:ascii="Cambria" w:hAnsi="Cambria" w:cstheme="majorHAnsi"/>
          <w:sz w:val="20"/>
          <w:szCs w:val="20"/>
        </w:rPr>
        <w:t>En 2009, le COC a reconnu que des navires de pêche algériens avaient capturé 820 t de thon rouge de l'Atlantique sans autorisation appropriée et que le poisson avait été transféré dans des fermes en Tunisie et à Malte sans BCD validés. En 2010, lors d</w:t>
      </w:r>
      <w:r w:rsidR="001770F1" w:rsidRPr="00FC7395">
        <w:rPr>
          <w:rFonts w:ascii="Cambria" w:hAnsi="Cambria" w:cstheme="majorHAnsi"/>
          <w:sz w:val="20"/>
          <w:szCs w:val="20"/>
        </w:rPr>
        <w:t xml:space="preserve">e la réunion du </w:t>
      </w:r>
      <w:r w:rsidRPr="00FC7395">
        <w:rPr>
          <w:rFonts w:ascii="Cambria" w:hAnsi="Cambria" w:cstheme="majorHAnsi"/>
          <w:sz w:val="20"/>
          <w:szCs w:val="20"/>
        </w:rPr>
        <w:t xml:space="preserve">COC, Malte et la Tunisie ont indiqué que les poissons transférés avaient été libérés des cages. Lors de cette réunion, l'Algérie a indiqué que des procédures judiciaires concernant les navires algériens étaient en cours devant les tribunaux algériens. L'Algérie a également indiqué que tous les détails seraient communiqués au COC une fois l'enquête terminée. </w:t>
      </w:r>
    </w:p>
    <w:p w14:paraId="0DED296B" w14:textId="77777777" w:rsidR="00240776" w:rsidRPr="00FC7395" w:rsidRDefault="00240776" w:rsidP="00240776">
      <w:pPr>
        <w:spacing w:after="0" w:line="240" w:lineRule="auto"/>
        <w:jc w:val="both"/>
        <w:rPr>
          <w:rFonts w:ascii="Cambria" w:eastAsia="Times New Roman" w:hAnsi="Cambria" w:cstheme="majorHAnsi"/>
          <w:bCs/>
          <w:sz w:val="20"/>
          <w:szCs w:val="20"/>
        </w:rPr>
      </w:pPr>
    </w:p>
    <w:p w14:paraId="439A901C" w14:textId="1FB146A9" w:rsidR="00947ED5" w:rsidRPr="00FC7395" w:rsidRDefault="00C06B4A" w:rsidP="00240776">
      <w:pPr>
        <w:spacing w:after="0" w:line="240" w:lineRule="auto"/>
        <w:jc w:val="both"/>
        <w:rPr>
          <w:rFonts w:ascii="Cambria" w:eastAsia="Times New Roman" w:hAnsi="Cambria" w:cstheme="majorHAnsi"/>
          <w:bCs/>
          <w:sz w:val="20"/>
          <w:szCs w:val="20"/>
        </w:rPr>
      </w:pPr>
      <w:r w:rsidRPr="00FC7395">
        <w:rPr>
          <w:rFonts w:ascii="Cambria" w:hAnsi="Cambria" w:cstheme="majorHAnsi"/>
          <w:sz w:val="20"/>
          <w:szCs w:val="20"/>
        </w:rPr>
        <w:t xml:space="preserve">Selon les rapports des réunions précédentes, l'Algérie a exprimé son intention de présenter les résultats jusqu'à la réunion annuelle de 2011. Par la suite, toutefois, les rapports de réunion de l’ICCAT ne font plus état de cette question. Le Japon comprend </w:t>
      </w:r>
      <w:r w:rsidR="0013065B" w:rsidRPr="00FC7395">
        <w:rPr>
          <w:rFonts w:ascii="Cambria" w:hAnsi="Cambria" w:cstheme="majorHAnsi"/>
          <w:sz w:val="20"/>
          <w:szCs w:val="20"/>
        </w:rPr>
        <w:t xml:space="preserve">donc </w:t>
      </w:r>
      <w:r w:rsidRPr="00FC7395">
        <w:rPr>
          <w:rFonts w:ascii="Cambria" w:hAnsi="Cambria" w:cstheme="majorHAnsi"/>
          <w:sz w:val="20"/>
          <w:szCs w:val="20"/>
        </w:rPr>
        <w:t>que l’ICCAT n'a pas reçu les résultats de l'enquête de l'Algérie.</w:t>
      </w:r>
    </w:p>
    <w:p w14:paraId="761C0EBC" w14:textId="77777777" w:rsidR="00C06B4A" w:rsidRPr="00FC7395" w:rsidRDefault="00C06B4A" w:rsidP="00240776">
      <w:pPr>
        <w:spacing w:after="0" w:line="240" w:lineRule="auto"/>
        <w:jc w:val="both"/>
        <w:rPr>
          <w:rFonts w:ascii="Cambria" w:eastAsia="Times New Roman" w:hAnsi="Cambria" w:cstheme="majorHAnsi"/>
          <w:sz w:val="20"/>
          <w:szCs w:val="20"/>
        </w:rPr>
      </w:pPr>
    </w:p>
    <w:p w14:paraId="077A60B9" w14:textId="32C0C3D8" w:rsidR="00DE003E" w:rsidRPr="00FC7395" w:rsidRDefault="00DE003E" w:rsidP="00240776">
      <w:pPr>
        <w:spacing w:after="0" w:line="240" w:lineRule="auto"/>
        <w:jc w:val="both"/>
        <w:rPr>
          <w:rFonts w:ascii="Cambria" w:eastAsia="Times New Roman" w:hAnsi="Cambria" w:cstheme="majorHAnsi"/>
          <w:b/>
          <w:bCs/>
          <w:sz w:val="20"/>
          <w:szCs w:val="20"/>
        </w:rPr>
      </w:pPr>
      <w:r w:rsidRPr="00FC7395">
        <w:rPr>
          <w:rFonts w:ascii="Cambria" w:hAnsi="Cambria" w:cstheme="majorHAnsi"/>
          <w:b/>
          <w:sz w:val="20"/>
          <w:szCs w:val="20"/>
        </w:rPr>
        <w:t>À l’attention de la Mauritanie</w:t>
      </w:r>
      <w:r w:rsidR="00BC7964" w:rsidRPr="00FC7395">
        <w:rPr>
          <w:rFonts w:ascii="Cambria" w:hAnsi="Cambria" w:cstheme="majorHAnsi"/>
          <w:b/>
          <w:sz w:val="20"/>
          <w:szCs w:val="20"/>
        </w:rPr>
        <w:t> :</w:t>
      </w:r>
    </w:p>
    <w:p w14:paraId="1E1DF61D" w14:textId="77777777" w:rsidR="00240776" w:rsidRPr="00FC7395" w:rsidRDefault="00240776" w:rsidP="00240776">
      <w:pPr>
        <w:spacing w:after="0" w:line="240" w:lineRule="auto"/>
        <w:jc w:val="both"/>
        <w:rPr>
          <w:rFonts w:ascii="Cambria" w:eastAsia="Times New Roman" w:hAnsi="Cambria" w:cstheme="majorHAnsi"/>
          <w:b/>
          <w:bCs/>
          <w:sz w:val="20"/>
          <w:szCs w:val="20"/>
        </w:rPr>
      </w:pPr>
    </w:p>
    <w:p w14:paraId="7CDD3AD9" w14:textId="023C4E74" w:rsidR="00DE003E" w:rsidRPr="00FC7395" w:rsidRDefault="00C06B4A" w:rsidP="00240776">
      <w:pPr>
        <w:spacing w:after="0" w:line="240" w:lineRule="auto"/>
        <w:jc w:val="both"/>
        <w:rPr>
          <w:rFonts w:ascii="Cambria" w:eastAsia="Times New Roman" w:hAnsi="Cambria" w:cstheme="majorHAnsi"/>
          <w:sz w:val="20"/>
          <w:szCs w:val="20"/>
        </w:rPr>
      </w:pPr>
      <w:r w:rsidRPr="00FC7395">
        <w:rPr>
          <w:rFonts w:ascii="Cambria" w:hAnsi="Cambria" w:cstheme="majorHAnsi"/>
          <w:sz w:val="20"/>
          <w:szCs w:val="20"/>
        </w:rPr>
        <w:t>La Mauritanie pourrait</w:t>
      </w:r>
      <w:r w:rsidR="008B4E57" w:rsidRPr="00FC7395">
        <w:rPr>
          <w:rFonts w:ascii="Cambria" w:hAnsi="Cambria" w:cstheme="majorHAnsi"/>
          <w:sz w:val="20"/>
          <w:szCs w:val="20"/>
        </w:rPr>
        <w:t>-il</w:t>
      </w:r>
      <w:r w:rsidRPr="00FC7395">
        <w:rPr>
          <w:rFonts w:ascii="Cambria" w:hAnsi="Cambria" w:cstheme="majorHAnsi"/>
          <w:sz w:val="20"/>
          <w:szCs w:val="20"/>
        </w:rPr>
        <w:t xml:space="preserve"> expliquer comment elle met en œuvre et respecte la </w:t>
      </w:r>
      <w:hyperlink r:id="rId7" w:history="1">
        <w:r w:rsidR="009C017C" w:rsidRPr="00FC7395">
          <w:rPr>
            <w:rStyle w:val="Hyperlink"/>
            <w:rFonts w:ascii="Cambria" w:hAnsi="Cambria" w:cstheme="majorHAnsi"/>
            <w:i/>
            <w:iCs/>
            <w:sz w:val="20"/>
            <w:szCs w:val="20"/>
            <w:u w:val="none"/>
          </w:rPr>
          <w:t>Recommandation de l’ICCAT relative à une interdiction des rejets de thonidés tropicaux capturés par les senneurs</w:t>
        </w:r>
        <w:r w:rsidR="009C017C" w:rsidRPr="00FC7395">
          <w:rPr>
            <w:rStyle w:val="Hyperlink"/>
            <w:rFonts w:ascii="Cambria" w:hAnsi="Cambria" w:cstheme="majorHAnsi"/>
            <w:i/>
            <w:iCs/>
            <w:sz w:val="20"/>
            <w:szCs w:val="20"/>
            <w:u w:val="none"/>
          </w:rPr>
          <w:t xml:space="preserve"> </w:t>
        </w:r>
        <w:r w:rsidRPr="00FC7395">
          <w:rPr>
            <w:rStyle w:val="Hyperlink"/>
            <w:rFonts w:ascii="Cambria" w:hAnsi="Cambria" w:cstheme="majorHAnsi"/>
            <w:sz w:val="20"/>
            <w:szCs w:val="20"/>
            <w:u w:val="none"/>
          </w:rPr>
          <w:t>(Rec. 17-01)</w:t>
        </w:r>
      </w:hyperlink>
      <w:r w:rsidRPr="00FC7395">
        <w:rPr>
          <w:rFonts w:ascii="Cambria" w:hAnsi="Cambria" w:cstheme="majorHAnsi"/>
          <w:sz w:val="20"/>
          <w:szCs w:val="20"/>
        </w:rPr>
        <w:t xml:space="preserve">, à la lumière du </w:t>
      </w:r>
      <w:hyperlink r:id="rId8" w:history="1">
        <w:r w:rsidRPr="00FC7395">
          <w:rPr>
            <w:rStyle w:val="Hyperlink"/>
            <w:rFonts w:ascii="Cambria" w:hAnsi="Cambria" w:cstheme="majorHAnsi"/>
            <w:sz w:val="20"/>
            <w:szCs w:val="20"/>
            <w:u w:val="none"/>
          </w:rPr>
          <w:t>Décret n°2018-088</w:t>
        </w:r>
      </w:hyperlink>
      <w:r w:rsidRPr="00FC7395">
        <w:rPr>
          <w:rFonts w:ascii="Cambria" w:hAnsi="Cambria" w:cstheme="majorHAnsi"/>
          <w:sz w:val="20"/>
          <w:szCs w:val="20"/>
        </w:rPr>
        <w:t>, qui semble établir une taille minimale pour le thon obèse et qui pourrait être en contradiction avec l'interdiction de rejeter les thonidés tropicaux.</w:t>
      </w:r>
    </w:p>
    <w:p w14:paraId="1B58123E" w14:textId="77777777" w:rsidR="00947ED5" w:rsidRPr="00FC7395" w:rsidRDefault="00947ED5" w:rsidP="00240776">
      <w:pPr>
        <w:spacing w:after="0" w:line="240" w:lineRule="auto"/>
        <w:jc w:val="both"/>
        <w:rPr>
          <w:rFonts w:ascii="Cambria" w:eastAsia="Times New Roman" w:hAnsi="Cambria" w:cstheme="majorHAnsi"/>
          <w:sz w:val="20"/>
          <w:szCs w:val="20"/>
        </w:rPr>
      </w:pPr>
    </w:p>
    <w:p w14:paraId="4E278606" w14:textId="4556BF5C" w:rsidR="00DE003E" w:rsidRPr="00FC7395" w:rsidRDefault="00947ED5" w:rsidP="00240776">
      <w:pPr>
        <w:spacing w:after="0" w:line="240" w:lineRule="auto"/>
        <w:jc w:val="both"/>
        <w:rPr>
          <w:rFonts w:ascii="Cambria" w:eastAsia="Times New Roman" w:hAnsi="Cambria" w:cstheme="majorHAnsi"/>
          <w:b/>
          <w:bCs/>
          <w:color w:val="222222"/>
          <w:sz w:val="20"/>
          <w:szCs w:val="20"/>
        </w:rPr>
      </w:pPr>
      <w:bookmarkStart w:id="1" w:name="_Hlk181565530"/>
      <w:r w:rsidRPr="00FC7395">
        <w:rPr>
          <w:rFonts w:ascii="Cambria" w:hAnsi="Cambria" w:cstheme="majorHAnsi"/>
          <w:b/>
          <w:sz w:val="20"/>
          <w:szCs w:val="20"/>
        </w:rPr>
        <w:t xml:space="preserve">À l’attention du </w:t>
      </w:r>
      <w:r w:rsidR="00BC7964" w:rsidRPr="00FC7395">
        <w:rPr>
          <w:rFonts w:ascii="Cambria" w:hAnsi="Cambria" w:cstheme="majorHAnsi"/>
          <w:b/>
          <w:sz w:val="20"/>
          <w:szCs w:val="20"/>
        </w:rPr>
        <w:t>Mexique :</w:t>
      </w:r>
    </w:p>
    <w:p w14:paraId="47D7137E" w14:textId="77777777" w:rsidR="00240776" w:rsidRPr="00FC7395" w:rsidRDefault="00240776" w:rsidP="00240776">
      <w:pPr>
        <w:spacing w:after="0" w:line="240" w:lineRule="auto"/>
        <w:jc w:val="both"/>
        <w:rPr>
          <w:rFonts w:ascii="Cambria" w:eastAsia="Times New Roman" w:hAnsi="Cambria" w:cstheme="majorHAnsi"/>
          <w:b/>
          <w:bCs/>
          <w:sz w:val="20"/>
          <w:szCs w:val="20"/>
        </w:rPr>
      </w:pPr>
    </w:p>
    <w:p w14:paraId="5D4D834C" w14:textId="26AD5D92" w:rsidR="00DE003E" w:rsidRPr="00FC7395" w:rsidRDefault="00C06B4A" w:rsidP="00240776">
      <w:pPr>
        <w:spacing w:after="0" w:line="240" w:lineRule="auto"/>
        <w:jc w:val="both"/>
        <w:rPr>
          <w:rFonts w:ascii="Cambria" w:eastAsia="Times New Roman" w:hAnsi="Cambria" w:cstheme="majorHAnsi"/>
          <w:color w:val="222222"/>
          <w:sz w:val="20"/>
          <w:szCs w:val="20"/>
        </w:rPr>
      </w:pPr>
      <w:r w:rsidRPr="00FC7395">
        <w:rPr>
          <w:rFonts w:ascii="Cambria" w:hAnsi="Cambria" w:cstheme="majorHAnsi"/>
          <w:color w:val="222222"/>
          <w:sz w:val="20"/>
          <w:szCs w:val="20"/>
        </w:rPr>
        <w:t>Le Mexique pourrait</w:t>
      </w:r>
      <w:r w:rsidR="008B4E57" w:rsidRPr="00FC7395">
        <w:rPr>
          <w:rFonts w:ascii="Cambria" w:hAnsi="Cambria" w:cstheme="majorHAnsi"/>
          <w:color w:val="222222"/>
          <w:sz w:val="20"/>
          <w:szCs w:val="20"/>
        </w:rPr>
        <w:t>-il</w:t>
      </w:r>
      <w:r w:rsidRPr="00FC7395">
        <w:rPr>
          <w:rFonts w:ascii="Cambria" w:hAnsi="Cambria" w:cstheme="majorHAnsi"/>
          <w:color w:val="222222"/>
          <w:sz w:val="20"/>
          <w:szCs w:val="20"/>
        </w:rPr>
        <w:t xml:space="preserve"> expliquer comment il applique et respecte l'interdiction de retenir et de débarquer le requin océanique </w:t>
      </w:r>
      <w:r w:rsidR="00CC3A99" w:rsidRPr="00FC7395">
        <w:rPr>
          <w:rFonts w:ascii="Cambria" w:hAnsi="Cambria" w:cstheme="majorHAnsi"/>
          <w:color w:val="222222"/>
          <w:sz w:val="20"/>
          <w:szCs w:val="20"/>
        </w:rPr>
        <w:t>conformément à</w:t>
      </w:r>
      <w:r w:rsidRPr="00FC7395">
        <w:rPr>
          <w:rFonts w:ascii="Cambria" w:hAnsi="Cambria" w:cstheme="majorHAnsi"/>
          <w:color w:val="222222"/>
          <w:sz w:val="20"/>
          <w:szCs w:val="20"/>
        </w:rPr>
        <w:t xml:space="preserve"> la </w:t>
      </w:r>
      <w:hyperlink r:id="rId9" w:history="1">
        <w:r w:rsidR="00F32325" w:rsidRPr="00FC7395">
          <w:rPr>
            <w:rStyle w:val="Hyperlink"/>
            <w:rFonts w:ascii="Cambria" w:hAnsi="Cambria" w:cstheme="majorHAnsi"/>
            <w:i/>
            <w:iCs/>
            <w:sz w:val="20"/>
            <w:szCs w:val="20"/>
            <w:u w:val="none"/>
          </w:rPr>
          <w:t>Recommandation de l’ICCAT sur la conservation du requin océanique capturé en association avec les pêcheries dans la zone de la Convention de l’ICCAT</w:t>
        </w:r>
        <w:r w:rsidR="00F32325" w:rsidRPr="00FC7395">
          <w:rPr>
            <w:rStyle w:val="Hyperlink"/>
            <w:rFonts w:ascii="Cambria" w:hAnsi="Cambria" w:cstheme="majorHAnsi"/>
            <w:i/>
            <w:iCs/>
            <w:sz w:val="20"/>
            <w:szCs w:val="20"/>
            <w:u w:val="none"/>
          </w:rPr>
          <w:t xml:space="preserve"> </w:t>
        </w:r>
        <w:r w:rsidRPr="00FC7395">
          <w:rPr>
            <w:rStyle w:val="Hyperlink"/>
            <w:rFonts w:ascii="Cambria" w:hAnsi="Cambria" w:cstheme="majorHAnsi"/>
            <w:sz w:val="20"/>
            <w:szCs w:val="20"/>
            <w:u w:val="none"/>
          </w:rPr>
          <w:t>(Rec. 10-07)</w:t>
        </w:r>
      </w:hyperlink>
      <w:r w:rsidRPr="00FC7395">
        <w:rPr>
          <w:rFonts w:ascii="Cambria" w:hAnsi="Cambria" w:cstheme="majorHAnsi"/>
          <w:color w:val="222222"/>
          <w:sz w:val="20"/>
          <w:szCs w:val="20"/>
        </w:rPr>
        <w:t>, à la lumière de ses déclarations de débarquement de requins océaniques.</w:t>
      </w:r>
    </w:p>
    <w:p w14:paraId="77165536" w14:textId="77777777" w:rsidR="00833840" w:rsidRPr="00FC7395" w:rsidRDefault="00833840" w:rsidP="00240776">
      <w:pPr>
        <w:spacing w:after="0" w:line="240" w:lineRule="auto"/>
        <w:jc w:val="both"/>
        <w:rPr>
          <w:rFonts w:ascii="Cambria" w:eastAsia="Times New Roman" w:hAnsi="Cambria" w:cstheme="majorHAnsi"/>
          <w:color w:val="222222"/>
          <w:sz w:val="20"/>
          <w:szCs w:val="20"/>
        </w:rPr>
      </w:pPr>
    </w:p>
    <w:p w14:paraId="624C0692" w14:textId="6C01FAF9" w:rsidR="00816BDC" w:rsidRPr="00FC7395" w:rsidRDefault="00816BDC" w:rsidP="00816BDC">
      <w:pPr>
        <w:spacing w:after="0" w:line="240" w:lineRule="auto"/>
        <w:jc w:val="both"/>
        <w:rPr>
          <w:rFonts w:ascii="Cambria" w:eastAsia="Times New Roman" w:hAnsi="Cambria" w:cs="Times New Roman"/>
          <w:color w:val="222222"/>
          <w:sz w:val="20"/>
          <w:szCs w:val="20"/>
        </w:rPr>
      </w:pPr>
      <w:bookmarkStart w:id="2" w:name="_Hlk181565837"/>
      <w:bookmarkEnd w:id="1"/>
      <w:r w:rsidRPr="00FC7395">
        <w:rPr>
          <w:rFonts w:ascii="Cambria" w:hAnsi="Cambria"/>
          <w:b/>
          <w:i/>
          <w:iCs/>
          <w:color w:val="222222"/>
          <w:sz w:val="20"/>
        </w:rPr>
        <w:t>Réponse</w:t>
      </w:r>
      <w:r w:rsidR="00E408F0" w:rsidRPr="00FC7395">
        <w:rPr>
          <w:rFonts w:ascii="Cambria" w:hAnsi="Cambria"/>
          <w:b/>
          <w:color w:val="222222"/>
          <w:sz w:val="20"/>
        </w:rPr>
        <w:t> :</w:t>
      </w:r>
      <w:r w:rsidR="008C467B" w:rsidRPr="00FC7395">
        <w:rPr>
          <w:rFonts w:ascii="Cambria" w:hAnsi="Cambria"/>
          <w:b/>
          <w:color w:val="222222"/>
          <w:sz w:val="20"/>
        </w:rPr>
        <w:t xml:space="preserve"> </w:t>
      </w:r>
      <w:r w:rsidRPr="00FC7395">
        <w:rPr>
          <w:rFonts w:ascii="Cambria" w:hAnsi="Cambria"/>
          <w:color w:val="222222"/>
          <w:sz w:val="20"/>
        </w:rPr>
        <w:t>Conformément à l'engagement pris par le Mexique lors de la 24ème réunion extraordinaire de la Commission internationale pour la conservation des thonidés de l'Atlantique (ICCAT), qui s'est tenue à Limassol</w:t>
      </w:r>
      <w:r w:rsidR="000239A7" w:rsidRPr="00FC7395">
        <w:rPr>
          <w:rFonts w:ascii="Cambria" w:hAnsi="Cambria"/>
          <w:color w:val="222222"/>
          <w:sz w:val="20"/>
        </w:rPr>
        <w:t xml:space="preserve"> (</w:t>
      </w:r>
      <w:r w:rsidRPr="00FC7395">
        <w:rPr>
          <w:rFonts w:ascii="Cambria" w:hAnsi="Cambria"/>
          <w:color w:val="222222"/>
          <w:sz w:val="20"/>
        </w:rPr>
        <w:t>Chypre, du 11 au 18 novembre 2024</w:t>
      </w:r>
      <w:r w:rsidR="000239A7" w:rsidRPr="00FC7395">
        <w:rPr>
          <w:rFonts w:ascii="Cambria" w:hAnsi="Cambria"/>
          <w:color w:val="222222"/>
          <w:sz w:val="20"/>
        </w:rPr>
        <w:t>)</w:t>
      </w:r>
      <w:r w:rsidRPr="00FC7395">
        <w:rPr>
          <w:rFonts w:ascii="Cambria" w:hAnsi="Cambria"/>
          <w:color w:val="222222"/>
          <w:sz w:val="20"/>
        </w:rPr>
        <w:t>, les dispositions suivantes ont été établies :</w:t>
      </w:r>
    </w:p>
    <w:p w14:paraId="19A507C0" w14:textId="77777777" w:rsidR="00816BDC" w:rsidRPr="00FC7395" w:rsidRDefault="00816BDC" w:rsidP="00816BDC">
      <w:pPr>
        <w:spacing w:after="0" w:line="240" w:lineRule="auto"/>
        <w:jc w:val="both"/>
        <w:rPr>
          <w:rFonts w:ascii="Cambria" w:eastAsia="Times New Roman" w:hAnsi="Cambria" w:cs="Times New Roman"/>
          <w:color w:val="222222"/>
          <w:sz w:val="20"/>
          <w:szCs w:val="20"/>
        </w:rPr>
      </w:pPr>
    </w:p>
    <w:p w14:paraId="6B271C20" w14:textId="001F0FC5"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 </w:t>
      </w:r>
      <w:r w:rsidR="000239A7" w:rsidRPr="00FC7395">
        <w:rPr>
          <w:rFonts w:ascii="Cambria" w:hAnsi="Cambria"/>
          <w:color w:val="222222"/>
          <w:sz w:val="20"/>
        </w:rPr>
        <w:t xml:space="preserve">L’Accord </w:t>
      </w:r>
      <w:r w:rsidRPr="00FC7395">
        <w:rPr>
          <w:rFonts w:ascii="Cambria" w:hAnsi="Cambria"/>
          <w:color w:val="222222"/>
          <w:sz w:val="20"/>
        </w:rPr>
        <w:t xml:space="preserve">établissant diverses dispositions relatives à la pêche accidentelle de requins dans la pêcherie de thonidés par les grands palangriers dans le golfe du Mexique, la mer des Caraïbes et la zone de la Convention de la Commission internationale pour la conservation des thonidés de l’Atlantique (ICCAT) » a été publié le 2 octobre 2025 dans le Journal officiel de la </w:t>
      </w:r>
      <w:r w:rsidR="00B416C2" w:rsidRPr="00FC7395">
        <w:rPr>
          <w:rFonts w:ascii="Cambria" w:hAnsi="Cambria"/>
          <w:color w:val="222222"/>
          <w:sz w:val="20"/>
        </w:rPr>
        <w:t xml:space="preserve">Fédération </w:t>
      </w:r>
      <w:r w:rsidRPr="00FC7395">
        <w:rPr>
          <w:rFonts w:ascii="Cambria" w:hAnsi="Cambria"/>
          <w:color w:val="222222"/>
          <w:sz w:val="20"/>
        </w:rPr>
        <w:t>(DOF).</w:t>
      </w:r>
    </w:p>
    <w:p w14:paraId="566EED7C" w14:textId="77777777" w:rsidR="00816BDC" w:rsidRPr="00FC7395" w:rsidRDefault="00816BDC" w:rsidP="00816BDC">
      <w:pPr>
        <w:pStyle w:val="ListParagraph"/>
        <w:spacing w:after="0" w:line="240" w:lineRule="auto"/>
        <w:jc w:val="both"/>
        <w:rPr>
          <w:rFonts w:ascii="Cambria" w:eastAsia="Times New Roman" w:hAnsi="Cambria" w:cs="Times New Roman"/>
          <w:color w:val="222222"/>
          <w:sz w:val="20"/>
          <w:szCs w:val="20"/>
        </w:rPr>
      </w:pPr>
    </w:p>
    <w:p w14:paraId="7899A39B" w14:textId="2EDEA00E"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Cet instrument réglementaire de caractère contraignant renforce l’application nationale des Recommandations 09-07, 10-07 et 10-08, en garantissant leur respect intégral. Parmi ses principales dispositions, l’</w:t>
      </w:r>
      <w:r w:rsidR="00951856" w:rsidRPr="00FC7395">
        <w:rPr>
          <w:rFonts w:ascii="Cambria" w:hAnsi="Cambria"/>
          <w:color w:val="222222"/>
          <w:sz w:val="20"/>
        </w:rPr>
        <w:t>A</w:t>
      </w:r>
      <w:r w:rsidRPr="00FC7395">
        <w:rPr>
          <w:rFonts w:ascii="Cambria" w:hAnsi="Cambria"/>
          <w:color w:val="222222"/>
          <w:sz w:val="20"/>
        </w:rPr>
        <w:t>ccord interdit de retenir à bord, stocker, transborder et débarquer la totalité ou des parties de spécimens des espèces suivantes capturées de forme accidentelle dans la zone de la Convention de l’ICCAT :</w:t>
      </w:r>
    </w:p>
    <w:p w14:paraId="39267149" w14:textId="77777777" w:rsidR="00816BDC" w:rsidRPr="00FC7395" w:rsidRDefault="00816BDC" w:rsidP="00816BDC">
      <w:pPr>
        <w:pStyle w:val="ListParagraph"/>
        <w:spacing w:after="0" w:line="240" w:lineRule="auto"/>
        <w:rPr>
          <w:rFonts w:ascii="Cambria" w:eastAsia="Times New Roman" w:hAnsi="Cambria" w:cs="Times New Roman"/>
          <w:color w:val="222222"/>
          <w:sz w:val="20"/>
          <w:szCs w:val="20"/>
        </w:rPr>
      </w:pPr>
    </w:p>
    <w:p w14:paraId="12D4E0A7" w14:textId="77777777" w:rsidR="00816BDC" w:rsidRPr="00FC7395"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renard à gros yeux (</w:t>
      </w:r>
      <w:r w:rsidRPr="00FC7395">
        <w:rPr>
          <w:rFonts w:ascii="Cambria" w:hAnsi="Cambria"/>
          <w:i/>
          <w:color w:val="222222"/>
          <w:sz w:val="20"/>
        </w:rPr>
        <w:t>Alopias supercilliosus</w:t>
      </w:r>
      <w:r w:rsidRPr="00FC7395">
        <w:rPr>
          <w:rFonts w:ascii="Cambria" w:hAnsi="Cambria"/>
          <w:color w:val="222222"/>
          <w:sz w:val="20"/>
        </w:rPr>
        <w:t>).</w:t>
      </w:r>
    </w:p>
    <w:p w14:paraId="0BBB2610" w14:textId="77777777" w:rsidR="00816BDC" w:rsidRPr="00FC7395"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lastRenderedPageBreak/>
        <w:t>requin océanique (</w:t>
      </w:r>
      <w:r w:rsidRPr="00FC7395">
        <w:rPr>
          <w:rFonts w:ascii="Cambria" w:hAnsi="Cambria"/>
          <w:i/>
          <w:color w:val="222222"/>
          <w:sz w:val="20"/>
        </w:rPr>
        <w:t>Carcharhinus longimanus</w:t>
      </w:r>
      <w:r w:rsidRPr="00FC7395">
        <w:rPr>
          <w:rFonts w:ascii="Cambria" w:hAnsi="Cambria"/>
          <w:color w:val="222222"/>
          <w:sz w:val="20"/>
        </w:rPr>
        <w:t xml:space="preserve">), requins du genre Sphyrna (« requins marteau ») à l’exception de l’espèce </w:t>
      </w:r>
      <w:r w:rsidRPr="00FC7395">
        <w:rPr>
          <w:rFonts w:ascii="Cambria" w:hAnsi="Cambria"/>
          <w:i/>
          <w:iCs/>
          <w:color w:val="222222"/>
          <w:sz w:val="20"/>
        </w:rPr>
        <w:t>Sphyrna tiburo</w:t>
      </w:r>
      <w:r w:rsidRPr="00FC7395">
        <w:rPr>
          <w:rFonts w:ascii="Cambria" w:hAnsi="Cambria"/>
          <w:color w:val="222222"/>
          <w:sz w:val="20"/>
        </w:rPr>
        <w:t>.</w:t>
      </w:r>
    </w:p>
    <w:p w14:paraId="25AFDA8D" w14:textId="34CEF927" w:rsidR="00816BDC" w:rsidRPr="00FC7395" w:rsidRDefault="00816BDC" w:rsidP="001F164C">
      <w:pPr>
        <w:pStyle w:val="ListParagraph"/>
        <w:numPr>
          <w:ilvl w:val="1"/>
          <w:numId w:val="6"/>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requin soyeux (</w:t>
      </w:r>
      <w:r w:rsidRPr="00FC7395">
        <w:rPr>
          <w:rFonts w:ascii="Cambria" w:hAnsi="Cambria"/>
          <w:i/>
          <w:iCs/>
          <w:color w:val="222222"/>
          <w:sz w:val="20"/>
        </w:rPr>
        <w:t>Carcharhinus falciformis</w:t>
      </w:r>
      <w:r w:rsidRPr="00FC7395">
        <w:rPr>
          <w:rFonts w:ascii="Cambria" w:hAnsi="Cambria"/>
          <w:color w:val="222222"/>
          <w:sz w:val="20"/>
        </w:rPr>
        <w:t>), connu au Mexique sous le nom de « tiburón sedoso » ou « tiburón puntas negras »</w:t>
      </w:r>
      <w:r w:rsidR="00BA7207" w:rsidRPr="00FC7395">
        <w:rPr>
          <w:rFonts w:ascii="Cambria" w:hAnsi="Cambria"/>
          <w:color w:val="222222"/>
          <w:sz w:val="20"/>
        </w:rPr>
        <w:t>.</w:t>
      </w:r>
    </w:p>
    <w:p w14:paraId="6660298A" w14:textId="77777777" w:rsidR="00816BDC" w:rsidRPr="00FC7395" w:rsidRDefault="00816BDC" w:rsidP="00816BDC">
      <w:pPr>
        <w:pStyle w:val="ListParagraph"/>
        <w:spacing w:after="0" w:line="240" w:lineRule="auto"/>
        <w:ind w:left="1440"/>
        <w:jc w:val="both"/>
        <w:rPr>
          <w:rFonts w:ascii="Cambria" w:eastAsia="Times New Roman" w:hAnsi="Cambria" w:cs="Times New Roman"/>
          <w:color w:val="222222"/>
          <w:sz w:val="20"/>
          <w:szCs w:val="20"/>
        </w:rPr>
      </w:pPr>
    </w:p>
    <w:p w14:paraId="12267691" w14:textId="77777777"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En outre, l’Accord stipule que les spécimens de requins indiqués dans l’Accord, ainsi que d’autres espèces non ciblées faisant l’objet d’un régime de protection spécial, qui sont capturés devront être remis à l’eau dans les meilleures conditions de survie, renforçant ainsi les mesures de conservation et de durabilité de la pêche.</w:t>
      </w:r>
    </w:p>
    <w:p w14:paraId="689F4D93" w14:textId="77777777" w:rsidR="00816BDC" w:rsidRPr="00FC7395" w:rsidRDefault="00816BDC" w:rsidP="00816BDC">
      <w:pPr>
        <w:pStyle w:val="ListParagraph"/>
        <w:spacing w:after="0" w:line="240" w:lineRule="auto"/>
        <w:jc w:val="both"/>
        <w:rPr>
          <w:rFonts w:ascii="Cambria" w:eastAsia="Times New Roman" w:hAnsi="Cambria" w:cs="Times New Roman"/>
          <w:color w:val="222222"/>
          <w:sz w:val="20"/>
          <w:szCs w:val="20"/>
        </w:rPr>
      </w:pPr>
    </w:p>
    <w:p w14:paraId="426FE362" w14:textId="510A03CB"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 xml:space="preserve">Ces dispositions sont obligatoires pour les titulaires de concessions et de permis de pêche, ainsi que pour les capitaines ou patrons de pêche, </w:t>
      </w:r>
      <w:r w:rsidR="00885FF1" w:rsidRPr="00FC7395">
        <w:rPr>
          <w:rFonts w:ascii="Cambria" w:hAnsi="Cambria"/>
          <w:color w:val="222222"/>
          <w:sz w:val="20"/>
        </w:rPr>
        <w:t>mécaniciens</w:t>
      </w:r>
      <w:r w:rsidRPr="00FC7395">
        <w:rPr>
          <w:rFonts w:ascii="Cambria" w:hAnsi="Cambria"/>
          <w:color w:val="222222"/>
          <w:sz w:val="20"/>
        </w:rPr>
        <w:t xml:space="preserve"> ou opérateurs, pêcheurs et </w:t>
      </w:r>
      <w:r w:rsidR="00885FF1" w:rsidRPr="00FC7395">
        <w:rPr>
          <w:rFonts w:ascii="Cambria" w:hAnsi="Cambria"/>
          <w:color w:val="222222"/>
          <w:sz w:val="20"/>
        </w:rPr>
        <w:t>membres de l’</w:t>
      </w:r>
      <w:r w:rsidRPr="00FC7395">
        <w:rPr>
          <w:rFonts w:ascii="Cambria" w:hAnsi="Cambria"/>
          <w:color w:val="222222"/>
          <w:sz w:val="20"/>
        </w:rPr>
        <w:t>équipage de ces navires et autres personnes réalisant des activités de pêche de thonidés dans les eaux relevant de la juridiction fédérale du Mexique du golfe du Mexique, de la mer des Caraïbes et de la zone de la Convention de la Commission internationale pour la conservation des thonidés de l’Atlantique (ICCAT).</w:t>
      </w:r>
    </w:p>
    <w:p w14:paraId="5972FE6B" w14:textId="77777777" w:rsidR="00816BDC" w:rsidRPr="00FC7395" w:rsidRDefault="00816BDC" w:rsidP="00816BDC">
      <w:pPr>
        <w:pStyle w:val="ListParagraph"/>
        <w:spacing w:after="0" w:line="240" w:lineRule="auto"/>
        <w:rPr>
          <w:rFonts w:ascii="Cambria" w:eastAsia="Times New Roman" w:hAnsi="Cambria" w:cs="Times New Roman"/>
          <w:color w:val="222222"/>
          <w:sz w:val="20"/>
          <w:szCs w:val="20"/>
        </w:rPr>
      </w:pPr>
    </w:p>
    <w:p w14:paraId="2B972437" w14:textId="77777777"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De plus, il prévoit que les personnes qui ne respectent pas ces dispositions sont passibles des sanctions établies dans la Loi générale sur la pêche et l'aquaculture durables ainsi que dans les autres dispositions juridiques applicables.</w:t>
      </w:r>
    </w:p>
    <w:p w14:paraId="6055278C" w14:textId="77777777" w:rsidR="00816BDC" w:rsidRPr="00FC7395" w:rsidRDefault="00816BDC" w:rsidP="00816BDC">
      <w:pPr>
        <w:pStyle w:val="ListParagraph"/>
        <w:spacing w:after="0" w:line="240" w:lineRule="auto"/>
        <w:rPr>
          <w:rFonts w:ascii="Cambria" w:eastAsia="Times New Roman" w:hAnsi="Cambria" w:cs="Times New Roman"/>
          <w:color w:val="222222"/>
          <w:sz w:val="20"/>
          <w:szCs w:val="20"/>
        </w:rPr>
      </w:pPr>
    </w:p>
    <w:p w14:paraId="3DDB1055" w14:textId="77777777"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Le respect du présent Accord est contrôlé par le ministère de l'agriculture et du développement rural (agriculture), par l'intermédiaire de la CONAPESCA, ainsi que par le ministère de la marine, dans le cadre de leurs compétences respectives.</w:t>
      </w:r>
    </w:p>
    <w:p w14:paraId="180E6AFE" w14:textId="77777777" w:rsidR="00816BDC" w:rsidRPr="00FC7395" w:rsidRDefault="00816BDC" w:rsidP="00816BDC">
      <w:pPr>
        <w:pStyle w:val="ListParagraph"/>
        <w:spacing w:after="0" w:line="240" w:lineRule="auto"/>
        <w:rPr>
          <w:rFonts w:ascii="Cambria" w:eastAsia="Times New Roman" w:hAnsi="Cambria" w:cs="Times New Roman"/>
          <w:color w:val="222222"/>
          <w:sz w:val="20"/>
          <w:szCs w:val="20"/>
        </w:rPr>
      </w:pPr>
    </w:p>
    <w:p w14:paraId="7C2B4B24" w14:textId="77777777" w:rsidR="00816BDC" w:rsidRPr="00FC7395" w:rsidRDefault="00816BDC" w:rsidP="001F164C">
      <w:pPr>
        <w:pStyle w:val="ListParagraph"/>
        <w:numPr>
          <w:ilvl w:val="0"/>
          <w:numId w:val="6"/>
        </w:numPr>
        <w:spacing w:after="0" w:line="240" w:lineRule="auto"/>
        <w:ind w:left="851" w:hanging="425"/>
        <w:jc w:val="both"/>
        <w:rPr>
          <w:rFonts w:ascii="Cambria" w:eastAsia="Times New Roman" w:hAnsi="Cambria" w:cs="Times New Roman"/>
          <w:color w:val="222222"/>
          <w:sz w:val="20"/>
          <w:szCs w:val="20"/>
        </w:rPr>
      </w:pPr>
      <w:r w:rsidRPr="00FC7395">
        <w:rPr>
          <w:rFonts w:ascii="Cambria" w:hAnsi="Cambria"/>
          <w:color w:val="222222"/>
          <w:sz w:val="20"/>
        </w:rPr>
        <w:t xml:space="preserve">En plus de ce qui précède, et comme cela a déjà été dit à plusieurs reprises, le Mexique dispose, entre autres, des instruments réglementaires suivants en matière de gestion et de protection des requins : </w:t>
      </w:r>
    </w:p>
    <w:p w14:paraId="23EE9F1D" w14:textId="77777777" w:rsidR="00816BDC" w:rsidRPr="00FC7395" w:rsidRDefault="00816BDC" w:rsidP="00816BDC">
      <w:pPr>
        <w:pStyle w:val="ListParagraph"/>
        <w:spacing w:after="0" w:line="240" w:lineRule="auto"/>
        <w:rPr>
          <w:rFonts w:ascii="Cambria" w:eastAsia="Times New Roman" w:hAnsi="Cambria" w:cs="Times New Roman"/>
          <w:color w:val="222222"/>
          <w:sz w:val="20"/>
          <w:szCs w:val="20"/>
        </w:rPr>
      </w:pPr>
    </w:p>
    <w:p w14:paraId="145AD8E8" w14:textId="568BBB3D" w:rsidR="00816BDC" w:rsidRPr="00FC7395"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 xml:space="preserve">Norme officielle mexicaine NOM-029-PESC-2006, Pêche responsable de requins et de raies. Spécifications pour </w:t>
      </w:r>
      <w:r w:rsidR="00265FFB" w:rsidRPr="00FC7395">
        <w:rPr>
          <w:rFonts w:ascii="Cambria" w:hAnsi="Cambria"/>
          <w:color w:val="222222"/>
          <w:sz w:val="20"/>
        </w:rPr>
        <w:t>leur</w:t>
      </w:r>
      <w:r w:rsidRPr="00FC7395">
        <w:rPr>
          <w:rFonts w:ascii="Cambria" w:hAnsi="Cambria"/>
          <w:color w:val="222222"/>
          <w:sz w:val="20"/>
        </w:rPr>
        <w:t xml:space="preserve"> </w:t>
      </w:r>
      <w:r w:rsidR="0018692A" w:rsidRPr="00FC7395">
        <w:rPr>
          <w:rFonts w:ascii="Cambria" w:hAnsi="Cambria"/>
          <w:color w:val="222222"/>
          <w:sz w:val="20"/>
        </w:rPr>
        <w:t>exploitation</w:t>
      </w:r>
      <w:r w:rsidRPr="00FC7395">
        <w:rPr>
          <w:rFonts w:ascii="Cambria" w:hAnsi="Cambria"/>
          <w:color w:val="222222"/>
          <w:sz w:val="20"/>
        </w:rPr>
        <w:t>.</w:t>
      </w:r>
    </w:p>
    <w:p w14:paraId="7C3FE6B0" w14:textId="77777777" w:rsidR="00816BDC" w:rsidRPr="00FC7395"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Périodes de fermeture pour les requins et les raies dans le golfe du Mexique.</w:t>
      </w:r>
    </w:p>
    <w:p w14:paraId="3A81E6CC" w14:textId="77777777" w:rsidR="00816BDC" w:rsidRPr="00FC7395"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Plan de gestion de la pêche des requins et des raies dans le golfe du Mexique et la mer des Caraïbes.</w:t>
      </w:r>
    </w:p>
    <w:p w14:paraId="247FF980" w14:textId="77777777" w:rsidR="00816BDC" w:rsidRPr="00FC7395" w:rsidRDefault="00816BDC" w:rsidP="001F164C">
      <w:pPr>
        <w:pStyle w:val="ListParagraph"/>
        <w:numPr>
          <w:ilvl w:val="0"/>
          <w:numId w:val="7"/>
        </w:numPr>
        <w:spacing w:after="0" w:line="240" w:lineRule="auto"/>
        <w:ind w:left="1276" w:hanging="425"/>
        <w:jc w:val="both"/>
        <w:rPr>
          <w:rFonts w:ascii="Cambria" w:eastAsia="Times New Roman" w:hAnsi="Cambria" w:cs="Times New Roman"/>
          <w:color w:val="222222"/>
          <w:sz w:val="20"/>
          <w:szCs w:val="20"/>
        </w:rPr>
      </w:pPr>
      <w:r w:rsidRPr="00FC7395">
        <w:rPr>
          <w:rFonts w:ascii="Cambria" w:hAnsi="Cambria"/>
          <w:color w:val="222222"/>
          <w:sz w:val="20"/>
        </w:rPr>
        <w:t>Plan d'action national pour la gestion et la conservation des requins, des raies et des espèces apparentées au Mexique (PANMCT, deuxième édition).</w:t>
      </w:r>
    </w:p>
    <w:p w14:paraId="5C9371B9" w14:textId="77777777" w:rsidR="00816BDC" w:rsidRPr="00FC7395" w:rsidRDefault="00816BDC" w:rsidP="001F164C">
      <w:pPr>
        <w:spacing w:after="0" w:line="240" w:lineRule="auto"/>
        <w:jc w:val="both"/>
        <w:rPr>
          <w:rFonts w:ascii="Cambria" w:eastAsia="Times New Roman" w:hAnsi="Cambria" w:cs="Times New Roman"/>
          <w:color w:val="222222"/>
          <w:sz w:val="20"/>
          <w:szCs w:val="20"/>
        </w:rPr>
      </w:pPr>
    </w:p>
    <w:p w14:paraId="1F7EB853" w14:textId="21E7BFF9" w:rsidR="00816BDC" w:rsidRPr="00FC7395" w:rsidRDefault="00816BDC" w:rsidP="00816BDC">
      <w:pPr>
        <w:spacing w:after="0" w:line="240" w:lineRule="auto"/>
        <w:jc w:val="both"/>
        <w:rPr>
          <w:rFonts w:ascii="Cambria" w:eastAsia="Times New Roman" w:hAnsi="Cambria" w:cs="Times New Roman"/>
          <w:color w:val="222222"/>
          <w:sz w:val="20"/>
          <w:szCs w:val="20"/>
        </w:rPr>
      </w:pPr>
      <w:r w:rsidRPr="00FC7395">
        <w:rPr>
          <w:rFonts w:ascii="Cambria" w:hAnsi="Cambria"/>
          <w:color w:val="222222"/>
          <w:sz w:val="20"/>
        </w:rPr>
        <w:t xml:space="preserve">Ce qui précède confirme l'engagement ferme du Mexique à respecter </w:t>
      </w:r>
      <w:r w:rsidR="00F44023" w:rsidRPr="00FC7395">
        <w:rPr>
          <w:rFonts w:ascii="Cambria" w:hAnsi="Cambria"/>
          <w:color w:val="222222"/>
          <w:sz w:val="20"/>
        </w:rPr>
        <w:t xml:space="preserve">strictement </w:t>
      </w:r>
      <w:r w:rsidRPr="00FC7395">
        <w:rPr>
          <w:rFonts w:ascii="Cambria" w:hAnsi="Cambria"/>
          <w:color w:val="222222"/>
          <w:sz w:val="20"/>
        </w:rPr>
        <w:t>les obligations internationales en matière de conservation et de gestion responsable des espèces de grands migrateurs, notamment de l’ICCAT, et continue à renforcer les mécanismes nationaux visant à garantir la traçabilité, la provenance légale et la durabilité des pêcheries relevant de sa juridiction.</w:t>
      </w:r>
    </w:p>
    <w:p w14:paraId="093B33BF" w14:textId="77777777" w:rsidR="00240776" w:rsidRPr="00FC7395" w:rsidRDefault="00240776" w:rsidP="00240776">
      <w:pPr>
        <w:spacing w:after="0" w:line="240" w:lineRule="auto"/>
        <w:jc w:val="both"/>
        <w:rPr>
          <w:rFonts w:ascii="Cambria" w:eastAsia="Times New Roman" w:hAnsi="Cambria" w:cstheme="majorHAnsi"/>
          <w:b/>
          <w:bCs/>
          <w:color w:val="222222"/>
          <w:sz w:val="20"/>
          <w:szCs w:val="20"/>
        </w:rPr>
      </w:pPr>
    </w:p>
    <w:p w14:paraId="214FC6EC" w14:textId="580C87B6" w:rsidR="00F44023" w:rsidRPr="00FC7395" w:rsidRDefault="00F44023" w:rsidP="00F44023">
      <w:pPr>
        <w:spacing w:after="0" w:line="240" w:lineRule="auto"/>
        <w:jc w:val="both"/>
        <w:rPr>
          <w:rFonts w:ascii="Cambria" w:eastAsia="Times New Roman" w:hAnsi="Cambria" w:cstheme="majorHAnsi"/>
          <w:b/>
          <w:bCs/>
          <w:color w:val="222222"/>
          <w:sz w:val="20"/>
          <w:szCs w:val="20"/>
        </w:rPr>
      </w:pPr>
      <w:r w:rsidRPr="00FC7395">
        <w:rPr>
          <w:rFonts w:ascii="Cambria" w:hAnsi="Cambria" w:cstheme="majorHAnsi"/>
          <w:b/>
          <w:color w:val="222222"/>
          <w:sz w:val="20"/>
          <w:szCs w:val="20"/>
        </w:rPr>
        <w:t xml:space="preserve">A l’attention </w:t>
      </w:r>
      <w:r w:rsidRPr="00FC7395">
        <w:rPr>
          <w:rFonts w:ascii="Cambria" w:hAnsi="Cambria" w:cstheme="majorHAnsi"/>
          <w:b/>
          <w:color w:val="222222"/>
          <w:sz w:val="20"/>
          <w:szCs w:val="20"/>
        </w:rPr>
        <w:t>de la Namibie</w:t>
      </w:r>
      <w:r w:rsidR="00021AC4" w:rsidRPr="00FC7395">
        <w:rPr>
          <w:rFonts w:ascii="Cambria" w:hAnsi="Cambria" w:cstheme="majorHAnsi"/>
          <w:b/>
          <w:color w:val="222222"/>
          <w:sz w:val="20"/>
          <w:szCs w:val="20"/>
        </w:rPr>
        <w:t> :</w:t>
      </w:r>
    </w:p>
    <w:p w14:paraId="17C951B2" w14:textId="77777777" w:rsidR="00F44023" w:rsidRPr="00FC7395" w:rsidRDefault="00F44023" w:rsidP="00240776">
      <w:pPr>
        <w:spacing w:after="0" w:line="240" w:lineRule="auto"/>
        <w:jc w:val="both"/>
        <w:rPr>
          <w:rFonts w:ascii="Cambria" w:eastAsia="Times New Roman" w:hAnsi="Cambria" w:cstheme="majorHAnsi"/>
          <w:b/>
          <w:bCs/>
          <w:color w:val="222222"/>
          <w:sz w:val="20"/>
          <w:szCs w:val="20"/>
        </w:rPr>
      </w:pPr>
    </w:p>
    <w:p w14:paraId="46B218BF" w14:textId="6E6BAC18" w:rsidR="00DE003E" w:rsidRPr="00FC7395" w:rsidRDefault="00C06B4A" w:rsidP="00240776">
      <w:pPr>
        <w:spacing w:after="0" w:line="240" w:lineRule="auto"/>
        <w:jc w:val="both"/>
        <w:rPr>
          <w:rFonts w:ascii="Cambria" w:eastAsia="Times New Roman" w:hAnsi="Cambria" w:cstheme="majorHAnsi"/>
          <w:color w:val="222222"/>
          <w:sz w:val="20"/>
          <w:szCs w:val="20"/>
        </w:rPr>
      </w:pPr>
      <w:r w:rsidRPr="00FC7395">
        <w:rPr>
          <w:rFonts w:ascii="Cambria" w:hAnsi="Cambria" w:cstheme="majorHAnsi"/>
          <w:color w:val="222222"/>
          <w:sz w:val="20"/>
          <w:szCs w:val="20"/>
        </w:rPr>
        <w:t>La Namibie pourrait</w:t>
      </w:r>
      <w:r w:rsidR="00F44023" w:rsidRPr="00FC7395">
        <w:rPr>
          <w:rFonts w:ascii="Cambria" w:hAnsi="Cambria" w:cstheme="majorHAnsi"/>
          <w:color w:val="222222"/>
          <w:sz w:val="20"/>
          <w:szCs w:val="20"/>
        </w:rPr>
        <w:t>-elle</w:t>
      </w:r>
      <w:r w:rsidRPr="00FC7395">
        <w:rPr>
          <w:rFonts w:ascii="Cambria" w:hAnsi="Cambria" w:cstheme="majorHAnsi"/>
          <w:color w:val="222222"/>
          <w:sz w:val="20"/>
          <w:szCs w:val="20"/>
        </w:rPr>
        <w:t xml:space="preserve"> expliquer comment elle met en œuvre et respecte la limite de débarquement pour le requin-taupe bleu de l'Atlantique Sud </w:t>
      </w:r>
      <w:r w:rsidR="00F44023" w:rsidRPr="00FC7395">
        <w:rPr>
          <w:rFonts w:ascii="Cambria" w:hAnsi="Cambria" w:cstheme="majorHAnsi"/>
          <w:color w:val="222222"/>
          <w:sz w:val="20"/>
          <w:szCs w:val="20"/>
        </w:rPr>
        <w:t>conformément à</w:t>
      </w:r>
      <w:r w:rsidRPr="00FC7395">
        <w:rPr>
          <w:rFonts w:ascii="Cambria" w:hAnsi="Cambria" w:cstheme="majorHAnsi"/>
          <w:color w:val="222222"/>
          <w:sz w:val="20"/>
          <w:szCs w:val="20"/>
        </w:rPr>
        <w:t xml:space="preserve"> la </w:t>
      </w:r>
      <w:hyperlink r:id="rId10" w:history="1">
        <w:r w:rsidRPr="00FC7395">
          <w:rPr>
            <w:rStyle w:val="Hyperlink"/>
            <w:rFonts w:ascii="Cambria" w:hAnsi="Cambria" w:cstheme="majorHAnsi"/>
            <w:i/>
            <w:iCs/>
            <w:sz w:val="20"/>
            <w:szCs w:val="20"/>
            <w:u w:val="none"/>
          </w:rPr>
          <w:t>Recommandation de l’ICCAT sur la conservation du stock de requin-taupe bleu de l'Atlantique Sud capturé en association avec les pêcheries de l’ICCAT</w:t>
        </w:r>
        <w:r w:rsidRPr="00FC7395">
          <w:rPr>
            <w:rStyle w:val="Hyperlink"/>
            <w:rFonts w:ascii="Cambria" w:hAnsi="Cambria" w:cstheme="majorHAnsi"/>
            <w:sz w:val="20"/>
            <w:szCs w:val="20"/>
            <w:u w:val="none"/>
          </w:rPr>
          <w:t xml:space="preserve"> (Rec. 22-11)</w:t>
        </w:r>
      </w:hyperlink>
      <w:r w:rsidRPr="00FC7395">
        <w:rPr>
          <w:rFonts w:ascii="Cambria" w:hAnsi="Cambria" w:cstheme="majorHAnsi"/>
          <w:color w:val="222222"/>
          <w:sz w:val="20"/>
          <w:szCs w:val="20"/>
        </w:rPr>
        <w:t xml:space="preserve">, compte tenu de ses débarquements excédentaires déclarés pour 2023. </w:t>
      </w:r>
    </w:p>
    <w:bookmarkEnd w:id="2"/>
    <w:p w14:paraId="396C4349" w14:textId="77777777" w:rsidR="00DE003E" w:rsidRPr="00FC7395" w:rsidRDefault="00DE003E" w:rsidP="00240776">
      <w:pPr>
        <w:spacing w:after="0" w:line="240" w:lineRule="auto"/>
        <w:jc w:val="both"/>
        <w:rPr>
          <w:rFonts w:ascii="Cambria" w:eastAsia="Times New Roman" w:hAnsi="Cambria" w:cstheme="majorHAnsi"/>
          <w:color w:val="222222"/>
          <w:sz w:val="20"/>
          <w:szCs w:val="20"/>
        </w:rPr>
      </w:pPr>
    </w:p>
    <w:p w14:paraId="73320ECD" w14:textId="5A10D3CC" w:rsidR="00947ED5" w:rsidRPr="00FC7395" w:rsidRDefault="00816BDC" w:rsidP="00240776">
      <w:pPr>
        <w:spacing w:after="0" w:line="240" w:lineRule="auto"/>
        <w:jc w:val="both"/>
        <w:rPr>
          <w:rFonts w:ascii="Cambria" w:eastAsia="Times New Roman" w:hAnsi="Cambria" w:cstheme="majorHAnsi"/>
          <w:b/>
          <w:bCs/>
          <w:color w:val="222222"/>
          <w:sz w:val="20"/>
          <w:szCs w:val="20"/>
        </w:rPr>
      </w:pPr>
      <w:bookmarkStart w:id="3" w:name="_Hlk181566323"/>
      <w:r w:rsidRPr="00FC7395">
        <w:rPr>
          <w:rFonts w:ascii="Cambria" w:hAnsi="Cambria" w:cstheme="majorHAnsi"/>
          <w:b/>
          <w:color w:val="222222"/>
          <w:sz w:val="20"/>
          <w:szCs w:val="20"/>
        </w:rPr>
        <w:t xml:space="preserve">A l’attention du </w:t>
      </w:r>
      <w:r w:rsidR="00947ED5" w:rsidRPr="00FC7395">
        <w:rPr>
          <w:rFonts w:ascii="Cambria" w:hAnsi="Cambria" w:cstheme="majorHAnsi"/>
          <w:b/>
          <w:color w:val="222222"/>
          <w:sz w:val="20"/>
          <w:szCs w:val="20"/>
        </w:rPr>
        <w:t>Sénégal</w:t>
      </w:r>
      <w:r w:rsidR="00E408F0" w:rsidRPr="00FC7395">
        <w:rPr>
          <w:rFonts w:ascii="Cambria" w:hAnsi="Cambria" w:cstheme="majorHAnsi"/>
          <w:b/>
          <w:color w:val="222222"/>
          <w:sz w:val="20"/>
          <w:szCs w:val="20"/>
        </w:rPr>
        <w:t> :</w:t>
      </w:r>
    </w:p>
    <w:p w14:paraId="0878B51B" w14:textId="77777777" w:rsidR="00240776" w:rsidRPr="00FC7395" w:rsidRDefault="00240776" w:rsidP="00240776">
      <w:pPr>
        <w:spacing w:after="0" w:line="240" w:lineRule="auto"/>
        <w:jc w:val="both"/>
        <w:rPr>
          <w:rFonts w:ascii="Cambria" w:eastAsia="Times New Roman" w:hAnsi="Cambria" w:cstheme="majorHAnsi"/>
          <w:b/>
          <w:bCs/>
          <w:color w:val="222222"/>
          <w:sz w:val="20"/>
          <w:szCs w:val="20"/>
        </w:rPr>
      </w:pPr>
    </w:p>
    <w:bookmarkEnd w:id="3"/>
    <w:p w14:paraId="5ECDFF06" w14:textId="0BC28EE7" w:rsidR="00E20958" w:rsidRPr="009A0416" w:rsidRDefault="00C06B4A" w:rsidP="00240776">
      <w:pPr>
        <w:spacing w:after="0" w:line="240" w:lineRule="auto"/>
        <w:jc w:val="both"/>
        <w:rPr>
          <w:rFonts w:ascii="Cambria" w:eastAsia="Times New Roman" w:hAnsi="Cambria" w:cstheme="majorHAnsi"/>
          <w:color w:val="222222"/>
          <w:sz w:val="20"/>
          <w:szCs w:val="20"/>
        </w:rPr>
      </w:pPr>
      <w:r w:rsidRPr="00FC7395">
        <w:rPr>
          <w:rFonts w:ascii="Cambria" w:hAnsi="Cambria" w:cstheme="majorHAnsi"/>
          <w:color w:val="222222"/>
          <w:sz w:val="20"/>
          <w:szCs w:val="20"/>
        </w:rPr>
        <w:t>Le Sénégal pourrait</w:t>
      </w:r>
      <w:r w:rsidR="00F44023" w:rsidRPr="00FC7395">
        <w:rPr>
          <w:rFonts w:ascii="Cambria" w:hAnsi="Cambria" w:cstheme="majorHAnsi"/>
          <w:color w:val="222222"/>
          <w:sz w:val="20"/>
          <w:szCs w:val="20"/>
        </w:rPr>
        <w:t>-il</w:t>
      </w:r>
      <w:r w:rsidRPr="00FC7395">
        <w:rPr>
          <w:rFonts w:ascii="Cambria" w:hAnsi="Cambria" w:cstheme="majorHAnsi"/>
          <w:color w:val="222222"/>
          <w:sz w:val="20"/>
          <w:szCs w:val="20"/>
        </w:rPr>
        <w:t xml:space="preserve"> expliquer comment il applique la limite de </w:t>
      </w:r>
      <w:r w:rsidR="00364A73" w:rsidRPr="00FC7395">
        <w:rPr>
          <w:rFonts w:ascii="Cambria" w:hAnsi="Cambria" w:cstheme="majorHAnsi"/>
          <w:color w:val="222222"/>
          <w:sz w:val="20"/>
          <w:szCs w:val="20"/>
        </w:rPr>
        <w:t>longueur</w:t>
      </w:r>
      <w:r w:rsidRPr="00FC7395">
        <w:rPr>
          <w:rFonts w:ascii="Cambria" w:hAnsi="Cambria" w:cstheme="majorHAnsi"/>
          <w:color w:val="222222"/>
          <w:sz w:val="20"/>
          <w:szCs w:val="20"/>
        </w:rPr>
        <w:t xml:space="preserve"> pour l'inscription au registre ICCAT des navires autorisés pour ses navires pirogues.</w:t>
      </w:r>
    </w:p>
    <w:sectPr w:rsidR="00E20958" w:rsidRPr="009A0416"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156F" w14:textId="77777777" w:rsidR="00EB2E40" w:rsidRDefault="00EB2E40" w:rsidP="00175D7F">
      <w:pPr>
        <w:spacing w:after="0" w:line="240" w:lineRule="auto"/>
      </w:pPr>
      <w:r>
        <w:separator/>
      </w:r>
    </w:p>
  </w:endnote>
  <w:endnote w:type="continuationSeparator" w:id="0">
    <w:p w14:paraId="34D8CF51" w14:textId="77777777" w:rsidR="00EB2E40" w:rsidRDefault="00EB2E40"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rPr>
      <w:fldChar w:fldCharType="begin"/>
    </w:r>
    <w:r w:rsidRPr="00DF5B9A">
      <w:rPr>
        <w:rFonts w:ascii="Cambria" w:eastAsia="Calibri" w:hAnsi="Cambria" w:cs="Calibri"/>
        <w:sz w:val="20"/>
      </w:rPr>
      <w:instrText xml:space="preserve"> PAGE </w:instrText>
    </w:r>
    <w:r w:rsidRPr="00DF5B9A">
      <w:rPr>
        <w:rFonts w:ascii="Cambria" w:eastAsia="Calibri" w:hAnsi="Cambria" w:cs="Calibri"/>
        <w:sz w:val="20"/>
      </w:rPr>
      <w:fldChar w:fldCharType="separate"/>
    </w:r>
    <w:r w:rsidRPr="00DF5B9A">
      <w:rPr>
        <w:rFonts w:ascii="Cambria" w:eastAsia="Calibri" w:hAnsi="Cambria" w:cs="Calibri"/>
        <w:sz w:val="20"/>
      </w:rPr>
      <w:t>1</w:t>
    </w:r>
    <w:r w:rsidRPr="00DF5B9A">
      <w:rPr>
        <w:rFonts w:ascii="Cambria" w:eastAsia="Calibri" w:hAnsi="Cambria" w:cs="Calibri"/>
        <w:sz w:val="20"/>
      </w:rPr>
      <w:fldChar w:fldCharType="end"/>
    </w:r>
    <w:r>
      <w:rPr>
        <w:rFonts w:ascii="Cambria" w:hAnsi="Cambria"/>
        <w:sz w:val="20"/>
      </w:rPr>
      <w:t xml:space="preserve"> / </w:t>
    </w:r>
    <w:r w:rsidRPr="00DF5B9A">
      <w:rPr>
        <w:rFonts w:ascii="Cambria" w:eastAsia="Calibri" w:hAnsi="Cambria" w:cs="Calibri"/>
        <w:sz w:val="20"/>
      </w:rPr>
      <w:fldChar w:fldCharType="begin"/>
    </w:r>
    <w:r w:rsidRPr="00DF5B9A">
      <w:rPr>
        <w:rFonts w:ascii="Cambria" w:eastAsia="Calibri" w:hAnsi="Cambria" w:cs="Calibri"/>
        <w:sz w:val="20"/>
      </w:rPr>
      <w:instrText xml:space="preserve"> NUMPAGES  </w:instrText>
    </w:r>
    <w:r w:rsidRPr="00DF5B9A">
      <w:rPr>
        <w:rFonts w:ascii="Cambria" w:eastAsia="Calibri" w:hAnsi="Cambria" w:cs="Calibri"/>
        <w:sz w:val="20"/>
      </w:rPr>
      <w:fldChar w:fldCharType="separate"/>
    </w:r>
    <w:r w:rsidRPr="00DF5B9A">
      <w:rPr>
        <w:rFonts w:ascii="Cambria" w:eastAsia="Calibri" w:hAnsi="Cambria" w:cs="Calibri"/>
        <w:sz w:val="20"/>
      </w:rPr>
      <w:t>8</w:t>
    </w:r>
    <w:r w:rsidRPr="00DF5B9A">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FFA1" w14:textId="77777777" w:rsidR="00EB2E40" w:rsidRDefault="00EB2E40" w:rsidP="00175D7F">
      <w:pPr>
        <w:spacing w:after="0" w:line="240" w:lineRule="auto"/>
      </w:pPr>
      <w:r>
        <w:separator/>
      </w:r>
    </w:p>
  </w:footnote>
  <w:footnote w:type="continuationSeparator" w:id="0">
    <w:p w14:paraId="1EBDA4EC" w14:textId="77777777" w:rsidR="00EB2E40" w:rsidRDefault="00EB2E40"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5D6E3C48"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COC_306/2025</w:t>
    </w:r>
  </w:p>
  <w:p w14:paraId="09F66D9A" w14:textId="31E2485F" w:rsidR="00175D7F" w:rsidRDefault="00175D7F" w:rsidP="00127313">
    <w:pPr>
      <w:tabs>
        <w:tab w:val="left" w:pos="7320"/>
      </w:tabs>
      <w:spacing w:after="0" w:line="240" w:lineRule="atLeas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A169D3">
      <w:rPr>
        <w:rFonts w:ascii="Cambria" w:hAnsi="Cambria"/>
        <w:b/>
        <w:noProof/>
        <w:sz w:val="16"/>
      </w:rPr>
      <w:t>06/11/2025 11:01</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9E1"/>
    <w:multiLevelType w:val="hybridMultilevel"/>
    <w:tmpl w:val="5FBC1FB4"/>
    <w:lvl w:ilvl="0" w:tplc="D4CAFA48">
      <w:numFmt w:val="bullet"/>
      <w:lvlText w:val="–"/>
      <w:lvlJc w:val="left"/>
      <w:pPr>
        <w:ind w:left="720" w:hanging="360"/>
      </w:pPr>
      <w:rPr>
        <w:rFonts w:ascii="Cambria" w:eastAsia="MS Gothic" w:hAnsi="Cambria"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1E2320"/>
    <w:multiLevelType w:val="hybridMultilevel"/>
    <w:tmpl w:val="57F24B1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28403">
    <w:abstractNumId w:val="3"/>
  </w:num>
  <w:num w:numId="2" w16cid:durableId="674965872">
    <w:abstractNumId w:val="6"/>
  </w:num>
  <w:num w:numId="3" w16cid:durableId="1484351839">
    <w:abstractNumId w:val="0"/>
  </w:num>
  <w:num w:numId="4" w16cid:durableId="40134449">
    <w:abstractNumId w:val="2"/>
  </w:num>
  <w:num w:numId="5" w16cid:durableId="2135907501">
    <w:abstractNumId w:val="4"/>
  </w:num>
  <w:num w:numId="6" w16cid:durableId="326176812">
    <w:abstractNumId w:val="1"/>
  </w:num>
  <w:num w:numId="7" w16cid:durableId="115621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21AC4"/>
    <w:rsid w:val="000239A7"/>
    <w:rsid w:val="00042A6C"/>
    <w:rsid w:val="00052C5C"/>
    <w:rsid w:val="00057E6C"/>
    <w:rsid w:val="00111966"/>
    <w:rsid w:val="00127313"/>
    <w:rsid w:val="0013065B"/>
    <w:rsid w:val="0015420E"/>
    <w:rsid w:val="00174C34"/>
    <w:rsid w:val="00175379"/>
    <w:rsid w:val="00175D7F"/>
    <w:rsid w:val="001770F1"/>
    <w:rsid w:val="0018692A"/>
    <w:rsid w:val="001C3820"/>
    <w:rsid w:val="001F164C"/>
    <w:rsid w:val="00240776"/>
    <w:rsid w:val="00265FFB"/>
    <w:rsid w:val="002D127C"/>
    <w:rsid w:val="003361CA"/>
    <w:rsid w:val="003623A1"/>
    <w:rsid w:val="00364A73"/>
    <w:rsid w:val="00393234"/>
    <w:rsid w:val="003F4F07"/>
    <w:rsid w:val="00402366"/>
    <w:rsid w:val="005022AD"/>
    <w:rsid w:val="00525166"/>
    <w:rsid w:val="005656B1"/>
    <w:rsid w:val="00584D32"/>
    <w:rsid w:val="005B34B1"/>
    <w:rsid w:val="005B606A"/>
    <w:rsid w:val="00624DB8"/>
    <w:rsid w:val="00700797"/>
    <w:rsid w:val="00714F1F"/>
    <w:rsid w:val="007D2D8B"/>
    <w:rsid w:val="007E0A5C"/>
    <w:rsid w:val="008115E9"/>
    <w:rsid w:val="00816BDC"/>
    <w:rsid w:val="00833840"/>
    <w:rsid w:val="00885FF1"/>
    <w:rsid w:val="008A4127"/>
    <w:rsid w:val="008B4E57"/>
    <w:rsid w:val="008C467B"/>
    <w:rsid w:val="008F1D17"/>
    <w:rsid w:val="008F26F0"/>
    <w:rsid w:val="008F55CF"/>
    <w:rsid w:val="00917F84"/>
    <w:rsid w:val="0092031E"/>
    <w:rsid w:val="00943A0D"/>
    <w:rsid w:val="0094618C"/>
    <w:rsid w:val="00947ED5"/>
    <w:rsid w:val="00951856"/>
    <w:rsid w:val="00973FA6"/>
    <w:rsid w:val="00981032"/>
    <w:rsid w:val="009971BC"/>
    <w:rsid w:val="009A0416"/>
    <w:rsid w:val="009C017C"/>
    <w:rsid w:val="00A134AB"/>
    <w:rsid w:val="00A169D3"/>
    <w:rsid w:val="00AA1B7D"/>
    <w:rsid w:val="00AA26BE"/>
    <w:rsid w:val="00AB4002"/>
    <w:rsid w:val="00AC3F49"/>
    <w:rsid w:val="00B3790C"/>
    <w:rsid w:val="00B416C2"/>
    <w:rsid w:val="00B964BD"/>
    <w:rsid w:val="00BA7207"/>
    <w:rsid w:val="00BC7964"/>
    <w:rsid w:val="00BE1BF9"/>
    <w:rsid w:val="00C06B4A"/>
    <w:rsid w:val="00C219D2"/>
    <w:rsid w:val="00C81EF8"/>
    <w:rsid w:val="00C82B4C"/>
    <w:rsid w:val="00CC3A99"/>
    <w:rsid w:val="00CD4F3A"/>
    <w:rsid w:val="00CF29AE"/>
    <w:rsid w:val="00CF3C8F"/>
    <w:rsid w:val="00D90DE0"/>
    <w:rsid w:val="00DD55BA"/>
    <w:rsid w:val="00DE003E"/>
    <w:rsid w:val="00DF5B9A"/>
    <w:rsid w:val="00E04741"/>
    <w:rsid w:val="00E20958"/>
    <w:rsid w:val="00E32B50"/>
    <w:rsid w:val="00E34846"/>
    <w:rsid w:val="00E408F0"/>
    <w:rsid w:val="00E423B0"/>
    <w:rsid w:val="00E5422B"/>
    <w:rsid w:val="00E56BA4"/>
    <w:rsid w:val="00EA6CBA"/>
    <w:rsid w:val="00EB2E40"/>
    <w:rsid w:val="00F32325"/>
    <w:rsid w:val="00F44023"/>
    <w:rsid w:val="00F52805"/>
    <w:rsid w:val="00F6799F"/>
    <w:rsid w:val="00F913C4"/>
    <w:rsid w:val="00FA4697"/>
    <w:rsid w:val="00FA6ED5"/>
    <w:rsid w:val="00FC7395"/>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15:docId w15:val="{A8F5B87C-F64F-48F0-800E-EC80817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f/2017-01-f.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f/2022-11-f.pdf" TargetMode="External"/><Relationship Id="rId4" Type="http://schemas.openxmlformats.org/officeDocument/2006/relationships/webSettings" Target="webSettings.xml"/><Relationship Id="rId9" Type="http://schemas.openxmlformats.org/officeDocument/2006/relationships/hyperlink" Target="https://www.iccat.int/Documents/Recs/compendiopdf-f/2010-07-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71</cp:revision>
  <dcterms:created xsi:type="dcterms:W3CDTF">2023-11-01T08:46:00Z</dcterms:created>
  <dcterms:modified xsi:type="dcterms:W3CDTF">2025-11-06T10:39:00Z</dcterms:modified>
</cp:coreProperties>
</file>