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14A0" w14:textId="46B8B94B" w:rsidR="00175D7F" w:rsidRPr="00BB7719" w:rsidRDefault="00175D7F" w:rsidP="00240776">
      <w:pPr>
        <w:spacing w:after="0" w:line="240" w:lineRule="auto"/>
        <w:jc w:val="right"/>
        <w:rPr>
          <w:rFonts w:ascii="Cambria" w:hAnsi="Cambria"/>
          <w:b/>
          <w:bCs/>
          <w:sz w:val="20"/>
          <w:szCs w:val="20"/>
        </w:rPr>
      </w:pPr>
      <w:r w:rsidRPr="00BB7719">
        <w:rPr>
          <w:rFonts w:ascii="Cambria" w:hAnsi="Cambria"/>
          <w:b/>
          <w:bCs/>
          <w:sz w:val="20"/>
          <w:szCs w:val="20"/>
        </w:rPr>
        <w:t>Original: English</w:t>
      </w:r>
      <w:r w:rsidR="00F271F6" w:rsidRPr="00BB7719">
        <w:rPr>
          <w:rFonts w:ascii="Cambria" w:hAnsi="Cambria"/>
          <w:b/>
          <w:bCs/>
          <w:sz w:val="20"/>
          <w:szCs w:val="20"/>
        </w:rPr>
        <w:t>/Spanish</w:t>
      </w:r>
      <w:r w:rsidR="006B3528" w:rsidRPr="00BB7719">
        <w:rPr>
          <w:rFonts w:ascii="Cambria" w:hAnsi="Cambria"/>
          <w:b/>
          <w:bCs/>
          <w:sz w:val="20"/>
          <w:szCs w:val="20"/>
        </w:rPr>
        <w:t>/French</w:t>
      </w:r>
    </w:p>
    <w:p w14:paraId="0B7001A5" w14:textId="77777777" w:rsidR="00F271F6" w:rsidRPr="00BB7719" w:rsidRDefault="00F271F6" w:rsidP="00240776">
      <w:pPr>
        <w:spacing w:after="0" w:line="240" w:lineRule="auto"/>
        <w:jc w:val="right"/>
        <w:rPr>
          <w:rFonts w:ascii="Cambria" w:hAnsi="Cambria"/>
          <w:b/>
          <w:bCs/>
          <w:sz w:val="20"/>
          <w:szCs w:val="20"/>
        </w:rPr>
      </w:pPr>
    </w:p>
    <w:p w14:paraId="738EED15" w14:textId="7A5EF442" w:rsidR="00402366" w:rsidRPr="00BB7719" w:rsidRDefault="00127313" w:rsidP="00240776">
      <w:pPr>
        <w:spacing w:after="0" w:line="240" w:lineRule="auto"/>
        <w:jc w:val="center"/>
        <w:rPr>
          <w:rFonts w:ascii="Cambria" w:hAnsi="Cambria"/>
          <w:b/>
          <w:bCs/>
          <w:sz w:val="20"/>
          <w:szCs w:val="20"/>
        </w:rPr>
      </w:pPr>
      <w:r w:rsidRPr="00BB7719">
        <w:rPr>
          <w:rFonts w:ascii="Cambria" w:hAnsi="Cambria"/>
          <w:b/>
          <w:bCs/>
          <w:sz w:val="20"/>
          <w:szCs w:val="20"/>
        </w:rPr>
        <w:t xml:space="preserve">Questions and answers from CPCs on </w:t>
      </w:r>
      <w:r w:rsidR="00DF5B9A" w:rsidRPr="00BB7719">
        <w:rPr>
          <w:rFonts w:ascii="Cambria" w:hAnsi="Cambria"/>
          <w:b/>
          <w:bCs/>
          <w:sz w:val="20"/>
          <w:szCs w:val="20"/>
        </w:rPr>
        <w:t xml:space="preserve">compliance </w:t>
      </w:r>
      <w:r w:rsidRPr="00BB7719">
        <w:rPr>
          <w:rFonts w:ascii="Cambria" w:hAnsi="Cambria"/>
          <w:b/>
          <w:bCs/>
          <w:sz w:val="20"/>
          <w:szCs w:val="20"/>
        </w:rPr>
        <w:t>matters</w:t>
      </w:r>
    </w:p>
    <w:p w14:paraId="7066F5BE" w14:textId="66C5207B" w:rsidR="005B606A" w:rsidRPr="00BB7719" w:rsidRDefault="00410FF8" w:rsidP="00240776">
      <w:pPr>
        <w:spacing w:after="0" w:line="240" w:lineRule="auto"/>
        <w:jc w:val="center"/>
        <w:rPr>
          <w:rFonts w:ascii="Cambria" w:hAnsi="Cambria"/>
          <w:i/>
          <w:iCs/>
          <w:sz w:val="20"/>
          <w:szCs w:val="20"/>
        </w:rPr>
      </w:pPr>
      <w:r w:rsidRPr="00BB7719">
        <w:rPr>
          <w:rFonts w:ascii="Cambria" w:hAnsi="Cambria"/>
          <w:i/>
          <w:iCs/>
          <w:sz w:val="20"/>
          <w:szCs w:val="20"/>
        </w:rPr>
        <w:t>(</w:t>
      </w:r>
      <w:r w:rsidR="005B606A" w:rsidRPr="00BB7719">
        <w:rPr>
          <w:rFonts w:ascii="Cambria" w:hAnsi="Cambria"/>
          <w:i/>
          <w:iCs/>
          <w:sz w:val="20"/>
          <w:szCs w:val="20"/>
        </w:rPr>
        <w:t>ICCAT Secretariat</w:t>
      </w:r>
      <w:r w:rsidRPr="00BB7719">
        <w:rPr>
          <w:rFonts w:ascii="Cambria" w:hAnsi="Cambria"/>
          <w:i/>
          <w:iCs/>
          <w:sz w:val="20"/>
          <w:szCs w:val="20"/>
        </w:rPr>
        <w:t>)</w:t>
      </w:r>
    </w:p>
    <w:p w14:paraId="286BB45F" w14:textId="77777777" w:rsidR="003F4F07" w:rsidRPr="00BB7719" w:rsidRDefault="003F4F07" w:rsidP="00240776">
      <w:pPr>
        <w:pStyle w:val="PlainText"/>
        <w:jc w:val="both"/>
        <w:rPr>
          <w:rFonts w:ascii="Cambria" w:hAnsi="Cambria"/>
          <w:sz w:val="20"/>
          <w:szCs w:val="20"/>
        </w:rPr>
      </w:pPr>
    </w:p>
    <w:p w14:paraId="5D19C30D" w14:textId="77777777" w:rsidR="00C06B4A" w:rsidRPr="00BB7719" w:rsidRDefault="00C06B4A" w:rsidP="00240776">
      <w:pPr>
        <w:pStyle w:val="PlainText"/>
        <w:jc w:val="both"/>
        <w:rPr>
          <w:rFonts w:ascii="Cambria" w:hAnsi="Cambria"/>
          <w:sz w:val="20"/>
          <w:szCs w:val="20"/>
          <w:lang w:val="en-GB"/>
        </w:rPr>
      </w:pPr>
      <w:r w:rsidRPr="00BB7719">
        <w:rPr>
          <w:rFonts w:ascii="Cambria" w:hAnsi="Cambria"/>
          <w:sz w:val="20"/>
          <w:szCs w:val="20"/>
          <w:lang w:val="en-GB"/>
        </w:rPr>
        <w:t>Through ICCAT Circular #10017/2025, issued on 8 October 2025, CPCs were invited to send questions to other CPCs regarding possible compliance issues.</w:t>
      </w:r>
    </w:p>
    <w:p w14:paraId="0922E85B" w14:textId="77777777" w:rsidR="00C06B4A" w:rsidRPr="00BB7719" w:rsidRDefault="00C06B4A" w:rsidP="00240776">
      <w:pPr>
        <w:pStyle w:val="PlainText"/>
        <w:jc w:val="both"/>
        <w:rPr>
          <w:rFonts w:ascii="Cambria" w:hAnsi="Cambria"/>
          <w:sz w:val="20"/>
          <w:szCs w:val="20"/>
          <w:lang w:val="en-GB"/>
        </w:rPr>
      </w:pPr>
    </w:p>
    <w:p w14:paraId="405CB8B1" w14:textId="60C3E744" w:rsidR="00C06B4A" w:rsidRPr="00BB7719" w:rsidRDefault="00C06B4A" w:rsidP="00240776">
      <w:pPr>
        <w:pStyle w:val="PlainText"/>
        <w:jc w:val="both"/>
        <w:rPr>
          <w:rFonts w:ascii="Cambria" w:hAnsi="Cambria"/>
          <w:sz w:val="20"/>
          <w:szCs w:val="20"/>
          <w:lang w:val="en-GB"/>
        </w:rPr>
      </w:pPr>
      <w:r w:rsidRPr="00BB7719">
        <w:rPr>
          <w:rFonts w:ascii="Cambria" w:hAnsi="Cambria"/>
          <w:sz w:val="20"/>
          <w:szCs w:val="20"/>
          <w:lang w:val="en-GB"/>
        </w:rPr>
        <w:t xml:space="preserve">The Secretariat received questions and comments from the European Union and Japan. Where possible, these questions have been sent in advance to the CPCs concerned, and those responses received to date are included here where applicable. Given the time available to prepare responses, those CPCs which were unable to provide a written response in advance of the meeting may respond verbally or in writing at or before the Compliance Committee </w:t>
      </w:r>
      <w:r w:rsidR="00A134AB" w:rsidRPr="00BB7719">
        <w:rPr>
          <w:rFonts w:ascii="Cambria" w:hAnsi="Cambria"/>
          <w:sz w:val="20"/>
          <w:szCs w:val="20"/>
          <w:lang w:val="en-GB"/>
        </w:rPr>
        <w:t xml:space="preserve">(COC) </w:t>
      </w:r>
      <w:r w:rsidRPr="00BB7719">
        <w:rPr>
          <w:rFonts w:ascii="Cambria" w:hAnsi="Cambria"/>
          <w:sz w:val="20"/>
          <w:szCs w:val="20"/>
          <w:lang w:val="en-GB"/>
        </w:rPr>
        <w:t>meeting.</w:t>
      </w:r>
    </w:p>
    <w:p w14:paraId="691322C0" w14:textId="77777777" w:rsidR="00C06B4A" w:rsidRPr="00BB7719" w:rsidRDefault="00C06B4A" w:rsidP="00240776">
      <w:pPr>
        <w:pStyle w:val="PlainText"/>
        <w:jc w:val="both"/>
        <w:rPr>
          <w:rFonts w:ascii="Cambria" w:hAnsi="Cambria"/>
          <w:sz w:val="20"/>
          <w:szCs w:val="20"/>
          <w:lang w:val="en-GB"/>
        </w:rPr>
      </w:pPr>
    </w:p>
    <w:p w14:paraId="06B498C6" w14:textId="77777777" w:rsidR="00892CE8" w:rsidRPr="00BB7719" w:rsidRDefault="00892CE8" w:rsidP="00240776">
      <w:pPr>
        <w:pStyle w:val="PlainText"/>
        <w:jc w:val="both"/>
        <w:rPr>
          <w:rFonts w:ascii="Cambria" w:hAnsi="Cambria"/>
          <w:sz w:val="20"/>
          <w:szCs w:val="20"/>
          <w:lang w:val="en-GB"/>
        </w:rPr>
      </w:pPr>
    </w:p>
    <w:p w14:paraId="1F7D9534" w14:textId="7B5A1F7C" w:rsidR="00DE003E" w:rsidRPr="00BB7719" w:rsidRDefault="00DE003E" w:rsidP="00240776">
      <w:pPr>
        <w:spacing w:after="0" w:line="240" w:lineRule="auto"/>
        <w:jc w:val="both"/>
        <w:rPr>
          <w:rFonts w:ascii="Cambria" w:eastAsia="Times New Roman" w:hAnsi="Cambria" w:cs="Times New Roman"/>
          <w:b/>
          <w:sz w:val="20"/>
          <w:szCs w:val="20"/>
        </w:rPr>
      </w:pPr>
      <w:bookmarkStart w:id="0" w:name="_Hlk181564720"/>
      <w:r w:rsidRPr="00BB7719">
        <w:rPr>
          <w:rFonts w:ascii="Cambria" w:eastAsia="Times New Roman" w:hAnsi="Cambria" w:cs="Times New Roman"/>
          <w:b/>
          <w:sz w:val="20"/>
          <w:szCs w:val="20"/>
        </w:rPr>
        <w:t xml:space="preserve">To </w:t>
      </w:r>
      <w:r w:rsidR="00C06B4A" w:rsidRPr="00BB7719">
        <w:rPr>
          <w:rFonts w:ascii="Cambria" w:eastAsia="Times New Roman" w:hAnsi="Cambria" w:cs="Times New Roman"/>
          <w:b/>
          <w:sz w:val="20"/>
          <w:szCs w:val="20"/>
        </w:rPr>
        <w:t>Algeria</w:t>
      </w:r>
      <w:r w:rsidRPr="00BB7719">
        <w:rPr>
          <w:rFonts w:ascii="Cambria" w:eastAsia="Times New Roman" w:hAnsi="Cambria" w:cs="Times New Roman"/>
          <w:b/>
          <w:sz w:val="20"/>
          <w:szCs w:val="20"/>
        </w:rPr>
        <w:t>:</w:t>
      </w:r>
    </w:p>
    <w:p w14:paraId="63FD7D87" w14:textId="77777777" w:rsidR="00240776" w:rsidRPr="00BB7719" w:rsidRDefault="00240776" w:rsidP="00240776">
      <w:pPr>
        <w:spacing w:after="0" w:line="240" w:lineRule="auto"/>
        <w:jc w:val="both"/>
        <w:rPr>
          <w:rFonts w:ascii="Cambria" w:eastAsia="Times New Roman" w:hAnsi="Cambria" w:cs="Times New Roman"/>
          <w:b/>
          <w:sz w:val="20"/>
          <w:szCs w:val="20"/>
        </w:rPr>
      </w:pPr>
    </w:p>
    <w:bookmarkEnd w:id="0"/>
    <w:p w14:paraId="751ED80C" w14:textId="27AB2536" w:rsidR="00C06B4A" w:rsidRPr="00BB7719" w:rsidRDefault="00C06B4A" w:rsidP="00240776">
      <w:pPr>
        <w:spacing w:after="0" w:line="240" w:lineRule="auto"/>
        <w:jc w:val="both"/>
        <w:rPr>
          <w:rFonts w:ascii="Cambria" w:eastAsia="Times New Roman" w:hAnsi="Cambria" w:cs="Times New Roman"/>
          <w:bCs/>
          <w:sz w:val="20"/>
          <w:szCs w:val="20"/>
        </w:rPr>
      </w:pPr>
      <w:r w:rsidRPr="00BB7719">
        <w:rPr>
          <w:rFonts w:ascii="Cambria" w:eastAsia="Times New Roman" w:hAnsi="Cambria" w:cs="Times New Roman"/>
          <w:bCs/>
          <w:sz w:val="20"/>
          <w:szCs w:val="20"/>
        </w:rPr>
        <w:t>In 2009, COC recognized that Algerian fishing vessels caught 820</w:t>
      </w:r>
      <w:r w:rsidR="00F6799F" w:rsidRPr="00BB7719">
        <w:rPr>
          <w:rFonts w:ascii="Cambria" w:eastAsia="Times New Roman" w:hAnsi="Cambria" w:cs="Times New Roman"/>
          <w:bCs/>
          <w:sz w:val="20"/>
          <w:szCs w:val="20"/>
        </w:rPr>
        <w:t xml:space="preserve"> </w:t>
      </w:r>
      <w:r w:rsidRPr="00BB7719">
        <w:rPr>
          <w:rFonts w:ascii="Cambria" w:eastAsia="Times New Roman" w:hAnsi="Cambria" w:cs="Times New Roman"/>
          <w:bCs/>
          <w:sz w:val="20"/>
          <w:szCs w:val="20"/>
        </w:rPr>
        <w:t xml:space="preserve">t of Atlantic </w:t>
      </w:r>
      <w:r w:rsidR="00F6799F" w:rsidRPr="00BB7719">
        <w:rPr>
          <w:rFonts w:ascii="Cambria" w:eastAsia="Times New Roman" w:hAnsi="Cambria" w:cs="Times New Roman"/>
          <w:bCs/>
          <w:sz w:val="20"/>
          <w:szCs w:val="20"/>
        </w:rPr>
        <w:t xml:space="preserve">bluefin tuna </w:t>
      </w:r>
      <w:r w:rsidRPr="00BB7719">
        <w:rPr>
          <w:rFonts w:ascii="Cambria" w:eastAsia="Times New Roman" w:hAnsi="Cambria" w:cs="Times New Roman"/>
          <w:bCs/>
          <w:sz w:val="20"/>
          <w:szCs w:val="20"/>
        </w:rPr>
        <w:t>without proper authorization and the fish was transferred to farms in Tunisia and Malta without validated BCDs. In 2010, during the COC</w:t>
      </w:r>
      <w:r w:rsidR="00B2132B" w:rsidRPr="00BB7719">
        <w:rPr>
          <w:rFonts w:ascii="Cambria" w:eastAsia="Times New Roman" w:hAnsi="Cambria" w:cs="Times New Roman"/>
          <w:bCs/>
          <w:sz w:val="20"/>
          <w:szCs w:val="20"/>
        </w:rPr>
        <w:t xml:space="preserve"> </w:t>
      </w:r>
      <w:r w:rsidR="00BD426E" w:rsidRPr="00BB7719">
        <w:rPr>
          <w:rFonts w:ascii="Cambria" w:eastAsia="Times New Roman" w:hAnsi="Cambria" w:cs="Times New Roman"/>
          <w:bCs/>
          <w:sz w:val="20"/>
          <w:szCs w:val="20"/>
        </w:rPr>
        <w:t>m</w:t>
      </w:r>
      <w:r w:rsidR="00B2132B" w:rsidRPr="00BB7719">
        <w:rPr>
          <w:rFonts w:ascii="Cambria" w:eastAsia="Times New Roman" w:hAnsi="Cambria" w:cs="Times New Roman"/>
          <w:bCs/>
          <w:sz w:val="20"/>
          <w:szCs w:val="20"/>
        </w:rPr>
        <w:t>eeting</w:t>
      </w:r>
      <w:r w:rsidRPr="00BB7719">
        <w:rPr>
          <w:rFonts w:ascii="Cambria" w:eastAsia="Times New Roman" w:hAnsi="Cambria" w:cs="Times New Roman"/>
          <w:bCs/>
          <w:sz w:val="20"/>
          <w:szCs w:val="20"/>
        </w:rPr>
        <w:t xml:space="preserve">, Malta and Tunisia reported that the transferred fish was released from the cages. At that meeting, Algeria mentioned that there were ongoing legal proceedings on the Algerian vessels before the Algerian courts. Algeria also mentioned that full detail will be reported to the COC once the investigation is concluded. </w:t>
      </w:r>
    </w:p>
    <w:p w14:paraId="0DED296B" w14:textId="77777777" w:rsidR="00240776" w:rsidRPr="00BB7719" w:rsidRDefault="00240776" w:rsidP="00240776">
      <w:pPr>
        <w:spacing w:after="0" w:line="240" w:lineRule="auto"/>
        <w:jc w:val="both"/>
        <w:rPr>
          <w:rFonts w:ascii="Cambria" w:eastAsia="Times New Roman" w:hAnsi="Cambria" w:cs="Times New Roman"/>
          <w:bCs/>
          <w:sz w:val="20"/>
          <w:szCs w:val="20"/>
        </w:rPr>
      </w:pPr>
    </w:p>
    <w:p w14:paraId="439A901C" w14:textId="7E2734A7" w:rsidR="00947ED5" w:rsidRPr="00BB7719" w:rsidRDefault="00C06B4A" w:rsidP="00240776">
      <w:pPr>
        <w:spacing w:after="0" w:line="240" w:lineRule="auto"/>
        <w:jc w:val="both"/>
        <w:rPr>
          <w:rFonts w:ascii="Cambria" w:eastAsia="Times New Roman" w:hAnsi="Cambria" w:cs="Times New Roman"/>
          <w:bCs/>
          <w:sz w:val="20"/>
          <w:szCs w:val="20"/>
        </w:rPr>
      </w:pPr>
      <w:r w:rsidRPr="00BB7719">
        <w:rPr>
          <w:rFonts w:ascii="Cambria" w:eastAsia="Times New Roman" w:hAnsi="Cambria" w:cs="Times New Roman"/>
          <w:bCs/>
          <w:sz w:val="20"/>
          <w:szCs w:val="20"/>
        </w:rPr>
        <w:t xml:space="preserve">According to the past meeting reports, Algeria expressed its intention to inform the result until </w:t>
      </w:r>
      <w:r w:rsidR="00FF75D9" w:rsidRPr="00BB7719">
        <w:rPr>
          <w:rFonts w:ascii="Cambria" w:eastAsia="Times New Roman" w:hAnsi="Cambria" w:cs="Times New Roman"/>
          <w:bCs/>
          <w:sz w:val="20"/>
          <w:szCs w:val="20"/>
        </w:rPr>
        <w:t xml:space="preserve">the </w:t>
      </w:r>
      <w:r w:rsidRPr="00BB7719">
        <w:rPr>
          <w:rFonts w:ascii="Cambria" w:eastAsia="Times New Roman" w:hAnsi="Cambria" w:cs="Times New Roman"/>
          <w:bCs/>
          <w:sz w:val="20"/>
          <w:szCs w:val="20"/>
        </w:rPr>
        <w:t>2011 annual meeting. After that, however, there is no record regarding this issue in ICCAT’s meeting reports. Japan understands that ICCAT has not received the result of the investigation from Algeria.</w:t>
      </w:r>
    </w:p>
    <w:p w14:paraId="761C0EBC" w14:textId="77777777" w:rsidR="00C06B4A" w:rsidRPr="00BB7719" w:rsidRDefault="00C06B4A" w:rsidP="00240776">
      <w:pPr>
        <w:spacing w:after="0" w:line="240" w:lineRule="auto"/>
        <w:jc w:val="both"/>
        <w:rPr>
          <w:rFonts w:ascii="Cambria" w:eastAsia="Times New Roman" w:hAnsi="Cambria" w:cs="Times New Roman"/>
          <w:sz w:val="20"/>
          <w:szCs w:val="20"/>
        </w:rPr>
      </w:pPr>
    </w:p>
    <w:p w14:paraId="674DB720" w14:textId="4717F39D" w:rsidR="00F75824" w:rsidRPr="00BB7719" w:rsidRDefault="00F75824" w:rsidP="00844FE3">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b/>
          <w:bCs/>
          <w:i/>
          <w:iCs/>
          <w:color w:val="222222"/>
          <w:sz w:val="20"/>
          <w:szCs w:val="20"/>
          <w:u w:val="single"/>
        </w:rPr>
        <w:t>Response:</w:t>
      </w:r>
      <w:r w:rsidRPr="00BB7719">
        <w:rPr>
          <w:rFonts w:ascii="Cambria" w:eastAsia="Times New Roman" w:hAnsi="Cambria" w:cs="Times New Roman"/>
          <w:color w:val="222222"/>
          <w:sz w:val="20"/>
          <w:szCs w:val="20"/>
          <w:u w:val="single"/>
        </w:rPr>
        <w:t xml:space="preserve"> Algeria </w:t>
      </w:r>
      <w:r w:rsidR="00D41DB0" w:rsidRPr="00BB7719">
        <w:rPr>
          <w:rFonts w:ascii="Cambria" w:eastAsia="Times New Roman" w:hAnsi="Cambria" w:cs="Times New Roman"/>
          <w:color w:val="222222"/>
          <w:sz w:val="20"/>
          <w:szCs w:val="20"/>
          <w:u w:val="single"/>
        </w:rPr>
        <w:t xml:space="preserve">would like to </w:t>
      </w:r>
      <w:r w:rsidRPr="00BB7719">
        <w:rPr>
          <w:rFonts w:ascii="Cambria" w:eastAsia="Times New Roman" w:hAnsi="Cambria" w:cs="Times New Roman"/>
          <w:color w:val="222222"/>
          <w:sz w:val="20"/>
          <w:szCs w:val="20"/>
          <w:u w:val="single"/>
        </w:rPr>
        <w:t>thank Japan for raising this issue and w</w:t>
      </w:r>
      <w:r w:rsidR="00D41DB0" w:rsidRPr="00BB7719">
        <w:rPr>
          <w:rFonts w:ascii="Cambria" w:eastAsia="Times New Roman" w:hAnsi="Cambria" w:cs="Times New Roman"/>
          <w:color w:val="222222"/>
          <w:sz w:val="20"/>
          <w:szCs w:val="20"/>
          <w:u w:val="single"/>
        </w:rPr>
        <w:t>ould like</w:t>
      </w:r>
      <w:r w:rsidRPr="00BB7719">
        <w:rPr>
          <w:rFonts w:ascii="Cambria" w:eastAsia="Times New Roman" w:hAnsi="Cambria" w:cs="Times New Roman"/>
          <w:color w:val="222222"/>
          <w:sz w:val="20"/>
          <w:szCs w:val="20"/>
          <w:u w:val="single"/>
        </w:rPr>
        <w:t xml:space="preserve"> to provide the following clarification to demonstrate that the situation </w:t>
      </w:r>
      <w:r w:rsidR="00AA3745" w:rsidRPr="00BB7719">
        <w:rPr>
          <w:rFonts w:ascii="Cambria" w:eastAsia="Times New Roman" w:hAnsi="Cambria" w:cs="Times New Roman"/>
          <w:color w:val="222222"/>
          <w:sz w:val="20"/>
          <w:szCs w:val="20"/>
          <w:u w:val="single"/>
        </w:rPr>
        <w:t>mentioned</w:t>
      </w:r>
      <w:r w:rsidRPr="00BB7719">
        <w:rPr>
          <w:rFonts w:ascii="Cambria" w:eastAsia="Times New Roman" w:hAnsi="Cambria" w:cs="Times New Roman"/>
          <w:color w:val="222222"/>
          <w:sz w:val="20"/>
          <w:szCs w:val="20"/>
          <w:u w:val="single"/>
        </w:rPr>
        <w:t xml:space="preserve"> cannot be considered </w:t>
      </w:r>
      <w:r w:rsidR="0062422E" w:rsidRPr="00BB7719">
        <w:rPr>
          <w:rFonts w:ascii="Cambria" w:eastAsia="Times New Roman" w:hAnsi="Cambria" w:cs="Times New Roman"/>
          <w:color w:val="222222"/>
          <w:sz w:val="20"/>
          <w:szCs w:val="20"/>
          <w:u w:val="single"/>
        </w:rPr>
        <w:t xml:space="preserve">as a case of </w:t>
      </w:r>
      <w:r w:rsidR="00A3429F" w:rsidRPr="00BB7719">
        <w:rPr>
          <w:rFonts w:ascii="Cambria" w:eastAsia="Times New Roman" w:hAnsi="Cambria" w:cs="Times New Roman"/>
          <w:color w:val="222222"/>
          <w:sz w:val="20"/>
          <w:szCs w:val="20"/>
          <w:u w:val="single"/>
        </w:rPr>
        <w:t>non-compliance but</w:t>
      </w:r>
      <w:r w:rsidRPr="00BB7719">
        <w:rPr>
          <w:rFonts w:ascii="Cambria" w:eastAsia="Times New Roman" w:hAnsi="Cambria" w:cs="Times New Roman"/>
          <w:color w:val="222222"/>
          <w:sz w:val="20"/>
          <w:szCs w:val="20"/>
          <w:u w:val="single"/>
        </w:rPr>
        <w:t xml:space="preserve"> rather </w:t>
      </w:r>
      <w:r w:rsidR="00F37381" w:rsidRPr="00BB7719">
        <w:rPr>
          <w:rFonts w:ascii="Cambria" w:eastAsia="Times New Roman" w:hAnsi="Cambria" w:cs="Times New Roman"/>
          <w:color w:val="222222"/>
          <w:sz w:val="20"/>
          <w:szCs w:val="20"/>
          <w:u w:val="single"/>
        </w:rPr>
        <w:t>falls within</w:t>
      </w:r>
      <w:r w:rsidRPr="00BB7719">
        <w:rPr>
          <w:rFonts w:ascii="Cambria" w:eastAsia="Times New Roman" w:hAnsi="Cambria" w:cs="Times New Roman"/>
          <w:color w:val="222222"/>
          <w:sz w:val="20"/>
          <w:szCs w:val="20"/>
          <w:u w:val="single"/>
        </w:rPr>
        <w:t xml:space="preserve"> a comprehensive </w:t>
      </w:r>
      <w:r w:rsidR="0042559C" w:rsidRPr="00BB7719">
        <w:rPr>
          <w:rFonts w:ascii="Cambria" w:eastAsia="Times New Roman" w:hAnsi="Cambria" w:cs="Times New Roman"/>
          <w:color w:val="222222"/>
          <w:sz w:val="20"/>
          <w:szCs w:val="20"/>
          <w:u w:val="single"/>
        </w:rPr>
        <w:t xml:space="preserve">process </w:t>
      </w:r>
      <w:r w:rsidR="00B15414" w:rsidRPr="00BB7719">
        <w:rPr>
          <w:rFonts w:ascii="Cambria" w:eastAsia="Times New Roman" w:hAnsi="Cambria" w:cs="Times New Roman"/>
          <w:color w:val="222222"/>
          <w:sz w:val="20"/>
          <w:szCs w:val="20"/>
          <w:u w:val="single"/>
        </w:rPr>
        <w:t>which has</w:t>
      </w:r>
      <w:r w:rsidRPr="00BB7719">
        <w:rPr>
          <w:rFonts w:ascii="Cambria" w:eastAsia="Times New Roman" w:hAnsi="Cambria" w:cs="Times New Roman"/>
          <w:color w:val="222222"/>
          <w:sz w:val="20"/>
          <w:szCs w:val="20"/>
          <w:u w:val="single"/>
        </w:rPr>
        <w:t xml:space="preserve"> legally concluded</w:t>
      </w:r>
      <w:r w:rsidR="00B15414" w:rsidRPr="00BB7719">
        <w:rPr>
          <w:rFonts w:ascii="Cambria" w:eastAsia="Times New Roman" w:hAnsi="Cambria" w:cs="Times New Roman"/>
          <w:color w:val="222222"/>
          <w:sz w:val="20"/>
          <w:szCs w:val="20"/>
          <w:u w:val="single"/>
        </w:rPr>
        <w:t>.</w:t>
      </w:r>
    </w:p>
    <w:p w14:paraId="2CC11679" w14:textId="77777777" w:rsidR="00F75824" w:rsidRPr="00BB7719" w:rsidRDefault="00F75824" w:rsidP="00844FE3">
      <w:pPr>
        <w:spacing w:after="0" w:line="240" w:lineRule="auto"/>
        <w:contextualSpacing/>
        <w:jc w:val="both"/>
        <w:rPr>
          <w:rFonts w:ascii="Cambria" w:eastAsia="Times New Roman" w:hAnsi="Cambria" w:cs="Times New Roman"/>
          <w:color w:val="222222"/>
          <w:sz w:val="20"/>
          <w:szCs w:val="20"/>
          <w:u w:val="single"/>
        </w:rPr>
      </w:pPr>
    </w:p>
    <w:p w14:paraId="6074F0F5" w14:textId="77777777" w:rsidR="00831FA4" w:rsidRPr="00BB7719" w:rsidRDefault="00831FA4" w:rsidP="00831FA4">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Historical context and follow-up by Algeria:</w:t>
      </w:r>
    </w:p>
    <w:p w14:paraId="014CCC76" w14:textId="77777777" w:rsidR="00831FA4" w:rsidRPr="00BB7719" w:rsidRDefault="00831FA4" w:rsidP="00831FA4">
      <w:pPr>
        <w:spacing w:after="0" w:line="240" w:lineRule="auto"/>
        <w:contextualSpacing/>
        <w:jc w:val="both"/>
        <w:rPr>
          <w:rFonts w:ascii="Cambria" w:eastAsia="Times New Roman" w:hAnsi="Cambria" w:cs="Times New Roman"/>
          <w:color w:val="222222"/>
          <w:sz w:val="20"/>
          <w:szCs w:val="20"/>
          <w:u w:val="single"/>
        </w:rPr>
      </w:pPr>
    </w:p>
    <w:p w14:paraId="7A4C7C18" w14:textId="276E0084" w:rsidR="00831FA4" w:rsidRPr="00BB7719"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In accordance with its transparency obligations, Algeria informed the Committee in 2009 of the opening of a national judicial investigation into this case.</w:t>
      </w:r>
    </w:p>
    <w:p w14:paraId="4CB06DB8" w14:textId="77777777" w:rsidR="005C06F0" w:rsidRPr="00BB7719" w:rsidRDefault="005C06F0" w:rsidP="005C06F0">
      <w:pPr>
        <w:pStyle w:val="ListParagraph"/>
        <w:spacing w:after="0" w:line="240" w:lineRule="auto"/>
        <w:jc w:val="both"/>
        <w:rPr>
          <w:rFonts w:ascii="Cambria" w:eastAsia="Times New Roman" w:hAnsi="Cambria" w:cs="Times New Roman"/>
          <w:color w:val="222222"/>
          <w:sz w:val="20"/>
          <w:szCs w:val="20"/>
          <w:u w:val="single"/>
        </w:rPr>
      </w:pPr>
    </w:p>
    <w:p w14:paraId="63418B85" w14:textId="7A210E11" w:rsidR="00831FA4" w:rsidRPr="00BB7719"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In 2010, Algeria issued a formal reservation concerning paragraph 8 of Recommendation 10-04.</w:t>
      </w:r>
    </w:p>
    <w:p w14:paraId="0064F2CC" w14:textId="77777777" w:rsidR="005C06F0" w:rsidRPr="00BB7719" w:rsidRDefault="005C06F0" w:rsidP="005C06F0">
      <w:pPr>
        <w:pStyle w:val="ListParagraph"/>
        <w:rPr>
          <w:rFonts w:ascii="Cambria" w:eastAsia="Times New Roman" w:hAnsi="Cambria" w:cs="Times New Roman"/>
          <w:color w:val="222222"/>
          <w:sz w:val="20"/>
          <w:szCs w:val="20"/>
          <w:u w:val="single"/>
        </w:rPr>
      </w:pPr>
    </w:p>
    <w:p w14:paraId="64925AC9" w14:textId="655DF960" w:rsidR="00831FA4" w:rsidRPr="00BB7719"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In its opening statements in 2011 and 2012, Algeria </w:t>
      </w:r>
      <w:r w:rsidR="006C67E1" w:rsidRPr="00BB7719">
        <w:rPr>
          <w:rFonts w:ascii="Cambria" w:eastAsia="Times New Roman" w:hAnsi="Cambria" w:cs="Times New Roman"/>
          <w:color w:val="222222"/>
          <w:sz w:val="20"/>
          <w:szCs w:val="20"/>
          <w:u w:val="single"/>
        </w:rPr>
        <w:t>stated</w:t>
      </w:r>
      <w:r w:rsidRPr="00BB7719">
        <w:rPr>
          <w:rFonts w:ascii="Cambria" w:eastAsia="Times New Roman" w:hAnsi="Cambria" w:cs="Times New Roman"/>
          <w:color w:val="222222"/>
          <w:sz w:val="20"/>
          <w:szCs w:val="20"/>
          <w:u w:val="single"/>
        </w:rPr>
        <w:t xml:space="preserve"> Article VIII of the Convention to raise a substantive objection </w:t>
      </w:r>
      <w:r w:rsidR="0064483A" w:rsidRPr="00BB7719">
        <w:rPr>
          <w:rFonts w:ascii="Cambria" w:eastAsia="Times New Roman" w:hAnsi="Cambria" w:cs="Times New Roman"/>
          <w:color w:val="222222"/>
          <w:sz w:val="20"/>
          <w:szCs w:val="20"/>
          <w:u w:val="single"/>
        </w:rPr>
        <w:t>r</w:t>
      </w:r>
      <w:r w:rsidR="00C411A7" w:rsidRPr="00BB7719">
        <w:rPr>
          <w:rFonts w:ascii="Cambria" w:eastAsia="Times New Roman" w:hAnsi="Cambria" w:cs="Times New Roman"/>
          <w:color w:val="222222"/>
          <w:sz w:val="20"/>
          <w:szCs w:val="20"/>
          <w:u w:val="single"/>
        </w:rPr>
        <w:t>egarding</w:t>
      </w:r>
      <w:r w:rsidRPr="00BB7719">
        <w:rPr>
          <w:rFonts w:ascii="Cambria" w:eastAsia="Times New Roman" w:hAnsi="Cambria" w:cs="Times New Roman"/>
          <w:color w:val="222222"/>
          <w:sz w:val="20"/>
          <w:szCs w:val="20"/>
          <w:u w:val="single"/>
        </w:rPr>
        <w:t xml:space="preserve"> the procedure for adopting Recommendation 10-04, </w:t>
      </w:r>
      <w:r w:rsidR="00A5217B" w:rsidRPr="00BB7719">
        <w:rPr>
          <w:rFonts w:ascii="Cambria" w:eastAsia="Times New Roman" w:hAnsi="Cambria" w:cs="Times New Roman"/>
          <w:color w:val="222222"/>
          <w:sz w:val="20"/>
          <w:szCs w:val="20"/>
          <w:u w:val="single"/>
        </w:rPr>
        <w:t>regretting</w:t>
      </w:r>
      <w:r w:rsidRPr="00BB7719">
        <w:rPr>
          <w:rFonts w:ascii="Cambria" w:eastAsia="Times New Roman" w:hAnsi="Cambria" w:cs="Times New Roman"/>
          <w:color w:val="222222"/>
          <w:sz w:val="20"/>
          <w:szCs w:val="20"/>
          <w:u w:val="single"/>
        </w:rPr>
        <w:t xml:space="preserve"> the fact that a decision affecting its quota had been </w:t>
      </w:r>
      <w:r w:rsidR="00A33C74" w:rsidRPr="00BB7719">
        <w:rPr>
          <w:rFonts w:ascii="Cambria" w:eastAsia="Times New Roman" w:hAnsi="Cambria" w:cs="Times New Roman"/>
          <w:color w:val="222222"/>
          <w:sz w:val="20"/>
          <w:szCs w:val="20"/>
          <w:u w:val="single"/>
        </w:rPr>
        <w:t>made</w:t>
      </w:r>
      <w:r w:rsidRPr="00BB7719">
        <w:rPr>
          <w:rFonts w:ascii="Cambria" w:eastAsia="Times New Roman" w:hAnsi="Cambria" w:cs="Times New Roman"/>
          <w:color w:val="222222"/>
          <w:sz w:val="20"/>
          <w:szCs w:val="20"/>
          <w:u w:val="single"/>
        </w:rPr>
        <w:t xml:space="preserve"> in the absence of its technical delegation and without prior consultation.</w:t>
      </w:r>
    </w:p>
    <w:p w14:paraId="19DBEC15" w14:textId="77777777" w:rsidR="005C06F0" w:rsidRPr="00BB7719" w:rsidRDefault="005C06F0" w:rsidP="005C06F0">
      <w:pPr>
        <w:pStyle w:val="ListParagraph"/>
        <w:rPr>
          <w:rFonts w:ascii="Cambria" w:eastAsia="Times New Roman" w:hAnsi="Cambria" w:cs="Times New Roman"/>
          <w:color w:val="222222"/>
          <w:sz w:val="20"/>
          <w:szCs w:val="20"/>
          <w:u w:val="single"/>
        </w:rPr>
      </w:pPr>
    </w:p>
    <w:p w14:paraId="5DB1B951" w14:textId="1B476A8E" w:rsidR="00831FA4" w:rsidRPr="00BB7719" w:rsidRDefault="00654D8C"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Paragraph 10 of </w:t>
      </w:r>
      <w:r w:rsidR="00831FA4" w:rsidRPr="00BB7719">
        <w:rPr>
          <w:rFonts w:ascii="Cambria" w:eastAsia="Times New Roman" w:hAnsi="Cambria" w:cs="Times New Roman"/>
          <w:color w:val="222222"/>
          <w:sz w:val="20"/>
          <w:szCs w:val="20"/>
          <w:u w:val="single"/>
        </w:rPr>
        <w:t xml:space="preserve">Recommendation 12-03 </w:t>
      </w:r>
      <w:r w:rsidRPr="00BB7719">
        <w:rPr>
          <w:rFonts w:ascii="Cambria" w:eastAsia="Times New Roman" w:hAnsi="Cambria" w:cs="Times New Roman"/>
          <w:color w:val="222222"/>
          <w:sz w:val="20"/>
          <w:szCs w:val="20"/>
          <w:u w:val="single"/>
        </w:rPr>
        <w:t xml:space="preserve">stated that </w:t>
      </w:r>
      <w:r w:rsidR="00831FA4" w:rsidRPr="00BB7719">
        <w:rPr>
          <w:rFonts w:ascii="Cambria" w:eastAsia="Times New Roman" w:hAnsi="Cambria" w:cs="Times New Roman"/>
          <w:color w:val="222222"/>
          <w:sz w:val="20"/>
          <w:szCs w:val="20"/>
          <w:u w:val="single"/>
        </w:rPr>
        <w:t>the re</w:t>
      </w:r>
      <w:r w:rsidR="00500D51" w:rsidRPr="00BB7719">
        <w:rPr>
          <w:rFonts w:ascii="Cambria" w:eastAsia="Times New Roman" w:hAnsi="Cambria" w:cs="Times New Roman"/>
          <w:color w:val="222222"/>
          <w:sz w:val="20"/>
          <w:szCs w:val="20"/>
          <w:u w:val="single"/>
        </w:rPr>
        <w:t>-establishment</w:t>
      </w:r>
      <w:r w:rsidR="00831FA4" w:rsidRPr="00BB7719">
        <w:rPr>
          <w:rFonts w:ascii="Cambria" w:eastAsia="Times New Roman" w:hAnsi="Cambria" w:cs="Times New Roman"/>
          <w:color w:val="222222"/>
          <w:sz w:val="20"/>
          <w:szCs w:val="20"/>
          <w:u w:val="single"/>
        </w:rPr>
        <w:t xml:space="preserve"> of Algeria's quota would be </w:t>
      </w:r>
      <w:r w:rsidR="004B0E3A" w:rsidRPr="00BB7719">
        <w:rPr>
          <w:rFonts w:ascii="Cambria" w:eastAsia="Times New Roman" w:hAnsi="Cambria" w:cs="Times New Roman"/>
          <w:color w:val="222222"/>
          <w:sz w:val="20"/>
          <w:szCs w:val="20"/>
          <w:u w:val="single"/>
        </w:rPr>
        <w:t>considered</w:t>
      </w:r>
      <w:r w:rsidR="00831FA4" w:rsidRPr="00BB7719">
        <w:rPr>
          <w:rFonts w:ascii="Cambria" w:eastAsia="Times New Roman" w:hAnsi="Cambria" w:cs="Times New Roman"/>
          <w:color w:val="222222"/>
          <w:sz w:val="20"/>
          <w:szCs w:val="20"/>
          <w:u w:val="single"/>
        </w:rPr>
        <w:t xml:space="preserve"> a priority </w:t>
      </w:r>
      <w:r w:rsidR="004B0E3A" w:rsidRPr="00BB7719">
        <w:rPr>
          <w:rFonts w:ascii="Cambria" w:eastAsia="Times New Roman" w:hAnsi="Cambria" w:cs="Times New Roman"/>
          <w:color w:val="222222"/>
          <w:sz w:val="20"/>
          <w:szCs w:val="20"/>
          <w:u w:val="single"/>
        </w:rPr>
        <w:t>in</w:t>
      </w:r>
      <w:r w:rsidR="00831FA4" w:rsidRPr="00BB7719">
        <w:rPr>
          <w:rFonts w:ascii="Cambria" w:eastAsia="Times New Roman" w:hAnsi="Cambria" w:cs="Times New Roman"/>
          <w:color w:val="222222"/>
          <w:sz w:val="20"/>
          <w:szCs w:val="20"/>
          <w:u w:val="single"/>
        </w:rPr>
        <w:t xml:space="preserve"> future revisions</w:t>
      </w:r>
      <w:r w:rsidRPr="00BB7719">
        <w:rPr>
          <w:rFonts w:ascii="Cambria" w:eastAsia="Times New Roman" w:hAnsi="Cambria" w:cs="Times New Roman"/>
          <w:color w:val="222222"/>
          <w:sz w:val="20"/>
          <w:szCs w:val="20"/>
          <w:u w:val="single"/>
        </w:rPr>
        <w:t xml:space="preserve"> of the TAC</w:t>
      </w:r>
      <w:r w:rsidR="00831FA4" w:rsidRPr="00BB7719">
        <w:rPr>
          <w:rFonts w:ascii="Cambria" w:eastAsia="Times New Roman" w:hAnsi="Cambria" w:cs="Times New Roman"/>
          <w:color w:val="222222"/>
          <w:sz w:val="20"/>
          <w:szCs w:val="20"/>
          <w:u w:val="single"/>
        </w:rPr>
        <w:t xml:space="preserve">. </w:t>
      </w:r>
      <w:r w:rsidR="00E753BC" w:rsidRPr="00BB7719">
        <w:rPr>
          <w:rFonts w:ascii="Cambria" w:eastAsia="Times New Roman" w:hAnsi="Cambria" w:cs="Times New Roman"/>
          <w:color w:val="222222"/>
          <w:sz w:val="20"/>
          <w:szCs w:val="20"/>
          <w:u w:val="single"/>
        </w:rPr>
        <w:t xml:space="preserve">With the support of </w:t>
      </w:r>
      <w:r w:rsidR="00F32D8E" w:rsidRPr="00BB7719">
        <w:rPr>
          <w:rFonts w:ascii="Cambria" w:eastAsia="Times New Roman" w:hAnsi="Cambria" w:cs="Times New Roman"/>
          <w:color w:val="222222"/>
          <w:sz w:val="20"/>
          <w:szCs w:val="20"/>
          <w:u w:val="single"/>
        </w:rPr>
        <w:t>this</w:t>
      </w:r>
      <w:r w:rsidR="00831FA4" w:rsidRPr="00BB7719">
        <w:rPr>
          <w:rFonts w:ascii="Cambria" w:eastAsia="Times New Roman" w:hAnsi="Cambria" w:cs="Times New Roman"/>
          <w:color w:val="222222"/>
          <w:sz w:val="20"/>
          <w:szCs w:val="20"/>
          <w:u w:val="single"/>
        </w:rPr>
        <w:t xml:space="preserve"> commitment by the ICCAT </w:t>
      </w:r>
      <w:r w:rsidR="00052F02" w:rsidRPr="00BB7719">
        <w:rPr>
          <w:rFonts w:ascii="Cambria" w:eastAsia="Times New Roman" w:hAnsi="Cambria" w:cs="Times New Roman"/>
          <w:color w:val="222222"/>
          <w:sz w:val="20"/>
          <w:szCs w:val="20"/>
          <w:u w:val="single"/>
        </w:rPr>
        <w:t>bodies</w:t>
      </w:r>
      <w:r w:rsidR="00831FA4" w:rsidRPr="00BB7719">
        <w:rPr>
          <w:rFonts w:ascii="Cambria" w:eastAsia="Times New Roman" w:hAnsi="Cambria" w:cs="Times New Roman"/>
          <w:color w:val="222222"/>
          <w:sz w:val="20"/>
          <w:szCs w:val="20"/>
          <w:u w:val="single"/>
        </w:rPr>
        <w:t xml:space="preserve">, Algeria then considered the matter closed pending this </w:t>
      </w:r>
      <w:r w:rsidR="005127E8" w:rsidRPr="00BB7719">
        <w:rPr>
          <w:rFonts w:ascii="Cambria" w:eastAsia="Times New Roman" w:hAnsi="Cambria" w:cs="Times New Roman"/>
          <w:color w:val="222222"/>
          <w:sz w:val="20"/>
          <w:szCs w:val="20"/>
          <w:u w:val="single"/>
        </w:rPr>
        <w:t>re-establishment</w:t>
      </w:r>
      <w:r w:rsidR="009B7EAC" w:rsidRPr="00BB7719">
        <w:rPr>
          <w:rFonts w:ascii="Cambria" w:eastAsia="Times New Roman" w:hAnsi="Cambria" w:cs="Times New Roman"/>
          <w:color w:val="222222"/>
          <w:sz w:val="20"/>
          <w:szCs w:val="20"/>
          <w:u w:val="single"/>
        </w:rPr>
        <w:t>.</w:t>
      </w:r>
      <w:r w:rsidRPr="00BB7719">
        <w:rPr>
          <w:rFonts w:ascii="Cambria" w:eastAsia="Times New Roman" w:hAnsi="Cambria" w:cs="Times New Roman"/>
          <w:color w:val="222222"/>
          <w:sz w:val="20"/>
          <w:szCs w:val="20"/>
          <w:u w:val="single"/>
        </w:rPr>
        <w:t xml:space="preserve"> </w:t>
      </w:r>
    </w:p>
    <w:p w14:paraId="09237395" w14:textId="77777777" w:rsidR="005C06F0" w:rsidRPr="00BB7719" w:rsidRDefault="005C06F0" w:rsidP="005C06F0">
      <w:pPr>
        <w:pStyle w:val="ListParagraph"/>
        <w:spacing w:after="0" w:line="240" w:lineRule="auto"/>
        <w:jc w:val="both"/>
        <w:rPr>
          <w:rFonts w:ascii="Cambria" w:eastAsia="Times New Roman" w:hAnsi="Cambria" w:cs="Times New Roman"/>
          <w:color w:val="222222"/>
          <w:sz w:val="20"/>
          <w:szCs w:val="20"/>
          <w:u w:val="single"/>
        </w:rPr>
      </w:pPr>
    </w:p>
    <w:p w14:paraId="061F52A3" w14:textId="3A3E7536" w:rsidR="00831FA4" w:rsidRPr="00BB7719" w:rsidRDefault="00831FA4" w:rsidP="005C06F0">
      <w:pPr>
        <w:pStyle w:val="ListParagraph"/>
        <w:numPr>
          <w:ilvl w:val="0"/>
          <w:numId w:val="12"/>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legal case concluded with a final verdict on </w:t>
      </w:r>
      <w:r w:rsidR="00204CC5" w:rsidRPr="00BB7719">
        <w:rPr>
          <w:rFonts w:ascii="Cambria" w:eastAsia="Times New Roman" w:hAnsi="Cambria" w:cs="Times New Roman"/>
          <w:color w:val="222222"/>
          <w:sz w:val="20"/>
          <w:szCs w:val="20"/>
          <w:u w:val="single"/>
        </w:rPr>
        <w:t xml:space="preserve">19 </w:t>
      </w:r>
      <w:r w:rsidRPr="00BB7719">
        <w:rPr>
          <w:rFonts w:ascii="Cambria" w:eastAsia="Times New Roman" w:hAnsi="Cambria" w:cs="Times New Roman"/>
          <w:color w:val="222222"/>
          <w:sz w:val="20"/>
          <w:szCs w:val="20"/>
          <w:u w:val="single"/>
        </w:rPr>
        <w:t>April 2015, under number (2015/2868). To date, neither the Compliance Committee nor any Contracting Party has requested information regarding the conclusions of this judgment.</w:t>
      </w:r>
    </w:p>
    <w:p w14:paraId="7AB1F481" w14:textId="77777777" w:rsidR="00831FA4" w:rsidRPr="00BB7719" w:rsidRDefault="00831FA4" w:rsidP="00831FA4">
      <w:pPr>
        <w:spacing w:after="0" w:line="240" w:lineRule="auto"/>
        <w:contextualSpacing/>
        <w:jc w:val="both"/>
        <w:rPr>
          <w:rFonts w:ascii="Cambria" w:eastAsia="Times New Roman" w:hAnsi="Cambria" w:cs="Times New Roman"/>
          <w:color w:val="222222"/>
          <w:sz w:val="20"/>
          <w:szCs w:val="20"/>
          <w:u w:val="single"/>
        </w:rPr>
      </w:pPr>
    </w:p>
    <w:p w14:paraId="5CAA7297" w14:textId="77777777" w:rsidR="00E35F72" w:rsidRPr="00BB7719"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64744C2F" w14:textId="77777777" w:rsidR="00E35F72" w:rsidRPr="00BB7719"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56652EE4" w14:textId="77777777" w:rsidR="00E35F72" w:rsidRPr="00BB7719"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53677F31" w14:textId="77777777" w:rsidR="00E35F72" w:rsidRPr="00BB7719" w:rsidRDefault="00E35F72" w:rsidP="00831FA4">
      <w:pPr>
        <w:spacing w:after="0" w:line="240" w:lineRule="auto"/>
        <w:contextualSpacing/>
        <w:jc w:val="both"/>
        <w:rPr>
          <w:rFonts w:ascii="Cambria" w:eastAsia="Times New Roman" w:hAnsi="Cambria" w:cs="Times New Roman"/>
          <w:color w:val="222222"/>
          <w:sz w:val="20"/>
          <w:szCs w:val="20"/>
          <w:u w:val="single"/>
        </w:rPr>
      </w:pPr>
    </w:p>
    <w:p w14:paraId="68C4EFE9" w14:textId="77777777" w:rsidR="005C06F0" w:rsidRPr="00BB7719" w:rsidRDefault="005C06F0" w:rsidP="00844FE3">
      <w:pPr>
        <w:spacing w:after="0" w:line="240" w:lineRule="auto"/>
        <w:contextualSpacing/>
        <w:jc w:val="both"/>
        <w:rPr>
          <w:rFonts w:ascii="Cambria" w:eastAsia="Times New Roman" w:hAnsi="Cambria" w:cs="Times New Roman"/>
          <w:color w:val="222222"/>
          <w:sz w:val="20"/>
          <w:szCs w:val="20"/>
          <w:u w:val="single"/>
          <w:lang w:val="en-GB"/>
        </w:rPr>
      </w:pPr>
    </w:p>
    <w:p w14:paraId="0C6D4D29" w14:textId="77777777" w:rsidR="005C06F0" w:rsidRPr="00BB7719" w:rsidRDefault="005C06F0" w:rsidP="00844FE3">
      <w:pPr>
        <w:spacing w:after="0" w:line="240" w:lineRule="auto"/>
        <w:contextualSpacing/>
        <w:jc w:val="both"/>
        <w:rPr>
          <w:rFonts w:ascii="Cambria" w:eastAsia="Times New Roman" w:hAnsi="Cambria" w:cs="Times New Roman"/>
          <w:color w:val="222222"/>
          <w:sz w:val="20"/>
          <w:szCs w:val="20"/>
          <w:u w:val="single"/>
          <w:lang w:val="en-GB"/>
        </w:rPr>
      </w:pPr>
    </w:p>
    <w:p w14:paraId="2326E144" w14:textId="77777777" w:rsidR="005C06F0" w:rsidRPr="00BB7719" w:rsidRDefault="005C06F0" w:rsidP="00844FE3">
      <w:pPr>
        <w:spacing w:after="0" w:line="240" w:lineRule="auto"/>
        <w:contextualSpacing/>
        <w:jc w:val="both"/>
        <w:rPr>
          <w:rFonts w:ascii="Cambria" w:eastAsia="Times New Roman" w:hAnsi="Cambria" w:cs="Times New Roman"/>
          <w:color w:val="222222"/>
          <w:sz w:val="20"/>
          <w:szCs w:val="20"/>
          <w:u w:val="single"/>
          <w:lang w:val="en-GB"/>
        </w:rPr>
      </w:pPr>
    </w:p>
    <w:p w14:paraId="51806AB0" w14:textId="77777777" w:rsidR="00C55A0F" w:rsidRPr="00BB7719" w:rsidRDefault="00200F75" w:rsidP="00844FE3">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lastRenderedPageBreak/>
        <w:t xml:space="preserve">Presentation of the facts and course of the legal proceedings: </w:t>
      </w:r>
    </w:p>
    <w:p w14:paraId="2D03F252" w14:textId="77777777" w:rsidR="00C55A0F" w:rsidRPr="00BB7719" w:rsidRDefault="00C55A0F" w:rsidP="00844FE3">
      <w:pPr>
        <w:spacing w:after="0" w:line="240" w:lineRule="auto"/>
        <w:contextualSpacing/>
        <w:jc w:val="both"/>
        <w:rPr>
          <w:rFonts w:ascii="Cambria" w:eastAsia="Times New Roman" w:hAnsi="Cambria" w:cs="Times New Roman"/>
          <w:color w:val="222222"/>
          <w:sz w:val="20"/>
          <w:szCs w:val="20"/>
          <w:u w:val="single"/>
        </w:rPr>
      </w:pPr>
    </w:p>
    <w:p w14:paraId="71B55EEC" w14:textId="4541EE27" w:rsidR="00A87F17" w:rsidRPr="00BB7719" w:rsidRDefault="00200F75" w:rsidP="00844FE3">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This case, initially raised at the 2009 annual meeting</w:t>
      </w:r>
      <w:r w:rsidR="00883E6E" w:rsidRPr="00BB7719">
        <w:rPr>
          <w:rFonts w:ascii="Cambria" w:eastAsia="Times New Roman" w:hAnsi="Cambria" w:cs="Times New Roman"/>
          <w:color w:val="222222"/>
          <w:sz w:val="20"/>
          <w:szCs w:val="20"/>
          <w:u w:val="single"/>
        </w:rPr>
        <w:t xml:space="preserve"> and</w:t>
      </w:r>
      <w:r w:rsidRPr="00BB7719">
        <w:rPr>
          <w:rFonts w:ascii="Cambria" w:eastAsia="Times New Roman" w:hAnsi="Cambria" w:cs="Times New Roman"/>
          <w:color w:val="222222"/>
          <w:sz w:val="20"/>
          <w:szCs w:val="20"/>
          <w:u w:val="single"/>
        </w:rPr>
        <w:t xml:space="preserve"> bas</w:t>
      </w:r>
      <w:r w:rsidR="003E3B6E" w:rsidRPr="00BB7719">
        <w:rPr>
          <w:rFonts w:ascii="Cambria" w:eastAsia="Times New Roman" w:hAnsi="Cambria" w:cs="Times New Roman"/>
          <w:color w:val="222222"/>
          <w:sz w:val="20"/>
          <w:szCs w:val="20"/>
          <w:u w:val="single"/>
        </w:rPr>
        <w:t>ed on</w:t>
      </w:r>
      <w:r w:rsidRPr="00BB7719">
        <w:rPr>
          <w:rFonts w:ascii="Cambria" w:eastAsia="Times New Roman" w:hAnsi="Cambria" w:cs="Times New Roman"/>
          <w:color w:val="222222"/>
          <w:sz w:val="20"/>
          <w:szCs w:val="20"/>
          <w:u w:val="single"/>
        </w:rPr>
        <w:t xml:space="preserve"> press articles, has been subject to </w:t>
      </w:r>
      <w:r w:rsidR="005575D1" w:rsidRPr="00BB7719">
        <w:rPr>
          <w:rFonts w:ascii="Cambria" w:eastAsia="Times New Roman" w:hAnsi="Cambria" w:cs="Times New Roman"/>
          <w:color w:val="222222"/>
          <w:sz w:val="20"/>
          <w:szCs w:val="20"/>
          <w:u w:val="single"/>
        </w:rPr>
        <w:t>thorough judicial follo</w:t>
      </w:r>
      <w:r w:rsidR="00280259" w:rsidRPr="00BB7719">
        <w:rPr>
          <w:rFonts w:ascii="Cambria" w:eastAsia="Times New Roman" w:hAnsi="Cambria" w:cs="Times New Roman"/>
          <w:color w:val="222222"/>
          <w:sz w:val="20"/>
          <w:szCs w:val="20"/>
          <w:u w:val="single"/>
        </w:rPr>
        <w:t>w</w:t>
      </w:r>
      <w:r w:rsidR="005575D1" w:rsidRPr="00BB7719">
        <w:rPr>
          <w:rFonts w:ascii="Cambria" w:eastAsia="Times New Roman" w:hAnsi="Cambria" w:cs="Times New Roman"/>
          <w:color w:val="222222"/>
          <w:sz w:val="20"/>
          <w:szCs w:val="20"/>
          <w:u w:val="single"/>
        </w:rPr>
        <w:t>-up</w:t>
      </w:r>
      <w:r w:rsidR="00A87F17" w:rsidRPr="00BB7719">
        <w:rPr>
          <w:rFonts w:ascii="Cambria" w:eastAsia="Times New Roman" w:hAnsi="Cambria" w:cs="Times New Roman"/>
          <w:color w:val="222222"/>
          <w:sz w:val="20"/>
          <w:szCs w:val="20"/>
          <w:u w:val="single"/>
        </w:rPr>
        <w:t>.</w:t>
      </w:r>
    </w:p>
    <w:p w14:paraId="75F95DEA" w14:textId="77777777" w:rsidR="00A87F17" w:rsidRPr="00BB7719" w:rsidRDefault="00A87F17" w:rsidP="00844FE3">
      <w:pPr>
        <w:spacing w:after="0" w:line="240" w:lineRule="auto"/>
        <w:contextualSpacing/>
        <w:jc w:val="both"/>
        <w:rPr>
          <w:rFonts w:ascii="Cambria" w:eastAsia="Times New Roman" w:hAnsi="Cambria" w:cs="Times New Roman"/>
          <w:color w:val="222222"/>
          <w:sz w:val="20"/>
          <w:szCs w:val="20"/>
          <w:u w:val="single"/>
        </w:rPr>
      </w:pPr>
    </w:p>
    <w:p w14:paraId="6DCF835E" w14:textId="7BF12720" w:rsidR="00551113" w:rsidRPr="00BB7719" w:rsidRDefault="00200F75" w:rsidP="00A87F17">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i/>
          <w:iCs/>
          <w:color w:val="222222"/>
          <w:sz w:val="20"/>
          <w:szCs w:val="20"/>
          <w:u w:val="single"/>
        </w:rPr>
        <w:t>Controls and regulatory framework:</w:t>
      </w:r>
      <w:r w:rsidRPr="00BB7719">
        <w:rPr>
          <w:rFonts w:ascii="Cambria" w:eastAsia="Times New Roman" w:hAnsi="Cambria" w:cs="Times New Roman"/>
          <w:color w:val="222222"/>
          <w:sz w:val="20"/>
          <w:szCs w:val="20"/>
          <w:u w:val="single"/>
        </w:rPr>
        <w:t xml:space="preserve"> Algeria has always exercised strict control over its fishing activities through its personnel, coastguard</w:t>
      </w:r>
      <w:r w:rsidR="00A70D57" w:rsidRPr="00BB7719">
        <w:rPr>
          <w:rFonts w:ascii="Cambria" w:eastAsia="Times New Roman" w:hAnsi="Cambria" w:cs="Times New Roman"/>
          <w:color w:val="222222"/>
          <w:sz w:val="20"/>
          <w:szCs w:val="20"/>
          <w:u w:val="single"/>
        </w:rPr>
        <w:t>s</w:t>
      </w:r>
      <w:r w:rsidRPr="00BB7719">
        <w:rPr>
          <w:rFonts w:ascii="Cambria" w:eastAsia="Times New Roman" w:hAnsi="Cambria" w:cs="Times New Roman"/>
          <w:color w:val="222222"/>
          <w:sz w:val="20"/>
          <w:szCs w:val="20"/>
          <w:u w:val="single"/>
        </w:rPr>
        <w:t xml:space="preserve"> and national observers. The vessels concerned were duly </w:t>
      </w:r>
      <w:proofErr w:type="spellStart"/>
      <w:r w:rsidRPr="00BB7719">
        <w:rPr>
          <w:rFonts w:ascii="Cambria" w:eastAsia="Times New Roman" w:hAnsi="Cambria" w:cs="Times New Roman"/>
          <w:color w:val="222222"/>
          <w:sz w:val="20"/>
          <w:szCs w:val="20"/>
          <w:u w:val="single"/>
        </w:rPr>
        <w:t>authorised</w:t>
      </w:r>
      <w:proofErr w:type="spellEnd"/>
      <w:r w:rsidRPr="00BB7719">
        <w:rPr>
          <w:rFonts w:ascii="Cambria" w:eastAsia="Times New Roman" w:hAnsi="Cambria" w:cs="Times New Roman"/>
          <w:color w:val="222222"/>
          <w:sz w:val="20"/>
          <w:szCs w:val="20"/>
          <w:u w:val="single"/>
        </w:rPr>
        <w:t xml:space="preserve"> and equipped with </w:t>
      </w:r>
      <w:r w:rsidR="00551113" w:rsidRPr="00BB7719">
        <w:rPr>
          <w:rFonts w:ascii="Cambria" w:eastAsia="Times New Roman" w:hAnsi="Cambria" w:cs="Times New Roman"/>
          <w:color w:val="222222"/>
          <w:sz w:val="20"/>
          <w:szCs w:val="20"/>
          <w:u w:val="single"/>
        </w:rPr>
        <w:t xml:space="preserve">vessel </w:t>
      </w:r>
      <w:r w:rsidRPr="00BB7719">
        <w:rPr>
          <w:rFonts w:ascii="Cambria" w:eastAsia="Times New Roman" w:hAnsi="Cambria" w:cs="Times New Roman"/>
          <w:color w:val="222222"/>
          <w:sz w:val="20"/>
          <w:szCs w:val="20"/>
          <w:u w:val="single"/>
        </w:rPr>
        <w:t>monitoring systems (VMS).</w:t>
      </w:r>
    </w:p>
    <w:p w14:paraId="55731545" w14:textId="77777777" w:rsidR="00883E6E" w:rsidRPr="00BB7719" w:rsidRDefault="00883E6E" w:rsidP="00883E6E">
      <w:pPr>
        <w:pStyle w:val="ListParagraph"/>
        <w:spacing w:after="0" w:line="240" w:lineRule="auto"/>
        <w:jc w:val="both"/>
        <w:rPr>
          <w:rFonts w:ascii="Cambria" w:eastAsia="Times New Roman" w:hAnsi="Cambria" w:cs="Times New Roman"/>
          <w:color w:val="222222"/>
          <w:sz w:val="20"/>
          <w:szCs w:val="20"/>
          <w:u w:val="single"/>
        </w:rPr>
      </w:pPr>
    </w:p>
    <w:p w14:paraId="6ECEE8D3" w14:textId="14921D8B" w:rsidR="00200F75" w:rsidRPr="00BB7719" w:rsidRDefault="00200F75" w:rsidP="00A87F17">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i/>
          <w:iCs/>
          <w:color w:val="222222"/>
          <w:sz w:val="20"/>
          <w:szCs w:val="20"/>
          <w:u w:val="single"/>
        </w:rPr>
        <w:t>Interception and findings:</w:t>
      </w:r>
      <w:r w:rsidRPr="00BB7719">
        <w:rPr>
          <w:rFonts w:ascii="Cambria" w:eastAsia="Times New Roman" w:hAnsi="Cambria" w:cs="Times New Roman"/>
          <w:color w:val="222222"/>
          <w:sz w:val="20"/>
          <w:szCs w:val="20"/>
          <w:u w:val="single"/>
        </w:rPr>
        <w:t xml:space="preserve"> On 12 June 2009, the Algerian authorities intercepted two Algerian seiners and three Turkish-flagged vessels in Algerian territorial waters. The findings revealed the presence </w:t>
      </w:r>
      <w:r w:rsidR="001D4E70" w:rsidRPr="00BB7719">
        <w:rPr>
          <w:rFonts w:ascii="Cambria" w:eastAsia="Times New Roman" w:hAnsi="Cambria" w:cs="Times New Roman"/>
          <w:color w:val="222222"/>
          <w:sz w:val="20"/>
          <w:szCs w:val="20"/>
          <w:u w:val="single"/>
        </w:rPr>
        <w:t xml:space="preserve">of </w:t>
      </w:r>
      <w:r w:rsidRPr="00BB7719">
        <w:rPr>
          <w:rFonts w:ascii="Cambria" w:eastAsia="Times New Roman" w:hAnsi="Cambria" w:cs="Times New Roman"/>
          <w:color w:val="222222"/>
          <w:sz w:val="20"/>
          <w:szCs w:val="20"/>
          <w:u w:val="single"/>
        </w:rPr>
        <w:t>"prior transfer notification" documents</w:t>
      </w:r>
      <w:r w:rsidR="001D4E70" w:rsidRPr="00BB7719">
        <w:rPr>
          <w:rFonts w:ascii="Cambria" w:eastAsia="Times New Roman" w:hAnsi="Cambria" w:cs="Times New Roman"/>
          <w:color w:val="222222"/>
          <w:sz w:val="20"/>
          <w:szCs w:val="20"/>
          <w:u w:val="single"/>
        </w:rPr>
        <w:t xml:space="preserve"> </w:t>
      </w:r>
      <w:r w:rsidR="0044492D" w:rsidRPr="00BB7719">
        <w:rPr>
          <w:rFonts w:ascii="Cambria" w:eastAsia="Times New Roman" w:hAnsi="Cambria" w:cs="Times New Roman"/>
          <w:color w:val="222222"/>
          <w:sz w:val="20"/>
          <w:szCs w:val="20"/>
          <w:u w:val="single"/>
        </w:rPr>
        <w:t xml:space="preserve">which were </w:t>
      </w:r>
      <w:r w:rsidR="001D4E70" w:rsidRPr="00BB7719">
        <w:rPr>
          <w:rFonts w:ascii="Cambria" w:eastAsia="Times New Roman" w:hAnsi="Cambria" w:cs="Times New Roman"/>
          <w:color w:val="222222"/>
          <w:sz w:val="20"/>
          <w:szCs w:val="20"/>
          <w:u w:val="single"/>
        </w:rPr>
        <w:t>duly completed</w:t>
      </w:r>
      <w:r w:rsidRPr="00BB7719">
        <w:rPr>
          <w:rFonts w:ascii="Cambria" w:eastAsia="Times New Roman" w:hAnsi="Cambria" w:cs="Times New Roman"/>
          <w:color w:val="222222"/>
          <w:sz w:val="20"/>
          <w:szCs w:val="20"/>
          <w:u w:val="single"/>
        </w:rPr>
        <w:t xml:space="preserve">. National observers were also present onboard the Algerian </w:t>
      </w:r>
      <w:r w:rsidR="00DA74B2" w:rsidRPr="00BB7719">
        <w:rPr>
          <w:rFonts w:ascii="Cambria" w:eastAsia="Times New Roman" w:hAnsi="Cambria" w:cs="Times New Roman"/>
          <w:color w:val="222222"/>
          <w:sz w:val="20"/>
          <w:szCs w:val="20"/>
          <w:u w:val="single"/>
        </w:rPr>
        <w:t xml:space="preserve">purse </w:t>
      </w:r>
      <w:r w:rsidRPr="00BB7719">
        <w:rPr>
          <w:rFonts w:ascii="Cambria" w:eastAsia="Times New Roman" w:hAnsi="Cambria" w:cs="Times New Roman"/>
          <w:color w:val="222222"/>
          <w:sz w:val="20"/>
          <w:szCs w:val="20"/>
          <w:u w:val="single"/>
        </w:rPr>
        <w:t>seiners.</w:t>
      </w:r>
    </w:p>
    <w:p w14:paraId="6F4C02A7" w14:textId="77777777" w:rsidR="00200F75" w:rsidRPr="00BB7719" w:rsidRDefault="00200F75" w:rsidP="00844FE3">
      <w:pPr>
        <w:spacing w:after="0" w:line="240" w:lineRule="auto"/>
        <w:contextualSpacing/>
        <w:jc w:val="both"/>
        <w:rPr>
          <w:rFonts w:ascii="Cambria" w:eastAsia="Times New Roman" w:hAnsi="Cambria" w:cs="Times New Roman"/>
          <w:color w:val="222222"/>
          <w:sz w:val="20"/>
          <w:szCs w:val="20"/>
          <w:u w:val="single"/>
        </w:rPr>
      </w:pPr>
    </w:p>
    <w:p w14:paraId="76CE7110" w14:textId="07C3C8F1" w:rsidR="009B7114" w:rsidRPr="00BB7719" w:rsidRDefault="009B7114" w:rsidP="00844FE3">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A transport cage containing live bluefin tuna towed by a Turkish vessel was also intercepted.</w:t>
      </w:r>
    </w:p>
    <w:p w14:paraId="29409558" w14:textId="77777777" w:rsidR="00844FE3" w:rsidRPr="00BB7719" w:rsidRDefault="00844FE3" w:rsidP="00844FE3">
      <w:pPr>
        <w:spacing w:after="0" w:line="240" w:lineRule="auto"/>
        <w:contextualSpacing/>
        <w:jc w:val="both"/>
        <w:rPr>
          <w:rFonts w:ascii="Cambria" w:eastAsia="Times New Roman" w:hAnsi="Cambria" w:cs="Times New Roman"/>
          <w:color w:val="222222"/>
          <w:sz w:val="20"/>
          <w:szCs w:val="20"/>
        </w:rPr>
      </w:pPr>
    </w:p>
    <w:p w14:paraId="2051E6AC" w14:textId="6EF9A5C9" w:rsidR="009B7114" w:rsidRPr="00BB7719" w:rsidRDefault="009B7114" w:rsidP="00C11098">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i/>
          <w:iCs/>
          <w:color w:val="222222"/>
          <w:sz w:val="20"/>
          <w:szCs w:val="20"/>
          <w:u w:val="single"/>
        </w:rPr>
        <w:t>Legal proceedings:</w:t>
      </w:r>
      <w:r w:rsidRPr="00BB7719">
        <w:rPr>
          <w:rFonts w:ascii="Cambria" w:eastAsia="Times New Roman" w:hAnsi="Cambria" w:cs="Times New Roman"/>
          <w:color w:val="222222"/>
          <w:sz w:val="20"/>
          <w:szCs w:val="20"/>
          <w:u w:val="single"/>
        </w:rPr>
        <w:t xml:space="preserve"> An investigation was launched. On 24 June 2009, </w:t>
      </w:r>
      <w:proofErr w:type="gramStart"/>
      <w:r w:rsidRPr="00BB7719">
        <w:rPr>
          <w:rFonts w:ascii="Cambria" w:eastAsia="Times New Roman" w:hAnsi="Cambria" w:cs="Times New Roman"/>
          <w:color w:val="222222"/>
          <w:sz w:val="20"/>
          <w:szCs w:val="20"/>
          <w:u w:val="single"/>
        </w:rPr>
        <w:t>in order to</w:t>
      </w:r>
      <w:proofErr w:type="gramEnd"/>
      <w:r w:rsidRPr="00BB7719">
        <w:rPr>
          <w:rFonts w:ascii="Cambria" w:eastAsia="Times New Roman" w:hAnsi="Cambria" w:cs="Times New Roman"/>
          <w:color w:val="222222"/>
          <w:sz w:val="20"/>
          <w:szCs w:val="20"/>
          <w:u w:val="single"/>
        </w:rPr>
        <w:t xml:space="preserve"> preserve resources, the courts ordered the release of 210 t of </w:t>
      </w:r>
      <w:r w:rsidR="006332A3" w:rsidRPr="00BB7719">
        <w:rPr>
          <w:rFonts w:ascii="Cambria" w:eastAsia="Times New Roman" w:hAnsi="Cambria" w:cs="Times New Roman"/>
          <w:color w:val="222222"/>
          <w:sz w:val="20"/>
          <w:szCs w:val="20"/>
          <w:u w:val="single"/>
        </w:rPr>
        <w:t xml:space="preserve">live </w:t>
      </w:r>
      <w:r w:rsidRPr="00BB7719">
        <w:rPr>
          <w:rFonts w:ascii="Cambria" w:eastAsia="Times New Roman" w:hAnsi="Cambria" w:cs="Times New Roman"/>
          <w:color w:val="222222"/>
          <w:sz w:val="20"/>
          <w:szCs w:val="20"/>
          <w:u w:val="single"/>
        </w:rPr>
        <w:t xml:space="preserve">bluefin tuna </w:t>
      </w:r>
      <w:r w:rsidR="008D0265" w:rsidRPr="00BB7719">
        <w:rPr>
          <w:rFonts w:ascii="Cambria" w:eastAsia="Times New Roman" w:hAnsi="Cambria" w:cs="Times New Roman"/>
          <w:color w:val="222222"/>
          <w:sz w:val="20"/>
          <w:szCs w:val="20"/>
          <w:u w:val="single"/>
        </w:rPr>
        <w:t xml:space="preserve">to </w:t>
      </w:r>
      <w:r w:rsidRPr="00BB7719">
        <w:rPr>
          <w:rFonts w:ascii="Cambria" w:eastAsia="Times New Roman" w:hAnsi="Cambria" w:cs="Times New Roman"/>
          <w:color w:val="222222"/>
          <w:sz w:val="20"/>
          <w:szCs w:val="20"/>
          <w:u w:val="single"/>
        </w:rPr>
        <w:t xml:space="preserve">their natural environment and </w:t>
      </w:r>
      <w:r w:rsidR="0099681C" w:rsidRPr="00BB7719">
        <w:rPr>
          <w:rFonts w:ascii="Cambria" w:eastAsia="Times New Roman" w:hAnsi="Cambria" w:cs="Times New Roman"/>
          <w:color w:val="222222"/>
          <w:sz w:val="20"/>
          <w:szCs w:val="20"/>
          <w:u w:val="single"/>
        </w:rPr>
        <w:t>confiscated</w:t>
      </w:r>
      <w:r w:rsidRPr="00BB7719">
        <w:rPr>
          <w:rFonts w:ascii="Cambria" w:eastAsia="Times New Roman" w:hAnsi="Cambria" w:cs="Times New Roman"/>
          <w:color w:val="222222"/>
          <w:sz w:val="20"/>
          <w:szCs w:val="20"/>
          <w:u w:val="single"/>
        </w:rPr>
        <w:t xml:space="preserve"> the vessels involved (one Algerian tuna </w:t>
      </w:r>
      <w:r w:rsidR="002761CE" w:rsidRPr="00BB7719">
        <w:rPr>
          <w:rFonts w:ascii="Cambria" w:eastAsia="Times New Roman" w:hAnsi="Cambria" w:cs="Times New Roman"/>
          <w:color w:val="222222"/>
          <w:sz w:val="20"/>
          <w:szCs w:val="20"/>
          <w:u w:val="single"/>
        </w:rPr>
        <w:t xml:space="preserve">purse </w:t>
      </w:r>
      <w:r w:rsidRPr="00BB7719">
        <w:rPr>
          <w:rFonts w:ascii="Cambria" w:eastAsia="Times New Roman" w:hAnsi="Cambria" w:cs="Times New Roman"/>
          <w:color w:val="222222"/>
          <w:sz w:val="20"/>
          <w:szCs w:val="20"/>
          <w:u w:val="single"/>
        </w:rPr>
        <w:t>seiner and three Turkish vessels (two tugboats and one support vessel)</w:t>
      </w:r>
      <w:r w:rsidR="00646BFF" w:rsidRPr="00BB7719">
        <w:rPr>
          <w:rFonts w:ascii="Cambria" w:eastAsia="Times New Roman" w:hAnsi="Cambria" w:cs="Times New Roman"/>
          <w:color w:val="222222"/>
          <w:sz w:val="20"/>
          <w:szCs w:val="20"/>
          <w:u w:val="single"/>
        </w:rPr>
        <w:t>)</w:t>
      </w:r>
      <w:r w:rsidRPr="00BB7719">
        <w:rPr>
          <w:rFonts w:ascii="Cambria" w:eastAsia="Times New Roman" w:hAnsi="Cambria" w:cs="Times New Roman"/>
          <w:color w:val="222222"/>
          <w:sz w:val="20"/>
          <w:szCs w:val="20"/>
          <w:u w:val="single"/>
        </w:rPr>
        <w:t xml:space="preserve">. </w:t>
      </w:r>
      <w:r w:rsidR="00646BFF" w:rsidRPr="00BB7719">
        <w:rPr>
          <w:rFonts w:ascii="Cambria" w:eastAsia="Times New Roman" w:hAnsi="Cambria" w:cs="Times New Roman"/>
          <w:color w:val="222222"/>
          <w:sz w:val="20"/>
          <w:szCs w:val="20"/>
          <w:u w:val="single"/>
        </w:rPr>
        <w:t>Following</w:t>
      </w:r>
      <w:r w:rsidRPr="00BB7719">
        <w:rPr>
          <w:rFonts w:ascii="Cambria" w:eastAsia="Times New Roman" w:hAnsi="Cambria" w:cs="Times New Roman"/>
          <w:color w:val="222222"/>
          <w:sz w:val="20"/>
          <w:szCs w:val="20"/>
          <w:u w:val="single"/>
        </w:rPr>
        <w:t xml:space="preserve"> a full investigation, including proceedings </w:t>
      </w:r>
      <w:r w:rsidR="00AF1790" w:rsidRPr="00BB7719">
        <w:rPr>
          <w:rFonts w:ascii="Cambria" w:eastAsia="Times New Roman" w:hAnsi="Cambria" w:cs="Times New Roman"/>
          <w:color w:val="222222"/>
          <w:sz w:val="20"/>
          <w:szCs w:val="20"/>
          <w:u w:val="single"/>
        </w:rPr>
        <w:t>in</w:t>
      </w:r>
      <w:r w:rsidRPr="00BB7719">
        <w:rPr>
          <w:rFonts w:ascii="Cambria" w:eastAsia="Times New Roman" w:hAnsi="Cambria" w:cs="Times New Roman"/>
          <w:color w:val="222222"/>
          <w:sz w:val="20"/>
          <w:szCs w:val="20"/>
          <w:u w:val="single"/>
        </w:rPr>
        <w:t xml:space="preserve"> the courts of first instance, the Court of Appeal and the Supreme Court, a final </w:t>
      </w:r>
      <w:r w:rsidR="00626366" w:rsidRPr="00BB7719">
        <w:rPr>
          <w:rFonts w:ascii="Cambria" w:eastAsia="Times New Roman" w:hAnsi="Cambria" w:cs="Times New Roman"/>
          <w:color w:val="222222"/>
          <w:sz w:val="20"/>
          <w:szCs w:val="20"/>
          <w:u w:val="single"/>
        </w:rPr>
        <w:t xml:space="preserve">judgment </w:t>
      </w:r>
      <w:r w:rsidRPr="00BB7719">
        <w:rPr>
          <w:rFonts w:ascii="Cambria" w:eastAsia="Times New Roman" w:hAnsi="Cambria" w:cs="Times New Roman"/>
          <w:color w:val="222222"/>
          <w:sz w:val="20"/>
          <w:szCs w:val="20"/>
          <w:u w:val="single"/>
        </w:rPr>
        <w:t xml:space="preserve">was </w:t>
      </w:r>
      <w:r w:rsidR="00B34631" w:rsidRPr="00BB7719">
        <w:rPr>
          <w:rFonts w:ascii="Cambria" w:eastAsia="Times New Roman" w:hAnsi="Cambria" w:cs="Times New Roman"/>
          <w:color w:val="222222"/>
          <w:sz w:val="20"/>
          <w:szCs w:val="20"/>
          <w:u w:val="single"/>
        </w:rPr>
        <w:t>rendered</w:t>
      </w:r>
      <w:r w:rsidRPr="00BB7719">
        <w:rPr>
          <w:rFonts w:ascii="Cambria" w:eastAsia="Times New Roman" w:hAnsi="Cambria" w:cs="Times New Roman"/>
          <w:color w:val="222222"/>
          <w:sz w:val="20"/>
          <w:szCs w:val="20"/>
          <w:u w:val="single"/>
        </w:rPr>
        <w:t xml:space="preserve"> on 19 April 2015.</w:t>
      </w:r>
    </w:p>
    <w:p w14:paraId="16E05006" w14:textId="77777777" w:rsidR="00844FE3" w:rsidRPr="00BB7719" w:rsidRDefault="00844FE3" w:rsidP="00844FE3">
      <w:pPr>
        <w:spacing w:after="0" w:line="240" w:lineRule="auto"/>
        <w:ind w:left="851"/>
        <w:contextualSpacing/>
        <w:jc w:val="both"/>
        <w:rPr>
          <w:rFonts w:ascii="Cambria" w:eastAsia="Times New Roman" w:hAnsi="Cambria" w:cs="Times New Roman"/>
          <w:color w:val="222222"/>
          <w:sz w:val="20"/>
          <w:szCs w:val="20"/>
        </w:rPr>
      </w:pPr>
    </w:p>
    <w:p w14:paraId="611F523C" w14:textId="6E738002" w:rsidR="0078019F" w:rsidRPr="00BB7719" w:rsidRDefault="0078019F" w:rsidP="00306F9B">
      <w:pPr>
        <w:pStyle w:val="ListParagraph"/>
        <w:numPr>
          <w:ilvl w:val="0"/>
          <w:numId w:val="13"/>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i/>
          <w:iCs/>
          <w:color w:val="222222"/>
          <w:sz w:val="20"/>
          <w:szCs w:val="20"/>
          <w:u w:val="single"/>
        </w:rPr>
        <w:t xml:space="preserve">Verdict and </w:t>
      </w:r>
      <w:r w:rsidR="004A3457" w:rsidRPr="00BB7719">
        <w:rPr>
          <w:rFonts w:ascii="Cambria" w:eastAsia="Times New Roman" w:hAnsi="Cambria" w:cs="Times New Roman"/>
          <w:i/>
          <w:iCs/>
          <w:color w:val="222222"/>
          <w:sz w:val="20"/>
          <w:szCs w:val="20"/>
          <w:u w:val="single"/>
        </w:rPr>
        <w:t>grounds</w:t>
      </w:r>
      <w:r w:rsidRPr="00BB7719">
        <w:rPr>
          <w:rFonts w:ascii="Cambria" w:eastAsia="Times New Roman" w:hAnsi="Cambria" w:cs="Times New Roman"/>
          <w:i/>
          <w:iCs/>
          <w:color w:val="222222"/>
          <w:sz w:val="20"/>
          <w:szCs w:val="20"/>
          <w:u w:val="single"/>
        </w:rPr>
        <w:t>:</w:t>
      </w:r>
      <w:r w:rsidRPr="00BB7719">
        <w:rPr>
          <w:rFonts w:ascii="Cambria" w:eastAsia="Times New Roman" w:hAnsi="Cambria" w:cs="Times New Roman"/>
          <w:color w:val="222222"/>
          <w:sz w:val="20"/>
          <w:szCs w:val="20"/>
          <w:u w:val="single"/>
        </w:rPr>
        <w:t xml:space="preserve"> The court acquitted the parties and lifted the </w:t>
      </w:r>
      <w:r w:rsidR="00B2129B" w:rsidRPr="00BB7719">
        <w:rPr>
          <w:rFonts w:ascii="Cambria" w:eastAsia="Times New Roman" w:hAnsi="Cambria" w:cs="Times New Roman"/>
          <w:color w:val="222222"/>
          <w:sz w:val="20"/>
          <w:szCs w:val="20"/>
          <w:u w:val="single"/>
        </w:rPr>
        <w:t>seizure</w:t>
      </w:r>
      <w:r w:rsidRPr="00BB7719">
        <w:rPr>
          <w:rFonts w:ascii="Cambria" w:eastAsia="Times New Roman" w:hAnsi="Cambria" w:cs="Times New Roman"/>
          <w:color w:val="222222"/>
          <w:sz w:val="20"/>
          <w:szCs w:val="20"/>
          <w:u w:val="single"/>
        </w:rPr>
        <w:t xml:space="preserve"> of the vessels. The </w:t>
      </w:r>
      <w:r w:rsidR="00B2129B" w:rsidRPr="00BB7719">
        <w:rPr>
          <w:rFonts w:ascii="Cambria" w:eastAsia="Times New Roman" w:hAnsi="Cambria" w:cs="Times New Roman"/>
          <w:color w:val="222222"/>
          <w:sz w:val="20"/>
          <w:szCs w:val="20"/>
          <w:u w:val="single"/>
        </w:rPr>
        <w:t>grounds</w:t>
      </w:r>
      <w:r w:rsidRPr="00BB7719">
        <w:rPr>
          <w:rFonts w:ascii="Cambria" w:eastAsia="Times New Roman" w:hAnsi="Cambria" w:cs="Times New Roman"/>
          <w:color w:val="222222"/>
          <w:sz w:val="20"/>
          <w:szCs w:val="20"/>
          <w:u w:val="single"/>
        </w:rPr>
        <w:t xml:space="preserve"> established </w:t>
      </w:r>
      <w:r w:rsidR="00B2129B" w:rsidRPr="00BB7719">
        <w:rPr>
          <w:rFonts w:ascii="Cambria" w:eastAsia="Times New Roman" w:hAnsi="Cambria" w:cs="Times New Roman"/>
          <w:color w:val="222222"/>
          <w:sz w:val="20"/>
          <w:szCs w:val="20"/>
          <w:u w:val="single"/>
        </w:rPr>
        <w:t>the following</w:t>
      </w:r>
      <w:r w:rsidRPr="00BB7719">
        <w:rPr>
          <w:rFonts w:ascii="Cambria" w:eastAsia="Times New Roman" w:hAnsi="Cambria" w:cs="Times New Roman"/>
          <w:color w:val="222222"/>
          <w:sz w:val="20"/>
          <w:szCs w:val="20"/>
          <w:u w:val="single"/>
        </w:rPr>
        <w:t>:</w:t>
      </w:r>
    </w:p>
    <w:p w14:paraId="09A2AD2E" w14:textId="77777777"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40DA67F9" w14:textId="2023FF50" w:rsidR="0078019F" w:rsidRPr="00BB7719" w:rsidRDefault="00A46E73"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T</w:t>
      </w:r>
      <w:r w:rsidR="0078019F" w:rsidRPr="00BB7719">
        <w:rPr>
          <w:rFonts w:ascii="Cambria" w:eastAsia="Times New Roman" w:hAnsi="Cambria" w:cs="Times New Roman"/>
          <w:color w:val="222222"/>
          <w:sz w:val="20"/>
          <w:szCs w:val="20"/>
          <w:u w:val="single"/>
        </w:rPr>
        <w:t xml:space="preserve">he Algerian </w:t>
      </w:r>
      <w:r w:rsidR="00B2129B" w:rsidRPr="00BB7719">
        <w:rPr>
          <w:rFonts w:ascii="Cambria" w:eastAsia="Times New Roman" w:hAnsi="Cambria" w:cs="Times New Roman"/>
          <w:color w:val="222222"/>
          <w:sz w:val="20"/>
          <w:szCs w:val="20"/>
          <w:u w:val="single"/>
        </w:rPr>
        <w:t xml:space="preserve">purse </w:t>
      </w:r>
      <w:r w:rsidR="0078019F" w:rsidRPr="00BB7719">
        <w:rPr>
          <w:rFonts w:ascii="Cambria" w:eastAsia="Times New Roman" w:hAnsi="Cambria" w:cs="Times New Roman"/>
          <w:color w:val="222222"/>
          <w:sz w:val="20"/>
          <w:szCs w:val="20"/>
          <w:u w:val="single"/>
        </w:rPr>
        <w:t xml:space="preserve">seiners held valid fishing </w:t>
      </w:r>
      <w:r w:rsidR="00494422" w:rsidRPr="00BB7719">
        <w:rPr>
          <w:rFonts w:ascii="Cambria" w:eastAsia="Times New Roman" w:hAnsi="Cambria" w:cs="Times New Roman"/>
          <w:color w:val="222222"/>
          <w:sz w:val="20"/>
          <w:szCs w:val="20"/>
          <w:u w:val="single"/>
        </w:rPr>
        <w:t>authorizations</w:t>
      </w:r>
      <w:r w:rsidR="0078019F" w:rsidRPr="00BB7719">
        <w:rPr>
          <w:rFonts w:ascii="Cambria" w:eastAsia="Times New Roman" w:hAnsi="Cambria" w:cs="Times New Roman"/>
          <w:color w:val="222222"/>
          <w:sz w:val="20"/>
          <w:szCs w:val="20"/>
          <w:u w:val="single"/>
        </w:rPr>
        <w:t xml:space="preserve"> and had </w:t>
      </w:r>
      <w:r w:rsidR="00306F9B" w:rsidRPr="00BB7719">
        <w:rPr>
          <w:rFonts w:ascii="Cambria" w:eastAsia="Times New Roman" w:hAnsi="Cambria" w:cs="Times New Roman"/>
          <w:color w:val="222222"/>
          <w:sz w:val="20"/>
          <w:szCs w:val="20"/>
          <w:u w:val="single"/>
        </w:rPr>
        <w:t>duly submitted</w:t>
      </w:r>
      <w:r w:rsidR="0078019F" w:rsidRPr="00BB7719">
        <w:rPr>
          <w:rFonts w:ascii="Cambria" w:eastAsia="Times New Roman" w:hAnsi="Cambria" w:cs="Times New Roman"/>
          <w:color w:val="222222"/>
          <w:sz w:val="20"/>
          <w:szCs w:val="20"/>
          <w:u w:val="single"/>
        </w:rPr>
        <w:t xml:space="preserve"> prior notification of transfer.</w:t>
      </w:r>
    </w:p>
    <w:p w14:paraId="15D38005" w14:textId="110C7970" w:rsidR="0078019F" w:rsidRPr="00BB7719" w:rsidRDefault="0078019F"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No illegal fishing activities were found to have been carried out by the Turkish vessels.</w:t>
      </w:r>
    </w:p>
    <w:p w14:paraId="068D3C35" w14:textId="71348396" w:rsidR="0078019F" w:rsidRPr="00BB7719" w:rsidRDefault="0078019F" w:rsidP="00A46E73">
      <w:pPr>
        <w:numPr>
          <w:ilvl w:val="1"/>
          <w:numId w:val="11"/>
        </w:numPr>
        <w:spacing w:after="0" w:line="240" w:lineRule="auto"/>
        <w:ind w:left="1276" w:hanging="283"/>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operators intended to </w:t>
      </w:r>
      <w:r w:rsidR="00494422" w:rsidRPr="00BB7719">
        <w:rPr>
          <w:rFonts w:ascii="Cambria" w:eastAsia="Times New Roman" w:hAnsi="Cambria" w:cs="Times New Roman"/>
          <w:color w:val="222222"/>
          <w:sz w:val="20"/>
          <w:szCs w:val="20"/>
          <w:u w:val="single"/>
        </w:rPr>
        <w:t>regularize</w:t>
      </w:r>
      <w:r w:rsidRPr="00BB7719">
        <w:rPr>
          <w:rFonts w:ascii="Cambria" w:eastAsia="Times New Roman" w:hAnsi="Cambria" w:cs="Times New Roman"/>
          <w:color w:val="222222"/>
          <w:sz w:val="20"/>
          <w:szCs w:val="20"/>
          <w:u w:val="single"/>
        </w:rPr>
        <w:t xml:space="preserve"> </w:t>
      </w:r>
      <w:r w:rsidR="000B0E78" w:rsidRPr="00BB7719">
        <w:rPr>
          <w:rFonts w:ascii="Cambria" w:eastAsia="Times New Roman" w:hAnsi="Cambria" w:cs="Times New Roman"/>
          <w:color w:val="222222"/>
          <w:sz w:val="20"/>
          <w:szCs w:val="20"/>
          <w:u w:val="single"/>
        </w:rPr>
        <w:t xml:space="preserve">the </w:t>
      </w:r>
      <w:r w:rsidRPr="00BB7719">
        <w:rPr>
          <w:rFonts w:ascii="Cambria" w:eastAsia="Times New Roman" w:hAnsi="Cambria" w:cs="Times New Roman"/>
          <w:color w:val="222222"/>
          <w:sz w:val="20"/>
          <w:szCs w:val="20"/>
          <w:u w:val="single"/>
        </w:rPr>
        <w:t>customs procedures once the catch documents had been validated and the vessels had re</w:t>
      </w:r>
      <w:r w:rsidR="00F648E1" w:rsidRPr="00BB7719">
        <w:rPr>
          <w:rFonts w:ascii="Cambria" w:eastAsia="Times New Roman" w:hAnsi="Cambria" w:cs="Times New Roman"/>
          <w:color w:val="222222"/>
          <w:sz w:val="20"/>
          <w:szCs w:val="20"/>
          <w:u w:val="single"/>
        </w:rPr>
        <w:t>ached</w:t>
      </w:r>
      <w:r w:rsidRPr="00BB7719">
        <w:rPr>
          <w:rFonts w:ascii="Cambria" w:eastAsia="Times New Roman" w:hAnsi="Cambria" w:cs="Times New Roman"/>
          <w:color w:val="222222"/>
          <w:sz w:val="20"/>
          <w:szCs w:val="20"/>
          <w:u w:val="single"/>
        </w:rPr>
        <w:t xml:space="preserve"> port.</w:t>
      </w:r>
    </w:p>
    <w:p w14:paraId="799543EC" w14:textId="77777777"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277ADA53" w14:textId="77777777"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Conclusion:</w:t>
      </w:r>
    </w:p>
    <w:p w14:paraId="2F166896" w14:textId="77777777"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09B71272" w14:textId="57D35B09"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In conclusion, Algeria would like to </w:t>
      </w:r>
      <w:r w:rsidR="00494422" w:rsidRPr="00BB7719">
        <w:rPr>
          <w:rFonts w:ascii="Cambria" w:eastAsia="Times New Roman" w:hAnsi="Cambria" w:cs="Times New Roman"/>
          <w:color w:val="222222"/>
          <w:sz w:val="20"/>
          <w:szCs w:val="20"/>
          <w:u w:val="single"/>
        </w:rPr>
        <w:t>emphasize</w:t>
      </w:r>
      <w:r w:rsidRPr="00BB7719">
        <w:rPr>
          <w:rFonts w:ascii="Cambria" w:eastAsia="Times New Roman" w:hAnsi="Cambria" w:cs="Times New Roman"/>
          <w:color w:val="222222"/>
          <w:sz w:val="20"/>
          <w:szCs w:val="20"/>
          <w:u w:val="single"/>
        </w:rPr>
        <w:t xml:space="preserve"> the following points:</w:t>
      </w:r>
    </w:p>
    <w:p w14:paraId="4F4B4B9F" w14:textId="77777777" w:rsidR="0078019F" w:rsidRPr="00BB7719" w:rsidRDefault="0078019F" w:rsidP="0078019F">
      <w:pPr>
        <w:spacing w:after="0" w:line="240" w:lineRule="auto"/>
        <w:contextualSpacing/>
        <w:jc w:val="both"/>
        <w:rPr>
          <w:rFonts w:ascii="Cambria" w:eastAsia="Times New Roman" w:hAnsi="Cambria" w:cs="Times New Roman"/>
          <w:color w:val="222222"/>
          <w:sz w:val="20"/>
          <w:szCs w:val="20"/>
          <w:u w:val="single"/>
        </w:rPr>
      </w:pPr>
    </w:p>
    <w:p w14:paraId="16A0F30C" w14:textId="022FD0AE" w:rsidR="0078019F" w:rsidRPr="00BB7719"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In 2009, Algeria operated strictly within its national quota and </w:t>
      </w:r>
      <w:r w:rsidR="00494422" w:rsidRPr="00BB7719">
        <w:rPr>
          <w:rFonts w:ascii="Cambria" w:eastAsia="Times New Roman" w:hAnsi="Cambria" w:cs="Times New Roman"/>
          <w:color w:val="222222"/>
          <w:sz w:val="20"/>
          <w:szCs w:val="20"/>
          <w:u w:val="single"/>
        </w:rPr>
        <w:t xml:space="preserve">its </w:t>
      </w:r>
      <w:r w:rsidRPr="00BB7719">
        <w:rPr>
          <w:rFonts w:ascii="Cambria" w:eastAsia="Times New Roman" w:hAnsi="Cambria" w:cs="Times New Roman"/>
          <w:color w:val="222222"/>
          <w:sz w:val="20"/>
          <w:szCs w:val="20"/>
          <w:u w:val="single"/>
        </w:rPr>
        <w:t xml:space="preserve">fishing </w:t>
      </w:r>
      <w:r w:rsidR="00494422" w:rsidRPr="00BB7719">
        <w:rPr>
          <w:rFonts w:ascii="Cambria" w:eastAsia="Times New Roman" w:hAnsi="Cambria" w:cs="Times New Roman"/>
          <w:color w:val="222222"/>
          <w:sz w:val="20"/>
          <w:szCs w:val="20"/>
          <w:u w:val="single"/>
        </w:rPr>
        <w:t>authorizations</w:t>
      </w:r>
      <w:r w:rsidRPr="00BB7719">
        <w:rPr>
          <w:rFonts w:ascii="Cambria" w:eastAsia="Times New Roman" w:hAnsi="Cambria" w:cs="Times New Roman"/>
          <w:color w:val="222222"/>
          <w:sz w:val="20"/>
          <w:szCs w:val="20"/>
          <w:u w:val="single"/>
        </w:rPr>
        <w:t>.</w:t>
      </w:r>
    </w:p>
    <w:p w14:paraId="3798D67F" w14:textId="37025D18" w:rsidR="0078019F" w:rsidRPr="00BB7719"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judicial investigation confirmed the existence of prior transfer </w:t>
      </w:r>
      <w:r w:rsidR="00494422" w:rsidRPr="00BB7719">
        <w:rPr>
          <w:rFonts w:ascii="Cambria" w:eastAsia="Times New Roman" w:hAnsi="Cambria" w:cs="Times New Roman"/>
          <w:color w:val="222222"/>
          <w:sz w:val="20"/>
          <w:szCs w:val="20"/>
          <w:u w:val="single"/>
        </w:rPr>
        <w:t>authorizations</w:t>
      </w:r>
      <w:r w:rsidRPr="00BB7719">
        <w:rPr>
          <w:rFonts w:ascii="Cambria" w:eastAsia="Times New Roman" w:hAnsi="Cambria" w:cs="Times New Roman"/>
          <w:color w:val="222222"/>
          <w:sz w:val="20"/>
          <w:szCs w:val="20"/>
          <w:u w:val="single"/>
        </w:rPr>
        <w:t>.</w:t>
      </w:r>
    </w:p>
    <w:p w14:paraId="7D699662" w14:textId="44E50B6A" w:rsidR="0078019F" w:rsidRPr="00BB7719"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actions taken by the authorities, </w:t>
      </w:r>
      <w:proofErr w:type="gramStart"/>
      <w:r w:rsidRPr="00BB7719">
        <w:rPr>
          <w:rFonts w:ascii="Cambria" w:eastAsia="Times New Roman" w:hAnsi="Cambria" w:cs="Times New Roman"/>
          <w:color w:val="222222"/>
          <w:sz w:val="20"/>
          <w:szCs w:val="20"/>
          <w:u w:val="single"/>
        </w:rPr>
        <w:t>in particular</w:t>
      </w:r>
      <w:proofErr w:type="gramEnd"/>
      <w:r w:rsidRPr="00BB7719">
        <w:rPr>
          <w:rFonts w:ascii="Cambria" w:eastAsia="Times New Roman" w:hAnsi="Cambria" w:cs="Times New Roman"/>
          <w:color w:val="222222"/>
          <w:sz w:val="20"/>
          <w:szCs w:val="20"/>
          <w:u w:val="single"/>
        </w:rPr>
        <w:t xml:space="preserve"> the preventive release of bluefin tuna, </w:t>
      </w:r>
      <w:r w:rsidR="00504859" w:rsidRPr="00BB7719">
        <w:rPr>
          <w:rFonts w:ascii="Cambria" w:eastAsia="Times New Roman" w:hAnsi="Cambria" w:cs="Times New Roman"/>
          <w:color w:val="222222"/>
          <w:sz w:val="20"/>
          <w:szCs w:val="20"/>
          <w:u w:val="single"/>
        </w:rPr>
        <w:t>reveal</w:t>
      </w:r>
      <w:r w:rsidRPr="00BB7719">
        <w:rPr>
          <w:rFonts w:ascii="Cambria" w:eastAsia="Times New Roman" w:hAnsi="Cambria" w:cs="Times New Roman"/>
          <w:color w:val="222222"/>
          <w:sz w:val="20"/>
          <w:szCs w:val="20"/>
          <w:u w:val="single"/>
        </w:rPr>
        <w:t xml:space="preserve"> Algeria's ongoing commitment to the conservation of this resource (bluefin tuna).</w:t>
      </w:r>
    </w:p>
    <w:p w14:paraId="56BB1C0B" w14:textId="34FB26F9" w:rsidR="0078019F" w:rsidRPr="00BB7719" w:rsidRDefault="0078019F" w:rsidP="00161926">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No infringement or </w:t>
      </w:r>
      <w:r w:rsidR="00C24A8F" w:rsidRPr="00BB7719">
        <w:rPr>
          <w:rFonts w:ascii="Cambria" w:eastAsia="Times New Roman" w:hAnsi="Cambria" w:cs="Times New Roman"/>
          <w:color w:val="222222"/>
          <w:sz w:val="20"/>
          <w:szCs w:val="20"/>
          <w:u w:val="single"/>
        </w:rPr>
        <w:t>contravention</w:t>
      </w:r>
      <w:r w:rsidRPr="00BB7719">
        <w:rPr>
          <w:rFonts w:ascii="Cambria" w:eastAsia="Times New Roman" w:hAnsi="Cambria" w:cs="Times New Roman"/>
          <w:color w:val="222222"/>
          <w:sz w:val="20"/>
          <w:szCs w:val="20"/>
          <w:u w:val="single"/>
        </w:rPr>
        <w:t xml:space="preserve"> of ICCAT </w:t>
      </w:r>
      <w:r w:rsidR="0057689C" w:rsidRPr="00BB7719">
        <w:rPr>
          <w:rFonts w:ascii="Cambria" w:eastAsia="Times New Roman" w:hAnsi="Cambria" w:cs="Times New Roman"/>
          <w:color w:val="222222"/>
          <w:sz w:val="20"/>
          <w:szCs w:val="20"/>
          <w:u w:val="single"/>
        </w:rPr>
        <w:t xml:space="preserve">Recommendations </w:t>
      </w:r>
      <w:r w:rsidRPr="00BB7719">
        <w:rPr>
          <w:rFonts w:ascii="Cambria" w:eastAsia="Times New Roman" w:hAnsi="Cambria" w:cs="Times New Roman"/>
          <w:color w:val="222222"/>
          <w:sz w:val="20"/>
          <w:szCs w:val="20"/>
          <w:u w:val="single"/>
        </w:rPr>
        <w:t>was found during the entire proceedings.</w:t>
      </w:r>
    </w:p>
    <w:p w14:paraId="09D134E5" w14:textId="5213B134" w:rsidR="0078019F" w:rsidRPr="00BB7719" w:rsidRDefault="0078019F" w:rsidP="00FB44D0">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final </w:t>
      </w:r>
      <w:r w:rsidR="00D04E3A" w:rsidRPr="00BB7719">
        <w:rPr>
          <w:rFonts w:ascii="Cambria" w:eastAsia="Times New Roman" w:hAnsi="Cambria" w:cs="Times New Roman"/>
          <w:color w:val="222222"/>
          <w:sz w:val="20"/>
          <w:szCs w:val="20"/>
          <w:u w:val="single"/>
        </w:rPr>
        <w:t>court ruling</w:t>
      </w:r>
      <w:r w:rsidRPr="00BB7719">
        <w:rPr>
          <w:rFonts w:ascii="Cambria" w:eastAsia="Times New Roman" w:hAnsi="Cambria" w:cs="Times New Roman"/>
          <w:color w:val="222222"/>
          <w:sz w:val="20"/>
          <w:szCs w:val="20"/>
          <w:u w:val="single"/>
        </w:rPr>
        <w:t xml:space="preserve"> in 2015 fully exonerated the parties involved.</w:t>
      </w:r>
    </w:p>
    <w:p w14:paraId="59D807A3" w14:textId="46AD48EE" w:rsidR="004743AB" w:rsidRPr="00BB7719" w:rsidRDefault="00816B11" w:rsidP="00A31C29">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proofErr w:type="gramStart"/>
      <w:r w:rsidRPr="00BB7719">
        <w:rPr>
          <w:rFonts w:ascii="Cambria" w:eastAsia="Times New Roman" w:hAnsi="Cambria" w:cs="Times New Roman"/>
          <w:color w:val="222222"/>
          <w:sz w:val="20"/>
          <w:szCs w:val="20"/>
          <w:u w:val="single"/>
        </w:rPr>
        <w:t>W</w:t>
      </w:r>
      <w:r w:rsidR="008C6B9A" w:rsidRPr="00BB7719">
        <w:rPr>
          <w:rFonts w:ascii="Cambria" w:eastAsia="Times New Roman" w:hAnsi="Cambria" w:cs="Times New Roman"/>
          <w:color w:val="222222"/>
          <w:sz w:val="20"/>
          <w:szCs w:val="20"/>
          <w:u w:val="single"/>
        </w:rPr>
        <w:t>ith regard to</w:t>
      </w:r>
      <w:proofErr w:type="gramEnd"/>
      <w:r w:rsidR="008C6B9A" w:rsidRPr="00BB7719">
        <w:rPr>
          <w:rFonts w:ascii="Cambria" w:eastAsia="Times New Roman" w:hAnsi="Cambria" w:cs="Times New Roman"/>
          <w:color w:val="222222"/>
          <w:sz w:val="20"/>
          <w:szCs w:val="20"/>
          <w:u w:val="single"/>
        </w:rPr>
        <w:t xml:space="preserve"> bluefin tuna catches by Algerian vessels destined for fattening fa</w:t>
      </w:r>
      <w:r w:rsidR="004E5C27" w:rsidRPr="00BB7719">
        <w:rPr>
          <w:rFonts w:ascii="Cambria" w:eastAsia="Times New Roman" w:hAnsi="Cambria" w:cs="Times New Roman"/>
          <w:color w:val="222222"/>
          <w:sz w:val="20"/>
          <w:szCs w:val="20"/>
          <w:u w:val="single"/>
        </w:rPr>
        <w:t>rms</w:t>
      </w:r>
      <w:r w:rsidR="008C6B9A" w:rsidRPr="00BB7719">
        <w:rPr>
          <w:rFonts w:ascii="Cambria" w:eastAsia="Times New Roman" w:hAnsi="Cambria" w:cs="Times New Roman"/>
          <w:color w:val="222222"/>
          <w:sz w:val="20"/>
          <w:szCs w:val="20"/>
          <w:u w:val="single"/>
        </w:rPr>
        <w:t xml:space="preserve"> in other countries, the quantities concerned were released </w:t>
      </w:r>
      <w:r w:rsidR="004E5C27" w:rsidRPr="00BB7719">
        <w:rPr>
          <w:rFonts w:ascii="Cambria" w:eastAsia="Times New Roman" w:hAnsi="Cambria" w:cs="Times New Roman"/>
          <w:color w:val="222222"/>
          <w:sz w:val="20"/>
          <w:szCs w:val="20"/>
          <w:u w:val="single"/>
        </w:rPr>
        <w:t>alive</w:t>
      </w:r>
      <w:r w:rsidR="008C6B9A" w:rsidRPr="00BB7719">
        <w:rPr>
          <w:rFonts w:ascii="Cambria" w:eastAsia="Times New Roman" w:hAnsi="Cambria" w:cs="Times New Roman"/>
          <w:color w:val="222222"/>
          <w:sz w:val="20"/>
          <w:szCs w:val="20"/>
          <w:u w:val="single"/>
        </w:rPr>
        <w:t xml:space="preserve">. This decision, confirmed by the delegations of the Contracting Parties (CPCs) of the destination farms, was taken even though no infringement or illegal fishing </w:t>
      </w:r>
      <w:r w:rsidR="00C833EE" w:rsidRPr="00BB7719">
        <w:rPr>
          <w:rFonts w:ascii="Cambria" w:eastAsia="Times New Roman" w:hAnsi="Cambria" w:cs="Times New Roman"/>
          <w:color w:val="222222"/>
          <w:sz w:val="20"/>
          <w:szCs w:val="20"/>
          <w:u w:val="single"/>
        </w:rPr>
        <w:t>activity was conducted</w:t>
      </w:r>
      <w:r w:rsidR="008C6B9A" w:rsidRPr="00BB7719">
        <w:rPr>
          <w:rFonts w:ascii="Cambria" w:eastAsia="Times New Roman" w:hAnsi="Cambria" w:cs="Times New Roman"/>
          <w:color w:val="222222"/>
          <w:sz w:val="20"/>
          <w:szCs w:val="20"/>
          <w:u w:val="single"/>
        </w:rPr>
        <w:t xml:space="preserve"> against these vessels. In the absence of a clear regulatory precedent concerning transfer (export) </w:t>
      </w:r>
      <w:r w:rsidR="00DE6B09" w:rsidRPr="00BB7719">
        <w:rPr>
          <w:rFonts w:ascii="Cambria" w:eastAsia="Times New Roman" w:hAnsi="Cambria" w:cs="Times New Roman"/>
          <w:color w:val="222222"/>
          <w:sz w:val="20"/>
          <w:szCs w:val="20"/>
          <w:u w:val="single"/>
        </w:rPr>
        <w:t>operations</w:t>
      </w:r>
      <w:r w:rsidR="008C6B9A" w:rsidRPr="00BB7719">
        <w:rPr>
          <w:rFonts w:ascii="Cambria" w:eastAsia="Times New Roman" w:hAnsi="Cambria" w:cs="Times New Roman"/>
          <w:color w:val="222222"/>
          <w:sz w:val="20"/>
          <w:szCs w:val="20"/>
          <w:u w:val="single"/>
        </w:rPr>
        <w:t xml:space="preserve"> at sea, the fisheries administration </w:t>
      </w:r>
      <w:r w:rsidR="003F29EF" w:rsidRPr="00BB7719">
        <w:rPr>
          <w:rFonts w:ascii="Cambria" w:eastAsia="Times New Roman" w:hAnsi="Cambria" w:cs="Times New Roman"/>
          <w:color w:val="222222"/>
          <w:sz w:val="20"/>
          <w:szCs w:val="20"/>
          <w:u w:val="single"/>
        </w:rPr>
        <w:t xml:space="preserve">chose </w:t>
      </w:r>
      <w:r w:rsidR="008C6B9A" w:rsidRPr="00BB7719">
        <w:rPr>
          <w:rFonts w:ascii="Cambria" w:eastAsia="Times New Roman" w:hAnsi="Cambria" w:cs="Times New Roman"/>
          <w:color w:val="222222"/>
          <w:sz w:val="20"/>
          <w:szCs w:val="20"/>
          <w:u w:val="single"/>
        </w:rPr>
        <w:t>a pre</w:t>
      </w:r>
      <w:r w:rsidR="00DE6B09" w:rsidRPr="00BB7719">
        <w:rPr>
          <w:rFonts w:ascii="Cambria" w:eastAsia="Times New Roman" w:hAnsi="Cambria" w:cs="Times New Roman"/>
          <w:color w:val="222222"/>
          <w:sz w:val="20"/>
          <w:szCs w:val="20"/>
          <w:u w:val="single"/>
        </w:rPr>
        <w:t>cautionary</w:t>
      </w:r>
      <w:r w:rsidR="008C6B9A" w:rsidRPr="00BB7719">
        <w:rPr>
          <w:rFonts w:ascii="Cambria" w:eastAsia="Times New Roman" w:hAnsi="Cambria" w:cs="Times New Roman"/>
          <w:color w:val="222222"/>
          <w:sz w:val="20"/>
          <w:szCs w:val="20"/>
          <w:u w:val="single"/>
        </w:rPr>
        <w:t xml:space="preserve"> approach. Thus, as a pre</w:t>
      </w:r>
      <w:r w:rsidR="0056017A" w:rsidRPr="00BB7719">
        <w:rPr>
          <w:rFonts w:ascii="Cambria" w:eastAsia="Times New Roman" w:hAnsi="Cambria" w:cs="Times New Roman"/>
          <w:color w:val="222222"/>
          <w:sz w:val="20"/>
          <w:szCs w:val="20"/>
          <w:u w:val="single"/>
        </w:rPr>
        <w:t>ventive</w:t>
      </w:r>
      <w:r w:rsidR="008C6B9A" w:rsidRPr="00BB7719">
        <w:rPr>
          <w:rFonts w:ascii="Cambria" w:eastAsia="Times New Roman" w:hAnsi="Cambria" w:cs="Times New Roman"/>
          <w:color w:val="222222"/>
          <w:sz w:val="20"/>
          <w:szCs w:val="20"/>
          <w:u w:val="single"/>
        </w:rPr>
        <w:t xml:space="preserve"> measure and pending the necessary clarifications, it suspended the issuance of the remaining </w:t>
      </w:r>
      <w:r w:rsidR="00CC4DB8" w:rsidRPr="00BB7719">
        <w:rPr>
          <w:rFonts w:ascii="Cambria" w:eastAsia="Times New Roman" w:hAnsi="Cambria" w:cs="Times New Roman"/>
          <w:color w:val="222222"/>
          <w:sz w:val="20"/>
          <w:szCs w:val="20"/>
          <w:u w:val="single"/>
        </w:rPr>
        <w:t xml:space="preserve">bluefin catch documents </w:t>
      </w:r>
      <w:r w:rsidR="008C6B9A" w:rsidRPr="00BB7719">
        <w:rPr>
          <w:rFonts w:ascii="Cambria" w:eastAsia="Times New Roman" w:hAnsi="Cambria" w:cs="Times New Roman"/>
          <w:color w:val="222222"/>
          <w:sz w:val="20"/>
          <w:szCs w:val="20"/>
          <w:u w:val="single"/>
        </w:rPr>
        <w:t>(BCDs) for 2009 and collaborated with the CPCs concerned to release the catches (</w:t>
      </w:r>
      <w:r w:rsidR="00CD7FE3" w:rsidRPr="00BB7719">
        <w:rPr>
          <w:rFonts w:ascii="Cambria" w:eastAsia="Times New Roman" w:hAnsi="Cambria" w:cs="Times New Roman"/>
          <w:color w:val="222222"/>
          <w:sz w:val="20"/>
          <w:szCs w:val="20"/>
          <w:u w:val="single"/>
        </w:rPr>
        <w:t>a</w:t>
      </w:r>
      <w:r w:rsidR="008C6B9A" w:rsidRPr="00BB7719">
        <w:rPr>
          <w:rFonts w:ascii="Cambria" w:eastAsia="Times New Roman" w:hAnsi="Cambria" w:cs="Times New Roman"/>
          <w:color w:val="222222"/>
          <w:sz w:val="20"/>
          <w:szCs w:val="20"/>
          <w:u w:val="single"/>
        </w:rPr>
        <w:t xml:space="preserve"> total of 810 t of bluefin tuna were released).</w:t>
      </w:r>
    </w:p>
    <w:p w14:paraId="7664B020" w14:textId="62BFBF25" w:rsidR="004743AB" w:rsidRPr="00BB7719" w:rsidRDefault="00441927" w:rsidP="007E2417">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It should be brought to the Committee’s attention </w:t>
      </w:r>
      <w:r w:rsidR="004743AB" w:rsidRPr="00BB7719">
        <w:rPr>
          <w:rFonts w:ascii="Cambria" w:eastAsia="Times New Roman" w:hAnsi="Cambria" w:cs="Times New Roman"/>
          <w:color w:val="222222"/>
          <w:sz w:val="20"/>
          <w:szCs w:val="20"/>
          <w:u w:val="single"/>
        </w:rPr>
        <w:t xml:space="preserve">that during 2009 and 2010, the Commission and the Secretariat raised concerns on several occasions at meetings held in 2009 and 2010 </w:t>
      </w:r>
      <w:r w:rsidR="00066CE9" w:rsidRPr="00BB7719">
        <w:rPr>
          <w:rFonts w:ascii="Cambria" w:eastAsia="Times New Roman" w:hAnsi="Cambria" w:cs="Times New Roman"/>
          <w:color w:val="222222"/>
          <w:sz w:val="20"/>
          <w:szCs w:val="20"/>
          <w:u w:val="single"/>
        </w:rPr>
        <w:t xml:space="preserve">regarding </w:t>
      </w:r>
      <w:r w:rsidR="004743AB" w:rsidRPr="00BB7719">
        <w:rPr>
          <w:rFonts w:ascii="Cambria" w:eastAsia="Times New Roman" w:hAnsi="Cambria" w:cs="Times New Roman"/>
          <w:color w:val="222222"/>
          <w:sz w:val="20"/>
          <w:szCs w:val="20"/>
          <w:u w:val="single"/>
        </w:rPr>
        <w:t xml:space="preserve">delays </w:t>
      </w:r>
      <w:r w:rsidR="00852A3B" w:rsidRPr="00BB7719">
        <w:rPr>
          <w:rFonts w:ascii="Cambria" w:eastAsia="Times New Roman" w:hAnsi="Cambria" w:cs="Times New Roman"/>
          <w:color w:val="222222"/>
          <w:sz w:val="20"/>
          <w:szCs w:val="20"/>
          <w:u w:val="single"/>
        </w:rPr>
        <w:t>affecting the</w:t>
      </w:r>
      <w:r w:rsidR="004743AB" w:rsidRPr="00BB7719">
        <w:rPr>
          <w:rFonts w:ascii="Cambria" w:eastAsia="Times New Roman" w:hAnsi="Cambria" w:cs="Times New Roman"/>
          <w:color w:val="222222"/>
          <w:sz w:val="20"/>
          <w:szCs w:val="20"/>
          <w:u w:val="single"/>
        </w:rPr>
        <w:t xml:space="preserve"> issuance, transmission and completion of </w:t>
      </w:r>
      <w:r w:rsidR="00286C69" w:rsidRPr="00BB7719">
        <w:rPr>
          <w:rFonts w:ascii="Cambria" w:eastAsia="Times New Roman" w:hAnsi="Cambria" w:cs="Times New Roman"/>
          <w:color w:val="222222"/>
          <w:sz w:val="20"/>
          <w:szCs w:val="20"/>
          <w:u w:val="single"/>
        </w:rPr>
        <w:t xml:space="preserve">bluefin catch documents </w:t>
      </w:r>
      <w:r w:rsidR="004743AB" w:rsidRPr="00BB7719">
        <w:rPr>
          <w:rFonts w:ascii="Cambria" w:eastAsia="Times New Roman" w:hAnsi="Cambria" w:cs="Times New Roman"/>
          <w:color w:val="222222"/>
          <w:sz w:val="20"/>
          <w:szCs w:val="20"/>
          <w:u w:val="single"/>
        </w:rPr>
        <w:t xml:space="preserve">(BCDs) by several CPCs. Although efforts have been made to </w:t>
      </w:r>
      <w:r w:rsidR="00852A3B" w:rsidRPr="00BB7719">
        <w:rPr>
          <w:rFonts w:ascii="Cambria" w:eastAsia="Times New Roman" w:hAnsi="Cambria" w:cs="Times New Roman"/>
          <w:color w:val="222222"/>
          <w:sz w:val="20"/>
          <w:szCs w:val="20"/>
          <w:u w:val="single"/>
        </w:rPr>
        <w:t>address</w:t>
      </w:r>
      <w:r w:rsidR="004743AB" w:rsidRPr="00BB7719">
        <w:rPr>
          <w:rFonts w:ascii="Cambria" w:eastAsia="Times New Roman" w:hAnsi="Cambria" w:cs="Times New Roman"/>
          <w:color w:val="222222"/>
          <w:sz w:val="20"/>
          <w:szCs w:val="20"/>
          <w:u w:val="single"/>
        </w:rPr>
        <w:t xml:space="preserve"> this situation and comply with ICCAT </w:t>
      </w:r>
      <w:r w:rsidR="00AF5CEF" w:rsidRPr="00BB7719">
        <w:rPr>
          <w:rFonts w:ascii="Cambria" w:eastAsia="Times New Roman" w:hAnsi="Cambria" w:cs="Times New Roman"/>
          <w:color w:val="222222"/>
          <w:sz w:val="20"/>
          <w:szCs w:val="20"/>
          <w:u w:val="single"/>
        </w:rPr>
        <w:t>Recommendations</w:t>
      </w:r>
      <w:r w:rsidR="004743AB" w:rsidRPr="00BB7719">
        <w:rPr>
          <w:rFonts w:ascii="Cambria" w:eastAsia="Times New Roman" w:hAnsi="Cambria" w:cs="Times New Roman"/>
          <w:color w:val="222222"/>
          <w:sz w:val="20"/>
          <w:szCs w:val="20"/>
          <w:u w:val="single"/>
        </w:rPr>
        <w:t xml:space="preserve">, no measures have been implemented to </w:t>
      </w:r>
      <w:r w:rsidR="00E3749B" w:rsidRPr="00BB7719">
        <w:rPr>
          <w:rFonts w:ascii="Cambria" w:eastAsia="Times New Roman" w:hAnsi="Cambria" w:cs="Times New Roman"/>
          <w:color w:val="222222"/>
          <w:sz w:val="20"/>
          <w:szCs w:val="20"/>
          <w:u w:val="single"/>
        </w:rPr>
        <w:t>sanction</w:t>
      </w:r>
      <w:r w:rsidR="004743AB" w:rsidRPr="00BB7719">
        <w:rPr>
          <w:rFonts w:ascii="Cambria" w:eastAsia="Times New Roman" w:hAnsi="Cambria" w:cs="Times New Roman"/>
          <w:color w:val="222222"/>
          <w:sz w:val="20"/>
          <w:szCs w:val="20"/>
          <w:u w:val="single"/>
        </w:rPr>
        <w:t xml:space="preserve"> these delays.</w:t>
      </w:r>
    </w:p>
    <w:p w14:paraId="261A64EE" w14:textId="43F7D4AD" w:rsidR="004743AB" w:rsidRPr="00BB7719" w:rsidRDefault="00441927" w:rsidP="004743AB">
      <w:pPr>
        <w:spacing w:after="0" w:line="240" w:lineRule="auto"/>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 </w:t>
      </w:r>
    </w:p>
    <w:p w14:paraId="334C5D14" w14:textId="1BA05A18" w:rsidR="004743AB" w:rsidRPr="00BB7719" w:rsidRDefault="004743AB" w:rsidP="007E2417">
      <w:pPr>
        <w:numPr>
          <w:ilvl w:val="0"/>
          <w:numId w:val="10"/>
        </w:numPr>
        <w:tabs>
          <w:tab w:val="clear" w:pos="720"/>
        </w:tabs>
        <w:spacing w:after="0" w:line="240" w:lineRule="auto"/>
        <w:ind w:left="851" w:hanging="425"/>
        <w:contextualSpacing/>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lastRenderedPageBreak/>
        <w:t xml:space="preserve">Unlike the other Contracting Parties, Algeria adopted specific provisions relating to the release of bluefin tuna catches transferred for 2009. This preventive action, justified by the need to improve and adapt commercial procedures, was expressly </w:t>
      </w:r>
      <w:r w:rsidR="007E2417" w:rsidRPr="00BB7719">
        <w:rPr>
          <w:rFonts w:ascii="Cambria" w:eastAsia="Times New Roman" w:hAnsi="Cambria" w:cs="Times New Roman"/>
          <w:color w:val="222222"/>
          <w:sz w:val="20"/>
          <w:szCs w:val="20"/>
          <w:u w:val="single"/>
        </w:rPr>
        <w:t>intended to</w:t>
      </w:r>
      <w:r w:rsidRPr="00BB7719">
        <w:rPr>
          <w:rFonts w:ascii="Cambria" w:eastAsia="Times New Roman" w:hAnsi="Cambria" w:cs="Times New Roman"/>
          <w:color w:val="222222"/>
          <w:sz w:val="20"/>
          <w:szCs w:val="20"/>
          <w:u w:val="single"/>
        </w:rPr>
        <w:t xml:space="preserve"> ensur</w:t>
      </w:r>
      <w:r w:rsidR="007E2417" w:rsidRPr="00BB7719">
        <w:rPr>
          <w:rFonts w:ascii="Cambria" w:eastAsia="Times New Roman" w:hAnsi="Cambria" w:cs="Times New Roman"/>
          <w:color w:val="222222"/>
          <w:sz w:val="20"/>
          <w:szCs w:val="20"/>
          <w:u w:val="single"/>
        </w:rPr>
        <w:t>e</w:t>
      </w:r>
      <w:r w:rsidRPr="00BB7719">
        <w:rPr>
          <w:rFonts w:ascii="Cambria" w:eastAsia="Times New Roman" w:hAnsi="Cambria" w:cs="Times New Roman"/>
          <w:color w:val="222222"/>
          <w:sz w:val="20"/>
          <w:szCs w:val="20"/>
          <w:u w:val="single"/>
        </w:rPr>
        <w:t xml:space="preserve"> strict compliance with all applicable national and international regulatory requirements.</w:t>
      </w:r>
    </w:p>
    <w:p w14:paraId="420DF77F" w14:textId="77777777" w:rsidR="004743AB" w:rsidRPr="00BB7719" w:rsidRDefault="004743AB" w:rsidP="004743AB">
      <w:pPr>
        <w:spacing w:after="0" w:line="240" w:lineRule="auto"/>
        <w:contextualSpacing/>
        <w:jc w:val="both"/>
        <w:rPr>
          <w:rFonts w:ascii="Cambria" w:eastAsia="Times New Roman" w:hAnsi="Cambria" w:cs="Times New Roman"/>
          <w:color w:val="222222"/>
          <w:sz w:val="20"/>
          <w:szCs w:val="20"/>
          <w:u w:val="single"/>
        </w:rPr>
      </w:pPr>
    </w:p>
    <w:p w14:paraId="03296BBB" w14:textId="4AD5AB98" w:rsidR="00AD3E2B" w:rsidRPr="00BB7719" w:rsidRDefault="00AD3E2B" w:rsidP="0044547E">
      <w:pPr>
        <w:numPr>
          <w:ilvl w:val="0"/>
          <w:numId w:val="10"/>
        </w:numPr>
        <w:tabs>
          <w:tab w:val="clear" w:pos="720"/>
        </w:tabs>
        <w:spacing w:after="0" w:line="240" w:lineRule="auto"/>
        <w:ind w:left="851" w:hanging="425"/>
        <w:contextualSpacing/>
        <w:jc w:val="both"/>
        <w:rPr>
          <w:rFonts w:ascii="Cambria" w:eastAsia="Times New Roman" w:hAnsi="Cambria" w:cs="Times New Roman"/>
          <w:sz w:val="20"/>
          <w:szCs w:val="20"/>
          <w:u w:val="single"/>
        </w:rPr>
      </w:pPr>
      <w:r w:rsidRPr="00BB7719">
        <w:rPr>
          <w:rFonts w:ascii="Cambria" w:eastAsia="Times New Roman" w:hAnsi="Cambria" w:cs="Times New Roman"/>
          <w:sz w:val="20"/>
          <w:szCs w:val="20"/>
          <w:u w:val="single"/>
        </w:rPr>
        <w:t xml:space="preserve">The </w:t>
      </w:r>
      <w:r w:rsidR="00967F31" w:rsidRPr="00BB7719">
        <w:rPr>
          <w:rFonts w:ascii="Cambria" w:eastAsia="Times New Roman" w:hAnsi="Cambria" w:cs="Times New Roman"/>
          <w:sz w:val="20"/>
          <w:szCs w:val="20"/>
          <w:u w:val="single"/>
        </w:rPr>
        <w:t>enactment</w:t>
      </w:r>
      <w:r w:rsidRPr="00BB7719">
        <w:rPr>
          <w:rFonts w:ascii="Cambria" w:eastAsia="Times New Roman" w:hAnsi="Cambria" w:cs="Times New Roman"/>
          <w:sz w:val="20"/>
          <w:szCs w:val="20"/>
          <w:u w:val="single"/>
        </w:rPr>
        <w:t xml:space="preserve"> of a regulatory text on 19 April 2010, defining bluefin tuna quotas and the conditions for </w:t>
      </w:r>
      <w:r w:rsidR="00D24973" w:rsidRPr="00BB7719">
        <w:rPr>
          <w:rFonts w:ascii="Cambria" w:eastAsia="Times New Roman" w:hAnsi="Cambria" w:cs="Times New Roman"/>
          <w:sz w:val="20"/>
          <w:szCs w:val="20"/>
          <w:u w:val="single"/>
        </w:rPr>
        <w:t>its</w:t>
      </w:r>
      <w:r w:rsidRPr="00BB7719">
        <w:rPr>
          <w:rFonts w:ascii="Cambria" w:eastAsia="Times New Roman" w:hAnsi="Cambria" w:cs="Times New Roman"/>
          <w:sz w:val="20"/>
          <w:szCs w:val="20"/>
          <w:u w:val="single"/>
        </w:rPr>
        <w:t xml:space="preserve"> implementation, formed the cornerstone of the national system. This was substantially amended and refined </w:t>
      </w:r>
      <w:r w:rsidR="003F6008" w:rsidRPr="00BB7719">
        <w:rPr>
          <w:rFonts w:ascii="Cambria" w:eastAsia="Times New Roman" w:hAnsi="Cambria" w:cs="Times New Roman"/>
          <w:sz w:val="20"/>
          <w:szCs w:val="20"/>
          <w:u w:val="single"/>
        </w:rPr>
        <w:t>through</w:t>
      </w:r>
      <w:r w:rsidRPr="00BB7719">
        <w:rPr>
          <w:rFonts w:ascii="Cambria" w:eastAsia="Times New Roman" w:hAnsi="Cambria" w:cs="Times New Roman"/>
          <w:sz w:val="20"/>
          <w:szCs w:val="20"/>
          <w:u w:val="single"/>
        </w:rPr>
        <w:t xml:space="preserve"> nine (9) revisions (2012 to 2022), reflecting a cons</w:t>
      </w:r>
      <w:r w:rsidR="000C2C4C" w:rsidRPr="00BB7719">
        <w:rPr>
          <w:rFonts w:ascii="Cambria" w:eastAsia="Times New Roman" w:hAnsi="Cambria" w:cs="Times New Roman"/>
          <w:sz w:val="20"/>
          <w:szCs w:val="20"/>
          <w:u w:val="single"/>
        </w:rPr>
        <w:t>istent</w:t>
      </w:r>
      <w:r w:rsidRPr="00BB7719">
        <w:rPr>
          <w:rFonts w:ascii="Cambria" w:eastAsia="Times New Roman" w:hAnsi="Cambria" w:cs="Times New Roman"/>
          <w:sz w:val="20"/>
          <w:szCs w:val="20"/>
          <w:u w:val="single"/>
        </w:rPr>
        <w:t xml:space="preserve"> commitment to </w:t>
      </w:r>
      <w:r w:rsidR="000C2C4C" w:rsidRPr="00BB7719">
        <w:rPr>
          <w:rFonts w:ascii="Cambria" w:eastAsia="Times New Roman" w:hAnsi="Cambria" w:cs="Times New Roman"/>
          <w:sz w:val="20"/>
          <w:szCs w:val="20"/>
          <w:u w:val="single"/>
        </w:rPr>
        <w:t>optimize</w:t>
      </w:r>
      <w:r w:rsidRPr="00BB7719">
        <w:rPr>
          <w:rFonts w:ascii="Cambria" w:eastAsia="Times New Roman" w:hAnsi="Cambria" w:cs="Times New Roman"/>
          <w:sz w:val="20"/>
          <w:szCs w:val="20"/>
          <w:u w:val="single"/>
        </w:rPr>
        <w:t xml:space="preserve"> </w:t>
      </w:r>
      <w:r w:rsidR="000C2C4C" w:rsidRPr="00BB7719">
        <w:rPr>
          <w:rFonts w:ascii="Cambria" w:eastAsia="Times New Roman" w:hAnsi="Cambria" w:cs="Times New Roman"/>
          <w:sz w:val="20"/>
          <w:szCs w:val="20"/>
          <w:u w:val="single"/>
        </w:rPr>
        <w:t xml:space="preserve">the </w:t>
      </w:r>
      <w:r w:rsidRPr="00BB7719">
        <w:rPr>
          <w:rFonts w:ascii="Cambria" w:eastAsia="Times New Roman" w:hAnsi="Cambria" w:cs="Times New Roman"/>
          <w:sz w:val="20"/>
          <w:szCs w:val="20"/>
          <w:u w:val="single"/>
        </w:rPr>
        <w:t>monitoring of the activit</w:t>
      </w:r>
      <w:r w:rsidR="000C2C4C" w:rsidRPr="00BB7719">
        <w:rPr>
          <w:rFonts w:ascii="Cambria" w:eastAsia="Times New Roman" w:hAnsi="Cambria" w:cs="Times New Roman"/>
          <w:sz w:val="20"/>
          <w:szCs w:val="20"/>
          <w:u w:val="single"/>
        </w:rPr>
        <w:t>ies</w:t>
      </w:r>
      <w:r w:rsidRPr="00BB7719">
        <w:rPr>
          <w:rFonts w:ascii="Cambria" w:eastAsia="Times New Roman" w:hAnsi="Cambria" w:cs="Times New Roman"/>
          <w:sz w:val="20"/>
          <w:szCs w:val="20"/>
          <w:u w:val="single"/>
        </w:rPr>
        <w:t xml:space="preserve"> and to incorporate changes in ICCAT </w:t>
      </w:r>
      <w:r w:rsidR="008002D5" w:rsidRPr="00BB7719">
        <w:rPr>
          <w:rFonts w:ascii="Cambria" w:eastAsia="Times New Roman" w:hAnsi="Cambria" w:cs="Times New Roman"/>
          <w:sz w:val="20"/>
          <w:szCs w:val="20"/>
          <w:u w:val="single"/>
        </w:rPr>
        <w:t xml:space="preserve">Recommendations </w:t>
      </w:r>
      <w:r w:rsidRPr="00BB7719">
        <w:rPr>
          <w:rFonts w:ascii="Cambria" w:eastAsia="Times New Roman" w:hAnsi="Cambria" w:cs="Times New Roman"/>
          <w:sz w:val="20"/>
          <w:szCs w:val="20"/>
          <w:u w:val="single"/>
        </w:rPr>
        <w:t>in a timely manner.</w:t>
      </w:r>
    </w:p>
    <w:p w14:paraId="66BA897E" w14:textId="77777777" w:rsidR="000F4C71" w:rsidRPr="00BB7719" w:rsidRDefault="000F4C71" w:rsidP="000F4C71">
      <w:pPr>
        <w:spacing w:after="0" w:line="240" w:lineRule="auto"/>
        <w:ind w:left="851"/>
        <w:contextualSpacing/>
        <w:jc w:val="both"/>
        <w:rPr>
          <w:rFonts w:ascii="Cambria" w:eastAsia="Times New Roman" w:hAnsi="Cambria" w:cs="Times New Roman"/>
          <w:sz w:val="20"/>
          <w:szCs w:val="20"/>
          <w:u w:val="single"/>
        </w:rPr>
      </w:pPr>
    </w:p>
    <w:p w14:paraId="6AE5BE9A" w14:textId="1178EA20" w:rsidR="00AD3E2B" w:rsidRPr="00BB7719" w:rsidRDefault="00AD3E2B" w:rsidP="000F4C71">
      <w:pPr>
        <w:numPr>
          <w:ilvl w:val="0"/>
          <w:numId w:val="10"/>
        </w:numPr>
        <w:tabs>
          <w:tab w:val="clear" w:pos="720"/>
        </w:tabs>
        <w:spacing w:after="0" w:line="240" w:lineRule="auto"/>
        <w:ind w:left="851" w:hanging="425"/>
        <w:contextualSpacing/>
        <w:jc w:val="both"/>
        <w:rPr>
          <w:rFonts w:ascii="Cambria" w:eastAsia="Times New Roman" w:hAnsi="Cambria" w:cs="Times New Roman"/>
          <w:sz w:val="20"/>
          <w:szCs w:val="20"/>
          <w:u w:val="single"/>
        </w:rPr>
      </w:pPr>
      <w:r w:rsidRPr="00BB7719">
        <w:rPr>
          <w:rFonts w:ascii="Cambria" w:eastAsia="Times New Roman" w:hAnsi="Cambria" w:cs="Times New Roman"/>
          <w:sz w:val="20"/>
          <w:szCs w:val="20"/>
          <w:u w:val="single"/>
        </w:rPr>
        <w:t xml:space="preserve">Based on the above, and in view of the rigorous, comprehensive and transparent approach </w:t>
      </w:r>
      <w:r w:rsidR="0044547E" w:rsidRPr="00BB7719">
        <w:rPr>
          <w:rFonts w:ascii="Cambria" w:eastAsia="Times New Roman" w:hAnsi="Cambria" w:cs="Times New Roman"/>
          <w:sz w:val="20"/>
          <w:szCs w:val="20"/>
          <w:u w:val="single"/>
        </w:rPr>
        <w:t>followed</w:t>
      </w:r>
      <w:r w:rsidRPr="00BB7719">
        <w:rPr>
          <w:rFonts w:ascii="Cambria" w:eastAsia="Times New Roman" w:hAnsi="Cambria" w:cs="Times New Roman"/>
          <w:sz w:val="20"/>
          <w:szCs w:val="20"/>
          <w:u w:val="single"/>
        </w:rPr>
        <w:t xml:space="preserve"> by Algeria, we consider that this </w:t>
      </w:r>
      <w:r w:rsidR="0044547E" w:rsidRPr="00BB7719">
        <w:rPr>
          <w:rFonts w:ascii="Cambria" w:eastAsia="Times New Roman" w:hAnsi="Cambria" w:cs="Times New Roman"/>
          <w:sz w:val="20"/>
          <w:szCs w:val="20"/>
          <w:u w:val="single"/>
        </w:rPr>
        <w:t>matter</w:t>
      </w:r>
      <w:r w:rsidRPr="00BB7719">
        <w:rPr>
          <w:rFonts w:ascii="Cambria" w:eastAsia="Times New Roman" w:hAnsi="Cambria" w:cs="Times New Roman"/>
          <w:sz w:val="20"/>
          <w:szCs w:val="20"/>
          <w:u w:val="single"/>
        </w:rPr>
        <w:t xml:space="preserve"> </w:t>
      </w:r>
      <w:r w:rsidR="0044547E" w:rsidRPr="00BB7719">
        <w:rPr>
          <w:rFonts w:ascii="Cambria" w:eastAsia="Times New Roman" w:hAnsi="Cambria" w:cs="Times New Roman"/>
          <w:sz w:val="20"/>
          <w:szCs w:val="20"/>
          <w:u w:val="single"/>
        </w:rPr>
        <w:t>cannot</w:t>
      </w:r>
      <w:r w:rsidRPr="00BB7719">
        <w:rPr>
          <w:rFonts w:ascii="Cambria" w:eastAsia="Times New Roman" w:hAnsi="Cambria" w:cs="Times New Roman"/>
          <w:sz w:val="20"/>
          <w:szCs w:val="20"/>
          <w:u w:val="single"/>
        </w:rPr>
        <w:t xml:space="preserve"> constitute a potential </w:t>
      </w:r>
      <w:r w:rsidR="0044547E" w:rsidRPr="00BB7719">
        <w:rPr>
          <w:rFonts w:ascii="Cambria" w:eastAsia="Times New Roman" w:hAnsi="Cambria" w:cs="Times New Roman"/>
          <w:sz w:val="20"/>
          <w:szCs w:val="20"/>
          <w:u w:val="single"/>
        </w:rPr>
        <w:t xml:space="preserve">case of </w:t>
      </w:r>
      <w:r w:rsidRPr="00BB7719">
        <w:rPr>
          <w:rFonts w:ascii="Cambria" w:eastAsia="Times New Roman" w:hAnsi="Cambria" w:cs="Times New Roman"/>
          <w:sz w:val="20"/>
          <w:szCs w:val="20"/>
          <w:u w:val="single"/>
        </w:rPr>
        <w:t xml:space="preserve">non-compliance and that it has been definitively resolved. </w:t>
      </w:r>
    </w:p>
    <w:p w14:paraId="7A28E784" w14:textId="0ACE12A9" w:rsidR="00D12179" w:rsidRPr="00BB7719" w:rsidRDefault="00D12179">
      <w:pPr>
        <w:rPr>
          <w:rFonts w:ascii="Cambria" w:eastAsia="Times New Roman" w:hAnsi="Cambria" w:cs="Times New Roman"/>
          <w:b/>
          <w:bCs/>
          <w:sz w:val="20"/>
          <w:szCs w:val="20"/>
        </w:rPr>
      </w:pPr>
    </w:p>
    <w:p w14:paraId="077A60B9" w14:textId="0EDAC79F" w:rsidR="00DE003E" w:rsidRPr="00BB7719" w:rsidRDefault="00DE003E" w:rsidP="00240776">
      <w:pPr>
        <w:spacing w:after="0" w:line="240" w:lineRule="auto"/>
        <w:jc w:val="both"/>
        <w:rPr>
          <w:rFonts w:ascii="Cambria" w:eastAsia="Times New Roman" w:hAnsi="Cambria" w:cs="Times New Roman"/>
          <w:b/>
          <w:bCs/>
          <w:sz w:val="20"/>
          <w:szCs w:val="20"/>
        </w:rPr>
      </w:pPr>
      <w:r w:rsidRPr="00BB7719">
        <w:rPr>
          <w:rFonts w:ascii="Cambria" w:eastAsia="Times New Roman" w:hAnsi="Cambria" w:cs="Times New Roman"/>
          <w:b/>
          <w:bCs/>
          <w:sz w:val="20"/>
          <w:szCs w:val="20"/>
        </w:rPr>
        <w:t xml:space="preserve">To </w:t>
      </w:r>
      <w:r w:rsidR="00C06B4A" w:rsidRPr="00BB7719">
        <w:rPr>
          <w:rFonts w:ascii="Cambria" w:eastAsia="Times New Roman" w:hAnsi="Cambria" w:cs="Times New Roman"/>
          <w:b/>
          <w:bCs/>
          <w:sz w:val="20"/>
          <w:szCs w:val="20"/>
        </w:rPr>
        <w:t>Mauritania</w:t>
      </w:r>
      <w:r w:rsidRPr="00BB7719">
        <w:rPr>
          <w:rFonts w:ascii="Cambria" w:eastAsia="Times New Roman" w:hAnsi="Cambria" w:cs="Times New Roman"/>
          <w:b/>
          <w:bCs/>
          <w:sz w:val="20"/>
          <w:szCs w:val="20"/>
        </w:rPr>
        <w:t>:</w:t>
      </w:r>
    </w:p>
    <w:p w14:paraId="1E1DF61D" w14:textId="77777777" w:rsidR="00240776" w:rsidRPr="00BB7719" w:rsidRDefault="00240776" w:rsidP="00240776">
      <w:pPr>
        <w:spacing w:after="0" w:line="240" w:lineRule="auto"/>
        <w:jc w:val="both"/>
        <w:rPr>
          <w:rFonts w:ascii="Cambria" w:eastAsia="Times New Roman" w:hAnsi="Cambria" w:cs="Times New Roman"/>
          <w:b/>
          <w:bCs/>
          <w:sz w:val="20"/>
          <w:szCs w:val="20"/>
        </w:rPr>
      </w:pPr>
    </w:p>
    <w:p w14:paraId="7CDD3AD9" w14:textId="640B178B" w:rsidR="00DE003E" w:rsidRPr="00BB7719" w:rsidRDefault="00C06B4A" w:rsidP="00240776">
      <w:pPr>
        <w:spacing w:after="0" w:line="240" w:lineRule="auto"/>
        <w:jc w:val="both"/>
        <w:rPr>
          <w:rFonts w:ascii="Cambria" w:eastAsia="Times New Roman" w:hAnsi="Cambria" w:cs="Times New Roman"/>
          <w:sz w:val="20"/>
          <w:szCs w:val="20"/>
        </w:rPr>
      </w:pPr>
      <w:r w:rsidRPr="00BB7719">
        <w:rPr>
          <w:rFonts w:ascii="Cambria" w:eastAsia="Times New Roman" w:hAnsi="Cambria" w:cs="Times New Roman"/>
          <w:sz w:val="20"/>
          <w:szCs w:val="20"/>
        </w:rPr>
        <w:t xml:space="preserve">Mauritania could explain how they implement and comply with </w:t>
      </w:r>
      <w:hyperlink r:id="rId7" w:history="1">
        <w:r w:rsidR="00981032" w:rsidRPr="00BB7719">
          <w:rPr>
            <w:rStyle w:val="Hyperlink"/>
            <w:rFonts w:ascii="Cambria" w:eastAsia="Times New Roman" w:hAnsi="Cambria" w:cs="Times New Roman"/>
            <w:i/>
            <w:iCs/>
            <w:sz w:val="20"/>
            <w:szCs w:val="20"/>
            <w:u w:val="none"/>
          </w:rPr>
          <w:t>Recommendation by ICCAT on prohibition on discards of tropical tunas caught by purse seiners</w:t>
        </w:r>
        <w:r w:rsidR="00981032" w:rsidRPr="00BB7719">
          <w:rPr>
            <w:rStyle w:val="Hyperlink"/>
            <w:rFonts w:ascii="Cambria" w:eastAsia="Times New Roman" w:hAnsi="Cambria" w:cs="Times New Roman"/>
            <w:sz w:val="20"/>
            <w:szCs w:val="20"/>
            <w:u w:val="none"/>
          </w:rPr>
          <w:t xml:space="preserve"> (</w:t>
        </w:r>
        <w:r w:rsidRPr="00BB7719">
          <w:rPr>
            <w:rStyle w:val="Hyperlink"/>
            <w:rFonts w:ascii="Cambria" w:eastAsia="Times New Roman" w:hAnsi="Cambria" w:cs="Times New Roman"/>
            <w:sz w:val="20"/>
            <w:szCs w:val="20"/>
            <w:u w:val="none"/>
          </w:rPr>
          <w:t>Rec. 17-01</w:t>
        </w:r>
        <w:r w:rsidR="00981032" w:rsidRPr="00BB7719">
          <w:rPr>
            <w:rStyle w:val="Hyperlink"/>
            <w:rFonts w:ascii="Cambria" w:eastAsia="Times New Roman" w:hAnsi="Cambria" w:cs="Times New Roman"/>
            <w:sz w:val="20"/>
            <w:szCs w:val="20"/>
            <w:u w:val="none"/>
          </w:rPr>
          <w:t>)</w:t>
        </w:r>
      </w:hyperlink>
      <w:r w:rsidRPr="00BB7719">
        <w:rPr>
          <w:rFonts w:ascii="Cambria" w:eastAsia="Times New Roman" w:hAnsi="Cambria" w:cs="Times New Roman"/>
          <w:sz w:val="20"/>
          <w:szCs w:val="20"/>
        </w:rPr>
        <w:t xml:space="preserve">, in light of </w:t>
      </w:r>
      <w:hyperlink r:id="rId8" w:history="1">
        <w:proofErr w:type="spellStart"/>
        <w:r w:rsidRPr="00BB7719">
          <w:rPr>
            <w:rStyle w:val="Hyperlink"/>
            <w:rFonts w:ascii="Cambria" w:eastAsia="Times New Roman" w:hAnsi="Cambria" w:cs="Times New Roman"/>
            <w:sz w:val="20"/>
            <w:szCs w:val="20"/>
            <w:u w:val="none"/>
          </w:rPr>
          <w:t>Décret</w:t>
        </w:r>
        <w:proofErr w:type="spellEnd"/>
        <w:r w:rsidRPr="00BB7719">
          <w:rPr>
            <w:rStyle w:val="Hyperlink"/>
            <w:rFonts w:ascii="Cambria" w:eastAsia="Times New Roman" w:hAnsi="Cambria" w:cs="Times New Roman"/>
            <w:sz w:val="20"/>
            <w:szCs w:val="20"/>
            <w:u w:val="none"/>
          </w:rPr>
          <w:t xml:space="preserve"> n°2018-088</w:t>
        </w:r>
      </w:hyperlink>
      <w:r w:rsidRPr="00BB7719">
        <w:rPr>
          <w:rFonts w:ascii="Cambria" w:eastAsia="Times New Roman" w:hAnsi="Cambria" w:cs="Times New Roman"/>
          <w:sz w:val="20"/>
          <w:szCs w:val="20"/>
        </w:rPr>
        <w:t>, which seems to establish a minimum size for bigeye tuna and which might be in contradiction with the prohibition to discard tropical tunas.</w:t>
      </w:r>
    </w:p>
    <w:p w14:paraId="1B58123E" w14:textId="77777777" w:rsidR="00947ED5" w:rsidRPr="00BB7719"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BB7719"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BB7719"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BB7719">
        <w:rPr>
          <w:rFonts w:ascii="Cambria" w:eastAsia="Times New Roman" w:hAnsi="Cambria" w:cs="Times New Roman"/>
          <w:b/>
          <w:bCs/>
          <w:sz w:val="20"/>
          <w:szCs w:val="20"/>
        </w:rPr>
        <w:t xml:space="preserve">To </w:t>
      </w:r>
      <w:r w:rsidR="00C06B4A" w:rsidRPr="00BB7719">
        <w:rPr>
          <w:rFonts w:ascii="Cambria" w:eastAsia="Times New Roman" w:hAnsi="Cambria" w:cs="Times New Roman"/>
          <w:b/>
          <w:bCs/>
          <w:color w:val="222222"/>
          <w:sz w:val="20"/>
          <w:szCs w:val="20"/>
        </w:rPr>
        <w:t>Mexico</w:t>
      </w:r>
      <w:r w:rsidRPr="00BB7719">
        <w:rPr>
          <w:rFonts w:ascii="Cambria" w:eastAsia="Times New Roman" w:hAnsi="Cambria" w:cs="Times New Roman"/>
          <w:b/>
          <w:bCs/>
          <w:color w:val="222222"/>
          <w:sz w:val="20"/>
          <w:szCs w:val="20"/>
        </w:rPr>
        <w:t>:</w:t>
      </w:r>
    </w:p>
    <w:p w14:paraId="47D7137E" w14:textId="77777777" w:rsidR="00240776" w:rsidRPr="00BB7719" w:rsidRDefault="00240776" w:rsidP="00240776">
      <w:pPr>
        <w:spacing w:after="0" w:line="240" w:lineRule="auto"/>
        <w:jc w:val="both"/>
        <w:rPr>
          <w:rFonts w:ascii="Cambria" w:eastAsia="Times New Roman" w:hAnsi="Cambria" w:cs="Times New Roman"/>
          <w:b/>
          <w:bCs/>
          <w:sz w:val="20"/>
          <w:szCs w:val="20"/>
        </w:rPr>
      </w:pPr>
    </w:p>
    <w:p w14:paraId="5D4D834C" w14:textId="69161D7E" w:rsidR="00DE003E" w:rsidRPr="00BB7719" w:rsidRDefault="00C06B4A" w:rsidP="00240776">
      <w:p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 xml:space="preserve">Mexico could explain how they implement and comply with the prohibition to retain and land oceanic whitetip shark in </w:t>
      </w:r>
      <w:hyperlink r:id="rId9" w:history="1">
        <w:r w:rsidR="0015420E" w:rsidRPr="00BB7719">
          <w:rPr>
            <w:rStyle w:val="Hyperlink"/>
            <w:rFonts w:ascii="Cambria" w:eastAsia="Times New Roman" w:hAnsi="Cambria" w:cs="Times New Roman"/>
            <w:i/>
            <w:iCs/>
            <w:sz w:val="20"/>
            <w:szCs w:val="20"/>
            <w:u w:val="none"/>
          </w:rPr>
          <w:t>Recommendation by ICCAT on the conservation of oceanic whitetip shark caught in association with fisheries in the ICCAT Convention area</w:t>
        </w:r>
        <w:r w:rsidR="0015420E" w:rsidRPr="00BB7719">
          <w:rPr>
            <w:rStyle w:val="Hyperlink"/>
            <w:rFonts w:ascii="Cambria" w:eastAsia="Times New Roman" w:hAnsi="Cambria" w:cs="Times New Roman"/>
            <w:sz w:val="20"/>
            <w:szCs w:val="20"/>
            <w:u w:val="none"/>
          </w:rPr>
          <w:t xml:space="preserve"> (</w:t>
        </w:r>
        <w:r w:rsidRPr="00BB7719">
          <w:rPr>
            <w:rStyle w:val="Hyperlink"/>
            <w:rFonts w:ascii="Cambria" w:eastAsia="Times New Roman" w:hAnsi="Cambria" w:cs="Times New Roman"/>
            <w:sz w:val="20"/>
            <w:szCs w:val="20"/>
            <w:u w:val="none"/>
          </w:rPr>
          <w:t>Rec. 10-07</w:t>
        </w:r>
        <w:r w:rsidR="0015420E" w:rsidRPr="00BB7719">
          <w:rPr>
            <w:rStyle w:val="Hyperlink"/>
            <w:rFonts w:ascii="Cambria" w:eastAsia="Times New Roman" w:hAnsi="Cambria" w:cs="Times New Roman"/>
            <w:sz w:val="20"/>
            <w:szCs w:val="20"/>
            <w:u w:val="none"/>
          </w:rPr>
          <w:t>)</w:t>
        </w:r>
      </w:hyperlink>
      <w:r w:rsidRPr="00BB7719">
        <w:rPr>
          <w:rFonts w:ascii="Cambria" w:eastAsia="Times New Roman" w:hAnsi="Cambria" w:cs="Times New Roman"/>
          <w:color w:val="222222"/>
          <w:sz w:val="20"/>
          <w:szCs w:val="20"/>
        </w:rPr>
        <w:t>, in light of their landing declarations for oceanic whitetip shark.</w:t>
      </w:r>
    </w:p>
    <w:bookmarkEnd w:id="1"/>
    <w:p w14:paraId="0D54597D" w14:textId="77777777" w:rsidR="00947ED5" w:rsidRPr="00BB7719"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BB7719"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BB7719">
        <w:rPr>
          <w:rFonts w:ascii="Cambria" w:eastAsia="Times New Roman" w:hAnsi="Cambria" w:cs="Times New Roman"/>
          <w:b/>
          <w:bCs/>
          <w:i/>
          <w:iCs/>
          <w:color w:val="222222"/>
          <w:sz w:val="20"/>
          <w:szCs w:val="20"/>
        </w:rPr>
        <w:t>Response:</w:t>
      </w:r>
      <w:r w:rsidRPr="00BB7719">
        <w:rPr>
          <w:rFonts w:ascii="Cambria" w:eastAsia="Times New Roman" w:hAnsi="Cambria" w:cs="Times New Roman"/>
          <w:b/>
          <w:bCs/>
          <w:color w:val="222222"/>
          <w:sz w:val="20"/>
          <w:szCs w:val="20"/>
        </w:rPr>
        <w:t xml:space="preserve">  </w:t>
      </w:r>
      <w:r w:rsidRPr="00BB7719">
        <w:rPr>
          <w:rFonts w:ascii="Cambria" w:eastAsia="Times New Roman" w:hAnsi="Cambria" w:cs="Times New Roman"/>
          <w:color w:val="222222"/>
          <w:sz w:val="20"/>
          <w:szCs w:val="20"/>
        </w:rPr>
        <w:t>In full compliance with the commitments made by Mexico during the 24th Special Meeting of the International Commission for the Conservation of Atlantic Tunas (ICCAT) held in Limassol (Cyprus</w:t>
      </w:r>
      <w:proofErr w:type="gramStart"/>
      <w:r w:rsidR="0009706F" w:rsidRPr="00BB7719">
        <w:rPr>
          <w:rFonts w:ascii="Cambria" w:eastAsia="Times New Roman" w:hAnsi="Cambria" w:cs="Times New Roman"/>
          <w:color w:val="222222"/>
          <w:sz w:val="20"/>
          <w:szCs w:val="20"/>
        </w:rPr>
        <w:t xml:space="preserve">),  </w:t>
      </w:r>
      <w:r w:rsidR="00892CE8" w:rsidRPr="00BB7719">
        <w:rPr>
          <w:rFonts w:ascii="Cambria" w:eastAsia="Times New Roman" w:hAnsi="Cambria" w:cs="Times New Roman"/>
          <w:color w:val="222222"/>
          <w:sz w:val="20"/>
          <w:szCs w:val="20"/>
        </w:rPr>
        <w:t xml:space="preserve"> </w:t>
      </w:r>
      <w:proofErr w:type="gramEnd"/>
      <w:r w:rsidR="00892CE8" w:rsidRPr="00BB7719">
        <w:rPr>
          <w:rFonts w:ascii="Cambria" w:eastAsia="Times New Roman" w:hAnsi="Cambria" w:cs="Times New Roman"/>
          <w:color w:val="222222"/>
          <w:sz w:val="20"/>
          <w:szCs w:val="20"/>
        </w:rPr>
        <w:t xml:space="preserve">         </w:t>
      </w:r>
      <w:r w:rsidRPr="00BB7719">
        <w:rPr>
          <w:rFonts w:ascii="Cambria" w:eastAsia="Times New Roman" w:hAnsi="Cambria" w:cs="Times New Roman"/>
          <w:color w:val="222222"/>
          <w:sz w:val="20"/>
          <w:szCs w:val="20"/>
        </w:rPr>
        <w:t>11-18 November 2024, the following has been established:</w:t>
      </w:r>
    </w:p>
    <w:p w14:paraId="7AFC1C26" w14:textId="77777777" w:rsidR="001E53C4" w:rsidRPr="00BB7719" w:rsidRDefault="001E53C4" w:rsidP="002A61B7">
      <w:pPr>
        <w:spacing w:after="0" w:line="240" w:lineRule="auto"/>
        <w:jc w:val="both"/>
        <w:rPr>
          <w:rFonts w:ascii="Cambria" w:eastAsia="Times New Roman" w:hAnsi="Cambria" w:cs="Times New Roman"/>
          <w:color w:val="222222"/>
          <w:sz w:val="20"/>
          <w:szCs w:val="20"/>
        </w:rPr>
      </w:pPr>
    </w:p>
    <w:p w14:paraId="6EE94A46" w14:textId="3FD84A2B"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the "</w:t>
      </w:r>
      <w:r w:rsidR="006A29AC" w:rsidRPr="00BB7719">
        <w:rPr>
          <w:rFonts w:ascii="Cambria" w:eastAsia="Times New Roman" w:hAnsi="Cambria" w:cs="Times New Roman"/>
          <w:color w:val="222222"/>
          <w:sz w:val="20"/>
          <w:szCs w:val="20"/>
        </w:rPr>
        <w:t>Agreement</w:t>
      </w:r>
      <w:r w:rsidRPr="00BB7719">
        <w:rPr>
          <w:rFonts w:ascii="Cambria" w:eastAsia="Times New Roman" w:hAnsi="Cambria" w:cs="Times New Roman"/>
          <w:color w:val="222222"/>
          <w:sz w:val="20"/>
          <w:szCs w:val="20"/>
        </w:rPr>
        <w:t xml:space="preserve"> establishing various provisions on incidental shark fishing in tuna fisheries by large longline vessels in the Gulf of Mexico, the Caribbean Sea, and in the Convention area of the International Commission for the Conservation of Atlantic Tunas (ICCAT)"</w:t>
      </w:r>
      <w:r w:rsidR="00254B1A" w:rsidRPr="00BB7719">
        <w:rPr>
          <w:rFonts w:ascii="Cambria" w:eastAsia="Times New Roman" w:hAnsi="Cambria" w:cs="Times New Roman"/>
          <w:color w:val="222222"/>
          <w:sz w:val="20"/>
          <w:szCs w:val="20"/>
        </w:rPr>
        <w:t xml:space="preserve"> was published on 2 October 2025 in the </w:t>
      </w:r>
      <w:r w:rsidR="000729DD" w:rsidRPr="00BB7719">
        <w:rPr>
          <w:rFonts w:ascii="Cambria" w:eastAsia="Times New Roman" w:hAnsi="Cambria" w:cs="Times New Roman"/>
          <w:color w:val="222222"/>
          <w:sz w:val="20"/>
          <w:szCs w:val="20"/>
        </w:rPr>
        <w:t xml:space="preserve">Federation’s </w:t>
      </w:r>
      <w:r w:rsidR="00254B1A" w:rsidRPr="00BB7719">
        <w:rPr>
          <w:rFonts w:ascii="Cambria" w:eastAsia="Times New Roman" w:hAnsi="Cambria" w:cs="Times New Roman"/>
          <w:color w:val="222222"/>
          <w:sz w:val="20"/>
          <w:szCs w:val="20"/>
        </w:rPr>
        <w:t>Official Gazette (DOF).</w:t>
      </w:r>
    </w:p>
    <w:p w14:paraId="06D35658" w14:textId="77777777" w:rsidR="002A61B7" w:rsidRPr="00BB7719" w:rsidRDefault="002A61B7" w:rsidP="002A61B7">
      <w:pPr>
        <w:pStyle w:val="ListParagraph"/>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 xml:space="preserve"> </w:t>
      </w:r>
    </w:p>
    <w:p w14:paraId="74A42BA2" w14:textId="77777777"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This binding regulatory instrument strengthens the national implementation of Recommendations 09-07, 10-07, and 10-08, ensuring their full compliance. Among its main provisions, the Agreement prohibits retaining on board, storing, transshipping, or landing, whether whole specimens or parts thereof, of the following species caught incidentally in the ICCAT Convention area:</w:t>
      </w:r>
    </w:p>
    <w:p w14:paraId="5ADA3AA9" w14:textId="77777777" w:rsidR="002A61B7" w:rsidRPr="00BB7719"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Bigeye thresher shark (</w:t>
      </w:r>
      <w:proofErr w:type="spellStart"/>
      <w:r w:rsidRPr="00BB7719">
        <w:rPr>
          <w:rFonts w:ascii="Cambria" w:eastAsia="Times New Roman" w:hAnsi="Cambria" w:cs="Times New Roman"/>
          <w:i/>
          <w:iCs/>
          <w:color w:val="222222"/>
          <w:sz w:val="20"/>
          <w:szCs w:val="20"/>
        </w:rPr>
        <w:t>Alopias</w:t>
      </w:r>
      <w:proofErr w:type="spellEnd"/>
      <w:r w:rsidRPr="00BB7719">
        <w:rPr>
          <w:rFonts w:ascii="Cambria" w:eastAsia="Times New Roman" w:hAnsi="Cambria" w:cs="Times New Roman"/>
          <w:i/>
          <w:iCs/>
          <w:color w:val="222222"/>
          <w:sz w:val="20"/>
          <w:szCs w:val="20"/>
        </w:rPr>
        <w:t xml:space="preserve"> </w:t>
      </w:r>
      <w:proofErr w:type="spellStart"/>
      <w:r w:rsidRPr="00BB7719">
        <w:rPr>
          <w:rFonts w:ascii="Cambria" w:eastAsia="Times New Roman" w:hAnsi="Cambria" w:cs="Times New Roman"/>
          <w:i/>
          <w:iCs/>
          <w:color w:val="222222"/>
          <w:sz w:val="20"/>
          <w:szCs w:val="20"/>
        </w:rPr>
        <w:t>supercilliosus</w:t>
      </w:r>
      <w:proofErr w:type="spellEnd"/>
      <w:r w:rsidRPr="00BB7719">
        <w:rPr>
          <w:rFonts w:ascii="Cambria" w:eastAsia="Times New Roman" w:hAnsi="Cambria" w:cs="Times New Roman"/>
          <w:color w:val="222222"/>
          <w:sz w:val="20"/>
          <w:szCs w:val="20"/>
        </w:rPr>
        <w:t>).</w:t>
      </w:r>
    </w:p>
    <w:p w14:paraId="01094E26" w14:textId="7CCBA761" w:rsidR="002A61B7" w:rsidRPr="00BB7719"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Oceanic whitetip shark (</w:t>
      </w:r>
      <w:r w:rsidRPr="00BB7719">
        <w:rPr>
          <w:rFonts w:ascii="Cambria" w:eastAsia="Times New Roman" w:hAnsi="Cambria" w:cs="Times New Roman"/>
          <w:i/>
          <w:iCs/>
          <w:color w:val="222222"/>
          <w:sz w:val="20"/>
          <w:szCs w:val="20"/>
        </w:rPr>
        <w:t>Carcharhinus longimanus</w:t>
      </w:r>
      <w:r w:rsidR="0009706F" w:rsidRPr="00BB7719">
        <w:rPr>
          <w:rFonts w:ascii="Cambria" w:eastAsia="Times New Roman" w:hAnsi="Cambria" w:cs="Times New Roman"/>
          <w:color w:val="222222"/>
          <w:sz w:val="20"/>
          <w:szCs w:val="20"/>
        </w:rPr>
        <w:t>), Sharks</w:t>
      </w:r>
      <w:r w:rsidRPr="00BB7719">
        <w:rPr>
          <w:rFonts w:ascii="Cambria" w:eastAsia="Times New Roman" w:hAnsi="Cambria" w:cs="Times New Roman"/>
          <w:color w:val="222222"/>
          <w:sz w:val="20"/>
          <w:szCs w:val="20"/>
        </w:rPr>
        <w:t xml:space="preserve"> of the genus Sphyrna (“hammerhead sharks” or “horned sharks”), except for the species </w:t>
      </w:r>
      <w:r w:rsidRPr="00BB7719">
        <w:rPr>
          <w:rFonts w:ascii="Cambria" w:eastAsia="Times New Roman" w:hAnsi="Cambria" w:cs="Times New Roman"/>
          <w:i/>
          <w:iCs/>
          <w:color w:val="222222"/>
          <w:sz w:val="20"/>
          <w:szCs w:val="20"/>
        </w:rPr>
        <w:t xml:space="preserve">Sphyrna </w:t>
      </w:r>
      <w:proofErr w:type="spellStart"/>
      <w:r w:rsidRPr="00BB7719">
        <w:rPr>
          <w:rFonts w:ascii="Cambria" w:eastAsia="Times New Roman" w:hAnsi="Cambria" w:cs="Times New Roman"/>
          <w:i/>
          <w:iCs/>
          <w:color w:val="222222"/>
          <w:sz w:val="20"/>
          <w:szCs w:val="20"/>
        </w:rPr>
        <w:t>tiburo</w:t>
      </w:r>
      <w:proofErr w:type="spellEnd"/>
      <w:r w:rsidRPr="00BB7719">
        <w:rPr>
          <w:rFonts w:ascii="Cambria" w:eastAsia="Times New Roman" w:hAnsi="Cambria" w:cs="Times New Roman"/>
          <w:i/>
          <w:iCs/>
          <w:color w:val="222222"/>
          <w:sz w:val="20"/>
          <w:szCs w:val="20"/>
        </w:rPr>
        <w:t>.</w:t>
      </w:r>
    </w:p>
    <w:p w14:paraId="5D07B8BB" w14:textId="77777777" w:rsidR="002A61B7" w:rsidRPr="00BB7719"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lang w:val="es-ES"/>
        </w:rPr>
      </w:pPr>
      <w:proofErr w:type="spellStart"/>
      <w:r w:rsidRPr="00BB7719">
        <w:rPr>
          <w:rFonts w:ascii="Cambria" w:eastAsia="Times New Roman" w:hAnsi="Cambria" w:cs="Times New Roman"/>
          <w:color w:val="222222"/>
          <w:sz w:val="20"/>
          <w:szCs w:val="20"/>
          <w:lang w:val="es-ES"/>
        </w:rPr>
        <w:t>Silky</w:t>
      </w:r>
      <w:proofErr w:type="spellEnd"/>
      <w:r w:rsidRPr="00BB7719">
        <w:rPr>
          <w:rFonts w:ascii="Cambria" w:eastAsia="Times New Roman" w:hAnsi="Cambria" w:cs="Times New Roman"/>
          <w:color w:val="222222"/>
          <w:sz w:val="20"/>
          <w:szCs w:val="20"/>
          <w:lang w:val="es-ES"/>
        </w:rPr>
        <w:t xml:space="preserve"> </w:t>
      </w:r>
      <w:proofErr w:type="spellStart"/>
      <w:r w:rsidRPr="00BB7719">
        <w:rPr>
          <w:rFonts w:ascii="Cambria" w:eastAsia="Times New Roman" w:hAnsi="Cambria" w:cs="Times New Roman"/>
          <w:color w:val="222222"/>
          <w:sz w:val="20"/>
          <w:szCs w:val="20"/>
          <w:lang w:val="es-ES"/>
        </w:rPr>
        <w:t>shark</w:t>
      </w:r>
      <w:proofErr w:type="spellEnd"/>
      <w:r w:rsidRPr="00BB7719">
        <w:rPr>
          <w:rFonts w:ascii="Cambria" w:eastAsia="Times New Roman" w:hAnsi="Cambria" w:cs="Times New Roman"/>
          <w:color w:val="222222"/>
          <w:sz w:val="20"/>
          <w:szCs w:val="20"/>
          <w:lang w:val="es-ES"/>
        </w:rPr>
        <w:t xml:space="preserve"> (</w:t>
      </w:r>
      <w:proofErr w:type="spellStart"/>
      <w:r w:rsidRPr="00BB7719">
        <w:rPr>
          <w:rFonts w:ascii="Cambria" w:eastAsia="Times New Roman" w:hAnsi="Cambria" w:cs="Times New Roman"/>
          <w:i/>
          <w:iCs/>
          <w:color w:val="222222"/>
          <w:sz w:val="20"/>
          <w:szCs w:val="20"/>
          <w:lang w:val="es-ES"/>
        </w:rPr>
        <w:t>Carcharhinus</w:t>
      </w:r>
      <w:proofErr w:type="spellEnd"/>
      <w:r w:rsidRPr="00BB7719">
        <w:rPr>
          <w:rFonts w:ascii="Cambria" w:eastAsia="Times New Roman" w:hAnsi="Cambria" w:cs="Times New Roman"/>
          <w:i/>
          <w:iCs/>
          <w:color w:val="222222"/>
          <w:sz w:val="20"/>
          <w:szCs w:val="20"/>
          <w:lang w:val="es-ES"/>
        </w:rPr>
        <w:t xml:space="preserve"> </w:t>
      </w:r>
      <w:proofErr w:type="spellStart"/>
      <w:r w:rsidRPr="00BB7719">
        <w:rPr>
          <w:rFonts w:ascii="Cambria" w:eastAsia="Times New Roman" w:hAnsi="Cambria" w:cs="Times New Roman"/>
          <w:i/>
          <w:iCs/>
          <w:color w:val="222222"/>
          <w:sz w:val="20"/>
          <w:szCs w:val="20"/>
          <w:lang w:val="es-ES"/>
        </w:rPr>
        <w:t>falciformis</w:t>
      </w:r>
      <w:proofErr w:type="spellEnd"/>
      <w:r w:rsidRPr="00BB7719">
        <w:rPr>
          <w:rFonts w:ascii="Cambria" w:eastAsia="Times New Roman" w:hAnsi="Cambria" w:cs="Times New Roman"/>
          <w:color w:val="222222"/>
          <w:sz w:val="20"/>
          <w:szCs w:val="20"/>
          <w:lang w:val="es-ES"/>
        </w:rPr>
        <w:t xml:space="preserve">), </w:t>
      </w:r>
      <w:proofErr w:type="spellStart"/>
      <w:r w:rsidRPr="00BB7719">
        <w:rPr>
          <w:rFonts w:ascii="Cambria" w:eastAsia="Times New Roman" w:hAnsi="Cambria" w:cs="Times New Roman"/>
          <w:color w:val="222222"/>
          <w:sz w:val="20"/>
          <w:szCs w:val="20"/>
          <w:lang w:val="es-ES"/>
        </w:rPr>
        <w:t>known</w:t>
      </w:r>
      <w:proofErr w:type="spellEnd"/>
      <w:r w:rsidRPr="00BB7719">
        <w:rPr>
          <w:rFonts w:ascii="Cambria" w:eastAsia="Times New Roman" w:hAnsi="Cambria" w:cs="Times New Roman"/>
          <w:color w:val="222222"/>
          <w:sz w:val="20"/>
          <w:szCs w:val="20"/>
          <w:lang w:val="es-ES"/>
        </w:rPr>
        <w:t xml:space="preserve"> in </w:t>
      </w:r>
      <w:proofErr w:type="spellStart"/>
      <w:r w:rsidRPr="00BB7719">
        <w:rPr>
          <w:rFonts w:ascii="Cambria" w:eastAsia="Times New Roman" w:hAnsi="Cambria" w:cs="Times New Roman"/>
          <w:color w:val="222222"/>
          <w:sz w:val="20"/>
          <w:szCs w:val="20"/>
          <w:lang w:val="es-ES"/>
        </w:rPr>
        <w:t>Mexico</w:t>
      </w:r>
      <w:proofErr w:type="spellEnd"/>
      <w:r w:rsidRPr="00BB7719">
        <w:rPr>
          <w:rFonts w:ascii="Cambria" w:eastAsia="Times New Roman" w:hAnsi="Cambria" w:cs="Times New Roman"/>
          <w:color w:val="222222"/>
          <w:sz w:val="20"/>
          <w:szCs w:val="20"/>
          <w:lang w:val="es-ES"/>
        </w:rPr>
        <w:t xml:space="preserve"> as “</w:t>
      </w:r>
      <w:r w:rsidRPr="00BB7719">
        <w:rPr>
          <w:rFonts w:ascii="Cambria" w:eastAsia="Times New Roman" w:hAnsi="Cambria" w:cs="Times New Roman"/>
          <w:i/>
          <w:iCs/>
          <w:color w:val="222222"/>
          <w:sz w:val="20"/>
          <w:szCs w:val="20"/>
          <w:lang w:val="es-ES"/>
        </w:rPr>
        <w:t>tiburón sedoso</w:t>
      </w:r>
      <w:r w:rsidRPr="00BB7719">
        <w:rPr>
          <w:rFonts w:ascii="Cambria" w:eastAsia="Times New Roman" w:hAnsi="Cambria" w:cs="Times New Roman"/>
          <w:color w:val="222222"/>
          <w:sz w:val="20"/>
          <w:szCs w:val="20"/>
          <w:lang w:val="es-ES"/>
        </w:rPr>
        <w:t xml:space="preserve">” </w:t>
      </w:r>
      <w:proofErr w:type="spellStart"/>
      <w:r w:rsidRPr="00BB7719">
        <w:rPr>
          <w:rFonts w:ascii="Cambria" w:eastAsia="Times New Roman" w:hAnsi="Cambria" w:cs="Times New Roman"/>
          <w:color w:val="222222"/>
          <w:sz w:val="20"/>
          <w:szCs w:val="20"/>
          <w:lang w:val="es-ES"/>
        </w:rPr>
        <w:t>or</w:t>
      </w:r>
      <w:proofErr w:type="spellEnd"/>
      <w:r w:rsidRPr="00BB7719">
        <w:rPr>
          <w:rFonts w:ascii="Cambria" w:eastAsia="Times New Roman" w:hAnsi="Cambria" w:cs="Times New Roman"/>
          <w:color w:val="222222"/>
          <w:sz w:val="20"/>
          <w:szCs w:val="20"/>
          <w:lang w:val="es-ES"/>
        </w:rPr>
        <w:t xml:space="preserve"> “</w:t>
      </w:r>
      <w:r w:rsidRPr="00BB7719">
        <w:rPr>
          <w:rFonts w:ascii="Cambria" w:eastAsia="Times New Roman" w:hAnsi="Cambria" w:cs="Times New Roman"/>
          <w:i/>
          <w:iCs/>
          <w:color w:val="222222"/>
          <w:sz w:val="20"/>
          <w:szCs w:val="20"/>
          <w:lang w:val="es-ES"/>
        </w:rPr>
        <w:t>tiburón puntas negras</w:t>
      </w:r>
      <w:r w:rsidRPr="00BB7719">
        <w:rPr>
          <w:rFonts w:ascii="Cambria" w:eastAsia="Times New Roman" w:hAnsi="Cambria" w:cs="Times New Roman"/>
          <w:color w:val="222222"/>
          <w:sz w:val="20"/>
          <w:szCs w:val="20"/>
          <w:lang w:val="es-ES"/>
        </w:rPr>
        <w:t>”.</w:t>
      </w:r>
    </w:p>
    <w:p w14:paraId="0C46CF3B" w14:textId="77777777" w:rsidR="002A61B7" w:rsidRPr="00BB7719" w:rsidRDefault="002A61B7" w:rsidP="002A61B7">
      <w:pPr>
        <w:pStyle w:val="ListParagraph"/>
        <w:spacing w:after="0" w:line="240" w:lineRule="auto"/>
        <w:ind w:left="1800"/>
        <w:jc w:val="both"/>
        <w:rPr>
          <w:rFonts w:ascii="Cambria" w:eastAsia="Times New Roman" w:hAnsi="Cambria" w:cs="Times New Roman"/>
          <w:color w:val="222222"/>
          <w:sz w:val="20"/>
          <w:szCs w:val="20"/>
          <w:lang w:val="es-ES"/>
        </w:rPr>
      </w:pPr>
    </w:p>
    <w:p w14:paraId="1388BB97" w14:textId="77777777"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The Agreement establishes that shark specimens listed in the Agreement, as well as other non-target species subject to special protection measures that are caught, must be released in the best conditions for survival, thereby reinforcing conservation and sustainable fishing measures.</w:t>
      </w:r>
    </w:p>
    <w:p w14:paraId="7F914952" w14:textId="77777777" w:rsidR="002A61B7" w:rsidRPr="00BB7719"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DEDD2A1"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 xml:space="preserve">The provisions are mandatory for holders of concessions and </w:t>
      </w:r>
      <w:r w:rsidR="0041170D" w:rsidRPr="00BB7719">
        <w:rPr>
          <w:rFonts w:ascii="Cambria" w:eastAsia="Times New Roman" w:hAnsi="Cambria" w:cs="Times New Roman"/>
          <w:color w:val="222222"/>
          <w:sz w:val="20"/>
          <w:szCs w:val="20"/>
        </w:rPr>
        <w:t xml:space="preserve">fishing </w:t>
      </w:r>
      <w:r w:rsidRPr="00BB7719">
        <w:rPr>
          <w:rFonts w:ascii="Cambria" w:eastAsia="Times New Roman" w:hAnsi="Cambria" w:cs="Times New Roman"/>
          <w:color w:val="222222"/>
          <w:sz w:val="20"/>
          <w:szCs w:val="20"/>
        </w:rPr>
        <w:t>permits, as well as for fishing captains or masters, engineers or operators, fishermen and crew members of such vessels, and other individuals engaged in tuna fishing activities in federal waters under the jurisdiction of the United Mexican States in the Gulf of Mexico, the Caribbean Sea, and the Convention area of the International Commission for the Conservation of Atlantic Tunas (ICCAT).</w:t>
      </w:r>
    </w:p>
    <w:p w14:paraId="538BC439" w14:textId="77777777"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Similarly, it is expected that individuals who do not comply with these provisions will be subject to the sanctions established in the General Law on Sustainable Fisheries and Aquaculture and other applicable legal provisions.</w:t>
      </w:r>
    </w:p>
    <w:p w14:paraId="33F39B65" w14:textId="77777777" w:rsidR="002A61B7" w:rsidRPr="00BB7719" w:rsidRDefault="002A61B7" w:rsidP="002A61B7">
      <w:pPr>
        <w:pStyle w:val="ListParagraph"/>
        <w:spacing w:after="0" w:line="240" w:lineRule="auto"/>
        <w:rPr>
          <w:rFonts w:ascii="Cambria" w:eastAsia="Times New Roman" w:hAnsi="Cambria" w:cs="Times New Roman"/>
          <w:color w:val="222222"/>
          <w:sz w:val="20"/>
          <w:szCs w:val="20"/>
        </w:rPr>
      </w:pPr>
    </w:p>
    <w:p w14:paraId="239D3F9E" w14:textId="20E6FDB8"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 xml:space="preserve">The </w:t>
      </w:r>
      <w:r w:rsidR="000E7FAF" w:rsidRPr="00BB7719">
        <w:rPr>
          <w:rFonts w:ascii="Cambria" w:eastAsia="Times New Roman" w:hAnsi="Cambria" w:cs="Times New Roman"/>
          <w:color w:val="222222"/>
          <w:sz w:val="20"/>
          <w:szCs w:val="20"/>
        </w:rPr>
        <w:t>c</w:t>
      </w:r>
      <w:r w:rsidRPr="00BB7719">
        <w:rPr>
          <w:rFonts w:ascii="Cambria" w:eastAsia="Times New Roman" w:hAnsi="Cambria" w:cs="Times New Roman"/>
          <w:color w:val="222222"/>
          <w:sz w:val="20"/>
          <w:szCs w:val="20"/>
        </w:rPr>
        <w:t>ompliance of this Agreement shall be monitored by the Ministry of Agriculture and Rural Development (Agriculture) through CONAPESCA, as well as by the Ministry of the Navy, within the scope of their respective competences.</w:t>
      </w:r>
    </w:p>
    <w:p w14:paraId="629E66A4" w14:textId="77777777" w:rsidR="002A61B7" w:rsidRPr="00BB7719" w:rsidRDefault="002A61B7" w:rsidP="002A61B7">
      <w:pPr>
        <w:pStyle w:val="ListParagraph"/>
        <w:spacing w:after="0" w:line="240" w:lineRule="auto"/>
        <w:rPr>
          <w:rFonts w:ascii="Cambria" w:eastAsia="Times New Roman" w:hAnsi="Cambria" w:cs="Times New Roman"/>
          <w:color w:val="222222"/>
          <w:sz w:val="20"/>
          <w:szCs w:val="20"/>
        </w:rPr>
      </w:pPr>
    </w:p>
    <w:p w14:paraId="71D47E09" w14:textId="77777777" w:rsidR="002A61B7" w:rsidRPr="00BB7719"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In addition to the above, and as has been stated on several occasions, Mexico has, among others, the following regulatory instruments for shark management and protection:</w:t>
      </w:r>
    </w:p>
    <w:p w14:paraId="7FF42503" w14:textId="77777777" w:rsidR="002A61B7" w:rsidRPr="00BB7719"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BB7719"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Official Mexican Regulation NOM-029-PESC-2006, Responsible fishing for sharks and rays. Specifications for their exploitation.</w:t>
      </w:r>
    </w:p>
    <w:p w14:paraId="406213BC" w14:textId="77777777" w:rsidR="002A61B7" w:rsidRPr="00BB7719"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Closed seasons for sharks and rays in the Gulf of Mexico.</w:t>
      </w:r>
    </w:p>
    <w:p w14:paraId="0D9BD9BC" w14:textId="5036E347" w:rsidR="002A61B7" w:rsidRPr="00BB7719"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Fisheries management plan for sharks and rays in the Gulf of Mexico and Caribbean Sea</w:t>
      </w:r>
      <w:r w:rsidR="00892CE8" w:rsidRPr="00BB7719">
        <w:rPr>
          <w:rFonts w:ascii="Cambria" w:eastAsia="Times New Roman" w:hAnsi="Cambria" w:cs="Times New Roman"/>
          <w:color w:val="222222"/>
          <w:sz w:val="20"/>
          <w:szCs w:val="20"/>
        </w:rPr>
        <w:t>.</w:t>
      </w:r>
    </w:p>
    <w:p w14:paraId="2EFCAAE2" w14:textId="64BA093C" w:rsidR="002A61B7" w:rsidRPr="00BB7719"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National action plan for the management and conservation of sharks, rays, and related species in Mexico (PANMCT, second edition)</w:t>
      </w:r>
      <w:r w:rsidR="00892CE8" w:rsidRPr="00BB7719">
        <w:rPr>
          <w:rFonts w:ascii="Cambria" w:eastAsia="Times New Roman" w:hAnsi="Cambria" w:cs="Times New Roman"/>
          <w:color w:val="222222"/>
          <w:sz w:val="20"/>
          <w:szCs w:val="20"/>
        </w:rPr>
        <w:t>.</w:t>
      </w:r>
    </w:p>
    <w:p w14:paraId="2E3472AD" w14:textId="77777777" w:rsidR="002A61B7" w:rsidRPr="00BB7719"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77777777" w:rsidR="002A61B7" w:rsidRPr="00BB7719" w:rsidRDefault="002A61B7" w:rsidP="002A61B7">
      <w:pPr>
        <w:jc w:val="both"/>
        <w:rPr>
          <w:rFonts w:ascii="Cambria" w:eastAsia="Times New Roman" w:hAnsi="Cambria" w:cs="Times New Roman"/>
          <w:sz w:val="20"/>
          <w:szCs w:val="20"/>
        </w:rPr>
      </w:pPr>
      <w:r w:rsidRPr="00BB7719">
        <w:rPr>
          <w:rFonts w:ascii="Cambria" w:eastAsia="Times New Roman" w:hAnsi="Cambria" w:cs="Times New Roman"/>
          <w:sz w:val="20"/>
          <w:szCs w:val="20"/>
        </w:rPr>
        <w:t>The above confirms Mexico's firm commitment to comply with its international obligations regarding the conservation and responsible management of highly migratory species, particularly those covered by ICCAT, and continues to strengthen national mechanisms to ensure the traceability, legal origin, and sustainability of its fisheries.</w:t>
      </w:r>
    </w:p>
    <w:p w14:paraId="7615CC21" w14:textId="77777777" w:rsidR="00E03688" w:rsidRPr="00BB7719"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BB7719" w:rsidRDefault="00947ED5" w:rsidP="00240776">
      <w:pPr>
        <w:spacing w:after="0" w:line="240" w:lineRule="auto"/>
        <w:jc w:val="both"/>
        <w:rPr>
          <w:rFonts w:ascii="Cambria" w:eastAsia="Times New Roman" w:hAnsi="Cambria" w:cs="Times New Roman"/>
          <w:b/>
          <w:bCs/>
          <w:color w:val="222222"/>
          <w:sz w:val="20"/>
          <w:szCs w:val="20"/>
        </w:rPr>
      </w:pPr>
      <w:r w:rsidRPr="00BB7719">
        <w:rPr>
          <w:rFonts w:ascii="Cambria" w:eastAsia="Times New Roman" w:hAnsi="Cambria" w:cs="Times New Roman"/>
          <w:b/>
          <w:bCs/>
          <w:color w:val="222222"/>
          <w:sz w:val="20"/>
          <w:szCs w:val="20"/>
        </w:rPr>
        <w:t xml:space="preserve">To </w:t>
      </w:r>
      <w:r w:rsidR="00C06B4A" w:rsidRPr="00BB7719">
        <w:rPr>
          <w:rFonts w:ascii="Cambria" w:eastAsia="Times New Roman" w:hAnsi="Cambria" w:cs="Times New Roman"/>
          <w:b/>
          <w:bCs/>
          <w:color w:val="222222"/>
          <w:sz w:val="20"/>
          <w:szCs w:val="20"/>
        </w:rPr>
        <w:t>Namibia</w:t>
      </w:r>
      <w:r w:rsidRPr="00BB7719">
        <w:rPr>
          <w:rFonts w:ascii="Cambria" w:eastAsia="Times New Roman" w:hAnsi="Cambria" w:cs="Times New Roman"/>
          <w:b/>
          <w:bCs/>
          <w:color w:val="222222"/>
          <w:sz w:val="20"/>
          <w:szCs w:val="20"/>
        </w:rPr>
        <w:t xml:space="preserve">: </w:t>
      </w:r>
    </w:p>
    <w:p w14:paraId="093B33BF" w14:textId="77777777" w:rsidR="00240776" w:rsidRPr="00BB7719" w:rsidRDefault="00240776" w:rsidP="00240776">
      <w:pPr>
        <w:spacing w:after="0" w:line="240" w:lineRule="auto"/>
        <w:jc w:val="both"/>
        <w:rPr>
          <w:rFonts w:ascii="Cambria" w:eastAsia="Times New Roman" w:hAnsi="Cambria" w:cs="Times New Roman"/>
          <w:b/>
          <w:bCs/>
          <w:color w:val="222222"/>
          <w:sz w:val="20"/>
          <w:szCs w:val="20"/>
        </w:rPr>
      </w:pPr>
    </w:p>
    <w:p w14:paraId="46B218BF" w14:textId="2F6FDC9E" w:rsidR="00DE003E" w:rsidRPr="00BB7719" w:rsidRDefault="00C06B4A" w:rsidP="00240776">
      <w:pPr>
        <w:spacing w:after="0" w:line="240" w:lineRule="auto"/>
        <w:jc w:val="both"/>
        <w:rPr>
          <w:rFonts w:ascii="Cambria" w:eastAsia="Times New Roman" w:hAnsi="Cambria" w:cs="Times New Roman"/>
          <w:color w:val="222222"/>
          <w:sz w:val="20"/>
          <w:szCs w:val="20"/>
        </w:rPr>
      </w:pPr>
      <w:r w:rsidRPr="00BB7719">
        <w:rPr>
          <w:rFonts w:ascii="Cambria" w:eastAsia="Times New Roman" w:hAnsi="Cambria" w:cs="Times New Roman"/>
          <w:color w:val="222222"/>
          <w:sz w:val="20"/>
          <w:szCs w:val="20"/>
        </w:rPr>
        <w:t xml:space="preserve">Namibia could explain how they implement and comply with the landing limit for South Atlantic shortfin mako in </w:t>
      </w:r>
      <w:hyperlink r:id="rId10" w:history="1">
        <w:r w:rsidR="005656B1" w:rsidRPr="00BB7719">
          <w:rPr>
            <w:rStyle w:val="Hyperlink"/>
            <w:rFonts w:ascii="Cambria" w:eastAsia="Times New Roman" w:hAnsi="Cambria" w:cs="Times New Roman"/>
            <w:i/>
            <w:iCs/>
            <w:sz w:val="20"/>
            <w:szCs w:val="20"/>
            <w:u w:val="none"/>
          </w:rPr>
          <w:t>Recommendation by ICCAT on the conservation of the South Atlantic stock of shortfin mako caught in association with ICCAT fisheries</w:t>
        </w:r>
        <w:r w:rsidR="005656B1" w:rsidRPr="00BB7719">
          <w:rPr>
            <w:rStyle w:val="Hyperlink"/>
            <w:rFonts w:ascii="Cambria" w:eastAsia="Times New Roman" w:hAnsi="Cambria" w:cs="Times New Roman"/>
            <w:sz w:val="20"/>
            <w:szCs w:val="20"/>
            <w:u w:val="none"/>
          </w:rPr>
          <w:t xml:space="preserve"> (</w:t>
        </w:r>
        <w:r w:rsidRPr="00BB7719">
          <w:rPr>
            <w:rStyle w:val="Hyperlink"/>
            <w:rFonts w:ascii="Cambria" w:eastAsia="Times New Roman" w:hAnsi="Cambria" w:cs="Times New Roman"/>
            <w:sz w:val="20"/>
            <w:szCs w:val="20"/>
            <w:u w:val="none"/>
          </w:rPr>
          <w:t>Rec. 22-11</w:t>
        </w:r>
        <w:r w:rsidR="005656B1" w:rsidRPr="00BB7719">
          <w:rPr>
            <w:rStyle w:val="Hyperlink"/>
            <w:rFonts w:ascii="Cambria" w:eastAsia="Times New Roman" w:hAnsi="Cambria" w:cs="Times New Roman"/>
            <w:sz w:val="20"/>
            <w:szCs w:val="20"/>
            <w:u w:val="none"/>
          </w:rPr>
          <w:t>)</w:t>
        </w:r>
      </w:hyperlink>
      <w:r w:rsidRPr="00BB7719">
        <w:rPr>
          <w:rFonts w:ascii="Cambria" w:eastAsia="Times New Roman" w:hAnsi="Cambria" w:cs="Times New Roman"/>
          <w:color w:val="222222"/>
          <w:sz w:val="20"/>
          <w:szCs w:val="20"/>
        </w:rPr>
        <w:t>, considering their excess in landings reported for 2023</w:t>
      </w:r>
      <w:r w:rsidR="00DE003E" w:rsidRPr="00BB7719">
        <w:rPr>
          <w:rFonts w:ascii="Cambria" w:eastAsia="Times New Roman" w:hAnsi="Cambria" w:cs="Times New Roman"/>
          <w:color w:val="222222"/>
          <w:sz w:val="20"/>
          <w:szCs w:val="20"/>
        </w:rPr>
        <w:t xml:space="preserve">. </w:t>
      </w:r>
    </w:p>
    <w:bookmarkEnd w:id="2"/>
    <w:p w14:paraId="396C4349" w14:textId="77777777" w:rsidR="00DE003E" w:rsidRPr="00BB7719" w:rsidRDefault="00DE003E" w:rsidP="00240776">
      <w:pPr>
        <w:spacing w:after="0" w:line="240" w:lineRule="auto"/>
        <w:jc w:val="both"/>
        <w:rPr>
          <w:rFonts w:ascii="Cambria" w:eastAsia="Times New Roman" w:hAnsi="Cambria" w:cs="Times New Roman"/>
          <w:color w:val="222222"/>
          <w:sz w:val="20"/>
          <w:szCs w:val="20"/>
          <w:u w:val="single"/>
        </w:rPr>
      </w:pPr>
    </w:p>
    <w:p w14:paraId="5666F5D7" w14:textId="475FC017" w:rsidR="000F69EE" w:rsidRPr="00BB7719" w:rsidRDefault="000F69EE" w:rsidP="000F69EE">
      <w:pPr>
        <w:spacing w:after="0" w:line="240" w:lineRule="auto"/>
        <w:jc w:val="both"/>
        <w:rPr>
          <w:rFonts w:ascii="Cambria" w:eastAsia="Times New Roman" w:hAnsi="Cambria" w:cs="Times New Roman"/>
          <w:color w:val="222222"/>
          <w:sz w:val="20"/>
          <w:szCs w:val="20"/>
          <w:u w:val="single"/>
        </w:rPr>
      </w:pPr>
      <w:bookmarkStart w:id="3" w:name="_Hlk181566323"/>
      <w:r w:rsidRPr="00BB7719">
        <w:rPr>
          <w:rFonts w:ascii="Cambria" w:eastAsia="Times New Roman" w:hAnsi="Cambria" w:cs="Times New Roman"/>
          <w:b/>
          <w:bCs/>
          <w:i/>
          <w:iCs/>
          <w:color w:val="222222"/>
          <w:sz w:val="20"/>
          <w:szCs w:val="20"/>
          <w:u w:val="single"/>
        </w:rPr>
        <w:t>Response:</w:t>
      </w:r>
      <w:r w:rsidRPr="00BB7719">
        <w:rPr>
          <w:rFonts w:ascii="Cambria" w:eastAsia="Times New Roman" w:hAnsi="Cambria" w:cs="Times New Roman"/>
          <w:b/>
          <w:bCs/>
          <w:color w:val="222222"/>
          <w:sz w:val="20"/>
          <w:szCs w:val="20"/>
          <w:u w:val="single"/>
        </w:rPr>
        <w:t xml:space="preserve"> </w:t>
      </w:r>
      <w:r w:rsidRPr="00BB7719">
        <w:rPr>
          <w:rFonts w:ascii="Cambria" w:eastAsia="Times New Roman" w:hAnsi="Cambria" w:cs="Times New Roman"/>
          <w:color w:val="222222"/>
          <w:sz w:val="20"/>
          <w:szCs w:val="20"/>
          <w:u w:val="single"/>
        </w:rPr>
        <w:t xml:space="preserve">Namibia acknowledges that our 2024 landings of </w:t>
      </w:r>
      <w:r w:rsidR="00230E67" w:rsidRPr="00BB7719">
        <w:rPr>
          <w:rFonts w:ascii="Cambria" w:eastAsia="Times New Roman" w:hAnsi="Cambria" w:cs="Times New Roman"/>
          <w:color w:val="222222"/>
          <w:sz w:val="20"/>
          <w:szCs w:val="20"/>
          <w:u w:val="single"/>
        </w:rPr>
        <w:t xml:space="preserve">shortfin mako </w:t>
      </w:r>
      <w:r w:rsidRPr="00BB7719">
        <w:rPr>
          <w:rFonts w:ascii="Cambria" w:eastAsia="Times New Roman" w:hAnsi="Cambria" w:cs="Times New Roman"/>
          <w:color w:val="222222"/>
          <w:sz w:val="20"/>
          <w:szCs w:val="20"/>
          <w:u w:val="single"/>
        </w:rPr>
        <w:t>(</w:t>
      </w:r>
      <w:proofErr w:type="spellStart"/>
      <w:r w:rsidRPr="00BB7719">
        <w:rPr>
          <w:rFonts w:ascii="Cambria" w:eastAsia="Times New Roman" w:hAnsi="Cambria" w:cs="Times New Roman"/>
          <w:i/>
          <w:iCs/>
          <w:color w:val="222222"/>
          <w:sz w:val="20"/>
          <w:szCs w:val="20"/>
          <w:u w:val="single"/>
        </w:rPr>
        <w:t>Isurus</w:t>
      </w:r>
      <w:proofErr w:type="spellEnd"/>
      <w:r w:rsidRPr="00BB7719">
        <w:rPr>
          <w:rFonts w:ascii="Cambria" w:eastAsia="Times New Roman" w:hAnsi="Cambria" w:cs="Times New Roman"/>
          <w:i/>
          <w:iCs/>
          <w:color w:val="222222"/>
          <w:sz w:val="20"/>
          <w:szCs w:val="20"/>
          <w:u w:val="single"/>
        </w:rPr>
        <w:t xml:space="preserve"> </w:t>
      </w:r>
      <w:proofErr w:type="spellStart"/>
      <w:r w:rsidRPr="00BB7719">
        <w:rPr>
          <w:rFonts w:ascii="Cambria" w:eastAsia="Times New Roman" w:hAnsi="Cambria" w:cs="Times New Roman"/>
          <w:i/>
          <w:iCs/>
          <w:color w:val="222222"/>
          <w:sz w:val="20"/>
          <w:szCs w:val="20"/>
          <w:u w:val="single"/>
        </w:rPr>
        <w:t>oxyrinchus</w:t>
      </w:r>
      <w:proofErr w:type="spellEnd"/>
      <w:r w:rsidRPr="00BB7719">
        <w:rPr>
          <w:rFonts w:ascii="Cambria" w:eastAsia="Times New Roman" w:hAnsi="Cambria" w:cs="Times New Roman"/>
          <w:color w:val="222222"/>
          <w:sz w:val="20"/>
          <w:szCs w:val="20"/>
          <w:u w:val="single"/>
        </w:rPr>
        <w:t xml:space="preserve">) </w:t>
      </w:r>
      <w:proofErr w:type="spellStart"/>
      <w:r w:rsidRPr="00BB7719">
        <w:rPr>
          <w:rFonts w:ascii="Cambria" w:eastAsia="Times New Roman" w:hAnsi="Cambria" w:cs="Times New Roman"/>
          <w:color w:val="222222"/>
          <w:sz w:val="20"/>
          <w:szCs w:val="20"/>
          <w:u w:val="single"/>
        </w:rPr>
        <w:t>totalled</w:t>
      </w:r>
      <w:proofErr w:type="spellEnd"/>
      <w:r w:rsidRPr="00BB7719">
        <w:rPr>
          <w:rFonts w:ascii="Cambria" w:eastAsia="Times New Roman" w:hAnsi="Cambria" w:cs="Times New Roman"/>
          <w:color w:val="222222"/>
          <w:sz w:val="20"/>
          <w:szCs w:val="20"/>
          <w:u w:val="single"/>
        </w:rPr>
        <w:t xml:space="preserve"> 250.88</w:t>
      </w:r>
      <w:r w:rsidR="00230E67" w:rsidRPr="00BB7719">
        <w:rPr>
          <w:rFonts w:ascii="Cambria" w:eastAsia="Times New Roman" w:hAnsi="Cambria" w:cs="Times New Roman"/>
          <w:color w:val="222222"/>
          <w:sz w:val="20"/>
          <w:szCs w:val="20"/>
          <w:u w:val="single"/>
        </w:rPr>
        <w:t xml:space="preserve"> </w:t>
      </w:r>
      <w:r w:rsidRPr="00BB7719">
        <w:rPr>
          <w:rFonts w:ascii="Cambria" w:eastAsia="Times New Roman" w:hAnsi="Cambria" w:cs="Times New Roman"/>
          <w:color w:val="222222"/>
          <w:sz w:val="20"/>
          <w:szCs w:val="20"/>
          <w:u w:val="single"/>
        </w:rPr>
        <w:t xml:space="preserve">t (refer to </w:t>
      </w:r>
      <w:r w:rsidR="00230E67" w:rsidRPr="00BB7719">
        <w:rPr>
          <w:rFonts w:ascii="Cambria" w:eastAsia="Times New Roman" w:hAnsi="Cambria" w:cs="Times New Roman"/>
          <w:b/>
          <w:bCs/>
          <w:color w:val="222222"/>
          <w:sz w:val="20"/>
          <w:szCs w:val="20"/>
          <w:u w:val="single"/>
        </w:rPr>
        <w:t xml:space="preserve">Figure </w:t>
      </w:r>
      <w:r w:rsidRPr="00BB7719">
        <w:rPr>
          <w:rFonts w:ascii="Cambria" w:eastAsia="Times New Roman" w:hAnsi="Cambria" w:cs="Times New Roman"/>
          <w:b/>
          <w:bCs/>
          <w:color w:val="222222"/>
          <w:sz w:val="20"/>
          <w:szCs w:val="20"/>
          <w:u w:val="single"/>
        </w:rPr>
        <w:t>1</w:t>
      </w:r>
      <w:r w:rsidRPr="00BB7719">
        <w:rPr>
          <w:rFonts w:ascii="Cambria" w:eastAsia="Times New Roman" w:hAnsi="Cambria" w:cs="Times New Roman"/>
          <w:color w:val="222222"/>
          <w:sz w:val="20"/>
          <w:szCs w:val="20"/>
          <w:u w:val="single"/>
        </w:rPr>
        <w:t>), adhering to the ICCAT catch limit of 256</w:t>
      </w:r>
      <w:r w:rsidR="008634CE" w:rsidRPr="00BB7719">
        <w:rPr>
          <w:rFonts w:ascii="Cambria" w:eastAsia="Times New Roman" w:hAnsi="Cambria" w:cs="Times New Roman"/>
          <w:color w:val="222222"/>
          <w:sz w:val="20"/>
          <w:szCs w:val="20"/>
          <w:u w:val="single"/>
        </w:rPr>
        <w:t xml:space="preserve"> </w:t>
      </w:r>
      <w:r w:rsidRPr="00BB7719">
        <w:rPr>
          <w:rFonts w:ascii="Cambria" w:eastAsia="Times New Roman" w:hAnsi="Cambria" w:cs="Times New Roman"/>
          <w:color w:val="222222"/>
          <w:sz w:val="20"/>
          <w:szCs w:val="20"/>
          <w:u w:val="single"/>
        </w:rPr>
        <w:t xml:space="preserve">t. We provide the following points </w:t>
      </w:r>
      <w:r w:rsidR="008634CE" w:rsidRPr="00BB7719">
        <w:rPr>
          <w:rFonts w:ascii="Cambria" w:eastAsia="Times New Roman" w:hAnsi="Cambria" w:cs="Times New Roman"/>
          <w:color w:val="222222"/>
          <w:sz w:val="20"/>
          <w:szCs w:val="20"/>
          <w:u w:val="single"/>
        </w:rPr>
        <w:t xml:space="preserve">to </w:t>
      </w:r>
      <w:r w:rsidRPr="00BB7719">
        <w:rPr>
          <w:rFonts w:ascii="Cambria" w:eastAsia="Times New Roman" w:hAnsi="Cambria" w:cs="Times New Roman"/>
          <w:color w:val="222222"/>
          <w:sz w:val="20"/>
          <w:szCs w:val="20"/>
          <w:u w:val="single"/>
        </w:rPr>
        <w:t>outline our measures that w</w:t>
      </w:r>
      <w:r w:rsidR="008634CE" w:rsidRPr="00BB7719">
        <w:rPr>
          <w:rFonts w:ascii="Cambria" w:eastAsia="Times New Roman" w:hAnsi="Cambria" w:cs="Times New Roman"/>
          <w:color w:val="222222"/>
          <w:sz w:val="20"/>
          <w:szCs w:val="20"/>
          <w:u w:val="single"/>
        </w:rPr>
        <w:t>ere</w:t>
      </w:r>
      <w:r w:rsidRPr="00BB7719">
        <w:rPr>
          <w:rFonts w:ascii="Cambria" w:eastAsia="Times New Roman" w:hAnsi="Cambria" w:cs="Times New Roman"/>
          <w:color w:val="222222"/>
          <w:sz w:val="20"/>
          <w:szCs w:val="20"/>
          <w:u w:val="single"/>
        </w:rPr>
        <w:t xml:space="preserve"> put into place in 2023 to limit the overharvest of </w:t>
      </w:r>
      <w:r w:rsidR="008634CE" w:rsidRPr="00BB7719">
        <w:rPr>
          <w:rFonts w:ascii="Cambria" w:eastAsia="Times New Roman" w:hAnsi="Cambria" w:cs="Times New Roman"/>
          <w:color w:val="222222"/>
          <w:sz w:val="20"/>
          <w:szCs w:val="20"/>
          <w:u w:val="single"/>
        </w:rPr>
        <w:t xml:space="preserve">shortfin mako sharks, </w:t>
      </w:r>
      <w:r w:rsidRPr="00BB7719">
        <w:rPr>
          <w:rFonts w:ascii="Cambria" w:eastAsia="Times New Roman" w:hAnsi="Cambria" w:cs="Times New Roman"/>
          <w:color w:val="222222"/>
          <w:sz w:val="20"/>
          <w:szCs w:val="20"/>
          <w:u w:val="single"/>
        </w:rPr>
        <w:t>alongside the context of national policies and conservation efforts in place.</w:t>
      </w:r>
    </w:p>
    <w:p w14:paraId="23847B50" w14:textId="77777777" w:rsidR="000F69EE" w:rsidRPr="00BB7719" w:rsidRDefault="000F69EE" w:rsidP="000F69EE">
      <w:pPr>
        <w:spacing w:after="0" w:line="240" w:lineRule="auto"/>
        <w:jc w:val="both"/>
        <w:rPr>
          <w:rFonts w:ascii="Cambria" w:eastAsia="Times New Roman" w:hAnsi="Cambria" w:cs="Times New Roman"/>
          <w:color w:val="222222"/>
          <w:sz w:val="20"/>
          <w:szCs w:val="20"/>
          <w:u w:val="single"/>
        </w:rPr>
      </w:pPr>
    </w:p>
    <w:p w14:paraId="0771E494" w14:textId="149458AA" w:rsidR="00CB23C4" w:rsidRPr="00BB7719" w:rsidRDefault="00230E67">
      <w:pPr>
        <w:rPr>
          <w:rFonts w:ascii="Cambria" w:eastAsia="Times New Roman" w:hAnsi="Cambria" w:cs="Times New Roman"/>
          <w:b/>
          <w:bCs/>
          <w:color w:val="222222"/>
          <w:sz w:val="20"/>
          <w:szCs w:val="20"/>
          <w:u w:val="single"/>
        </w:rPr>
      </w:pPr>
      <w:r w:rsidRPr="00BB7719">
        <w:rPr>
          <w:rFonts w:ascii="Cambria" w:eastAsia="Times New Roman" w:hAnsi="Cambria" w:cs="Times New Roman"/>
          <w:b/>
          <w:bCs/>
          <w:color w:val="222222"/>
          <w:sz w:val="20"/>
          <w:szCs w:val="20"/>
          <w:u w:val="single"/>
        </w:rPr>
        <w:t xml:space="preserve">Figure 1. </w:t>
      </w:r>
      <w:r w:rsidRPr="00BB7719">
        <w:rPr>
          <w:rFonts w:ascii="Cambria" w:eastAsia="Times New Roman" w:hAnsi="Cambria" w:cs="Times New Roman"/>
          <w:color w:val="222222"/>
          <w:sz w:val="20"/>
          <w:szCs w:val="20"/>
          <w:u w:val="single"/>
        </w:rPr>
        <w:t xml:space="preserve">Landing </w:t>
      </w:r>
      <w:r w:rsidR="00C1239E" w:rsidRPr="00BB7719">
        <w:rPr>
          <w:rFonts w:ascii="Cambria" w:eastAsia="Times New Roman" w:hAnsi="Cambria" w:cs="Times New Roman"/>
          <w:color w:val="222222"/>
          <w:sz w:val="20"/>
          <w:szCs w:val="20"/>
          <w:u w:val="single"/>
        </w:rPr>
        <w:t xml:space="preserve">reported data for </w:t>
      </w:r>
      <w:r w:rsidRPr="00BB7719">
        <w:rPr>
          <w:rFonts w:ascii="Cambria" w:eastAsia="Times New Roman" w:hAnsi="Cambria" w:cs="Times New Roman"/>
          <w:color w:val="222222"/>
          <w:sz w:val="20"/>
          <w:szCs w:val="20"/>
          <w:u w:val="single"/>
        </w:rPr>
        <w:t>South Atlantic shortfin mako [COC_304_TRI/2025]</w:t>
      </w:r>
      <w:r w:rsidR="00C1239E" w:rsidRPr="00BB7719">
        <w:rPr>
          <w:rFonts w:ascii="Cambria" w:eastAsia="Times New Roman" w:hAnsi="Cambria" w:cs="Times New Roman"/>
          <w:color w:val="222222"/>
          <w:sz w:val="20"/>
          <w:szCs w:val="20"/>
          <w:u w:val="single"/>
        </w:rPr>
        <w:t>.</w:t>
      </w:r>
    </w:p>
    <w:tbl>
      <w:tblPr>
        <w:tblW w:w="5000" w:type="pct"/>
        <w:tblLook w:val="04A0" w:firstRow="1" w:lastRow="0" w:firstColumn="1" w:lastColumn="0" w:noHBand="0" w:noVBand="1"/>
      </w:tblPr>
      <w:tblGrid>
        <w:gridCol w:w="2570"/>
        <w:gridCol w:w="900"/>
        <w:gridCol w:w="900"/>
        <w:gridCol w:w="900"/>
        <w:gridCol w:w="945"/>
        <w:gridCol w:w="900"/>
        <w:gridCol w:w="968"/>
        <w:gridCol w:w="968"/>
      </w:tblGrid>
      <w:tr w:rsidR="00CB23C4" w:rsidRPr="00BB7719" w14:paraId="317ABA59" w14:textId="77777777" w:rsidTr="009F49E9">
        <w:trPr>
          <w:trHeight w:val="113"/>
        </w:trPr>
        <w:tc>
          <w:tcPr>
            <w:tcW w:w="1420" w:type="pct"/>
            <w:tcBorders>
              <w:top w:val="single" w:sz="8" w:space="0" w:color="auto"/>
              <w:left w:val="single" w:sz="8" w:space="0" w:color="auto"/>
              <w:bottom w:val="single" w:sz="4" w:space="0" w:color="auto"/>
              <w:right w:val="single" w:sz="8" w:space="0" w:color="auto"/>
            </w:tcBorders>
            <w:noWrap/>
            <w:vAlign w:val="bottom"/>
            <w:hideMark/>
          </w:tcPr>
          <w:p w14:paraId="4102FCDD" w14:textId="6F36DC7F"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p>
        </w:tc>
        <w:tc>
          <w:tcPr>
            <w:tcW w:w="1491" w:type="pct"/>
            <w:gridSpan w:val="3"/>
            <w:tcBorders>
              <w:top w:val="single" w:sz="8" w:space="0" w:color="auto"/>
              <w:left w:val="nil"/>
              <w:bottom w:val="single" w:sz="4" w:space="0" w:color="auto"/>
              <w:right w:val="single" w:sz="8" w:space="0" w:color="000000"/>
            </w:tcBorders>
            <w:noWrap/>
            <w:vAlign w:val="bottom"/>
            <w:hideMark/>
          </w:tcPr>
          <w:p w14:paraId="2AAB81F4"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Retention allowance</w:t>
            </w:r>
          </w:p>
        </w:tc>
        <w:tc>
          <w:tcPr>
            <w:tcW w:w="1019" w:type="pct"/>
            <w:gridSpan w:val="2"/>
            <w:tcBorders>
              <w:top w:val="single" w:sz="8" w:space="0" w:color="auto"/>
              <w:left w:val="nil"/>
              <w:bottom w:val="single" w:sz="4" w:space="0" w:color="auto"/>
              <w:right w:val="single" w:sz="8" w:space="0" w:color="000000"/>
            </w:tcBorders>
            <w:noWrap/>
            <w:vAlign w:val="bottom"/>
            <w:hideMark/>
          </w:tcPr>
          <w:p w14:paraId="10A5350D"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Current catches</w:t>
            </w:r>
          </w:p>
        </w:tc>
        <w:tc>
          <w:tcPr>
            <w:tcW w:w="1070" w:type="pct"/>
            <w:gridSpan w:val="2"/>
            <w:tcBorders>
              <w:top w:val="single" w:sz="8" w:space="0" w:color="auto"/>
              <w:left w:val="nil"/>
              <w:bottom w:val="single" w:sz="4" w:space="0" w:color="auto"/>
              <w:right w:val="single" w:sz="8" w:space="0" w:color="000000"/>
            </w:tcBorders>
            <w:noWrap/>
            <w:vAlign w:val="bottom"/>
            <w:hideMark/>
          </w:tcPr>
          <w:p w14:paraId="2CF0EB2C"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Balance</w:t>
            </w:r>
          </w:p>
        </w:tc>
      </w:tr>
      <w:tr w:rsidR="00522D4F" w:rsidRPr="00BB7719" w14:paraId="5669957C"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4C4BA71F" w14:textId="77777777" w:rsidR="00CB23C4" w:rsidRPr="00BB7719" w:rsidRDefault="00CB23C4" w:rsidP="00CB23C4">
            <w:pPr>
              <w:spacing w:after="0" w:line="240" w:lineRule="auto"/>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YEAR</w:t>
            </w:r>
          </w:p>
        </w:tc>
        <w:tc>
          <w:tcPr>
            <w:tcW w:w="497" w:type="pct"/>
            <w:tcBorders>
              <w:top w:val="single" w:sz="4" w:space="0" w:color="auto"/>
              <w:left w:val="nil"/>
              <w:bottom w:val="single" w:sz="4" w:space="0" w:color="auto"/>
              <w:right w:val="single" w:sz="4" w:space="0" w:color="auto"/>
            </w:tcBorders>
            <w:noWrap/>
            <w:vAlign w:val="bottom"/>
            <w:hideMark/>
          </w:tcPr>
          <w:p w14:paraId="0D573259"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2023</w:t>
            </w:r>
          </w:p>
        </w:tc>
        <w:tc>
          <w:tcPr>
            <w:tcW w:w="497" w:type="pct"/>
            <w:tcBorders>
              <w:top w:val="single" w:sz="4" w:space="0" w:color="auto"/>
              <w:left w:val="nil"/>
              <w:bottom w:val="single" w:sz="4" w:space="0" w:color="auto"/>
              <w:right w:val="nil"/>
            </w:tcBorders>
            <w:noWrap/>
            <w:vAlign w:val="bottom"/>
            <w:hideMark/>
          </w:tcPr>
          <w:p w14:paraId="65332AE4"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2024</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77014D42"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2025</w:t>
            </w:r>
          </w:p>
        </w:tc>
        <w:tc>
          <w:tcPr>
            <w:tcW w:w="522" w:type="pct"/>
            <w:tcBorders>
              <w:top w:val="single" w:sz="4" w:space="0" w:color="auto"/>
              <w:left w:val="nil"/>
              <w:bottom w:val="single" w:sz="4" w:space="0" w:color="auto"/>
              <w:right w:val="single" w:sz="4" w:space="0" w:color="auto"/>
            </w:tcBorders>
            <w:noWrap/>
            <w:vAlign w:val="bottom"/>
            <w:hideMark/>
          </w:tcPr>
          <w:p w14:paraId="07FDD46B"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2023</w:t>
            </w:r>
          </w:p>
        </w:tc>
        <w:tc>
          <w:tcPr>
            <w:tcW w:w="497" w:type="pct"/>
            <w:tcBorders>
              <w:top w:val="single" w:sz="4" w:space="0" w:color="auto"/>
              <w:left w:val="single" w:sz="4" w:space="0" w:color="auto"/>
              <w:bottom w:val="single" w:sz="4" w:space="0" w:color="auto"/>
              <w:right w:val="single" w:sz="8" w:space="0" w:color="auto"/>
            </w:tcBorders>
            <w:noWrap/>
            <w:vAlign w:val="bottom"/>
            <w:hideMark/>
          </w:tcPr>
          <w:p w14:paraId="2FCAAEAA"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2024</w:t>
            </w:r>
          </w:p>
        </w:tc>
        <w:tc>
          <w:tcPr>
            <w:tcW w:w="535" w:type="pct"/>
            <w:tcBorders>
              <w:top w:val="single" w:sz="4" w:space="0" w:color="auto"/>
              <w:left w:val="nil"/>
              <w:bottom w:val="single" w:sz="4" w:space="0" w:color="auto"/>
              <w:right w:val="nil"/>
            </w:tcBorders>
            <w:noWrap/>
            <w:vAlign w:val="bottom"/>
            <w:hideMark/>
          </w:tcPr>
          <w:p w14:paraId="0D9B8687"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2023</w:t>
            </w:r>
          </w:p>
        </w:tc>
        <w:tc>
          <w:tcPr>
            <w:tcW w:w="535" w:type="pct"/>
            <w:tcBorders>
              <w:top w:val="single" w:sz="4" w:space="0" w:color="auto"/>
              <w:left w:val="single" w:sz="4" w:space="0" w:color="auto"/>
              <w:bottom w:val="single" w:sz="4" w:space="0" w:color="auto"/>
              <w:right w:val="single" w:sz="8" w:space="0" w:color="auto"/>
            </w:tcBorders>
            <w:noWrap/>
            <w:vAlign w:val="bottom"/>
            <w:hideMark/>
          </w:tcPr>
          <w:p w14:paraId="2284A98F" w14:textId="77777777" w:rsidR="00CB23C4" w:rsidRPr="00BB7719" w:rsidRDefault="00CB23C4" w:rsidP="00CB23C4">
            <w:pPr>
              <w:spacing w:after="0" w:line="240" w:lineRule="auto"/>
              <w:jc w:val="center"/>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2024</w:t>
            </w:r>
          </w:p>
        </w:tc>
      </w:tr>
      <w:tr w:rsidR="00522D4F" w:rsidRPr="00BB7719" w14:paraId="0C783B76" w14:textId="77777777" w:rsidTr="009F49E9">
        <w:trPr>
          <w:trHeight w:val="113"/>
        </w:trPr>
        <w:tc>
          <w:tcPr>
            <w:tcW w:w="1420" w:type="pct"/>
            <w:tcBorders>
              <w:top w:val="nil"/>
              <w:left w:val="single" w:sz="8" w:space="0" w:color="auto"/>
              <w:bottom w:val="single" w:sz="8" w:space="0" w:color="auto"/>
              <w:right w:val="single" w:sz="8" w:space="0" w:color="auto"/>
            </w:tcBorders>
            <w:noWrap/>
            <w:vAlign w:val="bottom"/>
            <w:hideMark/>
          </w:tcPr>
          <w:p w14:paraId="2B989B47" w14:textId="77777777" w:rsidR="00CB23C4" w:rsidRPr="00BB7719" w:rsidRDefault="00CB23C4" w:rsidP="00CB23C4">
            <w:pPr>
              <w:spacing w:after="0" w:line="240" w:lineRule="auto"/>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Total Retention Allowance</w:t>
            </w:r>
          </w:p>
        </w:tc>
        <w:tc>
          <w:tcPr>
            <w:tcW w:w="497" w:type="pct"/>
            <w:tcBorders>
              <w:top w:val="nil"/>
              <w:left w:val="nil"/>
              <w:bottom w:val="single" w:sz="8" w:space="0" w:color="auto"/>
              <w:right w:val="single" w:sz="4" w:space="0" w:color="auto"/>
            </w:tcBorders>
            <w:noWrap/>
            <w:vAlign w:val="bottom"/>
            <w:hideMark/>
          </w:tcPr>
          <w:p w14:paraId="1889B57B"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1295</w:t>
            </w:r>
          </w:p>
        </w:tc>
        <w:tc>
          <w:tcPr>
            <w:tcW w:w="497" w:type="pct"/>
            <w:tcBorders>
              <w:top w:val="single" w:sz="4" w:space="0" w:color="auto"/>
              <w:left w:val="nil"/>
              <w:bottom w:val="single" w:sz="8" w:space="0" w:color="auto"/>
              <w:right w:val="nil"/>
            </w:tcBorders>
            <w:noWrap/>
            <w:vAlign w:val="bottom"/>
            <w:hideMark/>
          </w:tcPr>
          <w:p w14:paraId="7603FC7B"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1295</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11FA01DB"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1295</w:t>
            </w:r>
          </w:p>
        </w:tc>
        <w:tc>
          <w:tcPr>
            <w:tcW w:w="522" w:type="pct"/>
            <w:tcBorders>
              <w:top w:val="nil"/>
              <w:left w:val="nil"/>
              <w:bottom w:val="single" w:sz="8" w:space="0" w:color="auto"/>
              <w:right w:val="single" w:sz="4" w:space="0" w:color="auto"/>
            </w:tcBorders>
            <w:noWrap/>
            <w:vAlign w:val="bottom"/>
            <w:hideMark/>
          </w:tcPr>
          <w:p w14:paraId="3F25FC1C"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c>
          <w:tcPr>
            <w:tcW w:w="497" w:type="pct"/>
            <w:tcBorders>
              <w:top w:val="single" w:sz="4" w:space="0" w:color="auto"/>
              <w:left w:val="nil"/>
              <w:bottom w:val="single" w:sz="8" w:space="0" w:color="auto"/>
              <w:right w:val="single" w:sz="8" w:space="0" w:color="auto"/>
            </w:tcBorders>
            <w:noWrap/>
            <w:vAlign w:val="bottom"/>
            <w:hideMark/>
          </w:tcPr>
          <w:p w14:paraId="2F4597F0"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c>
          <w:tcPr>
            <w:tcW w:w="535" w:type="pct"/>
            <w:tcBorders>
              <w:top w:val="nil"/>
              <w:left w:val="nil"/>
              <w:bottom w:val="single" w:sz="8" w:space="0" w:color="auto"/>
              <w:right w:val="nil"/>
            </w:tcBorders>
            <w:noWrap/>
            <w:vAlign w:val="bottom"/>
            <w:hideMark/>
          </w:tcPr>
          <w:p w14:paraId="1BE29CE5"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5FA9B456"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r>
      <w:tr w:rsidR="00522D4F" w:rsidRPr="00BB7719" w14:paraId="26ECAF36"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7B8DC6C6"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ANGOLA</w:t>
            </w:r>
          </w:p>
        </w:tc>
        <w:tc>
          <w:tcPr>
            <w:tcW w:w="497" w:type="pct"/>
            <w:tcBorders>
              <w:top w:val="nil"/>
              <w:left w:val="nil"/>
              <w:bottom w:val="single" w:sz="4" w:space="0" w:color="auto"/>
              <w:right w:val="single" w:sz="4" w:space="0" w:color="auto"/>
            </w:tcBorders>
            <w:noWrap/>
            <w:vAlign w:val="bottom"/>
            <w:hideMark/>
          </w:tcPr>
          <w:p w14:paraId="090FA0E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nil"/>
              <w:bottom w:val="single" w:sz="4" w:space="0" w:color="auto"/>
              <w:right w:val="nil"/>
            </w:tcBorders>
            <w:noWrap/>
            <w:vAlign w:val="bottom"/>
            <w:hideMark/>
          </w:tcPr>
          <w:p w14:paraId="379B907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single" w:sz="4" w:space="0" w:color="auto"/>
              <w:bottom w:val="single" w:sz="4" w:space="0" w:color="auto"/>
              <w:right w:val="single" w:sz="8" w:space="0" w:color="auto"/>
            </w:tcBorders>
            <w:noWrap/>
            <w:vAlign w:val="bottom"/>
            <w:hideMark/>
          </w:tcPr>
          <w:p w14:paraId="6601C59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22" w:type="pct"/>
            <w:tcBorders>
              <w:top w:val="nil"/>
              <w:left w:val="nil"/>
              <w:bottom w:val="single" w:sz="4" w:space="0" w:color="auto"/>
              <w:right w:val="single" w:sz="4" w:space="0" w:color="auto"/>
            </w:tcBorders>
            <w:noWrap/>
            <w:vAlign w:val="bottom"/>
            <w:hideMark/>
          </w:tcPr>
          <w:p w14:paraId="6D066A6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2A2CD9DF" w14:textId="77777777" w:rsidR="00CB23C4" w:rsidRPr="00BB7719" w:rsidRDefault="00CB23C4" w:rsidP="00CB23C4">
            <w:pPr>
              <w:spacing w:after="0" w:line="240" w:lineRule="auto"/>
              <w:jc w:val="right"/>
              <w:rPr>
                <w:rFonts w:ascii="Cambria" w:eastAsia="Times New Roman" w:hAnsi="Cambria" w:cs="Arial"/>
                <w:color w:val="000000"/>
                <w:kern w:val="0"/>
                <w:sz w:val="16"/>
                <w:szCs w:val="16"/>
                <w:u w:val="single"/>
                <w:lang w:eastAsia="en-US"/>
                <w14:ligatures w14:val="none"/>
              </w:rPr>
            </w:pPr>
            <w:r w:rsidRPr="00BB7719">
              <w:rPr>
                <w:rFonts w:ascii="Cambria" w:eastAsia="Times New Roman" w:hAnsi="Cambria" w:cs="Arial"/>
                <w:color w:val="000000"/>
                <w:kern w:val="0"/>
                <w:sz w:val="16"/>
                <w:szCs w:val="16"/>
                <w:u w:val="single"/>
                <w:lang w:eastAsia="en-US"/>
                <w14:ligatures w14:val="none"/>
              </w:rPr>
              <w:t>2.15</w:t>
            </w:r>
          </w:p>
        </w:tc>
        <w:tc>
          <w:tcPr>
            <w:tcW w:w="535" w:type="pct"/>
            <w:tcBorders>
              <w:top w:val="nil"/>
              <w:left w:val="nil"/>
              <w:bottom w:val="single" w:sz="4" w:space="0" w:color="auto"/>
              <w:right w:val="nil"/>
            </w:tcBorders>
            <w:noWrap/>
            <w:vAlign w:val="bottom"/>
            <w:hideMark/>
          </w:tcPr>
          <w:p w14:paraId="15AEFB9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35" w:type="pct"/>
            <w:tcBorders>
              <w:top w:val="nil"/>
              <w:left w:val="single" w:sz="4" w:space="0" w:color="auto"/>
              <w:bottom w:val="single" w:sz="4" w:space="0" w:color="auto"/>
              <w:right w:val="single" w:sz="8" w:space="0" w:color="auto"/>
            </w:tcBorders>
            <w:noWrap/>
            <w:vAlign w:val="bottom"/>
            <w:hideMark/>
          </w:tcPr>
          <w:p w14:paraId="74F6461D" w14:textId="77777777" w:rsidR="00CB23C4" w:rsidRPr="00BB7719" w:rsidRDefault="00CB23C4" w:rsidP="00CB23C4">
            <w:pPr>
              <w:spacing w:after="0" w:line="240" w:lineRule="auto"/>
              <w:jc w:val="right"/>
              <w:rPr>
                <w:rFonts w:ascii="Cambria" w:eastAsia="Times New Roman" w:hAnsi="Cambria" w:cs="Arial"/>
                <w:color w:val="FF0000"/>
                <w:kern w:val="0"/>
                <w:sz w:val="16"/>
                <w:szCs w:val="16"/>
                <w:u w:val="single"/>
                <w:lang w:eastAsia="en-US"/>
                <w14:ligatures w14:val="none"/>
              </w:rPr>
            </w:pPr>
            <w:r w:rsidRPr="00BB7719">
              <w:rPr>
                <w:rFonts w:ascii="Cambria" w:eastAsia="Times New Roman" w:hAnsi="Cambria" w:cs="Arial"/>
                <w:color w:val="FF0000"/>
                <w:kern w:val="0"/>
                <w:sz w:val="16"/>
                <w:szCs w:val="16"/>
                <w:u w:val="single"/>
                <w:lang w:eastAsia="en-US"/>
                <w14:ligatures w14:val="none"/>
              </w:rPr>
              <w:t> </w:t>
            </w:r>
          </w:p>
        </w:tc>
      </w:tr>
      <w:tr w:rsidR="00522D4F" w:rsidRPr="00BB7719" w14:paraId="12AAFFB0"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610A7B03"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BELIZE</w:t>
            </w:r>
          </w:p>
        </w:tc>
        <w:tc>
          <w:tcPr>
            <w:tcW w:w="497" w:type="pct"/>
            <w:tcBorders>
              <w:top w:val="nil"/>
              <w:left w:val="nil"/>
              <w:bottom w:val="single" w:sz="4" w:space="0" w:color="auto"/>
              <w:right w:val="single" w:sz="4" w:space="0" w:color="auto"/>
            </w:tcBorders>
            <w:noWrap/>
            <w:vAlign w:val="bottom"/>
            <w:hideMark/>
          </w:tcPr>
          <w:p w14:paraId="6A1E1E7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15.00</w:t>
            </w:r>
          </w:p>
        </w:tc>
        <w:tc>
          <w:tcPr>
            <w:tcW w:w="497" w:type="pct"/>
            <w:tcBorders>
              <w:top w:val="nil"/>
              <w:left w:val="nil"/>
              <w:bottom w:val="single" w:sz="4" w:space="0" w:color="auto"/>
              <w:right w:val="nil"/>
            </w:tcBorders>
            <w:noWrap/>
            <w:vAlign w:val="bottom"/>
            <w:hideMark/>
          </w:tcPr>
          <w:p w14:paraId="2083CF8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15.00</w:t>
            </w:r>
          </w:p>
        </w:tc>
        <w:tc>
          <w:tcPr>
            <w:tcW w:w="497" w:type="pct"/>
            <w:tcBorders>
              <w:top w:val="nil"/>
              <w:left w:val="single" w:sz="4" w:space="0" w:color="auto"/>
              <w:bottom w:val="single" w:sz="4" w:space="0" w:color="auto"/>
              <w:right w:val="single" w:sz="8" w:space="0" w:color="auto"/>
            </w:tcBorders>
            <w:noWrap/>
            <w:vAlign w:val="bottom"/>
            <w:hideMark/>
          </w:tcPr>
          <w:p w14:paraId="7BBCC05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15.00</w:t>
            </w:r>
          </w:p>
        </w:tc>
        <w:tc>
          <w:tcPr>
            <w:tcW w:w="522" w:type="pct"/>
            <w:tcBorders>
              <w:top w:val="nil"/>
              <w:left w:val="nil"/>
              <w:bottom w:val="single" w:sz="4" w:space="0" w:color="auto"/>
              <w:right w:val="single" w:sz="4" w:space="0" w:color="auto"/>
            </w:tcBorders>
            <w:noWrap/>
            <w:vAlign w:val="bottom"/>
            <w:hideMark/>
          </w:tcPr>
          <w:p w14:paraId="132B84B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078F933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2A0E541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15.00</w:t>
            </w:r>
          </w:p>
        </w:tc>
        <w:tc>
          <w:tcPr>
            <w:tcW w:w="535" w:type="pct"/>
            <w:tcBorders>
              <w:top w:val="nil"/>
              <w:left w:val="single" w:sz="4" w:space="0" w:color="auto"/>
              <w:bottom w:val="single" w:sz="4" w:space="0" w:color="auto"/>
              <w:right w:val="single" w:sz="8" w:space="0" w:color="auto"/>
            </w:tcBorders>
            <w:noWrap/>
            <w:vAlign w:val="bottom"/>
            <w:hideMark/>
          </w:tcPr>
          <w:p w14:paraId="02BC739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15.00</w:t>
            </w:r>
          </w:p>
        </w:tc>
      </w:tr>
      <w:tr w:rsidR="00522D4F" w:rsidRPr="00BB7719" w14:paraId="68ABEF5D"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451FAD46"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BRAZIL</w:t>
            </w:r>
          </w:p>
        </w:tc>
        <w:tc>
          <w:tcPr>
            <w:tcW w:w="497" w:type="pct"/>
            <w:tcBorders>
              <w:top w:val="nil"/>
              <w:left w:val="nil"/>
              <w:bottom w:val="single" w:sz="4" w:space="0" w:color="auto"/>
              <w:right w:val="single" w:sz="4" w:space="0" w:color="auto"/>
            </w:tcBorders>
            <w:noWrap/>
            <w:vAlign w:val="bottom"/>
            <w:hideMark/>
          </w:tcPr>
          <w:p w14:paraId="6B4738F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208.00</w:t>
            </w:r>
          </w:p>
        </w:tc>
        <w:tc>
          <w:tcPr>
            <w:tcW w:w="497" w:type="pct"/>
            <w:tcBorders>
              <w:top w:val="nil"/>
              <w:left w:val="nil"/>
              <w:bottom w:val="single" w:sz="4" w:space="0" w:color="auto"/>
              <w:right w:val="nil"/>
            </w:tcBorders>
            <w:noWrap/>
            <w:vAlign w:val="bottom"/>
            <w:hideMark/>
          </w:tcPr>
          <w:p w14:paraId="266109B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208.00</w:t>
            </w:r>
          </w:p>
        </w:tc>
        <w:tc>
          <w:tcPr>
            <w:tcW w:w="497" w:type="pct"/>
            <w:tcBorders>
              <w:top w:val="nil"/>
              <w:left w:val="single" w:sz="4" w:space="0" w:color="auto"/>
              <w:bottom w:val="single" w:sz="4" w:space="0" w:color="auto"/>
              <w:right w:val="single" w:sz="8" w:space="0" w:color="auto"/>
            </w:tcBorders>
            <w:noWrap/>
            <w:vAlign w:val="bottom"/>
            <w:hideMark/>
          </w:tcPr>
          <w:p w14:paraId="73BF5F8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208.00</w:t>
            </w:r>
          </w:p>
        </w:tc>
        <w:tc>
          <w:tcPr>
            <w:tcW w:w="522" w:type="pct"/>
            <w:tcBorders>
              <w:top w:val="nil"/>
              <w:left w:val="nil"/>
              <w:bottom w:val="single" w:sz="4" w:space="0" w:color="auto"/>
              <w:right w:val="single" w:sz="4" w:space="0" w:color="auto"/>
            </w:tcBorders>
            <w:noWrap/>
            <w:vAlign w:val="bottom"/>
            <w:hideMark/>
          </w:tcPr>
          <w:p w14:paraId="0FC02C3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121.00</w:t>
            </w:r>
          </w:p>
        </w:tc>
        <w:tc>
          <w:tcPr>
            <w:tcW w:w="497" w:type="pct"/>
            <w:tcBorders>
              <w:top w:val="nil"/>
              <w:left w:val="single" w:sz="4" w:space="0" w:color="auto"/>
              <w:bottom w:val="single" w:sz="4" w:space="0" w:color="auto"/>
              <w:right w:val="single" w:sz="8" w:space="0" w:color="auto"/>
            </w:tcBorders>
            <w:noWrap/>
            <w:vAlign w:val="bottom"/>
            <w:hideMark/>
          </w:tcPr>
          <w:p w14:paraId="5A6CE4C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305.00</w:t>
            </w:r>
          </w:p>
        </w:tc>
        <w:tc>
          <w:tcPr>
            <w:tcW w:w="535" w:type="pct"/>
            <w:tcBorders>
              <w:top w:val="nil"/>
              <w:left w:val="nil"/>
              <w:bottom w:val="single" w:sz="4" w:space="0" w:color="auto"/>
              <w:right w:val="nil"/>
            </w:tcBorders>
            <w:noWrap/>
            <w:vAlign w:val="bottom"/>
            <w:hideMark/>
          </w:tcPr>
          <w:p w14:paraId="1E91022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87.00</w:t>
            </w:r>
          </w:p>
        </w:tc>
        <w:tc>
          <w:tcPr>
            <w:tcW w:w="535" w:type="pct"/>
            <w:tcBorders>
              <w:top w:val="nil"/>
              <w:left w:val="single" w:sz="4" w:space="0" w:color="auto"/>
              <w:bottom w:val="single" w:sz="4" w:space="0" w:color="auto"/>
              <w:right w:val="single" w:sz="8" w:space="0" w:color="auto"/>
            </w:tcBorders>
            <w:noWrap/>
            <w:vAlign w:val="bottom"/>
            <w:hideMark/>
          </w:tcPr>
          <w:p w14:paraId="3C0D636C" w14:textId="77777777" w:rsidR="00CB23C4" w:rsidRPr="00BB7719" w:rsidRDefault="00CB23C4" w:rsidP="00CB23C4">
            <w:pPr>
              <w:spacing w:after="0" w:line="240" w:lineRule="auto"/>
              <w:jc w:val="right"/>
              <w:rPr>
                <w:rFonts w:ascii="Cambria" w:eastAsia="Times New Roman" w:hAnsi="Cambria" w:cs="Arial"/>
                <w:color w:val="FF0000"/>
                <w:kern w:val="0"/>
                <w:sz w:val="16"/>
                <w:szCs w:val="16"/>
                <w:u w:val="single"/>
                <w:lang w:eastAsia="en-US"/>
                <w14:ligatures w14:val="none"/>
              </w:rPr>
            </w:pPr>
            <w:r w:rsidRPr="00BB7719">
              <w:rPr>
                <w:rFonts w:ascii="Cambria" w:eastAsia="Times New Roman" w:hAnsi="Cambria" w:cs="Arial"/>
                <w:color w:val="FF0000"/>
                <w:kern w:val="0"/>
                <w:sz w:val="16"/>
                <w:szCs w:val="16"/>
                <w:u w:val="single"/>
                <w:lang w:eastAsia="en-US"/>
                <w14:ligatures w14:val="none"/>
              </w:rPr>
              <w:t>-97.00</w:t>
            </w:r>
          </w:p>
        </w:tc>
      </w:tr>
      <w:tr w:rsidR="00522D4F" w:rsidRPr="00BB7719" w14:paraId="77BF87EF"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270AA76A"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CHINA</w:t>
            </w:r>
          </w:p>
        </w:tc>
        <w:tc>
          <w:tcPr>
            <w:tcW w:w="497" w:type="pct"/>
            <w:tcBorders>
              <w:top w:val="nil"/>
              <w:left w:val="nil"/>
              <w:bottom w:val="single" w:sz="4" w:space="0" w:color="auto"/>
              <w:right w:val="single" w:sz="4" w:space="0" w:color="auto"/>
            </w:tcBorders>
            <w:noWrap/>
            <w:vAlign w:val="bottom"/>
            <w:hideMark/>
          </w:tcPr>
          <w:p w14:paraId="5EC5652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nil"/>
              <w:bottom w:val="single" w:sz="4" w:space="0" w:color="auto"/>
              <w:right w:val="nil"/>
            </w:tcBorders>
            <w:noWrap/>
            <w:vAlign w:val="bottom"/>
            <w:hideMark/>
          </w:tcPr>
          <w:p w14:paraId="55C736C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single" w:sz="4" w:space="0" w:color="auto"/>
              <w:bottom w:val="single" w:sz="4" w:space="0" w:color="auto"/>
              <w:right w:val="single" w:sz="8" w:space="0" w:color="auto"/>
            </w:tcBorders>
            <w:noWrap/>
            <w:vAlign w:val="bottom"/>
            <w:hideMark/>
          </w:tcPr>
          <w:p w14:paraId="568C67E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22" w:type="pct"/>
            <w:tcBorders>
              <w:top w:val="nil"/>
              <w:left w:val="nil"/>
              <w:bottom w:val="single" w:sz="4" w:space="0" w:color="auto"/>
              <w:right w:val="single" w:sz="4" w:space="0" w:color="auto"/>
            </w:tcBorders>
            <w:noWrap/>
            <w:vAlign w:val="bottom"/>
            <w:hideMark/>
          </w:tcPr>
          <w:p w14:paraId="637BB27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1B7A17A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35EA6A1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35" w:type="pct"/>
            <w:tcBorders>
              <w:top w:val="nil"/>
              <w:left w:val="single" w:sz="4" w:space="0" w:color="auto"/>
              <w:bottom w:val="single" w:sz="4" w:space="0" w:color="auto"/>
              <w:right w:val="single" w:sz="8" w:space="0" w:color="auto"/>
            </w:tcBorders>
            <w:noWrap/>
            <w:vAlign w:val="bottom"/>
            <w:hideMark/>
          </w:tcPr>
          <w:p w14:paraId="7CF5AB7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r>
      <w:tr w:rsidR="00522D4F" w:rsidRPr="00BB7719" w14:paraId="3B2F9934"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09CED357"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CHINESE TAIPEI</w:t>
            </w:r>
          </w:p>
        </w:tc>
        <w:tc>
          <w:tcPr>
            <w:tcW w:w="497" w:type="pct"/>
            <w:tcBorders>
              <w:top w:val="nil"/>
              <w:left w:val="nil"/>
              <w:bottom w:val="single" w:sz="4" w:space="0" w:color="auto"/>
              <w:right w:val="single" w:sz="4" w:space="0" w:color="auto"/>
            </w:tcBorders>
            <w:noWrap/>
            <w:vAlign w:val="bottom"/>
            <w:hideMark/>
          </w:tcPr>
          <w:p w14:paraId="5E8E594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61.00</w:t>
            </w:r>
          </w:p>
        </w:tc>
        <w:tc>
          <w:tcPr>
            <w:tcW w:w="497" w:type="pct"/>
            <w:tcBorders>
              <w:top w:val="nil"/>
              <w:left w:val="nil"/>
              <w:bottom w:val="single" w:sz="4" w:space="0" w:color="auto"/>
              <w:right w:val="nil"/>
            </w:tcBorders>
            <w:noWrap/>
            <w:vAlign w:val="bottom"/>
            <w:hideMark/>
          </w:tcPr>
          <w:p w14:paraId="16045DE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61.00</w:t>
            </w:r>
          </w:p>
        </w:tc>
        <w:tc>
          <w:tcPr>
            <w:tcW w:w="497" w:type="pct"/>
            <w:tcBorders>
              <w:top w:val="nil"/>
              <w:left w:val="single" w:sz="4" w:space="0" w:color="auto"/>
              <w:bottom w:val="single" w:sz="4" w:space="0" w:color="auto"/>
              <w:right w:val="single" w:sz="8" w:space="0" w:color="auto"/>
            </w:tcBorders>
            <w:noWrap/>
            <w:vAlign w:val="bottom"/>
            <w:hideMark/>
          </w:tcPr>
          <w:p w14:paraId="4094121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61.00</w:t>
            </w:r>
          </w:p>
        </w:tc>
        <w:tc>
          <w:tcPr>
            <w:tcW w:w="522" w:type="pct"/>
            <w:tcBorders>
              <w:top w:val="nil"/>
              <w:left w:val="nil"/>
              <w:bottom w:val="single" w:sz="4" w:space="0" w:color="auto"/>
              <w:right w:val="single" w:sz="4" w:space="0" w:color="auto"/>
            </w:tcBorders>
            <w:noWrap/>
            <w:vAlign w:val="bottom"/>
            <w:hideMark/>
          </w:tcPr>
          <w:p w14:paraId="0B877AD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single" w:sz="4" w:space="0" w:color="auto"/>
              <w:bottom w:val="single" w:sz="4" w:space="0" w:color="auto"/>
              <w:right w:val="single" w:sz="8" w:space="0" w:color="auto"/>
            </w:tcBorders>
            <w:noWrap/>
            <w:vAlign w:val="bottom"/>
            <w:hideMark/>
          </w:tcPr>
          <w:p w14:paraId="677F51B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4.84</w:t>
            </w:r>
          </w:p>
        </w:tc>
        <w:tc>
          <w:tcPr>
            <w:tcW w:w="535" w:type="pct"/>
            <w:tcBorders>
              <w:top w:val="nil"/>
              <w:left w:val="nil"/>
              <w:bottom w:val="single" w:sz="4" w:space="0" w:color="auto"/>
              <w:right w:val="nil"/>
            </w:tcBorders>
            <w:noWrap/>
            <w:vAlign w:val="bottom"/>
            <w:hideMark/>
          </w:tcPr>
          <w:p w14:paraId="1A6E65E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59.00</w:t>
            </w:r>
          </w:p>
        </w:tc>
        <w:tc>
          <w:tcPr>
            <w:tcW w:w="535" w:type="pct"/>
            <w:tcBorders>
              <w:top w:val="nil"/>
              <w:left w:val="single" w:sz="4" w:space="0" w:color="auto"/>
              <w:bottom w:val="single" w:sz="4" w:space="0" w:color="auto"/>
              <w:right w:val="single" w:sz="8" w:space="0" w:color="auto"/>
            </w:tcBorders>
            <w:noWrap/>
            <w:vAlign w:val="bottom"/>
            <w:hideMark/>
          </w:tcPr>
          <w:p w14:paraId="1848C80F"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56.16</w:t>
            </w:r>
          </w:p>
        </w:tc>
      </w:tr>
      <w:tr w:rsidR="00522D4F" w:rsidRPr="00BB7719" w14:paraId="3E8C3356"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2C152ABF"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CÔTE D'IVOIRE</w:t>
            </w:r>
          </w:p>
        </w:tc>
        <w:tc>
          <w:tcPr>
            <w:tcW w:w="497" w:type="pct"/>
            <w:tcBorders>
              <w:top w:val="nil"/>
              <w:left w:val="nil"/>
              <w:bottom w:val="single" w:sz="4" w:space="0" w:color="auto"/>
              <w:right w:val="single" w:sz="4" w:space="0" w:color="auto"/>
            </w:tcBorders>
            <w:noWrap/>
            <w:vAlign w:val="bottom"/>
            <w:hideMark/>
          </w:tcPr>
          <w:p w14:paraId="4315A67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18.00</w:t>
            </w:r>
          </w:p>
        </w:tc>
        <w:tc>
          <w:tcPr>
            <w:tcW w:w="497" w:type="pct"/>
            <w:tcBorders>
              <w:top w:val="nil"/>
              <w:left w:val="nil"/>
              <w:bottom w:val="single" w:sz="4" w:space="0" w:color="auto"/>
              <w:right w:val="nil"/>
            </w:tcBorders>
            <w:noWrap/>
            <w:vAlign w:val="bottom"/>
            <w:hideMark/>
          </w:tcPr>
          <w:p w14:paraId="30A0359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18.00</w:t>
            </w:r>
          </w:p>
        </w:tc>
        <w:tc>
          <w:tcPr>
            <w:tcW w:w="497" w:type="pct"/>
            <w:tcBorders>
              <w:top w:val="nil"/>
              <w:left w:val="single" w:sz="4" w:space="0" w:color="auto"/>
              <w:bottom w:val="single" w:sz="4" w:space="0" w:color="auto"/>
              <w:right w:val="single" w:sz="8" w:space="0" w:color="auto"/>
            </w:tcBorders>
            <w:noWrap/>
            <w:vAlign w:val="bottom"/>
            <w:hideMark/>
          </w:tcPr>
          <w:p w14:paraId="0D33CBB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18.00</w:t>
            </w:r>
          </w:p>
        </w:tc>
        <w:tc>
          <w:tcPr>
            <w:tcW w:w="522" w:type="pct"/>
            <w:tcBorders>
              <w:top w:val="nil"/>
              <w:left w:val="nil"/>
              <w:bottom w:val="single" w:sz="4" w:space="0" w:color="auto"/>
              <w:right w:val="single" w:sz="4" w:space="0" w:color="auto"/>
            </w:tcBorders>
            <w:noWrap/>
            <w:vAlign w:val="bottom"/>
            <w:hideMark/>
          </w:tcPr>
          <w:p w14:paraId="171A6B92"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6B9D75D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nil"/>
              <w:bottom w:val="single" w:sz="4" w:space="0" w:color="auto"/>
              <w:right w:val="nil"/>
            </w:tcBorders>
            <w:noWrap/>
            <w:vAlign w:val="bottom"/>
            <w:hideMark/>
          </w:tcPr>
          <w:p w14:paraId="12BE7C9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18.00</w:t>
            </w:r>
          </w:p>
        </w:tc>
        <w:tc>
          <w:tcPr>
            <w:tcW w:w="535" w:type="pct"/>
            <w:tcBorders>
              <w:top w:val="nil"/>
              <w:left w:val="single" w:sz="4" w:space="0" w:color="auto"/>
              <w:bottom w:val="single" w:sz="4" w:space="0" w:color="auto"/>
              <w:right w:val="single" w:sz="8" w:space="0" w:color="auto"/>
            </w:tcBorders>
            <w:noWrap/>
            <w:vAlign w:val="bottom"/>
            <w:hideMark/>
          </w:tcPr>
          <w:p w14:paraId="30BF863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5EB159B1"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239A37CC"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CURACAO</w:t>
            </w:r>
          </w:p>
        </w:tc>
        <w:tc>
          <w:tcPr>
            <w:tcW w:w="497" w:type="pct"/>
            <w:tcBorders>
              <w:top w:val="nil"/>
              <w:left w:val="nil"/>
              <w:bottom w:val="single" w:sz="4" w:space="0" w:color="auto"/>
              <w:right w:val="single" w:sz="4" w:space="0" w:color="auto"/>
            </w:tcBorders>
            <w:noWrap/>
            <w:vAlign w:val="bottom"/>
            <w:hideMark/>
          </w:tcPr>
          <w:p w14:paraId="6E5B4082"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nil"/>
              <w:bottom w:val="single" w:sz="4" w:space="0" w:color="auto"/>
              <w:right w:val="nil"/>
            </w:tcBorders>
            <w:noWrap/>
            <w:vAlign w:val="bottom"/>
            <w:hideMark/>
          </w:tcPr>
          <w:p w14:paraId="3DC6AC4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09CC96D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22" w:type="pct"/>
            <w:tcBorders>
              <w:top w:val="nil"/>
              <w:left w:val="nil"/>
              <w:bottom w:val="single" w:sz="4" w:space="0" w:color="auto"/>
              <w:right w:val="single" w:sz="4" w:space="0" w:color="auto"/>
            </w:tcBorders>
            <w:noWrap/>
            <w:vAlign w:val="bottom"/>
            <w:hideMark/>
          </w:tcPr>
          <w:p w14:paraId="08C33E3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497" w:type="pct"/>
            <w:tcBorders>
              <w:top w:val="nil"/>
              <w:left w:val="single" w:sz="4" w:space="0" w:color="auto"/>
              <w:bottom w:val="single" w:sz="4" w:space="0" w:color="auto"/>
              <w:right w:val="single" w:sz="8" w:space="0" w:color="auto"/>
            </w:tcBorders>
            <w:noWrap/>
            <w:vAlign w:val="bottom"/>
            <w:hideMark/>
          </w:tcPr>
          <w:p w14:paraId="4535F5A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nil"/>
              <w:bottom w:val="single" w:sz="4" w:space="0" w:color="auto"/>
              <w:right w:val="nil"/>
            </w:tcBorders>
            <w:noWrap/>
            <w:vAlign w:val="bottom"/>
            <w:hideMark/>
          </w:tcPr>
          <w:p w14:paraId="421EF52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single" w:sz="4" w:space="0" w:color="auto"/>
              <w:bottom w:val="single" w:sz="4" w:space="0" w:color="auto"/>
              <w:right w:val="single" w:sz="8" w:space="0" w:color="auto"/>
            </w:tcBorders>
            <w:noWrap/>
            <w:vAlign w:val="bottom"/>
            <w:hideMark/>
          </w:tcPr>
          <w:p w14:paraId="38B04E1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0D80F5CD"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54CACD1E"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EL SALVADOR</w:t>
            </w:r>
          </w:p>
        </w:tc>
        <w:tc>
          <w:tcPr>
            <w:tcW w:w="497" w:type="pct"/>
            <w:tcBorders>
              <w:top w:val="nil"/>
              <w:left w:val="nil"/>
              <w:bottom w:val="single" w:sz="4" w:space="0" w:color="auto"/>
              <w:right w:val="single" w:sz="4" w:space="0" w:color="auto"/>
            </w:tcBorders>
            <w:noWrap/>
            <w:vAlign w:val="bottom"/>
            <w:hideMark/>
          </w:tcPr>
          <w:p w14:paraId="032BCE5F"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nil"/>
              <w:bottom w:val="single" w:sz="4" w:space="0" w:color="auto"/>
              <w:right w:val="nil"/>
            </w:tcBorders>
            <w:noWrap/>
            <w:vAlign w:val="bottom"/>
            <w:hideMark/>
          </w:tcPr>
          <w:p w14:paraId="4298B72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77B7263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22" w:type="pct"/>
            <w:tcBorders>
              <w:top w:val="nil"/>
              <w:left w:val="nil"/>
              <w:bottom w:val="single" w:sz="4" w:space="0" w:color="auto"/>
              <w:right w:val="single" w:sz="4" w:space="0" w:color="auto"/>
            </w:tcBorders>
            <w:noWrap/>
            <w:vAlign w:val="bottom"/>
            <w:hideMark/>
          </w:tcPr>
          <w:p w14:paraId="4840FA2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7FCA31D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nil"/>
              <w:bottom w:val="single" w:sz="4" w:space="0" w:color="auto"/>
              <w:right w:val="nil"/>
            </w:tcBorders>
            <w:noWrap/>
            <w:vAlign w:val="bottom"/>
            <w:hideMark/>
          </w:tcPr>
          <w:p w14:paraId="0AE6E65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single" w:sz="4" w:space="0" w:color="auto"/>
              <w:bottom w:val="single" w:sz="4" w:space="0" w:color="auto"/>
              <w:right w:val="single" w:sz="8" w:space="0" w:color="auto"/>
            </w:tcBorders>
            <w:noWrap/>
            <w:vAlign w:val="bottom"/>
            <w:hideMark/>
          </w:tcPr>
          <w:p w14:paraId="57204EE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6FCFC6BF"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27627E2F"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EU</w:t>
            </w:r>
          </w:p>
        </w:tc>
        <w:tc>
          <w:tcPr>
            <w:tcW w:w="497" w:type="pct"/>
            <w:tcBorders>
              <w:top w:val="nil"/>
              <w:left w:val="nil"/>
              <w:bottom w:val="single" w:sz="4" w:space="0" w:color="auto"/>
              <w:right w:val="single" w:sz="4" w:space="0" w:color="auto"/>
            </w:tcBorders>
            <w:noWrap/>
            <w:vAlign w:val="bottom"/>
            <w:hideMark/>
          </w:tcPr>
          <w:p w14:paraId="088F9A3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503.00</w:t>
            </w:r>
          </w:p>
        </w:tc>
        <w:tc>
          <w:tcPr>
            <w:tcW w:w="497" w:type="pct"/>
            <w:tcBorders>
              <w:top w:val="nil"/>
              <w:left w:val="nil"/>
              <w:bottom w:val="single" w:sz="4" w:space="0" w:color="auto"/>
              <w:right w:val="nil"/>
            </w:tcBorders>
            <w:noWrap/>
            <w:vAlign w:val="bottom"/>
            <w:hideMark/>
          </w:tcPr>
          <w:p w14:paraId="081BA18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503.00</w:t>
            </w:r>
          </w:p>
        </w:tc>
        <w:tc>
          <w:tcPr>
            <w:tcW w:w="497" w:type="pct"/>
            <w:tcBorders>
              <w:top w:val="nil"/>
              <w:left w:val="single" w:sz="4" w:space="0" w:color="auto"/>
              <w:bottom w:val="single" w:sz="4" w:space="0" w:color="auto"/>
              <w:right w:val="single" w:sz="8" w:space="0" w:color="auto"/>
            </w:tcBorders>
            <w:noWrap/>
            <w:vAlign w:val="bottom"/>
            <w:hideMark/>
          </w:tcPr>
          <w:p w14:paraId="271042F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503.00</w:t>
            </w:r>
          </w:p>
        </w:tc>
        <w:tc>
          <w:tcPr>
            <w:tcW w:w="522" w:type="pct"/>
            <w:tcBorders>
              <w:top w:val="nil"/>
              <w:left w:val="nil"/>
              <w:bottom w:val="single" w:sz="4" w:space="0" w:color="auto"/>
              <w:right w:val="single" w:sz="4" w:space="0" w:color="auto"/>
            </w:tcBorders>
            <w:noWrap/>
            <w:vAlign w:val="bottom"/>
            <w:hideMark/>
          </w:tcPr>
          <w:p w14:paraId="35E684F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6787627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4FD8BF8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503.00</w:t>
            </w:r>
          </w:p>
        </w:tc>
        <w:tc>
          <w:tcPr>
            <w:tcW w:w="535" w:type="pct"/>
            <w:tcBorders>
              <w:top w:val="nil"/>
              <w:left w:val="single" w:sz="4" w:space="0" w:color="auto"/>
              <w:bottom w:val="single" w:sz="4" w:space="0" w:color="auto"/>
              <w:right w:val="single" w:sz="8" w:space="0" w:color="auto"/>
            </w:tcBorders>
            <w:noWrap/>
            <w:vAlign w:val="bottom"/>
            <w:hideMark/>
          </w:tcPr>
          <w:p w14:paraId="493776A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503.00</w:t>
            </w:r>
          </w:p>
        </w:tc>
      </w:tr>
      <w:tr w:rsidR="00522D4F" w:rsidRPr="00BB7719" w14:paraId="0B336687"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110884AD"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GUATEMALA</w:t>
            </w:r>
          </w:p>
        </w:tc>
        <w:tc>
          <w:tcPr>
            <w:tcW w:w="497" w:type="pct"/>
            <w:tcBorders>
              <w:top w:val="nil"/>
              <w:left w:val="nil"/>
              <w:bottom w:val="single" w:sz="4" w:space="0" w:color="auto"/>
              <w:right w:val="single" w:sz="4" w:space="0" w:color="auto"/>
            </w:tcBorders>
            <w:noWrap/>
            <w:vAlign w:val="bottom"/>
            <w:hideMark/>
          </w:tcPr>
          <w:p w14:paraId="0ED69AE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nil"/>
              <w:bottom w:val="single" w:sz="4" w:space="0" w:color="auto"/>
              <w:right w:val="nil"/>
            </w:tcBorders>
            <w:noWrap/>
            <w:vAlign w:val="bottom"/>
            <w:hideMark/>
          </w:tcPr>
          <w:p w14:paraId="5A01FA7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18F1AF6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22" w:type="pct"/>
            <w:tcBorders>
              <w:top w:val="nil"/>
              <w:left w:val="nil"/>
              <w:bottom w:val="single" w:sz="4" w:space="0" w:color="auto"/>
              <w:right w:val="single" w:sz="4" w:space="0" w:color="auto"/>
            </w:tcBorders>
            <w:noWrap/>
            <w:vAlign w:val="bottom"/>
            <w:hideMark/>
          </w:tcPr>
          <w:p w14:paraId="0AE38B1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497" w:type="pct"/>
            <w:tcBorders>
              <w:top w:val="nil"/>
              <w:left w:val="single" w:sz="4" w:space="0" w:color="auto"/>
              <w:bottom w:val="single" w:sz="4" w:space="0" w:color="auto"/>
              <w:right w:val="single" w:sz="8" w:space="0" w:color="auto"/>
            </w:tcBorders>
            <w:noWrap/>
            <w:vAlign w:val="bottom"/>
            <w:hideMark/>
          </w:tcPr>
          <w:p w14:paraId="565AD3E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nil"/>
              <w:bottom w:val="single" w:sz="4" w:space="0" w:color="auto"/>
              <w:right w:val="nil"/>
            </w:tcBorders>
            <w:noWrap/>
            <w:vAlign w:val="bottom"/>
            <w:hideMark/>
          </w:tcPr>
          <w:p w14:paraId="7581399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single" w:sz="4" w:space="0" w:color="auto"/>
              <w:bottom w:val="single" w:sz="4" w:space="0" w:color="auto"/>
              <w:right w:val="single" w:sz="8" w:space="0" w:color="auto"/>
            </w:tcBorders>
            <w:noWrap/>
            <w:vAlign w:val="bottom"/>
            <w:hideMark/>
          </w:tcPr>
          <w:p w14:paraId="798C01F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5AFBC916"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4DF0F2C7"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JAPAN</w:t>
            </w:r>
          </w:p>
        </w:tc>
        <w:tc>
          <w:tcPr>
            <w:tcW w:w="497" w:type="pct"/>
            <w:tcBorders>
              <w:top w:val="nil"/>
              <w:left w:val="nil"/>
              <w:bottom w:val="single" w:sz="4" w:space="0" w:color="auto"/>
              <w:right w:val="single" w:sz="4" w:space="0" w:color="auto"/>
            </w:tcBorders>
            <w:noWrap/>
            <w:vAlign w:val="bottom"/>
            <w:hideMark/>
          </w:tcPr>
          <w:p w14:paraId="2F9E9CC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62.00</w:t>
            </w:r>
          </w:p>
        </w:tc>
        <w:tc>
          <w:tcPr>
            <w:tcW w:w="497" w:type="pct"/>
            <w:tcBorders>
              <w:top w:val="nil"/>
              <w:left w:val="nil"/>
              <w:bottom w:val="single" w:sz="4" w:space="0" w:color="auto"/>
              <w:right w:val="nil"/>
            </w:tcBorders>
            <w:noWrap/>
            <w:vAlign w:val="bottom"/>
            <w:hideMark/>
          </w:tcPr>
          <w:p w14:paraId="72F23C8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62.00</w:t>
            </w:r>
          </w:p>
        </w:tc>
        <w:tc>
          <w:tcPr>
            <w:tcW w:w="497" w:type="pct"/>
            <w:tcBorders>
              <w:top w:val="nil"/>
              <w:left w:val="single" w:sz="4" w:space="0" w:color="auto"/>
              <w:bottom w:val="single" w:sz="4" w:space="0" w:color="auto"/>
              <w:right w:val="single" w:sz="8" w:space="0" w:color="auto"/>
            </w:tcBorders>
            <w:noWrap/>
            <w:vAlign w:val="bottom"/>
            <w:hideMark/>
          </w:tcPr>
          <w:p w14:paraId="520857D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62.00</w:t>
            </w:r>
          </w:p>
        </w:tc>
        <w:tc>
          <w:tcPr>
            <w:tcW w:w="522" w:type="pct"/>
            <w:tcBorders>
              <w:top w:val="nil"/>
              <w:left w:val="nil"/>
              <w:bottom w:val="single" w:sz="4" w:space="0" w:color="auto"/>
              <w:right w:val="single" w:sz="4" w:space="0" w:color="auto"/>
            </w:tcBorders>
            <w:noWrap/>
            <w:vAlign w:val="bottom"/>
            <w:hideMark/>
          </w:tcPr>
          <w:p w14:paraId="251E9C7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4.40</w:t>
            </w:r>
          </w:p>
        </w:tc>
        <w:tc>
          <w:tcPr>
            <w:tcW w:w="497" w:type="pct"/>
            <w:tcBorders>
              <w:top w:val="nil"/>
              <w:left w:val="single" w:sz="4" w:space="0" w:color="auto"/>
              <w:bottom w:val="single" w:sz="4" w:space="0" w:color="auto"/>
              <w:right w:val="single" w:sz="8" w:space="0" w:color="auto"/>
            </w:tcBorders>
            <w:noWrap/>
            <w:vAlign w:val="bottom"/>
            <w:hideMark/>
          </w:tcPr>
          <w:p w14:paraId="22652E0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1EA400F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57.60</w:t>
            </w:r>
          </w:p>
        </w:tc>
        <w:tc>
          <w:tcPr>
            <w:tcW w:w="535" w:type="pct"/>
            <w:tcBorders>
              <w:top w:val="nil"/>
              <w:left w:val="single" w:sz="4" w:space="0" w:color="auto"/>
              <w:bottom w:val="single" w:sz="4" w:space="0" w:color="auto"/>
              <w:right w:val="single" w:sz="8" w:space="0" w:color="auto"/>
            </w:tcBorders>
            <w:noWrap/>
            <w:vAlign w:val="bottom"/>
            <w:hideMark/>
          </w:tcPr>
          <w:p w14:paraId="14C4BFB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62.00</w:t>
            </w:r>
          </w:p>
        </w:tc>
      </w:tr>
      <w:tr w:rsidR="00522D4F" w:rsidRPr="00BB7719" w14:paraId="71995B49"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085E49A1"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KOREA</w:t>
            </w:r>
          </w:p>
        </w:tc>
        <w:tc>
          <w:tcPr>
            <w:tcW w:w="497" w:type="pct"/>
            <w:tcBorders>
              <w:top w:val="nil"/>
              <w:left w:val="nil"/>
              <w:bottom w:val="single" w:sz="4" w:space="0" w:color="auto"/>
              <w:right w:val="single" w:sz="4" w:space="0" w:color="auto"/>
            </w:tcBorders>
            <w:noWrap/>
            <w:vAlign w:val="bottom"/>
            <w:hideMark/>
          </w:tcPr>
          <w:p w14:paraId="243B69E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4.00</w:t>
            </w:r>
          </w:p>
        </w:tc>
        <w:tc>
          <w:tcPr>
            <w:tcW w:w="497" w:type="pct"/>
            <w:tcBorders>
              <w:top w:val="nil"/>
              <w:left w:val="nil"/>
              <w:bottom w:val="single" w:sz="4" w:space="0" w:color="auto"/>
              <w:right w:val="nil"/>
            </w:tcBorders>
            <w:noWrap/>
            <w:vAlign w:val="bottom"/>
            <w:hideMark/>
          </w:tcPr>
          <w:p w14:paraId="165A702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4.00</w:t>
            </w:r>
          </w:p>
        </w:tc>
        <w:tc>
          <w:tcPr>
            <w:tcW w:w="497" w:type="pct"/>
            <w:tcBorders>
              <w:top w:val="nil"/>
              <w:left w:val="single" w:sz="4" w:space="0" w:color="auto"/>
              <w:bottom w:val="single" w:sz="4" w:space="0" w:color="auto"/>
              <w:right w:val="single" w:sz="8" w:space="0" w:color="auto"/>
            </w:tcBorders>
            <w:noWrap/>
            <w:vAlign w:val="bottom"/>
            <w:hideMark/>
          </w:tcPr>
          <w:p w14:paraId="268E3D1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4.00</w:t>
            </w:r>
          </w:p>
        </w:tc>
        <w:tc>
          <w:tcPr>
            <w:tcW w:w="522" w:type="pct"/>
            <w:tcBorders>
              <w:top w:val="nil"/>
              <w:left w:val="nil"/>
              <w:bottom w:val="single" w:sz="4" w:space="0" w:color="auto"/>
              <w:right w:val="single" w:sz="4" w:space="0" w:color="auto"/>
            </w:tcBorders>
            <w:noWrap/>
            <w:vAlign w:val="bottom"/>
            <w:hideMark/>
          </w:tcPr>
          <w:p w14:paraId="39CABE4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31F172BF"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nil"/>
              <w:left w:val="nil"/>
              <w:bottom w:val="single" w:sz="4" w:space="0" w:color="auto"/>
              <w:right w:val="nil"/>
            </w:tcBorders>
            <w:noWrap/>
            <w:vAlign w:val="bottom"/>
            <w:hideMark/>
          </w:tcPr>
          <w:p w14:paraId="16CBC68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4.00</w:t>
            </w:r>
          </w:p>
        </w:tc>
        <w:tc>
          <w:tcPr>
            <w:tcW w:w="535" w:type="pct"/>
            <w:tcBorders>
              <w:top w:val="nil"/>
              <w:left w:val="single" w:sz="4" w:space="0" w:color="auto"/>
              <w:bottom w:val="single" w:sz="4" w:space="0" w:color="auto"/>
              <w:right w:val="single" w:sz="8" w:space="0" w:color="auto"/>
            </w:tcBorders>
            <w:noWrap/>
            <w:vAlign w:val="bottom"/>
            <w:hideMark/>
          </w:tcPr>
          <w:p w14:paraId="228C0B4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24839D25"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234FFE13"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NAMIBIA</w:t>
            </w:r>
          </w:p>
        </w:tc>
        <w:tc>
          <w:tcPr>
            <w:tcW w:w="497" w:type="pct"/>
            <w:tcBorders>
              <w:top w:val="nil"/>
              <w:left w:val="nil"/>
              <w:bottom w:val="single" w:sz="4" w:space="0" w:color="auto"/>
              <w:right w:val="single" w:sz="4" w:space="0" w:color="auto"/>
            </w:tcBorders>
            <w:noWrap/>
            <w:vAlign w:val="bottom"/>
            <w:hideMark/>
          </w:tcPr>
          <w:p w14:paraId="4ED2F0C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256.00</w:t>
            </w:r>
          </w:p>
        </w:tc>
        <w:tc>
          <w:tcPr>
            <w:tcW w:w="497" w:type="pct"/>
            <w:tcBorders>
              <w:top w:val="nil"/>
              <w:left w:val="nil"/>
              <w:bottom w:val="single" w:sz="4" w:space="0" w:color="auto"/>
              <w:right w:val="nil"/>
            </w:tcBorders>
            <w:noWrap/>
            <w:vAlign w:val="bottom"/>
            <w:hideMark/>
          </w:tcPr>
          <w:p w14:paraId="0D6CB06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256.00</w:t>
            </w:r>
          </w:p>
        </w:tc>
        <w:tc>
          <w:tcPr>
            <w:tcW w:w="497" w:type="pct"/>
            <w:tcBorders>
              <w:top w:val="nil"/>
              <w:left w:val="single" w:sz="4" w:space="0" w:color="auto"/>
              <w:bottom w:val="single" w:sz="4" w:space="0" w:color="auto"/>
              <w:right w:val="single" w:sz="8" w:space="0" w:color="auto"/>
            </w:tcBorders>
            <w:noWrap/>
            <w:vAlign w:val="bottom"/>
            <w:hideMark/>
          </w:tcPr>
          <w:p w14:paraId="1DB847A5"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256.00</w:t>
            </w:r>
          </w:p>
        </w:tc>
        <w:tc>
          <w:tcPr>
            <w:tcW w:w="522" w:type="pct"/>
            <w:tcBorders>
              <w:top w:val="nil"/>
              <w:left w:val="nil"/>
              <w:bottom w:val="single" w:sz="4" w:space="0" w:color="auto"/>
              <w:right w:val="single" w:sz="4" w:space="0" w:color="auto"/>
            </w:tcBorders>
            <w:noWrap/>
            <w:vAlign w:val="bottom"/>
            <w:hideMark/>
          </w:tcPr>
          <w:p w14:paraId="41A151D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522.00</w:t>
            </w:r>
          </w:p>
        </w:tc>
        <w:tc>
          <w:tcPr>
            <w:tcW w:w="497" w:type="pct"/>
            <w:tcBorders>
              <w:top w:val="nil"/>
              <w:left w:val="single" w:sz="4" w:space="0" w:color="auto"/>
              <w:bottom w:val="single" w:sz="4" w:space="0" w:color="auto"/>
              <w:right w:val="single" w:sz="8" w:space="0" w:color="auto"/>
            </w:tcBorders>
            <w:noWrap/>
            <w:vAlign w:val="bottom"/>
            <w:hideMark/>
          </w:tcPr>
          <w:p w14:paraId="64CCA6B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250.88</w:t>
            </w:r>
          </w:p>
        </w:tc>
        <w:tc>
          <w:tcPr>
            <w:tcW w:w="535" w:type="pct"/>
            <w:tcBorders>
              <w:top w:val="nil"/>
              <w:left w:val="nil"/>
              <w:bottom w:val="single" w:sz="4" w:space="0" w:color="auto"/>
              <w:right w:val="nil"/>
            </w:tcBorders>
            <w:noWrap/>
            <w:vAlign w:val="bottom"/>
            <w:hideMark/>
          </w:tcPr>
          <w:p w14:paraId="1A2410D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-266.00</w:t>
            </w:r>
          </w:p>
        </w:tc>
        <w:tc>
          <w:tcPr>
            <w:tcW w:w="535" w:type="pct"/>
            <w:tcBorders>
              <w:top w:val="nil"/>
              <w:left w:val="single" w:sz="4" w:space="0" w:color="auto"/>
              <w:bottom w:val="single" w:sz="4" w:space="0" w:color="auto"/>
              <w:right w:val="single" w:sz="8" w:space="0" w:color="auto"/>
            </w:tcBorders>
            <w:noWrap/>
            <w:vAlign w:val="bottom"/>
            <w:hideMark/>
          </w:tcPr>
          <w:p w14:paraId="74A6226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-260.88</w:t>
            </w:r>
          </w:p>
        </w:tc>
      </w:tr>
      <w:tr w:rsidR="00522D4F" w:rsidRPr="00BB7719" w14:paraId="0F4BCCFF"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68305D7F"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PANAMA</w:t>
            </w:r>
          </w:p>
        </w:tc>
        <w:tc>
          <w:tcPr>
            <w:tcW w:w="497" w:type="pct"/>
            <w:tcBorders>
              <w:top w:val="single" w:sz="4" w:space="0" w:color="auto"/>
              <w:left w:val="nil"/>
              <w:bottom w:val="single" w:sz="4" w:space="0" w:color="auto"/>
              <w:right w:val="single" w:sz="4" w:space="0" w:color="auto"/>
            </w:tcBorders>
            <w:noWrap/>
            <w:vAlign w:val="bottom"/>
            <w:hideMark/>
          </w:tcPr>
          <w:p w14:paraId="227FAECD"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single" w:sz="4" w:space="0" w:color="auto"/>
              <w:left w:val="nil"/>
              <w:bottom w:val="single" w:sz="4" w:space="0" w:color="auto"/>
              <w:right w:val="nil"/>
            </w:tcBorders>
            <w:noWrap/>
            <w:vAlign w:val="bottom"/>
            <w:hideMark/>
          </w:tcPr>
          <w:p w14:paraId="1761A3E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17D9759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22" w:type="pct"/>
            <w:tcBorders>
              <w:top w:val="single" w:sz="4" w:space="0" w:color="auto"/>
              <w:left w:val="nil"/>
              <w:bottom w:val="single" w:sz="4" w:space="0" w:color="auto"/>
              <w:right w:val="single" w:sz="4" w:space="0" w:color="auto"/>
            </w:tcBorders>
            <w:noWrap/>
            <w:vAlign w:val="bottom"/>
            <w:hideMark/>
          </w:tcPr>
          <w:p w14:paraId="0C80DCD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46A4629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single" w:sz="4" w:space="0" w:color="auto"/>
              <w:left w:val="nil"/>
              <w:bottom w:val="single" w:sz="4" w:space="0" w:color="auto"/>
              <w:right w:val="nil"/>
            </w:tcBorders>
            <w:noWrap/>
            <w:vAlign w:val="bottom"/>
            <w:hideMark/>
          </w:tcPr>
          <w:p w14:paraId="2B682AA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single" w:sz="4" w:space="0" w:color="auto"/>
              <w:bottom w:val="single" w:sz="4" w:space="0" w:color="auto"/>
              <w:right w:val="single" w:sz="8" w:space="0" w:color="auto"/>
            </w:tcBorders>
            <w:noWrap/>
            <w:vAlign w:val="bottom"/>
            <w:hideMark/>
          </w:tcPr>
          <w:p w14:paraId="563A228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r>
      <w:tr w:rsidR="00522D4F" w:rsidRPr="00BB7719" w14:paraId="23FB7E8D"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6A040356"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SENEGAL</w:t>
            </w:r>
          </w:p>
        </w:tc>
        <w:tc>
          <w:tcPr>
            <w:tcW w:w="497" w:type="pct"/>
            <w:tcBorders>
              <w:top w:val="nil"/>
              <w:left w:val="nil"/>
              <w:bottom w:val="single" w:sz="4" w:space="0" w:color="auto"/>
              <w:right w:val="single" w:sz="4" w:space="0" w:color="auto"/>
            </w:tcBorders>
            <w:noWrap/>
            <w:vAlign w:val="bottom"/>
            <w:hideMark/>
          </w:tcPr>
          <w:p w14:paraId="3700FCF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8.00</w:t>
            </w:r>
          </w:p>
        </w:tc>
        <w:tc>
          <w:tcPr>
            <w:tcW w:w="497" w:type="pct"/>
            <w:tcBorders>
              <w:top w:val="nil"/>
              <w:left w:val="nil"/>
              <w:bottom w:val="single" w:sz="4" w:space="0" w:color="auto"/>
              <w:right w:val="nil"/>
            </w:tcBorders>
            <w:noWrap/>
            <w:vAlign w:val="bottom"/>
            <w:hideMark/>
          </w:tcPr>
          <w:p w14:paraId="3BF674B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8.00</w:t>
            </w:r>
          </w:p>
        </w:tc>
        <w:tc>
          <w:tcPr>
            <w:tcW w:w="497" w:type="pct"/>
            <w:tcBorders>
              <w:top w:val="nil"/>
              <w:left w:val="single" w:sz="4" w:space="0" w:color="auto"/>
              <w:bottom w:val="single" w:sz="4" w:space="0" w:color="auto"/>
              <w:right w:val="single" w:sz="8" w:space="0" w:color="auto"/>
            </w:tcBorders>
            <w:noWrap/>
            <w:vAlign w:val="bottom"/>
            <w:hideMark/>
          </w:tcPr>
          <w:p w14:paraId="78E76AA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8.00</w:t>
            </w:r>
          </w:p>
        </w:tc>
        <w:tc>
          <w:tcPr>
            <w:tcW w:w="522" w:type="pct"/>
            <w:tcBorders>
              <w:top w:val="nil"/>
              <w:left w:val="nil"/>
              <w:bottom w:val="single" w:sz="4" w:space="0" w:color="auto"/>
              <w:right w:val="single" w:sz="4" w:space="0" w:color="auto"/>
            </w:tcBorders>
            <w:noWrap/>
            <w:vAlign w:val="bottom"/>
            <w:hideMark/>
          </w:tcPr>
          <w:p w14:paraId="60F3D6B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05813E7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4A462B1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8.00</w:t>
            </w:r>
          </w:p>
        </w:tc>
        <w:tc>
          <w:tcPr>
            <w:tcW w:w="535" w:type="pct"/>
            <w:tcBorders>
              <w:top w:val="nil"/>
              <w:left w:val="single" w:sz="4" w:space="0" w:color="auto"/>
              <w:bottom w:val="single" w:sz="4" w:space="0" w:color="auto"/>
              <w:right w:val="single" w:sz="8" w:space="0" w:color="auto"/>
            </w:tcBorders>
            <w:noWrap/>
            <w:vAlign w:val="bottom"/>
            <w:hideMark/>
          </w:tcPr>
          <w:p w14:paraId="00F0766A" w14:textId="77777777" w:rsidR="00CB23C4" w:rsidRPr="00BB7719" w:rsidRDefault="00CB23C4" w:rsidP="00CB23C4">
            <w:pPr>
              <w:spacing w:after="0" w:line="240" w:lineRule="auto"/>
              <w:jc w:val="right"/>
              <w:rPr>
                <w:rFonts w:ascii="Cambria" w:eastAsia="Times New Roman" w:hAnsi="Cambria" w:cs="Arial"/>
                <w:color w:val="00B050"/>
                <w:kern w:val="0"/>
                <w:sz w:val="16"/>
                <w:szCs w:val="16"/>
                <w:u w:val="single"/>
                <w:lang w:eastAsia="en-US"/>
                <w14:ligatures w14:val="none"/>
              </w:rPr>
            </w:pPr>
            <w:r w:rsidRPr="00BB7719">
              <w:rPr>
                <w:rFonts w:ascii="Cambria" w:eastAsia="Times New Roman" w:hAnsi="Cambria" w:cs="Arial"/>
                <w:color w:val="00B050"/>
                <w:kern w:val="0"/>
                <w:sz w:val="16"/>
                <w:szCs w:val="16"/>
                <w:u w:val="single"/>
                <w:lang w:eastAsia="en-US"/>
                <w14:ligatures w14:val="none"/>
              </w:rPr>
              <w:t>8.00</w:t>
            </w:r>
          </w:p>
        </w:tc>
      </w:tr>
      <w:tr w:rsidR="00522D4F" w:rsidRPr="00BB7719" w14:paraId="1A62C32F"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0232A9FD"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SOUTH AFRICA</w:t>
            </w:r>
          </w:p>
        </w:tc>
        <w:tc>
          <w:tcPr>
            <w:tcW w:w="497" w:type="pct"/>
            <w:tcBorders>
              <w:top w:val="nil"/>
              <w:left w:val="nil"/>
              <w:bottom w:val="single" w:sz="4" w:space="0" w:color="auto"/>
              <w:right w:val="single" w:sz="4" w:space="0" w:color="auto"/>
            </w:tcBorders>
            <w:noWrap/>
            <w:vAlign w:val="bottom"/>
            <w:hideMark/>
          </w:tcPr>
          <w:p w14:paraId="6CB007D1"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154.00</w:t>
            </w:r>
          </w:p>
        </w:tc>
        <w:tc>
          <w:tcPr>
            <w:tcW w:w="497" w:type="pct"/>
            <w:tcBorders>
              <w:top w:val="nil"/>
              <w:left w:val="nil"/>
              <w:bottom w:val="single" w:sz="4" w:space="0" w:color="auto"/>
              <w:right w:val="nil"/>
            </w:tcBorders>
            <w:noWrap/>
            <w:vAlign w:val="bottom"/>
            <w:hideMark/>
          </w:tcPr>
          <w:p w14:paraId="3828C84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154.00</w:t>
            </w:r>
          </w:p>
        </w:tc>
        <w:tc>
          <w:tcPr>
            <w:tcW w:w="497" w:type="pct"/>
            <w:tcBorders>
              <w:top w:val="nil"/>
              <w:left w:val="single" w:sz="4" w:space="0" w:color="auto"/>
              <w:bottom w:val="single" w:sz="4" w:space="0" w:color="auto"/>
              <w:right w:val="single" w:sz="8" w:space="0" w:color="auto"/>
            </w:tcBorders>
            <w:noWrap/>
            <w:vAlign w:val="bottom"/>
            <w:hideMark/>
          </w:tcPr>
          <w:p w14:paraId="0F9797B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154.00</w:t>
            </w:r>
          </w:p>
        </w:tc>
        <w:tc>
          <w:tcPr>
            <w:tcW w:w="522" w:type="pct"/>
            <w:tcBorders>
              <w:top w:val="nil"/>
              <w:left w:val="nil"/>
              <w:bottom w:val="single" w:sz="4" w:space="0" w:color="auto"/>
              <w:right w:val="single" w:sz="4" w:space="0" w:color="auto"/>
            </w:tcBorders>
            <w:noWrap/>
            <w:vAlign w:val="bottom"/>
            <w:hideMark/>
          </w:tcPr>
          <w:p w14:paraId="45A43E7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95.99</w:t>
            </w:r>
          </w:p>
        </w:tc>
        <w:tc>
          <w:tcPr>
            <w:tcW w:w="497" w:type="pct"/>
            <w:tcBorders>
              <w:top w:val="nil"/>
              <w:left w:val="single" w:sz="4" w:space="0" w:color="auto"/>
              <w:bottom w:val="single" w:sz="4" w:space="0" w:color="auto"/>
              <w:right w:val="single" w:sz="8" w:space="0" w:color="auto"/>
            </w:tcBorders>
            <w:noWrap/>
            <w:vAlign w:val="bottom"/>
            <w:hideMark/>
          </w:tcPr>
          <w:p w14:paraId="48FD462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139.60</w:t>
            </w:r>
          </w:p>
        </w:tc>
        <w:tc>
          <w:tcPr>
            <w:tcW w:w="535" w:type="pct"/>
            <w:tcBorders>
              <w:top w:val="nil"/>
              <w:left w:val="nil"/>
              <w:bottom w:val="single" w:sz="4" w:space="0" w:color="auto"/>
              <w:right w:val="nil"/>
            </w:tcBorders>
            <w:noWrap/>
            <w:vAlign w:val="bottom"/>
            <w:hideMark/>
          </w:tcPr>
          <w:p w14:paraId="377927B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58.01</w:t>
            </w:r>
          </w:p>
        </w:tc>
        <w:tc>
          <w:tcPr>
            <w:tcW w:w="535" w:type="pct"/>
            <w:tcBorders>
              <w:top w:val="nil"/>
              <w:left w:val="single" w:sz="4" w:space="0" w:color="auto"/>
              <w:bottom w:val="single" w:sz="4" w:space="0" w:color="auto"/>
              <w:right w:val="single" w:sz="8" w:space="0" w:color="auto"/>
            </w:tcBorders>
            <w:noWrap/>
            <w:vAlign w:val="bottom"/>
            <w:hideMark/>
          </w:tcPr>
          <w:p w14:paraId="3DF5D11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14.40</w:t>
            </w:r>
          </w:p>
        </w:tc>
      </w:tr>
      <w:tr w:rsidR="00522D4F" w:rsidRPr="00BB7719" w14:paraId="4CC83799"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59E6B086"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UK</w:t>
            </w:r>
          </w:p>
        </w:tc>
        <w:tc>
          <w:tcPr>
            <w:tcW w:w="497" w:type="pct"/>
            <w:tcBorders>
              <w:top w:val="nil"/>
              <w:left w:val="nil"/>
              <w:bottom w:val="single" w:sz="4" w:space="0" w:color="auto"/>
              <w:right w:val="single" w:sz="4" w:space="0" w:color="auto"/>
            </w:tcBorders>
            <w:noWrap/>
            <w:vAlign w:val="bottom"/>
            <w:hideMark/>
          </w:tcPr>
          <w:p w14:paraId="020EE55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nil"/>
              <w:bottom w:val="single" w:sz="4" w:space="0" w:color="auto"/>
              <w:right w:val="nil"/>
            </w:tcBorders>
            <w:noWrap/>
            <w:vAlign w:val="bottom"/>
            <w:hideMark/>
          </w:tcPr>
          <w:p w14:paraId="1080FA39"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3F0C185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22" w:type="pct"/>
            <w:tcBorders>
              <w:top w:val="nil"/>
              <w:left w:val="nil"/>
              <w:bottom w:val="single" w:sz="4" w:space="0" w:color="auto"/>
              <w:right w:val="single" w:sz="4" w:space="0" w:color="auto"/>
            </w:tcBorders>
            <w:noWrap/>
            <w:vAlign w:val="bottom"/>
            <w:hideMark/>
          </w:tcPr>
          <w:p w14:paraId="4E0F15A7"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33BE8328"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2EBA670E"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single" w:sz="4" w:space="0" w:color="auto"/>
              <w:bottom w:val="single" w:sz="4" w:space="0" w:color="auto"/>
              <w:right w:val="single" w:sz="8" w:space="0" w:color="auto"/>
            </w:tcBorders>
            <w:noWrap/>
            <w:vAlign w:val="bottom"/>
            <w:hideMark/>
          </w:tcPr>
          <w:p w14:paraId="40104F8A"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r>
      <w:tr w:rsidR="00522D4F" w:rsidRPr="00BB7719" w14:paraId="44BE2124" w14:textId="77777777" w:rsidTr="009F49E9">
        <w:trPr>
          <w:trHeight w:val="113"/>
        </w:trPr>
        <w:tc>
          <w:tcPr>
            <w:tcW w:w="1420" w:type="pct"/>
            <w:tcBorders>
              <w:top w:val="nil"/>
              <w:left w:val="single" w:sz="8" w:space="0" w:color="auto"/>
              <w:bottom w:val="single" w:sz="4" w:space="0" w:color="auto"/>
              <w:right w:val="single" w:sz="8" w:space="0" w:color="auto"/>
            </w:tcBorders>
            <w:noWrap/>
            <w:vAlign w:val="bottom"/>
            <w:hideMark/>
          </w:tcPr>
          <w:p w14:paraId="3809D9F3"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URUGUAY</w:t>
            </w:r>
          </w:p>
        </w:tc>
        <w:tc>
          <w:tcPr>
            <w:tcW w:w="497" w:type="pct"/>
            <w:tcBorders>
              <w:top w:val="nil"/>
              <w:left w:val="nil"/>
              <w:bottom w:val="single" w:sz="4" w:space="0" w:color="auto"/>
              <w:right w:val="single" w:sz="4" w:space="0" w:color="auto"/>
            </w:tcBorders>
            <w:noWrap/>
            <w:vAlign w:val="bottom"/>
            <w:hideMark/>
          </w:tcPr>
          <w:p w14:paraId="6CFB124C"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nil"/>
              <w:bottom w:val="single" w:sz="4" w:space="0" w:color="auto"/>
              <w:right w:val="nil"/>
            </w:tcBorders>
            <w:noWrap/>
            <w:vAlign w:val="bottom"/>
            <w:hideMark/>
          </w:tcPr>
          <w:p w14:paraId="76F9D156"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497" w:type="pct"/>
            <w:tcBorders>
              <w:top w:val="nil"/>
              <w:left w:val="single" w:sz="4" w:space="0" w:color="auto"/>
              <w:bottom w:val="single" w:sz="4" w:space="0" w:color="auto"/>
              <w:right w:val="single" w:sz="8" w:space="0" w:color="auto"/>
            </w:tcBorders>
            <w:noWrap/>
            <w:vAlign w:val="bottom"/>
            <w:hideMark/>
          </w:tcPr>
          <w:p w14:paraId="68E0C773"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22" w:type="pct"/>
            <w:tcBorders>
              <w:top w:val="nil"/>
              <w:left w:val="nil"/>
              <w:bottom w:val="single" w:sz="4" w:space="0" w:color="auto"/>
              <w:right w:val="single" w:sz="4" w:space="0" w:color="auto"/>
            </w:tcBorders>
            <w:noWrap/>
            <w:vAlign w:val="bottom"/>
            <w:hideMark/>
          </w:tcPr>
          <w:p w14:paraId="125086AF"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497" w:type="pct"/>
            <w:tcBorders>
              <w:top w:val="nil"/>
              <w:left w:val="single" w:sz="4" w:space="0" w:color="auto"/>
              <w:bottom w:val="single" w:sz="4" w:space="0" w:color="auto"/>
              <w:right w:val="single" w:sz="8" w:space="0" w:color="auto"/>
            </w:tcBorders>
            <w:noWrap/>
            <w:vAlign w:val="bottom"/>
            <w:hideMark/>
          </w:tcPr>
          <w:p w14:paraId="364B9D6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0.00</w:t>
            </w:r>
          </w:p>
        </w:tc>
        <w:tc>
          <w:tcPr>
            <w:tcW w:w="535" w:type="pct"/>
            <w:tcBorders>
              <w:top w:val="nil"/>
              <w:left w:val="nil"/>
              <w:bottom w:val="single" w:sz="4" w:space="0" w:color="auto"/>
              <w:right w:val="nil"/>
            </w:tcBorders>
            <w:noWrap/>
            <w:vAlign w:val="bottom"/>
            <w:hideMark/>
          </w:tcPr>
          <w:p w14:paraId="0DE12F64"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c>
          <w:tcPr>
            <w:tcW w:w="535" w:type="pct"/>
            <w:tcBorders>
              <w:top w:val="nil"/>
              <w:left w:val="single" w:sz="4" w:space="0" w:color="auto"/>
              <w:bottom w:val="single" w:sz="4" w:space="0" w:color="auto"/>
              <w:right w:val="single" w:sz="8" w:space="0" w:color="auto"/>
            </w:tcBorders>
            <w:noWrap/>
            <w:vAlign w:val="bottom"/>
            <w:hideMark/>
          </w:tcPr>
          <w:p w14:paraId="12E3B5B2"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2.00</w:t>
            </w:r>
          </w:p>
        </w:tc>
      </w:tr>
      <w:tr w:rsidR="00522D4F" w:rsidRPr="00BB7719" w14:paraId="6E2DE354" w14:textId="77777777" w:rsidTr="009F49E9">
        <w:trPr>
          <w:trHeight w:val="113"/>
        </w:trPr>
        <w:tc>
          <w:tcPr>
            <w:tcW w:w="1420" w:type="pct"/>
            <w:tcBorders>
              <w:top w:val="nil"/>
              <w:left w:val="single" w:sz="8" w:space="0" w:color="auto"/>
              <w:bottom w:val="single" w:sz="8" w:space="0" w:color="auto"/>
              <w:right w:val="single" w:sz="8" w:space="0" w:color="auto"/>
            </w:tcBorders>
            <w:noWrap/>
            <w:vAlign w:val="bottom"/>
            <w:hideMark/>
          </w:tcPr>
          <w:p w14:paraId="4D0A33C0" w14:textId="77777777" w:rsidR="00CB23C4" w:rsidRPr="00BB7719" w:rsidRDefault="00CB23C4" w:rsidP="00CB23C4">
            <w:pPr>
              <w:spacing w:after="0" w:line="240" w:lineRule="auto"/>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TOTAL CATCH</w:t>
            </w:r>
          </w:p>
        </w:tc>
        <w:tc>
          <w:tcPr>
            <w:tcW w:w="497" w:type="pct"/>
            <w:tcBorders>
              <w:top w:val="nil"/>
              <w:left w:val="nil"/>
              <w:bottom w:val="single" w:sz="8" w:space="0" w:color="auto"/>
              <w:right w:val="single" w:sz="4" w:space="0" w:color="auto"/>
            </w:tcBorders>
            <w:noWrap/>
            <w:vAlign w:val="bottom"/>
            <w:hideMark/>
          </w:tcPr>
          <w:p w14:paraId="1B702624"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c>
          <w:tcPr>
            <w:tcW w:w="497" w:type="pct"/>
            <w:tcBorders>
              <w:top w:val="single" w:sz="4" w:space="0" w:color="auto"/>
              <w:left w:val="nil"/>
              <w:bottom w:val="single" w:sz="8" w:space="0" w:color="auto"/>
              <w:right w:val="nil"/>
            </w:tcBorders>
            <w:noWrap/>
            <w:vAlign w:val="bottom"/>
            <w:hideMark/>
          </w:tcPr>
          <w:p w14:paraId="3874014E"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c>
          <w:tcPr>
            <w:tcW w:w="497" w:type="pct"/>
            <w:tcBorders>
              <w:top w:val="single" w:sz="4" w:space="0" w:color="auto"/>
              <w:left w:val="single" w:sz="4" w:space="0" w:color="auto"/>
              <w:bottom w:val="single" w:sz="8" w:space="0" w:color="auto"/>
              <w:right w:val="single" w:sz="8" w:space="0" w:color="auto"/>
            </w:tcBorders>
            <w:noWrap/>
            <w:vAlign w:val="bottom"/>
            <w:hideMark/>
          </w:tcPr>
          <w:p w14:paraId="5562D916"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c>
          <w:tcPr>
            <w:tcW w:w="522" w:type="pct"/>
            <w:tcBorders>
              <w:top w:val="nil"/>
              <w:left w:val="nil"/>
              <w:bottom w:val="single" w:sz="8" w:space="0" w:color="auto"/>
              <w:right w:val="single" w:sz="4" w:space="0" w:color="auto"/>
            </w:tcBorders>
            <w:noWrap/>
            <w:vAlign w:val="bottom"/>
            <w:hideMark/>
          </w:tcPr>
          <w:p w14:paraId="4C2F1355"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745.39</w:t>
            </w:r>
          </w:p>
        </w:tc>
        <w:tc>
          <w:tcPr>
            <w:tcW w:w="497" w:type="pct"/>
            <w:tcBorders>
              <w:top w:val="single" w:sz="4" w:space="0" w:color="auto"/>
              <w:left w:val="nil"/>
              <w:bottom w:val="single" w:sz="8" w:space="0" w:color="auto"/>
              <w:right w:val="single" w:sz="8" w:space="0" w:color="auto"/>
            </w:tcBorders>
            <w:noWrap/>
            <w:vAlign w:val="bottom"/>
            <w:hideMark/>
          </w:tcPr>
          <w:p w14:paraId="450584C3"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c>
          <w:tcPr>
            <w:tcW w:w="535" w:type="pct"/>
            <w:tcBorders>
              <w:top w:val="nil"/>
              <w:left w:val="nil"/>
              <w:bottom w:val="single" w:sz="8" w:space="0" w:color="auto"/>
              <w:right w:val="nil"/>
            </w:tcBorders>
            <w:noWrap/>
            <w:vAlign w:val="bottom"/>
            <w:hideMark/>
          </w:tcPr>
          <w:p w14:paraId="7FC3015B"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c>
          <w:tcPr>
            <w:tcW w:w="535" w:type="pct"/>
            <w:tcBorders>
              <w:top w:val="single" w:sz="4" w:space="0" w:color="auto"/>
              <w:left w:val="single" w:sz="4" w:space="0" w:color="auto"/>
              <w:bottom w:val="single" w:sz="8" w:space="0" w:color="auto"/>
              <w:right w:val="single" w:sz="8" w:space="0" w:color="auto"/>
            </w:tcBorders>
            <w:noWrap/>
            <w:vAlign w:val="bottom"/>
            <w:hideMark/>
          </w:tcPr>
          <w:p w14:paraId="7717FC10" w14:textId="77777777" w:rsidR="00CB23C4" w:rsidRPr="00BB7719" w:rsidRDefault="00CB23C4" w:rsidP="00CB23C4">
            <w:pPr>
              <w:spacing w:after="0" w:line="240" w:lineRule="auto"/>
              <w:jc w:val="right"/>
              <w:rPr>
                <w:rFonts w:ascii="Cambria" w:eastAsia="Times New Roman" w:hAnsi="Cambria" w:cs="Arial"/>
                <w:kern w:val="0"/>
                <w:sz w:val="16"/>
                <w:szCs w:val="16"/>
                <w:u w:val="single"/>
                <w:lang w:eastAsia="en-US"/>
                <w14:ligatures w14:val="none"/>
              </w:rPr>
            </w:pPr>
            <w:r w:rsidRPr="00BB7719">
              <w:rPr>
                <w:rFonts w:ascii="Cambria" w:eastAsia="Times New Roman" w:hAnsi="Cambria" w:cs="Arial"/>
                <w:kern w:val="0"/>
                <w:sz w:val="16"/>
                <w:szCs w:val="16"/>
                <w:u w:val="single"/>
                <w:lang w:eastAsia="en-US"/>
                <w14:ligatures w14:val="none"/>
              </w:rPr>
              <w:t> </w:t>
            </w:r>
          </w:p>
        </w:tc>
      </w:tr>
      <w:tr w:rsidR="00522D4F" w:rsidRPr="00BB7719" w14:paraId="48ABC099" w14:textId="77777777" w:rsidTr="009F49E9">
        <w:trPr>
          <w:trHeight w:val="113"/>
        </w:trPr>
        <w:tc>
          <w:tcPr>
            <w:tcW w:w="1420" w:type="pct"/>
            <w:tcBorders>
              <w:top w:val="nil"/>
              <w:left w:val="single" w:sz="8" w:space="0" w:color="auto"/>
              <w:bottom w:val="single" w:sz="8" w:space="0" w:color="auto"/>
              <w:right w:val="single" w:sz="8" w:space="0" w:color="auto"/>
            </w:tcBorders>
            <w:noWrap/>
            <w:vAlign w:val="bottom"/>
            <w:hideMark/>
          </w:tcPr>
          <w:p w14:paraId="7176EE8C" w14:textId="77777777" w:rsidR="00CB23C4" w:rsidRPr="00BB7719" w:rsidRDefault="00CB23C4" w:rsidP="00CB23C4">
            <w:pPr>
              <w:spacing w:after="0" w:line="240" w:lineRule="auto"/>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Rec. number</w:t>
            </w:r>
          </w:p>
        </w:tc>
        <w:tc>
          <w:tcPr>
            <w:tcW w:w="497" w:type="pct"/>
            <w:tcBorders>
              <w:top w:val="nil"/>
              <w:left w:val="nil"/>
              <w:bottom w:val="single" w:sz="8" w:space="0" w:color="auto"/>
              <w:right w:val="single" w:sz="4" w:space="0" w:color="auto"/>
            </w:tcBorders>
            <w:noWrap/>
            <w:vAlign w:val="bottom"/>
            <w:hideMark/>
          </w:tcPr>
          <w:p w14:paraId="7AAA5363"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22-11</w:t>
            </w:r>
          </w:p>
        </w:tc>
        <w:tc>
          <w:tcPr>
            <w:tcW w:w="497" w:type="pct"/>
            <w:tcBorders>
              <w:top w:val="nil"/>
              <w:left w:val="nil"/>
              <w:bottom w:val="single" w:sz="8" w:space="0" w:color="auto"/>
              <w:right w:val="nil"/>
            </w:tcBorders>
            <w:noWrap/>
            <w:vAlign w:val="bottom"/>
            <w:hideMark/>
          </w:tcPr>
          <w:p w14:paraId="734DF7C5"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22-11</w:t>
            </w:r>
          </w:p>
        </w:tc>
        <w:tc>
          <w:tcPr>
            <w:tcW w:w="497" w:type="pct"/>
            <w:tcBorders>
              <w:top w:val="nil"/>
              <w:left w:val="single" w:sz="4" w:space="0" w:color="auto"/>
              <w:bottom w:val="single" w:sz="8" w:space="0" w:color="auto"/>
              <w:right w:val="nil"/>
            </w:tcBorders>
            <w:noWrap/>
            <w:vAlign w:val="bottom"/>
            <w:hideMark/>
          </w:tcPr>
          <w:p w14:paraId="112735AF"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22-11</w:t>
            </w:r>
          </w:p>
        </w:tc>
        <w:tc>
          <w:tcPr>
            <w:tcW w:w="522" w:type="pct"/>
            <w:tcBorders>
              <w:top w:val="nil"/>
              <w:left w:val="single" w:sz="8" w:space="0" w:color="auto"/>
              <w:bottom w:val="single" w:sz="8" w:space="0" w:color="auto"/>
              <w:right w:val="single" w:sz="4" w:space="0" w:color="auto"/>
            </w:tcBorders>
            <w:noWrap/>
            <w:vAlign w:val="bottom"/>
            <w:hideMark/>
          </w:tcPr>
          <w:p w14:paraId="28432A75"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c>
          <w:tcPr>
            <w:tcW w:w="497" w:type="pct"/>
            <w:tcBorders>
              <w:top w:val="nil"/>
              <w:left w:val="single" w:sz="4" w:space="0" w:color="auto"/>
              <w:bottom w:val="single" w:sz="8" w:space="0" w:color="auto"/>
              <w:right w:val="single" w:sz="8" w:space="0" w:color="auto"/>
            </w:tcBorders>
            <w:noWrap/>
            <w:vAlign w:val="bottom"/>
            <w:hideMark/>
          </w:tcPr>
          <w:p w14:paraId="33C0809A" w14:textId="77777777" w:rsidR="00CB23C4" w:rsidRPr="00BB7719" w:rsidRDefault="00CB23C4" w:rsidP="00CB23C4">
            <w:pPr>
              <w:spacing w:after="0" w:line="240" w:lineRule="auto"/>
              <w:jc w:val="right"/>
              <w:rPr>
                <w:rFonts w:ascii="Cambria" w:eastAsia="Times New Roman" w:hAnsi="Cambria" w:cs="Arial"/>
                <w:i/>
                <w:iCs/>
                <w:kern w:val="0"/>
                <w:sz w:val="16"/>
                <w:szCs w:val="16"/>
                <w:u w:val="single"/>
                <w:lang w:eastAsia="en-US"/>
                <w14:ligatures w14:val="none"/>
              </w:rPr>
            </w:pPr>
            <w:r w:rsidRPr="00BB7719">
              <w:rPr>
                <w:rFonts w:ascii="Cambria" w:eastAsia="Times New Roman" w:hAnsi="Cambria" w:cs="Arial"/>
                <w:i/>
                <w:iCs/>
                <w:kern w:val="0"/>
                <w:sz w:val="16"/>
                <w:szCs w:val="16"/>
                <w:u w:val="single"/>
                <w:lang w:eastAsia="en-US"/>
                <w14:ligatures w14:val="none"/>
              </w:rPr>
              <w:t> </w:t>
            </w:r>
          </w:p>
        </w:tc>
        <w:tc>
          <w:tcPr>
            <w:tcW w:w="535" w:type="pct"/>
            <w:tcBorders>
              <w:top w:val="nil"/>
              <w:left w:val="nil"/>
              <w:bottom w:val="single" w:sz="8" w:space="0" w:color="auto"/>
              <w:right w:val="nil"/>
            </w:tcBorders>
            <w:noWrap/>
            <w:vAlign w:val="bottom"/>
            <w:hideMark/>
          </w:tcPr>
          <w:p w14:paraId="7B127353"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c>
          <w:tcPr>
            <w:tcW w:w="535" w:type="pct"/>
            <w:tcBorders>
              <w:top w:val="nil"/>
              <w:left w:val="single" w:sz="4" w:space="0" w:color="auto"/>
              <w:bottom w:val="single" w:sz="8" w:space="0" w:color="auto"/>
              <w:right w:val="single" w:sz="8" w:space="0" w:color="auto"/>
            </w:tcBorders>
            <w:noWrap/>
            <w:vAlign w:val="bottom"/>
            <w:hideMark/>
          </w:tcPr>
          <w:p w14:paraId="0DDF4020" w14:textId="77777777" w:rsidR="00CB23C4" w:rsidRPr="00BB7719" w:rsidRDefault="00CB23C4" w:rsidP="00CB23C4">
            <w:pPr>
              <w:spacing w:after="0" w:line="240" w:lineRule="auto"/>
              <w:jc w:val="right"/>
              <w:rPr>
                <w:rFonts w:ascii="Cambria" w:eastAsia="Times New Roman" w:hAnsi="Cambria" w:cs="Arial"/>
                <w:b/>
                <w:bCs/>
                <w:kern w:val="0"/>
                <w:sz w:val="16"/>
                <w:szCs w:val="16"/>
                <w:u w:val="single"/>
                <w:lang w:eastAsia="en-US"/>
                <w14:ligatures w14:val="none"/>
              </w:rPr>
            </w:pPr>
            <w:r w:rsidRPr="00BB7719">
              <w:rPr>
                <w:rFonts w:ascii="Cambria" w:eastAsia="Times New Roman" w:hAnsi="Cambria" w:cs="Arial"/>
                <w:b/>
                <w:bCs/>
                <w:kern w:val="0"/>
                <w:sz w:val="16"/>
                <w:szCs w:val="16"/>
                <w:u w:val="single"/>
                <w:lang w:eastAsia="en-US"/>
                <w14:ligatures w14:val="none"/>
              </w:rPr>
              <w:t> </w:t>
            </w:r>
          </w:p>
        </w:tc>
      </w:tr>
    </w:tbl>
    <w:p w14:paraId="757BAA95" w14:textId="31864781" w:rsidR="00CB23C4" w:rsidRPr="00BB7719" w:rsidRDefault="00CB23C4">
      <w:pPr>
        <w:rPr>
          <w:rFonts w:ascii="Cambria" w:eastAsia="Times New Roman" w:hAnsi="Cambria" w:cs="Times New Roman"/>
          <w:b/>
          <w:bCs/>
          <w:color w:val="222222"/>
          <w:sz w:val="20"/>
          <w:szCs w:val="20"/>
          <w:u w:val="single"/>
        </w:rPr>
      </w:pPr>
      <w:r w:rsidRPr="00BB7719">
        <w:rPr>
          <w:rFonts w:ascii="Cambria" w:eastAsia="Times New Roman" w:hAnsi="Cambria" w:cs="Times New Roman"/>
          <w:b/>
          <w:bCs/>
          <w:color w:val="222222"/>
          <w:sz w:val="20"/>
          <w:szCs w:val="20"/>
          <w:u w:val="single"/>
        </w:rPr>
        <w:br w:type="page"/>
      </w:r>
    </w:p>
    <w:p w14:paraId="673D5361" w14:textId="64F6F4A4" w:rsidR="000F69EE" w:rsidRPr="00BB7719" w:rsidRDefault="000F69EE" w:rsidP="00406BC0">
      <w:pPr>
        <w:numPr>
          <w:ilvl w:val="0"/>
          <w:numId w:val="14"/>
        </w:numPr>
        <w:tabs>
          <w:tab w:val="clear" w:pos="720"/>
        </w:tabs>
        <w:spacing w:after="0" w:line="240" w:lineRule="auto"/>
        <w:ind w:left="426" w:hanging="426"/>
        <w:jc w:val="both"/>
        <w:rPr>
          <w:rFonts w:ascii="Cambria" w:eastAsia="Times New Roman" w:hAnsi="Cambria" w:cs="Times New Roman"/>
          <w:color w:val="222222"/>
          <w:sz w:val="20"/>
          <w:szCs w:val="20"/>
          <w:u w:val="single"/>
        </w:rPr>
      </w:pPr>
      <w:r w:rsidRPr="00BB7719">
        <w:rPr>
          <w:rFonts w:ascii="Cambria" w:eastAsia="Times New Roman" w:hAnsi="Cambria" w:cs="Times New Roman"/>
          <w:b/>
          <w:bCs/>
          <w:color w:val="222222"/>
          <w:sz w:val="20"/>
          <w:szCs w:val="20"/>
          <w:u w:val="single"/>
        </w:rPr>
        <w:t xml:space="preserve">Catch </w:t>
      </w:r>
      <w:r w:rsidR="00390D88" w:rsidRPr="00BB7719">
        <w:rPr>
          <w:rFonts w:ascii="Cambria" w:eastAsia="Times New Roman" w:hAnsi="Cambria" w:cs="Times New Roman"/>
          <w:b/>
          <w:bCs/>
          <w:color w:val="222222"/>
          <w:sz w:val="20"/>
          <w:szCs w:val="20"/>
          <w:u w:val="single"/>
        </w:rPr>
        <w:t>limit overrun</w:t>
      </w:r>
      <w:r w:rsidR="00390D88" w:rsidRPr="00BB7719">
        <w:rPr>
          <w:rFonts w:ascii="Cambria" w:eastAsia="Times New Roman" w:hAnsi="Cambria" w:cs="Times New Roman"/>
          <w:color w:val="222222"/>
          <w:sz w:val="20"/>
          <w:szCs w:val="20"/>
          <w:u w:val="single"/>
        </w:rPr>
        <w:t>:</w:t>
      </w:r>
    </w:p>
    <w:p w14:paraId="50E402A2" w14:textId="77777777" w:rsidR="009875F7" w:rsidRPr="00BB7719" w:rsidRDefault="009875F7" w:rsidP="009875F7">
      <w:pPr>
        <w:spacing w:after="0" w:line="240" w:lineRule="auto"/>
        <w:ind w:left="426"/>
        <w:jc w:val="both"/>
        <w:rPr>
          <w:rFonts w:ascii="Cambria" w:eastAsia="Times New Roman" w:hAnsi="Cambria" w:cs="Times New Roman"/>
          <w:color w:val="222222"/>
          <w:sz w:val="20"/>
          <w:szCs w:val="20"/>
          <w:u w:val="single"/>
        </w:rPr>
      </w:pPr>
    </w:p>
    <w:p w14:paraId="36B4B0D1" w14:textId="3C440DF7"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bookmarkStart w:id="4" w:name="_Hlk212460736"/>
      <w:r w:rsidRPr="00BB7719">
        <w:rPr>
          <w:rFonts w:ascii="Cambria" w:eastAsia="Times New Roman" w:hAnsi="Cambria" w:cs="Times New Roman"/>
          <w:color w:val="222222"/>
          <w:sz w:val="20"/>
          <w:szCs w:val="20"/>
          <w:u w:val="single"/>
        </w:rPr>
        <w:t>Rec</w:t>
      </w:r>
      <w:r w:rsidR="00B6674E" w:rsidRPr="00BB7719">
        <w:rPr>
          <w:rFonts w:ascii="Cambria" w:eastAsia="Times New Roman" w:hAnsi="Cambria" w:cs="Times New Roman"/>
          <w:color w:val="222222"/>
          <w:sz w:val="20"/>
          <w:szCs w:val="20"/>
          <w:u w:val="single"/>
        </w:rPr>
        <w:t>.</w:t>
      </w:r>
      <w:r w:rsidRPr="00BB7719">
        <w:rPr>
          <w:rFonts w:ascii="Cambria" w:eastAsia="Times New Roman" w:hAnsi="Cambria" w:cs="Times New Roman"/>
          <w:color w:val="222222"/>
          <w:sz w:val="20"/>
          <w:szCs w:val="20"/>
          <w:u w:val="single"/>
        </w:rPr>
        <w:t xml:space="preserve"> 22-11 </w:t>
      </w:r>
      <w:bookmarkEnd w:id="4"/>
      <w:r w:rsidRPr="00BB7719">
        <w:rPr>
          <w:rFonts w:ascii="Cambria" w:eastAsia="Times New Roman" w:hAnsi="Cambria" w:cs="Times New Roman"/>
          <w:color w:val="222222"/>
          <w:sz w:val="20"/>
          <w:szCs w:val="20"/>
          <w:u w:val="single"/>
        </w:rPr>
        <w:t xml:space="preserve">set a limit of 256 t for </w:t>
      </w:r>
      <w:r w:rsidR="00B6674E" w:rsidRPr="00BB7719">
        <w:rPr>
          <w:rFonts w:ascii="Cambria" w:eastAsia="Times New Roman" w:hAnsi="Cambria" w:cs="Times New Roman"/>
          <w:color w:val="222222"/>
          <w:sz w:val="20"/>
          <w:szCs w:val="20"/>
          <w:u w:val="single"/>
        </w:rPr>
        <w:t xml:space="preserve">shortfin mako </w:t>
      </w:r>
      <w:r w:rsidRPr="00BB7719">
        <w:rPr>
          <w:rFonts w:ascii="Cambria" w:eastAsia="Times New Roman" w:hAnsi="Cambria" w:cs="Times New Roman"/>
          <w:color w:val="222222"/>
          <w:sz w:val="20"/>
          <w:szCs w:val="20"/>
          <w:u w:val="single"/>
        </w:rPr>
        <w:t>landings in 2022.</w:t>
      </w:r>
    </w:p>
    <w:p w14:paraId="4CF01013" w14:textId="75A68481"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Namibia landed 250.88 t</w:t>
      </w:r>
      <w:r w:rsidR="00B6674E" w:rsidRPr="00BB7719">
        <w:rPr>
          <w:rFonts w:ascii="Cambria" w:eastAsia="Times New Roman" w:hAnsi="Cambria" w:cs="Times New Roman"/>
          <w:color w:val="222222"/>
          <w:sz w:val="20"/>
          <w:szCs w:val="20"/>
          <w:u w:val="single"/>
        </w:rPr>
        <w:t xml:space="preserve"> </w:t>
      </w:r>
      <w:r w:rsidRPr="00BB7719">
        <w:rPr>
          <w:rFonts w:ascii="Cambria" w:eastAsia="Times New Roman" w:hAnsi="Cambria" w:cs="Times New Roman"/>
          <w:color w:val="222222"/>
          <w:sz w:val="20"/>
          <w:szCs w:val="20"/>
          <w:u w:val="single"/>
        </w:rPr>
        <w:t>in 2024, whereas in 2023 Namibia landed 522 t.</w:t>
      </w:r>
    </w:p>
    <w:p w14:paraId="3245640E" w14:textId="77777777" w:rsidR="000F69EE" w:rsidRPr="00BB7719" w:rsidRDefault="000F69EE" w:rsidP="009875F7">
      <w:pPr>
        <w:pStyle w:val="ListParagraph"/>
        <w:spacing w:after="0" w:line="240" w:lineRule="auto"/>
        <w:jc w:val="both"/>
        <w:rPr>
          <w:rFonts w:ascii="Cambria" w:eastAsia="Times New Roman" w:hAnsi="Cambria" w:cs="Times New Roman"/>
          <w:color w:val="222222"/>
          <w:sz w:val="20"/>
          <w:szCs w:val="20"/>
          <w:u w:val="single"/>
        </w:rPr>
      </w:pPr>
    </w:p>
    <w:p w14:paraId="30A5940D" w14:textId="33DF4B26" w:rsidR="000F69EE" w:rsidRPr="00BB7719" w:rsidRDefault="000F69EE" w:rsidP="00406BC0">
      <w:pPr>
        <w:numPr>
          <w:ilvl w:val="0"/>
          <w:numId w:val="14"/>
        </w:numPr>
        <w:tabs>
          <w:tab w:val="clear" w:pos="720"/>
        </w:tabs>
        <w:spacing w:after="0" w:line="240" w:lineRule="auto"/>
        <w:ind w:left="426" w:hanging="426"/>
        <w:jc w:val="both"/>
        <w:rPr>
          <w:rFonts w:ascii="Cambria" w:eastAsia="Times New Roman" w:hAnsi="Cambria" w:cs="Times New Roman"/>
          <w:color w:val="222222"/>
          <w:sz w:val="20"/>
          <w:szCs w:val="20"/>
          <w:u w:val="single"/>
        </w:rPr>
      </w:pPr>
      <w:r w:rsidRPr="00BB7719">
        <w:rPr>
          <w:rFonts w:ascii="Cambria" w:eastAsia="Times New Roman" w:hAnsi="Cambria" w:cs="Times New Roman"/>
          <w:b/>
          <w:bCs/>
          <w:color w:val="222222"/>
          <w:sz w:val="20"/>
          <w:szCs w:val="20"/>
          <w:u w:val="single"/>
        </w:rPr>
        <w:t xml:space="preserve">National </w:t>
      </w:r>
      <w:r w:rsidR="00390D88" w:rsidRPr="00BB7719">
        <w:rPr>
          <w:rFonts w:ascii="Cambria" w:eastAsia="Times New Roman" w:hAnsi="Cambria" w:cs="Times New Roman"/>
          <w:b/>
          <w:bCs/>
          <w:color w:val="222222"/>
          <w:sz w:val="20"/>
          <w:szCs w:val="20"/>
          <w:u w:val="single"/>
        </w:rPr>
        <w:t>laws on discards</w:t>
      </w:r>
      <w:r w:rsidR="00390D88" w:rsidRPr="00BB7719">
        <w:rPr>
          <w:rFonts w:ascii="Cambria" w:eastAsia="Times New Roman" w:hAnsi="Cambria" w:cs="Times New Roman"/>
          <w:color w:val="222222"/>
          <w:sz w:val="20"/>
          <w:szCs w:val="20"/>
          <w:u w:val="single"/>
        </w:rPr>
        <w:t>:</w:t>
      </w:r>
    </w:p>
    <w:p w14:paraId="4F028B3C" w14:textId="77777777" w:rsidR="009875F7" w:rsidRPr="00BB7719" w:rsidRDefault="009875F7" w:rsidP="009875F7">
      <w:pPr>
        <w:spacing w:after="0" w:line="240" w:lineRule="auto"/>
        <w:ind w:left="426"/>
        <w:jc w:val="both"/>
        <w:rPr>
          <w:rFonts w:ascii="Cambria" w:eastAsia="Times New Roman" w:hAnsi="Cambria" w:cs="Times New Roman"/>
          <w:color w:val="222222"/>
          <w:sz w:val="20"/>
          <w:szCs w:val="20"/>
          <w:u w:val="single"/>
        </w:rPr>
      </w:pPr>
    </w:p>
    <w:p w14:paraId="5B2D86D2" w14:textId="4F2BC490"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Namibian law prohibits discarding any dead fish, including </w:t>
      </w:r>
      <w:r w:rsidR="00C1239E" w:rsidRPr="00BB7719">
        <w:rPr>
          <w:rFonts w:ascii="Cambria" w:eastAsia="Times New Roman" w:hAnsi="Cambria" w:cs="Times New Roman"/>
          <w:color w:val="222222"/>
          <w:sz w:val="20"/>
          <w:szCs w:val="20"/>
          <w:u w:val="single"/>
        </w:rPr>
        <w:t>shortfin mako</w:t>
      </w:r>
      <w:r w:rsidRPr="00BB7719">
        <w:rPr>
          <w:rFonts w:ascii="Cambria" w:eastAsia="Times New Roman" w:hAnsi="Cambria" w:cs="Times New Roman"/>
          <w:color w:val="222222"/>
          <w:sz w:val="20"/>
          <w:szCs w:val="20"/>
          <w:u w:val="single"/>
        </w:rPr>
        <w:t>, meaning all deceased catches must be retained and landed.</w:t>
      </w:r>
    </w:p>
    <w:p w14:paraId="77F0C204" w14:textId="77777777" w:rsidR="00C1239E" w:rsidRPr="00BB7719" w:rsidRDefault="00C1239E" w:rsidP="00C1239E">
      <w:pPr>
        <w:pStyle w:val="ListParagraph"/>
        <w:spacing w:after="0" w:line="240" w:lineRule="auto"/>
        <w:jc w:val="both"/>
        <w:rPr>
          <w:rFonts w:ascii="Cambria" w:eastAsia="Times New Roman" w:hAnsi="Cambria" w:cs="Times New Roman"/>
          <w:color w:val="222222"/>
          <w:sz w:val="20"/>
          <w:szCs w:val="20"/>
          <w:u w:val="single"/>
        </w:rPr>
      </w:pPr>
    </w:p>
    <w:p w14:paraId="7C9A06CB" w14:textId="22594D6D"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This regulation impacts how Namibia can manage shark catches, as we are legally obligated to land all deceased </w:t>
      </w:r>
      <w:r w:rsidR="00C1239E" w:rsidRPr="00BB7719">
        <w:rPr>
          <w:rFonts w:ascii="Cambria" w:eastAsia="Times New Roman" w:hAnsi="Cambria" w:cs="Times New Roman"/>
          <w:color w:val="222222"/>
          <w:sz w:val="20"/>
          <w:szCs w:val="20"/>
          <w:u w:val="single"/>
        </w:rPr>
        <w:t xml:space="preserve">shortfin mako </w:t>
      </w:r>
      <w:r w:rsidRPr="00BB7719">
        <w:rPr>
          <w:rFonts w:ascii="Cambria" w:eastAsia="Times New Roman" w:hAnsi="Cambria" w:cs="Times New Roman"/>
          <w:color w:val="222222"/>
          <w:sz w:val="20"/>
          <w:szCs w:val="20"/>
          <w:u w:val="single"/>
        </w:rPr>
        <w:t>rather than discarding them at sea.</w:t>
      </w:r>
    </w:p>
    <w:p w14:paraId="3C039827" w14:textId="77777777" w:rsidR="000F69EE" w:rsidRPr="00BB7719" w:rsidRDefault="000F69EE" w:rsidP="00406BC0">
      <w:pPr>
        <w:spacing w:after="0" w:line="240" w:lineRule="auto"/>
        <w:ind w:left="426" w:hanging="426"/>
        <w:jc w:val="both"/>
        <w:rPr>
          <w:rFonts w:ascii="Cambria" w:eastAsia="Times New Roman" w:hAnsi="Cambria" w:cs="Times New Roman"/>
          <w:color w:val="222222"/>
          <w:sz w:val="20"/>
          <w:szCs w:val="20"/>
          <w:u w:val="single"/>
        </w:rPr>
      </w:pPr>
    </w:p>
    <w:p w14:paraId="70F0D420" w14:textId="0AD7FEB5" w:rsidR="000F69EE" w:rsidRPr="00BB7719" w:rsidRDefault="000F69EE" w:rsidP="00406BC0">
      <w:pPr>
        <w:numPr>
          <w:ilvl w:val="0"/>
          <w:numId w:val="14"/>
        </w:numPr>
        <w:tabs>
          <w:tab w:val="clear" w:pos="720"/>
        </w:tabs>
        <w:spacing w:after="0" w:line="240" w:lineRule="auto"/>
        <w:ind w:left="426" w:hanging="426"/>
        <w:jc w:val="both"/>
        <w:rPr>
          <w:rFonts w:ascii="Cambria" w:eastAsia="Times New Roman" w:hAnsi="Cambria" w:cs="Times New Roman"/>
          <w:color w:val="222222"/>
          <w:sz w:val="20"/>
          <w:szCs w:val="20"/>
          <w:u w:val="single"/>
        </w:rPr>
      </w:pPr>
      <w:r w:rsidRPr="00BB7719">
        <w:rPr>
          <w:rFonts w:ascii="Cambria" w:eastAsia="Times New Roman" w:hAnsi="Cambria" w:cs="Times New Roman"/>
          <w:b/>
          <w:bCs/>
          <w:color w:val="222222"/>
          <w:sz w:val="20"/>
          <w:szCs w:val="20"/>
          <w:u w:val="single"/>
        </w:rPr>
        <w:t xml:space="preserve">Implemented </w:t>
      </w:r>
      <w:r w:rsidR="00390D88" w:rsidRPr="00BB7719">
        <w:rPr>
          <w:rFonts w:ascii="Cambria" w:eastAsia="Times New Roman" w:hAnsi="Cambria" w:cs="Times New Roman"/>
          <w:b/>
          <w:bCs/>
          <w:color w:val="222222"/>
          <w:sz w:val="20"/>
          <w:szCs w:val="20"/>
          <w:u w:val="single"/>
        </w:rPr>
        <w:t>measures to reduce landings</w:t>
      </w:r>
      <w:r w:rsidR="00390D88" w:rsidRPr="00BB7719">
        <w:rPr>
          <w:rFonts w:ascii="Cambria" w:eastAsia="Times New Roman" w:hAnsi="Cambria" w:cs="Times New Roman"/>
          <w:color w:val="222222"/>
          <w:sz w:val="20"/>
          <w:szCs w:val="20"/>
          <w:u w:val="single"/>
        </w:rPr>
        <w:t>:</w:t>
      </w:r>
    </w:p>
    <w:p w14:paraId="7E9FEBE5" w14:textId="77777777" w:rsidR="009875F7" w:rsidRPr="00BB7719" w:rsidRDefault="009875F7" w:rsidP="009875F7">
      <w:pPr>
        <w:spacing w:after="0" w:line="240" w:lineRule="auto"/>
        <w:ind w:left="426"/>
        <w:jc w:val="both"/>
        <w:rPr>
          <w:rFonts w:ascii="Cambria" w:eastAsia="Times New Roman" w:hAnsi="Cambria" w:cs="Times New Roman"/>
          <w:color w:val="222222"/>
          <w:sz w:val="20"/>
          <w:szCs w:val="20"/>
          <w:u w:val="single"/>
        </w:rPr>
      </w:pPr>
    </w:p>
    <w:p w14:paraId="6206C629" w14:textId="77777777"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To comply with ICCAT’s objectives, Namibia instituted specific measures:</w:t>
      </w:r>
    </w:p>
    <w:p w14:paraId="1169EF07" w14:textId="77777777" w:rsidR="000308B4" w:rsidRPr="00BB7719" w:rsidRDefault="000308B4" w:rsidP="000308B4">
      <w:pPr>
        <w:pStyle w:val="ListParagraph"/>
        <w:spacing w:after="0" w:line="240" w:lineRule="auto"/>
        <w:jc w:val="both"/>
        <w:rPr>
          <w:rFonts w:ascii="Cambria" w:eastAsia="Times New Roman" w:hAnsi="Cambria" w:cs="Times New Roman"/>
          <w:color w:val="222222"/>
          <w:sz w:val="20"/>
          <w:szCs w:val="20"/>
          <w:u w:val="single"/>
        </w:rPr>
      </w:pPr>
    </w:p>
    <w:p w14:paraId="38ECFA85" w14:textId="048935A0" w:rsidR="000F69EE" w:rsidRPr="00BB7719" w:rsidRDefault="000F69EE" w:rsidP="009875F7">
      <w:pPr>
        <w:numPr>
          <w:ilvl w:val="2"/>
          <w:numId w:val="14"/>
        </w:numPr>
        <w:spacing w:after="0" w:line="240" w:lineRule="auto"/>
        <w:ind w:left="1134" w:hanging="425"/>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All live </w:t>
      </w:r>
      <w:r w:rsidR="00C1239E" w:rsidRPr="00BB7719">
        <w:rPr>
          <w:rFonts w:ascii="Cambria" w:eastAsia="Times New Roman" w:hAnsi="Cambria" w:cs="Times New Roman"/>
          <w:color w:val="222222"/>
          <w:sz w:val="20"/>
          <w:szCs w:val="20"/>
          <w:u w:val="single"/>
        </w:rPr>
        <w:t xml:space="preserve">shortfin mako </w:t>
      </w:r>
      <w:r w:rsidRPr="00BB7719">
        <w:rPr>
          <w:rFonts w:ascii="Cambria" w:eastAsia="Times New Roman" w:hAnsi="Cambria" w:cs="Times New Roman"/>
          <w:color w:val="222222"/>
          <w:sz w:val="20"/>
          <w:szCs w:val="20"/>
          <w:u w:val="single"/>
        </w:rPr>
        <w:t xml:space="preserve">sharks hauled back during fishing operations are released back into the </w:t>
      </w:r>
      <w:proofErr w:type="gramStart"/>
      <w:r w:rsidRPr="00BB7719">
        <w:rPr>
          <w:rFonts w:ascii="Cambria" w:eastAsia="Times New Roman" w:hAnsi="Cambria" w:cs="Times New Roman"/>
          <w:color w:val="222222"/>
          <w:sz w:val="20"/>
          <w:szCs w:val="20"/>
          <w:u w:val="single"/>
        </w:rPr>
        <w:t>sea;</w:t>
      </w:r>
      <w:proofErr w:type="gramEnd"/>
    </w:p>
    <w:p w14:paraId="7653A22B" w14:textId="1EDB0083" w:rsidR="000F69EE" w:rsidRPr="00BB7719" w:rsidRDefault="000F69EE" w:rsidP="009875F7">
      <w:pPr>
        <w:numPr>
          <w:ilvl w:val="2"/>
          <w:numId w:val="14"/>
        </w:numPr>
        <w:spacing w:after="0" w:line="240" w:lineRule="auto"/>
        <w:ind w:left="1134" w:hanging="425"/>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Only dead individuals are retained and landed, in adherence to Namibian anti-discard </w:t>
      </w:r>
      <w:proofErr w:type="gramStart"/>
      <w:r w:rsidRPr="00BB7719">
        <w:rPr>
          <w:rFonts w:ascii="Cambria" w:eastAsia="Times New Roman" w:hAnsi="Cambria" w:cs="Times New Roman"/>
          <w:color w:val="222222"/>
          <w:sz w:val="20"/>
          <w:szCs w:val="20"/>
          <w:u w:val="single"/>
        </w:rPr>
        <w:t>laws</w:t>
      </w:r>
      <w:r w:rsidR="00C1239E" w:rsidRPr="00BB7719">
        <w:rPr>
          <w:rFonts w:ascii="Cambria" w:eastAsia="Times New Roman" w:hAnsi="Cambria" w:cs="Times New Roman"/>
          <w:color w:val="222222"/>
          <w:sz w:val="20"/>
          <w:szCs w:val="20"/>
          <w:u w:val="single"/>
        </w:rPr>
        <w:t>;</w:t>
      </w:r>
      <w:proofErr w:type="gramEnd"/>
    </w:p>
    <w:p w14:paraId="0181545F" w14:textId="277A219E" w:rsidR="000F69EE" w:rsidRPr="00BB7719" w:rsidRDefault="000F69EE" w:rsidP="009875F7">
      <w:pPr>
        <w:numPr>
          <w:ilvl w:val="2"/>
          <w:numId w:val="14"/>
        </w:numPr>
        <w:spacing w:after="0" w:line="240" w:lineRule="auto"/>
        <w:ind w:left="1134" w:hanging="425"/>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Additionally, the vessels licensed by Namibia has been instructed to avoid areas where they encounter higher catches of </w:t>
      </w:r>
      <w:r w:rsidR="00C1239E" w:rsidRPr="00BB7719">
        <w:rPr>
          <w:rFonts w:ascii="Cambria" w:eastAsia="Times New Roman" w:hAnsi="Cambria" w:cs="Times New Roman"/>
          <w:color w:val="222222"/>
          <w:sz w:val="20"/>
          <w:szCs w:val="20"/>
          <w:u w:val="single"/>
        </w:rPr>
        <w:t xml:space="preserve">shortfin </w:t>
      </w:r>
      <w:proofErr w:type="gramStart"/>
      <w:r w:rsidR="00C1239E" w:rsidRPr="00BB7719">
        <w:rPr>
          <w:rFonts w:ascii="Cambria" w:eastAsia="Times New Roman" w:hAnsi="Cambria" w:cs="Times New Roman"/>
          <w:color w:val="222222"/>
          <w:sz w:val="20"/>
          <w:szCs w:val="20"/>
          <w:u w:val="single"/>
        </w:rPr>
        <w:t>mako</w:t>
      </w:r>
      <w:r w:rsidRPr="00BB7719">
        <w:rPr>
          <w:rFonts w:ascii="Cambria" w:eastAsia="Times New Roman" w:hAnsi="Cambria" w:cs="Times New Roman"/>
          <w:color w:val="222222"/>
          <w:sz w:val="20"/>
          <w:szCs w:val="20"/>
          <w:u w:val="single"/>
        </w:rPr>
        <w:t>;</w:t>
      </w:r>
      <w:proofErr w:type="gramEnd"/>
    </w:p>
    <w:p w14:paraId="598E60A8" w14:textId="6DE9ED5C" w:rsidR="000F69EE" w:rsidRPr="00BB7719" w:rsidRDefault="000F69EE" w:rsidP="009875F7">
      <w:pPr>
        <w:numPr>
          <w:ilvl w:val="2"/>
          <w:numId w:val="14"/>
        </w:numPr>
        <w:spacing w:after="0" w:line="240" w:lineRule="auto"/>
        <w:ind w:left="1134" w:hanging="425"/>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It should be noted that these measures were only implemented by Namibia in Jun</w:t>
      </w:r>
      <w:r w:rsidR="00C1239E" w:rsidRPr="00BB7719">
        <w:rPr>
          <w:rFonts w:ascii="Cambria" w:eastAsia="Times New Roman" w:hAnsi="Cambria" w:cs="Times New Roman"/>
          <w:color w:val="222222"/>
          <w:sz w:val="20"/>
          <w:szCs w:val="20"/>
          <w:u w:val="single"/>
        </w:rPr>
        <w:t>e</w:t>
      </w:r>
      <w:r w:rsidRPr="00BB7719">
        <w:rPr>
          <w:rFonts w:ascii="Cambria" w:eastAsia="Times New Roman" w:hAnsi="Cambria" w:cs="Times New Roman"/>
          <w:color w:val="222222"/>
          <w:sz w:val="20"/>
          <w:szCs w:val="20"/>
          <w:u w:val="single"/>
        </w:rPr>
        <w:t>/Jul</w:t>
      </w:r>
      <w:r w:rsidR="00C1239E" w:rsidRPr="00BB7719">
        <w:rPr>
          <w:rFonts w:ascii="Cambria" w:eastAsia="Times New Roman" w:hAnsi="Cambria" w:cs="Times New Roman"/>
          <w:color w:val="222222"/>
          <w:sz w:val="20"/>
          <w:szCs w:val="20"/>
          <w:u w:val="single"/>
        </w:rPr>
        <w:t xml:space="preserve">y </w:t>
      </w:r>
      <w:r w:rsidRPr="00BB7719">
        <w:rPr>
          <w:rFonts w:ascii="Cambria" w:eastAsia="Times New Roman" w:hAnsi="Cambria" w:cs="Times New Roman"/>
          <w:color w:val="222222"/>
          <w:sz w:val="20"/>
          <w:szCs w:val="20"/>
          <w:u w:val="single"/>
        </w:rPr>
        <w:t xml:space="preserve">of 2023, therefore the impact of the measures only reflects half of the reduced catch effort implied by Namibia in </w:t>
      </w:r>
      <w:proofErr w:type="gramStart"/>
      <w:r w:rsidRPr="00BB7719">
        <w:rPr>
          <w:rFonts w:ascii="Cambria" w:eastAsia="Times New Roman" w:hAnsi="Cambria" w:cs="Times New Roman"/>
          <w:color w:val="222222"/>
          <w:sz w:val="20"/>
          <w:szCs w:val="20"/>
          <w:u w:val="single"/>
        </w:rPr>
        <w:t>2023;</w:t>
      </w:r>
      <w:proofErr w:type="gramEnd"/>
    </w:p>
    <w:p w14:paraId="461EE3F3" w14:textId="77777777" w:rsidR="000F69EE" w:rsidRPr="00BB7719" w:rsidRDefault="000F69EE" w:rsidP="009875F7">
      <w:pPr>
        <w:numPr>
          <w:ilvl w:val="2"/>
          <w:numId w:val="14"/>
        </w:numPr>
        <w:spacing w:after="0" w:line="240" w:lineRule="auto"/>
        <w:ind w:left="1134" w:hanging="425"/>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In Namibia, mako shark is more abundant at a higher level (shallower) in the water column than other large pelagic species. As a measure to further reduce our mako catches, our vessels are setting their lines deeper in the water column.</w:t>
      </w:r>
    </w:p>
    <w:p w14:paraId="2FD50E54" w14:textId="77777777" w:rsidR="000308B4" w:rsidRPr="00BB7719" w:rsidRDefault="000308B4" w:rsidP="000308B4">
      <w:pPr>
        <w:spacing w:after="0" w:line="240" w:lineRule="auto"/>
        <w:ind w:left="1134"/>
        <w:jc w:val="both"/>
        <w:rPr>
          <w:rFonts w:ascii="Cambria" w:eastAsia="Times New Roman" w:hAnsi="Cambria" w:cs="Times New Roman"/>
          <w:color w:val="222222"/>
          <w:sz w:val="20"/>
          <w:szCs w:val="20"/>
          <w:u w:val="single"/>
        </w:rPr>
      </w:pPr>
    </w:p>
    <w:p w14:paraId="2A1BBB31" w14:textId="1054D127"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b/>
          <w:bCs/>
          <w:color w:val="222222"/>
          <w:sz w:val="20"/>
          <w:szCs w:val="20"/>
          <w:u w:val="single"/>
        </w:rPr>
        <w:t xml:space="preserve">Figure 2 </w:t>
      </w:r>
      <w:r w:rsidR="000308B4" w:rsidRPr="00BB7719">
        <w:rPr>
          <w:rFonts w:ascii="Cambria" w:eastAsia="Times New Roman" w:hAnsi="Cambria" w:cs="Times New Roman"/>
          <w:b/>
          <w:bCs/>
          <w:color w:val="222222"/>
          <w:sz w:val="20"/>
          <w:szCs w:val="20"/>
          <w:u w:val="single"/>
        </w:rPr>
        <w:t>and</w:t>
      </w:r>
      <w:r w:rsidRPr="00BB7719">
        <w:rPr>
          <w:rFonts w:ascii="Cambria" w:eastAsia="Times New Roman" w:hAnsi="Cambria" w:cs="Times New Roman"/>
          <w:b/>
          <w:bCs/>
          <w:color w:val="222222"/>
          <w:sz w:val="20"/>
          <w:szCs w:val="20"/>
          <w:u w:val="single"/>
        </w:rPr>
        <w:t xml:space="preserve"> 3</w:t>
      </w:r>
      <w:r w:rsidRPr="00BB7719">
        <w:rPr>
          <w:rFonts w:ascii="Cambria" w:eastAsia="Times New Roman" w:hAnsi="Cambria" w:cs="Times New Roman"/>
          <w:color w:val="222222"/>
          <w:sz w:val="20"/>
          <w:szCs w:val="20"/>
          <w:u w:val="single"/>
        </w:rPr>
        <w:t xml:space="preserve"> in this report illustrates that Namibia has made consistent efforts since the adoption of </w:t>
      </w:r>
      <w:r w:rsidR="000308B4" w:rsidRPr="00BB7719">
        <w:rPr>
          <w:rFonts w:ascii="Cambria" w:eastAsia="Times New Roman" w:hAnsi="Cambria" w:cs="Times New Roman"/>
          <w:color w:val="222222"/>
          <w:sz w:val="20"/>
          <w:szCs w:val="20"/>
          <w:u w:val="single"/>
        </w:rPr>
        <w:t>R</w:t>
      </w:r>
      <w:r w:rsidRPr="00BB7719">
        <w:rPr>
          <w:rFonts w:ascii="Cambria" w:eastAsia="Times New Roman" w:hAnsi="Cambria" w:cs="Times New Roman"/>
          <w:color w:val="222222"/>
          <w:sz w:val="20"/>
          <w:szCs w:val="20"/>
          <w:u w:val="single"/>
        </w:rPr>
        <w:t>ec</w:t>
      </w:r>
      <w:r w:rsidR="00D60726" w:rsidRPr="00BB7719">
        <w:rPr>
          <w:rFonts w:ascii="Cambria" w:eastAsia="Times New Roman" w:hAnsi="Cambria" w:cs="Times New Roman"/>
          <w:color w:val="222222"/>
          <w:sz w:val="20"/>
          <w:szCs w:val="20"/>
          <w:u w:val="single"/>
        </w:rPr>
        <w:t xml:space="preserve">. </w:t>
      </w:r>
      <w:r w:rsidRPr="00BB7719">
        <w:rPr>
          <w:rFonts w:ascii="Cambria" w:eastAsia="Times New Roman" w:hAnsi="Cambria" w:cs="Times New Roman"/>
          <w:color w:val="222222"/>
          <w:sz w:val="20"/>
          <w:szCs w:val="20"/>
          <w:u w:val="single"/>
        </w:rPr>
        <w:t xml:space="preserve">22-11 to minimize landings of </w:t>
      </w:r>
      <w:r w:rsidR="00D60726" w:rsidRPr="00BB7719">
        <w:rPr>
          <w:rFonts w:ascii="Cambria" w:eastAsia="Times New Roman" w:hAnsi="Cambria" w:cs="Times New Roman"/>
          <w:color w:val="222222"/>
          <w:sz w:val="20"/>
          <w:szCs w:val="20"/>
          <w:u w:val="single"/>
        </w:rPr>
        <w:t xml:space="preserve">shortfin mako </w:t>
      </w:r>
      <w:r w:rsidRPr="00BB7719">
        <w:rPr>
          <w:rFonts w:ascii="Cambria" w:eastAsia="Times New Roman" w:hAnsi="Cambria" w:cs="Times New Roman"/>
          <w:color w:val="222222"/>
          <w:sz w:val="20"/>
          <w:szCs w:val="20"/>
          <w:u w:val="single"/>
        </w:rPr>
        <w:t>by adhering to this selective retention approach.</w:t>
      </w:r>
    </w:p>
    <w:p w14:paraId="056824CE" w14:textId="77777777" w:rsidR="000308B4" w:rsidRPr="00BB7719" w:rsidRDefault="000308B4" w:rsidP="000308B4">
      <w:pPr>
        <w:pStyle w:val="ListParagraph"/>
        <w:spacing w:after="0" w:line="240" w:lineRule="auto"/>
        <w:jc w:val="both"/>
        <w:rPr>
          <w:rFonts w:ascii="Cambria" w:eastAsia="Times New Roman" w:hAnsi="Cambria" w:cs="Times New Roman"/>
          <w:color w:val="222222"/>
          <w:sz w:val="20"/>
          <w:szCs w:val="20"/>
          <w:u w:val="single"/>
        </w:rPr>
      </w:pPr>
    </w:p>
    <w:p w14:paraId="04E91F72" w14:textId="517D0944" w:rsidR="000F69EE" w:rsidRPr="00BB7719" w:rsidRDefault="000F69EE" w:rsidP="009875F7">
      <w:pPr>
        <w:pStyle w:val="ListParagraph"/>
        <w:numPr>
          <w:ilvl w:val="0"/>
          <w:numId w:val="6"/>
        </w:num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The catch data clearly indicates that the measures that </w:t>
      </w:r>
      <w:r w:rsidR="00D60726" w:rsidRPr="00BB7719">
        <w:rPr>
          <w:rFonts w:ascii="Cambria" w:eastAsia="Times New Roman" w:hAnsi="Cambria" w:cs="Times New Roman"/>
          <w:color w:val="222222"/>
          <w:sz w:val="20"/>
          <w:szCs w:val="20"/>
          <w:u w:val="single"/>
        </w:rPr>
        <w:t>were</w:t>
      </w:r>
      <w:r w:rsidRPr="00BB7719">
        <w:rPr>
          <w:rFonts w:ascii="Cambria" w:eastAsia="Times New Roman" w:hAnsi="Cambria" w:cs="Times New Roman"/>
          <w:color w:val="222222"/>
          <w:sz w:val="20"/>
          <w:szCs w:val="20"/>
          <w:u w:val="single"/>
        </w:rPr>
        <w:t xml:space="preserve"> put into place </w:t>
      </w:r>
      <w:r w:rsidR="00915D75" w:rsidRPr="00BB7719">
        <w:rPr>
          <w:rFonts w:ascii="Cambria" w:eastAsia="Times New Roman" w:hAnsi="Cambria" w:cs="Times New Roman"/>
          <w:color w:val="222222"/>
          <w:sz w:val="20"/>
          <w:szCs w:val="20"/>
          <w:u w:val="single"/>
        </w:rPr>
        <w:t>have</w:t>
      </w:r>
      <w:r w:rsidRPr="00BB7719">
        <w:rPr>
          <w:rFonts w:ascii="Cambria" w:eastAsia="Times New Roman" w:hAnsi="Cambria" w:cs="Times New Roman"/>
          <w:color w:val="222222"/>
          <w:sz w:val="20"/>
          <w:szCs w:val="20"/>
          <w:u w:val="single"/>
        </w:rPr>
        <w:t xml:space="preserve"> shown a considerable decrease in landings. The landings for 2024 have decreased by 68% from the 2022 catches and 53% from the 2023 catches to 2024 catches. </w:t>
      </w:r>
    </w:p>
    <w:p w14:paraId="175A1CC9" w14:textId="77777777" w:rsidR="000F69EE" w:rsidRPr="00BB7719" w:rsidRDefault="000F69EE" w:rsidP="000F69EE">
      <w:pPr>
        <w:spacing w:after="0" w:line="240" w:lineRule="auto"/>
        <w:ind w:left="1440"/>
        <w:jc w:val="both"/>
        <w:rPr>
          <w:rFonts w:ascii="Cambria" w:eastAsia="Times New Roman" w:hAnsi="Cambria" w:cs="Times New Roman"/>
          <w:color w:val="222222"/>
          <w:sz w:val="20"/>
          <w:szCs w:val="20"/>
          <w:u w:val="single"/>
        </w:rPr>
      </w:pPr>
    </w:p>
    <w:p w14:paraId="77EDA363" w14:textId="1B1FF1FD" w:rsidR="000F69EE" w:rsidRPr="00BB7719" w:rsidRDefault="000F69EE" w:rsidP="000F69EE">
      <w:p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b/>
          <w:bCs/>
          <w:color w:val="222222"/>
          <w:sz w:val="20"/>
          <w:szCs w:val="20"/>
          <w:u w:val="single"/>
        </w:rPr>
        <w:t>Figure 2</w:t>
      </w:r>
      <w:r w:rsidR="00915D75" w:rsidRPr="00BB7719">
        <w:rPr>
          <w:rFonts w:ascii="Cambria" w:eastAsia="Times New Roman" w:hAnsi="Cambria" w:cs="Times New Roman"/>
          <w:b/>
          <w:bCs/>
          <w:color w:val="222222"/>
          <w:sz w:val="20"/>
          <w:szCs w:val="20"/>
          <w:u w:val="single"/>
        </w:rPr>
        <w:t xml:space="preserve">. </w:t>
      </w:r>
      <w:r w:rsidR="00915D75" w:rsidRPr="00BB7719">
        <w:rPr>
          <w:rFonts w:ascii="Cambria" w:eastAsia="Times New Roman" w:hAnsi="Cambria" w:cs="Times New Roman"/>
          <w:color w:val="222222"/>
          <w:sz w:val="20"/>
          <w:szCs w:val="20"/>
          <w:u w:val="single"/>
        </w:rPr>
        <w:t xml:space="preserve">Namibia’s </w:t>
      </w:r>
      <w:r w:rsidR="00322EFD" w:rsidRPr="00BB7719">
        <w:rPr>
          <w:rFonts w:ascii="Cambria" w:eastAsia="Times New Roman" w:hAnsi="Cambria" w:cs="Times New Roman"/>
          <w:color w:val="222222"/>
          <w:sz w:val="20"/>
          <w:szCs w:val="20"/>
          <w:u w:val="single"/>
        </w:rPr>
        <w:t>landing data</w:t>
      </w:r>
      <w:r w:rsidR="00915D75" w:rsidRPr="00BB7719">
        <w:rPr>
          <w:rFonts w:ascii="Cambria" w:eastAsia="Times New Roman" w:hAnsi="Cambria" w:cs="Times New Roman"/>
          <w:color w:val="222222"/>
          <w:sz w:val="20"/>
          <w:szCs w:val="20"/>
          <w:u w:val="single"/>
        </w:rPr>
        <w:t xml:space="preserve"> (2012-2024) in tons</w:t>
      </w:r>
      <w:r w:rsidR="00D714D7" w:rsidRPr="00BB7719">
        <w:rPr>
          <w:rFonts w:ascii="Cambria" w:eastAsia="Times New Roman" w:hAnsi="Cambria" w:cs="Times New Roman"/>
          <w:color w:val="222222"/>
          <w:sz w:val="20"/>
          <w:szCs w:val="20"/>
          <w:u w:val="single"/>
        </w:rPr>
        <w:t xml:space="preserve"> [COC_304_TRI/2025]</w:t>
      </w:r>
      <w:r w:rsidR="00915D75" w:rsidRPr="00BB7719">
        <w:rPr>
          <w:rFonts w:ascii="Cambria" w:eastAsia="Times New Roman" w:hAnsi="Cambria" w:cs="Times New Roman"/>
          <w:color w:val="222222"/>
          <w:sz w:val="20"/>
          <w:szCs w:val="20"/>
          <w:u w:val="single"/>
        </w:rPr>
        <w:t>.</w:t>
      </w:r>
    </w:p>
    <w:tbl>
      <w:tblPr>
        <w:tblStyle w:val="TableGrid"/>
        <w:tblW w:w="5000" w:type="pct"/>
        <w:jc w:val="center"/>
        <w:tblLook w:val="04A0" w:firstRow="1" w:lastRow="0" w:firstColumn="1" w:lastColumn="0" w:noHBand="0" w:noVBand="1"/>
      </w:tblPr>
      <w:tblGrid>
        <w:gridCol w:w="595"/>
        <w:gridCol w:w="642"/>
        <w:gridCol w:w="642"/>
        <w:gridCol w:w="643"/>
        <w:gridCol w:w="643"/>
        <w:gridCol w:w="643"/>
        <w:gridCol w:w="643"/>
        <w:gridCol w:w="643"/>
        <w:gridCol w:w="643"/>
        <w:gridCol w:w="643"/>
        <w:gridCol w:w="643"/>
        <w:gridCol w:w="643"/>
        <w:gridCol w:w="643"/>
        <w:gridCol w:w="752"/>
      </w:tblGrid>
      <w:tr w:rsidR="000F69EE" w:rsidRPr="00BB7719" w14:paraId="55889798" w14:textId="77777777" w:rsidTr="00515C83">
        <w:trPr>
          <w:trHeight w:val="211"/>
          <w:jc w:val="center"/>
        </w:trPr>
        <w:tc>
          <w:tcPr>
            <w:tcW w:w="299" w:type="pct"/>
            <w:tcBorders>
              <w:top w:val="single" w:sz="4" w:space="0" w:color="auto"/>
              <w:left w:val="single" w:sz="4" w:space="0" w:color="auto"/>
              <w:bottom w:val="single" w:sz="4" w:space="0" w:color="auto"/>
              <w:right w:val="single" w:sz="4" w:space="0" w:color="auto"/>
            </w:tcBorders>
            <w:hideMark/>
          </w:tcPr>
          <w:p w14:paraId="72A1FBA2" w14:textId="77777777" w:rsidR="000F69EE" w:rsidRPr="00BB7719" w:rsidRDefault="000F69EE" w:rsidP="000F69EE">
            <w:pPr>
              <w:jc w:val="both"/>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CPC</w:t>
            </w:r>
          </w:p>
        </w:tc>
        <w:tc>
          <w:tcPr>
            <w:tcW w:w="362" w:type="pct"/>
            <w:tcBorders>
              <w:top w:val="single" w:sz="4" w:space="0" w:color="auto"/>
              <w:left w:val="single" w:sz="4" w:space="0" w:color="auto"/>
              <w:bottom w:val="single" w:sz="4" w:space="0" w:color="auto"/>
              <w:right w:val="single" w:sz="4" w:space="0" w:color="auto"/>
            </w:tcBorders>
            <w:hideMark/>
          </w:tcPr>
          <w:p w14:paraId="4B3F5AA1"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2012</w:t>
            </w:r>
          </w:p>
        </w:tc>
        <w:tc>
          <w:tcPr>
            <w:tcW w:w="362" w:type="pct"/>
            <w:tcBorders>
              <w:top w:val="single" w:sz="4" w:space="0" w:color="auto"/>
              <w:left w:val="single" w:sz="4" w:space="0" w:color="auto"/>
              <w:bottom w:val="single" w:sz="4" w:space="0" w:color="auto"/>
              <w:right w:val="single" w:sz="4" w:space="0" w:color="auto"/>
            </w:tcBorders>
            <w:hideMark/>
          </w:tcPr>
          <w:p w14:paraId="5884B82A"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2013</w:t>
            </w:r>
          </w:p>
        </w:tc>
        <w:tc>
          <w:tcPr>
            <w:tcW w:w="362" w:type="pct"/>
            <w:tcBorders>
              <w:top w:val="single" w:sz="4" w:space="0" w:color="auto"/>
              <w:left w:val="single" w:sz="4" w:space="0" w:color="auto"/>
              <w:bottom w:val="single" w:sz="4" w:space="0" w:color="auto"/>
              <w:right w:val="single" w:sz="4" w:space="0" w:color="auto"/>
            </w:tcBorders>
            <w:hideMark/>
          </w:tcPr>
          <w:p w14:paraId="769A0FC0"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2014</w:t>
            </w:r>
          </w:p>
        </w:tc>
        <w:tc>
          <w:tcPr>
            <w:tcW w:w="362" w:type="pct"/>
            <w:tcBorders>
              <w:top w:val="single" w:sz="4" w:space="0" w:color="auto"/>
              <w:left w:val="single" w:sz="4" w:space="0" w:color="auto"/>
              <w:bottom w:val="single" w:sz="4" w:space="0" w:color="auto"/>
              <w:right w:val="single" w:sz="4" w:space="0" w:color="auto"/>
            </w:tcBorders>
            <w:hideMark/>
          </w:tcPr>
          <w:p w14:paraId="0F5B398E"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2015</w:t>
            </w:r>
          </w:p>
        </w:tc>
        <w:tc>
          <w:tcPr>
            <w:tcW w:w="362" w:type="pct"/>
            <w:tcBorders>
              <w:top w:val="single" w:sz="4" w:space="0" w:color="auto"/>
              <w:left w:val="single" w:sz="4" w:space="0" w:color="auto"/>
              <w:bottom w:val="single" w:sz="4" w:space="0" w:color="auto"/>
              <w:right w:val="single" w:sz="4" w:space="0" w:color="auto"/>
            </w:tcBorders>
            <w:hideMark/>
          </w:tcPr>
          <w:p w14:paraId="39BBB95A"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2016</w:t>
            </w:r>
          </w:p>
        </w:tc>
        <w:tc>
          <w:tcPr>
            <w:tcW w:w="362" w:type="pct"/>
            <w:tcBorders>
              <w:top w:val="single" w:sz="4" w:space="0" w:color="auto"/>
              <w:left w:val="single" w:sz="4" w:space="0" w:color="auto"/>
              <w:bottom w:val="single" w:sz="4" w:space="0" w:color="auto"/>
              <w:right w:val="single" w:sz="4" w:space="0" w:color="auto"/>
            </w:tcBorders>
            <w:hideMark/>
          </w:tcPr>
          <w:p w14:paraId="71C29772"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2017</w:t>
            </w:r>
          </w:p>
        </w:tc>
        <w:tc>
          <w:tcPr>
            <w:tcW w:w="362" w:type="pct"/>
            <w:tcBorders>
              <w:top w:val="single" w:sz="4" w:space="0" w:color="auto"/>
              <w:left w:val="single" w:sz="4" w:space="0" w:color="auto"/>
              <w:bottom w:val="single" w:sz="4" w:space="0" w:color="auto"/>
              <w:right w:val="single" w:sz="4" w:space="0" w:color="auto"/>
            </w:tcBorders>
            <w:hideMark/>
          </w:tcPr>
          <w:p w14:paraId="5138E3E1"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2018</w:t>
            </w:r>
          </w:p>
        </w:tc>
        <w:tc>
          <w:tcPr>
            <w:tcW w:w="362" w:type="pct"/>
            <w:tcBorders>
              <w:top w:val="single" w:sz="4" w:space="0" w:color="auto"/>
              <w:left w:val="single" w:sz="4" w:space="0" w:color="auto"/>
              <w:bottom w:val="single" w:sz="4" w:space="0" w:color="auto"/>
              <w:right w:val="single" w:sz="4" w:space="0" w:color="auto"/>
            </w:tcBorders>
            <w:hideMark/>
          </w:tcPr>
          <w:p w14:paraId="0E8B0522"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2019</w:t>
            </w:r>
          </w:p>
        </w:tc>
        <w:tc>
          <w:tcPr>
            <w:tcW w:w="362" w:type="pct"/>
            <w:tcBorders>
              <w:top w:val="single" w:sz="4" w:space="0" w:color="auto"/>
              <w:left w:val="single" w:sz="4" w:space="0" w:color="auto"/>
              <w:bottom w:val="single" w:sz="4" w:space="0" w:color="auto"/>
              <w:right w:val="single" w:sz="4" w:space="0" w:color="auto"/>
            </w:tcBorders>
            <w:hideMark/>
          </w:tcPr>
          <w:p w14:paraId="0650AD64"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2020</w:t>
            </w:r>
          </w:p>
        </w:tc>
        <w:tc>
          <w:tcPr>
            <w:tcW w:w="362" w:type="pct"/>
            <w:tcBorders>
              <w:top w:val="single" w:sz="4" w:space="0" w:color="auto"/>
              <w:left w:val="single" w:sz="4" w:space="0" w:color="auto"/>
              <w:bottom w:val="single" w:sz="4" w:space="0" w:color="auto"/>
              <w:right w:val="single" w:sz="4" w:space="0" w:color="auto"/>
            </w:tcBorders>
            <w:hideMark/>
          </w:tcPr>
          <w:p w14:paraId="6018861B"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2021</w:t>
            </w:r>
          </w:p>
        </w:tc>
        <w:tc>
          <w:tcPr>
            <w:tcW w:w="362" w:type="pct"/>
            <w:tcBorders>
              <w:top w:val="single" w:sz="4" w:space="0" w:color="auto"/>
              <w:left w:val="single" w:sz="4" w:space="0" w:color="auto"/>
              <w:bottom w:val="single" w:sz="4" w:space="0" w:color="auto"/>
              <w:right w:val="single" w:sz="4" w:space="0" w:color="auto"/>
            </w:tcBorders>
            <w:hideMark/>
          </w:tcPr>
          <w:p w14:paraId="27DD9D2A"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2022</w:t>
            </w:r>
          </w:p>
        </w:tc>
        <w:tc>
          <w:tcPr>
            <w:tcW w:w="362" w:type="pct"/>
            <w:tcBorders>
              <w:top w:val="single" w:sz="4" w:space="0" w:color="auto"/>
              <w:left w:val="single" w:sz="4" w:space="0" w:color="auto"/>
              <w:bottom w:val="single" w:sz="4" w:space="0" w:color="auto"/>
              <w:right w:val="single" w:sz="4" w:space="0" w:color="auto"/>
            </w:tcBorders>
            <w:hideMark/>
          </w:tcPr>
          <w:p w14:paraId="7BE3288C"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2023</w:t>
            </w:r>
          </w:p>
        </w:tc>
        <w:tc>
          <w:tcPr>
            <w:tcW w:w="362" w:type="pct"/>
            <w:tcBorders>
              <w:top w:val="single" w:sz="4" w:space="0" w:color="auto"/>
              <w:left w:val="single" w:sz="4" w:space="0" w:color="auto"/>
              <w:bottom w:val="single" w:sz="4" w:space="0" w:color="auto"/>
              <w:right w:val="single" w:sz="4" w:space="0" w:color="auto"/>
            </w:tcBorders>
            <w:hideMark/>
          </w:tcPr>
          <w:p w14:paraId="54979053"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2024</w:t>
            </w:r>
          </w:p>
        </w:tc>
      </w:tr>
      <w:tr w:rsidR="000F69EE" w:rsidRPr="00BB7719" w14:paraId="55230054" w14:textId="77777777" w:rsidTr="00515C83">
        <w:trPr>
          <w:trHeight w:val="211"/>
          <w:jc w:val="center"/>
        </w:trPr>
        <w:tc>
          <w:tcPr>
            <w:tcW w:w="299" w:type="pct"/>
            <w:tcBorders>
              <w:top w:val="single" w:sz="4" w:space="0" w:color="auto"/>
              <w:left w:val="single" w:sz="4" w:space="0" w:color="auto"/>
              <w:bottom w:val="single" w:sz="4" w:space="0" w:color="auto"/>
              <w:right w:val="single" w:sz="4" w:space="0" w:color="auto"/>
            </w:tcBorders>
            <w:hideMark/>
          </w:tcPr>
          <w:p w14:paraId="742C7B15" w14:textId="77777777" w:rsidR="000F69EE" w:rsidRPr="00BB7719" w:rsidRDefault="000F69EE" w:rsidP="000F69EE">
            <w:pPr>
              <w:jc w:val="both"/>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NAM</w:t>
            </w:r>
          </w:p>
        </w:tc>
        <w:tc>
          <w:tcPr>
            <w:tcW w:w="362" w:type="pct"/>
            <w:tcBorders>
              <w:top w:val="single" w:sz="4" w:space="0" w:color="auto"/>
              <w:left w:val="single" w:sz="4" w:space="0" w:color="auto"/>
              <w:bottom w:val="single" w:sz="4" w:space="0" w:color="auto"/>
              <w:right w:val="single" w:sz="4" w:space="0" w:color="auto"/>
            </w:tcBorders>
            <w:hideMark/>
          </w:tcPr>
          <w:p w14:paraId="697ABECD"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586</w:t>
            </w:r>
          </w:p>
        </w:tc>
        <w:tc>
          <w:tcPr>
            <w:tcW w:w="362" w:type="pct"/>
            <w:tcBorders>
              <w:top w:val="single" w:sz="4" w:space="0" w:color="auto"/>
              <w:left w:val="single" w:sz="4" w:space="0" w:color="auto"/>
              <w:bottom w:val="single" w:sz="4" w:space="0" w:color="auto"/>
              <w:right w:val="single" w:sz="4" w:space="0" w:color="auto"/>
            </w:tcBorders>
            <w:hideMark/>
          </w:tcPr>
          <w:p w14:paraId="24F6A726"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9</w:t>
            </w:r>
          </w:p>
        </w:tc>
        <w:tc>
          <w:tcPr>
            <w:tcW w:w="362" w:type="pct"/>
            <w:tcBorders>
              <w:top w:val="single" w:sz="4" w:space="0" w:color="auto"/>
              <w:left w:val="single" w:sz="4" w:space="0" w:color="auto"/>
              <w:bottom w:val="single" w:sz="4" w:space="0" w:color="auto"/>
              <w:right w:val="single" w:sz="4" w:space="0" w:color="auto"/>
            </w:tcBorders>
            <w:hideMark/>
          </w:tcPr>
          <w:p w14:paraId="25772D21"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950</w:t>
            </w:r>
          </w:p>
        </w:tc>
        <w:tc>
          <w:tcPr>
            <w:tcW w:w="362" w:type="pct"/>
            <w:tcBorders>
              <w:top w:val="single" w:sz="4" w:space="0" w:color="auto"/>
              <w:left w:val="single" w:sz="4" w:space="0" w:color="auto"/>
              <w:bottom w:val="single" w:sz="4" w:space="0" w:color="auto"/>
              <w:right w:val="single" w:sz="4" w:space="0" w:color="auto"/>
            </w:tcBorders>
            <w:hideMark/>
          </w:tcPr>
          <w:p w14:paraId="680B1A09"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661</w:t>
            </w:r>
          </w:p>
        </w:tc>
        <w:tc>
          <w:tcPr>
            <w:tcW w:w="362" w:type="pct"/>
            <w:tcBorders>
              <w:top w:val="single" w:sz="4" w:space="0" w:color="auto"/>
              <w:left w:val="single" w:sz="4" w:space="0" w:color="auto"/>
              <w:bottom w:val="single" w:sz="4" w:space="0" w:color="auto"/>
              <w:right w:val="single" w:sz="4" w:space="0" w:color="auto"/>
            </w:tcBorders>
            <w:hideMark/>
          </w:tcPr>
          <w:p w14:paraId="0CF2BD50"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799</w:t>
            </w:r>
          </w:p>
        </w:tc>
        <w:tc>
          <w:tcPr>
            <w:tcW w:w="362" w:type="pct"/>
            <w:tcBorders>
              <w:top w:val="single" w:sz="4" w:space="0" w:color="auto"/>
              <w:left w:val="single" w:sz="4" w:space="0" w:color="auto"/>
              <w:bottom w:val="single" w:sz="4" w:space="0" w:color="auto"/>
              <w:right w:val="single" w:sz="4" w:space="0" w:color="auto"/>
            </w:tcBorders>
            <w:hideMark/>
          </w:tcPr>
          <w:p w14:paraId="57556B12"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194</w:t>
            </w:r>
          </w:p>
        </w:tc>
        <w:tc>
          <w:tcPr>
            <w:tcW w:w="362" w:type="pct"/>
            <w:tcBorders>
              <w:top w:val="single" w:sz="4" w:space="0" w:color="auto"/>
              <w:left w:val="single" w:sz="4" w:space="0" w:color="auto"/>
              <w:bottom w:val="single" w:sz="4" w:space="0" w:color="auto"/>
              <w:right w:val="single" w:sz="4" w:space="0" w:color="auto"/>
            </w:tcBorders>
            <w:hideMark/>
          </w:tcPr>
          <w:p w14:paraId="02F9768C"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980</w:t>
            </w:r>
          </w:p>
        </w:tc>
        <w:tc>
          <w:tcPr>
            <w:tcW w:w="362" w:type="pct"/>
            <w:tcBorders>
              <w:top w:val="single" w:sz="4" w:space="0" w:color="auto"/>
              <w:left w:val="single" w:sz="4" w:space="0" w:color="auto"/>
              <w:bottom w:val="single" w:sz="4" w:space="0" w:color="auto"/>
              <w:right w:val="single" w:sz="4" w:space="0" w:color="auto"/>
            </w:tcBorders>
            <w:hideMark/>
          </w:tcPr>
          <w:p w14:paraId="374586A4"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0</w:t>
            </w:r>
          </w:p>
        </w:tc>
        <w:tc>
          <w:tcPr>
            <w:tcW w:w="362" w:type="pct"/>
            <w:tcBorders>
              <w:top w:val="single" w:sz="4" w:space="0" w:color="auto"/>
              <w:left w:val="single" w:sz="4" w:space="0" w:color="auto"/>
              <w:bottom w:val="single" w:sz="4" w:space="0" w:color="auto"/>
              <w:right w:val="single" w:sz="4" w:space="0" w:color="auto"/>
            </w:tcBorders>
            <w:hideMark/>
          </w:tcPr>
          <w:p w14:paraId="014B1AC0"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945</w:t>
            </w:r>
          </w:p>
        </w:tc>
        <w:tc>
          <w:tcPr>
            <w:tcW w:w="362" w:type="pct"/>
            <w:tcBorders>
              <w:top w:val="single" w:sz="4" w:space="0" w:color="auto"/>
              <w:left w:val="single" w:sz="4" w:space="0" w:color="auto"/>
              <w:bottom w:val="single" w:sz="4" w:space="0" w:color="auto"/>
              <w:right w:val="single" w:sz="4" w:space="0" w:color="auto"/>
            </w:tcBorders>
            <w:hideMark/>
          </w:tcPr>
          <w:p w14:paraId="394DE1B6"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637</w:t>
            </w:r>
          </w:p>
        </w:tc>
        <w:tc>
          <w:tcPr>
            <w:tcW w:w="362" w:type="pct"/>
            <w:tcBorders>
              <w:top w:val="single" w:sz="4" w:space="0" w:color="auto"/>
              <w:left w:val="single" w:sz="4" w:space="0" w:color="auto"/>
              <w:bottom w:val="single" w:sz="4" w:space="0" w:color="auto"/>
              <w:right w:val="single" w:sz="4" w:space="0" w:color="auto"/>
            </w:tcBorders>
            <w:hideMark/>
          </w:tcPr>
          <w:p w14:paraId="7BD8D22A"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789</w:t>
            </w:r>
          </w:p>
        </w:tc>
        <w:tc>
          <w:tcPr>
            <w:tcW w:w="362" w:type="pct"/>
            <w:tcBorders>
              <w:top w:val="single" w:sz="4" w:space="0" w:color="auto"/>
              <w:left w:val="single" w:sz="4" w:space="0" w:color="auto"/>
              <w:bottom w:val="single" w:sz="4" w:space="0" w:color="auto"/>
              <w:right w:val="single" w:sz="4" w:space="0" w:color="auto"/>
            </w:tcBorders>
            <w:hideMark/>
          </w:tcPr>
          <w:p w14:paraId="480392C3"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522</w:t>
            </w:r>
          </w:p>
        </w:tc>
        <w:tc>
          <w:tcPr>
            <w:tcW w:w="362" w:type="pct"/>
            <w:tcBorders>
              <w:top w:val="single" w:sz="4" w:space="0" w:color="auto"/>
              <w:left w:val="single" w:sz="4" w:space="0" w:color="auto"/>
              <w:bottom w:val="single" w:sz="4" w:space="0" w:color="auto"/>
              <w:right w:val="single" w:sz="4" w:space="0" w:color="auto"/>
            </w:tcBorders>
            <w:hideMark/>
          </w:tcPr>
          <w:p w14:paraId="4C222645"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250.88</w:t>
            </w:r>
          </w:p>
        </w:tc>
      </w:tr>
      <w:tr w:rsidR="000F69EE" w:rsidRPr="00BB7719" w14:paraId="1B351090" w14:textId="77777777" w:rsidTr="00515C83">
        <w:trPr>
          <w:trHeight w:val="211"/>
          <w:jc w:val="center"/>
        </w:trPr>
        <w:tc>
          <w:tcPr>
            <w:tcW w:w="299" w:type="pct"/>
            <w:tcBorders>
              <w:top w:val="single" w:sz="4" w:space="0" w:color="auto"/>
              <w:left w:val="single" w:sz="4" w:space="0" w:color="auto"/>
              <w:bottom w:val="single" w:sz="4" w:space="0" w:color="auto"/>
              <w:right w:val="single" w:sz="4" w:space="0" w:color="auto"/>
            </w:tcBorders>
          </w:tcPr>
          <w:p w14:paraId="3AD0797F"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6AD1D4F3"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0EE369FD"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4565BE31"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6B3E28E0"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4AB319BA"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53EED441"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0C5199BC"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318365CA"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18E4BB78"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19F8B034"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748C8AE9"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4EBA0C8C"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362" w:type="pct"/>
            <w:tcBorders>
              <w:top w:val="single" w:sz="4" w:space="0" w:color="auto"/>
              <w:left w:val="single" w:sz="4" w:space="0" w:color="auto"/>
              <w:bottom w:val="single" w:sz="4" w:space="0" w:color="auto"/>
              <w:right w:val="single" w:sz="4" w:space="0" w:color="auto"/>
            </w:tcBorders>
          </w:tcPr>
          <w:p w14:paraId="52803318" w14:textId="77777777" w:rsidR="000F69EE" w:rsidRPr="00BB7719" w:rsidRDefault="000F69EE" w:rsidP="000F69EE">
            <w:pPr>
              <w:jc w:val="both"/>
              <w:rPr>
                <w:rFonts w:ascii="Cambria" w:eastAsia="Times New Roman" w:hAnsi="Cambria" w:cs="Times New Roman"/>
                <w:b/>
                <w:bCs/>
                <w:color w:val="222222"/>
                <w:sz w:val="18"/>
                <w:szCs w:val="18"/>
                <w:u w:val="single"/>
              </w:rPr>
            </w:pPr>
          </w:p>
        </w:tc>
      </w:tr>
    </w:tbl>
    <w:p w14:paraId="5DC92CEB" w14:textId="77777777" w:rsidR="000F69EE" w:rsidRPr="00BB7719" w:rsidRDefault="000F69EE" w:rsidP="000F69EE">
      <w:pPr>
        <w:spacing w:after="0" w:line="240" w:lineRule="auto"/>
        <w:jc w:val="both"/>
        <w:rPr>
          <w:rFonts w:ascii="Cambria" w:eastAsia="Times New Roman" w:hAnsi="Cambria" w:cs="Times New Roman"/>
          <w:b/>
          <w:bCs/>
          <w:color w:val="222222"/>
          <w:sz w:val="20"/>
          <w:szCs w:val="20"/>
          <w:u w:val="single"/>
        </w:rPr>
      </w:pPr>
    </w:p>
    <w:p w14:paraId="09CD0D97" w14:textId="55304008" w:rsidR="000F69EE" w:rsidRPr="00BB7719" w:rsidRDefault="000F69EE" w:rsidP="000F69EE">
      <w:pPr>
        <w:spacing w:after="0" w:line="240" w:lineRule="auto"/>
        <w:jc w:val="both"/>
        <w:rPr>
          <w:rFonts w:ascii="Cambria" w:eastAsia="Times New Roman" w:hAnsi="Cambria" w:cs="Times New Roman"/>
          <w:b/>
          <w:bCs/>
          <w:color w:val="222222"/>
          <w:sz w:val="20"/>
          <w:szCs w:val="20"/>
          <w:u w:val="single"/>
        </w:rPr>
      </w:pPr>
      <w:r w:rsidRPr="00BB7719">
        <w:rPr>
          <w:rFonts w:ascii="Cambria" w:eastAsia="Times New Roman" w:hAnsi="Cambria" w:cs="Times New Roman"/>
          <w:b/>
          <w:bCs/>
          <w:color w:val="222222"/>
          <w:sz w:val="20"/>
          <w:szCs w:val="20"/>
          <w:u w:val="single"/>
        </w:rPr>
        <w:t>Figure 3</w:t>
      </w:r>
      <w:r w:rsidR="00D714D7" w:rsidRPr="00BB7719">
        <w:rPr>
          <w:rFonts w:ascii="Cambria" w:eastAsia="Times New Roman" w:hAnsi="Cambria" w:cs="Times New Roman"/>
          <w:b/>
          <w:bCs/>
          <w:color w:val="222222"/>
          <w:sz w:val="20"/>
          <w:szCs w:val="20"/>
          <w:u w:val="single"/>
        </w:rPr>
        <w:t xml:space="preserve">. </w:t>
      </w:r>
      <w:r w:rsidR="00D714D7" w:rsidRPr="00BB7719">
        <w:rPr>
          <w:rFonts w:ascii="Cambria" w:eastAsia="Times New Roman" w:hAnsi="Cambria" w:cs="Times New Roman"/>
          <w:color w:val="222222"/>
          <w:sz w:val="20"/>
          <w:szCs w:val="20"/>
          <w:u w:val="single"/>
        </w:rPr>
        <w:t xml:space="preserve">Namibia’s </w:t>
      </w:r>
      <w:r w:rsidR="007E2E91" w:rsidRPr="00BB7719">
        <w:rPr>
          <w:rFonts w:ascii="Cambria" w:eastAsia="Times New Roman" w:hAnsi="Cambria" w:cs="Times New Roman"/>
          <w:color w:val="222222"/>
          <w:sz w:val="20"/>
          <w:szCs w:val="20"/>
          <w:u w:val="single"/>
        </w:rPr>
        <w:t xml:space="preserve">live releases data </w:t>
      </w:r>
      <w:r w:rsidR="00D714D7" w:rsidRPr="00BB7719">
        <w:rPr>
          <w:rFonts w:ascii="Cambria" w:eastAsia="Times New Roman" w:hAnsi="Cambria" w:cs="Times New Roman"/>
          <w:color w:val="222222"/>
          <w:sz w:val="20"/>
          <w:szCs w:val="20"/>
          <w:u w:val="single"/>
        </w:rPr>
        <w:t>(2019-2025) in tons.</w:t>
      </w:r>
    </w:p>
    <w:tbl>
      <w:tblPr>
        <w:tblStyle w:val="TableGrid"/>
        <w:tblW w:w="5000" w:type="pct"/>
        <w:tblLook w:val="04A0" w:firstRow="1" w:lastRow="0" w:firstColumn="1" w:lastColumn="0" w:noHBand="0" w:noVBand="1"/>
      </w:tblPr>
      <w:tblGrid>
        <w:gridCol w:w="1056"/>
        <w:gridCol w:w="1063"/>
        <w:gridCol w:w="1063"/>
        <w:gridCol w:w="1062"/>
        <w:gridCol w:w="1062"/>
        <w:gridCol w:w="1131"/>
        <w:gridCol w:w="1312"/>
        <w:gridCol w:w="1312"/>
      </w:tblGrid>
      <w:tr w:rsidR="000F69EE" w:rsidRPr="00BB7719" w14:paraId="329ED912" w14:textId="77777777" w:rsidTr="00515C83">
        <w:tc>
          <w:tcPr>
            <w:tcW w:w="582" w:type="pct"/>
            <w:tcBorders>
              <w:top w:val="single" w:sz="4" w:space="0" w:color="auto"/>
              <w:left w:val="single" w:sz="4" w:space="0" w:color="auto"/>
              <w:bottom w:val="single" w:sz="4" w:space="0" w:color="auto"/>
              <w:right w:val="single" w:sz="4" w:space="0" w:color="auto"/>
            </w:tcBorders>
            <w:hideMark/>
          </w:tcPr>
          <w:p w14:paraId="1A8F01A5" w14:textId="77777777" w:rsidR="000F69EE" w:rsidRPr="00BB7719" w:rsidRDefault="000F69EE" w:rsidP="000F69EE">
            <w:pPr>
              <w:jc w:val="both"/>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CPC</w:t>
            </w:r>
          </w:p>
        </w:tc>
        <w:tc>
          <w:tcPr>
            <w:tcW w:w="586" w:type="pct"/>
            <w:tcBorders>
              <w:top w:val="single" w:sz="4" w:space="0" w:color="auto"/>
              <w:left w:val="single" w:sz="4" w:space="0" w:color="auto"/>
              <w:bottom w:val="single" w:sz="4" w:space="0" w:color="auto"/>
              <w:right w:val="single" w:sz="4" w:space="0" w:color="auto"/>
            </w:tcBorders>
            <w:hideMark/>
          </w:tcPr>
          <w:p w14:paraId="7B3EDBB9"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2019</w:t>
            </w:r>
          </w:p>
        </w:tc>
        <w:tc>
          <w:tcPr>
            <w:tcW w:w="586" w:type="pct"/>
            <w:tcBorders>
              <w:top w:val="single" w:sz="4" w:space="0" w:color="auto"/>
              <w:left w:val="single" w:sz="4" w:space="0" w:color="auto"/>
              <w:bottom w:val="single" w:sz="4" w:space="0" w:color="auto"/>
              <w:right w:val="single" w:sz="4" w:space="0" w:color="auto"/>
            </w:tcBorders>
            <w:hideMark/>
          </w:tcPr>
          <w:p w14:paraId="35803EAB"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2020</w:t>
            </w:r>
          </w:p>
        </w:tc>
        <w:tc>
          <w:tcPr>
            <w:tcW w:w="586" w:type="pct"/>
            <w:tcBorders>
              <w:top w:val="single" w:sz="4" w:space="0" w:color="auto"/>
              <w:left w:val="single" w:sz="4" w:space="0" w:color="auto"/>
              <w:bottom w:val="single" w:sz="4" w:space="0" w:color="auto"/>
              <w:right w:val="single" w:sz="4" w:space="0" w:color="auto"/>
            </w:tcBorders>
            <w:hideMark/>
          </w:tcPr>
          <w:p w14:paraId="13F106B5"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2021</w:t>
            </w:r>
          </w:p>
        </w:tc>
        <w:tc>
          <w:tcPr>
            <w:tcW w:w="586" w:type="pct"/>
            <w:tcBorders>
              <w:top w:val="single" w:sz="4" w:space="0" w:color="auto"/>
              <w:left w:val="single" w:sz="4" w:space="0" w:color="auto"/>
              <w:bottom w:val="single" w:sz="4" w:space="0" w:color="auto"/>
              <w:right w:val="single" w:sz="4" w:space="0" w:color="auto"/>
            </w:tcBorders>
            <w:hideMark/>
          </w:tcPr>
          <w:p w14:paraId="209B0667"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2022</w:t>
            </w:r>
          </w:p>
        </w:tc>
        <w:tc>
          <w:tcPr>
            <w:tcW w:w="624" w:type="pct"/>
            <w:tcBorders>
              <w:top w:val="single" w:sz="4" w:space="0" w:color="auto"/>
              <w:left w:val="single" w:sz="4" w:space="0" w:color="auto"/>
              <w:bottom w:val="single" w:sz="4" w:space="0" w:color="auto"/>
              <w:right w:val="single" w:sz="4" w:space="0" w:color="auto"/>
            </w:tcBorders>
            <w:hideMark/>
          </w:tcPr>
          <w:p w14:paraId="76515D2E"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2023</w:t>
            </w:r>
          </w:p>
        </w:tc>
        <w:tc>
          <w:tcPr>
            <w:tcW w:w="724" w:type="pct"/>
            <w:tcBorders>
              <w:top w:val="single" w:sz="4" w:space="0" w:color="auto"/>
              <w:left w:val="single" w:sz="4" w:space="0" w:color="auto"/>
              <w:bottom w:val="single" w:sz="4" w:space="0" w:color="auto"/>
              <w:right w:val="single" w:sz="4" w:space="0" w:color="auto"/>
            </w:tcBorders>
            <w:hideMark/>
          </w:tcPr>
          <w:p w14:paraId="2A709DA8" w14:textId="145B29CC"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2024</w:t>
            </w:r>
          </w:p>
        </w:tc>
        <w:tc>
          <w:tcPr>
            <w:tcW w:w="724" w:type="pct"/>
            <w:tcBorders>
              <w:top w:val="single" w:sz="4" w:space="0" w:color="auto"/>
              <w:left w:val="single" w:sz="4" w:space="0" w:color="auto"/>
              <w:bottom w:val="single" w:sz="4" w:space="0" w:color="auto"/>
              <w:right w:val="single" w:sz="4" w:space="0" w:color="auto"/>
            </w:tcBorders>
            <w:hideMark/>
          </w:tcPr>
          <w:p w14:paraId="3D5CF7E5" w14:textId="77777777" w:rsidR="000F69EE" w:rsidRPr="00BB7719" w:rsidRDefault="000F69EE" w:rsidP="00322EFD">
            <w:pPr>
              <w:jc w:val="center"/>
              <w:rPr>
                <w:rFonts w:ascii="Cambria" w:eastAsia="Times New Roman" w:hAnsi="Cambria" w:cs="Times New Roman"/>
                <w:b/>
                <w:bCs/>
                <w:i/>
                <w:iCs/>
                <w:color w:val="222222"/>
                <w:sz w:val="18"/>
                <w:szCs w:val="18"/>
                <w:u w:val="single"/>
              </w:rPr>
            </w:pPr>
            <w:r w:rsidRPr="00BB7719">
              <w:rPr>
                <w:rFonts w:ascii="Cambria" w:eastAsia="Times New Roman" w:hAnsi="Cambria" w:cs="Times New Roman"/>
                <w:b/>
                <w:bCs/>
                <w:i/>
                <w:iCs/>
                <w:color w:val="222222"/>
                <w:sz w:val="18"/>
                <w:szCs w:val="18"/>
                <w:u w:val="single"/>
              </w:rPr>
              <w:t>2025</w:t>
            </w:r>
          </w:p>
        </w:tc>
      </w:tr>
      <w:tr w:rsidR="000F69EE" w:rsidRPr="00BB7719" w14:paraId="3664888A" w14:textId="77777777" w:rsidTr="00515C83">
        <w:tc>
          <w:tcPr>
            <w:tcW w:w="582" w:type="pct"/>
            <w:tcBorders>
              <w:top w:val="single" w:sz="4" w:space="0" w:color="auto"/>
              <w:left w:val="single" w:sz="4" w:space="0" w:color="auto"/>
              <w:bottom w:val="single" w:sz="4" w:space="0" w:color="auto"/>
              <w:right w:val="single" w:sz="4" w:space="0" w:color="auto"/>
            </w:tcBorders>
            <w:hideMark/>
          </w:tcPr>
          <w:p w14:paraId="12FA48F4" w14:textId="77777777" w:rsidR="000F69EE" w:rsidRPr="00BB7719" w:rsidRDefault="000F69EE" w:rsidP="000F69EE">
            <w:pPr>
              <w:jc w:val="both"/>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NAM</w:t>
            </w:r>
          </w:p>
        </w:tc>
        <w:tc>
          <w:tcPr>
            <w:tcW w:w="586" w:type="pct"/>
            <w:tcBorders>
              <w:top w:val="single" w:sz="4" w:space="0" w:color="auto"/>
              <w:left w:val="single" w:sz="4" w:space="0" w:color="auto"/>
              <w:bottom w:val="single" w:sz="4" w:space="0" w:color="auto"/>
              <w:right w:val="single" w:sz="4" w:space="0" w:color="auto"/>
            </w:tcBorders>
            <w:hideMark/>
          </w:tcPr>
          <w:p w14:paraId="26CD8212"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0</w:t>
            </w:r>
          </w:p>
        </w:tc>
        <w:tc>
          <w:tcPr>
            <w:tcW w:w="586" w:type="pct"/>
            <w:tcBorders>
              <w:top w:val="single" w:sz="4" w:space="0" w:color="auto"/>
              <w:left w:val="single" w:sz="4" w:space="0" w:color="auto"/>
              <w:bottom w:val="single" w:sz="4" w:space="0" w:color="auto"/>
              <w:right w:val="single" w:sz="4" w:space="0" w:color="auto"/>
            </w:tcBorders>
            <w:hideMark/>
          </w:tcPr>
          <w:p w14:paraId="3503C6AE"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0</w:t>
            </w:r>
          </w:p>
        </w:tc>
        <w:tc>
          <w:tcPr>
            <w:tcW w:w="586" w:type="pct"/>
            <w:tcBorders>
              <w:top w:val="single" w:sz="4" w:space="0" w:color="auto"/>
              <w:left w:val="single" w:sz="4" w:space="0" w:color="auto"/>
              <w:bottom w:val="single" w:sz="4" w:space="0" w:color="auto"/>
              <w:right w:val="single" w:sz="4" w:space="0" w:color="auto"/>
            </w:tcBorders>
            <w:hideMark/>
          </w:tcPr>
          <w:p w14:paraId="6CE9C864"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0</w:t>
            </w:r>
          </w:p>
        </w:tc>
        <w:tc>
          <w:tcPr>
            <w:tcW w:w="586" w:type="pct"/>
            <w:tcBorders>
              <w:top w:val="single" w:sz="4" w:space="0" w:color="auto"/>
              <w:left w:val="single" w:sz="4" w:space="0" w:color="auto"/>
              <w:bottom w:val="single" w:sz="4" w:space="0" w:color="auto"/>
              <w:right w:val="single" w:sz="4" w:space="0" w:color="auto"/>
            </w:tcBorders>
            <w:hideMark/>
          </w:tcPr>
          <w:p w14:paraId="5FB99398"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0</w:t>
            </w:r>
          </w:p>
        </w:tc>
        <w:tc>
          <w:tcPr>
            <w:tcW w:w="624" w:type="pct"/>
            <w:tcBorders>
              <w:top w:val="single" w:sz="4" w:space="0" w:color="auto"/>
              <w:left w:val="single" w:sz="4" w:space="0" w:color="auto"/>
              <w:bottom w:val="single" w:sz="4" w:space="0" w:color="auto"/>
              <w:right w:val="single" w:sz="4" w:space="0" w:color="auto"/>
            </w:tcBorders>
            <w:hideMark/>
          </w:tcPr>
          <w:p w14:paraId="6D602461"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97.75</w:t>
            </w:r>
          </w:p>
        </w:tc>
        <w:tc>
          <w:tcPr>
            <w:tcW w:w="724" w:type="pct"/>
            <w:tcBorders>
              <w:top w:val="single" w:sz="4" w:space="0" w:color="auto"/>
              <w:left w:val="single" w:sz="4" w:space="0" w:color="auto"/>
              <w:bottom w:val="single" w:sz="4" w:space="0" w:color="auto"/>
              <w:right w:val="single" w:sz="4" w:space="0" w:color="auto"/>
            </w:tcBorders>
            <w:hideMark/>
          </w:tcPr>
          <w:p w14:paraId="1C60883D"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181.96</w:t>
            </w:r>
          </w:p>
        </w:tc>
        <w:tc>
          <w:tcPr>
            <w:tcW w:w="724" w:type="pct"/>
            <w:tcBorders>
              <w:top w:val="single" w:sz="4" w:space="0" w:color="auto"/>
              <w:left w:val="single" w:sz="4" w:space="0" w:color="auto"/>
              <w:bottom w:val="single" w:sz="4" w:space="0" w:color="auto"/>
              <w:right w:val="single" w:sz="4" w:space="0" w:color="auto"/>
            </w:tcBorders>
            <w:hideMark/>
          </w:tcPr>
          <w:p w14:paraId="3E574E53" w14:textId="77777777" w:rsidR="000F69EE" w:rsidRPr="00BB7719" w:rsidRDefault="000F69EE" w:rsidP="00322EFD">
            <w:pPr>
              <w:jc w:val="center"/>
              <w:rPr>
                <w:rFonts w:ascii="Cambria" w:eastAsia="Times New Roman" w:hAnsi="Cambria" w:cs="Times New Roman"/>
                <w:color w:val="222222"/>
                <w:sz w:val="18"/>
                <w:szCs w:val="18"/>
                <w:u w:val="single"/>
              </w:rPr>
            </w:pPr>
            <w:r w:rsidRPr="00BB7719">
              <w:rPr>
                <w:rFonts w:ascii="Cambria" w:eastAsia="Times New Roman" w:hAnsi="Cambria" w:cs="Times New Roman"/>
                <w:color w:val="222222"/>
                <w:sz w:val="18"/>
                <w:szCs w:val="18"/>
                <w:u w:val="single"/>
              </w:rPr>
              <w:t>215.06</w:t>
            </w:r>
          </w:p>
        </w:tc>
      </w:tr>
      <w:tr w:rsidR="000F69EE" w:rsidRPr="00BB7719" w14:paraId="10EC42E6" w14:textId="77777777" w:rsidTr="00515C83">
        <w:tc>
          <w:tcPr>
            <w:tcW w:w="582" w:type="pct"/>
            <w:tcBorders>
              <w:top w:val="single" w:sz="4" w:space="0" w:color="auto"/>
              <w:left w:val="single" w:sz="4" w:space="0" w:color="auto"/>
              <w:bottom w:val="single" w:sz="4" w:space="0" w:color="auto"/>
              <w:right w:val="single" w:sz="4" w:space="0" w:color="auto"/>
            </w:tcBorders>
          </w:tcPr>
          <w:p w14:paraId="49D6ED6D"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586" w:type="pct"/>
            <w:tcBorders>
              <w:top w:val="single" w:sz="4" w:space="0" w:color="auto"/>
              <w:left w:val="single" w:sz="4" w:space="0" w:color="auto"/>
              <w:bottom w:val="single" w:sz="4" w:space="0" w:color="auto"/>
              <w:right w:val="single" w:sz="4" w:space="0" w:color="auto"/>
            </w:tcBorders>
          </w:tcPr>
          <w:p w14:paraId="555F3986"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586" w:type="pct"/>
            <w:tcBorders>
              <w:top w:val="single" w:sz="4" w:space="0" w:color="auto"/>
              <w:left w:val="single" w:sz="4" w:space="0" w:color="auto"/>
              <w:bottom w:val="single" w:sz="4" w:space="0" w:color="auto"/>
              <w:right w:val="single" w:sz="4" w:space="0" w:color="auto"/>
            </w:tcBorders>
          </w:tcPr>
          <w:p w14:paraId="412EBC18"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586" w:type="pct"/>
            <w:tcBorders>
              <w:top w:val="single" w:sz="4" w:space="0" w:color="auto"/>
              <w:left w:val="single" w:sz="4" w:space="0" w:color="auto"/>
              <w:bottom w:val="single" w:sz="4" w:space="0" w:color="auto"/>
              <w:right w:val="single" w:sz="4" w:space="0" w:color="auto"/>
            </w:tcBorders>
          </w:tcPr>
          <w:p w14:paraId="38F2CC92"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586" w:type="pct"/>
            <w:tcBorders>
              <w:top w:val="single" w:sz="4" w:space="0" w:color="auto"/>
              <w:left w:val="single" w:sz="4" w:space="0" w:color="auto"/>
              <w:bottom w:val="single" w:sz="4" w:space="0" w:color="auto"/>
              <w:right w:val="single" w:sz="4" w:space="0" w:color="auto"/>
            </w:tcBorders>
          </w:tcPr>
          <w:p w14:paraId="559ECD70"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624" w:type="pct"/>
            <w:tcBorders>
              <w:top w:val="single" w:sz="4" w:space="0" w:color="auto"/>
              <w:left w:val="single" w:sz="4" w:space="0" w:color="auto"/>
              <w:bottom w:val="single" w:sz="4" w:space="0" w:color="auto"/>
              <w:right w:val="single" w:sz="4" w:space="0" w:color="auto"/>
            </w:tcBorders>
          </w:tcPr>
          <w:p w14:paraId="483C17B4"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724" w:type="pct"/>
            <w:tcBorders>
              <w:top w:val="single" w:sz="4" w:space="0" w:color="auto"/>
              <w:left w:val="single" w:sz="4" w:space="0" w:color="auto"/>
              <w:bottom w:val="single" w:sz="4" w:space="0" w:color="auto"/>
              <w:right w:val="single" w:sz="4" w:space="0" w:color="auto"/>
            </w:tcBorders>
          </w:tcPr>
          <w:p w14:paraId="4466424F" w14:textId="77777777" w:rsidR="000F69EE" w:rsidRPr="00BB7719" w:rsidRDefault="000F69EE" w:rsidP="000F69EE">
            <w:pPr>
              <w:jc w:val="both"/>
              <w:rPr>
                <w:rFonts w:ascii="Cambria" w:eastAsia="Times New Roman" w:hAnsi="Cambria" w:cs="Times New Roman"/>
                <w:b/>
                <w:bCs/>
                <w:color w:val="222222"/>
                <w:sz w:val="18"/>
                <w:szCs w:val="18"/>
                <w:u w:val="single"/>
              </w:rPr>
            </w:pPr>
          </w:p>
        </w:tc>
        <w:tc>
          <w:tcPr>
            <w:tcW w:w="724" w:type="pct"/>
            <w:tcBorders>
              <w:top w:val="single" w:sz="4" w:space="0" w:color="auto"/>
              <w:left w:val="single" w:sz="4" w:space="0" w:color="auto"/>
              <w:bottom w:val="single" w:sz="4" w:space="0" w:color="auto"/>
              <w:right w:val="single" w:sz="4" w:space="0" w:color="auto"/>
            </w:tcBorders>
          </w:tcPr>
          <w:p w14:paraId="220ABC73" w14:textId="77777777" w:rsidR="000F69EE" w:rsidRPr="00BB7719" w:rsidRDefault="000F69EE" w:rsidP="000F69EE">
            <w:pPr>
              <w:jc w:val="both"/>
              <w:rPr>
                <w:rFonts w:ascii="Cambria" w:eastAsia="Times New Roman" w:hAnsi="Cambria" w:cs="Times New Roman"/>
                <w:b/>
                <w:bCs/>
                <w:color w:val="222222"/>
                <w:sz w:val="18"/>
                <w:szCs w:val="18"/>
                <w:u w:val="single"/>
              </w:rPr>
            </w:pPr>
          </w:p>
        </w:tc>
      </w:tr>
    </w:tbl>
    <w:p w14:paraId="52CF3118" w14:textId="04C2310E" w:rsidR="000F69EE" w:rsidRPr="00BB7719" w:rsidRDefault="000F69EE" w:rsidP="000F69EE">
      <w:pPr>
        <w:spacing w:after="0" w:line="240" w:lineRule="auto"/>
        <w:jc w:val="both"/>
        <w:rPr>
          <w:rFonts w:ascii="Cambria" w:eastAsia="Times New Roman" w:hAnsi="Cambria" w:cs="Times New Roman"/>
          <w:color w:val="222222"/>
          <w:sz w:val="16"/>
          <w:szCs w:val="16"/>
          <w:u w:val="single"/>
        </w:rPr>
      </w:pPr>
      <w:r w:rsidRPr="00BB7719">
        <w:rPr>
          <w:rFonts w:ascii="Cambria" w:eastAsia="Times New Roman" w:hAnsi="Cambria" w:cs="Times New Roman"/>
          <w:color w:val="222222"/>
          <w:sz w:val="16"/>
          <w:szCs w:val="16"/>
          <w:u w:val="single"/>
        </w:rPr>
        <w:t xml:space="preserve">*2025 figures are from January 2025 </w:t>
      </w:r>
      <w:r w:rsidR="00052E06" w:rsidRPr="00BB7719">
        <w:rPr>
          <w:rFonts w:ascii="Cambria" w:eastAsia="Times New Roman" w:hAnsi="Cambria" w:cs="Times New Roman"/>
          <w:color w:val="222222"/>
          <w:sz w:val="16"/>
          <w:szCs w:val="16"/>
          <w:u w:val="single"/>
        </w:rPr>
        <w:t>to</w:t>
      </w:r>
      <w:r w:rsidRPr="00BB7719">
        <w:rPr>
          <w:rFonts w:ascii="Cambria" w:eastAsia="Times New Roman" w:hAnsi="Cambria" w:cs="Times New Roman"/>
          <w:color w:val="222222"/>
          <w:sz w:val="16"/>
          <w:szCs w:val="16"/>
          <w:u w:val="single"/>
        </w:rPr>
        <w:t xml:space="preserve"> October 2025</w:t>
      </w:r>
      <w:r w:rsidR="00322EFD" w:rsidRPr="00BB7719">
        <w:rPr>
          <w:rFonts w:ascii="Cambria" w:eastAsia="Times New Roman" w:hAnsi="Cambria" w:cs="Times New Roman"/>
          <w:color w:val="222222"/>
          <w:sz w:val="16"/>
          <w:szCs w:val="16"/>
          <w:u w:val="single"/>
        </w:rPr>
        <w:t>.</w:t>
      </w:r>
    </w:p>
    <w:p w14:paraId="05FC3D2A" w14:textId="77777777" w:rsidR="000F69EE" w:rsidRPr="00BB7719" w:rsidRDefault="000F69EE" w:rsidP="000F69EE">
      <w:pPr>
        <w:spacing w:after="0" w:line="240" w:lineRule="auto"/>
        <w:jc w:val="both"/>
        <w:rPr>
          <w:rFonts w:ascii="Cambria" w:eastAsia="Times New Roman" w:hAnsi="Cambria" w:cs="Times New Roman"/>
          <w:color w:val="222222"/>
          <w:sz w:val="20"/>
          <w:szCs w:val="20"/>
          <w:u w:val="single"/>
        </w:rPr>
      </w:pPr>
    </w:p>
    <w:p w14:paraId="719B40C1" w14:textId="77777777" w:rsidR="000F69EE" w:rsidRPr="00BB7719" w:rsidRDefault="000F69EE" w:rsidP="00322EFD">
      <w:pPr>
        <w:numPr>
          <w:ilvl w:val="0"/>
          <w:numId w:val="14"/>
        </w:numPr>
        <w:tabs>
          <w:tab w:val="clear" w:pos="720"/>
        </w:tabs>
        <w:spacing w:after="0" w:line="240" w:lineRule="auto"/>
        <w:ind w:left="426" w:hanging="426"/>
        <w:jc w:val="both"/>
        <w:rPr>
          <w:rFonts w:ascii="Cambria" w:eastAsia="Times New Roman" w:hAnsi="Cambria" w:cs="Times New Roman"/>
          <w:b/>
          <w:bCs/>
          <w:color w:val="222222"/>
          <w:sz w:val="20"/>
          <w:szCs w:val="20"/>
          <w:u w:val="single"/>
        </w:rPr>
      </w:pPr>
      <w:r w:rsidRPr="00BB7719">
        <w:rPr>
          <w:rFonts w:ascii="Cambria" w:eastAsia="Times New Roman" w:hAnsi="Cambria" w:cs="Times New Roman"/>
          <w:b/>
          <w:bCs/>
          <w:color w:val="222222"/>
          <w:sz w:val="20"/>
          <w:szCs w:val="20"/>
          <w:u w:val="single"/>
        </w:rPr>
        <w:t xml:space="preserve">Conclusion </w:t>
      </w:r>
    </w:p>
    <w:p w14:paraId="67B10E1D" w14:textId="77777777" w:rsidR="00322EFD" w:rsidRPr="00BB7719" w:rsidRDefault="00322EFD" w:rsidP="000F69EE">
      <w:pPr>
        <w:spacing w:after="0" w:line="240" w:lineRule="auto"/>
        <w:jc w:val="both"/>
        <w:rPr>
          <w:rFonts w:ascii="Cambria" w:eastAsia="Times New Roman" w:hAnsi="Cambria" w:cs="Times New Roman"/>
          <w:color w:val="222222"/>
          <w:sz w:val="20"/>
          <w:szCs w:val="20"/>
          <w:u w:val="single"/>
        </w:rPr>
      </w:pPr>
    </w:p>
    <w:p w14:paraId="6C10208D" w14:textId="55830AC3" w:rsidR="000F69EE" w:rsidRPr="00BB7719" w:rsidRDefault="000F69EE" w:rsidP="000F69EE">
      <w:pPr>
        <w:spacing w:after="0" w:line="240" w:lineRule="auto"/>
        <w:jc w:val="both"/>
        <w:rPr>
          <w:rFonts w:ascii="Cambria" w:eastAsia="Times New Roman" w:hAnsi="Cambria" w:cs="Times New Roman"/>
          <w:color w:val="222222"/>
          <w:sz w:val="20"/>
          <w:szCs w:val="20"/>
          <w:u w:val="single"/>
        </w:rPr>
      </w:pPr>
      <w:r w:rsidRPr="00BB7719">
        <w:rPr>
          <w:rFonts w:ascii="Cambria" w:eastAsia="Times New Roman" w:hAnsi="Cambria" w:cs="Times New Roman"/>
          <w:color w:val="222222"/>
          <w:sz w:val="20"/>
          <w:szCs w:val="20"/>
          <w:u w:val="single"/>
        </w:rPr>
        <w:t xml:space="preserve">Since June/July 2023, Namibia has successfully implemented impactful measures to reduce its mako shark catches. Namibia will continue to reduce its mako shark landings </w:t>
      </w:r>
      <w:proofErr w:type="gramStart"/>
      <w:r w:rsidRPr="00BB7719">
        <w:rPr>
          <w:rFonts w:ascii="Cambria" w:eastAsia="Times New Roman" w:hAnsi="Cambria" w:cs="Times New Roman"/>
          <w:color w:val="222222"/>
          <w:sz w:val="20"/>
          <w:szCs w:val="20"/>
          <w:u w:val="single"/>
        </w:rPr>
        <w:t>in order to</w:t>
      </w:r>
      <w:proofErr w:type="gramEnd"/>
      <w:r w:rsidRPr="00BB7719">
        <w:rPr>
          <w:rFonts w:ascii="Cambria" w:eastAsia="Times New Roman" w:hAnsi="Cambria" w:cs="Times New Roman"/>
          <w:color w:val="222222"/>
          <w:sz w:val="20"/>
          <w:szCs w:val="20"/>
          <w:u w:val="single"/>
        </w:rPr>
        <w:t xml:space="preserve"> pay back its over catch of 2023. Despite an abundance of </w:t>
      </w:r>
      <w:r w:rsidR="00982D0E" w:rsidRPr="00BB7719">
        <w:rPr>
          <w:rFonts w:ascii="Cambria" w:eastAsia="Times New Roman" w:hAnsi="Cambria" w:cs="Times New Roman"/>
          <w:color w:val="222222"/>
          <w:sz w:val="20"/>
          <w:szCs w:val="20"/>
          <w:u w:val="single"/>
        </w:rPr>
        <w:t>mako sh</w:t>
      </w:r>
      <w:r w:rsidRPr="00BB7719">
        <w:rPr>
          <w:rFonts w:ascii="Cambria" w:eastAsia="Times New Roman" w:hAnsi="Cambria" w:cs="Times New Roman"/>
          <w:color w:val="222222"/>
          <w:sz w:val="20"/>
          <w:szCs w:val="20"/>
          <w:u w:val="single"/>
        </w:rPr>
        <w:t>ark in Namibian waters, Namibia will continue to endeavor to keep its mako shark catches in line with its allowable catc</w:t>
      </w:r>
      <w:r w:rsidR="00123CF9" w:rsidRPr="00BB7719">
        <w:rPr>
          <w:rFonts w:ascii="Cambria" w:eastAsia="Times New Roman" w:hAnsi="Cambria" w:cs="Times New Roman"/>
          <w:color w:val="222222"/>
          <w:sz w:val="20"/>
          <w:szCs w:val="20"/>
          <w:u w:val="single"/>
        </w:rPr>
        <w:t>h</w:t>
      </w:r>
      <w:r w:rsidR="00982D0E" w:rsidRPr="00BB7719">
        <w:rPr>
          <w:rFonts w:ascii="Cambria" w:eastAsia="Times New Roman" w:hAnsi="Cambria" w:cs="Times New Roman"/>
          <w:color w:val="222222"/>
          <w:sz w:val="20"/>
          <w:szCs w:val="20"/>
          <w:u w:val="single"/>
        </w:rPr>
        <w:t xml:space="preserve">. </w:t>
      </w:r>
      <w:r w:rsidRPr="00BB7719">
        <w:rPr>
          <w:rFonts w:ascii="Cambria" w:eastAsia="Times New Roman" w:hAnsi="Cambria" w:cs="Times New Roman"/>
          <w:color w:val="222222"/>
          <w:sz w:val="20"/>
          <w:szCs w:val="20"/>
          <w:u w:val="single"/>
        </w:rPr>
        <w:t>Should further clarification or documentation be required, we stand ready to provide it.</w:t>
      </w:r>
    </w:p>
    <w:p w14:paraId="6FE98722" w14:textId="41BDA58D" w:rsidR="000F69EE" w:rsidRPr="00BB7719" w:rsidRDefault="000F69EE" w:rsidP="00240776">
      <w:pPr>
        <w:spacing w:after="0" w:line="240" w:lineRule="auto"/>
        <w:jc w:val="both"/>
        <w:rPr>
          <w:rFonts w:ascii="Cambria" w:eastAsia="Times New Roman" w:hAnsi="Cambria" w:cs="Times New Roman"/>
          <w:b/>
          <w:bCs/>
          <w:color w:val="222222"/>
          <w:sz w:val="20"/>
          <w:szCs w:val="20"/>
        </w:rPr>
      </w:pPr>
    </w:p>
    <w:p w14:paraId="1D5F71F6" w14:textId="77777777" w:rsidR="000F69EE" w:rsidRPr="00BB7719" w:rsidRDefault="000F69EE" w:rsidP="00240776">
      <w:pPr>
        <w:spacing w:after="0" w:line="240" w:lineRule="auto"/>
        <w:jc w:val="both"/>
        <w:rPr>
          <w:rFonts w:ascii="Cambria" w:eastAsia="Times New Roman" w:hAnsi="Cambria" w:cs="Times New Roman"/>
          <w:b/>
          <w:bCs/>
          <w:color w:val="222222"/>
          <w:sz w:val="20"/>
          <w:szCs w:val="20"/>
        </w:rPr>
      </w:pPr>
    </w:p>
    <w:p w14:paraId="4B281E38" w14:textId="77777777" w:rsidR="00052E06" w:rsidRPr="00BB7719" w:rsidRDefault="00052E06" w:rsidP="00240776">
      <w:pPr>
        <w:spacing w:after="0" w:line="240" w:lineRule="auto"/>
        <w:jc w:val="both"/>
        <w:rPr>
          <w:rFonts w:ascii="Cambria" w:eastAsia="Times New Roman" w:hAnsi="Cambria" w:cs="Times New Roman"/>
          <w:b/>
          <w:bCs/>
          <w:color w:val="222222"/>
          <w:sz w:val="20"/>
          <w:szCs w:val="20"/>
        </w:rPr>
      </w:pPr>
    </w:p>
    <w:p w14:paraId="19C4E659" w14:textId="77777777" w:rsidR="00052E06" w:rsidRPr="00BB7719" w:rsidRDefault="00052E06" w:rsidP="00240776">
      <w:pPr>
        <w:spacing w:after="0" w:line="240" w:lineRule="auto"/>
        <w:jc w:val="both"/>
        <w:rPr>
          <w:rFonts w:ascii="Cambria" w:eastAsia="Times New Roman" w:hAnsi="Cambria" w:cs="Times New Roman"/>
          <w:b/>
          <w:bCs/>
          <w:color w:val="222222"/>
          <w:sz w:val="20"/>
          <w:szCs w:val="20"/>
        </w:rPr>
      </w:pPr>
    </w:p>
    <w:p w14:paraId="03F356A9" w14:textId="77777777" w:rsidR="00052E06" w:rsidRPr="00BB7719" w:rsidRDefault="00052E06" w:rsidP="00240776">
      <w:pPr>
        <w:spacing w:after="0" w:line="240" w:lineRule="auto"/>
        <w:jc w:val="both"/>
        <w:rPr>
          <w:rFonts w:ascii="Cambria" w:eastAsia="Times New Roman" w:hAnsi="Cambria" w:cs="Times New Roman"/>
          <w:b/>
          <w:bCs/>
          <w:color w:val="222222"/>
          <w:sz w:val="20"/>
          <w:szCs w:val="20"/>
        </w:rPr>
      </w:pPr>
    </w:p>
    <w:p w14:paraId="73320ECD" w14:textId="01783321" w:rsidR="00947ED5" w:rsidRPr="00BB7719" w:rsidRDefault="00947ED5" w:rsidP="00240776">
      <w:pPr>
        <w:spacing w:after="0" w:line="240" w:lineRule="auto"/>
        <w:jc w:val="both"/>
        <w:rPr>
          <w:rFonts w:ascii="Cambria" w:eastAsia="Times New Roman" w:hAnsi="Cambria" w:cs="Times New Roman"/>
          <w:b/>
          <w:bCs/>
          <w:color w:val="222222"/>
          <w:sz w:val="20"/>
          <w:szCs w:val="20"/>
        </w:rPr>
      </w:pPr>
      <w:r w:rsidRPr="00BB7719">
        <w:rPr>
          <w:rFonts w:ascii="Cambria" w:eastAsia="Times New Roman" w:hAnsi="Cambria" w:cs="Times New Roman"/>
          <w:b/>
          <w:bCs/>
          <w:color w:val="222222"/>
          <w:sz w:val="20"/>
          <w:szCs w:val="20"/>
        </w:rPr>
        <w:t xml:space="preserve">To </w:t>
      </w:r>
      <w:r w:rsidR="00C06B4A" w:rsidRPr="00BB7719">
        <w:rPr>
          <w:rFonts w:ascii="Cambria" w:eastAsia="Times New Roman" w:hAnsi="Cambria" w:cs="Times New Roman"/>
          <w:b/>
          <w:bCs/>
          <w:color w:val="222222"/>
          <w:sz w:val="20"/>
          <w:szCs w:val="20"/>
        </w:rPr>
        <w:t>Senegal</w:t>
      </w:r>
      <w:r w:rsidRPr="00BB7719">
        <w:rPr>
          <w:rFonts w:ascii="Cambria" w:eastAsia="Times New Roman" w:hAnsi="Cambria" w:cs="Times New Roman"/>
          <w:b/>
          <w:bCs/>
          <w:color w:val="222222"/>
          <w:sz w:val="20"/>
          <w:szCs w:val="20"/>
        </w:rPr>
        <w:t>:</w:t>
      </w:r>
    </w:p>
    <w:p w14:paraId="0878B51B" w14:textId="77777777" w:rsidR="00240776" w:rsidRPr="00BB7719" w:rsidRDefault="00240776" w:rsidP="00240776">
      <w:pPr>
        <w:spacing w:after="0" w:line="240" w:lineRule="auto"/>
        <w:jc w:val="both"/>
        <w:rPr>
          <w:rFonts w:ascii="Cambria" w:eastAsia="Times New Roman" w:hAnsi="Cambria" w:cs="Times New Roman"/>
          <w:b/>
          <w:bCs/>
          <w:color w:val="222222"/>
          <w:sz w:val="20"/>
          <w:szCs w:val="20"/>
        </w:rPr>
      </w:pPr>
    </w:p>
    <w:bookmarkEnd w:id="3"/>
    <w:p w14:paraId="5ECDFF06" w14:textId="1244C966" w:rsidR="00E20958" w:rsidRPr="00C06B4A" w:rsidRDefault="00C06B4A" w:rsidP="00240776">
      <w:pPr>
        <w:spacing w:after="0" w:line="240" w:lineRule="auto"/>
        <w:jc w:val="both"/>
        <w:rPr>
          <w:rFonts w:ascii="Cambria" w:eastAsia="Times New Roman" w:hAnsi="Cambria" w:cs="Times New Roman"/>
          <w:color w:val="222222"/>
          <w:sz w:val="20"/>
          <w:szCs w:val="20"/>
          <w:lang w:val="en-GB"/>
        </w:rPr>
      </w:pPr>
      <w:r w:rsidRPr="00BB7719">
        <w:rPr>
          <w:rFonts w:ascii="Cambria" w:eastAsia="Times New Roman" w:hAnsi="Cambria" w:cs="Times New Roman"/>
          <w:color w:val="222222"/>
          <w:sz w:val="20"/>
          <w:szCs w:val="20"/>
        </w:rPr>
        <w:t xml:space="preserve">Senegal could explain how they implement the size limit for registration on the ICCAT Record of </w:t>
      </w:r>
      <w:proofErr w:type="spellStart"/>
      <w:r w:rsidR="00123CF9" w:rsidRPr="00BB7719">
        <w:rPr>
          <w:rFonts w:ascii="Cambria" w:eastAsia="Times New Roman" w:hAnsi="Cambria" w:cs="Times New Roman"/>
          <w:color w:val="222222"/>
          <w:sz w:val="20"/>
          <w:szCs w:val="20"/>
        </w:rPr>
        <w:t>authorised</w:t>
      </w:r>
      <w:proofErr w:type="spellEnd"/>
      <w:r w:rsidR="00123CF9" w:rsidRPr="00BB7719">
        <w:rPr>
          <w:rFonts w:ascii="Cambria" w:eastAsia="Times New Roman" w:hAnsi="Cambria" w:cs="Times New Roman"/>
          <w:color w:val="222222"/>
          <w:sz w:val="20"/>
          <w:szCs w:val="20"/>
        </w:rPr>
        <w:t xml:space="preserve"> vessels for their pirogue vessels.</w:t>
      </w:r>
    </w:p>
    <w:sectPr w:rsidR="00E20958" w:rsidRPr="00C06B4A"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PAGE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1</w:t>
    </w:r>
    <w:r w:rsidRPr="00DF5B9A">
      <w:rPr>
        <w:rFonts w:ascii="Cambria" w:eastAsia="Calibri" w:hAnsi="Cambria" w:cs="Calibri"/>
        <w:sz w:val="20"/>
        <w:szCs w:val="20"/>
      </w:rPr>
      <w:fldChar w:fldCharType="end"/>
    </w:r>
    <w:r w:rsidRPr="00DF5B9A">
      <w:rPr>
        <w:rFonts w:ascii="Cambria" w:eastAsia="Calibri" w:hAnsi="Cambria" w:cs="Calibri"/>
        <w:sz w:val="20"/>
        <w:szCs w:val="20"/>
      </w:rPr>
      <w:t xml:space="preserve"> / </w:t>
    </w: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NUMPAGES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8</w:t>
    </w:r>
    <w:r w:rsidRPr="00DF5B9A">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13FC2811"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ascii="Cambria" w:eastAsia="Calibri" w:hAnsi="Cambria"/>
        <w:b/>
        <w:bCs/>
        <w:sz w:val="20"/>
        <w:szCs w:val="20"/>
      </w:rPr>
      <w:t>COC</w:t>
    </w:r>
    <w:r w:rsidRPr="00793F38">
      <w:rPr>
        <w:rFonts w:ascii="Cambria" w:eastAsia="Calibri" w:hAnsi="Cambria"/>
        <w:b/>
        <w:bCs/>
        <w:sz w:val="20"/>
        <w:szCs w:val="20"/>
      </w:rPr>
      <w:t>_</w:t>
    </w:r>
    <w:r>
      <w:rPr>
        <w:rFonts w:ascii="Cambria" w:eastAsia="Calibri" w:hAnsi="Cambria"/>
        <w:b/>
        <w:bCs/>
        <w:sz w:val="20"/>
        <w:szCs w:val="20"/>
      </w:rPr>
      <w:t>30</w:t>
    </w:r>
    <w:r w:rsidR="007D2D8B">
      <w:rPr>
        <w:rFonts w:ascii="Cambria" w:eastAsia="Calibri" w:hAnsi="Cambria"/>
        <w:b/>
        <w:bCs/>
        <w:sz w:val="20"/>
        <w:szCs w:val="20"/>
      </w:rPr>
      <w:t>6</w:t>
    </w:r>
    <w:r w:rsidR="00554340">
      <w:rPr>
        <w:rFonts w:ascii="Cambria" w:eastAsia="Calibri" w:hAnsi="Cambria"/>
        <w:b/>
        <w:bCs/>
        <w:sz w:val="20"/>
        <w:szCs w:val="20"/>
      </w:rPr>
      <w:t>_REV_</w:t>
    </w:r>
    <w:r w:rsidR="00D568B4">
      <w:rPr>
        <w:rFonts w:ascii="Cambria" w:eastAsia="Calibri" w:hAnsi="Cambria"/>
        <w:b/>
        <w:bCs/>
        <w:sz w:val="20"/>
        <w:szCs w:val="20"/>
      </w:rPr>
      <w:t>2</w:t>
    </w:r>
    <w:r w:rsidRPr="00793F38">
      <w:rPr>
        <w:rFonts w:ascii="Cambria" w:eastAsia="Calibri" w:hAnsi="Cambria"/>
        <w:b/>
        <w:bCs/>
        <w:sz w:val="20"/>
        <w:szCs w:val="20"/>
      </w:rPr>
      <w:t>/202</w:t>
    </w:r>
    <w:r w:rsidR="00C06B4A">
      <w:rPr>
        <w:rFonts w:ascii="Cambria" w:eastAsia="Calibri" w:hAnsi="Cambria"/>
        <w:b/>
        <w:bCs/>
        <w:sz w:val="20"/>
        <w:szCs w:val="20"/>
      </w:rPr>
      <w:t>5</w:t>
    </w:r>
  </w:p>
  <w:p w14:paraId="09F66D9A" w14:textId="301CADDB" w:rsidR="00175D7F" w:rsidRDefault="00175D7F" w:rsidP="00127313">
    <w:pPr>
      <w:tabs>
        <w:tab w:val="left" w:pos="7320"/>
      </w:tabs>
      <w:spacing w:after="0" w:line="240" w:lineRule="atLeas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107510">
      <w:rPr>
        <w:rFonts w:ascii="Cambria" w:hAnsi="Cambria"/>
        <w:b/>
        <w:bCs/>
        <w:noProof/>
        <w:sz w:val="16"/>
        <w:szCs w:val="16"/>
        <w:lang w:val="es-ES_tradnl"/>
      </w:rPr>
      <w:t>13/11/2025 14:31</w:t>
    </w:r>
    <w:r w:rsidRPr="00793F38">
      <w:rPr>
        <w:rFonts w:ascii="Cambria" w:hAnsi="Cambria"/>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CC15C8"/>
    <w:multiLevelType w:val="multilevel"/>
    <w:tmpl w:val="524C7E54"/>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59186D"/>
    <w:multiLevelType w:val="multilevel"/>
    <w:tmpl w:val="8940E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105E58"/>
    <w:multiLevelType w:val="hybridMultilevel"/>
    <w:tmpl w:val="A1D87E80"/>
    <w:lvl w:ilvl="0" w:tplc="DAE085DA">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A2E3DE0"/>
    <w:multiLevelType w:val="hybridMultilevel"/>
    <w:tmpl w:val="40E4B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22CD7"/>
    <w:multiLevelType w:val="multilevel"/>
    <w:tmpl w:val="3B940D84"/>
    <w:lvl w:ilvl="0">
      <w:numFmt w:val="bullet"/>
      <w:lvlText w:val="–"/>
      <w:lvlJc w:val="left"/>
      <w:pPr>
        <w:tabs>
          <w:tab w:val="num" w:pos="720"/>
        </w:tabs>
        <w:ind w:left="720" w:hanging="360"/>
      </w:pPr>
      <w:rPr>
        <w:rFonts w:ascii="Cambria" w:eastAsia="MS Gothic" w:hAnsi="Cambria"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6B4C6C"/>
    <w:multiLevelType w:val="multilevel"/>
    <w:tmpl w:val="68121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128403">
    <w:abstractNumId w:val="5"/>
  </w:num>
  <w:num w:numId="2" w16cid:durableId="674965872">
    <w:abstractNumId w:val="12"/>
  </w:num>
  <w:num w:numId="3" w16cid:durableId="1484351839">
    <w:abstractNumId w:val="0"/>
  </w:num>
  <w:num w:numId="4" w16cid:durableId="40134449">
    <w:abstractNumId w:val="2"/>
  </w:num>
  <w:num w:numId="5" w16cid:durableId="2135907501">
    <w:abstractNumId w:val="6"/>
  </w:num>
  <w:num w:numId="6" w16cid:durableId="1096828244">
    <w:abstractNumId w:val="10"/>
  </w:num>
  <w:num w:numId="7" w16cid:durableId="391930410">
    <w:abstractNumId w:val="1"/>
  </w:num>
  <w:num w:numId="8" w16cid:durableId="1564872617">
    <w:abstractNumId w:val="8"/>
  </w:num>
  <w:num w:numId="9" w16cid:durableId="2034643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175204">
    <w:abstractNumId w:val="11"/>
  </w:num>
  <w:num w:numId="11" w16cid:durableId="7103509">
    <w:abstractNumId w:val="13"/>
  </w:num>
  <w:num w:numId="12" w16cid:durableId="1768966723">
    <w:abstractNumId w:val="9"/>
  </w:num>
  <w:num w:numId="13" w16cid:durableId="712660366">
    <w:abstractNumId w:val="7"/>
  </w:num>
  <w:num w:numId="14" w16cid:durableId="382215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308B4"/>
    <w:rsid w:val="00042A6C"/>
    <w:rsid w:val="00052C5C"/>
    <w:rsid w:val="00052E06"/>
    <w:rsid w:val="00052F02"/>
    <w:rsid w:val="00057E6C"/>
    <w:rsid w:val="00066CE9"/>
    <w:rsid w:val="000729DD"/>
    <w:rsid w:val="0009706F"/>
    <w:rsid w:val="000B0E78"/>
    <w:rsid w:val="000B6DD0"/>
    <w:rsid w:val="000C2C4C"/>
    <w:rsid w:val="000E7FAF"/>
    <w:rsid w:val="000F4C71"/>
    <w:rsid w:val="000F69EE"/>
    <w:rsid w:val="00107510"/>
    <w:rsid w:val="00111966"/>
    <w:rsid w:val="001219A7"/>
    <w:rsid w:val="00123CF9"/>
    <w:rsid w:val="00127313"/>
    <w:rsid w:val="0015420E"/>
    <w:rsid w:val="00161926"/>
    <w:rsid w:val="00174C34"/>
    <w:rsid w:val="00175D7F"/>
    <w:rsid w:val="00195602"/>
    <w:rsid w:val="001D4E70"/>
    <w:rsid w:val="001E53C4"/>
    <w:rsid w:val="00200F75"/>
    <w:rsid w:val="00204CC5"/>
    <w:rsid w:val="00230E67"/>
    <w:rsid w:val="00240776"/>
    <w:rsid w:val="00254B1A"/>
    <w:rsid w:val="002701D8"/>
    <w:rsid w:val="002761CE"/>
    <w:rsid w:val="00280259"/>
    <w:rsid w:val="00286C69"/>
    <w:rsid w:val="002A61B7"/>
    <w:rsid w:val="002D127C"/>
    <w:rsid w:val="00306F9B"/>
    <w:rsid w:val="00322239"/>
    <w:rsid w:val="00322EFD"/>
    <w:rsid w:val="003361CA"/>
    <w:rsid w:val="00390D88"/>
    <w:rsid w:val="00393234"/>
    <w:rsid w:val="003E3B6E"/>
    <w:rsid w:val="003F29EF"/>
    <w:rsid w:val="003F4F07"/>
    <w:rsid w:val="003F6008"/>
    <w:rsid w:val="00402366"/>
    <w:rsid w:val="00406BC0"/>
    <w:rsid w:val="00410FF8"/>
    <w:rsid w:val="0041170D"/>
    <w:rsid w:val="0042559C"/>
    <w:rsid w:val="00441927"/>
    <w:rsid w:val="0044492D"/>
    <w:rsid w:val="0044547E"/>
    <w:rsid w:val="004465D4"/>
    <w:rsid w:val="00446E34"/>
    <w:rsid w:val="00461F26"/>
    <w:rsid w:val="004743AB"/>
    <w:rsid w:val="00494422"/>
    <w:rsid w:val="004A3457"/>
    <w:rsid w:val="004B0E3A"/>
    <w:rsid w:val="004E5C27"/>
    <w:rsid w:val="00500D51"/>
    <w:rsid w:val="005022AD"/>
    <w:rsid w:val="00504859"/>
    <w:rsid w:val="005127E8"/>
    <w:rsid w:val="00515C83"/>
    <w:rsid w:val="00522D4F"/>
    <w:rsid w:val="00524D95"/>
    <w:rsid w:val="00525166"/>
    <w:rsid w:val="00531E1E"/>
    <w:rsid w:val="00551113"/>
    <w:rsid w:val="00554340"/>
    <w:rsid w:val="005575D1"/>
    <w:rsid w:val="0056017A"/>
    <w:rsid w:val="005656B1"/>
    <w:rsid w:val="0057689C"/>
    <w:rsid w:val="00584D32"/>
    <w:rsid w:val="005B34B1"/>
    <w:rsid w:val="005B606A"/>
    <w:rsid w:val="005C06F0"/>
    <w:rsid w:val="0062422E"/>
    <w:rsid w:val="00624DB8"/>
    <w:rsid w:val="00626366"/>
    <w:rsid w:val="006332A3"/>
    <w:rsid w:val="0064483A"/>
    <w:rsid w:val="00646BFF"/>
    <w:rsid w:val="00650083"/>
    <w:rsid w:val="00654D8C"/>
    <w:rsid w:val="00664724"/>
    <w:rsid w:val="00694319"/>
    <w:rsid w:val="006A29AC"/>
    <w:rsid w:val="006B3528"/>
    <w:rsid w:val="006C67E1"/>
    <w:rsid w:val="00700797"/>
    <w:rsid w:val="00714F1F"/>
    <w:rsid w:val="0078019F"/>
    <w:rsid w:val="007D2D8B"/>
    <w:rsid w:val="007E0A5C"/>
    <w:rsid w:val="007E2417"/>
    <w:rsid w:val="007E2E91"/>
    <w:rsid w:val="008002D5"/>
    <w:rsid w:val="008115E9"/>
    <w:rsid w:val="00816B11"/>
    <w:rsid w:val="00831FA4"/>
    <w:rsid w:val="00844FE3"/>
    <w:rsid w:val="00852306"/>
    <w:rsid w:val="00852A3B"/>
    <w:rsid w:val="008634CE"/>
    <w:rsid w:val="00883E6E"/>
    <w:rsid w:val="00892CE8"/>
    <w:rsid w:val="008C6B9A"/>
    <w:rsid w:val="008D0265"/>
    <w:rsid w:val="008E3A0A"/>
    <w:rsid w:val="008F1D17"/>
    <w:rsid w:val="008F55CF"/>
    <w:rsid w:val="0090400C"/>
    <w:rsid w:val="00915D75"/>
    <w:rsid w:val="00917F84"/>
    <w:rsid w:val="00943A0D"/>
    <w:rsid w:val="00947ED5"/>
    <w:rsid w:val="00967F31"/>
    <w:rsid w:val="00973FA6"/>
    <w:rsid w:val="00981032"/>
    <w:rsid w:val="00982D0E"/>
    <w:rsid w:val="009875F7"/>
    <w:rsid w:val="0099681C"/>
    <w:rsid w:val="009B7114"/>
    <w:rsid w:val="009B7EAC"/>
    <w:rsid w:val="009F49E9"/>
    <w:rsid w:val="00A134AB"/>
    <w:rsid w:val="00A33C74"/>
    <w:rsid w:val="00A3429F"/>
    <w:rsid w:val="00A46E73"/>
    <w:rsid w:val="00A5217B"/>
    <w:rsid w:val="00A70D57"/>
    <w:rsid w:val="00A87F17"/>
    <w:rsid w:val="00AA1B7D"/>
    <w:rsid w:val="00AA26BE"/>
    <w:rsid w:val="00AA3745"/>
    <w:rsid w:val="00AB4002"/>
    <w:rsid w:val="00AD1E1B"/>
    <w:rsid w:val="00AD3E2B"/>
    <w:rsid w:val="00AE22F4"/>
    <w:rsid w:val="00AF1790"/>
    <w:rsid w:val="00AF5CEF"/>
    <w:rsid w:val="00B15414"/>
    <w:rsid w:val="00B2129B"/>
    <w:rsid w:val="00B2132B"/>
    <w:rsid w:val="00B34631"/>
    <w:rsid w:val="00B510F2"/>
    <w:rsid w:val="00B55327"/>
    <w:rsid w:val="00B64A63"/>
    <w:rsid w:val="00B6674E"/>
    <w:rsid w:val="00BB7719"/>
    <w:rsid w:val="00BD426E"/>
    <w:rsid w:val="00C06B4A"/>
    <w:rsid w:val="00C11098"/>
    <w:rsid w:val="00C1239E"/>
    <w:rsid w:val="00C201AA"/>
    <w:rsid w:val="00C219D2"/>
    <w:rsid w:val="00C24A8F"/>
    <w:rsid w:val="00C411A7"/>
    <w:rsid w:val="00C41660"/>
    <w:rsid w:val="00C55A0F"/>
    <w:rsid w:val="00C81EF8"/>
    <w:rsid w:val="00C82B4C"/>
    <w:rsid w:val="00C833EE"/>
    <w:rsid w:val="00C967F3"/>
    <w:rsid w:val="00CA425D"/>
    <w:rsid w:val="00CB23C4"/>
    <w:rsid w:val="00CC4DB8"/>
    <w:rsid w:val="00CD4F3A"/>
    <w:rsid w:val="00CD7FE3"/>
    <w:rsid w:val="00CF29AE"/>
    <w:rsid w:val="00D04E3A"/>
    <w:rsid w:val="00D12179"/>
    <w:rsid w:val="00D24973"/>
    <w:rsid w:val="00D410F8"/>
    <w:rsid w:val="00D41DB0"/>
    <w:rsid w:val="00D568B4"/>
    <w:rsid w:val="00D60726"/>
    <w:rsid w:val="00D714D7"/>
    <w:rsid w:val="00D90DE0"/>
    <w:rsid w:val="00DA5632"/>
    <w:rsid w:val="00DA74B2"/>
    <w:rsid w:val="00DD143C"/>
    <w:rsid w:val="00DD55BA"/>
    <w:rsid w:val="00DE003E"/>
    <w:rsid w:val="00DE6074"/>
    <w:rsid w:val="00DE6B09"/>
    <w:rsid w:val="00DF5B9A"/>
    <w:rsid w:val="00E03688"/>
    <w:rsid w:val="00E2020B"/>
    <w:rsid w:val="00E20958"/>
    <w:rsid w:val="00E32B50"/>
    <w:rsid w:val="00E35F72"/>
    <w:rsid w:val="00E3749B"/>
    <w:rsid w:val="00E423B0"/>
    <w:rsid w:val="00E5422B"/>
    <w:rsid w:val="00E56BA4"/>
    <w:rsid w:val="00E6145F"/>
    <w:rsid w:val="00E71B37"/>
    <w:rsid w:val="00E753BC"/>
    <w:rsid w:val="00EA01E7"/>
    <w:rsid w:val="00F1511C"/>
    <w:rsid w:val="00F25E82"/>
    <w:rsid w:val="00F271F6"/>
    <w:rsid w:val="00F32D8E"/>
    <w:rsid w:val="00F37381"/>
    <w:rsid w:val="00F52805"/>
    <w:rsid w:val="00F648E1"/>
    <w:rsid w:val="00F6799F"/>
    <w:rsid w:val="00F75824"/>
    <w:rsid w:val="00F913C4"/>
    <w:rsid w:val="00FA4697"/>
    <w:rsid w:val="00FA6ED5"/>
    <w:rsid w:val="00FC4A46"/>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 w:type="table" w:styleId="TableGrid">
    <w:name w:val="Table Grid"/>
    <w:basedOn w:val="TableNormal"/>
    <w:uiPriority w:val="39"/>
    <w:rsid w:val="000F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e/2017-01-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e/2022-11-e.pdf" TargetMode="External"/><Relationship Id="rId4" Type="http://schemas.openxmlformats.org/officeDocument/2006/relationships/webSettings" Target="webSettings.xml"/><Relationship Id="rId9" Type="http://schemas.openxmlformats.org/officeDocument/2006/relationships/hyperlink" Target="https://www.iccat.int/Documents/Recs/compendiopdf-e/2010-07-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2025-11-06T10:42:00Z</dcterms:created>
  <dcterms:modified xsi:type="dcterms:W3CDTF">2025-11-13T14:00:00Z</dcterms:modified>
</cp:coreProperties>
</file>