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BEE" w14:textId="1B8F8213" w:rsidR="00CE6AA5" w:rsidRDefault="00CE6AA5" w:rsidP="00344939">
      <w:pPr>
        <w:spacing w:after="0" w:line="240" w:lineRule="auto"/>
        <w:contextualSpacing/>
        <w:jc w:val="right"/>
        <w:rPr>
          <w:rFonts w:asciiTheme="majorHAnsi" w:hAnsiTheme="majorHAnsi"/>
          <w:b/>
        </w:rPr>
      </w:pPr>
      <w:r w:rsidRPr="0002516B">
        <w:rPr>
          <w:rFonts w:asciiTheme="majorHAnsi" w:hAnsiTheme="majorHAnsi"/>
          <w:b/>
        </w:rPr>
        <w:t>Original : anglais</w:t>
      </w:r>
    </w:p>
    <w:p w14:paraId="140FB2A2" w14:textId="77777777" w:rsidR="0002516B" w:rsidRPr="0002516B" w:rsidRDefault="0002516B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</w:rPr>
      </w:pPr>
    </w:p>
    <w:p w14:paraId="6E04864A" w14:textId="77777777" w:rsidR="0050445C" w:rsidRPr="0002516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02516B">
        <w:rPr>
          <w:rFonts w:asciiTheme="majorHAnsi" w:hAnsiTheme="majorHAnsi"/>
          <w:b/>
          <w:bCs/>
        </w:rPr>
        <w:t xml:space="preserve">Questions de non-application potentielle découlant des </w:t>
      </w:r>
    </w:p>
    <w:p w14:paraId="0B63D66B" w14:textId="63D361C8" w:rsidR="0050445C" w:rsidRPr="0002516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</w:rPr>
      </w:pPr>
      <w:r w:rsidRPr="0002516B">
        <w:rPr>
          <w:rFonts w:asciiTheme="majorHAnsi" w:hAnsiTheme="majorHAnsi"/>
          <w:b/>
          <w:bCs/>
        </w:rPr>
        <w:t xml:space="preserve">Programmes régionaux d’observateurs de l’ICCAT et </w:t>
      </w:r>
      <w:r w:rsidR="004F73CF">
        <w:rPr>
          <w:rFonts w:asciiTheme="majorHAnsi" w:hAnsiTheme="majorHAnsi"/>
          <w:b/>
          <w:bCs/>
        </w:rPr>
        <w:t>r</w:t>
      </w:r>
      <w:r w:rsidRPr="0002516B">
        <w:rPr>
          <w:rFonts w:asciiTheme="majorHAnsi" w:hAnsiTheme="majorHAnsi"/>
          <w:b/>
          <w:bCs/>
        </w:rPr>
        <w:t>éponses</w:t>
      </w:r>
    </w:p>
    <w:p w14:paraId="47086328" w14:textId="6A7FEEA1" w:rsidR="00CE6AA5" w:rsidRPr="0002516B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</w:rPr>
      </w:pPr>
      <w:r w:rsidRPr="0002516B">
        <w:rPr>
          <w:rFonts w:asciiTheme="majorHAnsi" w:hAnsiTheme="majorHAnsi"/>
          <w:i/>
          <w:iCs/>
        </w:rPr>
        <w:t>(Secrétariat de l’ICCAT)</w:t>
      </w:r>
    </w:p>
    <w:p w14:paraId="27D0DD02" w14:textId="2DFA277B" w:rsidR="007E6B82" w:rsidRPr="0002516B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70C95E9D" w14:textId="77777777" w:rsidR="00A616BF" w:rsidRPr="0002516B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</w:rPr>
      </w:pPr>
    </w:p>
    <w:p w14:paraId="12BB69A6" w14:textId="07EDC318" w:rsidR="00CE6AA5" w:rsidRPr="00941805" w:rsidRDefault="00CE6AA5" w:rsidP="00A616BF">
      <w:pPr>
        <w:spacing w:after="0" w:line="240" w:lineRule="auto"/>
        <w:ind w:left="426" w:hanging="426"/>
        <w:contextualSpacing/>
        <w:jc w:val="both"/>
        <w:rPr>
          <w:rFonts w:asciiTheme="majorHAnsi" w:hAnsiTheme="majorHAnsi"/>
          <w:b/>
        </w:rPr>
      </w:pPr>
      <w:r w:rsidRPr="00941805">
        <w:rPr>
          <w:rFonts w:asciiTheme="majorHAnsi" w:hAnsiTheme="majorHAnsi"/>
          <w:b/>
        </w:rPr>
        <w:t xml:space="preserve">1. </w:t>
      </w:r>
      <w:r w:rsidRPr="00941805">
        <w:rPr>
          <w:rFonts w:asciiTheme="majorHAnsi" w:hAnsiTheme="majorHAnsi"/>
          <w:b/>
        </w:rPr>
        <w:tab/>
        <w:t>Infractions signalées par les observateurs dans le cadre du Programme régional d'observateurs pour les transbordements</w:t>
      </w:r>
    </w:p>
    <w:p w14:paraId="4FA37481" w14:textId="77777777" w:rsidR="00B70D0A" w:rsidRPr="00941805" w:rsidRDefault="00B70D0A" w:rsidP="00344939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76D1855B" w14:textId="7F437E74" w:rsidR="00CE6AA5" w:rsidRPr="0002516B" w:rsidRDefault="005B4BCC" w:rsidP="00344939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941805">
        <w:rPr>
          <w:rFonts w:asciiTheme="majorHAnsi" w:hAnsiTheme="majorHAnsi"/>
        </w:rPr>
        <w:t>Seuls six cas de non-application potentielle</w:t>
      </w:r>
      <w:r w:rsidR="00C2709E" w:rsidRPr="00941805">
        <w:rPr>
          <w:rFonts w:asciiTheme="majorHAnsi" w:hAnsiTheme="majorHAnsi"/>
        </w:rPr>
        <w:t xml:space="preserve"> (PNC)</w:t>
      </w:r>
      <w:r w:rsidRPr="00941805">
        <w:rPr>
          <w:rFonts w:asciiTheme="majorHAnsi" w:hAnsiTheme="majorHAnsi"/>
        </w:rPr>
        <w:t xml:space="preserve"> ont été signalés, comme indiqué ci-dessous. Des réponses à tous ces cas ont été reçues. Le cas échéant, les CPC ont pris des mesures de suivi. Les détails des PNC et des réponses figurent à l'</w:t>
      </w:r>
      <w:r w:rsidRPr="00941805">
        <w:rPr>
          <w:rFonts w:asciiTheme="majorHAnsi" w:hAnsiTheme="majorHAnsi"/>
          <w:b/>
        </w:rPr>
        <w:t>appendice 1.</w:t>
      </w:r>
    </w:p>
    <w:p w14:paraId="5EF5F169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sz w:val="16"/>
          <w:szCs w:val="16"/>
        </w:rPr>
      </w:pPr>
    </w:p>
    <w:p w14:paraId="1C3B4501" w14:textId="750BBC5C" w:rsidR="00CE6AA5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t>Tableau 1.</w:t>
      </w:r>
      <w:r w:rsidRPr="0002516B">
        <w:rPr>
          <w:rFonts w:asciiTheme="majorHAnsi" w:hAnsiTheme="majorHAnsi"/>
        </w:rPr>
        <w:t xml:space="preserve"> Résumé des PNC dans le cadre du ROP pour les transbordements.</w:t>
      </w:r>
    </w:p>
    <w:p w14:paraId="1BDC67D0" w14:textId="77777777" w:rsidR="0002516B" w:rsidRPr="0002516B" w:rsidRDefault="0002516B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02516B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14275F1A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Nbr</w:t>
            </w:r>
            <w:r w:rsidR="00A10F34">
              <w:rPr>
                <w:rFonts w:asciiTheme="majorHAnsi" w:hAnsiTheme="majorHAnsi"/>
                <w:bCs/>
                <w:i/>
                <w:iCs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</w:rPr>
              <w:t xml:space="preserve"> PNC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Réponses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02516B" w:rsidRDefault="005B4BCC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Mesures prises par la CPC</w:t>
            </w:r>
          </w:p>
        </w:tc>
      </w:tr>
      <w:tr w:rsidR="005B4BCC" w:rsidRPr="0002516B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Chine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02516B" w:rsidRDefault="00354F70" w:rsidP="00376158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5B4BCC" w:rsidRPr="0002516B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02516B" w:rsidRDefault="005B4BCC" w:rsidP="00344939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Taipei chinois</w:t>
            </w:r>
          </w:p>
        </w:tc>
        <w:tc>
          <w:tcPr>
            <w:tcW w:w="1173" w:type="pct"/>
            <w:vAlign w:val="center"/>
          </w:tcPr>
          <w:p w14:paraId="591DC9F3" w14:textId="08B96C23" w:rsidR="005B4BCC" w:rsidRPr="0002516B" w:rsidRDefault="00354F70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02516B" w:rsidRDefault="003B4188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02516B" w:rsidRDefault="003B4188" w:rsidP="00F70B6F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5B4BCC" w:rsidRPr="0002516B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02516B" w:rsidRDefault="005B4BCC" w:rsidP="004A7ADB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Japon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02516B" w:rsidRDefault="00376158" w:rsidP="004A7ADB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02516B" w:rsidRDefault="00354F70" w:rsidP="00376158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02516B" w:rsidRDefault="00376158" w:rsidP="004A7ADB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</w:tbl>
    <w:p w14:paraId="1F5379C6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4614CD73" w14:textId="1738148D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complets des observateurs déployés dans le cadre du ROP</w:t>
      </w:r>
      <w:r w:rsidR="00831E8E">
        <w:rPr>
          <w:rFonts w:asciiTheme="majorHAnsi" w:hAnsiTheme="majorHAnsi"/>
        </w:rPr>
        <w:t xml:space="preserve"> pour les </w:t>
      </w:r>
      <w:r w:rsidRPr="0002516B">
        <w:rPr>
          <w:rFonts w:asciiTheme="majorHAnsi" w:hAnsiTheme="majorHAnsi"/>
        </w:rPr>
        <w:t>transbordement</w:t>
      </w:r>
      <w:r w:rsidR="00831E8E">
        <w:rPr>
          <w:rFonts w:asciiTheme="majorHAnsi" w:hAnsiTheme="majorHAnsi"/>
        </w:rPr>
        <w:t>s</w:t>
      </w:r>
      <w:r w:rsidRPr="0002516B">
        <w:rPr>
          <w:rFonts w:asciiTheme="majorHAnsi" w:hAnsiTheme="majorHAnsi"/>
        </w:rPr>
        <w:t xml:space="preserve"> peuvent être consultés sur la </w:t>
      </w:r>
      <w:hyperlink r:id="rId7" w:history="1">
        <w:r w:rsidRPr="0002516B">
          <w:rPr>
            <w:rStyle w:val="Hyperlink"/>
            <w:rFonts w:asciiTheme="majorHAnsi" w:hAnsiTheme="majorHAnsi"/>
            <w:u w:val="none"/>
          </w:rPr>
          <w:t>page web de l</w:t>
        </w:r>
        <w:r w:rsidRPr="0002516B">
          <w:rPr>
            <w:rStyle w:val="Hyperlink"/>
            <w:rFonts w:asciiTheme="majorHAnsi" w:hAnsiTheme="majorHAnsi"/>
            <w:u w:val="none"/>
          </w:rPr>
          <w:t>’ICCAT</w:t>
        </w:r>
      </w:hyperlink>
      <w:r w:rsidRPr="0002516B">
        <w:rPr>
          <w:rFonts w:asciiTheme="majorHAnsi" w:hAnsiTheme="majorHAnsi"/>
        </w:rPr>
        <w:t xml:space="preserve">. </w:t>
      </w:r>
    </w:p>
    <w:p w14:paraId="16E8FF10" w14:textId="3B051AE9" w:rsidR="00344939" w:rsidRPr="0002516B" w:rsidRDefault="00344939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4DE61F41" w14:textId="77777777" w:rsidR="00A616BF" w:rsidRPr="0002516B" w:rsidRDefault="00A616BF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</w:p>
    <w:p w14:paraId="271A912A" w14:textId="77777777" w:rsidR="00CE6AA5" w:rsidRPr="0002516B" w:rsidRDefault="00CE6AA5" w:rsidP="00A616BF">
      <w:pPr>
        <w:spacing w:after="0" w:line="240" w:lineRule="auto"/>
        <w:ind w:left="426" w:hanging="426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  <w:b/>
        </w:rPr>
        <w:t>2.</w:t>
      </w:r>
      <w:r w:rsidRPr="0002516B">
        <w:rPr>
          <w:rFonts w:asciiTheme="majorHAnsi" w:hAnsiTheme="majorHAnsi"/>
          <w:b/>
        </w:rPr>
        <w:tab/>
        <w:t>Infractions signalées par les observateurs dans le cadre du Programme régional d'observateurs pour le thon rouge de l'Atlantique Est et de la Méditerranée</w:t>
      </w:r>
    </w:p>
    <w:p w14:paraId="413FD0AC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i/>
        </w:rPr>
      </w:pPr>
    </w:p>
    <w:p w14:paraId="48353D36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i/>
        </w:rPr>
      </w:pPr>
      <w:r w:rsidRPr="0002516B">
        <w:rPr>
          <w:rFonts w:asciiTheme="majorHAnsi" w:hAnsiTheme="majorHAnsi"/>
          <w:b/>
          <w:bCs/>
          <w:i/>
        </w:rPr>
        <w:t>2.1 Navires</w:t>
      </w:r>
    </w:p>
    <w:p w14:paraId="3D7A1B95" w14:textId="77777777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i/>
        </w:rPr>
      </w:pPr>
    </w:p>
    <w:p w14:paraId="1080EA3D" w14:textId="0C25E771" w:rsidR="00CE6AA5" w:rsidRPr="0002516B" w:rsidRDefault="00B327F4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Soixante-trois PNC ont été délivrés par des observateurs à bord de senneurs. Un résumé des rapports des PNC et des réponses, ainsi que des mesures prises le cas échéant, se trouve à l'</w:t>
      </w:r>
      <w:r w:rsidRPr="0002516B">
        <w:rPr>
          <w:rFonts w:asciiTheme="majorHAnsi" w:hAnsiTheme="majorHAnsi"/>
          <w:b/>
        </w:rPr>
        <w:t>appendice 2.</w:t>
      </w:r>
    </w:p>
    <w:p w14:paraId="3CA6E819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6A22DAED" w14:textId="3FEF615C" w:rsidR="00CE6AA5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t>Tableau 2.</w:t>
      </w:r>
      <w:r w:rsidRPr="0002516B">
        <w:rPr>
          <w:rFonts w:asciiTheme="majorHAnsi" w:hAnsiTheme="majorHAnsi"/>
        </w:rPr>
        <w:t xml:space="preserve"> Résumé des PNC dans le cadre du ROP-BFT (navires)</w:t>
      </w:r>
    </w:p>
    <w:p w14:paraId="6FB721B7" w14:textId="77777777" w:rsidR="0002516B" w:rsidRPr="0002516B" w:rsidRDefault="0002516B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02516B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02516B" w:rsidRDefault="00CE6AA5" w:rsidP="00344939">
            <w:pPr>
              <w:contextualSpacing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 xml:space="preserve">Nombre de navires </w:t>
            </w:r>
          </w:p>
          <w:p w14:paraId="61584AEA" w14:textId="25583FB7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participant au ROP en 2025</w:t>
            </w:r>
          </w:p>
        </w:tc>
        <w:tc>
          <w:tcPr>
            <w:tcW w:w="1300" w:type="pct"/>
            <w:vAlign w:val="center"/>
          </w:tcPr>
          <w:p w14:paraId="133EEFFE" w14:textId="02C062C6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Nbr</w:t>
            </w:r>
            <w:r w:rsidR="00A10F34">
              <w:rPr>
                <w:rFonts w:asciiTheme="majorHAnsi" w:hAnsiTheme="majorHAnsi"/>
                <w:bCs/>
                <w:i/>
                <w:iCs/>
                <w:szCs w:val="20"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 xml:space="preserve"> PNC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02516B" w:rsidRDefault="00CE6AA5" w:rsidP="00F70B6F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  <w:szCs w:val="20"/>
              </w:rPr>
            </w:pPr>
            <w:r w:rsidRPr="0002516B">
              <w:rPr>
                <w:rFonts w:asciiTheme="majorHAnsi" w:hAnsiTheme="majorHAnsi"/>
                <w:bCs/>
                <w:i/>
                <w:iCs/>
                <w:szCs w:val="20"/>
              </w:rPr>
              <w:t>Réponses</w:t>
            </w:r>
          </w:p>
        </w:tc>
      </w:tr>
      <w:tr w:rsidR="00DD506E" w:rsidRPr="0002516B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bookmarkStart w:id="0" w:name="_Hlk23256556"/>
            <w:r w:rsidRPr="0002516B">
              <w:rPr>
                <w:rFonts w:asciiTheme="majorHAnsi" w:hAnsiTheme="majorHAnsi"/>
              </w:rPr>
              <w:t>Albanie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02516B" w:rsidRDefault="00DD506E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02516B" w:rsidRDefault="00376158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02516B" w:rsidRDefault="00DD506E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DD506E" w:rsidRPr="0002516B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Algérie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02516B" w:rsidRDefault="002E72F1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39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02516B" w:rsidRDefault="00354F70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</w:t>
            </w:r>
          </w:p>
        </w:tc>
      </w:tr>
      <w:tr w:rsidR="00DD506E" w:rsidRPr="0002516B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UE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28</w:t>
            </w:r>
          </w:p>
        </w:tc>
        <w:tc>
          <w:tcPr>
            <w:tcW w:w="1077" w:type="pct"/>
            <w:vAlign w:val="center"/>
          </w:tcPr>
          <w:p w14:paraId="41A23E64" w14:textId="15FA9C5E" w:rsidR="00DD506E" w:rsidRPr="0002516B" w:rsidRDefault="00785EF6" w:rsidP="005C31E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28 (8 procédures en instance)</w:t>
            </w:r>
          </w:p>
        </w:tc>
      </w:tr>
      <w:tr w:rsidR="00BE4EE9" w:rsidRPr="0002516B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02516B" w:rsidRDefault="00BE4EE9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Égypte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02516B" w:rsidRDefault="00BE4EE9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</w:tr>
      <w:tr w:rsidR="00DD506E" w:rsidRPr="0002516B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Libye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02516B" w:rsidRDefault="00B70D0A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Maroc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02516B" w:rsidRDefault="00212252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02516B" w:rsidRDefault="0088215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Norvège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02516B" w:rsidRDefault="00771A98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02516B" w:rsidRDefault="0009592D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  <w:tr w:rsidR="00DD506E" w:rsidRPr="0002516B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02516B" w:rsidRDefault="00DD506E" w:rsidP="00DD506E">
            <w:pPr>
              <w:contextualSpacing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Tunisie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02516B" w:rsidRDefault="002E72F1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59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02516B" w:rsidRDefault="0009592D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02516B" w:rsidRDefault="00785EF6" w:rsidP="00DD506E">
            <w:pPr>
              <w:contextualSpacing/>
              <w:jc w:val="center"/>
              <w:rPr>
                <w:rFonts w:asciiTheme="majorHAnsi" w:hAnsiTheme="majorHAnsi"/>
              </w:rPr>
            </w:pPr>
            <w:r w:rsidRPr="0002516B">
              <w:rPr>
                <w:rFonts w:asciiTheme="majorHAnsi" w:hAnsiTheme="majorHAnsi"/>
              </w:rPr>
              <w:t>10</w:t>
            </w:r>
          </w:p>
        </w:tc>
      </w:tr>
      <w:tr w:rsidR="00DD506E" w:rsidRPr="0002516B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02516B" w:rsidRDefault="00722DA5" w:rsidP="00DD506E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Türkiye</w:t>
            </w:r>
          </w:p>
        </w:tc>
        <w:tc>
          <w:tcPr>
            <w:tcW w:w="1454" w:type="pct"/>
            <w:vAlign w:val="center"/>
          </w:tcPr>
          <w:p w14:paraId="7AEBC1F9" w14:textId="08AD7E11" w:rsidR="00DD506E" w:rsidRPr="0002516B" w:rsidRDefault="00BE4EE9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02516B" w:rsidRDefault="005B4BCC" w:rsidP="00DD506E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14</w:t>
            </w:r>
          </w:p>
        </w:tc>
      </w:tr>
    </w:tbl>
    <w:bookmarkEnd w:id="0"/>
    <w:p w14:paraId="6DC3A349" w14:textId="6089536B" w:rsidR="008209FB" w:rsidRPr="0002516B" w:rsidRDefault="00771A98" w:rsidP="00FF063A">
      <w:pPr>
        <w:spacing w:line="220" w:lineRule="exact"/>
        <w:rPr>
          <w:rFonts w:asciiTheme="majorHAnsi" w:hAnsiTheme="majorHAnsi"/>
          <w:iCs/>
          <w:strike/>
          <w:sz w:val="16"/>
          <w:szCs w:val="16"/>
        </w:rPr>
      </w:pPr>
      <w:r w:rsidRPr="0002516B">
        <w:rPr>
          <w:rFonts w:asciiTheme="majorHAnsi" w:hAnsiTheme="majorHAnsi"/>
          <w:iCs/>
          <w:sz w:val="16"/>
          <w:szCs w:val="16"/>
        </w:rPr>
        <w:t>* Pour 2024, à la date de rédaction, les rapports n’ont pas tous été reçus en raison de la saison de pêche plus tardive</w:t>
      </w:r>
      <w:r w:rsidR="00E7105D">
        <w:rPr>
          <w:rFonts w:asciiTheme="majorHAnsi" w:hAnsiTheme="majorHAnsi"/>
          <w:iCs/>
          <w:sz w:val="16"/>
          <w:szCs w:val="16"/>
        </w:rPr>
        <w:t>.</w:t>
      </w:r>
    </w:p>
    <w:p w14:paraId="47877664" w14:textId="055C2960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des observateurs déployés sur des senneurs sont disponibles à l'</w:t>
      </w:r>
      <w:r w:rsidRPr="0002516B">
        <w:rPr>
          <w:rFonts w:asciiTheme="majorHAnsi" w:hAnsiTheme="majorHAnsi"/>
          <w:b/>
        </w:rPr>
        <w:t>annexe 1.</w:t>
      </w:r>
    </w:p>
    <w:p w14:paraId="3BABF31C" w14:textId="77777777" w:rsidR="008209FB" w:rsidRPr="0002516B" w:rsidRDefault="008209FB" w:rsidP="00344939">
      <w:pPr>
        <w:spacing w:after="0" w:line="240" w:lineRule="auto"/>
        <w:contextualSpacing/>
        <w:rPr>
          <w:rFonts w:asciiTheme="majorHAnsi" w:hAnsiTheme="majorHAnsi"/>
          <w:b/>
        </w:rPr>
      </w:pPr>
    </w:p>
    <w:p w14:paraId="5284C0F0" w14:textId="038DC702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  <w:b/>
          <w:bCs/>
          <w:i/>
        </w:rPr>
      </w:pPr>
      <w:r w:rsidRPr="0002516B">
        <w:rPr>
          <w:rFonts w:asciiTheme="majorHAnsi" w:hAnsiTheme="majorHAnsi"/>
          <w:b/>
          <w:bCs/>
          <w:i/>
        </w:rPr>
        <w:t>2.2 Fermes et madragues</w:t>
      </w:r>
    </w:p>
    <w:p w14:paraId="49EA9226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p w14:paraId="46F5A946" w14:textId="0E796455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02516B">
        <w:rPr>
          <w:rFonts w:asciiTheme="majorHAnsi" w:hAnsiTheme="majorHAnsi"/>
        </w:rPr>
        <w:t>Les observateurs ont signalé un total de 36 cas de non-application potentielle depuis la dernière réunion de la Commission. Un résumé des rapports des PNC et des réponses, ainsi que des mesures prises, le cas échéant, se trouve à l'</w:t>
      </w:r>
      <w:r w:rsidRPr="0002516B">
        <w:rPr>
          <w:rFonts w:asciiTheme="majorHAnsi" w:hAnsiTheme="majorHAnsi"/>
          <w:b/>
        </w:rPr>
        <w:t>appendice 3</w:t>
      </w:r>
      <w:r w:rsidRPr="0002516B">
        <w:rPr>
          <w:rFonts w:asciiTheme="majorHAnsi" w:hAnsiTheme="majorHAnsi"/>
        </w:rPr>
        <w:t xml:space="preserve">. Le </w:t>
      </w:r>
      <w:r w:rsidRPr="0002516B">
        <w:rPr>
          <w:rFonts w:asciiTheme="majorHAnsi" w:hAnsiTheme="majorHAnsi"/>
          <w:b/>
        </w:rPr>
        <w:t xml:space="preserve">tableau 3 </w:t>
      </w:r>
      <w:r w:rsidRPr="0002516B">
        <w:rPr>
          <w:rFonts w:asciiTheme="majorHAnsi" w:hAnsiTheme="majorHAnsi"/>
        </w:rPr>
        <w:t>ci-dessous présente un résumé des rapports.</w:t>
      </w:r>
    </w:p>
    <w:p w14:paraId="0BE08795" w14:textId="77777777" w:rsidR="00DE39F7" w:rsidRDefault="00DE39F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174D3BC8" w14:textId="57BD1521" w:rsidR="00CE6AA5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</w:rPr>
      </w:pPr>
      <w:r w:rsidRPr="0002516B">
        <w:rPr>
          <w:rFonts w:asciiTheme="majorHAnsi" w:hAnsiTheme="majorHAnsi"/>
          <w:b/>
        </w:rPr>
        <w:lastRenderedPageBreak/>
        <w:t>Tableau 3.</w:t>
      </w:r>
      <w:r w:rsidRPr="0002516B">
        <w:rPr>
          <w:rFonts w:asciiTheme="majorHAnsi" w:hAnsiTheme="majorHAnsi"/>
        </w:rPr>
        <w:t xml:space="preserve"> Résumé des PNC dans le cadre du ROP-BFT (madragues* et fermes).</w:t>
      </w:r>
    </w:p>
    <w:p w14:paraId="08FB24F4" w14:textId="77777777" w:rsidR="00CE6AA5" w:rsidRPr="0002516B" w:rsidRDefault="00CE6AA5" w:rsidP="00344939">
      <w:pPr>
        <w:spacing w:after="0" w:line="240" w:lineRule="auto"/>
        <w:contextualSpacing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549"/>
        <w:gridCol w:w="1673"/>
        <w:gridCol w:w="2516"/>
      </w:tblGrid>
      <w:tr w:rsidR="00B85F2D" w:rsidRPr="0002516B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bookmarkStart w:id="1" w:name="_Hlk49333612"/>
            <w:r w:rsidRPr="0002516B">
              <w:rPr>
                <w:rFonts w:asciiTheme="majorHAnsi" w:hAnsiTheme="majorHAnsi"/>
                <w:bCs/>
                <w:i/>
                <w:iCs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Nombre de déploiements dans les madragues/fermes dans le cadre du ROP depuis le 1er octobre 2024</w:t>
            </w:r>
          </w:p>
        </w:tc>
        <w:tc>
          <w:tcPr>
            <w:tcW w:w="1701" w:type="dxa"/>
            <w:vAlign w:val="center"/>
          </w:tcPr>
          <w:p w14:paraId="555A5DD3" w14:textId="2CFCB5EA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Nbr</w:t>
            </w:r>
            <w:r w:rsidR="00552CFD">
              <w:rPr>
                <w:rFonts w:asciiTheme="majorHAnsi" w:hAnsiTheme="majorHAnsi"/>
                <w:bCs/>
                <w:i/>
                <w:iCs/>
              </w:rPr>
              <w:t>e</w:t>
            </w:r>
            <w:r w:rsidRPr="0002516B">
              <w:rPr>
                <w:rFonts w:asciiTheme="majorHAnsi" w:hAnsiTheme="majorHAnsi"/>
                <w:bCs/>
                <w:i/>
                <w:iCs/>
              </w:rPr>
              <w:t xml:space="preserve"> PNC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02516B" w:rsidRDefault="00B85F2D" w:rsidP="00C665F0">
            <w:pPr>
              <w:contextualSpacing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02516B">
              <w:rPr>
                <w:rFonts w:asciiTheme="majorHAnsi" w:hAnsiTheme="majorHAnsi"/>
                <w:bCs/>
                <w:i/>
                <w:iCs/>
              </w:rPr>
              <w:t>Réponses</w:t>
            </w:r>
          </w:p>
        </w:tc>
      </w:tr>
      <w:tr w:rsidR="006B577C" w:rsidRPr="0002516B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02516B" w:rsidRDefault="006B577C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Albanie</w:t>
            </w:r>
          </w:p>
        </w:tc>
        <w:tc>
          <w:tcPr>
            <w:tcW w:w="2569" w:type="dxa"/>
          </w:tcPr>
          <w:p w14:paraId="5D70F20B" w14:textId="35E69EED" w:rsidR="006B577C" w:rsidRPr="0002516B" w:rsidRDefault="001C05E4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5102852F" w14:textId="0D35517F" w:rsidR="006B577C" w:rsidRPr="0002516B" w:rsidRDefault="005B4BCC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2557" w:type="dxa"/>
          </w:tcPr>
          <w:p w14:paraId="68BC3935" w14:textId="037C1590" w:rsidR="006B577C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C4467A" w:rsidRPr="0002516B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UE</w:t>
            </w:r>
          </w:p>
        </w:tc>
        <w:tc>
          <w:tcPr>
            <w:tcW w:w="2569" w:type="dxa"/>
          </w:tcPr>
          <w:p w14:paraId="7FEE621E" w14:textId="3DB92B6A" w:rsidR="00C4467A" w:rsidRPr="0002516B" w:rsidRDefault="00FE6FB5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  <w:bCs/>
              </w:rPr>
              <w:t>44</w:t>
            </w:r>
          </w:p>
        </w:tc>
        <w:tc>
          <w:tcPr>
            <w:tcW w:w="1701" w:type="dxa"/>
          </w:tcPr>
          <w:p w14:paraId="77371C52" w14:textId="043B3682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35</w:t>
            </w:r>
          </w:p>
        </w:tc>
        <w:tc>
          <w:tcPr>
            <w:tcW w:w="2557" w:type="dxa"/>
          </w:tcPr>
          <w:p w14:paraId="184666B5" w14:textId="745844F7" w:rsidR="00C4467A" w:rsidRPr="0002516B" w:rsidRDefault="00517D40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35</w:t>
            </w:r>
          </w:p>
        </w:tc>
      </w:tr>
      <w:tr w:rsidR="00C4467A" w:rsidRPr="0002516B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Maroc</w:t>
            </w:r>
          </w:p>
        </w:tc>
        <w:tc>
          <w:tcPr>
            <w:tcW w:w="2569" w:type="dxa"/>
          </w:tcPr>
          <w:p w14:paraId="518C7A16" w14:textId="4433456C" w:rsidR="00C4467A" w:rsidRPr="0002516B" w:rsidRDefault="0010093B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8</w:t>
            </w:r>
          </w:p>
        </w:tc>
        <w:tc>
          <w:tcPr>
            <w:tcW w:w="1701" w:type="dxa"/>
          </w:tcPr>
          <w:p w14:paraId="153485FF" w14:textId="2F73CFCF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  <w:tc>
          <w:tcPr>
            <w:tcW w:w="2557" w:type="dxa"/>
          </w:tcPr>
          <w:p w14:paraId="1B053F9C" w14:textId="4A53EF15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n/a</w:t>
            </w:r>
          </w:p>
        </w:tc>
      </w:tr>
      <w:tr w:rsidR="00C4467A" w:rsidRPr="0002516B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Tunisie</w:t>
            </w:r>
          </w:p>
        </w:tc>
        <w:tc>
          <w:tcPr>
            <w:tcW w:w="2569" w:type="dxa"/>
          </w:tcPr>
          <w:p w14:paraId="4E3FD755" w14:textId="79E1A800" w:rsidR="00C4467A" w:rsidRPr="0002516B" w:rsidRDefault="00F36D1C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  <w:bCs/>
              </w:rPr>
              <w:t>6</w:t>
            </w:r>
          </w:p>
        </w:tc>
        <w:tc>
          <w:tcPr>
            <w:tcW w:w="1701" w:type="dxa"/>
          </w:tcPr>
          <w:p w14:paraId="0234B684" w14:textId="1E4B27FE" w:rsidR="00C4467A" w:rsidRPr="0002516B" w:rsidRDefault="008E407E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2557" w:type="dxa"/>
          </w:tcPr>
          <w:p w14:paraId="3B4AA93D" w14:textId="1A96BB40" w:rsidR="00C4467A" w:rsidRPr="0002516B" w:rsidRDefault="008E407E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0</w:t>
            </w:r>
          </w:p>
        </w:tc>
      </w:tr>
      <w:tr w:rsidR="00C4467A" w:rsidRPr="0002516B" w14:paraId="3274DECB" w14:textId="77777777" w:rsidTr="00664DA4">
        <w:trPr>
          <w:trHeight w:val="287"/>
        </w:trPr>
        <w:tc>
          <w:tcPr>
            <w:tcW w:w="2359" w:type="dxa"/>
          </w:tcPr>
          <w:p w14:paraId="79C8982C" w14:textId="5D169D83" w:rsidR="00C4467A" w:rsidRPr="0002516B" w:rsidRDefault="00C4467A" w:rsidP="00C4467A">
            <w:pPr>
              <w:contextualSpacing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Türkiye</w:t>
            </w:r>
          </w:p>
        </w:tc>
        <w:tc>
          <w:tcPr>
            <w:tcW w:w="2569" w:type="dxa"/>
          </w:tcPr>
          <w:p w14:paraId="1F82BDD5" w14:textId="533A560F" w:rsidR="00C4467A" w:rsidRPr="0002516B" w:rsidRDefault="0010093B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9</w:t>
            </w:r>
          </w:p>
        </w:tc>
        <w:tc>
          <w:tcPr>
            <w:tcW w:w="1701" w:type="dxa"/>
          </w:tcPr>
          <w:p w14:paraId="75B952F1" w14:textId="29335E83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  <w:tc>
          <w:tcPr>
            <w:tcW w:w="2557" w:type="dxa"/>
          </w:tcPr>
          <w:p w14:paraId="61AFDB17" w14:textId="7464344A" w:rsidR="00C4467A" w:rsidRPr="0002516B" w:rsidRDefault="004D4559" w:rsidP="00C4467A">
            <w:pPr>
              <w:contextualSpacing/>
              <w:jc w:val="center"/>
              <w:rPr>
                <w:rFonts w:asciiTheme="majorHAnsi" w:hAnsiTheme="majorHAnsi"/>
                <w:bCs/>
              </w:rPr>
            </w:pPr>
            <w:r w:rsidRPr="0002516B">
              <w:rPr>
                <w:rFonts w:asciiTheme="majorHAnsi" w:hAnsiTheme="majorHAnsi"/>
              </w:rPr>
              <w:t>1</w:t>
            </w:r>
          </w:p>
        </w:tc>
      </w:tr>
    </w:tbl>
    <w:bookmarkEnd w:id="1"/>
    <w:p w14:paraId="4893D8A1" w14:textId="1FA2300F" w:rsidR="00CE6AA5" w:rsidRPr="0002516B" w:rsidRDefault="001C05E4" w:rsidP="00344939">
      <w:pPr>
        <w:spacing w:after="0" w:line="240" w:lineRule="auto"/>
        <w:contextualSpacing/>
        <w:rPr>
          <w:rFonts w:asciiTheme="majorHAnsi" w:hAnsiTheme="majorHAnsi"/>
          <w:bCs/>
          <w:sz w:val="16"/>
          <w:szCs w:val="16"/>
        </w:rPr>
      </w:pPr>
      <w:r w:rsidRPr="0002516B">
        <w:rPr>
          <w:rFonts w:asciiTheme="majorHAnsi" w:hAnsiTheme="majorHAnsi"/>
          <w:bCs/>
          <w:sz w:val="16"/>
          <w:szCs w:val="16"/>
        </w:rPr>
        <w:t>*Aucun déploiement dans les madragues en 2025.</w:t>
      </w:r>
    </w:p>
    <w:p w14:paraId="506C2C1A" w14:textId="77777777" w:rsidR="002A582D" w:rsidRPr="0002516B" w:rsidRDefault="002A582D" w:rsidP="00344939">
      <w:pPr>
        <w:spacing w:after="0" w:line="240" w:lineRule="auto"/>
        <w:contextualSpacing/>
        <w:rPr>
          <w:rFonts w:asciiTheme="majorHAnsi" w:hAnsiTheme="majorHAnsi"/>
          <w:bCs/>
          <w:i/>
          <w:iCs/>
        </w:rPr>
      </w:pPr>
    </w:p>
    <w:p w14:paraId="130A2C47" w14:textId="478A070E" w:rsidR="00CB74B1" w:rsidRPr="0002516B" w:rsidRDefault="00CE6AA5" w:rsidP="00A616BF">
      <w:pPr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2516B">
        <w:rPr>
          <w:rFonts w:asciiTheme="majorHAnsi" w:hAnsiTheme="majorHAnsi"/>
        </w:rPr>
        <w:t>Les rapports des observateurs déployés dans les fermes et les madragues sont disponibles à l’</w:t>
      </w:r>
      <w:r w:rsidRPr="0002516B">
        <w:rPr>
          <w:rFonts w:asciiTheme="majorHAnsi" w:hAnsiTheme="majorHAnsi"/>
          <w:b/>
        </w:rPr>
        <w:t>annexe 2</w:t>
      </w:r>
      <w:r w:rsidRPr="0002516B">
        <w:rPr>
          <w:rFonts w:asciiTheme="majorHAnsi" w:hAnsiTheme="majorHAnsi"/>
        </w:rPr>
        <w:t>.</w:t>
      </w:r>
    </w:p>
    <w:p w14:paraId="4354C23B" w14:textId="77777777" w:rsidR="00CE6AA5" w:rsidRPr="0002516B" w:rsidRDefault="00CE6AA5" w:rsidP="00344939">
      <w:pPr>
        <w:spacing w:after="0" w:line="240" w:lineRule="auto"/>
        <w:contextualSpacing/>
        <w:jc w:val="both"/>
        <w:rPr>
          <w:rFonts w:asciiTheme="majorHAnsi" w:hAnsiTheme="majorHAnsi"/>
          <w:bCs/>
          <w:sz w:val="18"/>
          <w:szCs w:val="18"/>
        </w:rPr>
      </w:pPr>
    </w:p>
    <w:sectPr w:rsidR="00CE6AA5" w:rsidRPr="0002516B" w:rsidSect="00344939">
      <w:headerReference w:type="default" r:id="rId8"/>
      <w:footerReference w:type="default" r:id="rId9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F472" w14:textId="77777777" w:rsidR="00E02E8E" w:rsidRDefault="00E02E8E" w:rsidP="00CE6AA5">
      <w:pPr>
        <w:spacing w:after="0" w:line="240" w:lineRule="auto"/>
      </w:pPr>
      <w:r>
        <w:separator/>
      </w:r>
    </w:p>
  </w:endnote>
  <w:endnote w:type="continuationSeparator" w:id="0">
    <w:p w14:paraId="00156200" w14:textId="77777777" w:rsidR="00E02E8E" w:rsidRDefault="00E02E8E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0D7B" w14:textId="65585672" w:rsidR="00344939" w:rsidRPr="009B2102" w:rsidRDefault="00000000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PAGE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1</w:t>
        </w:r>
        <w:r w:rsidR="009B2102" w:rsidRPr="00713AD4">
          <w:rPr>
            <w:rFonts w:eastAsia="Calibri" w:cs="Calibri"/>
            <w:szCs w:val="20"/>
          </w:rPr>
          <w:fldChar w:fldCharType="end"/>
        </w:r>
        <w:r w:rsidR="00B516A4">
          <w:t xml:space="preserve"> / </w:t>
        </w:r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NUMPAGES 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2</w:t>
        </w:r>
        <w:r w:rsidR="009B2102" w:rsidRPr="00713AD4">
          <w:rPr>
            <w:rFonts w:eastAsia="Calibri" w:cs="Calibri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AACC" w14:textId="77777777" w:rsidR="00E02E8E" w:rsidRDefault="00E02E8E" w:rsidP="00CE6AA5">
      <w:pPr>
        <w:spacing w:after="0" w:line="240" w:lineRule="auto"/>
      </w:pPr>
      <w:r>
        <w:separator/>
      </w:r>
    </w:p>
  </w:footnote>
  <w:footnote w:type="continuationSeparator" w:id="0">
    <w:p w14:paraId="461E6C7D" w14:textId="77777777" w:rsidR="00E02E8E" w:rsidRDefault="00E02E8E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C0DB" w14:textId="118813B8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b/>
        <w:bCs/>
        <w:szCs w:val="20"/>
      </w:rPr>
      <w:t>COC_305/2025</w:t>
    </w:r>
  </w:p>
  <w:bookmarkEnd w:id="2"/>
  <w:bookmarkEnd w:id="3"/>
  <w:bookmarkEnd w:id="4"/>
  <w:bookmarkEnd w:id="5"/>
  <w:bookmarkEnd w:id="6"/>
  <w:bookmarkEnd w:id="7"/>
  <w:p w14:paraId="0F9FD921" w14:textId="0A044243" w:rsidR="00CE6AA5" w:rsidRPr="009B2102" w:rsidRDefault="0002516B" w:rsidP="009B2102">
    <w:pPr>
      <w:widowControl w:val="0"/>
      <w:tabs>
        <w:tab w:val="left" w:pos="7320"/>
      </w:tabs>
      <w:spacing w:after="0" w:line="240" w:lineRule="exact"/>
      <w:jc w:val="right"/>
    </w:pPr>
    <w:r>
      <w:rPr>
        <w:rFonts w:eastAsia="Calibri" w:cs="Times New Roman"/>
        <w:b/>
        <w:bCs/>
        <w:sz w:val="16"/>
        <w:szCs w:val="16"/>
      </w:rPr>
      <w:fldChar w:fldCharType="begin"/>
    </w:r>
    <w:r>
      <w:rPr>
        <w:rFonts w:eastAsia="Calibri" w:cs="Times New Roman"/>
        <w:b/>
        <w:bCs/>
        <w:sz w:val="16"/>
        <w:szCs w:val="16"/>
      </w:rPr>
      <w:instrText xml:space="preserve"> TIME  \@ "dd/MM/yyyy HH:mm" </w:instrText>
    </w:r>
    <w:r>
      <w:rPr>
        <w:rFonts w:eastAsia="Calibri" w:cs="Times New Roman"/>
        <w:b/>
        <w:bCs/>
        <w:sz w:val="16"/>
        <w:szCs w:val="16"/>
      </w:rPr>
      <w:fldChar w:fldCharType="separate"/>
    </w:r>
    <w:r w:rsidR="004F73CF">
      <w:rPr>
        <w:rFonts w:eastAsia="Calibri" w:cs="Times New Roman"/>
        <w:b/>
        <w:bCs/>
        <w:noProof/>
        <w:sz w:val="16"/>
        <w:szCs w:val="16"/>
      </w:rPr>
      <w:t>06/11/2025 09:03</w:t>
    </w:r>
    <w:r>
      <w:rPr>
        <w:rFonts w:eastAsia="Calibri" w:cs="Times New Roman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2516B"/>
    <w:rsid w:val="00043E37"/>
    <w:rsid w:val="000644F8"/>
    <w:rsid w:val="00092905"/>
    <w:rsid w:val="0009592D"/>
    <w:rsid w:val="0009706E"/>
    <w:rsid w:val="000C6FFE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2788F"/>
    <w:rsid w:val="00243901"/>
    <w:rsid w:val="00262FE5"/>
    <w:rsid w:val="00276BF5"/>
    <w:rsid w:val="002955FE"/>
    <w:rsid w:val="002A582D"/>
    <w:rsid w:val="002E72F1"/>
    <w:rsid w:val="003109C2"/>
    <w:rsid w:val="0033023A"/>
    <w:rsid w:val="00331BBB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4F73CF"/>
    <w:rsid w:val="0050445C"/>
    <w:rsid w:val="00517D40"/>
    <w:rsid w:val="00552CFD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6220FE"/>
    <w:rsid w:val="00631169"/>
    <w:rsid w:val="00664DA4"/>
    <w:rsid w:val="006B0342"/>
    <w:rsid w:val="006B577C"/>
    <w:rsid w:val="006E106B"/>
    <w:rsid w:val="00722DA5"/>
    <w:rsid w:val="007527D2"/>
    <w:rsid w:val="00771A98"/>
    <w:rsid w:val="0077286B"/>
    <w:rsid w:val="00785EF6"/>
    <w:rsid w:val="007E6B82"/>
    <w:rsid w:val="008209FB"/>
    <w:rsid w:val="0082271D"/>
    <w:rsid w:val="00830825"/>
    <w:rsid w:val="00831E8E"/>
    <w:rsid w:val="00874939"/>
    <w:rsid w:val="00882156"/>
    <w:rsid w:val="00896510"/>
    <w:rsid w:val="008E407E"/>
    <w:rsid w:val="008E7B19"/>
    <w:rsid w:val="008F3B7B"/>
    <w:rsid w:val="00941805"/>
    <w:rsid w:val="0094192E"/>
    <w:rsid w:val="009B2102"/>
    <w:rsid w:val="009C491A"/>
    <w:rsid w:val="009F5F8F"/>
    <w:rsid w:val="00A070C2"/>
    <w:rsid w:val="00A10F34"/>
    <w:rsid w:val="00A41C62"/>
    <w:rsid w:val="00A57F46"/>
    <w:rsid w:val="00A616BF"/>
    <w:rsid w:val="00A62E48"/>
    <w:rsid w:val="00A7496C"/>
    <w:rsid w:val="00AD4FD5"/>
    <w:rsid w:val="00AF298F"/>
    <w:rsid w:val="00B14B1F"/>
    <w:rsid w:val="00B25026"/>
    <w:rsid w:val="00B327F4"/>
    <w:rsid w:val="00B516A4"/>
    <w:rsid w:val="00B70D0A"/>
    <w:rsid w:val="00B81796"/>
    <w:rsid w:val="00B85F2D"/>
    <w:rsid w:val="00BC2BF8"/>
    <w:rsid w:val="00BE39FA"/>
    <w:rsid w:val="00BE4EE9"/>
    <w:rsid w:val="00C2709E"/>
    <w:rsid w:val="00C34E8C"/>
    <w:rsid w:val="00C4467A"/>
    <w:rsid w:val="00C51C1E"/>
    <w:rsid w:val="00C61A5C"/>
    <w:rsid w:val="00C665F0"/>
    <w:rsid w:val="00C816F4"/>
    <w:rsid w:val="00C90543"/>
    <w:rsid w:val="00CB74B1"/>
    <w:rsid w:val="00CB7953"/>
    <w:rsid w:val="00CD7103"/>
    <w:rsid w:val="00CE6AA5"/>
    <w:rsid w:val="00D10E55"/>
    <w:rsid w:val="00D13BF9"/>
    <w:rsid w:val="00D243CD"/>
    <w:rsid w:val="00D377CC"/>
    <w:rsid w:val="00D45457"/>
    <w:rsid w:val="00DA0173"/>
    <w:rsid w:val="00DB7B14"/>
    <w:rsid w:val="00DC7690"/>
    <w:rsid w:val="00DD506E"/>
    <w:rsid w:val="00DE39F7"/>
    <w:rsid w:val="00E02E8E"/>
    <w:rsid w:val="00E63D1E"/>
    <w:rsid w:val="00E7105D"/>
    <w:rsid w:val="00F36D1C"/>
    <w:rsid w:val="00F70B6F"/>
    <w:rsid w:val="00F8038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fr/RO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Dorothee Pinet</cp:lastModifiedBy>
  <cp:revision>25</cp:revision>
  <cp:lastPrinted>2022-10-20T07:46:00Z</cp:lastPrinted>
  <dcterms:created xsi:type="dcterms:W3CDTF">2025-10-22T12:33:00Z</dcterms:created>
  <dcterms:modified xsi:type="dcterms:W3CDTF">2025-11-06T08:20:00Z</dcterms:modified>
</cp:coreProperties>
</file>