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990E" w14:textId="77777777" w:rsidR="006F1F09" w:rsidRDefault="006F1F09" w:rsidP="004C10A9">
      <w:pPr>
        <w:spacing w:after="0"/>
        <w:jc w:val="center"/>
        <w:rPr>
          <w:rFonts w:ascii="Cambria" w:hAnsi="Cambria"/>
          <w:b/>
          <w:bCs/>
          <w:sz w:val="20"/>
          <w:szCs w:val="20"/>
        </w:rPr>
      </w:pPr>
    </w:p>
    <w:p w14:paraId="7D1AD1D6" w14:textId="0D9BB0AA" w:rsidR="00407702" w:rsidRPr="00407702" w:rsidRDefault="00407702" w:rsidP="00407702">
      <w:pPr>
        <w:spacing w:after="0" w:line="240" w:lineRule="atLeast"/>
        <w:jc w:val="center"/>
        <w:rPr>
          <w:rFonts w:ascii="Cambria" w:hAnsi="Cambria"/>
          <w:b/>
          <w:bCs/>
          <w:sz w:val="20"/>
          <w:szCs w:val="20"/>
          <w:lang w:val="en-US"/>
        </w:rPr>
      </w:pPr>
      <w:r w:rsidRPr="00407702">
        <w:rPr>
          <w:rFonts w:ascii="Cambria" w:hAnsi="Cambria"/>
          <w:b/>
          <w:bCs/>
          <w:sz w:val="20"/>
          <w:szCs w:val="20"/>
          <w:lang w:val="en-US"/>
        </w:rPr>
        <w:t>ADDENDUM 2 to Appendix 4 of COC-303</w:t>
      </w:r>
    </w:p>
    <w:p w14:paraId="08F102FF" w14:textId="77777777" w:rsidR="00407702" w:rsidRPr="00407702" w:rsidRDefault="00407702" w:rsidP="00407702">
      <w:pPr>
        <w:spacing w:after="0" w:line="240" w:lineRule="atLeast"/>
        <w:jc w:val="center"/>
        <w:rPr>
          <w:rFonts w:ascii="Cambria" w:hAnsi="Cambria"/>
          <w:b/>
          <w:bCs/>
          <w:sz w:val="20"/>
          <w:szCs w:val="20"/>
          <w:lang w:val="en-US"/>
        </w:rPr>
      </w:pPr>
    </w:p>
    <w:p w14:paraId="210C94AE" w14:textId="77777777" w:rsidR="00407702" w:rsidRPr="00AD7969" w:rsidRDefault="00407702" w:rsidP="00407702">
      <w:pPr>
        <w:spacing w:after="0" w:line="240" w:lineRule="atLeast"/>
        <w:jc w:val="center"/>
        <w:rPr>
          <w:rFonts w:ascii="Cambria" w:hAnsi="Cambria"/>
          <w:b/>
          <w:bCs/>
          <w:sz w:val="20"/>
          <w:szCs w:val="20"/>
        </w:rPr>
      </w:pPr>
      <w:r w:rsidRPr="00AD7969">
        <w:rPr>
          <w:rFonts w:ascii="Cambria" w:hAnsi="Cambria"/>
          <w:b/>
          <w:bCs/>
          <w:sz w:val="20"/>
          <w:szCs w:val="20"/>
        </w:rPr>
        <w:t>ADDENDUM 2</w:t>
      </w:r>
      <w:r>
        <w:rPr>
          <w:rFonts w:ascii="Cambria" w:hAnsi="Cambria"/>
          <w:b/>
          <w:bCs/>
          <w:sz w:val="20"/>
          <w:szCs w:val="20"/>
        </w:rPr>
        <w:t xml:space="preserve"> à l’</w:t>
      </w:r>
      <w:r w:rsidRPr="00AD7969">
        <w:rPr>
          <w:rFonts w:ascii="Cambria" w:hAnsi="Cambria"/>
          <w:b/>
          <w:bCs/>
          <w:sz w:val="20"/>
          <w:szCs w:val="20"/>
        </w:rPr>
        <w:t xml:space="preserve">Appendix 4 </w:t>
      </w:r>
      <w:r>
        <w:rPr>
          <w:rFonts w:ascii="Cambria" w:hAnsi="Cambria"/>
          <w:b/>
          <w:bCs/>
          <w:sz w:val="20"/>
          <w:szCs w:val="20"/>
        </w:rPr>
        <w:t>du</w:t>
      </w:r>
      <w:r w:rsidRPr="00AD7969">
        <w:rPr>
          <w:rFonts w:ascii="Cambria" w:hAnsi="Cambria"/>
          <w:b/>
          <w:bCs/>
          <w:sz w:val="20"/>
          <w:szCs w:val="20"/>
        </w:rPr>
        <w:t xml:space="preserve"> COC-303</w:t>
      </w:r>
    </w:p>
    <w:p w14:paraId="7AB098D8" w14:textId="77777777" w:rsidR="00407702" w:rsidRPr="00AD7969" w:rsidRDefault="00407702" w:rsidP="00407702">
      <w:pPr>
        <w:spacing w:after="0" w:line="240" w:lineRule="atLeast"/>
        <w:jc w:val="center"/>
        <w:rPr>
          <w:rFonts w:ascii="Cambria" w:hAnsi="Cambria"/>
          <w:b/>
          <w:bCs/>
          <w:sz w:val="20"/>
          <w:szCs w:val="20"/>
        </w:rPr>
      </w:pPr>
    </w:p>
    <w:p w14:paraId="63E49B2A" w14:textId="77777777" w:rsidR="00407702" w:rsidRPr="00AD7969" w:rsidRDefault="00407702" w:rsidP="00407702">
      <w:pPr>
        <w:spacing w:after="0" w:line="240" w:lineRule="atLeast"/>
        <w:jc w:val="center"/>
        <w:rPr>
          <w:rFonts w:ascii="Cambria" w:hAnsi="Cambria"/>
          <w:b/>
          <w:bCs/>
          <w:sz w:val="20"/>
          <w:szCs w:val="20"/>
          <w:lang w:val="es-ES"/>
        </w:rPr>
      </w:pPr>
      <w:r w:rsidRPr="00AD7969">
        <w:rPr>
          <w:rFonts w:ascii="Cambria" w:hAnsi="Cambria"/>
          <w:b/>
          <w:bCs/>
          <w:sz w:val="20"/>
          <w:szCs w:val="20"/>
          <w:lang w:val="es-ES"/>
        </w:rPr>
        <w:t>ADENDA 2 al Apéndice 4 del COC-303</w:t>
      </w:r>
    </w:p>
    <w:p w14:paraId="54218E78" w14:textId="77777777" w:rsidR="00407702" w:rsidRPr="00AD7969" w:rsidRDefault="00407702" w:rsidP="00407702">
      <w:pPr>
        <w:spacing w:after="0" w:line="240" w:lineRule="atLeast"/>
        <w:jc w:val="center"/>
        <w:rPr>
          <w:rFonts w:ascii="Cambria" w:hAnsi="Cambria" w:cs="Arial"/>
          <w:sz w:val="20"/>
          <w:szCs w:val="20"/>
          <w:lang w:val="es-ES"/>
        </w:rPr>
      </w:pPr>
    </w:p>
    <w:p w14:paraId="2663873C" w14:textId="61E748C0" w:rsidR="00407702" w:rsidRPr="00407702" w:rsidRDefault="00407702" w:rsidP="00407702">
      <w:pPr>
        <w:spacing w:after="0" w:line="240" w:lineRule="exact"/>
        <w:jc w:val="both"/>
        <w:rPr>
          <w:rFonts w:ascii="Cambria" w:hAnsi="Cambria" w:cs="Arial"/>
          <w:sz w:val="20"/>
          <w:szCs w:val="20"/>
          <w:lang w:val="en-US"/>
        </w:rPr>
      </w:pPr>
      <w:r w:rsidRPr="00407702">
        <w:rPr>
          <w:rFonts w:ascii="Cambria" w:hAnsi="Cambria" w:cs="Arial"/>
          <w:sz w:val="20"/>
          <w:szCs w:val="20"/>
          <w:lang w:val="en-US"/>
        </w:rPr>
        <w:t>This addendum to Appendix 4 to COC-303/2025 contains responses to</w:t>
      </w:r>
      <w:r w:rsidR="000D3D38">
        <w:rPr>
          <w:rFonts w:ascii="Cambria" w:hAnsi="Cambria" w:cs="Arial"/>
          <w:sz w:val="20"/>
          <w:szCs w:val="20"/>
          <w:lang w:val="en-US"/>
        </w:rPr>
        <w:t xml:space="preserve"> two</w:t>
      </w:r>
      <w:r w:rsidRPr="00407702">
        <w:rPr>
          <w:rFonts w:ascii="Cambria" w:hAnsi="Cambria" w:cs="Arial"/>
          <w:sz w:val="20"/>
          <w:szCs w:val="20"/>
          <w:lang w:val="en-US"/>
        </w:rPr>
        <w:t xml:space="preserve"> JIS received after 17 of October 2025, from: Algeria.</w:t>
      </w:r>
    </w:p>
    <w:p w14:paraId="5347C304" w14:textId="77777777" w:rsidR="00407702" w:rsidRPr="00407702" w:rsidRDefault="00407702" w:rsidP="00407702">
      <w:pPr>
        <w:spacing w:after="0" w:line="240" w:lineRule="exact"/>
        <w:jc w:val="both"/>
        <w:rPr>
          <w:rFonts w:ascii="Cambria" w:hAnsi="Cambria" w:cs="Arial"/>
          <w:sz w:val="20"/>
          <w:szCs w:val="20"/>
          <w:lang w:val="en-US"/>
        </w:rPr>
      </w:pPr>
    </w:p>
    <w:p w14:paraId="03114F77" w14:textId="71A0BEAD" w:rsidR="00407702" w:rsidRDefault="00407702" w:rsidP="00407702">
      <w:pPr>
        <w:spacing w:after="0" w:line="240" w:lineRule="exact"/>
        <w:jc w:val="both"/>
        <w:rPr>
          <w:rFonts w:ascii="Cambria" w:hAnsi="Cambria" w:cs="Arial"/>
          <w:sz w:val="20"/>
          <w:szCs w:val="20"/>
        </w:rPr>
      </w:pPr>
      <w:r w:rsidRPr="00AD12BC">
        <w:rPr>
          <w:rFonts w:ascii="Cambria" w:hAnsi="Cambria" w:cs="Arial"/>
          <w:sz w:val="20"/>
          <w:szCs w:val="20"/>
        </w:rPr>
        <w:t xml:space="preserve">Le présent addendum </w:t>
      </w:r>
      <w:r>
        <w:rPr>
          <w:rFonts w:ascii="Cambria" w:hAnsi="Cambria" w:cs="Arial"/>
          <w:sz w:val="20"/>
          <w:szCs w:val="20"/>
        </w:rPr>
        <w:t>à l’</w:t>
      </w:r>
      <w:r w:rsidRPr="00B125EE">
        <w:rPr>
          <w:rFonts w:ascii="Cambria" w:hAnsi="Cambria" w:cs="Arial"/>
          <w:sz w:val="20"/>
          <w:szCs w:val="20"/>
        </w:rPr>
        <w:t xml:space="preserve">Appendix 4 </w:t>
      </w:r>
      <w:r>
        <w:rPr>
          <w:rFonts w:ascii="Cambria" w:hAnsi="Cambria" w:cs="Arial"/>
          <w:sz w:val="20"/>
          <w:szCs w:val="20"/>
        </w:rPr>
        <w:t>du</w:t>
      </w:r>
      <w:r w:rsidRPr="00B125EE">
        <w:rPr>
          <w:rFonts w:ascii="Cambria" w:hAnsi="Cambria" w:cs="Arial"/>
          <w:sz w:val="20"/>
          <w:szCs w:val="20"/>
        </w:rPr>
        <w:t xml:space="preserve"> COC-303/2025 </w:t>
      </w:r>
      <w:r w:rsidR="000D3D38">
        <w:rPr>
          <w:rFonts w:ascii="Cambria" w:hAnsi="Cambria" w:cs="Arial"/>
          <w:sz w:val="20"/>
          <w:szCs w:val="20"/>
        </w:rPr>
        <w:t xml:space="preserve">contient </w:t>
      </w:r>
      <w:r w:rsidR="000D3D38" w:rsidRPr="000D3D38">
        <w:rPr>
          <w:rFonts w:ascii="Cambria" w:hAnsi="Cambria" w:cs="Arial"/>
          <w:sz w:val="20"/>
          <w:szCs w:val="20"/>
        </w:rPr>
        <w:t>des réponses à deux JIS reçues après le 17 octobre 2025, de : l’Algérie</w:t>
      </w:r>
      <w:r>
        <w:rPr>
          <w:rFonts w:ascii="Cambria" w:hAnsi="Cambria" w:cs="Arial"/>
          <w:sz w:val="20"/>
          <w:szCs w:val="20"/>
        </w:rPr>
        <w:t>.</w:t>
      </w:r>
    </w:p>
    <w:p w14:paraId="4A2247FF" w14:textId="77777777" w:rsidR="00407702" w:rsidRDefault="00407702" w:rsidP="00407702">
      <w:pPr>
        <w:spacing w:after="0" w:line="240" w:lineRule="exact"/>
        <w:jc w:val="both"/>
        <w:rPr>
          <w:rFonts w:ascii="Cambria" w:hAnsi="Cambria" w:cs="Arial"/>
          <w:sz w:val="20"/>
          <w:szCs w:val="20"/>
        </w:rPr>
      </w:pPr>
    </w:p>
    <w:p w14:paraId="2030CB39" w14:textId="2B6E4C79" w:rsidR="00407702" w:rsidRDefault="00407702" w:rsidP="00407702">
      <w:pPr>
        <w:spacing w:after="0" w:line="240" w:lineRule="exact"/>
        <w:jc w:val="both"/>
        <w:rPr>
          <w:rFonts w:ascii="Cambria" w:hAnsi="Cambria" w:cs="Arial"/>
          <w:sz w:val="20"/>
          <w:szCs w:val="20"/>
          <w:lang w:val="es-ES"/>
        </w:rPr>
      </w:pPr>
      <w:r w:rsidRPr="00AD12BC">
        <w:rPr>
          <w:rFonts w:ascii="Cambria" w:hAnsi="Cambria" w:cs="Arial"/>
          <w:sz w:val="20"/>
          <w:szCs w:val="20"/>
          <w:lang w:val="es-ES"/>
        </w:rPr>
        <w:t xml:space="preserve">Esta adenda al </w:t>
      </w:r>
      <w:r>
        <w:rPr>
          <w:rFonts w:ascii="Cambria" w:hAnsi="Cambria" w:cs="Arial"/>
          <w:sz w:val="20"/>
          <w:szCs w:val="20"/>
          <w:lang w:val="es-ES"/>
        </w:rPr>
        <w:t xml:space="preserve">apéndice 4 del </w:t>
      </w:r>
      <w:r w:rsidRPr="00AD12BC">
        <w:rPr>
          <w:rFonts w:ascii="Cambria" w:hAnsi="Cambria" w:cs="Arial"/>
          <w:sz w:val="20"/>
          <w:szCs w:val="20"/>
          <w:lang w:val="es-ES"/>
        </w:rPr>
        <w:t>COC-</w:t>
      </w:r>
      <w:r>
        <w:rPr>
          <w:rFonts w:ascii="Cambria" w:hAnsi="Cambria" w:cs="Arial"/>
          <w:sz w:val="20"/>
          <w:szCs w:val="20"/>
          <w:lang w:val="es-ES"/>
        </w:rPr>
        <w:t>303</w:t>
      </w:r>
      <w:r w:rsidRPr="00AD12BC">
        <w:rPr>
          <w:rFonts w:ascii="Cambria" w:hAnsi="Cambria" w:cs="Arial"/>
          <w:sz w:val="20"/>
          <w:szCs w:val="20"/>
          <w:lang w:val="es-ES"/>
        </w:rPr>
        <w:t>/2025 contiene</w:t>
      </w:r>
      <w:r>
        <w:rPr>
          <w:rFonts w:ascii="Cambria" w:hAnsi="Cambria" w:cs="Arial"/>
          <w:sz w:val="20"/>
          <w:szCs w:val="20"/>
          <w:lang w:val="es-ES"/>
        </w:rPr>
        <w:t xml:space="preserve"> respuestas a</w:t>
      </w:r>
      <w:r w:rsidR="000D3D38">
        <w:rPr>
          <w:rFonts w:ascii="Cambria" w:hAnsi="Cambria" w:cs="Arial"/>
          <w:sz w:val="20"/>
          <w:szCs w:val="20"/>
          <w:lang w:val="es-ES"/>
        </w:rPr>
        <w:t xml:space="preserve"> dos</w:t>
      </w:r>
      <w:r>
        <w:rPr>
          <w:rFonts w:ascii="Cambria" w:hAnsi="Cambria" w:cs="Arial"/>
          <w:sz w:val="20"/>
          <w:szCs w:val="20"/>
          <w:lang w:val="es-ES"/>
        </w:rPr>
        <w:t xml:space="preserve"> JIS recibidas </w:t>
      </w:r>
      <w:r w:rsidRPr="00AD12BC">
        <w:rPr>
          <w:rFonts w:ascii="Cambria" w:hAnsi="Cambria" w:cs="Arial"/>
          <w:sz w:val="20"/>
          <w:szCs w:val="20"/>
          <w:lang w:val="es-ES"/>
        </w:rPr>
        <w:t>después del 1</w:t>
      </w:r>
      <w:r>
        <w:rPr>
          <w:rFonts w:ascii="Cambria" w:hAnsi="Cambria" w:cs="Arial"/>
          <w:sz w:val="20"/>
          <w:szCs w:val="20"/>
          <w:lang w:val="es-ES"/>
        </w:rPr>
        <w:t>7</w:t>
      </w:r>
      <w:r w:rsidRPr="00AD12BC">
        <w:rPr>
          <w:rFonts w:ascii="Cambria" w:hAnsi="Cambria" w:cs="Arial"/>
          <w:sz w:val="20"/>
          <w:szCs w:val="20"/>
          <w:lang w:val="es-ES"/>
        </w:rPr>
        <w:t xml:space="preserve"> de octubre de 202</w:t>
      </w:r>
      <w:r>
        <w:rPr>
          <w:rFonts w:ascii="Cambria" w:hAnsi="Cambria" w:cs="Arial"/>
          <w:sz w:val="20"/>
          <w:szCs w:val="20"/>
          <w:lang w:val="es-ES"/>
        </w:rPr>
        <w:t>5</w:t>
      </w:r>
      <w:r w:rsidRPr="00AD12BC">
        <w:rPr>
          <w:rFonts w:ascii="Cambria" w:hAnsi="Cambria" w:cs="Arial"/>
          <w:sz w:val="20"/>
          <w:szCs w:val="20"/>
          <w:lang w:val="es-ES"/>
        </w:rPr>
        <w:t xml:space="preserve">, de: </w:t>
      </w:r>
      <w:r>
        <w:rPr>
          <w:rFonts w:ascii="Cambria" w:hAnsi="Cambria" w:cs="Arial"/>
          <w:sz w:val="20"/>
          <w:szCs w:val="20"/>
          <w:lang w:val="es-ES"/>
        </w:rPr>
        <w:t>Argelia.</w:t>
      </w:r>
    </w:p>
    <w:p w14:paraId="7AC376E0" w14:textId="0AF0FC10" w:rsidR="00407702" w:rsidRPr="00407702" w:rsidRDefault="00407702">
      <w:pPr>
        <w:rPr>
          <w:rFonts w:ascii="Cambria" w:hAnsi="Cambria"/>
          <w:b/>
          <w:bCs/>
          <w:sz w:val="20"/>
          <w:szCs w:val="20"/>
          <w:lang w:val="es-ES"/>
        </w:rPr>
      </w:pPr>
    </w:p>
    <w:p w14:paraId="1F155EEE" w14:textId="77777777" w:rsidR="00407702" w:rsidRPr="00407702" w:rsidRDefault="00407702" w:rsidP="004C10A9">
      <w:pPr>
        <w:spacing w:after="0"/>
        <w:jc w:val="center"/>
        <w:rPr>
          <w:rFonts w:ascii="Cambria" w:hAnsi="Cambria"/>
          <w:b/>
          <w:bCs/>
          <w:sz w:val="20"/>
          <w:szCs w:val="20"/>
          <w:lang w:val="es-ES"/>
        </w:rPr>
      </w:pPr>
    </w:p>
    <w:p w14:paraId="7C835FEA" w14:textId="77777777" w:rsidR="00407702" w:rsidRPr="00407702" w:rsidRDefault="00407702">
      <w:pPr>
        <w:rPr>
          <w:rFonts w:ascii="Cambria" w:hAnsi="Cambria"/>
          <w:b/>
          <w:bCs/>
          <w:sz w:val="20"/>
          <w:szCs w:val="20"/>
          <w:lang w:val="es-ES"/>
        </w:rPr>
      </w:pPr>
      <w:r w:rsidRPr="00407702">
        <w:rPr>
          <w:rFonts w:ascii="Cambria" w:hAnsi="Cambria"/>
          <w:b/>
          <w:bCs/>
          <w:sz w:val="20"/>
          <w:szCs w:val="20"/>
          <w:lang w:val="es-ES"/>
        </w:rPr>
        <w:br w:type="page"/>
      </w:r>
    </w:p>
    <w:p w14:paraId="67412C58" w14:textId="11E79672" w:rsidR="004C10A9" w:rsidRPr="004C10A9" w:rsidRDefault="004C10A9" w:rsidP="004C10A9">
      <w:pPr>
        <w:spacing w:after="0"/>
        <w:jc w:val="center"/>
        <w:rPr>
          <w:rFonts w:ascii="Cambria" w:hAnsi="Cambria"/>
          <w:b/>
          <w:bCs/>
          <w:sz w:val="20"/>
          <w:szCs w:val="20"/>
        </w:rPr>
      </w:pPr>
      <w:r w:rsidRPr="004C10A9">
        <w:rPr>
          <w:rFonts w:ascii="Cambria" w:hAnsi="Cambria"/>
          <w:b/>
          <w:bCs/>
          <w:sz w:val="20"/>
          <w:szCs w:val="20"/>
        </w:rPr>
        <w:lastRenderedPageBreak/>
        <w:t>Réponse de l’Algérie sur les Rapports du JIS faisant état d'une infraction potentielle</w:t>
      </w:r>
    </w:p>
    <w:p w14:paraId="4A4F1D7C" w14:textId="77777777" w:rsidR="004C10A9" w:rsidRPr="004C10A9" w:rsidRDefault="004C10A9" w:rsidP="004C10A9">
      <w:pPr>
        <w:spacing w:after="0"/>
        <w:jc w:val="center"/>
        <w:rPr>
          <w:rFonts w:ascii="Cambria" w:hAnsi="Cambria"/>
          <w:b/>
          <w:bCs/>
          <w:sz w:val="20"/>
          <w:szCs w:val="20"/>
        </w:rPr>
      </w:pPr>
      <w:r w:rsidRPr="004C10A9">
        <w:rPr>
          <w:rFonts w:ascii="Cambria" w:hAnsi="Cambria"/>
          <w:b/>
          <w:bCs/>
          <w:sz w:val="20"/>
          <w:szCs w:val="20"/>
        </w:rPr>
        <w:t>(IR 7831 et IR7851)</w:t>
      </w:r>
    </w:p>
    <w:p w14:paraId="582AFF01" w14:textId="77777777" w:rsidR="004C10A9" w:rsidRPr="004C10A9" w:rsidRDefault="004C10A9" w:rsidP="004C10A9">
      <w:pPr>
        <w:spacing w:after="0"/>
        <w:jc w:val="center"/>
        <w:rPr>
          <w:rFonts w:ascii="Cambria" w:hAnsi="Cambria"/>
          <w:b/>
          <w:bCs/>
          <w:sz w:val="20"/>
          <w:szCs w:val="20"/>
        </w:rPr>
      </w:pPr>
    </w:p>
    <w:p w14:paraId="0485A4DB" w14:textId="77777777" w:rsidR="004C10A9" w:rsidRPr="004C10A9" w:rsidRDefault="004C10A9" w:rsidP="004C10A9">
      <w:pPr>
        <w:jc w:val="both"/>
        <w:rPr>
          <w:rFonts w:ascii="Cambria" w:hAnsi="Cambria"/>
          <w:sz w:val="20"/>
          <w:szCs w:val="20"/>
        </w:rPr>
      </w:pPr>
      <w:r w:rsidRPr="004C10A9">
        <w:rPr>
          <w:rFonts w:ascii="Cambria" w:hAnsi="Cambria"/>
          <w:sz w:val="20"/>
          <w:szCs w:val="20"/>
        </w:rPr>
        <w:t>Honneur de vous présenter, les éléments de réponse concernant les opérations d'inspection en mer menées par les inspecteurs de l'UE, dans le cadre de l'ICCAT, à bord du patrouilleur OCEAN SENTINEL. Ces inspections ont porté sur les navires de pêche NADIR (BS 1658) et MOHAMED YASSER (HN-118), battant pavillon algérien, et ont conduit à la détection de présomptions d'infractions.</w:t>
      </w:r>
    </w:p>
    <w:p w14:paraId="161210B8" w14:textId="77777777" w:rsidR="004C10A9" w:rsidRPr="004C10A9" w:rsidRDefault="004C10A9" w:rsidP="004C10A9">
      <w:pPr>
        <w:pStyle w:val="ListParagraph"/>
        <w:numPr>
          <w:ilvl w:val="0"/>
          <w:numId w:val="1"/>
        </w:numPr>
        <w:spacing w:after="0" w:line="240" w:lineRule="auto"/>
        <w:rPr>
          <w:rFonts w:ascii="Cambria" w:hAnsi="Cambria"/>
          <w:b/>
          <w:bCs/>
          <w:sz w:val="20"/>
          <w:szCs w:val="20"/>
        </w:rPr>
      </w:pPr>
      <w:r w:rsidRPr="004C10A9">
        <w:rPr>
          <w:rFonts w:ascii="Cambria" w:hAnsi="Cambria"/>
          <w:b/>
          <w:bCs/>
          <w:sz w:val="20"/>
          <w:szCs w:val="20"/>
        </w:rPr>
        <w:t xml:space="preserve">Contexte et nature des faits constatés :  </w:t>
      </w:r>
    </w:p>
    <w:p w14:paraId="4E182E4C"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 xml:space="preserve">Il a été établi que les navires NADIR et MOHAMED YASSER sont des embarcations de type « petit métier », relevant de la catégorie de pêche artisanale. Le rapport d'inspection indique que ces navires utilisaient des filets maillants pour la capture d'espèces pélagiques. </w:t>
      </w:r>
    </w:p>
    <w:p w14:paraId="10B4F014" w14:textId="77777777" w:rsidR="004C10A9" w:rsidRPr="004C10A9" w:rsidRDefault="004C10A9" w:rsidP="004C10A9">
      <w:pPr>
        <w:pStyle w:val="ListParagraph"/>
        <w:numPr>
          <w:ilvl w:val="0"/>
          <w:numId w:val="1"/>
        </w:numPr>
        <w:spacing w:after="0" w:line="240" w:lineRule="auto"/>
        <w:rPr>
          <w:rFonts w:ascii="Cambria" w:hAnsi="Cambria"/>
          <w:b/>
          <w:bCs/>
          <w:sz w:val="20"/>
          <w:szCs w:val="20"/>
        </w:rPr>
      </w:pPr>
      <w:r w:rsidRPr="004C10A9">
        <w:rPr>
          <w:rFonts w:ascii="Cambria" w:hAnsi="Cambria"/>
          <w:b/>
          <w:bCs/>
          <w:sz w:val="20"/>
          <w:szCs w:val="20"/>
        </w:rPr>
        <w:t>Enquête administrative et mesures correctives immédiates :</w:t>
      </w:r>
    </w:p>
    <w:p w14:paraId="086AFA46"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Dès la réception du rapport d'inspection de l'ICCAT, l’administration de la pêche a immédiatement engagé une enquête administrative approfondie. L'objectif de cette enquête était de recueillir toutes les informations pertinentes, de constater les faits sur la base des éléments fournis par les inspecteurs, et de mener les investigations nécessaires à la vérification des allégations.</w:t>
      </w:r>
    </w:p>
    <w:p w14:paraId="0B0FFC17"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Il est important de noter que, selon les éléments dont nous disposons, les navires concernés n'ont procédé à aucun débarquement des espèces reprochées. Dans leurs dépositions officielles, les capitaines des deux navires ont affirmé que leurs opérations de pêche ciblaient exclusivement des thonidés mineurs. Cette assertion semble corroborée par l'absence de constatation de prise d'espadon lors des débarquements.</w:t>
      </w:r>
    </w:p>
    <w:p w14:paraId="7F46BBB8" w14:textId="77777777" w:rsidR="004C10A9" w:rsidRPr="004C10A9" w:rsidRDefault="004C10A9" w:rsidP="004C10A9">
      <w:pPr>
        <w:pStyle w:val="ListParagraph"/>
        <w:numPr>
          <w:ilvl w:val="0"/>
          <w:numId w:val="1"/>
        </w:numPr>
        <w:spacing w:after="0" w:line="240" w:lineRule="auto"/>
        <w:rPr>
          <w:rFonts w:ascii="Cambria" w:hAnsi="Cambria"/>
          <w:b/>
          <w:bCs/>
          <w:sz w:val="20"/>
          <w:szCs w:val="20"/>
        </w:rPr>
      </w:pPr>
      <w:r w:rsidRPr="004C10A9">
        <w:rPr>
          <w:rFonts w:ascii="Cambria" w:hAnsi="Cambria"/>
          <w:b/>
          <w:bCs/>
          <w:sz w:val="20"/>
          <w:szCs w:val="20"/>
        </w:rPr>
        <w:t>Défis juridiques et mesures de suivi :</w:t>
      </w:r>
    </w:p>
    <w:p w14:paraId="579C78FB"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Compte tenu des difficultés intrinsèques liées à l'établissement de procès-verbaux d'infraction recevables devant les juridictions nationales sur la seule base de preuves photographiques, une décision d'action corrective proportionnée a été prise.</w:t>
      </w:r>
    </w:p>
    <w:p w14:paraId="28DA07D5"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En conséquence, un avertissement formel a été notifié aux capitaines et aux armateurs des deux navires. Par mesure de précaution et afin de garantir l'efficacité de l'enquête, les navires ont été immobilisés temporairement. En outre, il a été décidé de renforcer le régime de contrôle applicable à ces deux unités, qui feront désormais l'objet d'inspections systématiques et inopinées lors de leurs opérations de débarquement.</w:t>
      </w:r>
    </w:p>
    <w:p w14:paraId="4F6B3744" w14:textId="77777777" w:rsidR="004C10A9" w:rsidRPr="004C10A9" w:rsidRDefault="004C10A9" w:rsidP="004C10A9">
      <w:pPr>
        <w:pStyle w:val="ListParagraph"/>
        <w:numPr>
          <w:ilvl w:val="0"/>
          <w:numId w:val="1"/>
        </w:numPr>
        <w:spacing w:after="0"/>
        <w:rPr>
          <w:rFonts w:ascii="Cambria" w:hAnsi="Cambria"/>
          <w:b/>
          <w:bCs/>
          <w:sz w:val="20"/>
          <w:szCs w:val="20"/>
        </w:rPr>
      </w:pPr>
      <w:r w:rsidRPr="004C10A9">
        <w:rPr>
          <w:rFonts w:ascii="Cambria" w:hAnsi="Cambria"/>
          <w:b/>
          <w:bCs/>
          <w:sz w:val="20"/>
          <w:szCs w:val="20"/>
        </w:rPr>
        <w:t>Évaluation et perspectives :</w:t>
      </w:r>
    </w:p>
    <w:p w14:paraId="5F341114"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Nous considérons que cette opération d'inspection, dont l'objet premier était le renforcement de la conformité, a constitué un levier efficace pour consolider notre dispositif de contrôle dans la zone concernée.</w:t>
      </w:r>
    </w:p>
    <w:p w14:paraId="6B802340"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Par ailleurs, nous réitérons notre conviction que le partage d'information et l’harmonisation des définitions techniques constituent le cadre procédural adéquat pour le suivi des navires pour garantir une vérification approfondie et faciliter le traitement coordonné de chaque cas présumé.</w:t>
      </w:r>
    </w:p>
    <w:p w14:paraId="2DD5392D" w14:textId="77777777" w:rsidR="004C10A9" w:rsidRPr="004C10A9" w:rsidRDefault="004C10A9" w:rsidP="004C10A9">
      <w:pPr>
        <w:pStyle w:val="ListParagraph"/>
        <w:numPr>
          <w:ilvl w:val="0"/>
          <w:numId w:val="1"/>
        </w:numPr>
        <w:spacing w:line="240" w:lineRule="auto"/>
        <w:rPr>
          <w:rFonts w:ascii="Cambria" w:hAnsi="Cambria"/>
          <w:b/>
          <w:bCs/>
          <w:sz w:val="20"/>
          <w:szCs w:val="20"/>
        </w:rPr>
      </w:pPr>
      <w:r w:rsidRPr="004C10A9">
        <w:rPr>
          <w:rFonts w:ascii="Cambria" w:hAnsi="Cambria"/>
          <w:b/>
          <w:bCs/>
          <w:sz w:val="20"/>
          <w:szCs w:val="20"/>
        </w:rPr>
        <w:t>Conclusion et recommandations :</w:t>
      </w:r>
    </w:p>
    <w:p w14:paraId="67FF2E9D"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En guise de conclusion, Il apparaît nécessaire de définir de manière claire et opérationnelle les caractéristiques techniques des filets maillants dérivants interdits pour la capture des grands migrateurs pélagiques. Une telle clarification permettrait d'éliminer toute ambiguïté entre les engins de pêche ciblant les grands pélagiques et ceux destinés à d'autres espèces, et ainsi de prévenir des situations litigieuses similaires à l'avenir.</w:t>
      </w:r>
    </w:p>
    <w:p w14:paraId="43AC30E0" w14:textId="77777777" w:rsidR="004C10A9" w:rsidRPr="004C10A9" w:rsidRDefault="004C10A9" w:rsidP="004C10A9">
      <w:pPr>
        <w:spacing w:after="0" w:line="240" w:lineRule="auto"/>
        <w:jc w:val="both"/>
        <w:rPr>
          <w:rFonts w:ascii="Cambria" w:hAnsi="Cambria"/>
          <w:sz w:val="20"/>
          <w:szCs w:val="20"/>
        </w:rPr>
      </w:pPr>
      <w:r w:rsidRPr="004C10A9">
        <w:rPr>
          <w:rFonts w:ascii="Cambria" w:hAnsi="Cambria"/>
          <w:sz w:val="20"/>
          <w:szCs w:val="20"/>
        </w:rPr>
        <w:br/>
        <w:t>Nous tenons à exprimer notre gratitude à l'Union Européenne pour le partage des informations et pour les efforts déployés en faveur d'une pêche durable et responsable.</w:t>
      </w:r>
    </w:p>
    <w:p w14:paraId="6F676ACE" w14:textId="77777777" w:rsidR="004C10A9" w:rsidRPr="004C10A9" w:rsidRDefault="004C10A9" w:rsidP="004C10A9">
      <w:pPr>
        <w:rPr>
          <w:rFonts w:ascii="Cambria" w:hAnsi="Cambria"/>
          <w:sz w:val="20"/>
          <w:szCs w:val="20"/>
        </w:rPr>
      </w:pPr>
    </w:p>
    <w:p w14:paraId="24B37340" w14:textId="77777777" w:rsidR="001D631A" w:rsidRPr="004C10A9" w:rsidRDefault="001D631A" w:rsidP="004C10A9">
      <w:pPr>
        <w:rPr>
          <w:rFonts w:ascii="Cambria" w:hAnsi="Cambria"/>
          <w:sz w:val="20"/>
          <w:szCs w:val="20"/>
        </w:rPr>
      </w:pPr>
    </w:p>
    <w:sectPr w:rsidR="001D631A" w:rsidRPr="004C10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0D635" w14:textId="77777777" w:rsidR="006F1F09" w:rsidRDefault="006F1F09" w:rsidP="006F1F09">
      <w:pPr>
        <w:spacing w:after="0" w:line="240" w:lineRule="auto"/>
      </w:pPr>
      <w:r>
        <w:separator/>
      </w:r>
    </w:p>
  </w:endnote>
  <w:endnote w:type="continuationSeparator" w:id="0">
    <w:p w14:paraId="53120B27" w14:textId="77777777" w:rsidR="006F1F09" w:rsidRDefault="006F1F09" w:rsidP="006F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B1C4" w14:textId="77777777" w:rsidR="006F1F09" w:rsidRDefault="006F1F09" w:rsidP="006F1F09">
      <w:pPr>
        <w:spacing w:after="0" w:line="240" w:lineRule="auto"/>
      </w:pPr>
      <w:r>
        <w:separator/>
      </w:r>
    </w:p>
  </w:footnote>
  <w:footnote w:type="continuationSeparator" w:id="0">
    <w:p w14:paraId="20E6DE64" w14:textId="77777777" w:rsidR="006F1F09" w:rsidRDefault="006F1F09" w:rsidP="006F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FCE2" w14:textId="77777777" w:rsidR="006F1F09" w:rsidRPr="00793F38" w:rsidRDefault="006F1F09" w:rsidP="006F1F09">
    <w:pPr>
      <w:tabs>
        <w:tab w:val="center" w:pos="4680"/>
        <w:tab w:val="left" w:pos="6520"/>
        <w:tab w:val="right" w:pos="9360"/>
        <w:tab w:val="right" w:pos="14240"/>
      </w:tabs>
      <w:spacing w:after="0"/>
      <w:jc w:val="right"/>
      <w:rPr>
        <w:rFonts w:ascii="Cambria" w:eastAsia="Calibri" w:hAnsi="Cambria"/>
        <w:b/>
        <w:bCs/>
        <w:sz w:val="20"/>
        <w:szCs w:val="20"/>
      </w:rPr>
    </w:pPr>
    <w:r>
      <w:rPr>
        <w:rFonts w:ascii="Cambria" w:eastAsia="Calibri" w:hAnsi="Cambria"/>
        <w:b/>
        <w:bCs/>
        <w:sz w:val="20"/>
        <w:szCs w:val="20"/>
      </w:rPr>
      <w:t>COC_303_APP_4</w:t>
    </w:r>
    <w:r w:rsidRPr="00793F38">
      <w:rPr>
        <w:rFonts w:ascii="Cambria" w:eastAsia="Calibri" w:hAnsi="Cambria"/>
        <w:b/>
        <w:bCs/>
        <w:sz w:val="20"/>
        <w:szCs w:val="20"/>
      </w:rPr>
      <w:t>/202</w:t>
    </w:r>
    <w:r>
      <w:rPr>
        <w:rFonts w:ascii="Cambria" w:eastAsia="Calibri" w:hAnsi="Cambria"/>
        <w:b/>
        <w:bCs/>
        <w:sz w:val="20"/>
        <w:szCs w:val="20"/>
      </w:rPr>
      <w:t>5_Addendum_2</w:t>
    </w:r>
  </w:p>
  <w:p w14:paraId="3A02760E" w14:textId="420D68C6" w:rsidR="006F1F09" w:rsidRPr="006F1F09" w:rsidRDefault="006F1F09" w:rsidP="006F1F09">
    <w:pPr>
      <w:pStyle w:val="Header"/>
      <w:jc w:val="right"/>
      <w:rPr>
        <w:rFonts w:ascii="Cambria" w:eastAsia="Calibri" w:hAnsi="Cambria"/>
        <w:b/>
        <w:bCs/>
        <w:sz w:val="20"/>
        <w:szCs w:val="20"/>
      </w:rPr>
    </w:pPr>
    <w:r w:rsidRPr="006F1F09">
      <w:rPr>
        <w:rFonts w:ascii="Cambria" w:eastAsia="Calibri" w:hAnsi="Cambria"/>
        <w:b/>
        <w:bCs/>
        <w:sz w:val="20"/>
        <w:szCs w:val="20"/>
      </w:rPr>
      <w:ptab w:relativeTo="margin" w:alignment="left" w:leader="none"/>
    </w:r>
    <w:r w:rsidRPr="006F1F09">
      <w:rPr>
        <w:rFonts w:ascii="Cambria" w:eastAsia="Calibri" w:hAnsi="Cambria"/>
        <w:b/>
        <w:bCs/>
        <w:sz w:val="20"/>
        <w:szCs w:val="20"/>
      </w:rPr>
      <w:t>10/11/2025 10:37:58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448DD"/>
    <w:multiLevelType w:val="hybridMultilevel"/>
    <w:tmpl w:val="63E4A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55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2A"/>
    <w:rsid w:val="000B27AD"/>
    <w:rsid w:val="000D3D38"/>
    <w:rsid w:val="001D631A"/>
    <w:rsid w:val="0020026D"/>
    <w:rsid w:val="00214533"/>
    <w:rsid w:val="0023262E"/>
    <w:rsid w:val="003A2BAD"/>
    <w:rsid w:val="00407702"/>
    <w:rsid w:val="004C10A9"/>
    <w:rsid w:val="00595F2A"/>
    <w:rsid w:val="005C33AE"/>
    <w:rsid w:val="0062623A"/>
    <w:rsid w:val="00696348"/>
    <w:rsid w:val="006F1F09"/>
    <w:rsid w:val="00784236"/>
    <w:rsid w:val="007F5451"/>
    <w:rsid w:val="00861D31"/>
    <w:rsid w:val="008A0411"/>
    <w:rsid w:val="008F72F9"/>
    <w:rsid w:val="00951C15"/>
    <w:rsid w:val="00983F1A"/>
    <w:rsid w:val="00CE57F9"/>
    <w:rsid w:val="00D75EC4"/>
    <w:rsid w:val="00E56274"/>
    <w:rsid w:val="00E90AE2"/>
    <w:rsid w:val="00E916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1A19"/>
  <w15:chartTrackingRefBased/>
  <w15:docId w15:val="{A2703E5D-DC07-4CC3-88E3-0B819A31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A9"/>
  </w:style>
  <w:style w:type="paragraph" w:styleId="Heading1">
    <w:name w:val="heading 1"/>
    <w:basedOn w:val="Normal"/>
    <w:next w:val="Normal"/>
    <w:link w:val="Heading1Char"/>
    <w:uiPriority w:val="9"/>
    <w:qFormat/>
    <w:rsid w:val="00595F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95F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95F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95F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95F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95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F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95F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95F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95F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95F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95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F2A"/>
    <w:rPr>
      <w:rFonts w:eastAsiaTheme="majorEastAsia" w:cstheme="majorBidi"/>
      <w:color w:val="272727" w:themeColor="text1" w:themeTint="D8"/>
    </w:rPr>
  </w:style>
  <w:style w:type="paragraph" w:styleId="Title">
    <w:name w:val="Title"/>
    <w:basedOn w:val="Normal"/>
    <w:next w:val="Normal"/>
    <w:link w:val="TitleChar"/>
    <w:uiPriority w:val="10"/>
    <w:qFormat/>
    <w:rsid w:val="00595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F2A"/>
    <w:pPr>
      <w:spacing w:before="160"/>
      <w:jc w:val="center"/>
    </w:pPr>
    <w:rPr>
      <w:i/>
      <w:iCs/>
      <w:color w:val="404040" w:themeColor="text1" w:themeTint="BF"/>
    </w:rPr>
  </w:style>
  <w:style w:type="character" w:customStyle="1" w:styleId="QuoteChar">
    <w:name w:val="Quote Char"/>
    <w:basedOn w:val="DefaultParagraphFont"/>
    <w:link w:val="Quote"/>
    <w:uiPriority w:val="29"/>
    <w:rsid w:val="00595F2A"/>
    <w:rPr>
      <w:i/>
      <w:iCs/>
      <w:color w:val="404040" w:themeColor="text1" w:themeTint="BF"/>
    </w:rPr>
  </w:style>
  <w:style w:type="paragraph" w:styleId="ListParagraph">
    <w:name w:val="List Paragraph"/>
    <w:basedOn w:val="Normal"/>
    <w:uiPriority w:val="34"/>
    <w:qFormat/>
    <w:rsid w:val="00595F2A"/>
    <w:pPr>
      <w:ind w:left="720"/>
      <w:contextualSpacing/>
    </w:pPr>
  </w:style>
  <w:style w:type="character" w:styleId="IntenseEmphasis">
    <w:name w:val="Intense Emphasis"/>
    <w:basedOn w:val="DefaultParagraphFont"/>
    <w:uiPriority w:val="21"/>
    <w:qFormat/>
    <w:rsid w:val="00595F2A"/>
    <w:rPr>
      <w:i/>
      <w:iCs/>
      <w:color w:val="2E74B5" w:themeColor="accent1" w:themeShade="BF"/>
    </w:rPr>
  </w:style>
  <w:style w:type="paragraph" w:styleId="IntenseQuote">
    <w:name w:val="Intense Quote"/>
    <w:basedOn w:val="Normal"/>
    <w:next w:val="Normal"/>
    <w:link w:val="IntenseQuoteChar"/>
    <w:uiPriority w:val="30"/>
    <w:qFormat/>
    <w:rsid w:val="00595F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95F2A"/>
    <w:rPr>
      <w:i/>
      <w:iCs/>
      <w:color w:val="2E74B5" w:themeColor="accent1" w:themeShade="BF"/>
    </w:rPr>
  </w:style>
  <w:style w:type="character" w:styleId="IntenseReference">
    <w:name w:val="Intense Reference"/>
    <w:basedOn w:val="DefaultParagraphFont"/>
    <w:uiPriority w:val="32"/>
    <w:qFormat/>
    <w:rsid w:val="00595F2A"/>
    <w:rPr>
      <w:b/>
      <w:bCs/>
      <w:smallCaps/>
      <w:color w:val="2E74B5" w:themeColor="accent1" w:themeShade="BF"/>
      <w:spacing w:val="5"/>
    </w:rPr>
  </w:style>
  <w:style w:type="paragraph" w:styleId="Header">
    <w:name w:val="header"/>
    <w:basedOn w:val="Normal"/>
    <w:link w:val="HeaderChar"/>
    <w:uiPriority w:val="99"/>
    <w:unhideWhenUsed/>
    <w:rsid w:val="006F1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09"/>
  </w:style>
  <w:style w:type="paragraph" w:styleId="Footer">
    <w:name w:val="footer"/>
    <w:basedOn w:val="Normal"/>
    <w:link w:val="FooterChar"/>
    <w:uiPriority w:val="99"/>
    <w:unhideWhenUsed/>
    <w:rsid w:val="006F1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607</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ouchelli</dc:creator>
  <cp:keywords/>
  <dc:description/>
  <cp:lastModifiedBy>Aldana Vieito</cp:lastModifiedBy>
  <cp:revision>4</cp:revision>
  <dcterms:created xsi:type="dcterms:W3CDTF">2025-11-10T09:40:00Z</dcterms:created>
  <dcterms:modified xsi:type="dcterms:W3CDTF">2025-11-10T11:06:00Z</dcterms:modified>
</cp:coreProperties>
</file>