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1990E" w14:textId="77777777" w:rsidR="006F1F09" w:rsidRDefault="006F1F09" w:rsidP="004C10A9">
      <w:pPr>
        <w:spacing w:after="0"/>
        <w:jc w:val="center"/>
        <w:rPr>
          <w:rFonts w:ascii="Cambria" w:hAnsi="Cambria"/>
          <w:b/>
          <w:bCs/>
          <w:sz w:val="20"/>
          <w:szCs w:val="20"/>
        </w:rPr>
      </w:pPr>
    </w:p>
    <w:p w14:paraId="7D1AD1D6" w14:textId="44111E91" w:rsidR="00407702" w:rsidRPr="00407702" w:rsidRDefault="00407702" w:rsidP="00407702">
      <w:pPr>
        <w:spacing w:after="0" w:line="240" w:lineRule="atLeast"/>
        <w:jc w:val="center"/>
        <w:rPr>
          <w:rFonts w:ascii="Cambria" w:hAnsi="Cambria"/>
          <w:b/>
          <w:bCs/>
          <w:sz w:val="20"/>
          <w:szCs w:val="20"/>
          <w:lang w:val="en-US"/>
        </w:rPr>
      </w:pPr>
      <w:r w:rsidRPr="00407702">
        <w:rPr>
          <w:rFonts w:ascii="Cambria" w:hAnsi="Cambria"/>
          <w:b/>
          <w:bCs/>
          <w:sz w:val="20"/>
          <w:szCs w:val="20"/>
          <w:lang w:val="en-US"/>
        </w:rPr>
        <w:t xml:space="preserve">ADDENDUM </w:t>
      </w:r>
      <w:r w:rsidR="00157F11">
        <w:rPr>
          <w:rFonts w:ascii="Cambria" w:hAnsi="Cambria"/>
          <w:b/>
          <w:bCs/>
          <w:sz w:val="20"/>
          <w:szCs w:val="20"/>
          <w:lang w:val="en-US"/>
        </w:rPr>
        <w:t>4</w:t>
      </w:r>
      <w:r w:rsidRPr="00407702">
        <w:rPr>
          <w:rFonts w:ascii="Cambria" w:hAnsi="Cambria"/>
          <w:b/>
          <w:bCs/>
          <w:sz w:val="20"/>
          <w:szCs w:val="20"/>
          <w:lang w:val="en-US"/>
        </w:rPr>
        <w:t xml:space="preserve"> to Appendix 4 of COC-303</w:t>
      </w:r>
    </w:p>
    <w:p w14:paraId="08F102FF" w14:textId="77777777" w:rsidR="00407702" w:rsidRPr="00407702" w:rsidRDefault="00407702" w:rsidP="00407702">
      <w:pPr>
        <w:spacing w:after="0" w:line="240" w:lineRule="atLeast"/>
        <w:jc w:val="center"/>
        <w:rPr>
          <w:rFonts w:ascii="Cambria" w:hAnsi="Cambria"/>
          <w:b/>
          <w:bCs/>
          <w:sz w:val="20"/>
          <w:szCs w:val="20"/>
          <w:lang w:val="en-US"/>
        </w:rPr>
      </w:pPr>
    </w:p>
    <w:p w14:paraId="210C94AE" w14:textId="110AD6F0" w:rsidR="00407702" w:rsidRPr="00AD7969" w:rsidRDefault="00407702" w:rsidP="00407702">
      <w:pPr>
        <w:spacing w:after="0" w:line="240" w:lineRule="atLeast"/>
        <w:jc w:val="center"/>
        <w:rPr>
          <w:rFonts w:ascii="Cambria" w:hAnsi="Cambria"/>
          <w:b/>
          <w:bCs/>
          <w:sz w:val="20"/>
          <w:szCs w:val="20"/>
        </w:rPr>
      </w:pPr>
      <w:r w:rsidRPr="00AD7969">
        <w:rPr>
          <w:rFonts w:ascii="Cambria" w:hAnsi="Cambria"/>
          <w:b/>
          <w:bCs/>
          <w:sz w:val="20"/>
          <w:szCs w:val="20"/>
        </w:rPr>
        <w:t xml:space="preserve">ADDENDUM </w:t>
      </w:r>
      <w:r w:rsidR="00157F11">
        <w:rPr>
          <w:rFonts w:ascii="Cambria" w:hAnsi="Cambria"/>
          <w:b/>
          <w:bCs/>
          <w:sz w:val="20"/>
          <w:szCs w:val="20"/>
        </w:rPr>
        <w:t>4</w:t>
      </w:r>
      <w:r>
        <w:rPr>
          <w:rFonts w:ascii="Cambria" w:hAnsi="Cambria"/>
          <w:b/>
          <w:bCs/>
          <w:sz w:val="20"/>
          <w:szCs w:val="20"/>
        </w:rPr>
        <w:t xml:space="preserve"> à l’</w:t>
      </w:r>
      <w:r w:rsidRPr="00AD7969">
        <w:rPr>
          <w:rFonts w:ascii="Cambria" w:hAnsi="Cambria"/>
          <w:b/>
          <w:bCs/>
          <w:sz w:val="20"/>
          <w:szCs w:val="20"/>
        </w:rPr>
        <w:t xml:space="preserve">Appendix 4 </w:t>
      </w:r>
      <w:r>
        <w:rPr>
          <w:rFonts w:ascii="Cambria" w:hAnsi="Cambria"/>
          <w:b/>
          <w:bCs/>
          <w:sz w:val="20"/>
          <w:szCs w:val="20"/>
        </w:rPr>
        <w:t>du</w:t>
      </w:r>
      <w:r w:rsidRPr="00AD7969">
        <w:rPr>
          <w:rFonts w:ascii="Cambria" w:hAnsi="Cambria"/>
          <w:b/>
          <w:bCs/>
          <w:sz w:val="20"/>
          <w:szCs w:val="20"/>
        </w:rPr>
        <w:t xml:space="preserve"> COC-303</w:t>
      </w:r>
    </w:p>
    <w:p w14:paraId="7AB098D8" w14:textId="77777777" w:rsidR="00407702" w:rsidRPr="00AD7969" w:rsidRDefault="00407702" w:rsidP="00407702">
      <w:pPr>
        <w:spacing w:after="0" w:line="240" w:lineRule="atLeast"/>
        <w:jc w:val="center"/>
        <w:rPr>
          <w:rFonts w:ascii="Cambria" w:hAnsi="Cambria"/>
          <w:b/>
          <w:bCs/>
          <w:sz w:val="20"/>
          <w:szCs w:val="20"/>
        </w:rPr>
      </w:pPr>
    </w:p>
    <w:p w14:paraId="63E49B2A" w14:textId="3F6AE09F" w:rsidR="00407702" w:rsidRPr="00AD7969" w:rsidRDefault="00407702" w:rsidP="00407702">
      <w:pPr>
        <w:spacing w:after="0" w:line="240" w:lineRule="atLeast"/>
        <w:jc w:val="center"/>
        <w:rPr>
          <w:rFonts w:ascii="Cambria" w:hAnsi="Cambria"/>
          <w:b/>
          <w:bCs/>
          <w:sz w:val="20"/>
          <w:szCs w:val="20"/>
          <w:lang w:val="es-ES"/>
        </w:rPr>
      </w:pPr>
      <w:r w:rsidRPr="00AD7969">
        <w:rPr>
          <w:rFonts w:ascii="Cambria" w:hAnsi="Cambria"/>
          <w:b/>
          <w:bCs/>
          <w:sz w:val="20"/>
          <w:szCs w:val="20"/>
          <w:lang w:val="es-ES"/>
        </w:rPr>
        <w:t xml:space="preserve">ADENDA </w:t>
      </w:r>
      <w:r w:rsidR="00157F11">
        <w:rPr>
          <w:rFonts w:ascii="Cambria" w:hAnsi="Cambria"/>
          <w:b/>
          <w:bCs/>
          <w:sz w:val="20"/>
          <w:szCs w:val="20"/>
          <w:lang w:val="es-ES"/>
        </w:rPr>
        <w:t>4</w:t>
      </w:r>
      <w:r w:rsidRPr="00AD7969">
        <w:rPr>
          <w:rFonts w:ascii="Cambria" w:hAnsi="Cambria"/>
          <w:b/>
          <w:bCs/>
          <w:sz w:val="20"/>
          <w:szCs w:val="20"/>
          <w:lang w:val="es-ES"/>
        </w:rPr>
        <w:t xml:space="preserve"> al Apéndice 4 del COC-303</w:t>
      </w:r>
    </w:p>
    <w:p w14:paraId="54218E78" w14:textId="77777777" w:rsidR="00407702" w:rsidRPr="00AD7969" w:rsidRDefault="00407702" w:rsidP="00407702">
      <w:pPr>
        <w:spacing w:after="0" w:line="240" w:lineRule="atLeast"/>
        <w:jc w:val="center"/>
        <w:rPr>
          <w:rFonts w:ascii="Cambria" w:hAnsi="Cambria" w:cs="Arial"/>
          <w:sz w:val="20"/>
          <w:szCs w:val="20"/>
          <w:lang w:val="es-ES"/>
        </w:rPr>
      </w:pPr>
    </w:p>
    <w:p w14:paraId="2663873C" w14:textId="285A5B44" w:rsidR="00407702" w:rsidRPr="00407702" w:rsidRDefault="00407702" w:rsidP="00407702">
      <w:pPr>
        <w:spacing w:after="0" w:line="240" w:lineRule="exact"/>
        <w:jc w:val="both"/>
        <w:rPr>
          <w:rFonts w:ascii="Cambria" w:hAnsi="Cambria" w:cs="Arial"/>
          <w:sz w:val="20"/>
          <w:szCs w:val="20"/>
          <w:lang w:val="en-US"/>
        </w:rPr>
      </w:pPr>
      <w:r w:rsidRPr="00407702">
        <w:rPr>
          <w:rFonts w:ascii="Cambria" w:hAnsi="Cambria" w:cs="Arial"/>
          <w:sz w:val="20"/>
          <w:szCs w:val="20"/>
          <w:lang w:val="en-US"/>
        </w:rPr>
        <w:t>This addendum to Appendix 4 to COC-303/2025 contains responses to</w:t>
      </w:r>
      <w:r w:rsidR="00B57100">
        <w:rPr>
          <w:rFonts w:ascii="Cambria" w:hAnsi="Cambria" w:cs="Arial"/>
          <w:sz w:val="20"/>
          <w:szCs w:val="20"/>
          <w:lang w:val="en-US"/>
        </w:rPr>
        <w:t xml:space="preserve"> </w:t>
      </w:r>
      <w:r w:rsidRPr="00407702">
        <w:rPr>
          <w:rFonts w:ascii="Cambria" w:hAnsi="Cambria" w:cs="Arial"/>
          <w:sz w:val="20"/>
          <w:szCs w:val="20"/>
          <w:lang w:val="en-US"/>
        </w:rPr>
        <w:t xml:space="preserve">JIS received after 17 of October 2025, from: </w:t>
      </w:r>
      <w:r w:rsidR="00157F11">
        <w:rPr>
          <w:rFonts w:ascii="Cambria" w:hAnsi="Cambria" w:cs="Arial"/>
          <w:sz w:val="20"/>
          <w:szCs w:val="20"/>
          <w:lang w:val="en-US"/>
        </w:rPr>
        <w:t>Türkiye</w:t>
      </w:r>
      <w:r w:rsidRPr="00407702">
        <w:rPr>
          <w:rFonts w:ascii="Cambria" w:hAnsi="Cambria" w:cs="Arial"/>
          <w:sz w:val="20"/>
          <w:szCs w:val="20"/>
          <w:lang w:val="en-US"/>
        </w:rPr>
        <w:t>.</w:t>
      </w:r>
    </w:p>
    <w:p w14:paraId="5347C304" w14:textId="77777777" w:rsidR="00407702" w:rsidRPr="00407702" w:rsidRDefault="00407702" w:rsidP="00407702">
      <w:pPr>
        <w:spacing w:after="0" w:line="240" w:lineRule="exact"/>
        <w:jc w:val="both"/>
        <w:rPr>
          <w:rFonts w:ascii="Cambria" w:hAnsi="Cambria" w:cs="Arial"/>
          <w:sz w:val="20"/>
          <w:szCs w:val="20"/>
          <w:lang w:val="en-US"/>
        </w:rPr>
      </w:pPr>
    </w:p>
    <w:p w14:paraId="03114F77" w14:textId="2007FD42" w:rsidR="00407702" w:rsidRDefault="00407702" w:rsidP="00407702">
      <w:pPr>
        <w:spacing w:after="0" w:line="240" w:lineRule="exact"/>
        <w:jc w:val="both"/>
        <w:rPr>
          <w:rFonts w:ascii="Cambria" w:hAnsi="Cambria" w:cs="Arial"/>
          <w:sz w:val="20"/>
          <w:szCs w:val="20"/>
        </w:rPr>
      </w:pPr>
      <w:r w:rsidRPr="00AD12BC">
        <w:rPr>
          <w:rFonts w:ascii="Cambria" w:hAnsi="Cambria" w:cs="Arial"/>
          <w:sz w:val="20"/>
          <w:szCs w:val="20"/>
        </w:rPr>
        <w:t xml:space="preserve">Le présent addendum </w:t>
      </w:r>
      <w:r>
        <w:rPr>
          <w:rFonts w:ascii="Cambria" w:hAnsi="Cambria" w:cs="Arial"/>
          <w:sz w:val="20"/>
          <w:szCs w:val="20"/>
        </w:rPr>
        <w:t>à l’</w:t>
      </w:r>
      <w:r w:rsidRPr="00B125EE">
        <w:rPr>
          <w:rFonts w:ascii="Cambria" w:hAnsi="Cambria" w:cs="Arial"/>
          <w:sz w:val="20"/>
          <w:szCs w:val="20"/>
        </w:rPr>
        <w:t xml:space="preserve">Appendix 4 </w:t>
      </w:r>
      <w:r>
        <w:rPr>
          <w:rFonts w:ascii="Cambria" w:hAnsi="Cambria" w:cs="Arial"/>
          <w:sz w:val="20"/>
          <w:szCs w:val="20"/>
        </w:rPr>
        <w:t>du</w:t>
      </w:r>
      <w:r w:rsidRPr="00B125EE">
        <w:rPr>
          <w:rFonts w:ascii="Cambria" w:hAnsi="Cambria" w:cs="Arial"/>
          <w:sz w:val="20"/>
          <w:szCs w:val="20"/>
        </w:rPr>
        <w:t xml:space="preserve"> COC-303/2025 </w:t>
      </w:r>
      <w:r w:rsidR="000D3D38">
        <w:rPr>
          <w:rFonts w:ascii="Cambria" w:hAnsi="Cambria" w:cs="Arial"/>
          <w:sz w:val="20"/>
          <w:szCs w:val="20"/>
        </w:rPr>
        <w:t xml:space="preserve">contient </w:t>
      </w:r>
      <w:r w:rsidR="000D3D38" w:rsidRPr="000D3D38">
        <w:rPr>
          <w:rFonts w:ascii="Cambria" w:hAnsi="Cambria" w:cs="Arial"/>
          <w:sz w:val="20"/>
          <w:szCs w:val="20"/>
        </w:rPr>
        <w:t xml:space="preserve">des réponses à JIS reçues après le 17 octobre 2025, de : </w:t>
      </w:r>
      <w:r w:rsidR="00157F11" w:rsidRPr="00157F11">
        <w:rPr>
          <w:rFonts w:ascii="Cambria" w:hAnsi="Cambria" w:cs="Arial"/>
          <w:sz w:val="20"/>
          <w:szCs w:val="20"/>
        </w:rPr>
        <w:t>Türkiye</w:t>
      </w:r>
      <w:r>
        <w:rPr>
          <w:rFonts w:ascii="Cambria" w:hAnsi="Cambria" w:cs="Arial"/>
          <w:sz w:val="20"/>
          <w:szCs w:val="20"/>
        </w:rPr>
        <w:t>.</w:t>
      </w:r>
    </w:p>
    <w:p w14:paraId="4A2247FF" w14:textId="77777777" w:rsidR="00407702" w:rsidRDefault="00407702" w:rsidP="00407702">
      <w:pPr>
        <w:spacing w:after="0" w:line="240" w:lineRule="exact"/>
        <w:jc w:val="both"/>
        <w:rPr>
          <w:rFonts w:ascii="Cambria" w:hAnsi="Cambria" w:cs="Arial"/>
          <w:sz w:val="20"/>
          <w:szCs w:val="20"/>
        </w:rPr>
      </w:pPr>
    </w:p>
    <w:p w14:paraId="2030CB39" w14:textId="67BB94F1" w:rsidR="00407702" w:rsidRDefault="00407702" w:rsidP="00407702">
      <w:pPr>
        <w:spacing w:after="0" w:line="240" w:lineRule="exact"/>
        <w:jc w:val="both"/>
        <w:rPr>
          <w:rFonts w:ascii="Cambria" w:hAnsi="Cambria" w:cs="Arial"/>
          <w:sz w:val="20"/>
          <w:szCs w:val="20"/>
          <w:lang w:val="es-ES"/>
        </w:rPr>
      </w:pPr>
      <w:r w:rsidRPr="00AD12BC">
        <w:rPr>
          <w:rFonts w:ascii="Cambria" w:hAnsi="Cambria" w:cs="Arial"/>
          <w:sz w:val="20"/>
          <w:szCs w:val="20"/>
          <w:lang w:val="es-ES"/>
        </w:rPr>
        <w:t xml:space="preserve">Esta adenda al </w:t>
      </w:r>
      <w:r>
        <w:rPr>
          <w:rFonts w:ascii="Cambria" w:hAnsi="Cambria" w:cs="Arial"/>
          <w:sz w:val="20"/>
          <w:szCs w:val="20"/>
          <w:lang w:val="es-ES"/>
        </w:rPr>
        <w:t xml:space="preserve">apéndice 4 del </w:t>
      </w:r>
      <w:r w:rsidRPr="00AD12BC">
        <w:rPr>
          <w:rFonts w:ascii="Cambria" w:hAnsi="Cambria" w:cs="Arial"/>
          <w:sz w:val="20"/>
          <w:szCs w:val="20"/>
          <w:lang w:val="es-ES"/>
        </w:rPr>
        <w:t>COC-</w:t>
      </w:r>
      <w:r>
        <w:rPr>
          <w:rFonts w:ascii="Cambria" w:hAnsi="Cambria" w:cs="Arial"/>
          <w:sz w:val="20"/>
          <w:szCs w:val="20"/>
          <w:lang w:val="es-ES"/>
        </w:rPr>
        <w:t>303</w:t>
      </w:r>
      <w:r w:rsidRPr="00AD12BC">
        <w:rPr>
          <w:rFonts w:ascii="Cambria" w:hAnsi="Cambria" w:cs="Arial"/>
          <w:sz w:val="20"/>
          <w:szCs w:val="20"/>
          <w:lang w:val="es-ES"/>
        </w:rPr>
        <w:t>/2025 contiene</w:t>
      </w:r>
      <w:r>
        <w:rPr>
          <w:rFonts w:ascii="Cambria" w:hAnsi="Cambria" w:cs="Arial"/>
          <w:sz w:val="20"/>
          <w:szCs w:val="20"/>
          <w:lang w:val="es-ES"/>
        </w:rPr>
        <w:t xml:space="preserve"> respuestas a JIS recibidas </w:t>
      </w:r>
      <w:r w:rsidRPr="00AD12BC">
        <w:rPr>
          <w:rFonts w:ascii="Cambria" w:hAnsi="Cambria" w:cs="Arial"/>
          <w:sz w:val="20"/>
          <w:szCs w:val="20"/>
          <w:lang w:val="es-ES"/>
        </w:rPr>
        <w:t>después del 1</w:t>
      </w:r>
      <w:r>
        <w:rPr>
          <w:rFonts w:ascii="Cambria" w:hAnsi="Cambria" w:cs="Arial"/>
          <w:sz w:val="20"/>
          <w:szCs w:val="20"/>
          <w:lang w:val="es-ES"/>
        </w:rPr>
        <w:t>7</w:t>
      </w:r>
      <w:r w:rsidRPr="00AD12BC">
        <w:rPr>
          <w:rFonts w:ascii="Cambria" w:hAnsi="Cambria" w:cs="Arial"/>
          <w:sz w:val="20"/>
          <w:szCs w:val="20"/>
          <w:lang w:val="es-ES"/>
        </w:rPr>
        <w:t xml:space="preserve"> de octubre de 202</w:t>
      </w:r>
      <w:r>
        <w:rPr>
          <w:rFonts w:ascii="Cambria" w:hAnsi="Cambria" w:cs="Arial"/>
          <w:sz w:val="20"/>
          <w:szCs w:val="20"/>
          <w:lang w:val="es-ES"/>
        </w:rPr>
        <w:t>5</w:t>
      </w:r>
      <w:r w:rsidRPr="00AD12BC">
        <w:rPr>
          <w:rFonts w:ascii="Cambria" w:hAnsi="Cambria" w:cs="Arial"/>
          <w:sz w:val="20"/>
          <w:szCs w:val="20"/>
          <w:lang w:val="es-ES"/>
        </w:rPr>
        <w:t xml:space="preserve">, de: </w:t>
      </w:r>
      <w:r w:rsidR="00157F11" w:rsidRPr="00157F11">
        <w:rPr>
          <w:rFonts w:ascii="Cambria" w:hAnsi="Cambria" w:cs="Arial"/>
          <w:sz w:val="20"/>
          <w:szCs w:val="20"/>
          <w:lang w:val="es-ES"/>
        </w:rPr>
        <w:t>Türkiye</w:t>
      </w:r>
      <w:r>
        <w:rPr>
          <w:rFonts w:ascii="Cambria" w:hAnsi="Cambria" w:cs="Arial"/>
          <w:sz w:val="20"/>
          <w:szCs w:val="20"/>
          <w:lang w:val="es-ES"/>
        </w:rPr>
        <w:t>.</w:t>
      </w:r>
    </w:p>
    <w:p w14:paraId="7AC376E0" w14:textId="0AF0FC10" w:rsidR="00407702" w:rsidRDefault="00407702">
      <w:pPr>
        <w:rPr>
          <w:rFonts w:ascii="Cambria" w:hAnsi="Cambria"/>
          <w:b/>
          <w:bCs/>
          <w:sz w:val="20"/>
          <w:szCs w:val="20"/>
          <w:lang w:val="es-ES"/>
        </w:rPr>
      </w:pPr>
    </w:p>
    <w:p w14:paraId="4EA9493B" w14:textId="77777777" w:rsidR="003866B0" w:rsidRDefault="003866B0">
      <w:pPr>
        <w:rPr>
          <w:rFonts w:ascii="Cambria" w:hAnsi="Cambria"/>
          <w:b/>
          <w:bCs/>
          <w:sz w:val="20"/>
          <w:szCs w:val="20"/>
          <w:lang w:val="es-ES"/>
        </w:rPr>
      </w:pPr>
    </w:p>
    <w:p w14:paraId="60C2D971" w14:textId="77777777" w:rsidR="003866B0" w:rsidRDefault="003866B0">
      <w:pPr>
        <w:rPr>
          <w:rFonts w:ascii="Cambria" w:hAnsi="Cambria"/>
          <w:b/>
          <w:bCs/>
          <w:sz w:val="20"/>
          <w:szCs w:val="20"/>
          <w:lang w:val="es-ES"/>
        </w:rPr>
      </w:pPr>
    </w:p>
    <w:p w14:paraId="1EAD99CA" w14:textId="77777777" w:rsidR="003866B0" w:rsidRDefault="003866B0">
      <w:pPr>
        <w:rPr>
          <w:rFonts w:ascii="Cambria" w:hAnsi="Cambria"/>
          <w:b/>
          <w:bCs/>
          <w:sz w:val="20"/>
          <w:szCs w:val="20"/>
          <w:lang w:val="es-ES"/>
        </w:rPr>
      </w:pPr>
    </w:p>
    <w:p w14:paraId="45C45597" w14:textId="77777777" w:rsidR="003866B0" w:rsidRDefault="003866B0">
      <w:pPr>
        <w:rPr>
          <w:rFonts w:ascii="Cambria" w:hAnsi="Cambria"/>
          <w:b/>
          <w:bCs/>
          <w:sz w:val="20"/>
          <w:szCs w:val="20"/>
          <w:lang w:val="es-ES"/>
        </w:rPr>
      </w:pPr>
    </w:p>
    <w:p w14:paraId="5DC9E775" w14:textId="77777777" w:rsidR="003866B0" w:rsidRDefault="003866B0">
      <w:pPr>
        <w:rPr>
          <w:rFonts w:ascii="Cambria" w:hAnsi="Cambria"/>
          <w:b/>
          <w:bCs/>
          <w:sz w:val="20"/>
          <w:szCs w:val="20"/>
          <w:lang w:val="es-ES"/>
        </w:rPr>
      </w:pPr>
    </w:p>
    <w:p w14:paraId="07B4CD1F" w14:textId="77777777" w:rsidR="003866B0" w:rsidRDefault="003866B0">
      <w:pPr>
        <w:rPr>
          <w:rFonts w:ascii="Cambria" w:hAnsi="Cambria"/>
          <w:b/>
          <w:bCs/>
          <w:sz w:val="20"/>
          <w:szCs w:val="20"/>
          <w:lang w:val="es-ES"/>
        </w:rPr>
      </w:pPr>
    </w:p>
    <w:p w14:paraId="7FD6C5B0" w14:textId="77777777" w:rsidR="003866B0" w:rsidRDefault="003866B0">
      <w:pPr>
        <w:rPr>
          <w:rFonts w:ascii="Cambria" w:hAnsi="Cambria"/>
          <w:b/>
          <w:bCs/>
          <w:sz w:val="20"/>
          <w:szCs w:val="20"/>
          <w:lang w:val="es-ES"/>
        </w:rPr>
      </w:pPr>
    </w:p>
    <w:p w14:paraId="3C892E9E" w14:textId="77777777" w:rsidR="003866B0" w:rsidRDefault="003866B0">
      <w:pPr>
        <w:rPr>
          <w:rFonts w:ascii="Cambria" w:hAnsi="Cambria"/>
          <w:b/>
          <w:bCs/>
          <w:sz w:val="20"/>
          <w:szCs w:val="20"/>
          <w:lang w:val="es-ES"/>
        </w:rPr>
      </w:pPr>
    </w:p>
    <w:p w14:paraId="0180BC53" w14:textId="77777777" w:rsidR="003866B0" w:rsidRDefault="003866B0">
      <w:pPr>
        <w:rPr>
          <w:rFonts w:ascii="Cambria" w:hAnsi="Cambria"/>
          <w:b/>
          <w:bCs/>
          <w:sz w:val="20"/>
          <w:szCs w:val="20"/>
          <w:lang w:val="es-ES"/>
        </w:rPr>
      </w:pPr>
    </w:p>
    <w:p w14:paraId="2861674E" w14:textId="77777777" w:rsidR="003866B0" w:rsidRDefault="003866B0">
      <w:pPr>
        <w:rPr>
          <w:rFonts w:ascii="Cambria" w:hAnsi="Cambria"/>
          <w:b/>
          <w:bCs/>
          <w:sz w:val="20"/>
          <w:szCs w:val="20"/>
          <w:lang w:val="es-ES"/>
        </w:rPr>
      </w:pPr>
    </w:p>
    <w:p w14:paraId="0BF6486E" w14:textId="77777777" w:rsidR="003866B0" w:rsidRDefault="003866B0">
      <w:pPr>
        <w:rPr>
          <w:rFonts w:ascii="Cambria" w:hAnsi="Cambria"/>
          <w:b/>
          <w:bCs/>
          <w:sz w:val="20"/>
          <w:szCs w:val="20"/>
          <w:lang w:val="es-ES"/>
        </w:rPr>
      </w:pPr>
    </w:p>
    <w:p w14:paraId="3BB378C7" w14:textId="77777777" w:rsidR="003866B0" w:rsidRDefault="003866B0">
      <w:pPr>
        <w:rPr>
          <w:rFonts w:ascii="Cambria" w:hAnsi="Cambria"/>
          <w:b/>
          <w:bCs/>
          <w:sz w:val="20"/>
          <w:szCs w:val="20"/>
          <w:lang w:val="es-ES"/>
        </w:rPr>
      </w:pPr>
    </w:p>
    <w:p w14:paraId="3808C49A" w14:textId="77777777" w:rsidR="003866B0" w:rsidRDefault="003866B0">
      <w:pPr>
        <w:rPr>
          <w:rFonts w:ascii="Cambria" w:hAnsi="Cambria"/>
          <w:b/>
          <w:bCs/>
          <w:sz w:val="20"/>
          <w:szCs w:val="20"/>
          <w:lang w:val="es-ES"/>
        </w:rPr>
      </w:pPr>
    </w:p>
    <w:p w14:paraId="009CE674" w14:textId="77777777" w:rsidR="003866B0" w:rsidRDefault="003866B0">
      <w:pPr>
        <w:rPr>
          <w:rFonts w:ascii="Cambria" w:hAnsi="Cambria"/>
          <w:b/>
          <w:bCs/>
          <w:sz w:val="20"/>
          <w:szCs w:val="20"/>
          <w:lang w:val="es-ES"/>
        </w:rPr>
      </w:pPr>
    </w:p>
    <w:p w14:paraId="570677E2" w14:textId="77777777" w:rsidR="003866B0" w:rsidRDefault="003866B0">
      <w:pPr>
        <w:rPr>
          <w:rFonts w:ascii="Cambria" w:hAnsi="Cambria"/>
          <w:b/>
          <w:bCs/>
          <w:sz w:val="20"/>
          <w:szCs w:val="20"/>
          <w:lang w:val="es-ES"/>
        </w:rPr>
      </w:pPr>
    </w:p>
    <w:p w14:paraId="4C0FB708" w14:textId="77777777" w:rsidR="003866B0" w:rsidRDefault="003866B0">
      <w:pPr>
        <w:rPr>
          <w:rFonts w:ascii="Cambria" w:hAnsi="Cambria"/>
          <w:b/>
          <w:bCs/>
          <w:sz w:val="20"/>
          <w:szCs w:val="20"/>
          <w:lang w:val="es-ES"/>
        </w:rPr>
      </w:pPr>
    </w:p>
    <w:p w14:paraId="637A19A8" w14:textId="77777777" w:rsidR="003866B0" w:rsidRDefault="003866B0">
      <w:pPr>
        <w:rPr>
          <w:rFonts w:ascii="Cambria" w:hAnsi="Cambria"/>
          <w:b/>
          <w:bCs/>
          <w:sz w:val="20"/>
          <w:szCs w:val="20"/>
          <w:lang w:val="es-ES"/>
        </w:rPr>
      </w:pPr>
    </w:p>
    <w:p w14:paraId="05967045" w14:textId="77777777" w:rsidR="003866B0" w:rsidRDefault="003866B0">
      <w:pPr>
        <w:rPr>
          <w:rFonts w:ascii="Cambria" w:hAnsi="Cambria"/>
          <w:b/>
          <w:bCs/>
          <w:sz w:val="20"/>
          <w:szCs w:val="20"/>
          <w:lang w:val="es-ES"/>
        </w:rPr>
      </w:pPr>
    </w:p>
    <w:p w14:paraId="630669F1" w14:textId="77777777" w:rsidR="003866B0" w:rsidRDefault="003866B0">
      <w:pPr>
        <w:rPr>
          <w:rFonts w:ascii="Cambria" w:hAnsi="Cambria"/>
          <w:b/>
          <w:bCs/>
          <w:sz w:val="20"/>
          <w:szCs w:val="20"/>
          <w:lang w:val="es-ES"/>
        </w:rPr>
      </w:pPr>
    </w:p>
    <w:p w14:paraId="1419EE9F" w14:textId="77777777" w:rsidR="003866B0" w:rsidRDefault="003866B0">
      <w:pPr>
        <w:rPr>
          <w:rFonts w:ascii="Cambria" w:hAnsi="Cambria"/>
          <w:b/>
          <w:bCs/>
          <w:sz w:val="20"/>
          <w:szCs w:val="20"/>
          <w:lang w:val="es-ES"/>
        </w:rPr>
      </w:pPr>
    </w:p>
    <w:p w14:paraId="658A7B65" w14:textId="77777777" w:rsidR="003866B0" w:rsidRDefault="003866B0">
      <w:pPr>
        <w:rPr>
          <w:rFonts w:ascii="Cambria" w:hAnsi="Cambria"/>
          <w:b/>
          <w:bCs/>
          <w:sz w:val="20"/>
          <w:szCs w:val="20"/>
          <w:lang w:val="es-ES"/>
        </w:rPr>
      </w:pPr>
    </w:p>
    <w:p w14:paraId="5A6DAD59" w14:textId="77777777" w:rsidR="003866B0" w:rsidRDefault="003866B0">
      <w:pPr>
        <w:rPr>
          <w:rFonts w:ascii="Cambria" w:hAnsi="Cambria"/>
          <w:b/>
          <w:bCs/>
          <w:sz w:val="20"/>
          <w:szCs w:val="20"/>
          <w:lang w:val="es-ES"/>
        </w:rPr>
      </w:pPr>
    </w:p>
    <w:p w14:paraId="654FCED7" w14:textId="77777777" w:rsidR="003866B0" w:rsidRDefault="003866B0">
      <w:pPr>
        <w:rPr>
          <w:rFonts w:ascii="Cambria" w:hAnsi="Cambria"/>
          <w:b/>
          <w:bCs/>
          <w:sz w:val="20"/>
          <w:szCs w:val="20"/>
          <w:lang w:val="es-ES"/>
        </w:rPr>
      </w:pPr>
    </w:p>
    <w:p w14:paraId="5710DB57" w14:textId="77777777" w:rsidR="003866B0" w:rsidRPr="00407702" w:rsidRDefault="003866B0">
      <w:pPr>
        <w:rPr>
          <w:rFonts w:ascii="Cambria" w:hAnsi="Cambria"/>
          <w:b/>
          <w:bCs/>
          <w:sz w:val="20"/>
          <w:szCs w:val="20"/>
          <w:lang w:val="es-ES"/>
        </w:rPr>
      </w:pPr>
    </w:p>
    <w:p w14:paraId="4AF6BBA5" w14:textId="77777777" w:rsidR="003866B0" w:rsidRDefault="003866B0" w:rsidP="004C10A9">
      <w:pPr>
        <w:spacing w:after="0"/>
        <w:jc w:val="center"/>
        <w:rPr>
          <w:rFonts w:ascii="Cambria" w:hAnsi="Cambria"/>
          <w:b/>
          <w:bCs/>
          <w:sz w:val="20"/>
          <w:szCs w:val="20"/>
          <w:lang w:val="es-ES"/>
        </w:rPr>
        <w:sectPr w:rsidR="003866B0" w:rsidSect="003866B0">
          <w:headerReference w:type="default" r:id="rId8"/>
          <w:pgSz w:w="11906" w:h="16838"/>
          <w:pgMar w:top="1418" w:right="1418" w:bottom="1418" w:left="1418" w:header="709" w:footer="709" w:gutter="0"/>
          <w:cols w:space="708"/>
          <w:docGrid w:linePitch="360"/>
        </w:sectPr>
      </w:pPr>
    </w:p>
    <w:p w14:paraId="1F155EEE" w14:textId="77777777" w:rsidR="00407702" w:rsidRPr="00407702" w:rsidRDefault="00407702" w:rsidP="004C10A9">
      <w:pPr>
        <w:spacing w:after="0"/>
        <w:jc w:val="center"/>
        <w:rPr>
          <w:rFonts w:ascii="Cambria" w:hAnsi="Cambria"/>
          <w:b/>
          <w:bCs/>
          <w:sz w:val="20"/>
          <w:szCs w:val="20"/>
          <w:lang w:val="es-ES"/>
        </w:rPr>
      </w:pPr>
    </w:p>
    <w:p w14:paraId="3CBB7465" w14:textId="77777777" w:rsidR="003866B0" w:rsidRPr="003866B0" w:rsidRDefault="003866B0" w:rsidP="003866B0">
      <w:pPr>
        <w:rPr>
          <w:rFonts w:ascii="Cambria" w:hAnsi="Cambria"/>
          <w:b/>
          <w:bCs/>
          <w:sz w:val="20"/>
          <w:szCs w:val="20"/>
        </w:rPr>
      </w:pPr>
      <w:r w:rsidRPr="003866B0">
        <w:rPr>
          <w:rFonts w:ascii="Cambria" w:hAnsi="Cambria"/>
          <w:b/>
          <w:bCs/>
          <w:sz w:val="20"/>
          <w:szCs w:val="20"/>
          <w:lang w:val="en-GB"/>
        </w:rPr>
        <w:t xml:space="preserve">RESPONSE BY TÜRKİYE TO JIS REPORTS WITH POSSIBLE INFRINGEMENT (DOC.  </w:t>
      </w:r>
      <w:r w:rsidRPr="003866B0">
        <w:rPr>
          <w:rFonts w:ascii="Cambria" w:hAnsi="Cambria"/>
          <w:b/>
          <w:bCs/>
          <w:sz w:val="20"/>
          <w:szCs w:val="20"/>
        </w:rPr>
        <w:t>COC 303 APPENDIX 4)</w:t>
      </w:r>
    </w:p>
    <w:p w14:paraId="7E6D0DB8" w14:textId="77777777" w:rsidR="003866B0" w:rsidRPr="003866B0" w:rsidRDefault="003866B0" w:rsidP="003866B0">
      <w:pPr>
        <w:rPr>
          <w:rFonts w:ascii="Cambria" w:hAnsi="Cambria"/>
          <w:b/>
          <w:bCs/>
          <w:sz w:val="20"/>
          <w:szCs w:val="20"/>
        </w:rPr>
      </w:pPr>
    </w:p>
    <w:tbl>
      <w:tblPr>
        <w:tblStyle w:val="TableGrid"/>
        <w:tblW w:w="14596" w:type="dxa"/>
        <w:tblLook w:val="04A0" w:firstRow="1" w:lastRow="0" w:firstColumn="1" w:lastColumn="0" w:noHBand="0" w:noVBand="1"/>
      </w:tblPr>
      <w:tblGrid>
        <w:gridCol w:w="2122"/>
        <w:gridCol w:w="4110"/>
        <w:gridCol w:w="8364"/>
      </w:tblGrid>
      <w:tr w:rsidR="003866B0" w:rsidRPr="003866B0" w14:paraId="37C56957" w14:textId="77777777" w:rsidTr="006B258F">
        <w:trPr>
          <w:tblHeader/>
        </w:trPr>
        <w:tc>
          <w:tcPr>
            <w:tcW w:w="2122" w:type="dxa"/>
          </w:tcPr>
          <w:p w14:paraId="38B4538A" w14:textId="77777777" w:rsidR="003866B0" w:rsidRPr="003866B0" w:rsidRDefault="003866B0" w:rsidP="006B258F">
            <w:pPr>
              <w:jc w:val="both"/>
              <w:rPr>
                <w:rFonts w:ascii="Cambria" w:hAnsi="Cambria"/>
                <w:b/>
                <w:bCs/>
                <w:sz w:val="20"/>
                <w:szCs w:val="20"/>
              </w:rPr>
            </w:pPr>
            <w:r w:rsidRPr="003866B0">
              <w:rPr>
                <w:rFonts w:ascii="Cambria" w:hAnsi="Cambria"/>
                <w:b/>
                <w:bCs/>
                <w:sz w:val="20"/>
                <w:szCs w:val="20"/>
              </w:rPr>
              <w:t xml:space="preserve">INSPECTED </w:t>
            </w:r>
          </w:p>
          <w:p w14:paraId="78F5AD2C" w14:textId="77777777" w:rsidR="003866B0" w:rsidRPr="003866B0" w:rsidRDefault="003866B0" w:rsidP="006B258F">
            <w:pPr>
              <w:jc w:val="both"/>
              <w:rPr>
                <w:rFonts w:ascii="Cambria" w:hAnsi="Cambria"/>
                <w:b/>
                <w:bCs/>
                <w:sz w:val="20"/>
                <w:szCs w:val="20"/>
              </w:rPr>
            </w:pPr>
            <w:r w:rsidRPr="003866B0">
              <w:rPr>
                <w:rFonts w:ascii="Cambria" w:hAnsi="Cambria"/>
                <w:b/>
                <w:bCs/>
                <w:sz w:val="20"/>
                <w:szCs w:val="20"/>
              </w:rPr>
              <w:t xml:space="preserve">VESSEL NAME </w:t>
            </w:r>
          </w:p>
        </w:tc>
        <w:tc>
          <w:tcPr>
            <w:tcW w:w="4110" w:type="dxa"/>
          </w:tcPr>
          <w:p w14:paraId="04015B3D" w14:textId="77777777" w:rsidR="003866B0" w:rsidRPr="003866B0" w:rsidRDefault="003866B0" w:rsidP="006B258F">
            <w:pPr>
              <w:jc w:val="both"/>
              <w:rPr>
                <w:rFonts w:ascii="Cambria" w:hAnsi="Cambria"/>
                <w:b/>
                <w:bCs/>
                <w:sz w:val="20"/>
                <w:szCs w:val="20"/>
              </w:rPr>
            </w:pPr>
            <w:r w:rsidRPr="003866B0">
              <w:rPr>
                <w:rFonts w:ascii="Cambria" w:hAnsi="Cambria"/>
                <w:b/>
                <w:bCs/>
                <w:sz w:val="20"/>
                <w:szCs w:val="20"/>
              </w:rPr>
              <w:t xml:space="preserve">MAIN FINDING </w:t>
            </w:r>
          </w:p>
        </w:tc>
        <w:tc>
          <w:tcPr>
            <w:tcW w:w="8364" w:type="dxa"/>
          </w:tcPr>
          <w:p w14:paraId="4315D627" w14:textId="77777777" w:rsidR="003866B0" w:rsidRPr="003866B0" w:rsidRDefault="003866B0" w:rsidP="006B258F">
            <w:pPr>
              <w:jc w:val="both"/>
              <w:rPr>
                <w:rFonts w:ascii="Cambria" w:hAnsi="Cambria"/>
                <w:b/>
                <w:bCs/>
                <w:sz w:val="20"/>
                <w:szCs w:val="20"/>
              </w:rPr>
            </w:pPr>
            <w:r w:rsidRPr="003866B0">
              <w:rPr>
                <w:rFonts w:ascii="Cambria" w:hAnsi="Cambria"/>
                <w:b/>
                <w:bCs/>
                <w:sz w:val="20"/>
                <w:szCs w:val="20"/>
              </w:rPr>
              <w:t xml:space="preserve">RESPONSE BY TÜRKİYE </w:t>
            </w:r>
          </w:p>
        </w:tc>
      </w:tr>
      <w:tr w:rsidR="003866B0" w:rsidRPr="003866B0" w14:paraId="7BAC312C" w14:textId="77777777" w:rsidTr="006B258F">
        <w:tc>
          <w:tcPr>
            <w:tcW w:w="2122" w:type="dxa"/>
          </w:tcPr>
          <w:p w14:paraId="2B66F9E9" w14:textId="77777777" w:rsidR="003866B0" w:rsidRPr="003866B0" w:rsidRDefault="003866B0" w:rsidP="006B258F">
            <w:pPr>
              <w:jc w:val="both"/>
              <w:rPr>
                <w:rFonts w:ascii="Cambria" w:hAnsi="Cambria"/>
                <w:b/>
                <w:bCs/>
                <w:sz w:val="20"/>
                <w:szCs w:val="20"/>
              </w:rPr>
            </w:pPr>
            <w:r w:rsidRPr="003866B0">
              <w:rPr>
                <w:rFonts w:ascii="Cambria" w:hAnsi="Cambria"/>
                <w:b/>
                <w:bCs/>
                <w:sz w:val="20"/>
                <w:szCs w:val="20"/>
              </w:rPr>
              <w:t xml:space="preserve">KİLİMOĞLU-3 </w:t>
            </w:r>
          </w:p>
        </w:tc>
        <w:tc>
          <w:tcPr>
            <w:tcW w:w="4110" w:type="dxa"/>
          </w:tcPr>
          <w:p w14:paraId="288E282D" w14:textId="77777777" w:rsidR="003866B0" w:rsidRPr="003866B0" w:rsidRDefault="003866B0" w:rsidP="006B258F">
            <w:pPr>
              <w:jc w:val="both"/>
              <w:rPr>
                <w:rFonts w:ascii="Cambria" w:hAnsi="Cambria"/>
                <w:sz w:val="20"/>
                <w:szCs w:val="20"/>
              </w:rPr>
            </w:pPr>
          </w:p>
          <w:p w14:paraId="70A81997" w14:textId="77777777" w:rsidR="003866B0" w:rsidRPr="003866B0" w:rsidRDefault="003866B0" w:rsidP="006B258F">
            <w:pPr>
              <w:jc w:val="both"/>
              <w:rPr>
                <w:rFonts w:ascii="Cambria" w:hAnsi="Cambria"/>
                <w:i/>
                <w:iCs/>
                <w:sz w:val="20"/>
                <w:szCs w:val="20"/>
              </w:rPr>
            </w:pPr>
            <w:r w:rsidRPr="003866B0">
              <w:rPr>
                <w:rFonts w:ascii="Cambria" w:hAnsi="Cambria"/>
                <w:i/>
                <w:iCs/>
                <w:sz w:val="20"/>
                <w:szCs w:val="20"/>
              </w:rPr>
              <w:t>"During the first transfer, in the ICCAT Transfer Declaration TUR-2025-152-ITD was declared receiving cage number TUR-SAG-2025-032 and, inspection team verified that during the transfer, the cage number was TUR-SAG-2025-027 (cage was empty before the transfer).</w:t>
            </w:r>
          </w:p>
          <w:p w14:paraId="7BEAAE7D" w14:textId="77777777" w:rsidR="003866B0" w:rsidRPr="003866B0" w:rsidRDefault="003866B0" w:rsidP="006B258F">
            <w:pPr>
              <w:jc w:val="both"/>
              <w:rPr>
                <w:rFonts w:ascii="Cambria" w:hAnsi="Cambria"/>
                <w:i/>
                <w:iCs/>
                <w:sz w:val="20"/>
                <w:szCs w:val="20"/>
              </w:rPr>
            </w:pPr>
            <w:r w:rsidRPr="003866B0">
              <w:rPr>
                <w:rFonts w:ascii="Cambria" w:hAnsi="Cambria"/>
                <w:i/>
                <w:iCs/>
                <w:sz w:val="20"/>
                <w:szCs w:val="20"/>
              </w:rPr>
              <w:t>(A sighting report was attached: SR-TUR PS TUNCAY SAGUN 6 -20250606)</w:t>
            </w:r>
          </w:p>
          <w:p w14:paraId="7534DC54" w14:textId="77777777" w:rsidR="003866B0" w:rsidRPr="003866B0" w:rsidRDefault="003866B0" w:rsidP="006B258F">
            <w:pPr>
              <w:jc w:val="both"/>
              <w:rPr>
                <w:rFonts w:ascii="Cambria" w:hAnsi="Cambria"/>
                <w:b/>
                <w:bCs/>
                <w:sz w:val="20"/>
                <w:szCs w:val="20"/>
                <w:u w:val="single"/>
              </w:rPr>
            </w:pPr>
            <w:r w:rsidRPr="003866B0">
              <w:rPr>
                <w:rFonts w:ascii="Cambria" w:hAnsi="Cambria"/>
                <w:i/>
                <w:iCs/>
                <w:sz w:val="20"/>
                <w:szCs w:val="20"/>
              </w:rPr>
              <w:t>In the time of inspection, the cage number was already modified to TUR-SAG-2025-032. Non-compliant with Par. 111. Rec. 24-05."</w:t>
            </w:r>
          </w:p>
        </w:tc>
        <w:tc>
          <w:tcPr>
            <w:tcW w:w="8364" w:type="dxa"/>
          </w:tcPr>
          <w:p w14:paraId="07F58A84" w14:textId="77777777" w:rsidR="003866B0" w:rsidRPr="003866B0" w:rsidRDefault="003866B0" w:rsidP="006B258F">
            <w:pPr>
              <w:jc w:val="both"/>
              <w:rPr>
                <w:rFonts w:ascii="Cambria" w:hAnsi="Cambria"/>
                <w:sz w:val="20"/>
                <w:szCs w:val="20"/>
              </w:rPr>
            </w:pPr>
            <w:r w:rsidRPr="003866B0">
              <w:rPr>
                <w:rFonts w:ascii="Cambria" w:hAnsi="Cambria"/>
                <w:sz w:val="20"/>
                <w:szCs w:val="20"/>
              </w:rPr>
              <w:t>Turkish Ministry of Agriculture and Forestry (MoAF) initiated an investigation in respect to the infringement reported by the EU ICCAT Inspectors with an official notification to the concerned operator.</w:t>
            </w:r>
          </w:p>
          <w:p w14:paraId="71CF9123" w14:textId="77777777" w:rsidR="003866B0" w:rsidRPr="003866B0" w:rsidRDefault="003866B0" w:rsidP="006B258F">
            <w:pPr>
              <w:jc w:val="both"/>
              <w:rPr>
                <w:rFonts w:ascii="Cambria" w:hAnsi="Cambria"/>
                <w:sz w:val="20"/>
                <w:szCs w:val="20"/>
              </w:rPr>
            </w:pPr>
          </w:p>
          <w:p w14:paraId="42FFEBD8" w14:textId="77777777" w:rsidR="003866B0" w:rsidRPr="003866B0" w:rsidRDefault="003866B0" w:rsidP="006B258F">
            <w:pPr>
              <w:jc w:val="both"/>
              <w:rPr>
                <w:rFonts w:ascii="Cambria" w:hAnsi="Cambria"/>
                <w:sz w:val="20"/>
                <w:szCs w:val="20"/>
              </w:rPr>
            </w:pPr>
            <w:r w:rsidRPr="003866B0">
              <w:rPr>
                <w:rFonts w:ascii="Cambria" w:hAnsi="Cambria"/>
                <w:sz w:val="20"/>
                <w:szCs w:val="20"/>
              </w:rPr>
              <w:t xml:space="preserve">It is confirmed by the operator that cage number was inadvertently marked incorrectly by the operator, after realizing the correct numbering has been applied and the number revized. </w:t>
            </w:r>
          </w:p>
          <w:p w14:paraId="6F078852" w14:textId="77777777" w:rsidR="003866B0" w:rsidRPr="003866B0" w:rsidRDefault="003866B0" w:rsidP="006B258F">
            <w:pPr>
              <w:jc w:val="both"/>
              <w:rPr>
                <w:rFonts w:ascii="Cambria" w:hAnsi="Cambria"/>
                <w:sz w:val="20"/>
                <w:szCs w:val="20"/>
              </w:rPr>
            </w:pPr>
          </w:p>
          <w:p w14:paraId="0F059D3D" w14:textId="77777777" w:rsidR="003866B0" w:rsidRPr="003866B0" w:rsidRDefault="003866B0" w:rsidP="006B258F">
            <w:pPr>
              <w:jc w:val="both"/>
              <w:rPr>
                <w:rFonts w:ascii="Cambria" w:hAnsi="Cambria"/>
                <w:sz w:val="20"/>
                <w:szCs w:val="20"/>
              </w:rPr>
            </w:pPr>
            <w:r w:rsidRPr="003866B0">
              <w:rPr>
                <w:rFonts w:ascii="Cambria" w:hAnsi="Cambria"/>
                <w:sz w:val="20"/>
                <w:szCs w:val="20"/>
              </w:rPr>
              <w:t>No transfer to the cage took place prior to this correction. The aforementioned error, made inadvertently by the operator, was identified and corrected before any transfer occurred.</w:t>
            </w:r>
          </w:p>
          <w:p w14:paraId="656DF2EB" w14:textId="77777777" w:rsidR="003866B0" w:rsidRPr="003866B0" w:rsidRDefault="003866B0" w:rsidP="006B258F">
            <w:pPr>
              <w:jc w:val="both"/>
              <w:rPr>
                <w:rFonts w:ascii="Cambria" w:hAnsi="Cambria"/>
                <w:sz w:val="20"/>
                <w:szCs w:val="20"/>
              </w:rPr>
            </w:pPr>
          </w:p>
          <w:p w14:paraId="460CFF55" w14:textId="77777777" w:rsidR="003866B0" w:rsidRPr="003866B0" w:rsidRDefault="003866B0" w:rsidP="006B258F">
            <w:pPr>
              <w:jc w:val="both"/>
              <w:rPr>
                <w:rFonts w:ascii="Cambria" w:hAnsi="Cambria"/>
                <w:sz w:val="20"/>
                <w:szCs w:val="20"/>
              </w:rPr>
            </w:pPr>
            <w:r w:rsidRPr="003866B0">
              <w:rPr>
                <w:rFonts w:ascii="Cambria" w:hAnsi="Cambria"/>
                <w:sz w:val="20"/>
                <w:szCs w:val="20"/>
              </w:rPr>
              <w:t xml:space="preserve">The operator has officially been warned by MoAF fort his oversight. </w:t>
            </w:r>
          </w:p>
        </w:tc>
      </w:tr>
      <w:tr w:rsidR="003866B0" w:rsidRPr="003866B0" w14:paraId="60959D47" w14:textId="77777777" w:rsidTr="006B258F">
        <w:trPr>
          <w:trHeight w:val="140"/>
        </w:trPr>
        <w:tc>
          <w:tcPr>
            <w:tcW w:w="2122" w:type="dxa"/>
          </w:tcPr>
          <w:p w14:paraId="17E76843" w14:textId="77777777" w:rsidR="003866B0" w:rsidRPr="003866B0" w:rsidRDefault="003866B0" w:rsidP="006B258F">
            <w:pPr>
              <w:jc w:val="both"/>
              <w:rPr>
                <w:rFonts w:ascii="Cambria" w:hAnsi="Cambria"/>
                <w:sz w:val="20"/>
                <w:szCs w:val="20"/>
              </w:rPr>
            </w:pPr>
            <w:r w:rsidRPr="003866B0">
              <w:rPr>
                <w:rFonts w:ascii="Cambria" w:hAnsi="Cambria"/>
                <w:b/>
                <w:bCs/>
                <w:sz w:val="20"/>
                <w:szCs w:val="20"/>
              </w:rPr>
              <w:t>ÇAKIROĞULLARI-1</w:t>
            </w:r>
          </w:p>
        </w:tc>
        <w:tc>
          <w:tcPr>
            <w:tcW w:w="4110" w:type="dxa"/>
          </w:tcPr>
          <w:p w14:paraId="23978ECF" w14:textId="77777777" w:rsidR="003866B0" w:rsidRPr="003866B0" w:rsidRDefault="003866B0" w:rsidP="006B258F">
            <w:pPr>
              <w:jc w:val="both"/>
              <w:rPr>
                <w:rFonts w:ascii="Cambria" w:hAnsi="Cambria"/>
                <w:sz w:val="20"/>
                <w:szCs w:val="20"/>
              </w:rPr>
            </w:pPr>
          </w:p>
          <w:p w14:paraId="084E6515" w14:textId="77777777" w:rsidR="003866B0" w:rsidRPr="003866B0" w:rsidRDefault="003866B0" w:rsidP="006B258F">
            <w:pPr>
              <w:jc w:val="both"/>
              <w:rPr>
                <w:rFonts w:ascii="Cambria" w:hAnsi="Cambria"/>
                <w:i/>
                <w:iCs/>
                <w:sz w:val="20"/>
                <w:szCs w:val="20"/>
              </w:rPr>
            </w:pPr>
            <w:r w:rsidRPr="003866B0">
              <w:rPr>
                <w:rFonts w:ascii="Cambria" w:hAnsi="Cambria"/>
                <w:i/>
                <w:iCs/>
                <w:sz w:val="20"/>
                <w:szCs w:val="20"/>
              </w:rPr>
              <w:t>"The video transfer of the ITD TUR-2025/034/ITD is not compliant with the minimum standard for video recording requirements in accordance with Annex 8 of Rec. 24-05. The video is cut at time 10:34:05, before the passage of the BFT into the cage.</w:t>
            </w:r>
          </w:p>
          <w:p w14:paraId="42888DDA" w14:textId="77777777" w:rsidR="003866B0" w:rsidRPr="003866B0" w:rsidRDefault="003866B0" w:rsidP="006B258F">
            <w:pPr>
              <w:jc w:val="both"/>
              <w:rPr>
                <w:rFonts w:ascii="Cambria" w:hAnsi="Cambria"/>
                <w:sz w:val="20"/>
                <w:szCs w:val="20"/>
              </w:rPr>
            </w:pPr>
            <w:r w:rsidRPr="003866B0">
              <w:rPr>
                <w:rFonts w:ascii="Cambria" w:hAnsi="Cambria"/>
                <w:i/>
                <w:iCs/>
                <w:sz w:val="20"/>
                <w:szCs w:val="20"/>
              </w:rPr>
              <w:t xml:space="preserve">Then video transfer of Ihn ITD ľUR 2025/061/ITD la non compliance with the minimum Menderd for video recording requirements in accordance with ANNEX 8 of ICCAT Rec. 24-05. The video is too dark because recorded during night hours. The video of further transfer of the ITDs TUR-2025/036/ITD, TUR-2025/043/ITD, TUR-2025/053/ITD, TUR-2025/060/ITD, TUR-2025/062/ITD and TUR-2025/064/ITD has shown that the difference in percentage of average quantity of BFT pieces counted by the </w:t>
            </w:r>
            <w:r w:rsidRPr="003866B0">
              <w:rPr>
                <w:rFonts w:ascii="Cambria" w:hAnsi="Cambria"/>
                <w:i/>
                <w:iCs/>
                <w:sz w:val="20"/>
                <w:szCs w:val="20"/>
              </w:rPr>
              <w:lastRenderedPageBreak/>
              <w:t>inspectors and the one declared in the related ITD is  &gt;-29,27%, not compliance with ICCAT Rec. 24-05 par. 137."</w:t>
            </w:r>
          </w:p>
        </w:tc>
        <w:tc>
          <w:tcPr>
            <w:tcW w:w="8364" w:type="dxa"/>
          </w:tcPr>
          <w:p w14:paraId="0BB6B905" w14:textId="77777777" w:rsidR="003866B0" w:rsidRPr="003866B0" w:rsidRDefault="003866B0" w:rsidP="006B258F">
            <w:pPr>
              <w:rPr>
                <w:rFonts w:ascii="Cambria" w:hAnsi="Cambria"/>
                <w:sz w:val="20"/>
                <w:szCs w:val="20"/>
              </w:rPr>
            </w:pPr>
            <w:r w:rsidRPr="003866B0">
              <w:rPr>
                <w:rFonts w:ascii="Cambria" w:hAnsi="Cambria"/>
                <w:sz w:val="20"/>
                <w:szCs w:val="20"/>
              </w:rPr>
              <w:lastRenderedPageBreak/>
              <w:t xml:space="preserve">Turkish Ministry of Agriculture and Forestry (MoAF) initiated an investigation in respect to the PNCs reported for the vessel ÇAKIROĞULLARI-1 with an official notification to the concerned operator.  </w:t>
            </w:r>
          </w:p>
          <w:p w14:paraId="7BE4999A" w14:textId="77777777" w:rsidR="003866B0" w:rsidRPr="003866B0" w:rsidRDefault="003866B0" w:rsidP="006B258F">
            <w:pPr>
              <w:rPr>
                <w:rFonts w:ascii="Cambria" w:hAnsi="Cambria"/>
                <w:sz w:val="20"/>
                <w:szCs w:val="20"/>
              </w:rPr>
            </w:pPr>
          </w:p>
          <w:p w14:paraId="0BE5B045" w14:textId="77777777" w:rsidR="003866B0" w:rsidRPr="003866B0" w:rsidRDefault="003866B0" w:rsidP="006B258F">
            <w:pPr>
              <w:rPr>
                <w:rFonts w:ascii="Cambria" w:hAnsi="Cambria"/>
                <w:sz w:val="20"/>
                <w:szCs w:val="20"/>
              </w:rPr>
            </w:pPr>
            <w:r w:rsidRPr="003866B0">
              <w:rPr>
                <w:rFonts w:ascii="Cambria" w:hAnsi="Cambria"/>
                <w:sz w:val="20"/>
                <w:szCs w:val="20"/>
              </w:rPr>
              <w:t xml:space="preserve">The video footages of the questioned transfers have been demanded from the operator concerned for further examination. </w:t>
            </w:r>
          </w:p>
          <w:p w14:paraId="05A7FC58" w14:textId="77777777" w:rsidR="003866B0" w:rsidRPr="003866B0" w:rsidRDefault="003866B0" w:rsidP="006B258F">
            <w:pPr>
              <w:rPr>
                <w:rFonts w:ascii="Cambria" w:hAnsi="Cambria"/>
                <w:sz w:val="20"/>
                <w:szCs w:val="20"/>
              </w:rPr>
            </w:pPr>
          </w:p>
          <w:p w14:paraId="18887511" w14:textId="77777777" w:rsidR="003866B0" w:rsidRPr="003866B0" w:rsidRDefault="003866B0" w:rsidP="006B258F">
            <w:pPr>
              <w:rPr>
                <w:rFonts w:ascii="Cambria" w:hAnsi="Cambria"/>
                <w:sz w:val="20"/>
                <w:szCs w:val="20"/>
              </w:rPr>
            </w:pPr>
            <w:r w:rsidRPr="003866B0">
              <w:rPr>
                <w:rFonts w:ascii="Cambria" w:hAnsi="Cambria"/>
                <w:sz w:val="20"/>
                <w:szCs w:val="20"/>
              </w:rPr>
              <w:t>The video footages of the questioned transfers have been examined by technical experts at the DG Fisheries and Aquaculture.</w:t>
            </w:r>
          </w:p>
          <w:p w14:paraId="45FFD063" w14:textId="77777777" w:rsidR="003866B0" w:rsidRPr="003866B0" w:rsidRDefault="003866B0" w:rsidP="006B258F">
            <w:pPr>
              <w:rPr>
                <w:rFonts w:ascii="Cambria" w:hAnsi="Cambria"/>
                <w:sz w:val="20"/>
                <w:szCs w:val="20"/>
              </w:rPr>
            </w:pPr>
          </w:p>
          <w:p w14:paraId="01EA3D2F" w14:textId="77777777" w:rsidR="003866B0" w:rsidRPr="003866B0" w:rsidRDefault="003866B0" w:rsidP="006B258F">
            <w:pPr>
              <w:jc w:val="both"/>
              <w:rPr>
                <w:rFonts w:ascii="Cambria" w:hAnsi="Cambria"/>
                <w:sz w:val="20"/>
                <w:szCs w:val="20"/>
              </w:rPr>
            </w:pPr>
            <w:r w:rsidRPr="003866B0">
              <w:rPr>
                <w:rFonts w:ascii="Cambria" w:hAnsi="Cambria"/>
                <w:sz w:val="20"/>
                <w:szCs w:val="20"/>
              </w:rPr>
              <w:t>The technical staff has affirmed that the number of fish passing through could be countable during the estimations from the footage and relatively poor visibility conditions due to nature of the night transfer.</w:t>
            </w:r>
          </w:p>
          <w:p w14:paraId="1239F80A" w14:textId="77777777" w:rsidR="003866B0" w:rsidRPr="003866B0" w:rsidRDefault="003866B0" w:rsidP="006B258F">
            <w:pPr>
              <w:jc w:val="both"/>
              <w:rPr>
                <w:rFonts w:ascii="Cambria" w:hAnsi="Cambria"/>
                <w:sz w:val="20"/>
                <w:szCs w:val="20"/>
              </w:rPr>
            </w:pPr>
          </w:p>
          <w:p w14:paraId="54ED4172" w14:textId="77777777" w:rsidR="003866B0" w:rsidRPr="003866B0" w:rsidRDefault="003866B0" w:rsidP="006B258F">
            <w:pPr>
              <w:jc w:val="both"/>
              <w:rPr>
                <w:rFonts w:ascii="Cambria" w:hAnsi="Cambria"/>
                <w:sz w:val="20"/>
                <w:szCs w:val="20"/>
              </w:rPr>
            </w:pPr>
            <w:r w:rsidRPr="003866B0">
              <w:rPr>
                <w:rFonts w:ascii="Cambria" w:hAnsi="Cambria"/>
                <w:sz w:val="20"/>
                <w:szCs w:val="20"/>
              </w:rPr>
              <w:t>As a result of subsequent estimation by the Ministerial inspectors and the technical experts it was confirmed that the number of BFT was within the 10% difference that declared on the questioned ITDs.</w:t>
            </w:r>
          </w:p>
          <w:p w14:paraId="2CF48A88" w14:textId="77777777" w:rsidR="003866B0" w:rsidRPr="003866B0" w:rsidRDefault="003866B0" w:rsidP="006B258F">
            <w:pPr>
              <w:jc w:val="both"/>
              <w:rPr>
                <w:rFonts w:ascii="Cambria" w:hAnsi="Cambria"/>
                <w:sz w:val="20"/>
                <w:szCs w:val="20"/>
              </w:rPr>
            </w:pPr>
          </w:p>
          <w:p w14:paraId="3C734E43" w14:textId="77777777" w:rsidR="003866B0" w:rsidRPr="003866B0" w:rsidRDefault="003866B0" w:rsidP="006B258F">
            <w:pPr>
              <w:jc w:val="both"/>
              <w:rPr>
                <w:rFonts w:ascii="Cambria" w:hAnsi="Cambria"/>
                <w:sz w:val="20"/>
                <w:szCs w:val="20"/>
              </w:rPr>
            </w:pPr>
            <w:r w:rsidRPr="003866B0">
              <w:rPr>
                <w:rFonts w:ascii="Cambria" w:hAnsi="Cambria"/>
                <w:sz w:val="20"/>
                <w:szCs w:val="20"/>
              </w:rPr>
              <w:lastRenderedPageBreak/>
              <w:t>MoAF checked, in details, the logbook and the related documents of this fishery and did not conclude any serious infringements, suspicious or illegal activities.</w:t>
            </w:r>
          </w:p>
          <w:p w14:paraId="2E8E256D" w14:textId="77777777" w:rsidR="003866B0" w:rsidRPr="003866B0" w:rsidRDefault="003866B0" w:rsidP="006B258F">
            <w:pPr>
              <w:jc w:val="both"/>
              <w:rPr>
                <w:rFonts w:ascii="Cambria" w:hAnsi="Cambria"/>
                <w:sz w:val="20"/>
                <w:szCs w:val="20"/>
              </w:rPr>
            </w:pPr>
          </w:p>
          <w:p w14:paraId="1E3E8C35" w14:textId="77777777" w:rsidR="003866B0" w:rsidRPr="003866B0" w:rsidRDefault="003866B0" w:rsidP="006B258F">
            <w:pPr>
              <w:rPr>
                <w:rFonts w:ascii="Cambria" w:hAnsi="Cambria"/>
                <w:sz w:val="20"/>
                <w:szCs w:val="20"/>
              </w:rPr>
            </w:pPr>
          </w:p>
        </w:tc>
      </w:tr>
    </w:tbl>
    <w:p w14:paraId="66BF8655" w14:textId="77777777" w:rsidR="003866B0" w:rsidRPr="003866B0" w:rsidRDefault="003866B0" w:rsidP="003866B0">
      <w:pPr>
        <w:jc w:val="both"/>
        <w:rPr>
          <w:b/>
          <w:bCs/>
          <w:color w:val="FF0000"/>
          <w:u w:val="single"/>
          <w:lang w:val="en-GB"/>
        </w:rPr>
      </w:pPr>
    </w:p>
    <w:p w14:paraId="5C91470A" w14:textId="77777777" w:rsidR="003866B0" w:rsidRPr="003866B0" w:rsidRDefault="003866B0" w:rsidP="003866B0">
      <w:pPr>
        <w:jc w:val="both"/>
        <w:rPr>
          <w:b/>
          <w:bCs/>
          <w:color w:val="FF0000"/>
          <w:u w:val="single"/>
          <w:lang w:val="en-GB"/>
        </w:rPr>
      </w:pPr>
    </w:p>
    <w:p w14:paraId="4C5F3482" w14:textId="77777777" w:rsidR="003866B0" w:rsidRPr="003866B0" w:rsidRDefault="003866B0" w:rsidP="003866B0">
      <w:pPr>
        <w:jc w:val="both"/>
        <w:rPr>
          <w:lang w:val="en-GB"/>
        </w:rPr>
      </w:pPr>
    </w:p>
    <w:p w14:paraId="7C835FEA" w14:textId="6CBDFA0C" w:rsidR="00407702" w:rsidRPr="003866B0" w:rsidRDefault="00407702" w:rsidP="003866B0">
      <w:pPr>
        <w:rPr>
          <w:rFonts w:ascii="Cambria" w:hAnsi="Cambria"/>
          <w:b/>
          <w:bCs/>
          <w:sz w:val="20"/>
          <w:szCs w:val="20"/>
          <w:lang w:val="en-GB"/>
        </w:rPr>
      </w:pPr>
    </w:p>
    <w:sectPr w:rsidR="00407702" w:rsidRPr="003866B0" w:rsidSect="003866B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0D635" w14:textId="77777777" w:rsidR="006F1F09" w:rsidRDefault="006F1F09" w:rsidP="006F1F09">
      <w:pPr>
        <w:spacing w:after="0" w:line="240" w:lineRule="auto"/>
      </w:pPr>
      <w:r>
        <w:separator/>
      </w:r>
    </w:p>
  </w:endnote>
  <w:endnote w:type="continuationSeparator" w:id="0">
    <w:p w14:paraId="53120B27" w14:textId="77777777" w:rsidR="006F1F09" w:rsidRDefault="006F1F09" w:rsidP="006F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5B1C4" w14:textId="77777777" w:rsidR="006F1F09" w:rsidRDefault="006F1F09" w:rsidP="006F1F09">
      <w:pPr>
        <w:spacing w:after="0" w:line="240" w:lineRule="auto"/>
      </w:pPr>
      <w:r>
        <w:separator/>
      </w:r>
    </w:p>
  </w:footnote>
  <w:footnote w:type="continuationSeparator" w:id="0">
    <w:p w14:paraId="20E6DE64" w14:textId="77777777" w:rsidR="006F1F09" w:rsidRDefault="006F1F09" w:rsidP="006F1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7FCE2" w14:textId="30B2075D" w:rsidR="006F1F09" w:rsidRPr="00793F38" w:rsidRDefault="006F1F09" w:rsidP="006F1F09">
    <w:pPr>
      <w:tabs>
        <w:tab w:val="center" w:pos="4680"/>
        <w:tab w:val="left" w:pos="6520"/>
        <w:tab w:val="right" w:pos="9360"/>
        <w:tab w:val="right" w:pos="14240"/>
      </w:tabs>
      <w:spacing w:after="0"/>
      <w:jc w:val="right"/>
      <w:rPr>
        <w:rFonts w:ascii="Cambria" w:eastAsia="Calibri" w:hAnsi="Cambria"/>
        <w:b/>
        <w:bCs/>
        <w:sz w:val="20"/>
        <w:szCs w:val="20"/>
      </w:rPr>
    </w:pPr>
    <w:r>
      <w:rPr>
        <w:rFonts w:ascii="Cambria" w:eastAsia="Calibri" w:hAnsi="Cambria"/>
        <w:b/>
        <w:bCs/>
        <w:sz w:val="20"/>
        <w:szCs w:val="20"/>
      </w:rPr>
      <w:t>COC_303_APP_4</w:t>
    </w:r>
    <w:r w:rsidRPr="00793F38">
      <w:rPr>
        <w:rFonts w:ascii="Cambria" w:eastAsia="Calibri" w:hAnsi="Cambria"/>
        <w:b/>
        <w:bCs/>
        <w:sz w:val="20"/>
        <w:szCs w:val="20"/>
      </w:rPr>
      <w:t>/202</w:t>
    </w:r>
    <w:r>
      <w:rPr>
        <w:rFonts w:ascii="Cambria" w:eastAsia="Calibri" w:hAnsi="Cambria"/>
        <w:b/>
        <w:bCs/>
        <w:sz w:val="20"/>
        <w:szCs w:val="20"/>
      </w:rPr>
      <w:t>5_Addendum_</w:t>
    </w:r>
    <w:r w:rsidR="00157F11">
      <w:rPr>
        <w:rFonts w:ascii="Cambria" w:eastAsia="Calibri" w:hAnsi="Cambria"/>
        <w:b/>
        <w:bCs/>
        <w:sz w:val="20"/>
        <w:szCs w:val="20"/>
      </w:rPr>
      <w:t>4</w:t>
    </w:r>
  </w:p>
  <w:p w14:paraId="3A02760E" w14:textId="011C0416" w:rsidR="006F1F09" w:rsidRPr="006F1F09" w:rsidRDefault="006F1F09" w:rsidP="006F1F09">
    <w:pPr>
      <w:pStyle w:val="Header"/>
      <w:jc w:val="right"/>
      <w:rPr>
        <w:rFonts w:ascii="Cambria" w:eastAsia="Calibri" w:hAnsi="Cambria"/>
        <w:b/>
        <w:bCs/>
        <w:sz w:val="20"/>
        <w:szCs w:val="20"/>
      </w:rPr>
    </w:pPr>
    <w:r w:rsidRPr="006F1F09">
      <w:rPr>
        <w:rFonts w:ascii="Cambria" w:eastAsia="Calibri" w:hAnsi="Cambria"/>
        <w:b/>
        <w:bCs/>
        <w:sz w:val="20"/>
        <w:szCs w:val="20"/>
      </w:rPr>
      <w:ptab w:relativeTo="margin" w:alignment="left" w:leader="none"/>
    </w:r>
    <w:r w:rsidRPr="006F1F09">
      <w:rPr>
        <w:rFonts w:ascii="Cambria" w:eastAsia="Calibri" w:hAnsi="Cambria"/>
        <w:b/>
        <w:bCs/>
        <w:sz w:val="20"/>
        <w:szCs w:val="20"/>
      </w:rPr>
      <w:t>1</w:t>
    </w:r>
    <w:r w:rsidR="00B57100">
      <w:rPr>
        <w:rFonts w:ascii="Cambria" w:eastAsia="Calibri" w:hAnsi="Cambria"/>
        <w:b/>
        <w:bCs/>
        <w:sz w:val="20"/>
        <w:szCs w:val="20"/>
      </w:rPr>
      <w:t>5</w:t>
    </w:r>
    <w:r w:rsidRPr="006F1F09">
      <w:rPr>
        <w:rFonts w:ascii="Cambria" w:eastAsia="Calibri" w:hAnsi="Cambria"/>
        <w:b/>
        <w:bCs/>
        <w:sz w:val="20"/>
        <w:szCs w:val="20"/>
      </w:rPr>
      <w:t xml:space="preserve">/11/2025 </w:t>
    </w:r>
    <w:proofErr w:type="gramStart"/>
    <w:r w:rsidR="00157F11">
      <w:rPr>
        <w:rFonts w:ascii="Cambria" w:eastAsia="Calibri" w:hAnsi="Cambria"/>
        <w:b/>
        <w:bCs/>
        <w:sz w:val="20"/>
        <w:szCs w:val="20"/>
      </w:rPr>
      <w:t>17</w:t>
    </w:r>
    <w:r w:rsidRPr="006F1F09">
      <w:rPr>
        <w:rFonts w:ascii="Cambria" w:eastAsia="Calibri" w:hAnsi="Cambria"/>
        <w:b/>
        <w:bCs/>
        <w:sz w:val="20"/>
        <w:szCs w:val="20"/>
      </w:rPr>
      <w:t>:</w:t>
    </w:r>
    <w:proofErr w:type="gramEnd"/>
    <w:r w:rsidR="003866B0">
      <w:rPr>
        <w:rFonts w:ascii="Cambria" w:eastAsia="Calibri" w:hAnsi="Cambria"/>
        <w:b/>
        <w:bCs/>
        <w:sz w:val="20"/>
        <w:szCs w:val="20"/>
      </w:rPr>
      <w:t>23</w:t>
    </w:r>
    <w:r w:rsidRPr="006F1F09">
      <w:rPr>
        <w:rFonts w:ascii="Cambria" w:eastAsia="Calibri" w:hAnsi="Cambria"/>
        <w:b/>
        <w:bCs/>
        <w:sz w:val="20"/>
        <w:szCs w:val="20"/>
      </w:rPr>
      <w:t>:</w:t>
    </w:r>
    <w:r w:rsidR="00157F11">
      <w:rPr>
        <w:rFonts w:ascii="Cambria" w:eastAsia="Calibri" w:hAnsi="Cambria"/>
        <w:b/>
        <w:bCs/>
        <w:sz w:val="20"/>
        <w:szCs w:val="20"/>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448DD"/>
    <w:multiLevelType w:val="hybridMultilevel"/>
    <w:tmpl w:val="63E4AF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55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2A"/>
    <w:rsid w:val="000563B4"/>
    <w:rsid w:val="000B27AD"/>
    <w:rsid w:val="000D3D38"/>
    <w:rsid w:val="00157F11"/>
    <w:rsid w:val="001D631A"/>
    <w:rsid w:val="0020026D"/>
    <w:rsid w:val="00214533"/>
    <w:rsid w:val="0023262E"/>
    <w:rsid w:val="003866B0"/>
    <w:rsid w:val="003A2BAD"/>
    <w:rsid w:val="00407702"/>
    <w:rsid w:val="004C10A9"/>
    <w:rsid w:val="005052A0"/>
    <w:rsid w:val="00595F2A"/>
    <w:rsid w:val="005C33AE"/>
    <w:rsid w:val="0062623A"/>
    <w:rsid w:val="00696348"/>
    <w:rsid w:val="006F1F09"/>
    <w:rsid w:val="00784236"/>
    <w:rsid w:val="007D75BE"/>
    <w:rsid w:val="007F5451"/>
    <w:rsid w:val="00861D31"/>
    <w:rsid w:val="008A0411"/>
    <w:rsid w:val="008F72F9"/>
    <w:rsid w:val="00951C15"/>
    <w:rsid w:val="00966AD5"/>
    <w:rsid w:val="00983F1A"/>
    <w:rsid w:val="00A80983"/>
    <w:rsid w:val="00B57100"/>
    <w:rsid w:val="00BC71E3"/>
    <w:rsid w:val="00C26499"/>
    <w:rsid w:val="00CE57F9"/>
    <w:rsid w:val="00D75EC4"/>
    <w:rsid w:val="00E56274"/>
    <w:rsid w:val="00E90562"/>
    <w:rsid w:val="00E90AE2"/>
    <w:rsid w:val="00E916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E81A19"/>
  <w15:chartTrackingRefBased/>
  <w15:docId w15:val="{A2703E5D-DC07-4CC3-88E3-0B819A31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A9"/>
  </w:style>
  <w:style w:type="paragraph" w:styleId="Heading1">
    <w:name w:val="heading 1"/>
    <w:basedOn w:val="Normal"/>
    <w:next w:val="Normal"/>
    <w:link w:val="Heading1Char"/>
    <w:uiPriority w:val="9"/>
    <w:qFormat/>
    <w:rsid w:val="00595F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95F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95F2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95F2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95F2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95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F2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95F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95F2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95F2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95F2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95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F2A"/>
    <w:rPr>
      <w:rFonts w:eastAsiaTheme="majorEastAsia" w:cstheme="majorBidi"/>
      <w:color w:val="272727" w:themeColor="text1" w:themeTint="D8"/>
    </w:rPr>
  </w:style>
  <w:style w:type="paragraph" w:styleId="Title">
    <w:name w:val="Title"/>
    <w:basedOn w:val="Normal"/>
    <w:next w:val="Normal"/>
    <w:link w:val="TitleChar"/>
    <w:uiPriority w:val="10"/>
    <w:qFormat/>
    <w:rsid w:val="00595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F2A"/>
    <w:pPr>
      <w:spacing w:before="160"/>
      <w:jc w:val="center"/>
    </w:pPr>
    <w:rPr>
      <w:i/>
      <w:iCs/>
      <w:color w:val="404040" w:themeColor="text1" w:themeTint="BF"/>
    </w:rPr>
  </w:style>
  <w:style w:type="character" w:customStyle="1" w:styleId="QuoteChar">
    <w:name w:val="Quote Char"/>
    <w:basedOn w:val="DefaultParagraphFont"/>
    <w:link w:val="Quote"/>
    <w:uiPriority w:val="29"/>
    <w:rsid w:val="00595F2A"/>
    <w:rPr>
      <w:i/>
      <w:iCs/>
      <w:color w:val="404040" w:themeColor="text1" w:themeTint="BF"/>
    </w:rPr>
  </w:style>
  <w:style w:type="paragraph" w:styleId="ListParagraph">
    <w:name w:val="List Paragraph"/>
    <w:basedOn w:val="Normal"/>
    <w:uiPriority w:val="34"/>
    <w:qFormat/>
    <w:rsid w:val="00595F2A"/>
    <w:pPr>
      <w:ind w:left="720"/>
      <w:contextualSpacing/>
    </w:pPr>
  </w:style>
  <w:style w:type="character" w:styleId="IntenseEmphasis">
    <w:name w:val="Intense Emphasis"/>
    <w:basedOn w:val="DefaultParagraphFont"/>
    <w:uiPriority w:val="21"/>
    <w:qFormat/>
    <w:rsid w:val="00595F2A"/>
    <w:rPr>
      <w:i/>
      <w:iCs/>
      <w:color w:val="2E74B5" w:themeColor="accent1" w:themeShade="BF"/>
    </w:rPr>
  </w:style>
  <w:style w:type="paragraph" w:styleId="IntenseQuote">
    <w:name w:val="Intense Quote"/>
    <w:basedOn w:val="Normal"/>
    <w:next w:val="Normal"/>
    <w:link w:val="IntenseQuoteChar"/>
    <w:uiPriority w:val="30"/>
    <w:qFormat/>
    <w:rsid w:val="00595F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95F2A"/>
    <w:rPr>
      <w:i/>
      <w:iCs/>
      <w:color w:val="2E74B5" w:themeColor="accent1" w:themeShade="BF"/>
    </w:rPr>
  </w:style>
  <w:style w:type="character" w:styleId="IntenseReference">
    <w:name w:val="Intense Reference"/>
    <w:basedOn w:val="DefaultParagraphFont"/>
    <w:uiPriority w:val="32"/>
    <w:qFormat/>
    <w:rsid w:val="00595F2A"/>
    <w:rPr>
      <w:b/>
      <w:bCs/>
      <w:smallCaps/>
      <w:color w:val="2E74B5" w:themeColor="accent1" w:themeShade="BF"/>
      <w:spacing w:val="5"/>
    </w:rPr>
  </w:style>
  <w:style w:type="paragraph" w:styleId="Header">
    <w:name w:val="header"/>
    <w:basedOn w:val="Normal"/>
    <w:link w:val="HeaderChar"/>
    <w:uiPriority w:val="99"/>
    <w:unhideWhenUsed/>
    <w:rsid w:val="006F1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09"/>
  </w:style>
  <w:style w:type="paragraph" w:styleId="Footer">
    <w:name w:val="footer"/>
    <w:basedOn w:val="Normal"/>
    <w:link w:val="FooterChar"/>
    <w:uiPriority w:val="99"/>
    <w:unhideWhenUsed/>
    <w:rsid w:val="006F1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09"/>
  </w:style>
  <w:style w:type="table" w:styleId="TableGrid">
    <w:name w:val="Table Grid"/>
    <w:basedOn w:val="TableNormal"/>
    <w:uiPriority w:val="39"/>
    <w:rsid w:val="003866B0"/>
    <w:pPr>
      <w:spacing w:after="0" w:line="240" w:lineRule="auto"/>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C7D3C-A0F6-4F28-A8C1-F568AC3F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546</Words>
  <Characters>3114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ouchelli</dc:creator>
  <cp:keywords/>
  <dc:description/>
  <cp:lastModifiedBy>Aldana Vieito</cp:lastModifiedBy>
  <cp:revision>3</cp:revision>
  <dcterms:created xsi:type="dcterms:W3CDTF">2025-11-15T16:18:00Z</dcterms:created>
  <dcterms:modified xsi:type="dcterms:W3CDTF">2025-11-15T16:24:00Z</dcterms:modified>
</cp:coreProperties>
</file>