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AE7F" w14:textId="79910702" w:rsidR="00601528" w:rsidRPr="00946249" w:rsidRDefault="003D0E42" w:rsidP="00820485">
      <w:pPr>
        <w:widowControl/>
        <w:autoSpaceDE/>
        <w:autoSpaceDN/>
        <w:adjustRightInd/>
        <w:ind w:left="5440" w:firstLine="340"/>
        <w:jc w:val="right"/>
        <w:rPr>
          <w:rFonts w:ascii="Cambria" w:hAnsi="Cambria" w:cs="Calibri"/>
          <w:b/>
        </w:rPr>
      </w:pPr>
      <w:r w:rsidRPr="00946249">
        <w:rPr>
          <w:rFonts w:ascii="Cambria" w:hAnsi="Cambria"/>
          <w:b/>
        </w:rPr>
        <w:t>Original: inglés/español/francés</w:t>
      </w:r>
    </w:p>
    <w:p w14:paraId="7D5474A4" w14:textId="77777777" w:rsidR="008F7FE7" w:rsidRPr="00946249" w:rsidRDefault="008F7FE7" w:rsidP="00820485">
      <w:pPr>
        <w:widowControl/>
        <w:autoSpaceDE/>
        <w:autoSpaceDN/>
        <w:adjustRightInd/>
        <w:ind w:left="5440" w:firstLine="340"/>
        <w:jc w:val="right"/>
        <w:rPr>
          <w:rFonts w:ascii="Cambria" w:hAnsi="Cambria" w:cs="Calibri"/>
          <w:b/>
        </w:rPr>
      </w:pPr>
    </w:p>
    <w:p w14:paraId="499F1404" w14:textId="77777777" w:rsidR="008A752A" w:rsidRPr="00946249" w:rsidRDefault="006836FF" w:rsidP="00820485">
      <w:pPr>
        <w:widowControl/>
        <w:autoSpaceDE/>
        <w:autoSpaceDN/>
        <w:adjustRightInd/>
        <w:jc w:val="center"/>
        <w:rPr>
          <w:rFonts w:ascii="Cambria" w:hAnsi="Cambria"/>
          <w:b/>
        </w:rPr>
      </w:pPr>
      <w:r w:rsidRPr="00946249">
        <w:rPr>
          <w:rFonts w:ascii="Cambria" w:hAnsi="Cambria"/>
          <w:b/>
        </w:rPr>
        <w:t xml:space="preserve">Informe de la Secretaría al Comité de cumplimiento de las medidas </w:t>
      </w:r>
    </w:p>
    <w:p w14:paraId="391542D9" w14:textId="067174EB" w:rsidR="003D0E42" w:rsidRPr="00946249" w:rsidRDefault="006836FF" w:rsidP="00820485">
      <w:pPr>
        <w:widowControl/>
        <w:autoSpaceDE/>
        <w:autoSpaceDN/>
        <w:adjustRightInd/>
        <w:jc w:val="center"/>
        <w:rPr>
          <w:rFonts w:ascii="Cambria" w:hAnsi="Cambria" w:cs="Calibri"/>
          <w:b/>
        </w:rPr>
      </w:pPr>
      <w:r w:rsidRPr="00946249">
        <w:rPr>
          <w:rFonts w:ascii="Cambria" w:hAnsi="Cambria"/>
          <w:b/>
        </w:rPr>
        <w:t>de conservación y ordenación de ICCAT (COC)</w:t>
      </w:r>
    </w:p>
    <w:p w14:paraId="7FB262DC" w14:textId="77777777" w:rsidR="003D0E42" w:rsidRPr="00946249" w:rsidRDefault="003D0E42" w:rsidP="00820485">
      <w:pPr>
        <w:widowControl/>
        <w:autoSpaceDE/>
        <w:autoSpaceDN/>
        <w:adjustRightInd/>
        <w:jc w:val="both"/>
        <w:rPr>
          <w:rFonts w:ascii="Cambria" w:hAnsi="Cambria" w:cs="Calibri"/>
          <w:b/>
        </w:rPr>
      </w:pPr>
    </w:p>
    <w:p w14:paraId="79877E91" w14:textId="48267237" w:rsidR="003D0E42" w:rsidRPr="00946249" w:rsidRDefault="003D0E42" w:rsidP="00820485">
      <w:pPr>
        <w:widowControl/>
        <w:tabs>
          <w:tab w:val="left" w:pos="284"/>
        </w:tabs>
        <w:autoSpaceDE/>
        <w:autoSpaceDN/>
        <w:adjustRightInd/>
        <w:jc w:val="both"/>
        <w:rPr>
          <w:rFonts w:ascii="Cambria" w:hAnsi="Cambria" w:cs="Calibri"/>
          <w:b/>
        </w:rPr>
      </w:pPr>
      <w:r w:rsidRPr="00946249">
        <w:rPr>
          <w:rFonts w:ascii="Cambria" w:hAnsi="Cambria"/>
          <w:b/>
        </w:rPr>
        <w:t>NOTA</w:t>
      </w:r>
      <w:r w:rsidRPr="00946249">
        <w:rPr>
          <w:rFonts w:ascii="Cambria" w:hAnsi="Cambria"/>
        </w:rPr>
        <w:t xml:space="preserve">: Este informe se basa en la información recibida por la </w:t>
      </w:r>
      <w:proofErr w:type="gramStart"/>
      <w:r w:rsidRPr="00946249">
        <w:rPr>
          <w:rFonts w:ascii="Cambria" w:hAnsi="Cambria"/>
        </w:rPr>
        <w:t>Secretaria</w:t>
      </w:r>
      <w:proofErr w:type="gramEnd"/>
      <w:r w:rsidRPr="00946249">
        <w:rPr>
          <w:rFonts w:ascii="Cambria" w:hAnsi="Cambria"/>
        </w:rPr>
        <w:t xml:space="preserve"> hasta el </w:t>
      </w:r>
      <w:r w:rsidRPr="00946249">
        <w:rPr>
          <w:rFonts w:ascii="Cambria" w:hAnsi="Cambria"/>
          <w:b/>
          <w:bCs/>
        </w:rPr>
        <w:t>17 de octubre de 2025</w:t>
      </w:r>
      <w:r w:rsidRPr="00946249">
        <w:rPr>
          <w:rFonts w:ascii="Cambria" w:hAnsi="Cambria"/>
        </w:rPr>
        <w:t>, a menos que se indique lo contrario. Cualquier información recibida tras dicha fecha se transmitirá a la atención del presidente del Comité de Cumplimiento (COC). Esta información adicional no se traducirá.</w:t>
      </w:r>
    </w:p>
    <w:p w14:paraId="5E0F6933" w14:textId="77777777" w:rsidR="003D0E42" w:rsidRPr="00946249" w:rsidRDefault="003D0E42" w:rsidP="00820485">
      <w:pPr>
        <w:widowControl/>
        <w:tabs>
          <w:tab w:val="left" w:pos="284"/>
        </w:tabs>
        <w:autoSpaceDE/>
        <w:autoSpaceDN/>
        <w:adjustRightInd/>
        <w:jc w:val="both"/>
        <w:rPr>
          <w:rFonts w:ascii="Cambria" w:hAnsi="Cambria" w:cs="Calibri"/>
          <w:b/>
        </w:rPr>
      </w:pPr>
    </w:p>
    <w:p w14:paraId="1043B25B" w14:textId="652F5F74" w:rsidR="003D0E42" w:rsidRPr="00946249" w:rsidRDefault="003D0E42" w:rsidP="00820485">
      <w:pPr>
        <w:jc w:val="both"/>
        <w:rPr>
          <w:rFonts w:ascii="Cambria" w:hAnsi="Cambria"/>
        </w:rPr>
      </w:pPr>
      <w:r w:rsidRPr="00946249">
        <w:rPr>
          <w:rFonts w:ascii="Cambria" w:hAnsi="Cambria"/>
        </w:rPr>
        <w:t xml:space="preserve">Este informe incluye aquellas medidas para las que está justificada la revisión por parte del Comité de </w:t>
      </w:r>
      <w:proofErr w:type="gramStart"/>
      <w:r w:rsidRPr="00946249">
        <w:rPr>
          <w:rFonts w:ascii="Cambria" w:hAnsi="Cambria"/>
        </w:rPr>
        <w:t>Cumplimiento..</w:t>
      </w:r>
      <w:proofErr w:type="gramEnd"/>
      <w:r w:rsidRPr="00946249">
        <w:rPr>
          <w:rFonts w:ascii="Cambria" w:hAnsi="Cambria"/>
        </w:rPr>
        <w:t xml:space="preserve"> En algunos casos, las medidas podrían haber dejado de estar vigentes, pero lo estuvieron durante el periodo considerado (2024).</w:t>
      </w:r>
    </w:p>
    <w:p w14:paraId="1CBDFC3D" w14:textId="77777777" w:rsidR="001E5CEC" w:rsidRPr="00946249" w:rsidRDefault="001E5CEC" w:rsidP="00820485">
      <w:pPr>
        <w:ind w:firstLine="426"/>
        <w:rPr>
          <w:rFonts w:ascii="Cambria" w:hAnsi="Cambria"/>
        </w:rPr>
      </w:pPr>
    </w:p>
    <w:p w14:paraId="7025AEBC" w14:textId="6C158953" w:rsidR="00FC577E" w:rsidRPr="00946249" w:rsidRDefault="00FC577E" w:rsidP="00820485">
      <w:pPr>
        <w:tabs>
          <w:tab w:val="left" w:pos="1276"/>
          <w:tab w:val="left" w:pos="1418"/>
          <w:tab w:val="left" w:leader="dot" w:pos="8222"/>
          <w:tab w:val="right" w:pos="8647"/>
        </w:tabs>
        <w:jc w:val="both"/>
        <w:rPr>
          <w:rFonts w:ascii="Cambria" w:hAnsi="Cambria"/>
          <w:b/>
          <w:bCs/>
          <w:i/>
          <w:iCs/>
        </w:rPr>
      </w:pPr>
      <w:r w:rsidRPr="00946249">
        <w:rPr>
          <w:rFonts w:ascii="Cambria" w:hAnsi="Cambria"/>
          <w:b/>
        </w:rPr>
        <w:t xml:space="preserve">TRO – TÚNIDOS TROPICALES - BET - PATUDO </w:t>
      </w:r>
      <w:r w:rsidRPr="00946249">
        <w:rPr>
          <w:rFonts w:ascii="Cambria" w:hAnsi="Cambria"/>
          <w:b/>
          <w:i/>
        </w:rPr>
        <w:t>(</w:t>
      </w:r>
      <w:proofErr w:type="spellStart"/>
      <w:r w:rsidRPr="00946249">
        <w:rPr>
          <w:rFonts w:ascii="Cambria" w:hAnsi="Cambria"/>
          <w:b/>
          <w:i/>
        </w:rPr>
        <w:t>Thunnus</w:t>
      </w:r>
      <w:proofErr w:type="spellEnd"/>
      <w:r w:rsidRPr="00946249">
        <w:rPr>
          <w:rFonts w:ascii="Cambria" w:hAnsi="Cambria"/>
          <w:b/>
          <w:i/>
        </w:rPr>
        <w:t xml:space="preserve"> obesus</w:t>
      </w:r>
      <w:proofErr w:type="gramStart"/>
      <w:r w:rsidRPr="00946249">
        <w:rPr>
          <w:rFonts w:ascii="Cambria" w:hAnsi="Cambria"/>
          <w:b/>
          <w:i/>
        </w:rPr>
        <w:t xml:space="preserve">); </w:t>
      </w:r>
      <w:r w:rsidRPr="00946249">
        <w:rPr>
          <w:rFonts w:ascii="Cambria" w:hAnsi="Cambria"/>
          <w:b/>
          <w:color w:val="FFFFFF" w:themeColor="background1"/>
        </w:rPr>
        <w:t xml:space="preserve"> </w:t>
      </w:r>
      <w:r w:rsidRPr="00946249">
        <w:rPr>
          <w:rFonts w:ascii="Cambria" w:hAnsi="Cambria"/>
          <w:b/>
        </w:rPr>
        <w:t>YFT</w:t>
      </w:r>
      <w:proofErr w:type="gramEnd"/>
      <w:r w:rsidRPr="00946249">
        <w:rPr>
          <w:rFonts w:ascii="Cambria" w:hAnsi="Cambria"/>
          <w:b/>
        </w:rPr>
        <w:t xml:space="preserve"> – RABIL (</w:t>
      </w:r>
      <w:proofErr w:type="spellStart"/>
      <w:r w:rsidRPr="00946249">
        <w:rPr>
          <w:rFonts w:ascii="Cambria" w:hAnsi="Cambria"/>
          <w:b/>
          <w:i/>
        </w:rPr>
        <w:t>Thunnus</w:t>
      </w:r>
      <w:proofErr w:type="spellEnd"/>
      <w:r w:rsidRPr="00946249">
        <w:rPr>
          <w:rFonts w:ascii="Cambria" w:hAnsi="Cambria"/>
          <w:b/>
          <w:i/>
        </w:rPr>
        <w:t xml:space="preserve"> albacares);</w:t>
      </w:r>
      <w:r w:rsidRPr="00946249">
        <w:rPr>
          <w:rFonts w:ascii="Cambria" w:hAnsi="Cambria"/>
          <w:b/>
        </w:rPr>
        <w:t xml:space="preserve"> - SKJ - LISTADO </w:t>
      </w:r>
      <w:r w:rsidRPr="00946249">
        <w:rPr>
          <w:rFonts w:ascii="Cambria" w:hAnsi="Cambria"/>
          <w:b/>
          <w:i/>
        </w:rPr>
        <w:t>(</w:t>
      </w:r>
      <w:proofErr w:type="spellStart"/>
      <w:r w:rsidRPr="00946249">
        <w:rPr>
          <w:rFonts w:ascii="Cambria" w:hAnsi="Cambria"/>
          <w:b/>
          <w:i/>
        </w:rPr>
        <w:t>Katsuwonus</w:t>
      </w:r>
      <w:proofErr w:type="spellEnd"/>
      <w:r w:rsidRPr="00946249">
        <w:rPr>
          <w:rFonts w:ascii="Cambria" w:hAnsi="Cambria"/>
          <w:b/>
          <w:i/>
        </w:rPr>
        <w:t xml:space="preserve"> </w:t>
      </w:r>
      <w:proofErr w:type="spellStart"/>
      <w:r w:rsidRPr="00946249">
        <w:rPr>
          <w:rFonts w:ascii="Cambria" w:hAnsi="Cambria"/>
          <w:b/>
          <w:i/>
        </w:rPr>
        <w:t>pelamis</w:t>
      </w:r>
      <w:proofErr w:type="spellEnd"/>
      <w:r w:rsidRPr="00946249">
        <w:rPr>
          <w:rFonts w:ascii="Cambria" w:hAnsi="Cambria"/>
          <w:b/>
          <w:i/>
        </w:rPr>
        <w:t>)</w:t>
      </w:r>
    </w:p>
    <w:p w14:paraId="0838E8B1" w14:textId="77777777" w:rsidR="00D415A6" w:rsidRPr="00946249" w:rsidRDefault="00D415A6" w:rsidP="00820485">
      <w:pPr>
        <w:tabs>
          <w:tab w:val="left" w:pos="1276"/>
          <w:tab w:val="left" w:pos="1418"/>
          <w:tab w:val="left" w:leader="dot" w:pos="8222"/>
          <w:tab w:val="right" w:pos="8647"/>
        </w:tabs>
        <w:jc w:val="both"/>
        <w:rPr>
          <w:rFonts w:ascii="Cambria" w:hAnsi="Cambria"/>
          <w:bCs/>
          <w:i/>
          <w:iCs/>
        </w:rPr>
      </w:pPr>
    </w:p>
    <w:p w14:paraId="043351CB" w14:textId="24118869" w:rsidR="00F77C97" w:rsidRPr="00946249" w:rsidRDefault="00933444" w:rsidP="00820485">
      <w:pPr>
        <w:tabs>
          <w:tab w:val="left" w:pos="1276"/>
          <w:tab w:val="left" w:pos="1418"/>
          <w:tab w:val="left" w:leader="dot" w:pos="8222"/>
          <w:tab w:val="right" w:pos="8647"/>
        </w:tabs>
        <w:jc w:val="both"/>
        <w:rPr>
          <w:rFonts w:ascii="Cambria" w:hAnsi="Cambria"/>
          <w:bCs/>
        </w:rPr>
      </w:pPr>
      <w:r w:rsidRPr="00946249">
        <w:rPr>
          <w:rFonts w:ascii="Cambria" w:hAnsi="Cambria"/>
          <w:i/>
        </w:rPr>
        <w:t>[22-01] Recomendación de ICCAT que reemplaza la Recomendación 21-01 sobre un programa plurianual de conservación y ordenación para los túnidos tropicales</w:t>
      </w:r>
      <w:r w:rsidR="0076018D" w:rsidRPr="00946249">
        <w:rPr>
          <w:rFonts w:ascii="Cambria" w:hAnsi="Cambria"/>
          <w:iCs/>
        </w:rPr>
        <w:t>,</w:t>
      </w:r>
      <w:r w:rsidR="0076018D" w:rsidRPr="00946249">
        <w:rPr>
          <w:rFonts w:ascii="Cambria" w:hAnsi="Cambria"/>
          <w:i/>
        </w:rPr>
        <w:t xml:space="preserve"> </w:t>
      </w:r>
      <w:r w:rsidRPr="00946249">
        <w:rPr>
          <w:rFonts w:ascii="Cambria" w:hAnsi="Cambria"/>
          <w:iCs/>
        </w:rPr>
        <w:t xml:space="preserve">enmendada por la </w:t>
      </w:r>
      <w:r w:rsidRPr="00946249">
        <w:rPr>
          <w:rFonts w:ascii="Cambria" w:hAnsi="Cambria"/>
          <w:i/>
        </w:rPr>
        <w:t>[23-01] Recomendación de ICCAT que prorroga y modifica la Recomendación 22-01 sobre un programa plurianual de conservación y ordenación para los túnidos tropicales</w:t>
      </w:r>
    </w:p>
    <w:p w14:paraId="49287C7B" w14:textId="77777777" w:rsidR="005428B7" w:rsidRPr="00946249" w:rsidRDefault="005428B7" w:rsidP="00820485">
      <w:pPr>
        <w:tabs>
          <w:tab w:val="left" w:pos="1276"/>
          <w:tab w:val="left" w:pos="1418"/>
          <w:tab w:val="left" w:leader="dot" w:pos="8222"/>
          <w:tab w:val="right" w:pos="8647"/>
        </w:tabs>
        <w:jc w:val="both"/>
        <w:rPr>
          <w:rFonts w:ascii="Cambria" w:hAnsi="Cambria"/>
        </w:rPr>
      </w:pPr>
    </w:p>
    <w:p w14:paraId="4B03EFAF" w14:textId="552867F5" w:rsidR="005428B7" w:rsidRPr="00946249" w:rsidRDefault="005428B7" w:rsidP="005428B7">
      <w:pPr>
        <w:tabs>
          <w:tab w:val="left" w:pos="1276"/>
          <w:tab w:val="left" w:pos="1418"/>
          <w:tab w:val="left" w:leader="dot" w:pos="8222"/>
          <w:tab w:val="right" w:pos="8647"/>
        </w:tabs>
        <w:jc w:val="both"/>
        <w:rPr>
          <w:rFonts w:ascii="Cambria" w:hAnsi="Cambria"/>
          <w:bCs/>
        </w:rPr>
      </w:pPr>
      <w:r w:rsidRPr="00946249">
        <w:rPr>
          <w:rFonts w:ascii="Cambria" w:hAnsi="Cambria"/>
        </w:rPr>
        <w:t xml:space="preserve">(sustituida por la </w:t>
      </w:r>
      <w:r w:rsidRPr="00946249">
        <w:rPr>
          <w:rFonts w:ascii="Cambria" w:hAnsi="Cambria"/>
          <w:i/>
          <w:color w:val="000000"/>
        </w:rPr>
        <w:t>[24-01] Recomendación de ICCAT que reemplaza la Recomendación 22-01 sobre un programa plurianual de conservación y ordenación para los túnidos tropicales</w:t>
      </w:r>
      <w:r w:rsidRPr="00946249">
        <w:rPr>
          <w:rFonts w:ascii="Cambria" w:hAnsi="Cambria"/>
          <w:i/>
        </w:rPr>
        <w:t>)</w:t>
      </w:r>
    </w:p>
    <w:p w14:paraId="579DFC58" w14:textId="77777777" w:rsidR="00F77C97" w:rsidRPr="00946249" w:rsidRDefault="00F77C97" w:rsidP="00820485">
      <w:pPr>
        <w:tabs>
          <w:tab w:val="left" w:pos="1276"/>
          <w:tab w:val="left" w:pos="1418"/>
          <w:tab w:val="left" w:leader="dot" w:pos="8222"/>
          <w:tab w:val="right" w:pos="8647"/>
        </w:tabs>
        <w:jc w:val="both"/>
        <w:rPr>
          <w:rFonts w:ascii="Cambria" w:hAnsi="Cambria"/>
          <w:bCs/>
        </w:rPr>
      </w:pPr>
    </w:p>
    <w:p w14:paraId="7BB7B9F6" w14:textId="6AF31FD7" w:rsidR="0085595B" w:rsidRPr="00946249" w:rsidRDefault="0085595B" w:rsidP="00820485">
      <w:pPr>
        <w:tabs>
          <w:tab w:val="left" w:pos="1276"/>
          <w:tab w:val="left" w:pos="1418"/>
          <w:tab w:val="left" w:leader="dot" w:pos="8222"/>
          <w:tab w:val="right" w:pos="8647"/>
        </w:tabs>
        <w:jc w:val="both"/>
        <w:rPr>
          <w:rFonts w:ascii="Cambria" w:hAnsi="Cambria" w:cs="Cambria"/>
          <w:color w:val="000000"/>
        </w:rPr>
      </w:pPr>
      <w:r w:rsidRPr="00946249">
        <w:rPr>
          <w:rFonts w:ascii="Cambria" w:hAnsi="Cambria"/>
          <w:b/>
          <w:i/>
          <w:color w:val="000000"/>
        </w:rPr>
        <w:t xml:space="preserve">Planes de ordenación de la pesca de túnidos tropicales y planes de ordenación de los DCP </w:t>
      </w:r>
      <w:r w:rsidRPr="00946249">
        <w:rPr>
          <w:rFonts w:ascii="Cambria" w:hAnsi="Cambria"/>
          <w:color w:val="000000"/>
        </w:rPr>
        <w:t xml:space="preserve">Los planes de pesca recibidos se presentaron en las reuniones </w:t>
      </w:r>
      <w:proofErr w:type="spellStart"/>
      <w:r w:rsidR="0076018D" w:rsidRPr="00946249">
        <w:rPr>
          <w:rFonts w:ascii="Cambria" w:hAnsi="Cambria"/>
          <w:color w:val="000000"/>
        </w:rPr>
        <w:t>intersesiones</w:t>
      </w:r>
      <w:proofErr w:type="spellEnd"/>
      <w:r w:rsidRPr="00946249">
        <w:rPr>
          <w:rFonts w:ascii="Cambria" w:hAnsi="Cambria"/>
          <w:color w:val="000000"/>
        </w:rPr>
        <w:t xml:space="preserve"> de la Subcomisión 1.</w:t>
      </w:r>
    </w:p>
    <w:p w14:paraId="37CFC9D0" w14:textId="77777777" w:rsidR="00683867" w:rsidRPr="00946249" w:rsidRDefault="00683867" w:rsidP="00820485">
      <w:pPr>
        <w:tabs>
          <w:tab w:val="left" w:pos="1276"/>
          <w:tab w:val="left" w:pos="1418"/>
          <w:tab w:val="left" w:leader="dot" w:pos="8222"/>
          <w:tab w:val="right" w:pos="8647"/>
        </w:tabs>
        <w:jc w:val="both"/>
        <w:rPr>
          <w:rFonts w:ascii="Cambria" w:hAnsi="Cambria"/>
          <w:bCs/>
        </w:rPr>
      </w:pPr>
    </w:p>
    <w:p w14:paraId="76BB4136" w14:textId="3F187093" w:rsidR="0098128E" w:rsidRPr="00946249" w:rsidRDefault="00B4660A" w:rsidP="00820485">
      <w:pPr>
        <w:tabs>
          <w:tab w:val="left" w:pos="1276"/>
          <w:tab w:val="left" w:pos="1418"/>
          <w:tab w:val="left" w:leader="dot" w:pos="8222"/>
          <w:tab w:val="right" w:pos="8647"/>
        </w:tabs>
        <w:jc w:val="both"/>
        <w:rPr>
          <w:rFonts w:ascii="Cambria" w:hAnsi="Cambria"/>
          <w:bCs/>
        </w:rPr>
      </w:pPr>
      <w:r w:rsidRPr="00946249">
        <w:rPr>
          <w:rFonts w:ascii="Cambria" w:hAnsi="Cambria"/>
          <w:b/>
          <w:bCs/>
          <w:i/>
        </w:rPr>
        <w:t>Capturas mensuales/trimestrales de túnidos tropicales:</w:t>
      </w:r>
      <w:r w:rsidRPr="00946249">
        <w:rPr>
          <w:rFonts w:ascii="Cambria" w:hAnsi="Cambria"/>
        </w:rPr>
        <w:t xml:space="preserve"> En la </w:t>
      </w:r>
      <w:r w:rsidRPr="00946249">
        <w:rPr>
          <w:rFonts w:ascii="Cambria" w:hAnsi="Cambria"/>
          <w:b/>
          <w:bCs/>
        </w:rPr>
        <w:t>Tabla 1</w:t>
      </w:r>
      <w:r w:rsidRPr="00946249">
        <w:rPr>
          <w:rFonts w:ascii="Cambria" w:hAnsi="Cambria"/>
        </w:rPr>
        <w:t xml:space="preserve"> se muestran las capturas de túnidos tropicales en 2024 comunicadas mensual y trimestralmente. Los requisitos son algo contradictorios, ya que algunas CPC están obligadas a presentar informes trimestrales y mensuales, y en algunos casos, semanales. Es muy difícil recopilar y extraer datos de manera significativa, debido a las duplicaciones que conlleva. El párrafo 15 exige la notificación trimestral de las especies de túnidos tropicales, mientras que el párrafo 16 requiere la notificación mensual para los cerqueros o palangreros, que se incrementa a semanal "cuando se haya capturado el 80 % de sus límites de captura", aunque los límites de captura sólo se aplican al patudo y no a todas las especies de túnidos tropicales. </w:t>
      </w:r>
    </w:p>
    <w:p w14:paraId="0ED67C06" w14:textId="575EDC48" w:rsidR="00015B4B" w:rsidRPr="00946249" w:rsidRDefault="00015B4B" w:rsidP="00820485">
      <w:pPr>
        <w:tabs>
          <w:tab w:val="left" w:pos="1276"/>
          <w:tab w:val="left" w:pos="1418"/>
          <w:tab w:val="left" w:leader="dot" w:pos="8222"/>
          <w:tab w:val="right" w:pos="8647"/>
        </w:tabs>
        <w:jc w:val="both"/>
        <w:rPr>
          <w:rFonts w:ascii="Cambria" w:hAnsi="Cambria"/>
          <w:bCs/>
        </w:rPr>
      </w:pPr>
    </w:p>
    <w:p w14:paraId="6D359157" w14:textId="27A397B0" w:rsidR="00015B4B" w:rsidRPr="00946249" w:rsidRDefault="00015B4B" w:rsidP="00820485">
      <w:pPr>
        <w:tabs>
          <w:tab w:val="left" w:pos="1276"/>
          <w:tab w:val="left" w:pos="1418"/>
          <w:tab w:val="left" w:leader="dot" w:pos="8222"/>
          <w:tab w:val="right" w:pos="8647"/>
        </w:tabs>
        <w:jc w:val="both"/>
        <w:rPr>
          <w:rFonts w:ascii="Cambria" w:hAnsi="Cambria"/>
          <w:bCs/>
        </w:rPr>
      </w:pPr>
      <w:r w:rsidRPr="00946249">
        <w:rPr>
          <w:rFonts w:ascii="Cambria" w:hAnsi="Cambria"/>
        </w:rPr>
        <w:t>En el párrafo 15 se estipula lo siguiente: "las CPC comunicarán trimestralmente a la Secretaría la cantidad de túnidos tropicales, por especie, capturados por buques que enarbolan su pabellón en un plazo de 30 días a partir del final del período en que se realizaron las capturas". La Secretaría entiende que esto se refiere a todas las CPC que capturan especies de túnidos tropicales,</w:t>
      </w:r>
    </w:p>
    <w:p w14:paraId="0AB888AA" w14:textId="77777777" w:rsidR="0098128E" w:rsidRPr="00946249" w:rsidRDefault="0098128E" w:rsidP="00820485">
      <w:pPr>
        <w:tabs>
          <w:tab w:val="left" w:pos="1276"/>
          <w:tab w:val="left" w:pos="1418"/>
          <w:tab w:val="left" w:leader="dot" w:pos="8222"/>
          <w:tab w:val="right" w:pos="8647"/>
        </w:tabs>
        <w:jc w:val="both"/>
        <w:rPr>
          <w:rFonts w:ascii="Cambria" w:hAnsi="Cambria"/>
          <w:bCs/>
        </w:rPr>
      </w:pPr>
    </w:p>
    <w:p w14:paraId="462E1D94" w14:textId="1F947340" w:rsidR="007A3316" w:rsidRPr="00946249" w:rsidRDefault="007A3316" w:rsidP="00820485">
      <w:pPr>
        <w:tabs>
          <w:tab w:val="left" w:pos="1276"/>
          <w:tab w:val="left" w:pos="1418"/>
          <w:tab w:val="left" w:leader="dot" w:pos="8222"/>
          <w:tab w:val="right" w:pos="8647"/>
        </w:tabs>
        <w:jc w:val="both"/>
        <w:rPr>
          <w:rFonts w:ascii="Cambria" w:hAnsi="Cambria"/>
          <w:bCs/>
        </w:rPr>
      </w:pPr>
      <w:r w:rsidRPr="00946249">
        <w:rPr>
          <w:rFonts w:ascii="Cambria" w:hAnsi="Cambria"/>
        </w:rPr>
        <w:t xml:space="preserve">Los datos de Tarea 1 para 2024 indican que las siguientes CPC pescaron túnidos tropicales, pero no se recibieron los informes de capturas trimestrales (o mensuales) correspondientes: </w:t>
      </w:r>
    </w:p>
    <w:p w14:paraId="56D43C2A" w14:textId="2714F153" w:rsidR="000D3A2C" w:rsidRPr="00946249" w:rsidRDefault="000D3A2C" w:rsidP="00820485">
      <w:pPr>
        <w:tabs>
          <w:tab w:val="left" w:pos="1276"/>
          <w:tab w:val="left" w:pos="1418"/>
          <w:tab w:val="left" w:leader="dot" w:pos="8222"/>
          <w:tab w:val="right" w:pos="8647"/>
        </w:tabs>
        <w:jc w:val="both"/>
        <w:rPr>
          <w:rFonts w:ascii="Cambria" w:hAnsi="Cambria"/>
        </w:rPr>
      </w:pP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41"/>
      </w:tblGrid>
      <w:tr w:rsidR="00B271B4" w:rsidRPr="00946249" w14:paraId="205C1517" w14:textId="77777777" w:rsidTr="00D40924">
        <w:trPr>
          <w:trHeight w:val="295"/>
          <w:jc w:val="center"/>
        </w:trPr>
        <w:tc>
          <w:tcPr>
            <w:tcW w:w="2757" w:type="dxa"/>
            <w:tcBorders>
              <w:bottom w:val="single" w:sz="4" w:space="0" w:color="auto"/>
            </w:tcBorders>
            <w:shd w:val="clear" w:color="4472C4" w:fill="auto"/>
            <w:noWrap/>
            <w:vAlign w:val="bottom"/>
            <w:hideMark/>
          </w:tcPr>
          <w:p w14:paraId="63B93C41" w14:textId="552DC1D3" w:rsidR="00B271B4" w:rsidRPr="00946249" w:rsidRDefault="00DF5C32" w:rsidP="00F627F4">
            <w:pPr>
              <w:widowControl/>
              <w:autoSpaceDE/>
              <w:autoSpaceDN/>
              <w:adjustRightInd/>
              <w:jc w:val="center"/>
              <w:rPr>
                <w:rFonts w:ascii="Cambria" w:hAnsi="Cambria" w:cs="Calibri"/>
                <w:i/>
                <w:iCs/>
              </w:rPr>
            </w:pPr>
            <w:r w:rsidRPr="00946249">
              <w:rPr>
                <w:rFonts w:ascii="Cambria" w:hAnsi="Cambria"/>
                <w:i/>
              </w:rPr>
              <w:t>CPC</w:t>
            </w:r>
          </w:p>
        </w:tc>
        <w:tc>
          <w:tcPr>
            <w:tcW w:w="2341" w:type="dxa"/>
            <w:shd w:val="clear" w:color="4472C4" w:fill="auto"/>
            <w:noWrap/>
            <w:vAlign w:val="bottom"/>
            <w:hideMark/>
          </w:tcPr>
          <w:p w14:paraId="5449700A" w14:textId="6CEDBFAF" w:rsidR="00B271B4" w:rsidRPr="00946249" w:rsidRDefault="00DF5C32" w:rsidP="00F627F4">
            <w:pPr>
              <w:widowControl/>
              <w:autoSpaceDE/>
              <w:autoSpaceDN/>
              <w:adjustRightInd/>
              <w:jc w:val="center"/>
              <w:rPr>
                <w:rFonts w:ascii="Cambria" w:hAnsi="Cambria" w:cs="Calibri"/>
                <w:i/>
                <w:iCs/>
              </w:rPr>
            </w:pPr>
            <w:proofErr w:type="gramStart"/>
            <w:r w:rsidRPr="00946249">
              <w:rPr>
                <w:rFonts w:ascii="Cambria" w:hAnsi="Cambria"/>
                <w:i/>
              </w:rPr>
              <w:t>Total</w:t>
            </w:r>
            <w:proofErr w:type="gramEnd"/>
            <w:r w:rsidRPr="00946249">
              <w:rPr>
                <w:rFonts w:ascii="Cambria" w:hAnsi="Cambria"/>
                <w:i/>
              </w:rPr>
              <w:t xml:space="preserve"> de capturas de túnidos tropicales (t)</w:t>
            </w:r>
          </w:p>
        </w:tc>
      </w:tr>
      <w:tr w:rsidR="00184E60" w:rsidRPr="00946249" w14:paraId="594F8264" w14:textId="77777777" w:rsidTr="00D40924">
        <w:trPr>
          <w:trHeight w:val="295"/>
          <w:jc w:val="center"/>
        </w:trPr>
        <w:tc>
          <w:tcPr>
            <w:tcW w:w="2757" w:type="dxa"/>
            <w:shd w:val="clear" w:color="000000" w:fill="auto"/>
            <w:noWrap/>
            <w:hideMark/>
          </w:tcPr>
          <w:p w14:paraId="07A1C496" w14:textId="76F16D5B" w:rsidR="00184E60" w:rsidRPr="00946249" w:rsidRDefault="00184E60" w:rsidP="00184E60">
            <w:pPr>
              <w:widowControl/>
              <w:autoSpaceDE/>
              <w:autoSpaceDN/>
              <w:adjustRightInd/>
              <w:rPr>
                <w:rFonts w:ascii="Cambria" w:hAnsi="Cambria"/>
              </w:rPr>
            </w:pPr>
            <w:r w:rsidRPr="00946249">
              <w:rPr>
                <w:rFonts w:ascii="Cambria" w:hAnsi="Cambria"/>
              </w:rPr>
              <w:t>Cabo Verde</w:t>
            </w:r>
          </w:p>
        </w:tc>
        <w:tc>
          <w:tcPr>
            <w:tcW w:w="2341" w:type="dxa"/>
            <w:noWrap/>
            <w:vAlign w:val="center"/>
            <w:hideMark/>
          </w:tcPr>
          <w:p w14:paraId="63FF6EEE" w14:textId="4564F286" w:rsidR="00184E60" w:rsidRPr="00946249" w:rsidRDefault="00184E60" w:rsidP="00184E60">
            <w:pPr>
              <w:widowControl/>
              <w:autoSpaceDE/>
              <w:autoSpaceDN/>
              <w:adjustRightInd/>
              <w:jc w:val="right"/>
              <w:rPr>
                <w:rFonts w:ascii="Cambria" w:hAnsi="Cambria"/>
              </w:rPr>
            </w:pPr>
            <w:r w:rsidRPr="00946249">
              <w:rPr>
                <w:rFonts w:ascii="Cambria" w:hAnsi="Cambria"/>
              </w:rPr>
              <w:t>2</w:t>
            </w:r>
            <w:r w:rsidR="00892E16" w:rsidRPr="00946249">
              <w:rPr>
                <w:rFonts w:ascii="Cambria" w:hAnsi="Cambria"/>
              </w:rPr>
              <w:t>.</w:t>
            </w:r>
            <w:r w:rsidRPr="00946249">
              <w:rPr>
                <w:rFonts w:ascii="Cambria" w:hAnsi="Cambria"/>
              </w:rPr>
              <w:t>207</w:t>
            </w:r>
          </w:p>
        </w:tc>
      </w:tr>
      <w:tr w:rsidR="00184E60" w:rsidRPr="00946249" w14:paraId="4AB97A64" w14:textId="77777777" w:rsidTr="00D40924">
        <w:trPr>
          <w:trHeight w:val="295"/>
          <w:jc w:val="center"/>
        </w:trPr>
        <w:tc>
          <w:tcPr>
            <w:tcW w:w="2757" w:type="dxa"/>
            <w:shd w:val="clear" w:color="000000" w:fill="auto"/>
            <w:noWrap/>
            <w:hideMark/>
          </w:tcPr>
          <w:p w14:paraId="7866FE69" w14:textId="1D162E0D" w:rsidR="00184E60" w:rsidRPr="00946249" w:rsidRDefault="00184E60" w:rsidP="00184E60">
            <w:pPr>
              <w:widowControl/>
              <w:autoSpaceDE/>
              <w:autoSpaceDN/>
              <w:adjustRightInd/>
              <w:rPr>
                <w:rFonts w:ascii="Cambria" w:hAnsi="Cambria"/>
              </w:rPr>
            </w:pPr>
            <w:r w:rsidRPr="00946249">
              <w:rPr>
                <w:rFonts w:ascii="Cambria" w:hAnsi="Cambria"/>
              </w:rPr>
              <w:t>Granada</w:t>
            </w:r>
          </w:p>
        </w:tc>
        <w:tc>
          <w:tcPr>
            <w:tcW w:w="2341" w:type="dxa"/>
            <w:noWrap/>
            <w:vAlign w:val="center"/>
            <w:hideMark/>
          </w:tcPr>
          <w:p w14:paraId="223AF443" w14:textId="1EF3EE00" w:rsidR="00184E60" w:rsidRPr="00946249" w:rsidRDefault="00184E60" w:rsidP="00184E60">
            <w:pPr>
              <w:widowControl/>
              <w:autoSpaceDE/>
              <w:autoSpaceDN/>
              <w:adjustRightInd/>
              <w:jc w:val="right"/>
              <w:rPr>
                <w:rFonts w:ascii="Cambria" w:hAnsi="Cambria"/>
              </w:rPr>
            </w:pPr>
            <w:r w:rsidRPr="00946249">
              <w:rPr>
                <w:rFonts w:ascii="Cambria" w:hAnsi="Cambria"/>
              </w:rPr>
              <w:t>1.098</w:t>
            </w:r>
          </w:p>
        </w:tc>
      </w:tr>
      <w:tr w:rsidR="00184E60" w:rsidRPr="00946249" w14:paraId="45412F31" w14:textId="77777777" w:rsidTr="00D40924">
        <w:trPr>
          <w:trHeight w:val="295"/>
          <w:jc w:val="center"/>
        </w:trPr>
        <w:tc>
          <w:tcPr>
            <w:tcW w:w="2757" w:type="dxa"/>
            <w:shd w:val="clear" w:color="000000" w:fill="auto"/>
            <w:noWrap/>
            <w:hideMark/>
          </w:tcPr>
          <w:p w14:paraId="4899362E" w14:textId="0EFE33F8" w:rsidR="00184E60" w:rsidRPr="00946249" w:rsidRDefault="00184E60" w:rsidP="00184E60">
            <w:pPr>
              <w:widowControl/>
              <w:autoSpaceDE/>
              <w:autoSpaceDN/>
              <w:adjustRightInd/>
              <w:rPr>
                <w:rFonts w:ascii="Cambria" w:hAnsi="Cambria"/>
              </w:rPr>
            </w:pPr>
            <w:r w:rsidRPr="00946249">
              <w:rPr>
                <w:rFonts w:ascii="Cambria" w:hAnsi="Cambria"/>
              </w:rPr>
              <w:t>República de Guinea</w:t>
            </w:r>
          </w:p>
        </w:tc>
        <w:tc>
          <w:tcPr>
            <w:tcW w:w="2341" w:type="dxa"/>
            <w:noWrap/>
            <w:vAlign w:val="center"/>
            <w:hideMark/>
          </w:tcPr>
          <w:p w14:paraId="38C0531C" w14:textId="491C6CE3" w:rsidR="00184E60" w:rsidRPr="00946249" w:rsidRDefault="00184E60" w:rsidP="00184E60">
            <w:pPr>
              <w:widowControl/>
              <w:autoSpaceDE/>
              <w:autoSpaceDN/>
              <w:adjustRightInd/>
              <w:jc w:val="right"/>
              <w:rPr>
                <w:rFonts w:ascii="Cambria" w:hAnsi="Cambria"/>
              </w:rPr>
            </w:pPr>
            <w:r w:rsidRPr="00946249">
              <w:rPr>
                <w:rFonts w:ascii="Cambria" w:hAnsi="Cambria"/>
              </w:rPr>
              <w:t>1.344</w:t>
            </w:r>
          </w:p>
        </w:tc>
      </w:tr>
      <w:tr w:rsidR="00184E60" w:rsidRPr="00946249" w14:paraId="3CEF35F5" w14:textId="77777777" w:rsidTr="00D40924">
        <w:trPr>
          <w:trHeight w:val="295"/>
          <w:jc w:val="center"/>
        </w:trPr>
        <w:tc>
          <w:tcPr>
            <w:tcW w:w="2757" w:type="dxa"/>
            <w:shd w:val="clear" w:color="000000" w:fill="auto"/>
            <w:noWrap/>
            <w:hideMark/>
          </w:tcPr>
          <w:p w14:paraId="3DF00125" w14:textId="68C2FC53" w:rsidR="00184E60" w:rsidRPr="00946249" w:rsidRDefault="00184E60" w:rsidP="00184E60">
            <w:pPr>
              <w:widowControl/>
              <w:autoSpaceDE/>
              <w:autoSpaceDN/>
              <w:adjustRightInd/>
              <w:rPr>
                <w:rFonts w:ascii="Cambria" w:hAnsi="Cambria"/>
              </w:rPr>
            </w:pPr>
            <w:r w:rsidRPr="00946249">
              <w:rPr>
                <w:rFonts w:ascii="Cambria" w:hAnsi="Cambria"/>
              </w:rPr>
              <w:t>Liberia</w:t>
            </w:r>
          </w:p>
        </w:tc>
        <w:tc>
          <w:tcPr>
            <w:tcW w:w="2341" w:type="dxa"/>
            <w:noWrap/>
            <w:vAlign w:val="center"/>
            <w:hideMark/>
          </w:tcPr>
          <w:p w14:paraId="3B68C235" w14:textId="2C9CED60" w:rsidR="00184E60" w:rsidRPr="00946249" w:rsidRDefault="00184E60" w:rsidP="00184E60">
            <w:pPr>
              <w:widowControl/>
              <w:autoSpaceDE/>
              <w:autoSpaceDN/>
              <w:adjustRightInd/>
              <w:jc w:val="right"/>
              <w:rPr>
                <w:rFonts w:ascii="Cambria" w:hAnsi="Cambria"/>
              </w:rPr>
            </w:pPr>
            <w:r w:rsidRPr="00946249">
              <w:rPr>
                <w:rFonts w:ascii="Cambria" w:hAnsi="Cambria"/>
              </w:rPr>
              <w:t>2</w:t>
            </w:r>
          </w:p>
        </w:tc>
      </w:tr>
      <w:tr w:rsidR="00184E60" w:rsidRPr="00946249" w14:paraId="6D650C1C" w14:textId="77777777" w:rsidTr="00D40924">
        <w:trPr>
          <w:trHeight w:val="295"/>
          <w:jc w:val="center"/>
        </w:trPr>
        <w:tc>
          <w:tcPr>
            <w:tcW w:w="2757" w:type="dxa"/>
            <w:shd w:val="clear" w:color="000000" w:fill="auto"/>
            <w:noWrap/>
            <w:hideMark/>
          </w:tcPr>
          <w:p w14:paraId="3FF5D584" w14:textId="587150F4" w:rsidR="00184E60" w:rsidRPr="00946249" w:rsidRDefault="00184E60" w:rsidP="00184E60">
            <w:pPr>
              <w:widowControl/>
              <w:autoSpaceDE/>
              <w:autoSpaceDN/>
              <w:adjustRightInd/>
              <w:rPr>
                <w:rFonts w:ascii="Cambria" w:hAnsi="Cambria"/>
              </w:rPr>
            </w:pPr>
            <w:r w:rsidRPr="00946249">
              <w:rPr>
                <w:rFonts w:ascii="Cambria" w:hAnsi="Cambria"/>
              </w:rPr>
              <w:t>Namibia</w:t>
            </w:r>
          </w:p>
        </w:tc>
        <w:tc>
          <w:tcPr>
            <w:tcW w:w="2341" w:type="dxa"/>
            <w:noWrap/>
            <w:vAlign w:val="center"/>
            <w:hideMark/>
          </w:tcPr>
          <w:p w14:paraId="550CF6CD" w14:textId="3253DFB4" w:rsidR="00184E60" w:rsidRPr="00946249" w:rsidRDefault="00184E60" w:rsidP="00184E60">
            <w:pPr>
              <w:widowControl/>
              <w:autoSpaceDE/>
              <w:autoSpaceDN/>
              <w:adjustRightInd/>
              <w:jc w:val="right"/>
              <w:rPr>
                <w:rFonts w:ascii="Cambria" w:hAnsi="Cambria"/>
              </w:rPr>
            </w:pPr>
            <w:r w:rsidRPr="00946249">
              <w:rPr>
                <w:rFonts w:ascii="Cambria" w:hAnsi="Cambria"/>
              </w:rPr>
              <w:t>103</w:t>
            </w:r>
          </w:p>
        </w:tc>
      </w:tr>
      <w:tr w:rsidR="00184E60" w:rsidRPr="00946249" w14:paraId="6E6F8842" w14:textId="77777777" w:rsidTr="00D40924">
        <w:trPr>
          <w:trHeight w:val="295"/>
          <w:jc w:val="center"/>
        </w:trPr>
        <w:tc>
          <w:tcPr>
            <w:tcW w:w="2757" w:type="dxa"/>
            <w:shd w:val="clear" w:color="000000" w:fill="auto"/>
            <w:noWrap/>
            <w:hideMark/>
          </w:tcPr>
          <w:p w14:paraId="588E6EC1" w14:textId="628A185B" w:rsidR="00184E60" w:rsidRPr="00946249" w:rsidRDefault="00184E60" w:rsidP="00184E60">
            <w:pPr>
              <w:widowControl/>
              <w:autoSpaceDE/>
              <w:autoSpaceDN/>
              <w:adjustRightInd/>
              <w:rPr>
                <w:rFonts w:ascii="Cambria" w:hAnsi="Cambria"/>
              </w:rPr>
            </w:pPr>
            <w:r w:rsidRPr="00946249">
              <w:rPr>
                <w:rFonts w:ascii="Cambria" w:hAnsi="Cambria"/>
              </w:rPr>
              <w:t>Rusia</w:t>
            </w:r>
          </w:p>
        </w:tc>
        <w:tc>
          <w:tcPr>
            <w:tcW w:w="2341" w:type="dxa"/>
            <w:noWrap/>
            <w:vAlign w:val="center"/>
            <w:hideMark/>
          </w:tcPr>
          <w:p w14:paraId="6B3BC132" w14:textId="56B9B795" w:rsidR="00184E60" w:rsidRPr="00946249" w:rsidRDefault="00184E60" w:rsidP="00184E60">
            <w:pPr>
              <w:widowControl/>
              <w:autoSpaceDE/>
              <w:autoSpaceDN/>
              <w:adjustRightInd/>
              <w:jc w:val="right"/>
              <w:rPr>
                <w:rFonts w:ascii="Cambria" w:hAnsi="Cambria"/>
              </w:rPr>
            </w:pPr>
            <w:r w:rsidRPr="00946249">
              <w:rPr>
                <w:rFonts w:ascii="Cambria" w:hAnsi="Cambria"/>
              </w:rPr>
              <w:t>0</w:t>
            </w:r>
          </w:p>
        </w:tc>
      </w:tr>
      <w:tr w:rsidR="00184E60" w:rsidRPr="00946249" w14:paraId="5D35B09A" w14:textId="77777777" w:rsidTr="00D40924">
        <w:trPr>
          <w:trHeight w:val="295"/>
          <w:jc w:val="center"/>
        </w:trPr>
        <w:tc>
          <w:tcPr>
            <w:tcW w:w="2757" w:type="dxa"/>
            <w:shd w:val="clear" w:color="000000" w:fill="auto"/>
            <w:noWrap/>
            <w:hideMark/>
          </w:tcPr>
          <w:p w14:paraId="47CB37CC" w14:textId="2DC4BC00" w:rsidR="00184E60" w:rsidRPr="00946249" w:rsidRDefault="00184E60" w:rsidP="00184E60">
            <w:pPr>
              <w:widowControl/>
              <w:autoSpaceDE/>
              <w:autoSpaceDN/>
              <w:adjustRightInd/>
              <w:rPr>
                <w:rFonts w:ascii="Cambria" w:hAnsi="Cambria"/>
              </w:rPr>
            </w:pPr>
            <w:r w:rsidRPr="00946249">
              <w:rPr>
                <w:rFonts w:ascii="Cambria" w:hAnsi="Cambria"/>
              </w:rPr>
              <w:t xml:space="preserve">São Tomé </w:t>
            </w:r>
            <w:proofErr w:type="spellStart"/>
            <w:r w:rsidRPr="00946249">
              <w:rPr>
                <w:rFonts w:ascii="Cambria" w:hAnsi="Cambria"/>
              </w:rPr>
              <w:t>e</w:t>
            </w:r>
            <w:proofErr w:type="spellEnd"/>
            <w:r w:rsidRPr="00946249">
              <w:rPr>
                <w:rFonts w:ascii="Cambria" w:hAnsi="Cambria"/>
              </w:rPr>
              <w:t xml:space="preserve"> Príncipe</w:t>
            </w:r>
          </w:p>
        </w:tc>
        <w:tc>
          <w:tcPr>
            <w:tcW w:w="2341" w:type="dxa"/>
            <w:noWrap/>
            <w:vAlign w:val="center"/>
            <w:hideMark/>
          </w:tcPr>
          <w:p w14:paraId="5A2875A2" w14:textId="6F6D22EA" w:rsidR="00184E60" w:rsidRPr="00946249" w:rsidRDefault="00184E60" w:rsidP="00184E60">
            <w:pPr>
              <w:widowControl/>
              <w:autoSpaceDE/>
              <w:autoSpaceDN/>
              <w:adjustRightInd/>
              <w:jc w:val="right"/>
              <w:rPr>
                <w:rFonts w:ascii="Cambria" w:hAnsi="Cambria"/>
              </w:rPr>
            </w:pPr>
            <w:r w:rsidRPr="00946249">
              <w:rPr>
                <w:rFonts w:ascii="Cambria" w:hAnsi="Cambria"/>
              </w:rPr>
              <w:t>365</w:t>
            </w:r>
          </w:p>
        </w:tc>
      </w:tr>
      <w:tr w:rsidR="00184E60" w:rsidRPr="00946249" w14:paraId="6BB5CA9D" w14:textId="77777777" w:rsidTr="00D40924">
        <w:trPr>
          <w:trHeight w:val="295"/>
          <w:jc w:val="center"/>
        </w:trPr>
        <w:tc>
          <w:tcPr>
            <w:tcW w:w="2757" w:type="dxa"/>
            <w:shd w:val="clear" w:color="000000" w:fill="auto"/>
            <w:noWrap/>
          </w:tcPr>
          <w:p w14:paraId="0D3B1F2A" w14:textId="521C0AF4" w:rsidR="00184E60" w:rsidRPr="00946249" w:rsidRDefault="00184E60" w:rsidP="00184E60">
            <w:pPr>
              <w:widowControl/>
              <w:autoSpaceDE/>
              <w:autoSpaceDN/>
              <w:adjustRightInd/>
              <w:rPr>
                <w:rFonts w:ascii="Cambria" w:hAnsi="Cambria"/>
              </w:rPr>
            </w:pPr>
            <w:r w:rsidRPr="00946249">
              <w:rPr>
                <w:rFonts w:ascii="Cambria" w:hAnsi="Cambria"/>
              </w:rPr>
              <w:t>Senegal</w:t>
            </w:r>
          </w:p>
        </w:tc>
        <w:tc>
          <w:tcPr>
            <w:tcW w:w="2341" w:type="dxa"/>
            <w:noWrap/>
            <w:vAlign w:val="center"/>
          </w:tcPr>
          <w:p w14:paraId="302738AB" w14:textId="0C7698C4" w:rsidR="00184E60" w:rsidRPr="00946249" w:rsidRDefault="00184E60" w:rsidP="00184E60">
            <w:pPr>
              <w:widowControl/>
              <w:autoSpaceDE/>
              <w:autoSpaceDN/>
              <w:adjustRightInd/>
              <w:jc w:val="right"/>
              <w:rPr>
                <w:rFonts w:ascii="Cambria" w:hAnsi="Cambria"/>
              </w:rPr>
            </w:pPr>
            <w:r w:rsidRPr="00946249">
              <w:rPr>
                <w:rFonts w:ascii="Cambria" w:hAnsi="Cambria"/>
              </w:rPr>
              <w:t>38.783</w:t>
            </w:r>
          </w:p>
        </w:tc>
      </w:tr>
      <w:tr w:rsidR="00184E60" w:rsidRPr="00946249" w14:paraId="7344E9FE" w14:textId="77777777" w:rsidTr="00D40924">
        <w:trPr>
          <w:trHeight w:val="295"/>
          <w:jc w:val="center"/>
        </w:trPr>
        <w:tc>
          <w:tcPr>
            <w:tcW w:w="2757" w:type="dxa"/>
            <w:shd w:val="clear" w:color="000000" w:fill="auto"/>
            <w:noWrap/>
          </w:tcPr>
          <w:p w14:paraId="26D35A83" w14:textId="67489B29" w:rsidR="00184E60" w:rsidRPr="00946249" w:rsidRDefault="00184E60" w:rsidP="00184E60">
            <w:pPr>
              <w:widowControl/>
              <w:autoSpaceDE/>
              <w:autoSpaceDN/>
              <w:adjustRightInd/>
              <w:rPr>
                <w:rFonts w:ascii="Cambria" w:hAnsi="Cambria"/>
              </w:rPr>
            </w:pPr>
            <w:r w:rsidRPr="00946249">
              <w:rPr>
                <w:rFonts w:ascii="Cambria" w:hAnsi="Cambria"/>
              </w:rPr>
              <w:t xml:space="preserve">San Vicente y las </w:t>
            </w:r>
            <w:proofErr w:type="gramStart"/>
            <w:r w:rsidRPr="00946249">
              <w:rPr>
                <w:rFonts w:ascii="Cambria" w:hAnsi="Cambria"/>
              </w:rPr>
              <w:t>Granadinas</w:t>
            </w:r>
            <w:proofErr w:type="gramEnd"/>
          </w:p>
        </w:tc>
        <w:tc>
          <w:tcPr>
            <w:tcW w:w="2341" w:type="dxa"/>
            <w:noWrap/>
            <w:vAlign w:val="center"/>
          </w:tcPr>
          <w:p w14:paraId="15442B7C" w14:textId="3CCF4EBA" w:rsidR="00184E60" w:rsidRPr="00946249" w:rsidRDefault="00184E60" w:rsidP="00184E60">
            <w:pPr>
              <w:widowControl/>
              <w:autoSpaceDE/>
              <w:autoSpaceDN/>
              <w:adjustRightInd/>
              <w:jc w:val="right"/>
              <w:rPr>
                <w:rFonts w:ascii="Cambria" w:hAnsi="Cambria"/>
              </w:rPr>
            </w:pPr>
            <w:r w:rsidRPr="00946249">
              <w:rPr>
                <w:rFonts w:ascii="Cambria" w:hAnsi="Cambria"/>
              </w:rPr>
              <w:t>131</w:t>
            </w:r>
          </w:p>
        </w:tc>
      </w:tr>
      <w:tr w:rsidR="00184E60" w:rsidRPr="00946249" w14:paraId="52EDA979" w14:textId="77777777" w:rsidTr="00D40924">
        <w:trPr>
          <w:trHeight w:val="295"/>
          <w:jc w:val="center"/>
        </w:trPr>
        <w:tc>
          <w:tcPr>
            <w:tcW w:w="2757" w:type="dxa"/>
            <w:shd w:val="clear" w:color="000000" w:fill="auto"/>
            <w:noWrap/>
          </w:tcPr>
          <w:p w14:paraId="7B9B3F93" w14:textId="3B00BA3A" w:rsidR="00184E60" w:rsidRPr="00946249" w:rsidRDefault="00184E60" w:rsidP="00184E60">
            <w:pPr>
              <w:widowControl/>
              <w:autoSpaceDE/>
              <w:autoSpaceDN/>
              <w:adjustRightInd/>
              <w:rPr>
                <w:rFonts w:ascii="Cambria" w:hAnsi="Cambria"/>
              </w:rPr>
            </w:pPr>
            <w:proofErr w:type="spellStart"/>
            <w:r w:rsidRPr="00946249">
              <w:rPr>
                <w:rFonts w:ascii="Cambria" w:hAnsi="Cambria"/>
              </w:rPr>
              <w:t>Türkiye</w:t>
            </w:r>
            <w:proofErr w:type="spellEnd"/>
          </w:p>
        </w:tc>
        <w:tc>
          <w:tcPr>
            <w:tcW w:w="2341" w:type="dxa"/>
            <w:noWrap/>
            <w:vAlign w:val="center"/>
          </w:tcPr>
          <w:p w14:paraId="0DE2DAB9" w14:textId="780BFFE5" w:rsidR="00184E60" w:rsidRPr="00946249" w:rsidRDefault="00184E60" w:rsidP="00184E60">
            <w:pPr>
              <w:widowControl/>
              <w:autoSpaceDE/>
              <w:autoSpaceDN/>
              <w:adjustRightInd/>
              <w:jc w:val="right"/>
              <w:rPr>
                <w:rFonts w:ascii="Cambria" w:hAnsi="Cambria"/>
              </w:rPr>
            </w:pPr>
            <w:r w:rsidRPr="00946249">
              <w:rPr>
                <w:rFonts w:ascii="Cambria" w:hAnsi="Cambria"/>
              </w:rPr>
              <w:t>425</w:t>
            </w:r>
          </w:p>
        </w:tc>
      </w:tr>
    </w:tbl>
    <w:p w14:paraId="73981800" w14:textId="19263D04" w:rsidR="00976C7C" w:rsidRPr="00946249" w:rsidRDefault="00E96478" w:rsidP="00820485">
      <w:pPr>
        <w:tabs>
          <w:tab w:val="left" w:pos="1276"/>
          <w:tab w:val="left" w:pos="1418"/>
          <w:tab w:val="left" w:leader="dot" w:pos="8222"/>
          <w:tab w:val="right" w:pos="8647"/>
        </w:tabs>
        <w:jc w:val="both"/>
        <w:rPr>
          <w:rFonts w:ascii="Cambria" w:hAnsi="Cambria"/>
        </w:rPr>
      </w:pPr>
      <w:r w:rsidRPr="00946249">
        <w:rPr>
          <w:rFonts w:ascii="Cambria" w:hAnsi="Cambria"/>
          <w:i/>
        </w:rPr>
        <w:lastRenderedPageBreak/>
        <w:t xml:space="preserve">Límites de captura: </w:t>
      </w:r>
      <w:r w:rsidRPr="00946249">
        <w:rPr>
          <w:rFonts w:ascii="Cambria" w:hAnsi="Cambria"/>
        </w:rPr>
        <w:t xml:space="preserve">Los límites de captura/cuotas pueden consultarse en el Anexo de cumplimiento ("Tablas de cumplimiento de 2024 recibidas en 2025"). </w:t>
      </w:r>
    </w:p>
    <w:p w14:paraId="1F271C17" w14:textId="77777777" w:rsidR="009B5750" w:rsidRPr="00946249" w:rsidRDefault="009B5750" w:rsidP="00820485">
      <w:pPr>
        <w:tabs>
          <w:tab w:val="left" w:pos="1276"/>
          <w:tab w:val="left" w:pos="1418"/>
          <w:tab w:val="left" w:leader="dot" w:pos="8222"/>
          <w:tab w:val="right" w:pos="8647"/>
        </w:tabs>
        <w:jc w:val="both"/>
        <w:rPr>
          <w:rFonts w:ascii="Cambria" w:hAnsi="Cambria"/>
        </w:rPr>
      </w:pPr>
    </w:p>
    <w:p w14:paraId="3BBA1D9E" w14:textId="27ECA5F9" w:rsidR="009B5750" w:rsidRPr="00946249" w:rsidRDefault="005428B7" w:rsidP="009B5750">
      <w:pPr>
        <w:pBdr>
          <w:top w:val="single" w:sz="4" w:space="1" w:color="auto"/>
          <w:left w:val="single" w:sz="4" w:space="4" w:color="auto"/>
          <w:bottom w:val="single" w:sz="4" w:space="1" w:color="auto"/>
          <w:right w:val="single" w:sz="4" w:space="4" w:color="auto"/>
        </w:pBdr>
        <w:jc w:val="both"/>
        <w:rPr>
          <w:rFonts w:ascii="Cambria" w:hAnsi="Cambria"/>
        </w:rPr>
      </w:pPr>
      <w:r w:rsidRPr="00946249">
        <w:rPr>
          <w:rFonts w:ascii="Cambria" w:hAnsi="Cambria"/>
          <w:b/>
        </w:rPr>
        <w:t>Solicitud de la Secretaría de ICCAT</w:t>
      </w:r>
      <w:r w:rsidRPr="00946249">
        <w:rPr>
          <w:rFonts w:ascii="Cambria" w:hAnsi="Cambria"/>
        </w:rPr>
        <w:t xml:space="preserve">: Consúltese el documento </w:t>
      </w:r>
      <w:r w:rsidRPr="00946249">
        <w:rPr>
          <w:rFonts w:ascii="Cambria" w:hAnsi="Cambria"/>
          <w:b/>
          <w:bCs/>
        </w:rPr>
        <w:t>PLE_103/2025</w:t>
      </w:r>
      <w:r w:rsidRPr="00946249">
        <w:rPr>
          <w:rFonts w:ascii="Cambria" w:hAnsi="Cambria"/>
        </w:rPr>
        <w:t>, en la sección "Sugerencias para una futura simplificación de las Recomendaciones", concretamente el punto relativo a los "túnidos tropicales".</w:t>
      </w:r>
    </w:p>
    <w:p w14:paraId="358CFBAF" w14:textId="77777777" w:rsidR="009B5750" w:rsidRPr="00946249" w:rsidRDefault="009B5750" w:rsidP="00820485">
      <w:pPr>
        <w:tabs>
          <w:tab w:val="left" w:pos="1276"/>
          <w:tab w:val="left" w:pos="1418"/>
          <w:tab w:val="left" w:leader="dot" w:pos="8222"/>
          <w:tab w:val="right" w:pos="8647"/>
        </w:tabs>
        <w:jc w:val="both"/>
        <w:rPr>
          <w:rFonts w:ascii="Cambria" w:hAnsi="Cambria"/>
          <w:b/>
          <w:bCs/>
          <w:i/>
          <w:iCs/>
        </w:rPr>
      </w:pPr>
    </w:p>
    <w:p w14:paraId="3738F2A7" w14:textId="7320348D" w:rsidR="00086AE7" w:rsidRPr="00946249" w:rsidRDefault="00976C7C" w:rsidP="00820485">
      <w:pPr>
        <w:tabs>
          <w:tab w:val="left" w:pos="1276"/>
          <w:tab w:val="left" w:pos="1418"/>
          <w:tab w:val="left" w:leader="dot" w:pos="8222"/>
          <w:tab w:val="right" w:pos="8647"/>
        </w:tabs>
        <w:jc w:val="both"/>
        <w:rPr>
          <w:rFonts w:ascii="Cambria" w:hAnsi="Cambria"/>
          <w:color w:val="000000" w:themeColor="text1"/>
        </w:rPr>
      </w:pPr>
      <w:r w:rsidRPr="00946249">
        <w:rPr>
          <w:rFonts w:ascii="Cambria" w:hAnsi="Cambria"/>
          <w:b/>
          <w:bCs/>
          <w:i/>
        </w:rPr>
        <w:t>Lista de buques autorizados a pescar túnidos tropicales:</w:t>
      </w:r>
      <w:r w:rsidRPr="00946249">
        <w:rPr>
          <w:rFonts w:ascii="Cambria" w:hAnsi="Cambria"/>
          <w:i/>
        </w:rPr>
        <w:t xml:space="preserve"> </w:t>
      </w:r>
      <w:r w:rsidRPr="00946249">
        <w:rPr>
          <w:rFonts w:ascii="Cambria" w:hAnsi="Cambria"/>
        </w:rPr>
        <w:t xml:space="preserve">Consúltese </w:t>
      </w:r>
      <w:hyperlink r:id="rId8" w:history="1">
        <w:r w:rsidRPr="00946249">
          <w:rPr>
            <w:rStyle w:val="Hyperlink"/>
            <w:rFonts w:ascii="Cambria" w:hAnsi="Cambria"/>
            <w:u w:val="none"/>
          </w:rPr>
          <w:t>www.iccat.int/es/vesselsrecord.asp</w:t>
        </w:r>
      </w:hyperlink>
      <w:r w:rsidRPr="00946249">
        <w:rPr>
          <w:rFonts w:ascii="Cambria" w:hAnsi="Cambria"/>
          <w:color w:val="0000FF"/>
        </w:rPr>
        <w:t xml:space="preserve">. </w:t>
      </w:r>
      <w:r w:rsidRPr="00946249">
        <w:rPr>
          <w:rFonts w:ascii="Cambria" w:hAnsi="Cambria"/>
          <w:color w:val="000000" w:themeColor="text1"/>
        </w:rPr>
        <w:t xml:space="preserve">En el </w:t>
      </w:r>
      <w:r w:rsidRPr="00946249">
        <w:rPr>
          <w:rFonts w:ascii="Cambria" w:hAnsi="Cambria"/>
          <w:b/>
          <w:bCs/>
          <w:color w:val="000000" w:themeColor="text1"/>
        </w:rPr>
        <w:t>Anexo 5</w:t>
      </w:r>
      <w:r w:rsidRPr="00946249">
        <w:rPr>
          <w:rFonts w:ascii="Cambria" w:hAnsi="Cambria"/>
          <w:color w:val="000000" w:themeColor="text1"/>
        </w:rPr>
        <w:t xml:space="preserve"> se incluye la lita de buques que pescaron el año anterior.</w:t>
      </w:r>
    </w:p>
    <w:p w14:paraId="13A5FC48" w14:textId="77777777" w:rsidR="006D1BF6" w:rsidRPr="00946249" w:rsidRDefault="006D1BF6" w:rsidP="00820485">
      <w:pPr>
        <w:tabs>
          <w:tab w:val="left" w:pos="1276"/>
          <w:tab w:val="left" w:pos="1418"/>
          <w:tab w:val="left" w:leader="dot" w:pos="8222"/>
          <w:tab w:val="right" w:pos="8647"/>
        </w:tabs>
        <w:jc w:val="both"/>
        <w:rPr>
          <w:rFonts w:ascii="Cambria" w:hAnsi="Cambria"/>
          <w:color w:val="000000" w:themeColor="text1"/>
        </w:rPr>
      </w:pPr>
    </w:p>
    <w:p w14:paraId="13A9F8ED" w14:textId="687A0D74" w:rsidR="00A7179D" w:rsidRPr="00946249" w:rsidRDefault="0048587F" w:rsidP="00820485">
      <w:pPr>
        <w:tabs>
          <w:tab w:val="left" w:pos="1276"/>
          <w:tab w:val="left" w:pos="1418"/>
          <w:tab w:val="left" w:leader="dot" w:pos="8222"/>
          <w:tab w:val="right" w:pos="8647"/>
        </w:tabs>
        <w:jc w:val="both"/>
        <w:rPr>
          <w:rFonts w:ascii="Cambria" w:hAnsi="Cambria"/>
          <w:color w:val="000000" w:themeColor="text1"/>
        </w:rPr>
      </w:pPr>
      <w:r w:rsidRPr="00946249">
        <w:rPr>
          <w:rFonts w:ascii="Cambria" w:hAnsi="Cambria"/>
          <w:color w:val="000000" w:themeColor="text1"/>
        </w:rPr>
        <w:t>En el momento de redactar este documento, el Registro de buques de ICCAT contenía 1</w:t>
      </w:r>
      <w:r w:rsidR="00892E16" w:rsidRPr="00946249">
        <w:rPr>
          <w:rFonts w:ascii="Cambria" w:hAnsi="Cambria"/>
          <w:color w:val="000000" w:themeColor="text1"/>
        </w:rPr>
        <w:t>.</w:t>
      </w:r>
      <w:r w:rsidRPr="00946249">
        <w:rPr>
          <w:rFonts w:ascii="Cambria" w:hAnsi="Cambria"/>
          <w:color w:val="000000" w:themeColor="text1"/>
        </w:rPr>
        <w:t>310 buques</w:t>
      </w:r>
      <w:r w:rsidR="00892E16" w:rsidRPr="00946249">
        <w:rPr>
          <w:rFonts w:ascii="Cambria" w:hAnsi="Cambria"/>
          <w:color w:val="000000" w:themeColor="text1"/>
        </w:rPr>
        <w:t xml:space="preserve"> </w:t>
      </w:r>
      <w:r w:rsidRPr="00946249">
        <w:rPr>
          <w:rFonts w:ascii="Cambria" w:hAnsi="Cambria"/>
          <w:color w:val="000000" w:themeColor="text1"/>
        </w:rPr>
        <w:t xml:space="preserve">(un incremento de </w:t>
      </w:r>
      <w:r w:rsidRPr="00946249">
        <w:rPr>
          <w:rFonts w:ascii="Cambria" w:hAnsi="Cambria"/>
          <w:b/>
          <w:bCs/>
          <w:color w:val="000000" w:themeColor="text1"/>
        </w:rPr>
        <w:t>15</w:t>
      </w:r>
      <w:r w:rsidRPr="00946249">
        <w:rPr>
          <w:rFonts w:ascii="Cambria" w:hAnsi="Cambria"/>
          <w:color w:val="000000" w:themeColor="text1"/>
        </w:rPr>
        <w:t xml:space="preserve"> buques con respecto al nivel de 2024) en su lista de buques de túnidos tropicales, con buques de 27 CPC. Cabe señalar que el Registro ICCAT es una lista dinámica y podría variar diariamente. </w:t>
      </w:r>
    </w:p>
    <w:p w14:paraId="04802C0B" w14:textId="77777777" w:rsidR="00B504B6" w:rsidRPr="00946249" w:rsidRDefault="00B504B6" w:rsidP="00820485">
      <w:pPr>
        <w:tabs>
          <w:tab w:val="left" w:pos="1276"/>
          <w:tab w:val="left" w:pos="1418"/>
          <w:tab w:val="left" w:leader="dot" w:pos="8222"/>
          <w:tab w:val="right" w:pos="8647"/>
        </w:tabs>
        <w:rPr>
          <w:rFonts w:ascii="Cambria" w:hAnsi="Cambria"/>
          <w:b/>
          <w:bCs/>
          <w:i/>
        </w:rPr>
      </w:pPr>
    </w:p>
    <w:p w14:paraId="3B34D7A3" w14:textId="3AFA5CEE" w:rsidR="00D079ED" w:rsidRPr="00946249" w:rsidRDefault="00D079ED" w:rsidP="00543686">
      <w:pPr>
        <w:tabs>
          <w:tab w:val="left" w:pos="1276"/>
          <w:tab w:val="left" w:pos="1418"/>
          <w:tab w:val="left" w:leader="dot" w:pos="8222"/>
          <w:tab w:val="right" w:pos="8647"/>
        </w:tabs>
        <w:jc w:val="both"/>
        <w:rPr>
          <w:rFonts w:ascii="Cambria" w:hAnsi="Cambria"/>
          <w:b/>
          <w:bCs/>
          <w:iCs/>
        </w:rPr>
      </w:pPr>
      <w:r w:rsidRPr="00946249">
        <w:rPr>
          <w:rFonts w:ascii="Cambria" w:hAnsi="Cambria"/>
          <w:b/>
          <w:i/>
        </w:rPr>
        <w:t>Ordenación de la capacidad</w:t>
      </w:r>
      <w:r w:rsidR="0084679B" w:rsidRPr="00946249">
        <w:rPr>
          <w:rStyle w:val="FootnoteReference"/>
          <w:rFonts w:ascii="Cambria" w:hAnsi="Cambria"/>
          <w:b/>
          <w:bCs/>
          <w:i/>
          <w:lang w:val="en-IE"/>
        </w:rPr>
        <w:footnoteReference w:id="2"/>
      </w:r>
      <w:r w:rsidRPr="00946249">
        <w:rPr>
          <w:rFonts w:ascii="Cambria" w:hAnsi="Cambria"/>
          <w:b/>
          <w:i/>
        </w:rPr>
        <w:t xml:space="preserve">: </w:t>
      </w:r>
      <w:r w:rsidRPr="00946249">
        <w:rPr>
          <w:rFonts w:ascii="Cambria" w:hAnsi="Cambria"/>
        </w:rPr>
        <w:t>Los planes de ordenación de la capacidad y las declaraciones de ampliación de la capacidad se incluyen en los planes de pesca</w:t>
      </w:r>
    </w:p>
    <w:p w14:paraId="306F2DB5" w14:textId="77777777" w:rsidR="00D079ED" w:rsidRPr="00946249" w:rsidRDefault="00D079ED" w:rsidP="00820485">
      <w:pPr>
        <w:tabs>
          <w:tab w:val="left" w:pos="1276"/>
          <w:tab w:val="left" w:pos="1418"/>
          <w:tab w:val="left" w:leader="dot" w:pos="8222"/>
          <w:tab w:val="right" w:pos="8647"/>
        </w:tabs>
        <w:rPr>
          <w:rFonts w:ascii="Cambria" w:hAnsi="Cambria"/>
          <w:b/>
          <w:bCs/>
          <w:i/>
        </w:rPr>
      </w:pPr>
    </w:p>
    <w:p w14:paraId="36909E69" w14:textId="6D3B5170" w:rsidR="00A00E47" w:rsidRPr="00946249" w:rsidRDefault="00976C7C" w:rsidP="00543686">
      <w:pPr>
        <w:tabs>
          <w:tab w:val="left" w:pos="1276"/>
          <w:tab w:val="left" w:pos="1418"/>
          <w:tab w:val="left" w:leader="dot" w:pos="8222"/>
          <w:tab w:val="right" w:pos="8647"/>
        </w:tabs>
        <w:jc w:val="both"/>
        <w:rPr>
          <w:rFonts w:ascii="Cambria" w:hAnsi="Cambria"/>
          <w:b/>
        </w:rPr>
      </w:pPr>
      <w:r w:rsidRPr="00946249">
        <w:rPr>
          <w:rFonts w:ascii="Cambria" w:hAnsi="Cambria"/>
          <w:b/>
          <w:i/>
        </w:rPr>
        <w:t>Planes de ordenación de DCP y acciones emprendidas para utilizar DCP que no provoquen enmallamientos</w:t>
      </w:r>
      <w:r w:rsidRPr="00946249">
        <w:rPr>
          <w:rFonts w:ascii="Cambria" w:hAnsi="Cambria"/>
          <w:b/>
          <w:i/>
          <w:vertAlign w:val="superscript"/>
        </w:rPr>
        <w:t>1</w:t>
      </w:r>
      <w:r w:rsidRPr="00946249">
        <w:rPr>
          <w:rFonts w:ascii="Cambria" w:hAnsi="Cambria"/>
          <w:b/>
          <w:i/>
        </w:rPr>
        <w:t xml:space="preserve">: </w:t>
      </w:r>
      <w:r w:rsidRPr="00946249">
        <w:rPr>
          <w:rFonts w:ascii="Cambria" w:hAnsi="Cambria"/>
        </w:rPr>
        <w:t>Los planes de ordenación de los DCP recibidos en 2025 están disponibles en el sitio de documentos de la Subcomisión 1, incluidos en los planes de pesca presentados.</w:t>
      </w:r>
    </w:p>
    <w:p w14:paraId="030D81AE" w14:textId="651A0174" w:rsidR="00D93006" w:rsidRPr="00946249" w:rsidRDefault="00D93006" w:rsidP="007F6511">
      <w:pPr>
        <w:tabs>
          <w:tab w:val="left" w:pos="1276"/>
          <w:tab w:val="left" w:pos="1418"/>
          <w:tab w:val="left" w:leader="dot" w:pos="8222"/>
          <w:tab w:val="right" w:pos="8647"/>
        </w:tabs>
        <w:jc w:val="center"/>
        <w:rPr>
          <w:rFonts w:ascii="Cambria" w:hAnsi="Cambria"/>
          <w:iCs/>
        </w:rPr>
      </w:pP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759"/>
        <w:gridCol w:w="2628"/>
      </w:tblGrid>
      <w:tr w:rsidR="007F6511" w:rsidRPr="00946249" w14:paraId="6BA7723E" w14:textId="77777777" w:rsidTr="00553449">
        <w:trPr>
          <w:trHeight w:val="780"/>
          <w:jc w:val="center"/>
        </w:trPr>
        <w:tc>
          <w:tcPr>
            <w:tcW w:w="1985" w:type="dxa"/>
            <w:noWrap/>
            <w:vAlign w:val="center"/>
            <w:hideMark/>
          </w:tcPr>
          <w:p w14:paraId="0A854F21" w14:textId="6E8898B9" w:rsidR="007F6511" w:rsidRPr="00946249" w:rsidRDefault="007F6511" w:rsidP="007F6511">
            <w:pPr>
              <w:widowControl/>
              <w:autoSpaceDE/>
              <w:autoSpaceDN/>
              <w:adjustRightInd/>
              <w:rPr>
                <w:rFonts w:ascii="Cambria" w:hAnsi="Cambria"/>
                <w:i/>
                <w:iCs/>
                <w:color w:val="000000"/>
              </w:rPr>
            </w:pPr>
            <w:r w:rsidRPr="00946249">
              <w:rPr>
                <w:rFonts w:ascii="Cambria" w:hAnsi="Cambria"/>
                <w:i/>
                <w:color w:val="000000"/>
              </w:rPr>
              <w:t>CPC</w:t>
            </w:r>
          </w:p>
        </w:tc>
        <w:tc>
          <w:tcPr>
            <w:tcW w:w="2759" w:type="dxa"/>
            <w:vAlign w:val="center"/>
            <w:hideMark/>
          </w:tcPr>
          <w:p w14:paraId="37395A90" w14:textId="157892FE" w:rsidR="007F6511" w:rsidRPr="00946249" w:rsidRDefault="007F6511" w:rsidP="00A61389">
            <w:pPr>
              <w:widowControl/>
              <w:autoSpaceDE/>
              <w:autoSpaceDN/>
              <w:adjustRightInd/>
              <w:jc w:val="center"/>
              <w:rPr>
                <w:rFonts w:ascii="Cambria" w:hAnsi="Cambria"/>
                <w:i/>
                <w:iCs/>
                <w:color w:val="000000"/>
              </w:rPr>
            </w:pPr>
            <w:r w:rsidRPr="00946249">
              <w:rPr>
                <w:rFonts w:ascii="Cambria" w:hAnsi="Cambria"/>
                <w:i/>
                <w:color w:val="000000"/>
              </w:rPr>
              <w:t xml:space="preserve">Plan de ordenación de los DCP (2025) </w:t>
            </w:r>
            <w:r w:rsidR="00A61389" w:rsidRPr="00946249">
              <w:rPr>
                <w:rFonts w:ascii="Cambria" w:hAnsi="Cambria"/>
                <w:i/>
                <w:color w:val="000000"/>
              </w:rPr>
              <w:t>e</w:t>
            </w:r>
            <w:r w:rsidRPr="00946249">
              <w:rPr>
                <w:rFonts w:ascii="Cambria" w:hAnsi="Cambria"/>
                <w:i/>
                <w:color w:val="000000"/>
              </w:rPr>
              <w:t>nviado</w:t>
            </w:r>
          </w:p>
        </w:tc>
        <w:tc>
          <w:tcPr>
            <w:tcW w:w="2628" w:type="dxa"/>
            <w:vAlign w:val="center"/>
            <w:hideMark/>
          </w:tcPr>
          <w:p w14:paraId="2E541B48" w14:textId="7A61D014" w:rsidR="007F6511" w:rsidRPr="00946249" w:rsidRDefault="001E5CEC" w:rsidP="00A61389">
            <w:pPr>
              <w:widowControl/>
              <w:autoSpaceDE/>
              <w:autoSpaceDN/>
              <w:adjustRightInd/>
              <w:jc w:val="center"/>
              <w:rPr>
                <w:rFonts w:ascii="Cambria" w:hAnsi="Cambria"/>
                <w:i/>
                <w:iCs/>
                <w:color w:val="000000"/>
              </w:rPr>
            </w:pPr>
            <w:r w:rsidRPr="00946249">
              <w:rPr>
                <w:rFonts w:ascii="Cambria" w:hAnsi="Cambria"/>
                <w:i/>
                <w:color w:val="000000"/>
              </w:rPr>
              <w:t xml:space="preserve">ST-08 - Datos de DCP (2024) </w:t>
            </w:r>
            <w:r w:rsidR="00A61389" w:rsidRPr="00946249">
              <w:rPr>
                <w:rFonts w:ascii="Cambria" w:hAnsi="Cambria"/>
                <w:i/>
                <w:color w:val="000000"/>
              </w:rPr>
              <w:t>e</w:t>
            </w:r>
            <w:r w:rsidR="007F6511" w:rsidRPr="00946249">
              <w:rPr>
                <w:rFonts w:ascii="Cambria" w:hAnsi="Cambria"/>
                <w:i/>
                <w:color w:val="000000"/>
              </w:rPr>
              <w:t>nviado</w:t>
            </w:r>
            <w:r w:rsidR="00A61389" w:rsidRPr="00946249">
              <w:rPr>
                <w:rFonts w:ascii="Cambria" w:hAnsi="Cambria"/>
                <w:i/>
                <w:color w:val="000000"/>
              </w:rPr>
              <w:t>s</w:t>
            </w:r>
          </w:p>
        </w:tc>
      </w:tr>
      <w:tr w:rsidR="00A61389" w:rsidRPr="00946249" w14:paraId="68656057" w14:textId="77777777" w:rsidTr="00553449">
        <w:trPr>
          <w:trHeight w:val="315"/>
          <w:jc w:val="center"/>
        </w:trPr>
        <w:tc>
          <w:tcPr>
            <w:tcW w:w="1985" w:type="dxa"/>
            <w:noWrap/>
            <w:vAlign w:val="center"/>
            <w:hideMark/>
          </w:tcPr>
          <w:p w14:paraId="11D6B39B"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Belice</w:t>
            </w:r>
          </w:p>
        </w:tc>
        <w:tc>
          <w:tcPr>
            <w:tcW w:w="2759" w:type="dxa"/>
            <w:noWrap/>
            <w:vAlign w:val="center"/>
            <w:hideMark/>
          </w:tcPr>
          <w:p w14:paraId="74B4F72E" w14:textId="635C1D9F"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5D7B908D" w14:textId="113C7F7B"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r>
      <w:tr w:rsidR="00A61389" w:rsidRPr="00946249" w14:paraId="60A8F38E" w14:textId="77777777" w:rsidTr="00553449">
        <w:trPr>
          <w:trHeight w:val="315"/>
          <w:jc w:val="center"/>
        </w:trPr>
        <w:tc>
          <w:tcPr>
            <w:tcW w:w="1985" w:type="dxa"/>
            <w:noWrap/>
            <w:vAlign w:val="center"/>
            <w:hideMark/>
          </w:tcPr>
          <w:p w14:paraId="142DD1C2"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Canadá</w:t>
            </w:r>
          </w:p>
        </w:tc>
        <w:tc>
          <w:tcPr>
            <w:tcW w:w="2759" w:type="dxa"/>
            <w:noWrap/>
            <w:vAlign w:val="center"/>
            <w:hideMark/>
          </w:tcPr>
          <w:p w14:paraId="3CD4C563" w14:textId="0ADBA31A"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c>
          <w:tcPr>
            <w:tcW w:w="2628" w:type="dxa"/>
            <w:noWrap/>
            <w:vAlign w:val="center"/>
            <w:hideMark/>
          </w:tcPr>
          <w:p w14:paraId="49A52C7F" w14:textId="2FD0F695"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1CB36813" w14:textId="77777777" w:rsidTr="00553449">
        <w:trPr>
          <w:trHeight w:val="315"/>
          <w:jc w:val="center"/>
        </w:trPr>
        <w:tc>
          <w:tcPr>
            <w:tcW w:w="1985" w:type="dxa"/>
            <w:noWrap/>
            <w:vAlign w:val="center"/>
            <w:hideMark/>
          </w:tcPr>
          <w:p w14:paraId="4C946C3F"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Costa Rica</w:t>
            </w:r>
          </w:p>
        </w:tc>
        <w:tc>
          <w:tcPr>
            <w:tcW w:w="2759" w:type="dxa"/>
            <w:noWrap/>
            <w:vAlign w:val="center"/>
            <w:hideMark/>
          </w:tcPr>
          <w:p w14:paraId="750988AC" w14:textId="08E0CB95"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09CD1BE2" w14:textId="0D00FD16"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0DF5D46E" w14:textId="77777777" w:rsidTr="00553449">
        <w:trPr>
          <w:trHeight w:val="315"/>
          <w:jc w:val="center"/>
        </w:trPr>
        <w:tc>
          <w:tcPr>
            <w:tcW w:w="1985" w:type="dxa"/>
            <w:noWrap/>
            <w:vAlign w:val="center"/>
            <w:hideMark/>
          </w:tcPr>
          <w:p w14:paraId="29AC5282"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Curazao</w:t>
            </w:r>
          </w:p>
        </w:tc>
        <w:tc>
          <w:tcPr>
            <w:tcW w:w="2759" w:type="dxa"/>
            <w:noWrap/>
            <w:vAlign w:val="center"/>
            <w:hideMark/>
          </w:tcPr>
          <w:p w14:paraId="52E60224" w14:textId="0699AFC4"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5CED12C4" w14:textId="6D0760BE"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58152549" w14:textId="77777777" w:rsidTr="00553449">
        <w:trPr>
          <w:trHeight w:val="315"/>
          <w:jc w:val="center"/>
        </w:trPr>
        <w:tc>
          <w:tcPr>
            <w:tcW w:w="1985" w:type="dxa"/>
            <w:noWrap/>
            <w:vAlign w:val="center"/>
            <w:hideMark/>
          </w:tcPr>
          <w:p w14:paraId="2AE330AA"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El Salvador</w:t>
            </w:r>
          </w:p>
        </w:tc>
        <w:tc>
          <w:tcPr>
            <w:tcW w:w="2759" w:type="dxa"/>
            <w:noWrap/>
            <w:vAlign w:val="center"/>
            <w:hideMark/>
          </w:tcPr>
          <w:p w14:paraId="68CEC624" w14:textId="4DD8170A"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5F9451DB" w14:textId="643594D7"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4A2EF770" w14:textId="77777777" w:rsidTr="00553449">
        <w:trPr>
          <w:trHeight w:val="315"/>
          <w:jc w:val="center"/>
        </w:trPr>
        <w:tc>
          <w:tcPr>
            <w:tcW w:w="1985" w:type="dxa"/>
            <w:noWrap/>
            <w:vAlign w:val="center"/>
            <w:hideMark/>
          </w:tcPr>
          <w:p w14:paraId="3E443C7C"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UE</w:t>
            </w:r>
          </w:p>
        </w:tc>
        <w:tc>
          <w:tcPr>
            <w:tcW w:w="2759" w:type="dxa"/>
            <w:noWrap/>
            <w:vAlign w:val="center"/>
            <w:hideMark/>
          </w:tcPr>
          <w:p w14:paraId="5AD12827" w14:textId="53F57061"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24FE4878" w14:textId="332842CD"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53C591CC" w14:textId="77777777" w:rsidTr="00553449">
        <w:trPr>
          <w:trHeight w:val="315"/>
          <w:jc w:val="center"/>
        </w:trPr>
        <w:tc>
          <w:tcPr>
            <w:tcW w:w="1985" w:type="dxa"/>
            <w:noWrap/>
            <w:vAlign w:val="center"/>
            <w:hideMark/>
          </w:tcPr>
          <w:p w14:paraId="06D76759"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Francia (SPM)</w:t>
            </w:r>
          </w:p>
        </w:tc>
        <w:tc>
          <w:tcPr>
            <w:tcW w:w="2759" w:type="dxa"/>
            <w:noWrap/>
            <w:vAlign w:val="center"/>
            <w:hideMark/>
          </w:tcPr>
          <w:p w14:paraId="10A464C7" w14:textId="12FFE9F6"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c>
          <w:tcPr>
            <w:tcW w:w="2628" w:type="dxa"/>
            <w:noWrap/>
            <w:vAlign w:val="center"/>
            <w:hideMark/>
          </w:tcPr>
          <w:p w14:paraId="0DBAD68D" w14:textId="0A7B5A62"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2AFCFF69" w14:textId="77777777" w:rsidTr="00553449">
        <w:trPr>
          <w:trHeight w:val="315"/>
          <w:jc w:val="center"/>
        </w:trPr>
        <w:tc>
          <w:tcPr>
            <w:tcW w:w="1985" w:type="dxa"/>
            <w:noWrap/>
            <w:vAlign w:val="center"/>
            <w:hideMark/>
          </w:tcPr>
          <w:p w14:paraId="5D773040"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Ghana</w:t>
            </w:r>
          </w:p>
        </w:tc>
        <w:tc>
          <w:tcPr>
            <w:tcW w:w="2759" w:type="dxa"/>
            <w:noWrap/>
            <w:vAlign w:val="center"/>
            <w:hideMark/>
          </w:tcPr>
          <w:p w14:paraId="4082EBBB" w14:textId="777EEC3E"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799A2EA9" w14:textId="5DA20DFC"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5D3F99B3" w14:textId="77777777" w:rsidTr="00553449">
        <w:trPr>
          <w:trHeight w:val="315"/>
          <w:jc w:val="center"/>
        </w:trPr>
        <w:tc>
          <w:tcPr>
            <w:tcW w:w="1985" w:type="dxa"/>
            <w:noWrap/>
            <w:vAlign w:val="center"/>
            <w:hideMark/>
          </w:tcPr>
          <w:p w14:paraId="46DF15EB"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Guatemala</w:t>
            </w:r>
          </w:p>
        </w:tc>
        <w:tc>
          <w:tcPr>
            <w:tcW w:w="2759" w:type="dxa"/>
            <w:noWrap/>
            <w:vAlign w:val="center"/>
            <w:hideMark/>
          </w:tcPr>
          <w:p w14:paraId="7758A9BD" w14:textId="5F17124B"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1F74C1E8" w14:textId="2798A409"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r>
      <w:tr w:rsidR="00A61389" w:rsidRPr="00946249" w14:paraId="5D08D168" w14:textId="77777777" w:rsidTr="00553449">
        <w:trPr>
          <w:trHeight w:val="315"/>
          <w:jc w:val="center"/>
        </w:trPr>
        <w:tc>
          <w:tcPr>
            <w:tcW w:w="1985" w:type="dxa"/>
            <w:noWrap/>
            <w:vAlign w:val="center"/>
          </w:tcPr>
          <w:p w14:paraId="7B2DA7AD" w14:textId="0496D9C0"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República de Guinea</w:t>
            </w:r>
          </w:p>
        </w:tc>
        <w:tc>
          <w:tcPr>
            <w:tcW w:w="2759" w:type="dxa"/>
            <w:noWrap/>
            <w:vAlign w:val="center"/>
          </w:tcPr>
          <w:p w14:paraId="21869308" w14:textId="2A0F6484"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tcPr>
          <w:p w14:paraId="42C3650F" w14:textId="4A59FB00"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r>
      <w:tr w:rsidR="00A61389" w:rsidRPr="00946249" w14:paraId="34D1354E" w14:textId="77777777" w:rsidTr="00553449">
        <w:trPr>
          <w:trHeight w:val="315"/>
          <w:jc w:val="center"/>
        </w:trPr>
        <w:tc>
          <w:tcPr>
            <w:tcW w:w="1985" w:type="dxa"/>
            <w:noWrap/>
            <w:vAlign w:val="center"/>
            <w:hideMark/>
          </w:tcPr>
          <w:p w14:paraId="6BF85F9C"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Corea</w:t>
            </w:r>
          </w:p>
        </w:tc>
        <w:tc>
          <w:tcPr>
            <w:tcW w:w="2759" w:type="dxa"/>
            <w:noWrap/>
            <w:vAlign w:val="center"/>
            <w:hideMark/>
          </w:tcPr>
          <w:p w14:paraId="3278DFFB" w14:textId="697363C0"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c>
          <w:tcPr>
            <w:tcW w:w="2628" w:type="dxa"/>
            <w:noWrap/>
            <w:vAlign w:val="center"/>
            <w:hideMark/>
          </w:tcPr>
          <w:p w14:paraId="623560D8" w14:textId="04D8B37D"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7E5683FE" w14:textId="77777777" w:rsidTr="00553449">
        <w:trPr>
          <w:trHeight w:val="315"/>
          <w:jc w:val="center"/>
        </w:trPr>
        <w:tc>
          <w:tcPr>
            <w:tcW w:w="1985" w:type="dxa"/>
            <w:noWrap/>
            <w:vAlign w:val="center"/>
            <w:hideMark/>
          </w:tcPr>
          <w:p w14:paraId="58F6CE52"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México</w:t>
            </w:r>
          </w:p>
        </w:tc>
        <w:tc>
          <w:tcPr>
            <w:tcW w:w="2759" w:type="dxa"/>
            <w:noWrap/>
            <w:vAlign w:val="center"/>
            <w:hideMark/>
          </w:tcPr>
          <w:p w14:paraId="0F560997" w14:textId="78DD0441"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c>
          <w:tcPr>
            <w:tcW w:w="2628" w:type="dxa"/>
            <w:noWrap/>
            <w:vAlign w:val="center"/>
            <w:hideMark/>
          </w:tcPr>
          <w:p w14:paraId="72BAAB9C" w14:textId="5BF99EB6"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5FD3242A" w14:textId="77777777" w:rsidTr="00553449">
        <w:trPr>
          <w:trHeight w:val="315"/>
          <w:jc w:val="center"/>
        </w:trPr>
        <w:tc>
          <w:tcPr>
            <w:tcW w:w="1985" w:type="dxa"/>
            <w:noWrap/>
            <w:vAlign w:val="center"/>
            <w:hideMark/>
          </w:tcPr>
          <w:p w14:paraId="58129F15"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Marruecos</w:t>
            </w:r>
          </w:p>
        </w:tc>
        <w:tc>
          <w:tcPr>
            <w:tcW w:w="2759" w:type="dxa"/>
            <w:noWrap/>
            <w:vAlign w:val="center"/>
            <w:hideMark/>
          </w:tcPr>
          <w:p w14:paraId="5D6DD38D" w14:textId="52605E63"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5959A9C7" w14:textId="071E5C2C"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405FA92E" w14:textId="77777777" w:rsidTr="00553449">
        <w:trPr>
          <w:trHeight w:val="315"/>
          <w:jc w:val="center"/>
        </w:trPr>
        <w:tc>
          <w:tcPr>
            <w:tcW w:w="1985" w:type="dxa"/>
            <w:noWrap/>
            <w:vAlign w:val="center"/>
            <w:hideMark/>
          </w:tcPr>
          <w:p w14:paraId="421F362D"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Nicaragua</w:t>
            </w:r>
          </w:p>
        </w:tc>
        <w:tc>
          <w:tcPr>
            <w:tcW w:w="2759" w:type="dxa"/>
            <w:noWrap/>
            <w:vAlign w:val="center"/>
            <w:hideMark/>
          </w:tcPr>
          <w:p w14:paraId="426E2ACC" w14:textId="74890A14"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176CB4C5" w14:textId="6ECF4C47"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r>
      <w:tr w:rsidR="00A61389" w:rsidRPr="00946249" w14:paraId="073B3B76" w14:textId="77777777" w:rsidTr="00553449">
        <w:trPr>
          <w:trHeight w:val="315"/>
          <w:jc w:val="center"/>
        </w:trPr>
        <w:tc>
          <w:tcPr>
            <w:tcW w:w="1985" w:type="dxa"/>
            <w:noWrap/>
            <w:vAlign w:val="center"/>
            <w:hideMark/>
          </w:tcPr>
          <w:p w14:paraId="30EA2BB8"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Panamá</w:t>
            </w:r>
          </w:p>
        </w:tc>
        <w:tc>
          <w:tcPr>
            <w:tcW w:w="2759" w:type="dxa"/>
            <w:noWrap/>
            <w:vAlign w:val="center"/>
            <w:hideMark/>
          </w:tcPr>
          <w:p w14:paraId="229BFBCD" w14:textId="307BBDC4"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5517A5AA" w14:textId="2D57A87D"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31B03768" w14:textId="77777777" w:rsidTr="00553449">
        <w:trPr>
          <w:trHeight w:val="315"/>
          <w:jc w:val="center"/>
        </w:trPr>
        <w:tc>
          <w:tcPr>
            <w:tcW w:w="1985" w:type="dxa"/>
            <w:noWrap/>
            <w:vAlign w:val="center"/>
            <w:hideMark/>
          </w:tcPr>
          <w:p w14:paraId="0DDCF024" w14:textId="77777777"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Senegal</w:t>
            </w:r>
          </w:p>
        </w:tc>
        <w:tc>
          <w:tcPr>
            <w:tcW w:w="2759" w:type="dxa"/>
            <w:noWrap/>
            <w:vAlign w:val="center"/>
            <w:hideMark/>
          </w:tcPr>
          <w:p w14:paraId="6FF55849" w14:textId="4ADC7C36"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c>
          <w:tcPr>
            <w:tcW w:w="2628" w:type="dxa"/>
            <w:noWrap/>
            <w:vAlign w:val="center"/>
            <w:hideMark/>
          </w:tcPr>
          <w:p w14:paraId="3248E61A" w14:textId="20D2DB8C"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r w:rsidR="00A61389" w:rsidRPr="00946249" w14:paraId="33161B43" w14:textId="77777777" w:rsidTr="00553449">
        <w:trPr>
          <w:trHeight w:val="315"/>
          <w:jc w:val="center"/>
        </w:trPr>
        <w:tc>
          <w:tcPr>
            <w:tcW w:w="1985" w:type="dxa"/>
            <w:noWrap/>
            <w:vAlign w:val="center"/>
          </w:tcPr>
          <w:p w14:paraId="34E78CE1" w14:textId="059C8694" w:rsidR="00A61389" w:rsidRPr="00946249" w:rsidRDefault="00A61389" w:rsidP="00A61389">
            <w:pPr>
              <w:widowControl/>
              <w:autoSpaceDE/>
              <w:autoSpaceDN/>
              <w:adjustRightInd/>
              <w:rPr>
                <w:rFonts w:ascii="Cambria" w:hAnsi="Cambria"/>
                <w:color w:val="000000"/>
              </w:rPr>
            </w:pPr>
            <w:r w:rsidRPr="00946249">
              <w:rPr>
                <w:rFonts w:ascii="Cambria" w:hAnsi="Cambria"/>
                <w:color w:val="000000"/>
              </w:rPr>
              <w:t>Reino Unido</w:t>
            </w:r>
          </w:p>
        </w:tc>
        <w:tc>
          <w:tcPr>
            <w:tcW w:w="2759" w:type="dxa"/>
            <w:noWrap/>
            <w:vAlign w:val="center"/>
          </w:tcPr>
          <w:p w14:paraId="32146749" w14:textId="502412D9" w:rsidR="00A61389" w:rsidRPr="00946249" w:rsidRDefault="00A61389" w:rsidP="00A61389">
            <w:pPr>
              <w:widowControl/>
              <w:autoSpaceDE/>
              <w:autoSpaceDN/>
              <w:adjustRightInd/>
              <w:jc w:val="center"/>
              <w:rPr>
                <w:rFonts w:ascii="Cambria" w:hAnsi="Cambria"/>
                <w:color w:val="000000"/>
              </w:rPr>
            </w:pPr>
            <w:r w:rsidRPr="00946249">
              <w:rPr>
                <w:rFonts w:ascii="Cambria" w:hAnsi="Cambria"/>
                <w:color w:val="000000"/>
                <w:lang w:val="en-GB" w:eastAsia="en-GB"/>
              </w:rPr>
              <w:t>No</w:t>
            </w:r>
          </w:p>
        </w:tc>
        <w:tc>
          <w:tcPr>
            <w:tcW w:w="2628" w:type="dxa"/>
            <w:noWrap/>
            <w:vAlign w:val="center"/>
          </w:tcPr>
          <w:p w14:paraId="53CB234D" w14:textId="3370F1CD" w:rsidR="00A61389" w:rsidRPr="00946249" w:rsidRDefault="00A61389" w:rsidP="00A61389">
            <w:pPr>
              <w:widowControl/>
              <w:autoSpaceDE/>
              <w:autoSpaceDN/>
              <w:adjustRightInd/>
              <w:jc w:val="center"/>
              <w:rPr>
                <w:rFonts w:ascii="Cambria" w:hAnsi="Cambria"/>
                <w:color w:val="000000"/>
              </w:rPr>
            </w:pPr>
            <w:r w:rsidRPr="00946249">
              <w:rPr>
                <w:rFonts w:ascii="Wingdings 2" w:hAnsi="Wingdings 2"/>
                <w:color w:val="000000"/>
                <w:lang w:val="en-GB" w:eastAsia="en-GB"/>
              </w:rPr>
              <w:t>P</w:t>
            </w:r>
          </w:p>
        </w:tc>
      </w:tr>
    </w:tbl>
    <w:p w14:paraId="0A1AAC0F" w14:textId="77777777" w:rsidR="007F6511" w:rsidRPr="00946249" w:rsidRDefault="007F6511" w:rsidP="00820485">
      <w:pPr>
        <w:tabs>
          <w:tab w:val="left" w:pos="1276"/>
          <w:tab w:val="left" w:pos="1418"/>
          <w:tab w:val="left" w:leader="dot" w:pos="8222"/>
          <w:tab w:val="right" w:pos="8647"/>
        </w:tabs>
        <w:jc w:val="both"/>
        <w:rPr>
          <w:rFonts w:ascii="Cambria" w:hAnsi="Cambria"/>
          <w:iCs/>
          <w:lang w:val="en-IE"/>
        </w:rPr>
      </w:pPr>
    </w:p>
    <w:p w14:paraId="1F916486" w14:textId="77777777" w:rsidR="00343CEC" w:rsidRPr="00946249" w:rsidRDefault="00343CEC" w:rsidP="00820485">
      <w:pPr>
        <w:tabs>
          <w:tab w:val="left" w:pos="1276"/>
          <w:tab w:val="left" w:pos="1418"/>
          <w:tab w:val="left" w:leader="dot" w:pos="8222"/>
          <w:tab w:val="right" w:pos="8647"/>
        </w:tabs>
        <w:jc w:val="both"/>
        <w:rPr>
          <w:rFonts w:ascii="Cambria" w:hAnsi="Cambria"/>
          <w:lang w:val="en-IE"/>
        </w:rPr>
      </w:pPr>
    </w:p>
    <w:p w14:paraId="3A9FA07C" w14:textId="136001B1" w:rsidR="00A61C2A" w:rsidRPr="00946249" w:rsidRDefault="002D5A0B"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Véase el "Informe de la Secretaría de ICCAT sobre investigación y estadísticas de 2025" [PLE_105/2025], Apéndice 2, para más detalles sobre los datos de DCP recibidos. </w:t>
      </w:r>
    </w:p>
    <w:p w14:paraId="7701EB23" w14:textId="77777777" w:rsidR="0082575E" w:rsidRPr="00946249" w:rsidRDefault="0082575E" w:rsidP="00820485">
      <w:pPr>
        <w:tabs>
          <w:tab w:val="left" w:pos="1276"/>
          <w:tab w:val="left" w:pos="1418"/>
          <w:tab w:val="left" w:leader="dot" w:pos="8222"/>
          <w:tab w:val="right" w:pos="8647"/>
        </w:tabs>
        <w:rPr>
          <w:rFonts w:ascii="Cambria" w:hAnsi="Cambria"/>
          <w:b/>
          <w:bCs/>
          <w:i/>
          <w:iCs/>
        </w:rPr>
      </w:pPr>
    </w:p>
    <w:p w14:paraId="5E38CE46" w14:textId="57AD1302" w:rsidR="00CE6BE0" w:rsidRPr="00946249" w:rsidRDefault="00976C7C" w:rsidP="00362405">
      <w:pPr>
        <w:tabs>
          <w:tab w:val="left" w:pos="1276"/>
          <w:tab w:val="left" w:pos="1418"/>
          <w:tab w:val="left" w:leader="dot" w:pos="8222"/>
          <w:tab w:val="right" w:pos="8647"/>
        </w:tabs>
        <w:jc w:val="both"/>
        <w:rPr>
          <w:rFonts w:ascii="Cambria" w:hAnsi="Cambria"/>
          <w:bCs/>
          <w:iCs/>
        </w:rPr>
      </w:pPr>
      <w:bookmarkStart w:id="0" w:name="_Hlk109293781"/>
      <w:r w:rsidRPr="00946249">
        <w:rPr>
          <w:rFonts w:ascii="Cambria" w:hAnsi="Cambria"/>
          <w:b/>
          <w:bCs/>
          <w:i/>
        </w:rPr>
        <w:t>Datos e información recogida de los programas de muestreo:</w:t>
      </w:r>
      <w:r w:rsidRPr="00946249">
        <w:rPr>
          <w:rFonts w:ascii="Cambria" w:hAnsi="Cambria"/>
          <w:i/>
        </w:rPr>
        <w:t xml:space="preserve"> </w:t>
      </w:r>
      <w:r w:rsidRPr="00946249">
        <w:rPr>
          <w:rFonts w:ascii="Cambria" w:hAnsi="Cambria"/>
        </w:rPr>
        <w:t>Canadá, Costa Rica, El Salvador, UE-Francia, UE-España, Francia (San Pedro y Miquelón), Corea, Marruecos, México, Panamá, Sudáfrica, Reino Unido-Bermudas, Reino Unido-Gran Bretaña, Reino Unido-Santa Elena, Reino Unido-</w:t>
      </w:r>
      <w:proofErr w:type="gramStart"/>
      <w:r w:rsidRPr="00946249">
        <w:rPr>
          <w:rFonts w:ascii="Cambria" w:hAnsi="Cambria"/>
        </w:rPr>
        <w:t>Turc</w:t>
      </w:r>
      <w:r w:rsidR="00893046" w:rsidRPr="00946249">
        <w:rPr>
          <w:rFonts w:ascii="Cambria" w:hAnsi="Cambria"/>
        </w:rPr>
        <w:t>a</w:t>
      </w:r>
      <w:r w:rsidRPr="00946249">
        <w:rPr>
          <w:rFonts w:ascii="Cambria" w:hAnsi="Cambria"/>
        </w:rPr>
        <w:t>s</w:t>
      </w:r>
      <w:proofErr w:type="gramEnd"/>
      <w:r w:rsidRPr="00946249">
        <w:rPr>
          <w:rFonts w:ascii="Cambria" w:hAnsi="Cambria"/>
        </w:rPr>
        <w:t xml:space="preserve"> y Caicos han </w:t>
      </w:r>
      <w:r w:rsidRPr="00946249">
        <w:rPr>
          <w:rFonts w:ascii="Cambria" w:hAnsi="Cambria"/>
        </w:rPr>
        <w:lastRenderedPageBreak/>
        <w:t>presentado la información del muestreo en puerto requerida por los párrafos 61 y 73 de la Rec. 22-01 y la Rec. 24-01, respectivamente.</w:t>
      </w:r>
    </w:p>
    <w:bookmarkEnd w:id="0"/>
    <w:p w14:paraId="38EE6907" w14:textId="77777777" w:rsidR="00B56A79" w:rsidRPr="00946249" w:rsidRDefault="00B56A79" w:rsidP="00820485">
      <w:pPr>
        <w:tabs>
          <w:tab w:val="left" w:pos="1276"/>
          <w:tab w:val="left" w:pos="1418"/>
          <w:tab w:val="left" w:leader="dot" w:pos="8222"/>
          <w:tab w:val="right" w:pos="8647"/>
        </w:tabs>
        <w:jc w:val="both"/>
        <w:rPr>
          <w:rFonts w:ascii="Cambria" w:hAnsi="Cambria"/>
          <w:bCs/>
          <w:iCs/>
        </w:rPr>
      </w:pPr>
    </w:p>
    <w:p w14:paraId="12C7B5EA" w14:textId="66E146E5" w:rsidR="00AF1AE8" w:rsidRPr="00946249" w:rsidRDefault="00976C7C" w:rsidP="00820485">
      <w:pPr>
        <w:tabs>
          <w:tab w:val="left" w:pos="1276"/>
          <w:tab w:val="left" w:pos="1418"/>
          <w:tab w:val="left" w:leader="dot" w:pos="8222"/>
          <w:tab w:val="right" w:pos="8647"/>
        </w:tabs>
        <w:jc w:val="both"/>
        <w:rPr>
          <w:rFonts w:ascii="Cambria" w:hAnsi="Cambria"/>
          <w:bCs/>
          <w:iCs/>
        </w:rPr>
      </w:pPr>
      <w:r w:rsidRPr="00946249">
        <w:rPr>
          <w:rFonts w:ascii="Cambria" w:hAnsi="Cambria"/>
          <w:b/>
          <w:i/>
        </w:rPr>
        <w:t xml:space="preserve">Programa de observadores: </w:t>
      </w:r>
      <w:r w:rsidRPr="00946249">
        <w:rPr>
          <w:rFonts w:ascii="Cambria" w:hAnsi="Cambria"/>
        </w:rPr>
        <w:t xml:space="preserve">No se comunicó a la Secretaría de ICCAT ninguna dificultad para embarcar observadores de conformidad con la Recomendación. </w:t>
      </w:r>
    </w:p>
    <w:p w14:paraId="3D8FBC85" w14:textId="77777777" w:rsidR="00F801C1" w:rsidRPr="00946249" w:rsidRDefault="00F801C1" w:rsidP="00820485">
      <w:pPr>
        <w:tabs>
          <w:tab w:val="left" w:pos="1276"/>
          <w:tab w:val="left" w:pos="1418"/>
          <w:tab w:val="left" w:leader="dot" w:pos="8222"/>
          <w:tab w:val="right" w:pos="8647"/>
        </w:tabs>
        <w:jc w:val="both"/>
        <w:rPr>
          <w:rFonts w:ascii="Cambria" w:hAnsi="Cambria"/>
          <w:bCs/>
          <w:iCs/>
        </w:rPr>
      </w:pPr>
    </w:p>
    <w:p w14:paraId="202A9CCC" w14:textId="77777777" w:rsidR="00996E93" w:rsidRPr="00946249" w:rsidRDefault="00996E93" w:rsidP="00820485">
      <w:pPr>
        <w:tabs>
          <w:tab w:val="left" w:pos="1276"/>
          <w:tab w:val="left" w:pos="1418"/>
          <w:tab w:val="center" w:pos="4750"/>
        </w:tabs>
        <w:rPr>
          <w:rFonts w:ascii="Cambria" w:hAnsi="Cambria"/>
          <w:b/>
          <w:bCs/>
        </w:rPr>
      </w:pPr>
    </w:p>
    <w:p w14:paraId="77CC6B99" w14:textId="7729F861" w:rsidR="009C4906" w:rsidRPr="00C7012F" w:rsidRDefault="00F225F3" w:rsidP="00820485">
      <w:pPr>
        <w:tabs>
          <w:tab w:val="left" w:pos="1276"/>
          <w:tab w:val="left" w:pos="1418"/>
          <w:tab w:val="center" w:pos="4750"/>
        </w:tabs>
        <w:rPr>
          <w:rFonts w:ascii="Cambria" w:hAnsi="Cambria"/>
          <w:b/>
          <w:bCs/>
          <w:i/>
          <w:iCs/>
          <w:lang w:val="pt-PT"/>
        </w:rPr>
      </w:pPr>
      <w:r w:rsidRPr="00C7012F">
        <w:rPr>
          <w:rFonts w:ascii="Cambria" w:hAnsi="Cambria"/>
          <w:b/>
          <w:lang w:val="pt-PT"/>
        </w:rPr>
        <w:t>SWO - PEZ ESPADA (</w:t>
      </w:r>
      <w:proofErr w:type="spellStart"/>
      <w:r w:rsidRPr="00C7012F">
        <w:rPr>
          <w:rFonts w:ascii="Cambria" w:hAnsi="Cambria"/>
          <w:b/>
          <w:lang w:val="pt-PT"/>
        </w:rPr>
        <w:t>Xiphias</w:t>
      </w:r>
      <w:proofErr w:type="spellEnd"/>
      <w:r w:rsidRPr="00C7012F">
        <w:rPr>
          <w:rFonts w:ascii="Cambria" w:hAnsi="Cambria"/>
          <w:b/>
          <w:lang w:val="pt-PT"/>
        </w:rPr>
        <w:t xml:space="preserve"> </w:t>
      </w:r>
      <w:proofErr w:type="spellStart"/>
      <w:r w:rsidRPr="00C7012F">
        <w:rPr>
          <w:rFonts w:ascii="Cambria" w:hAnsi="Cambria"/>
          <w:b/>
          <w:lang w:val="pt-PT"/>
        </w:rPr>
        <w:t>gladius</w:t>
      </w:r>
      <w:proofErr w:type="spellEnd"/>
      <w:r w:rsidRPr="00C7012F">
        <w:rPr>
          <w:rFonts w:ascii="Cambria" w:hAnsi="Cambria"/>
          <w:b/>
          <w:lang w:val="pt-PT"/>
        </w:rPr>
        <w:t>)</w:t>
      </w:r>
    </w:p>
    <w:p w14:paraId="7848C4EA" w14:textId="77777777" w:rsidR="009C4906" w:rsidRPr="00C7012F" w:rsidRDefault="009C4906" w:rsidP="00820485">
      <w:pPr>
        <w:tabs>
          <w:tab w:val="left" w:pos="993"/>
          <w:tab w:val="left" w:pos="1276"/>
          <w:tab w:val="left" w:pos="1418"/>
          <w:tab w:val="center" w:pos="4750"/>
        </w:tabs>
        <w:jc w:val="both"/>
        <w:rPr>
          <w:rFonts w:ascii="Cambria" w:hAnsi="Cambria"/>
          <w:i/>
          <w:color w:val="000000" w:themeColor="text1"/>
          <w:lang w:val="pt-PT"/>
        </w:rPr>
      </w:pPr>
    </w:p>
    <w:p w14:paraId="1AB73A6C" w14:textId="2BAA0805" w:rsidR="009C4906" w:rsidRPr="00946249" w:rsidRDefault="009C4906" w:rsidP="00820485">
      <w:pPr>
        <w:tabs>
          <w:tab w:val="left" w:pos="993"/>
          <w:tab w:val="left" w:pos="1276"/>
          <w:tab w:val="left" w:pos="1418"/>
          <w:tab w:val="center" w:pos="4750"/>
        </w:tabs>
        <w:jc w:val="both"/>
        <w:rPr>
          <w:rFonts w:ascii="Cambria" w:hAnsi="Cambria"/>
          <w:i/>
        </w:rPr>
      </w:pPr>
      <w:r w:rsidRPr="00946249">
        <w:rPr>
          <w:rFonts w:ascii="Cambria" w:hAnsi="Cambria"/>
          <w:i/>
        </w:rPr>
        <w:t>[03-04] Recomendación de ICCAT sobre el pez espada del Mediterráneo</w:t>
      </w:r>
    </w:p>
    <w:p w14:paraId="02490CFE" w14:textId="77777777" w:rsidR="00DC446B" w:rsidRPr="00946249" w:rsidRDefault="00DC446B" w:rsidP="00820485">
      <w:pPr>
        <w:tabs>
          <w:tab w:val="left" w:pos="1276"/>
          <w:tab w:val="left" w:pos="1418"/>
          <w:tab w:val="left" w:leader="dot" w:pos="8222"/>
          <w:tab w:val="right" w:pos="8647"/>
        </w:tabs>
        <w:jc w:val="both"/>
        <w:rPr>
          <w:rFonts w:ascii="Cambria" w:hAnsi="Cambria"/>
          <w:bCs/>
          <w:lang w:eastAsia="en-GB"/>
        </w:rPr>
      </w:pPr>
    </w:p>
    <w:p w14:paraId="4E600CEE" w14:textId="357DB439" w:rsidR="00B71DB5" w:rsidRPr="00946249" w:rsidRDefault="009C4906"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No se requiere una comunicación específica a la Secretaría que no sea la información que tiene que incluirse en la Sección 4 del Informe anual. La Secretaría de ICCAT no tiene nada que comunicar. </w:t>
      </w:r>
    </w:p>
    <w:p w14:paraId="4F199D26" w14:textId="77777777" w:rsidR="00562EB1" w:rsidRPr="00946249" w:rsidRDefault="00562EB1" w:rsidP="00820485">
      <w:pPr>
        <w:tabs>
          <w:tab w:val="left" w:pos="1276"/>
          <w:tab w:val="left" w:pos="1418"/>
          <w:tab w:val="left" w:leader="dot" w:pos="8222"/>
          <w:tab w:val="right" w:pos="8647"/>
        </w:tabs>
        <w:rPr>
          <w:rFonts w:ascii="Cambria" w:hAnsi="Cambria"/>
          <w:i/>
        </w:rPr>
      </w:pPr>
    </w:p>
    <w:p w14:paraId="475FCBDB" w14:textId="07471661" w:rsidR="003E0403" w:rsidRPr="00946249" w:rsidRDefault="00905BD5" w:rsidP="00820485">
      <w:pPr>
        <w:tabs>
          <w:tab w:val="left" w:pos="1276"/>
          <w:tab w:val="left" w:pos="1418"/>
          <w:tab w:val="left" w:leader="dot" w:pos="8222"/>
          <w:tab w:val="right" w:pos="8647"/>
        </w:tabs>
        <w:jc w:val="both"/>
        <w:rPr>
          <w:rFonts w:ascii="Cambria" w:hAnsi="Cambria"/>
          <w:bCs/>
          <w:i/>
        </w:rPr>
      </w:pPr>
      <w:r w:rsidRPr="00946249">
        <w:rPr>
          <w:rFonts w:ascii="Cambria" w:hAnsi="Cambria"/>
          <w:i/>
        </w:rPr>
        <w:t>[16-05] Recomendación de ICCAT que sustituye a la recomendación 13-04 y establece un plan de recuperación plurianual para el pez espada del Mediterráneo</w:t>
      </w:r>
    </w:p>
    <w:p w14:paraId="1FCAEE57" w14:textId="77777777" w:rsidR="0057473F" w:rsidRPr="00946249" w:rsidRDefault="0057473F" w:rsidP="006D1DE6">
      <w:pPr>
        <w:tabs>
          <w:tab w:val="left" w:pos="1276"/>
          <w:tab w:val="left" w:pos="1418"/>
          <w:tab w:val="left" w:leader="dot" w:pos="8222"/>
          <w:tab w:val="right" w:pos="8647"/>
        </w:tabs>
        <w:jc w:val="both"/>
        <w:rPr>
          <w:rFonts w:ascii="Cambria" w:hAnsi="Cambria"/>
          <w:i/>
        </w:rPr>
      </w:pPr>
    </w:p>
    <w:p w14:paraId="35CBF266" w14:textId="25411DAC" w:rsidR="0057473F" w:rsidRPr="00946249" w:rsidRDefault="0057473F" w:rsidP="0057473F">
      <w:pPr>
        <w:tabs>
          <w:tab w:val="left" w:pos="1276"/>
          <w:tab w:val="left" w:pos="1418"/>
          <w:tab w:val="left" w:leader="dot" w:pos="8222"/>
          <w:tab w:val="right" w:pos="8647"/>
        </w:tabs>
        <w:jc w:val="both"/>
        <w:rPr>
          <w:rFonts w:ascii="Cambria" w:hAnsi="Cambria"/>
          <w:bCs/>
        </w:rPr>
      </w:pPr>
      <w:r w:rsidRPr="00946249">
        <w:rPr>
          <w:rFonts w:ascii="Cambria" w:hAnsi="Cambria"/>
        </w:rPr>
        <w:t xml:space="preserve">(complementada por la </w:t>
      </w:r>
      <w:r w:rsidRPr="00946249">
        <w:rPr>
          <w:rFonts w:ascii="Cambria" w:hAnsi="Cambria"/>
          <w:i/>
        </w:rPr>
        <w:t>[24-11] Recomendación de ICCAT sobre límites de captura para el pez espada del Mediterráneo)</w:t>
      </w:r>
    </w:p>
    <w:p w14:paraId="411C5D23" w14:textId="77777777" w:rsidR="00842AE5" w:rsidRPr="00946249" w:rsidRDefault="00842AE5" w:rsidP="00820485">
      <w:pPr>
        <w:tabs>
          <w:tab w:val="left" w:pos="1276"/>
          <w:tab w:val="left" w:pos="1418"/>
          <w:tab w:val="left" w:leader="dot" w:pos="8222"/>
          <w:tab w:val="right" w:pos="8647"/>
        </w:tabs>
        <w:ind w:firstLine="426"/>
        <w:rPr>
          <w:rFonts w:ascii="Cambria" w:hAnsi="Cambria"/>
        </w:rPr>
      </w:pPr>
    </w:p>
    <w:p w14:paraId="782DD39D" w14:textId="7076A5B7" w:rsidR="00B421D7" w:rsidRPr="00946249" w:rsidRDefault="00B421D7" w:rsidP="00820485">
      <w:pPr>
        <w:tabs>
          <w:tab w:val="left" w:pos="1276"/>
          <w:tab w:val="left" w:pos="1418"/>
          <w:tab w:val="left" w:leader="dot" w:pos="8222"/>
          <w:tab w:val="right" w:pos="8647"/>
        </w:tabs>
        <w:jc w:val="both"/>
        <w:rPr>
          <w:rFonts w:ascii="Cambria" w:hAnsi="Cambria"/>
        </w:rPr>
      </w:pPr>
      <w:r w:rsidRPr="00946249">
        <w:rPr>
          <w:rFonts w:ascii="Cambria" w:hAnsi="Cambria"/>
          <w:b/>
          <w:bCs/>
          <w:i/>
          <w:iCs/>
        </w:rPr>
        <w:t>Cumplimiento de las cuotas/límites de captura:</w:t>
      </w:r>
      <w:r w:rsidRPr="00946249">
        <w:rPr>
          <w:rFonts w:ascii="Cambria" w:hAnsi="Cambria"/>
        </w:rPr>
        <w:t xml:space="preserve"> Véase el documento "Tablas de cumplimiento de 2024 recibidas en 2025" [COC_304/2025]. </w:t>
      </w:r>
    </w:p>
    <w:p w14:paraId="111C2E51" w14:textId="77777777" w:rsidR="0062071E" w:rsidRPr="00946249" w:rsidRDefault="0062071E" w:rsidP="00820485">
      <w:pPr>
        <w:tabs>
          <w:tab w:val="left" w:pos="1276"/>
          <w:tab w:val="left" w:pos="1418"/>
          <w:tab w:val="left" w:leader="dot" w:pos="8222"/>
          <w:tab w:val="right" w:pos="8647"/>
        </w:tabs>
        <w:jc w:val="both"/>
        <w:rPr>
          <w:rFonts w:ascii="Cambria" w:hAnsi="Cambria"/>
        </w:rPr>
      </w:pPr>
    </w:p>
    <w:p w14:paraId="13B17C5F" w14:textId="279982D4" w:rsidR="003E27FD" w:rsidRPr="00946249" w:rsidRDefault="003E27FD" w:rsidP="00820485">
      <w:pPr>
        <w:tabs>
          <w:tab w:val="left" w:pos="1276"/>
          <w:tab w:val="left" w:pos="1418"/>
          <w:tab w:val="left" w:leader="dot" w:pos="8222"/>
          <w:tab w:val="right" w:pos="8647"/>
        </w:tabs>
        <w:jc w:val="both"/>
        <w:rPr>
          <w:rFonts w:ascii="Cambria" w:hAnsi="Cambria"/>
          <w:bCs/>
        </w:rPr>
      </w:pPr>
      <w:r w:rsidRPr="00946249">
        <w:rPr>
          <w:rFonts w:ascii="Cambria" w:hAnsi="Cambria"/>
          <w:b/>
          <w:i/>
        </w:rPr>
        <w:t xml:space="preserve">Registro ICCAT de pez espada del Mediterráneo: </w:t>
      </w:r>
      <w:r w:rsidRPr="00946249">
        <w:rPr>
          <w:rFonts w:ascii="Cambria" w:hAnsi="Cambria"/>
        </w:rPr>
        <w:t xml:space="preserve">Las listas autorizadas, recibidas de seis CPC (Argelia, Egipto, Unión Europea, Marruecos, Túnez y </w:t>
      </w:r>
      <w:proofErr w:type="spellStart"/>
      <w:r w:rsidRPr="00946249">
        <w:rPr>
          <w:rFonts w:ascii="Cambria" w:hAnsi="Cambria"/>
        </w:rPr>
        <w:t>Türkiye</w:t>
      </w:r>
      <w:proofErr w:type="spellEnd"/>
      <w:r w:rsidRPr="00946249">
        <w:rPr>
          <w:rFonts w:ascii="Cambria" w:hAnsi="Cambria"/>
        </w:rPr>
        <w:t xml:space="preserve">), se han publicado en el </w:t>
      </w:r>
      <w:hyperlink r:id="rId9" w:history="1">
        <w:r w:rsidRPr="00946249">
          <w:rPr>
            <w:rStyle w:val="Hyperlink"/>
            <w:rFonts w:ascii="Cambria" w:hAnsi="Cambria"/>
            <w:u w:val="none"/>
          </w:rPr>
          <w:t>sitio web de ICCAT</w:t>
        </w:r>
      </w:hyperlink>
      <w:r w:rsidRPr="00946249">
        <w:rPr>
          <w:rFonts w:ascii="Cambria" w:hAnsi="Cambria"/>
        </w:rPr>
        <w:t>. La lista de buques que pescaron el año anterior se incluye en el</w:t>
      </w:r>
      <w:r w:rsidRPr="00946249">
        <w:rPr>
          <w:rFonts w:ascii="Cambria" w:hAnsi="Cambria"/>
          <w:b/>
          <w:bCs/>
        </w:rPr>
        <w:t xml:space="preserve"> Anexo 5.</w:t>
      </w:r>
    </w:p>
    <w:p w14:paraId="2895BB62" w14:textId="77777777" w:rsidR="00D26C9B" w:rsidRPr="00946249" w:rsidRDefault="00D26C9B" w:rsidP="00820485">
      <w:pPr>
        <w:tabs>
          <w:tab w:val="left" w:pos="1276"/>
          <w:tab w:val="left" w:pos="1418"/>
          <w:tab w:val="left" w:leader="dot" w:pos="8222"/>
          <w:tab w:val="right" w:pos="8647"/>
        </w:tabs>
        <w:jc w:val="both"/>
        <w:rPr>
          <w:rFonts w:ascii="Cambria" w:hAnsi="Cambria"/>
          <w:i/>
        </w:rPr>
      </w:pPr>
    </w:p>
    <w:p w14:paraId="3C84A8AE" w14:textId="08ED2B7C" w:rsidR="008E6992" w:rsidRPr="00946249" w:rsidRDefault="00D26C9B" w:rsidP="008E6992">
      <w:pPr>
        <w:jc w:val="both"/>
        <w:rPr>
          <w:rFonts w:ascii="Cambria" w:hAnsi="Cambria"/>
          <w:bCs/>
        </w:rPr>
      </w:pPr>
      <w:r w:rsidRPr="00946249">
        <w:rPr>
          <w:rFonts w:ascii="Cambria" w:hAnsi="Cambria"/>
          <w:b/>
          <w:bCs/>
          <w:i/>
        </w:rPr>
        <w:t>Lista de buques autorizados para pescar atún blanco del Mediterráneo:</w:t>
      </w:r>
      <w:r w:rsidRPr="00946249">
        <w:rPr>
          <w:rFonts w:ascii="Cambria" w:hAnsi="Cambria"/>
        </w:rPr>
        <w:t xml:space="preserve"> En el momento de redactar este documento, cuatro CPC (Egipto, Unión Europea, Marruecos y </w:t>
      </w:r>
      <w:proofErr w:type="spellStart"/>
      <w:r w:rsidRPr="00946249">
        <w:rPr>
          <w:rFonts w:ascii="Cambria" w:hAnsi="Cambria"/>
        </w:rPr>
        <w:t>Türkiye</w:t>
      </w:r>
      <w:proofErr w:type="spellEnd"/>
      <w:r w:rsidRPr="00946249">
        <w:rPr>
          <w:rFonts w:ascii="Cambria" w:hAnsi="Cambria"/>
        </w:rPr>
        <w:t xml:space="preserve">) han presentado listas de buques autorizados de conformidad con esta Recomendación. </w:t>
      </w:r>
    </w:p>
    <w:p w14:paraId="4847F19A" w14:textId="77777777" w:rsidR="008E6992" w:rsidRPr="00946249" w:rsidRDefault="008E6992" w:rsidP="008E6992">
      <w:pPr>
        <w:jc w:val="both"/>
        <w:rPr>
          <w:rFonts w:ascii="Cambria" w:hAnsi="Cambria"/>
        </w:rPr>
      </w:pPr>
    </w:p>
    <w:p w14:paraId="58CC16DB" w14:textId="7EA59158" w:rsidR="00D26C9B" w:rsidRPr="00946249" w:rsidRDefault="00D26C9B" w:rsidP="00820485">
      <w:pPr>
        <w:tabs>
          <w:tab w:val="left" w:pos="1276"/>
          <w:tab w:val="left" w:pos="1418"/>
          <w:tab w:val="left" w:leader="dot" w:pos="8222"/>
          <w:tab w:val="right" w:pos="8647"/>
        </w:tabs>
        <w:jc w:val="both"/>
        <w:rPr>
          <w:rStyle w:val="Hyperlink"/>
          <w:rFonts w:ascii="Cambria" w:hAnsi="Cambria"/>
          <w:bCs/>
          <w:u w:val="none"/>
        </w:rPr>
      </w:pPr>
      <w:r w:rsidRPr="00946249">
        <w:rPr>
          <w:rFonts w:ascii="Cambria" w:hAnsi="Cambria"/>
        </w:rPr>
        <w:t xml:space="preserve">Las listas de se publica en la </w:t>
      </w:r>
      <w:hyperlink r:id="rId10" w:history="1">
        <w:r w:rsidRPr="00946249">
          <w:rPr>
            <w:rStyle w:val="Hyperlink"/>
            <w:rFonts w:ascii="Cambria" w:hAnsi="Cambria"/>
            <w:u w:val="none"/>
          </w:rPr>
          <w:t>página web de ICCAT.</w:t>
        </w:r>
      </w:hyperlink>
    </w:p>
    <w:p w14:paraId="75457EFE" w14:textId="77777777" w:rsidR="00F953E1" w:rsidRPr="00946249" w:rsidRDefault="00F953E1" w:rsidP="00820485">
      <w:pPr>
        <w:tabs>
          <w:tab w:val="left" w:pos="1276"/>
          <w:tab w:val="left" w:pos="1418"/>
          <w:tab w:val="left" w:leader="dot" w:pos="8222"/>
          <w:tab w:val="right" w:pos="8647"/>
        </w:tabs>
        <w:jc w:val="both"/>
        <w:rPr>
          <w:rStyle w:val="Hyperlink"/>
          <w:rFonts w:ascii="Cambria" w:hAnsi="Cambria"/>
          <w:bCs/>
          <w:u w:val="none"/>
        </w:rPr>
      </w:pPr>
    </w:p>
    <w:p w14:paraId="7B5C1413" w14:textId="198B1258" w:rsidR="001443C5" w:rsidRPr="00946249" w:rsidRDefault="001443C5" w:rsidP="00820485">
      <w:pPr>
        <w:tabs>
          <w:tab w:val="left" w:pos="1276"/>
          <w:tab w:val="left" w:pos="1418"/>
          <w:tab w:val="left" w:leader="dot" w:pos="8222"/>
          <w:tab w:val="right" w:pos="8647"/>
        </w:tabs>
        <w:jc w:val="both"/>
        <w:rPr>
          <w:rFonts w:ascii="Cambria" w:hAnsi="Cambria"/>
          <w:bCs/>
        </w:rPr>
      </w:pPr>
      <w:r w:rsidRPr="00946249">
        <w:rPr>
          <w:rFonts w:ascii="Cambria" w:hAnsi="Cambria"/>
          <w:b/>
          <w:i/>
        </w:rPr>
        <w:t>Registro ICCAT de puertos autorizados</w:t>
      </w:r>
      <w:r w:rsidRPr="00946249">
        <w:rPr>
          <w:rFonts w:ascii="Cambria" w:hAnsi="Cambria"/>
          <w:b/>
        </w:rPr>
        <w:t xml:space="preserve">: </w:t>
      </w:r>
      <w:r w:rsidRPr="00946249">
        <w:rPr>
          <w:rFonts w:ascii="Cambria" w:hAnsi="Cambria"/>
        </w:rPr>
        <w:t xml:space="preserve">Un total de 894 puertos, de un total de siete CPC, se han publicado en el </w:t>
      </w:r>
      <w:r w:rsidRPr="00946249">
        <w:rPr>
          <w:rStyle w:val="Hyperlink"/>
          <w:rFonts w:ascii="Cambria" w:hAnsi="Cambria"/>
          <w:u w:val="none"/>
        </w:rPr>
        <w:t>sitio web de ICCAT</w:t>
      </w:r>
      <w:r w:rsidRPr="00946249">
        <w:rPr>
          <w:rFonts w:ascii="Cambria" w:hAnsi="Cambria"/>
        </w:rPr>
        <w:t xml:space="preserve">. Argelia, Egipto, Unión Europea, Libia, Marruecos, Túnez y </w:t>
      </w:r>
      <w:proofErr w:type="spellStart"/>
      <w:r w:rsidRPr="00946249">
        <w:rPr>
          <w:rFonts w:ascii="Cambria" w:hAnsi="Cambria"/>
        </w:rPr>
        <w:t>Türkiye</w:t>
      </w:r>
      <w:proofErr w:type="spellEnd"/>
      <w:r w:rsidRPr="00946249">
        <w:rPr>
          <w:rFonts w:ascii="Cambria" w:hAnsi="Cambria"/>
        </w:rPr>
        <w:t xml:space="preserve">. </w:t>
      </w:r>
    </w:p>
    <w:p w14:paraId="1AFD0E89" w14:textId="77777777" w:rsidR="00B421D7" w:rsidRPr="00946249" w:rsidRDefault="00B421D7" w:rsidP="00820485">
      <w:pPr>
        <w:tabs>
          <w:tab w:val="left" w:pos="1276"/>
          <w:tab w:val="left" w:pos="1418"/>
          <w:tab w:val="left" w:leader="dot" w:pos="8222"/>
          <w:tab w:val="right" w:pos="8647"/>
        </w:tabs>
        <w:ind w:firstLine="426"/>
        <w:rPr>
          <w:rFonts w:ascii="Cambria" w:hAnsi="Cambria"/>
          <w:b/>
        </w:rPr>
      </w:pPr>
    </w:p>
    <w:p w14:paraId="35098901" w14:textId="05888704" w:rsidR="0058307A" w:rsidRPr="00946249" w:rsidRDefault="003F475D" w:rsidP="00820485">
      <w:pPr>
        <w:tabs>
          <w:tab w:val="left" w:pos="1276"/>
          <w:tab w:val="left" w:pos="1418"/>
          <w:tab w:val="left" w:leader="dot" w:pos="8222"/>
          <w:tab w:val="right" w:pos="8647"/>
        </w:tabs>
        <w:jc w:val="both"/>
        <w:rPr>
          <w:rFonts w:ascii="Cambria" w:hAnsi="Cambria"/>
          <w:bCs/>
        </w:rPr>
      </w:pPr>
      <w:r w:rsidRPr="00946249">
        <w:rPr>
          <w:rFonts w:ascii="Cambria" w:hAnsi="Cambria"/>
          <w:b/>
          <w:i/>
        </w:rPr>
        <w:t xml:space="preserve">Agencias y buques de inspección </w:t>
      </w:r>
      <w:r w:rsidRPr="00946249">
        <w:rPr>
          <w:rFonts w:ascii="Cambria" w:hAnsi="Cambria"/>
        </w:rPr>
        <w:t xml:space="preserve">Se ha recibido información de Argelia, la Unión Europea, Túnez y </w:t>
      </w:r>
      <w:proofErr w:type="spellStart"/>
      <w:r w:rsidRPr="00946249">
        <w:rPr>
          <w:rFonts w:ascii="Cambria" w:hAnsi="Cambria"/>
        </w:rPr>
        <w:t>Türkiye</w:t>
      </w:r>
      <w:proofErr w:type="spellEnd"/>
      <w:r w:rsidRPr="00946249">
        <w:rPr>
          <w:rFonts w:ascii="Cambria" w:hAnsi="Cambria"/>
        </w:rPr>
        <w:t xml:space="preserve">. La lista de agencias, medios e inspectores comunicados puede consultarse en el </w:t>
      </w:r>
      <w:r w:rsidRPr="00946249">
        <w:rPr>
          <w:rFonts w:ascii="Cambria" w:hAnsi="Cambria"/>
          <w:b/>
          <w:bCs/>
        </w:rPr>
        <w:t>Anexo 4</w:t>
      </w:r>
      <w:r w:rsidRPr="00946249">
        <w:rPr>
          <w:rFonts w:ascii="Cambria" w:hAnsi="Cambria"/>
        </w:rPr>
        <w:t xml:space="preserve">. En el sitio web de ICCAT se ha publicado una lista de buques de inspección. En la </w:t>
      </w:r>
      <w:r w:rsidRPr="00946249">
        <w:rPr>
          <w:rFonts w:ascii="Cambria" w:hAnsi="Cambria"/>
          <w:b/>
          <w:bCs/>
        </w:rPr>
        <w:t>Tabla 2</w:t>
      </w:r>
      <w:r w:rsidRPr="00946249">
        <w:rPr>
          <w:rFonts w:ascii="Cambria" w:hAnsi="Cambria"/>
        </w:rPr>
        <w:t xml:space="preserve"> se presenta un resumen de los informes de inspección recibidos. En el </w:t>
      </w:r>
      <w:r w:rsidRPr="00946249">
        <w:rPr>
          <w:rFonts w:ascii="Cambria" w:hAnsi="Cambria"/>
          <w:b/>
          <w:bCs/>
        </w:rPr>
        <w:t>Apéndice 4</w:t>
      </w:r>
      <w:r w:rsidRPr="00946249">
        <w:rPr>
          <w:rFonts w:ascii="Cambria" w:hAnsi="Cambria"/>
        </w:rPr>
        <w:t xml:space="preserve"> se incluye un resumen de los informes con las infracciones, así como sus respuestas cuando están disponibles, y en el </w:t>
      </w:r>
      <w:r w:rsidRPr="00946249">
        <w:rPr>
          <w:rFonts w:ascii="Cambria" w:hAnsi="Cambria"/>
          <w:b/>
          <w:bCs/>
        </w:rPr>
        <w:t>Anexo 3</w:t>
      </w:r>
      <w:r w:rsidRPr="00946249">
        <w:rPr>
          <w:rFonts w:ascii="Cambria" w:hAnsi="Cambria"/>
        </w:rPr>
        <w:t xml:space="preserve"> se incluyen copias de los informes con infracciones.</w:t>
      </w:r>
    </w:p>
    <w:p w14:paraId="5C568F75" w14:textId="77777777" w:rsidR="0062071E" w:rsidRPr="00946249" w:rsidRDefault="0062071E" w:rsidP="00820485">
      <w:pPr>
        <w:tabs>
          <w:tab w:val="left" w:pos="1276"/>
          <w:tab w:val="left" w:pos="1418"/>
          <w:tab w:val="left" w:leader="dot" w:pos="8222"/>
          <w:tab w:val="right" w:pos="8647"/>
        </w:tabs>
        <w:ind w:firstLine="426"/>
        <w:jc w:val="both"/>
        <w:rPr>
          <w:rFonts w:ascii="Cambria" w:hAnsi="Cambria"/>
        </w:rPr>
      </w:pPr>
    </w:p>
    <w:p w14:paraId="7FCA59D6" w14:textId="4DB3FA1B" w:rsidR="00073703" w:rsidRPr="00946249" w:rsidRDefault="00073703" w:rsidP="00820485">
      <w:pPr>
        <w:tabs>
          <w:tab w:val="left" w:pos="1276"/>
          <w:tab w:val="left" w:pos="1418"/>
          <w:tab w:val="left" w:leader="dot" w:pos="8222"/>
          <w:tab w:val="right" w:pos="8647"/>
        </w:tabs>
        <w:jc w:val="both"/>
        <w:rPr>
          <w:rFonts w:ascii="Cambria" w:hAnsi="Cambria"/>
          <w:b/>
        </w:rPr>
      </w:pPr>
      <w:r w:rsidRPr="00946249">
        <w:rPr>
          <w:rFonts w:ascii="Cambria" w:hAnsi="Cambria"/>
          <w:b/>
          <w:bCs/>
          <w:i/>
          <w:iCs/>
        </w:rPr>
        <w:t>Planes de pesca SWO-MED</w:t>
      </w:r>
      <w:r w:rsidR="003A555D" w:rsidRPr="00946249">
        <w:rPr>
          <w:rFonts w:ascii="Cambria" w:hAnsi="Cambria"/>
        </w:rPr>
        <w:t>:</w:t>
      </w:r>
      <w:r w:rsidRPr="00946249">
        <w:rPr>
          <w:rFonts w:ascii="Cambria" w:hAnsi="Cambria"/>
        </w:rPr>
        <w:t xml:space="preserve"> En 2025, se recibieron planes de las siguientes CPC: Argelia, Egipto, Unión Europea, Marruecos, Túnez y </w:t>
      </w:r>
      <w:proofErr w:type="spellStart"/>
      <w:r w:rsidRPr="00946249">
        <w:rPr>
          <w:rFonts w:ascii="Cambria" w:hAnsi="Cambria"/>
        </w:rPr>
        <w:t>Türkiye</w:t>
      </w:r>
      <w:proofErr w:type="spellEnd"/>
      <w:r w:rsidRPr="00946249">
        <w:rPr>
          <w:rFonts w:ascii="Cambria" w:hAnsi="Cambria"/>
        </w:rPr>
        <w:t>. Estos planes se distribuyeron a las CPC y están disponibles como "Planes de pesca de pez espada del Mediterráneo presentados en 2025 (Rec. 16-05)" [PA4_802/2025].</w:t>
      </w:r>
      <w:r w:rsidRPr="00946249">
        <w:rPr>
          <w:rFonts w:ascii="Cambria" w:hAnsi="Cambria"/>
          <w:b/>
        </w:rPr>
        <w:t xml:space="preserve"> </w:t>
      </w:r>
    </w:p>
    <w:p w14:paraId="10E55AE2" w14:textId="77777777" w:rsidR="0062071E" w:rsidRPr="00946249" w:rsidRDefault="0062071E" w:rsidP="00820485">
      <w:pPr>
        <w:tabs>
          <w:tab w:val="left" w:pos="1276"/>
          <w:tab w:val="left" w:pos="1418"/>
          <w:tab w:val="left" w:leader="dot" w:pos="8222"/>
          <w:tab w:val="right" w:pos="8647"/>
        </w:tabs>
        <w:jc w:val="both"/>
        <w:rPr>
          <w:rFonts w:ascii="Cambria" w:hAnsi="Cambria"/>
          <w:b/>
        </w:rPr>
      </w:pPr>
    </w:p>
    <w:p w14:paraId="49DC588F" w14:textId="761039D4" w:rsidR="00A764F8" w:rsidRPr="00946249" w:rsidRDefault="00A764F8" w:rsidP="00820485">
      <w:pPr>
        <w:tabs>
          <w:tab w:val="left" w:pos="1276"/>
          <w:tab w:val="left" w:pos="1418"/>
          <w:tab w:val="left" w:leader="dot" w:pos="8222"/>
          <w:tab w:val="right" w:pos="8647"/>
        </w:tabs>
        <w:jc w:val="both"/>
        <w:rPr>
          <w:rFonts w:ascii="Cambria" w:hAnsi="Cambria"/>
        </w:rPr>
      </w:pPr>
      <w:r w:rsidRPr="00946249">
        <w:rPr>
          <w:rFonts w:ascii="Cambria" w:hAnsi="Cambria"/>
          <w:b/>
          <w:i/>
        </w:rPr>
        <w:t>Cierres:</w:t>
      </w:r>
      <w:r w:rsidRPr="00946249">
        <w:rPr>
          <w:rFonts w:ascii="Cambria" w:hAnsi="Cambria"/>
          <w:b/>
        </w:rPr>
        <w:t xml:space="preserve"> </w:t>
      </w:r>
      <w:r w:rsidRPr="00946249">
        <w:rPr>
          <w:rFonts w:ascii="Cambria" w:hAnsi="Cambria"/>
        </w:rPr>
        <w:t xml:space="preserve">Se han recibido informes sobre la implementación de los periodos de cierre de Argelia, Egipto, Marruecos, Túnez, </w:t>
      </w:r>
      <w:proofErr w:type="spellStart"/>
      <w:r w:rsidRPr="00946249">
        <w:rPr>
          <w:rFonts w:ascii="Cambria" w:hAnsi="Cambria"/>
        </w:rPr>
        <w:t>Türkiye</w:t>
      </w:r>
      <w:proofErr w:type="spellEnd"/>
      <w:r w:rsidRPr="00946249">
        <w:rPr>
          <w:rFonts w:ascii="Cambria" w:hAnsi="Cambria"/>
        </w:rPr>
        <w:t xml:space="preserve"> y la Unión Europea y se han incluido en el </w:t>
      </w:r>
      <w:r w:rsidRPr="00946249">
        <w:rPr>
          <w:rFonts w:ascii="Cambria" w:hAnsi="Cambria"/>
          <w:b/>
          <w:bCs/>
        </w:rPr>
        <w:t>Apéndice 1</w:t>
      </w:r>
      <w:r w:rsidRPr="00946249">
        <w:rPr>
          <w:rFonts w:ascii="Cambria" w:hAnsi="Cambria"/>
        </w:rPr>
        <w:t xml:space="preserve"> de este informe. Argelia indicó que la información puede encontrarse en su informe anual (véase el documento "Informes anuales de las CPC" </w:t>
      </w:r>
      <w:r w:rsidR="0092146B" w:rsidRPr="00946249">
        <w:rPr>
          <w:rFonts w:ascii="Cambria" w:hAnsi="Cambria"/>
        </w:rPr>
        <w:t>[</w:t>
      </w:r>
      <w:r w:rsidRPr="00946249">
        <w:rPr>
          <w:rFonts w:ascii="Cambria" w:hAnsi="Cambria"/>
        </w:rPr>
        <w:t>COC_301/2025</w:t>
      </w:r>
      <w:r w:rsidR="0092146B" w:rsidRPr="00946249">
        <w:rPr>
          <w:rFonts w:ascii="Cambria" w:hAnsi="Cambria"/>
        </w:rPr>
        <w:t>]</w:t>
      </w:r>
      <w:r w:rsidRPr="00946249">
        <w:rPr>
          <w:rFonts w:ascii="Cambria" w:hAnsi="Cambria"/>
        </w:rPr>
        <w:t>). Egipto indicó que la información se puede encontrar en su plan de pesca del pez espada del Mediterráneo [PA4_802/2025].</w:t>
      </w:r>
    </w:p>
    <w:p w14:paraId="42BF96D5" w14:textId="77777777" w:rsidR="00C22F03" w:rsidRPr="00946249" w:rsidRDefault="00C22F03" w:rsidP="00820485">
      <w:pPr>
        <w:tabs>
          <w:tab w:val="left" w:pos="1276"/>
          <w:tab w:val="left" w:pos="1418"/>
          <w:tab w:val="left" w:leader="dot" w:pos="8222"/>
          <w:tab w:val="right" w:pos="8647"/>
        </w:tabs>
        <w:jc w:val="both"/>
        <w:rPr>
          <w:rFonts w:ascii="Cambria" w:hAnsi="Cambria"/>
          <w:b/>
        </w:rPr>
      </w:pPr>
    </w:p>
    <w:p w14:paraId="03D40CF3" w14:textId="359A8468" w:rsidR="0072170F" w:rsidRPr="00946249" w:rsidRDefault="0062071E" w:rsidP="00820485">
      <w:pPr>
        <w:tabs>
          <w:tab w:val="left" w:pos="1276"/>
          <w:tab w:val="left" w:pos="1418"/>
          <w:tab w:val="left" w:leader="dot" w:pos="8222"/>
          <w:tab w:val="right" w:pos="8647"/>
        </w:tabs>
        <w:jc w:val="both"/>
        <w:rPr>
          <w:rFonts w:ascii="Cambria" w:hAnsi="Cambria"/>
        </w:rPr>
      </w:pPr>
      <w:r w:rsidRPr="00946249">
        <w:rPr>
          <w:rFonts w:ascii="Cambria" w:hAnsi="Cambria"/>
          <w:b/>
          <w:i/>
        </w:rPr>
        <w:t xml:space="preserve">Informes trimestrales: </w:t>
      </w: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muestran los informes trimestrales recibidos de las CPC para 2024, junto con los totales de la Tarea 1 y las Tablas de cumplimiento. En la mayoría de los casos, los totales son iguales o las diferencias son muy pequeñas, excepto en el caso de la Unión Europea, donde los totales difieren ligeramente. </w:t>
      </w:r>
    </w:p>
    <w:p w14:paraId="51F0154E" w14:textId="77777777" w:rsidR="00A47EE5" w:rsidRPr="00946249" w:rsidRDefault="00A47EE5" w:rsidP="00820485">
      <w:pPr>
        <w:tabs>
          <w:tab w:val="left" w:pos="1276"/>
          <w:tab w:val="left" w:pos="1418"/>
          <w:tab w:val="left" w:leader="dot" w:pos="8222"/>
          <w:tab w:val="right" w:pos="8647"/>
        </w:tabs>
        <w:jc w:val="both"/>
        <w:rPr>
          <w:rFonts w:ascii="Cambria" w:hAnsi="Cambria"/>
        </w:rPr>
      </w:pPr>
    </w:p>
    <w:p w14:paraId="6146573C" w14:textId="77777777" w:rsidR="00A47EE5" w:rsidRPr="00946249" w:rsidRDefault="00A47EE5">
      <w:pPr>
        <w:widowControl/>
        <w:autoSpaceDE/>
        <w:autoSpaceDN/>
        <w:adjustRightInd/>
        <w:rPr>
          <w:rFonts w:ascii="Cambria" w:hAnsi="Cambria"/>
        </w:rPr>
      </w:pPr>
    </w:p>
    <w:tbl>
      <w:tblPr>
        <w:tblW w:w="8460" w:type="dxa"/>
        <w:tblLook w:val="04A0" w:firstRow="1" w:lastRow="0" w:firstColumn="1" w:lastColumn="0" w:noHBand="0" w:noVBand="1"/>
      </w:tblPr>
      <w:tblGrid>
        <w:gridCol w:w="1422"/>
        <w:gridCol w:w="822"/>
        <w:gridCol w:w="896"/>
        <w:gridCol w:w="896"/>
        <w:gridCol w:w="896"/>
        <w:gridCol w:w="896"/>
        <w:gridCol w:w="822"/>
        <w:gridCol w:w="822"/>
        <w:gridCol w:w="1213"/>
      </w:tblGrid>
      <w:tr w:rsidR="00A47EE5" w:rsidRPr="00946249" w14:paraId="4A0218A5" w14:textId="77777777" w:rsidTr="006D1DE6">
        <w:trPr>
          <w:trHeight w:val="777"/>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35E1EDA9" w14:textId="77777777" w:rsidR="00A47EE5" w:rsidRPr="00946249" w:rsidRDefault="00A47EE5" w:rsidP="00A47EE5">
            <w:pPr>
              <w:widowControl/>
              <w:autoSpaceDE/>
              <w:autoSpaceDN/>
              <w:adjustRightInd/>
              <w:rPr>
                <w:rFonts w:asciiTheme="majorHAnsi" w:hAnsiTheme="majorHAnsi"/>
                <w:b/>
                <w:i/>
                <w:color w:val="000000"/>
                <w:sz w:val="16"/>
                <w:szCs w:val="16"/>
              </w:rPr>
            </w:pPr>
            <w:r w:rsidRPr="00946249">
              <w:rPr>
                <w:rFonts w:asciiTheme="majorHAnsi" w:hAnsiTheme="majorHAnsi"/>
                <w:b/>
                <w:i/>
                <w:color w:val="000000"/>
                <w:sz w:val="16"/>
                <w:szCs w:val="16"/>
              </w:rPr>
              <w:lastRenderedPageBreak/>
              <w:t>CPC</w:t>
            </w:r>
          </w:p>
        </w:tc>
        <w:tc>
          <w:tcPr>
            <w:tcW w:w="864" w:type="dxa"/>
            <w:tcBorders>
              <w:top w:val="single" w:sz="4" w:space="0" w:color="auto"/>
              <w:left w:val="nil"/>
              <w:bottom w:val="single" w:sz="4" w:space="0" w:color="auto"/>
              <w:right w:val="single" w:sz="4" w:space="0" w:color="auto"/>
            </w:tcBorders>
            <w:vAlign w:val="center"/>
            <w:hideMark/>
          </w:tcPr>
          <w:p w14:paraId="376730BB" w14:textId="7588F6A4"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Cuota de 2024 (t)</w:t>
            </w:r>
          </w:p>
        </w:tc>
        <w:tc>
          <w:tcPr>
            <w:tcW w:w="851" w:type="dxa"/>
            <w:tcBorders>
              <w:top w:val="single" w:sz="4" w:space="0" w:color="auto"/>
              <w:left w:val="nil"/>
              <w:bottom w:val="single" w:sz="4" w:space="0" w:color="auto"/>
              <w:right w:val="single" w:sz="4" w:space="0" w:color="auto"/>
            </w:tcBorders>
            <w:vAlign w:val="center"/>
            <w:hideMark/>
          </w:tcPr>
          <w:p w14:paraId="0CC54297" w14:textId="69B95783"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Capturas en el 1er trimestre</w:t>
            </w:r>
          </w:p>
        </w:tc>
        <w:tc>
          <w:tcPr>
            <w:tcW w:w="864" w:type="dxa"/>
            <w:tcBorders>
              <w:top w:val="single" w:sz="4" w:space="0" w:color="auto"/>
              <w:left w:val="nil"/>
              <w:bottom w:val="single" w:sz="4" w:space="0" w:color="auto"/>
              <w:right w:val="single" w:sz="4" w:space="0" w:color="auto"/>
            </w:tcBorders>
            <w:vAlign w:val="center"/>
            <w:hideMark/>
          </w:tcPr>
          <w:p w14:paraId="0698475E" w14:textId="065F280A"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Capturas en el 2º trimestre</w:t>
            </w:r>
          </w:p>
        </w:tc>
        <w:tc>
          <w:tcPr>
            <w:tcW w:w="864" w:type="dxa"/>
            <w:tcBorders>
              <w:top w:val="single" w:sz="4" w:space="0" w:color="auto"/>
              <w:left w:val="nil"/>
              <w:bottom w:val="single" w:sz="4" w:space="0" w:color="auto"/>
              <w:right w:val="single" w:sz="4" w:space="0" w:color="auto"/>
            </w:tcBorders>
            <w:vAlign w:val="center"/>
            <w:hideMark/>
          </w:tcPr>
          <w:p w14:paraId="1AF69095" w14:textId="0B8FCD3F"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Capturas en el 3er trimestre</w:t>
            </w:r>
          </w:p>
        </w:tc>
        <w:tc>
          <w:tcPr>
            <w:tcW w:w="864" w:type="dxa"/>
            <w:tcBorders>
              <w:top w:val="single" w:sz="4" w:space="0" w:color="auto"/>
              <w:left w:val="nil"/>
              <w:bottom w:val="single" w:sz="4" w:space="0" w:color="auto"/>
              <w:right w:val="single" w:sz="4" w:space="0" w:color="auto"/>
            </w:tcBorders>
            <w:vAlign w:val="center"/>
            <w:hideMark/>
          </w:tcPr>
          <w:p w14:paraId="001556C9" w14:textId="26C1938C"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Capturas en el 4º trimestre</w:t>
            </w:r>
          </w:p>
        </w:tc>
        <w:tc>
          <w:tcPr>
            <w:tcW w:w="864" w:type="dxa"/>
            <w:tcBorders>
              <w:top w:val="single" w:sz="4" w:space="0" w:color="auto"/>
              <w:left w:val="nil"/>
              <w:bottom w:val="single" w:sz="4" w:space="0" w:color="auto"/>
              <w:right w:val="single" w:sz="4" w:space="0" w:color="auto"/>
            </w:tcBorders>
            <w:vAlign w:val="center"/>
            <w:hideMark/>
          </w:tcPr>
          <w:p w14:paraId="4DAF0867" w14:textId="6B463B65" w:rsidR="00A47EE5" w:rsidRPr="00946249" w:rsidRDefault="00A47EE5" w:rsidP="00AA5ADC">
            <w:pPr>
              <w:widowControl/>
              <w:autoSpaceDE/>
              <w:autoSpaceDN/>
              <w:adjustRightInd/>
              <w:jc w:val="center"/>
              <w:rPr>
                <w:rFonts w:asciiTheme="majorHAnsi" w:hAnsiTheme="majorHAnsi"/>
                <w:b/>
                <w:bCs/>
                <w:i/>
                <w:iCs/>
                <w:color w:val="000000"/>
                <w:sz w:val="16"/>
                <w:szCs w:val="16"/>
              </w:rPr>
            </w:pPr>
            <w:r w:rsidRPr="00946249">
              <w:rPr>
                <w:rFonts w:asciiTheme="majorHAnsi" w:hAnsiTheme="majorHAnsi"/>
                <w:b/>
                <w:i/>
                <w:color w:val="000000"/>
                <w:sz w:val="16"/>
                <w:szCs w:val="16"/>
              </w:rPr>
              <w:t>Total 2024</w:t>
            </w:r>
          </w:p>
        </w:tc>
        <w:tc>
          <w:tcPr>
            <w:tcW w:w="864" w:type="dxa"/>
            <w:tcBorders>
              <w:top w:val="single" w:sz="4" w:space="0" w:color="auto"/>
              <w:left w:val="nil"/>
              <w:bottom w:val="single" w:sz="4" w:space="0" w:color="auto"/>
              <w:right w:val="single" w:sz="4" w:space="0" w:color="auto"/>
            </w:tcBorders>
            <w:vAlign w:val="center"/>
            <w:hideMark/>
          </w:tcPr>
          <w:p w14:paraId="4EE237C7" w14:textId="00619439"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Tarea 1 2024</w:t>
            </w:r>
          </w:p>
        </w:tc>
        <w:tc>
          <w:tcPr>
            <w:tcW w:w="1003" w:type="dxa"/>
            <w:tcBorders>
              <w:top w:val="single" w:sz="4" w:space="0" w:color="auto"/>
              <w:left w:val="nil"/>
              <w:bottom w:val="single" w:sz="4" w:space="0" w:color="auto"/>
              <w:right w:val="single" w:sz="4" w:space="0" w:color="auto"/>
            </w:tcBorders>
            <w:vAlign w:val="center"/>
            <w:hideMark/>
          </w:tcPr>
          <w:p w14:paraId="5782A508" w14:textId="77777777" w:rsidR="00A47EE5" w:rsidRPr="00946249" w:rsidRDefault="00A47EE5" w:rsidP="00AA5ADC">
            <w:pPr>
              <w:widowControl/>
              <w:autoSpaceDE/>
              <w:autoSpaceDN/>
              <w:adjustRightInd/>
              <w:jc w:val="center"/>
              <w:rPr>
                <w:rFonts w:asciiTheme="majorHAnsi" w:hAnsiTheme="majorHAnsi"/>
                <w:b/>
                <w:i/>
                <w:color w:val="000000"/>
                <w:sz w:val="16"/>
                <w:szCs w:val="16"/>
              </w:rPr>
            </w:pPr>
            <w:r w:rsidRPr="00946249">
              <w:rPr>
                <w:rFonts w:asciiTheme="majorHAnsi" w:hAnsiTheme="majorHAnsi"/>
                <w:b/>
                <w:i/>
                <w:color w:val="000000"/>
                <w:sz w:val="16"/>
                <w:szCs w:val="16"/>
              </w:rPr>
              <w:t>Tablas de cumplimiento</w:t>
            </w:r>
          </w:p>
        </w:tc>
      </w:tr>
      <w:tr w:rsidR="00A47EE5" w:rsidRPr="00946249" w14:paraId="46BA7C62"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4D784BA1" w14:textId="77777777"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Argelia</w:t>
            </w:r>
          </w:p>
        </w:tc>
        <w:tc>
          <w:tcPr>
            <w:tcW w:w="864" w:type="dxa"/>
            <w:tcBorders>
              <w:top w:val="nil"/>
              <w:left w:val="nil"/>
              <w:bottom w:val="single" w:sz="4" w:space="0" w:color="auto"/>
              <w:right w:val="single" w:sz="4" w:space="0" w:color="auto"/>
            </w:tcBorders>
            <w:vAlign w:val="center"/>
            <w:hideMark/>
          </w:tcPr>
          <w:p w14:paraId="1AFA4997" w14:textId="7777777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472,33</w:t>
            </w:r>
          </w:p>
        </w:tc>
        <w:tc>
          <w:tcPr>
            <w:tcW w:w="851" w:type="dxa"/>
            <w:tcBorders>
              <w:top w:val="nil"/>
              <w:left w:val="nil"/>
              <w:bottom w:val="single" w:sz="4" w:space="0" w:color="auto"/>
              <w:right w:val="single" w:sz="4" w:space="0" w:color="auto"/>
            </w:tcBorders>
            <w:vAlign w:val="center"/>
            <w:hideMark/>
          </w:tcPr>
          <w:p w14:paraId="0EE5E121" w14:textId="50BE305A"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24</w:t>
            </w:r>
            <w:r w:rsidR="0092146B" w:rsidRPr="00946249">
              <w:rPr>
                <w:rFonts w:asciiTheme="majorHAnsi" w:hAnsiTheme="majorHAnsi"/>
                <w:color w:val="000000"/>
                <w:sz w:val="16"/>
                <w:szCs w:val="16"/>
              </w:rPr>
              <w:t>,</w:t>
            </w:r>
            <w:r w:rsidRPr="00946249">
              <w:rPr>
                <w:rFonts w:asciiTheme="majorHAnsi" w:hAnsiTheme="majorHAnsi"/>
                <w:color w:val="000000"/>
                <w:sz w:val="16"/>
                <w:szCs w:val="16"/>
              </w:rPr>
              <w:t>25</w:t>
            </w:r>
          </w:p>
        </w:tc>
        <w:tc>
          <w:tcPr>
            <w:tcW w:w="864" w:type="dxa"/>
            <w:tcBorders>
              <w:top w:val="nil"/>
              <w:left w:val="nil"/>
              <w:bottom w:val="single" w:sz="4" w:space="0" w:color="auto"/>
              <w:right w:val="single" w:sz="4" w:space="0" w:color="auto"/>
            </w:tcBorders>
            <w:vAlign w:val="center"/>
            <w:hideMark/>
          </w:tcPr>
          <w:p w14:paraId="23FA561A" w14:textId="7E84818C"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205</w:t>
            </w:r>
            <w:r w:rsidR="0092146B" w:rsidRPr="00946249">
              <w:rPr>
                <w:rFonts w:asciiTheme="majorHAnsi" w:hAnsiTheme="majorHAnsi"/>
                <w:color w:val="000000"/>
                <w:sz w:val="16"/>
                <w:szCs w:val="16"/>
              </w:rPr>
              <w:t>,</w:t>
            </w:r>
            <w:r w:rsidRPr="00946249">
              <w:rPr>
                <w:rFonts w:asciiTheme="majorHAnsi" w:hAnsiTheme="majorHAnsi"/>
                <w:color w:val="000000"/>
                <w:sz w:val="16"/>
                <w:szCs w:val="16"/>
              </w:rPr>
              <w:t>85</w:t>
            </w:r>
          </w:p>
        </w:tc>
        <w:tc>
          <w:tcPr>
            <w:tcW w:w="864" w:type="dxa"/>
            <w:tcBorders>
              <w:top w:val="nil"/>
              <w:left w:val="nil"/>
              <w:bottom w:val="single" w:sz="4" w:space="0" w:color="auto"/>
              <w:right w:val="single" w:sz="4" w:space="0" w:color="auto"/>
            </w:tcBorders>
            <w:vAlign w:val="center"/>
            <w:hideMark/>
          </w:tcPr>
          <w:p w14:paraId="55C5F63D" w14:textId="6723EFD6"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211</w:t>
            </w:r>
            <w:r w:rsidR="0092146B" w:rsidRPr="00946249">
              <w:rPr>
                <w:rFonts w:asciiTheme="majorHAnsi" w:hAnsiTheme="majorHAnsi"/>
                <w:color w:val="000000"/>
                <w:sz w:val="16"/>
                <w:szCs w:val="16"/>
              </w:rPr>
              <w:t>,</w:t>
            </w:r>
            <w:r w:rsidRPr="00946249">
              <w:rPr>
                <w:rFonts w:asciiTheme="majorHAnsi" w:hAnsiTheme="majorHAnsi"/>
                <w:color w:val="000000"/>
                <w:sz w:val="16"/>
                <w:szCs w:val="16"/>
              </w:rPr>
              <w:t>90</w:t>
            </w:r>
          </w:p>
        </w:tc>
        <w:tc>
          <w:tcPr>
            <w:tcW w:w="864" w:type="dxa"/>
            <w:tcBorders>
              <w:top w:val="nil"/>
              <w:left w:val="nil"/>
              <w:bottom w:val="single" w:sz="4" w:space="0" w:color="auto"/>
              <w:right w:val="single" w:sz="4" w:space="0" w:color="auto"/>
            </w:tcBorders>
            <w:vAlign w:val="center"/>
            <w:hideMark/>
          </w:tcPr>
          <w:p w14:paraId="2684775A" w14:textId="7992C534"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30</w:t>
            </w:r>
            <w:r w:rsidR="0092146B" w:rsidRPr="00946249">
              <w:rPr>
                <w:rFonts w:asciiTheme="majorHAnsi" w:hAnsiTheme="majorHAnsi"/>
                <w:color w:val="000000"/>
                <w:sz w:val="16"/>
                <w:szCs w:val="16"/>
              </w:rPr>
              <w:t>,</w:t>
            </w:r>
            <w:r w:rsidRPr="00946249">
              <w:rPr>
                <w:rFonts w:asciiTheme="majorHAnsi" w:hAnsiTheme="majorHAnsi"/>
                <w:color w:val="000000"/>
                <w:sz w:val="16"/>
                <w:szCs w:val="16"/>
              </w:rPr>
              <w:t>30</w:t>
            </w:r>
          </w:p>
        </w:tc>
        <w:tc>
          <w:tcPr>
            <w:tcW w:w="864" w:type="dxa"/>
            <w:tcBorders>
              <w:top w:val="nil"/>
              <w:left w:val="nil"/>
              <w:bottom w:val="single" w:sz="4" w:space="0" w:color="auto"/>
              <w:right w:val="single" w:sz="4" w:space="0" w:color="auto"/>
            </w:tcBorders>
            <w:vAlign w:val="center"/>
            <w:hideMark/>
          </w:tcPr>
          <w:p w14:paraId="42E36E78" w14:textId="4F9C56DA"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472</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30</w:t>
            </w:r>
          </w:p>
        </w:tc>
        <w:tc>
          <w:tcPr>
            <w:tcW w:w="864" w:type="dxa"/>
            <w:tcBorders>
              <w:top w:val="nil"/>
              <w:left w:val="nil"/>
              <w:bottom w:val="single" w:sz="4" w:space="0" w:color="auto"/>
              <w:right w:val="single" w:sz="4" w:space="0" w:color="auto"/>
            </w:tcBorders>
            <w:vAlign w:val="center"/>
            <w:hideMark/>
          </w:tcPr>
          <w:p w14:paraId="2A11C2F8" w14:textId="534B252C"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472</w:t>
            </w:r>
            <w:r w:rsidR="0092146B" w:rsidRPr="00946249">
              <w:rPr>
                <w:rFonts w:asciiTheme="majorHAnsi" w:hAnsiTheme="majorHAnsi"/>
                <w:color w:val="000000"/>
                <w:sz w:val="16"/>
                <w:szCs w:val="16"/>
              </w:rPr>
              <w:t>,</w:t>
            </w:r>
            <w:r w:rsidRPr="00946249">
              <w:rPr>
                <w:rFonts w:asciiTheme="majorHAnsi" w:hAnsiTheme="majorHAnsi"/>
                <w:color w:val="000000"/>
                <w:sz w:val="16"/>
                <w:szCs w:val="16"/>
              </w:rPr>
              <w:t>30</w:t>
            </w:r>
          </w:p>
        </w:tc>
        <w:tc>
          <w:tcPr>
            <w:tcW w:w="1003" w:type="dxa"/>
            <w:tcBorders>
              <w:top w:val="nil"/>
              <w:left w:val="nil"/>
              <w:bottom w:val="single" w:sz="4" w:space="0" w:color="auto"/>
              <w:right w:val="single" w:sz="4" w:space="0" w:color="auto"/>
            </w:tcBorders>
            <w:vAlign w:val="center"/>
            <w:hideMark/>
          </w:tcPr>
          <w:p w14:paraId="0671619D" w14:textId="53333DB5"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472</w:t>
            </w:r>
            <w:r w:rsidR="0092146B" w:rsidRPr="00946249">
              <w:rPr>
                <w:rFonts w:asciiTheme="majorHAnsi" w:hAnsiTheme="majorHAnsi"/>
                <w:color w:val="000000"/>
                <w:sz w:val="16"/>
                <w:szCs w:val="16"/>
              </w:rPr>
              <w:t>,</w:t>
            </w:r>
            <w:r w:rsidRPr="00946249">
              <w:rPr>
                <w:rFonts w:asciiTheme="majorHAnsi" w:hAnsiTheme="majorHAnsi"/>
                <w:color w:val="000000"/>
                <w:sz w:val="16"/>
                <w:szCs w:val="16"/>
              </w:rPr>
              <w:t>27</w:t>
            </w:r>
          </w:p>
        </w:tc>
      </w:tr>
      <w:tr w:rsidR="00A47EE5" w:rsidRPr="00946249" w14:paraId="03809BD1"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7B4285DA" w14:textId="4E041581"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UE</w:t>
            </w:r>
          </w:p>
        </w:tc>
        <w:tc>
          <w:tcPr>
            <w:tcW w:w="864" w:type="dxa"/>
            <w:tcBorders>
              <w:top w:val="nil"/>
              <w:left w:val="nil"/>
              <w:bottom w:val="single" w:sz="4" w:space="0" w:color="auto"/>
              <w:right w:val="single" w:sz="4" w:space="0" w:color="auto"/>
            </w:tcBorders>
            <w:vAlign w:val="center"/>
            <w:hideMark/>
          </w:tcPr>
          <w:p w14:paraId="4215FC9F" w14:textId="7777777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6363,63</w:t>
            </w:r>
          </w:p>
        </w:tc>
        <w:tc>
          <w:tcPr>
            <w:tcW w:w="851" w:type="dxa"/>
            <w:tcBorders>
              <w:top w:val="nil"/>
              <w:left w:val="nil"/>
              <w:bottom w:val="single" w:sz="4" w:space="0" w:color="auto"/>
              <w:right w:val="single" w:sz="4" w:space="0" w:color="auto"/>
            </w:tcBorders>
            <w:vAlign w:val="center"/>
            <w:hideMark/>
          </w:tcPr>
          <w:p w14:paraId="6089467D" w14:textId="117897AE"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0</w:t>
            </w:r>
            <w:r w:rsidR="0092146B" w:rsidRPr="00946249">
              <w:rPr>
                <w:rFonts w:asciiTheme="majorHAnsi" w:hAnsiTheme="majorHAnsi"/>
                <w:color w:val="000000"/>
                <w:sz w:val="16"/>
                <w:szCs w:val="16"/>
              </w:rPr>
              <w:t>,</w:t>
            </w:r>
            <w:r w:rsidRPr="00946249">
              <w:rPr>
                <w:rFonts w:asciiTheme="majorHAnsi" w:hAnsiTheme="majorHAnsi"/>
                <w:color w:val="000000"/>
                <w:sz w:val="16"/>
                <w:szCs w:val="16"/>
              </w:rPr>
              <w:t>00</w:t>
            </w:r>
          </w:p>
        </w:tc>
        <w:tc>
          <w:tcPr>
            <w:tcW w:w="864" w:type="dxa"/>
            <w:tcBorders>
              <w:top w:val="nil"/>
              <w:left w:val="nil"/>
              <w:bottom w:val="single" w:sz="4" w:space="0" w:color="auto"/>
              <w:right w:val="single" w:sz="4" w:space="0" w:color="auto"/>
            </w:tcBorders>
            <w:vAlign w:val="center"/>
            <w:hideMark/>
          </w:tcPr>
          <w:p w14:paraId="0D620460" w14:textId="2196F0F0"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1489</w:t>
            </w:r>
            <w:r w:rsidR="0092146B" w:rsidRPr="00946249">
              <w:rPr>
                <w:rFonts w:asciiTheme="majorHAnsi" w:hAnsiTheme="majorHAnsi"/>
                <w:color w:val="000000"/>
                <w:sz w:val="16"/>
                <w:szCs w:val="16"/>
              </w:rPr>
              <w:t>,</w:t>
            </w:r>
            <w:r w:rsidRPr="00946249">
              <w:rPr>
                <w:rFonts w:asciiTheme="majorHAnsi" w:hAnsiTheme="majorHAnsi"/>
                <w:color w:val="000000"/>
                <w:sz w:val="16"/>
                <w:szCs w:val="16"/>
              </w:rPr>
              <w:t>80</w:t>
            </w:r>
          </w:p>
        </w:tc>
        <w:tc>
          <w:tcPr>
            <w:tcW w:w="864" w:type="dxa"/>
            <w:tcBorders>
              <w:top w:val="nil"/>
              <w:left w:val="nil"/>
              <w:bottom w:val="single" w:sz="4" w:space="0" w:color="auto"/>
              <w:right w:val="single" w:sz="4" w:space="0" w:color="auto"/>
            </w:tcBorders>
            <w:vAlign w:val="center"/>
            <w:hideMark/>
          </w:tcPr>
          <w:p w14:paraId="044E9DFC" w14:textId="190F4064"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3058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19</w:t>
            </w:r>
          </w:p>
        </w:tc>
        <w:tc>
          <w:tcPr>
            <w:tcW w:w="864" w:type="dxa"/>
            <w:tcBorders>
              <w:top w:val="nil"/>
              <w:left w:val="nil"/>
              <w:bottom w:val="single" w:sz="4" w:space="0" w:color="auto"/>
              <w:right w:val="single" w:sz="4" w:space="0" w:color="auto"/>
            </w:tcBorders>
            <w:vAlign w:val="center"/>
            <w:hideMark/>
          </w:tcPr>
          <w:p w14:paraId="570F8E7C" w14:textId="411130A0"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939</w:t>
            </w:r>
            <w:r w:rsidR="0092146B" w:rsidRPr="00946249">
              <w:rPr>
                <w:rFonts w:asciiTheme="majorHAnsi" w:hAnsiTheme="majorHAnsi"/>
                <w:color w:val="000000"/>
                <w:sz w:val="16"/>
                <w:szCs w:val="16"/>
              </w:rPr>
              <w:t>,</w:t>
            </w:r>
            <w:r w:rsidRPr="00946249">
              <w:rPr>
                <w:rFonts w:asciiTheme="majorHAnsi" w:hAnsiTheme="majorHAnsi"/>
                <w:color w:val="000000"/>
                <w:sz w:val="16"/>
                <w:szCs w:val="16"/>
              </w:rPr>
              <w:t>45</w:t>
            </w:r>
          </w:p>
        </w:tc>
        <w:tc>
          <w:tcPr>
            <w:tcW w:w="864" w:type="dxa"/>
            <w:tcBorders>
              <w:top w:val="nil"/>
              <w:left w:val="nil"/>
              <w:bottom w:val="single" w:sz="4" w:space="0" w:color="auto"/>
              <w:right w:val="single" w:sz="4" w:space="0" w:color="auto"/>
            </w:tcBorders>
            <w:vAlign w:val="center"/>
            <w:hideMark/>
          </w:tcPr>
          <w:p w14:paraId="0AD9FEE5" w14:textId="0793983B"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5487</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43</w:t>
            </w:r>
          </w:p>
        </w:tc>
        <w:tc>
          <w:tcPr>
            <w:tcW w:w="864" w:type="dxa"/>
            <w:tcBorders>
              <w:top w:val="nil"/>
              <w:left w:val="nil"/>
              <w:bottom w:val="single" w:sz="4" w:space="0" w:color="auto"/>
              <w:right w:val="single" w:sz="4" w:space="0" w:color="auto"/>
            </w:tcBorders>
            <w:vAlign w:val="center"/>
            <w:hideMark/>
          </w:tcPr>
          <w:p w14:paraId="6814547B" w14:textId="77EC670E"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5308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34</w:t>
            </w:r>
          </w:p>
        </w:tc>
        <w:tc>
          <w:tcPr>
            <w:tcW w:w="1003" w:type="dxa"/>
            <w:tcBorders>
              <w:top w:val="nil"/>
              <w:left w:val="nil"/>
              <w:bottom w:val="single" w:sz="4" w:space="0" w:color="auto"/>
              <w:right w:val="single" w:sz="4" w:space="0" w:color="auto"/>
            </w:tcBorders>
            <w:vAlign w:val="center"/>
            <w:hideMark/>
          </w:tcPr>
          <w:p w14:paraId="6EF9E2D9" w14:textId="32FE0A2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5609</w:t>
            </w:r>
            <w:r w:rsidR="0092146B" w:rsidRPr="00946249">
              <w:rPr>
                <w:rFonts w:asciiTheme="majorHAnsi" w:hAnsiTheme="majorHAnsi"/>
                <w:color w:val="000000"/>
                <w:sz w:val="16"/>
                <w:szCs w:val="16"/>
              </w:rPr>
              <w:t>,</w:t>
            </w:r>
            <w:r w:rsidRPr="00946249">
              <w:rPr>
                <w:rFonts w:asciiTheme="majorHAnsi" w:hAnsiTheme="majorHAnsi"/>
                <w:color w:val="000000"/>
                <w:sz w:val="16"/>
                <w:szCs w:val="16"/>
              </w:rPr>
              <w:t>32</w:t>
            </w:r>
          </w:p>
        </w:tc>
      </w:tr>
      <w:tr w:rsidR="00A47EE5" w:rsidRPr="00946249" w14:paraId="4031771D"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77E65380" w14:textId="77777777"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Marruecos</w:t>
            </w:r>
          </w:p>
        </w:tc>
        <w:tc>
          <w:tcPr>
            <w:tcW w:w="864" w:type="dxa"/>
            <w:tcBorders>
              <w:top w:val="nil"/>
              <w:left w:val="nil"/>
              <w:bottom w:val="single" w:sz="4" w:space="0" w:color="auto"/>
              <w:right w:val="single" w:sz="4" w:space="0" w:color="auto"/>
            </w:tcBorders>
            <w:vAlign w:val="center"/>
            <w:hideMark/>
          </w:tcPr>
          <w:p w14:paraId="5A1E46A4" w14:textId="7777777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896,47</w:t>
            </w:r>
          </w:p>
        </w:tc>
        <w:tc>
          <w:tcPr>
            <w:tcW w:w="851" w:type="dxa"/>
            <w:tcBorders>
              <w:top w:val="nil"/>
              <w:left w:val="nil"/>
              <w:bottom w:val="single" w:sz="4" w:space="0" w:color="auto"/>
              <w:right w:val="single" w:sz="4" w:space="0" w:color="auto"/>
            </w:tcBorders>
            <w:vAlign w:val="center"/>
            <w:hideMark/>
          </w:tcPr>
          <w:p w14:paraId="5688E635" w14:textId="4401C390"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78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33</w:t>
            </w:r>
          </w:p>
        </w:tc>
        <w:tc>
          <w:tcPr>
            <w:tcW w:w="864" w:type="dxa"/>
            <w:tcBorders>
              <w:top w:val="nil"/>
              <w:left w:val="nil"/>
              <w:bottom w:val="single" w:sz="4" w:space="0" w:color="auto"/>
              <w:right w:val="single" w:sz="4" w:space="0" w:color="auto"/>
            </w:tcBorders>
            <w:vAlign w:val="center"/>
            <w:hideMark/>
          </w:tcPr>
          <w:p w14:paraId="5CF456EB" w14:textId="41FF9DD1"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155</w:t>
            </w:r>
            <w:r w:rsidR="0092146B" w:rsidRPr="00946249">
              <w:rPr>
                <w:rFonts w:asciiTheme="majorHAnsi" w:hAnsiTheme="majorHAnsi"/>
                <w:color w:val="000000"/>
                <w:sz w:val="16"/>
                <w:szCs w:val="16"/>
              </w:rPr>
              <w:t>,</w:t>
            </w:r>
            <w:r w:rsidRPr="00946249">
              <w:rPr>
                <w:rFonts w:asciiTheme="majorHAnsi" w:hAnsiTheme="majorHAnsi"/>
                <w:color w:val="000000"/>
                <w:sz w:val="16"/>
                <w:szCs w:val="16"/>
              </w:rPr>
              <w:t>78</w:t>
            </w:r>
          </w:p>
        </w:tc>
        <w:tc>
          <w:tcPr>
            <w:tcW w:w="864" w:type="dxa"/>
            <w:tcBorders>
              <w:top w:val="nil"/>
              <w:left w:val="nil"/>
              <w:bottom w:val="single" w:sz="4" w:space="0" w:color="auto"/>
              <w:right w:val="single" w:sz="4" w:space="0" w:color="auto"/>
            </w:tcBorders>
            <w:vAlign w:val="center"/>
            <w:hideMark/>
          </w:tcPr>
          <w:p w14:paraId="24B76325" w14:textId="3116D8B3"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45</w:t>
            </w:r>
            <w:r w:rsidR="0092146B" w:rsidRPr="00946249">
              <w:rPr>
                <w:rFonts w:asciiTheme="majorHAnsi" w:hAnsiTheme="majorHAnsi"/>
                <w:color w:val="000000"/>
                <w:sz w:val="16"/>
                <w:szCs w:val="16"/>
              </w:rPr>
              <w:t>,</w:t>
            </w:r>
            <w:r w:rsidRPr="00946249">
              <w:rPr>
                <w:rFonts w:asciiTheme="majorHAnsi" w:hAnsiTheme="majorHAnsi"/>
                <w:color w:val="000000"/>
                <w:sz w:val="16"/>
                <w:szCs w:val="16"/>
              </w:rPr>
              <w:t>78</w:t>
            </w:r>
          </w:p>
        </w:tc>
        <w:tc>
          <w:tcPr>
            <w:tcW w:w="864" w:type="dxa"/>
            <w:tcBorders>
              <w:top w:val="nil"/>
              <w:left w:val="nil"/>
              <w:bottom w:val="single" w:sz="4" w:space="0" w:color="auto"/>
              <w:right w:val="single" w:sz="4" w:space="0" w:color="auto"/>
            </w:tcBorders>
            <w:vAlign w:val="center"/>
            <w:hideMark/>
          </w:tcPr>
          <w:p w14:paraId="2A6339E4" w14:textId="6B0E9B42"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606</w:t>
            </w:r>
            <w:r w:rsidR="0092146B" w:rsidRPr="00946249">
              <w:rPr>
                <w:rFonts w:asciiTheme="majorHAnsi" w:hAnsiTheme="majorHAnsi"/>
                <w:color w:val="000000"/>
                <w:sz w:val="16"/>
                <w:szCs w:val="16"/>
              </w:rPr>
              <w:t>,</w:t>
            </w:r>
            <w:r w:rsidRPr="00946249">
              <w:rPr>
                <w:rFonts w:asciiTheme="majorHAnsi" w:hAnsiTheme="majorHAnsi"/>
                <w:color w:val="000000"/>
                <w:sz w:val="16"/>
                <w:szCs w:val="16"/>
              </w:rPr>
              <w:t>46</w:t>
            </w:r>
          </w:p>
        </w:tc>
        <w:tc>
          <w:tcPr>
            <w:tcW w:w="864" w:type="dxa"/>
            <w:tcBorders>
              <w:top w:val="nil"/>
              <w:left w:val="nil"/>
              <w:bottom w:val="single" w:sz="4" w:space="0" w:color="auto"/>
              <w:right w:val="single" w:sz="4" w:space="0" w:color="auto"/>
            </w:tcBorders>
            <w:vAlign w:val="center"/>
            <w:hideMark/>
          </w:tcPr>
          <w:p w14:paraId="3BB0A330" w14:textId="63E1B590"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886</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35</w:t>
            </w:r>
          </w:p>
        </w:tc>
        <w:tc>
          <w:tcPr>
            <w:tcW w:w="864" w:type="dxa"/>
            <w:tcBorders>
              <w:top w:val="nil"/>
              <w:left w:val="nil"/>
              <w:bottom w:val="single" w:sz="4" w:space="0" w:color="auto"/>
              <w:right w:val="single" w:sz="4" w:space="0" w:color="auto"/>
            </w:tcBorders>
            <w:vAlign w:val="center"/>
            <w:hideMark/>
          </w:tcPr>
          <w:p w14:paraId="02714D98" w14:textId="547C5986"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896</w:t>
            </w:r>
            <w:r w:rsidR="0092146B" w:rsidRPr="00946249">
              <w:rPr>
                <w:rFonts w:asciiTheme="majorHAnsi" w:hAnsiTheme="majorHAnsi"/>
                <w:color w:val="000000"/>
                <w:sz w:val="16"/>
                <w:szCs w:val="16"/>
              </w:rPr>
              <w:t>,</w:t>
            </w:r>
            <w:r w:rsidRPr="00946249">
              <w:rPr>
                <w:rFonts w:asciiTheme="majorHAnsi" w:hAnsiTheme="majorHAnsi"/>
                <w:color w:val="000000"/>
                <w:sz w:val="16"/>
                <w:szCs w:val="16"/>
              </w:rPr>
              <w:t>47</w:t>
            </w:r>
          </w:p>
        </w:tc>
        <w:tc>
          <w:tcPr>
            <w:tcW w:w="1003" w:type="dxa"/>
            <w:tcBorders>
              <w:top w:val="nil"/>
              <w:left w:val="nil"/>
              <w:bottom w:val="single" w:sz="4" w:space="0" w:color="auto"/>
              <w:right w:val="single" w:sz="4" w:space="0" w:color="auto"/>
            </w:tcBorders>
            <w:vAlign w:val="center"/>
            <w:hideMark/>
          </w:tcPr>
          <w:p w14:paraId="4FBA7BF0" w14:textId="3163E76E"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896</w:t>
            </w:r>
            <w:r w:rsidR="0092146B" w:rsidRPr="00946249">
              <w:rPr>
                <w:rFonts w:asciiTheme="majorHAnsi" w:hAnsiTheme="majorHAnsi"/>
                <w:color w:val="000000"/>
                <w:sz w:val="16"/>
                <w:szCs w:val="16"/>
              </w:rPr>
              <w:t>,</w:t>
            </w:r>
            <w:r w:rsidRPr="00946249">
              <w:rPr>
                <w:rFonts w:asciiTheme="majorHAnsi" w:hAnsiTheme="majorHAnsi"/>
                <w:color w:val="000000"/>
                <w:sz w:val="16"/>
                <w:szCs w:val="16"/>
              </w:rPr>
              <w:t>47</w:t>
            </w:r>
          </w:p>
        </w:tc>
      </w:tr>
      <w:tr w:rsidR="00A47EE5" w:rsidRPr="00946249" w14:paraId="0798F7AB"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44B3649C" w14:textId="77777777"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Túnez</w:t>
            </w:r>
          </w:p>
        </w:tc>
        <w:tc>
          <w:tcPr>
            <w:tcW w:w="864" w:type="dxa"/>
            <w:tcBorders>
              <w:top w:val="nil"/>
              <w:left w:val="nil"/>
              <w:bottom w:val="single" w:sz="4" w:space="0" w:color="auto"/>
              <w:right w:val="single" w:sz="4" w:space="0" w:color="auto"/>
            </w:tcBorders>
            <w:vAlign w:val="center"/>
            <w:hideMark/>
          </w:tcPr>
          <w:p w14:paraId="31277CAE" w14:textId="7777777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865,33</w:t>
            </w:r>
          </w:p>
        </w:tc>
        <w:tc>
          <w:tcPr>
            <w:tcW w:w="851" w:type="dxa"/>
            <w:tcBorders>
              <w:top w:val="nil"/>
              <w:left w:val="nil"/>
              <w:bottom w:val="single" w:sz="4" w:space="0" w:color="auto"/>
              <w:right w:val="single" w:sz="4" w:space="0" w:color="auto"/>
            </w:tcBorders>
            <w:vAlign w:val="center"/>
            <w:hideMark/>
          </w:tcPr>
          <w:p w14:paraId="52E6E80A" w14:textId="4D360DD9"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0</w:t>
            </w:r>
            <w:r w:rsidR="0092146B" w:rsidRPr="00946249">
              <w:rPr>
                <w:rFonts w:asciiTheme="majorHAnsi" w:hAnsiTheme="majorHAnsi"/>
                <w:color w:val="000000"/>
                <w:sz w:val="16"/>
                <w:szCs w:val="16"/>
              </w:rPr>
              <w:t>,</w:t>
            </w:r>
            <w:r w:rsidRPr="00946249">
              <w:rPr>
                <w:rFonts w:asciiTheme="majorHAnsi" w:hAnsiTheme="majorHAnsi"/>
                <w:color w:val="000000"/>
                <w:sz w:val="16"/>
                <w:szCs w:val="16"/>
              </w:rPr>
              <w:t>00</w:t>
            </w:r>
          </w:p>
        </w:tc>
        <w:tc>
          <w:tcPr>
            <w:tcW w:w="864" w:type="dxa"/>
            <w:tcBorders>
              <w:top w:val="nil"/>
              <w:left w:val="nil"/>
              <w:bottom w:val="single" w:sz="4" w:space="0" w:color="auto"/>
              <w:right w:val="single" w:sz="4" w:space="0" w:color="auto"/>
            </w:tcBorders>
            <w:vAlign w:val="center"/>
            <w:hideMark/>
          </w:tcPr>
          <w:p w14:paraId="7F60B6BF" w14:textId="6F3D7A10"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189</w:t>
            </w:r>
            <w:r w:rsidR="0092146B" w:rsidRPr="00946249">
              <w:rPr>
                <w:rFonts w:asciiTheme="majorHAnsi" w:hAnsiTheme="majorHAnsi"/>
                <w:color w:val="000000"/>
                <w:sz w:val="16"/>
                <w:szCs w:val="16"/>
              </w:rPr>
              <w:t>,</w:t>
            </w:r>
            <w:r w:rsidRPr="00946249">
              <w:rPr>
                <w:rFonts w:asciiTheme="majorHAnsi" w:hAnsiTheme="majorHAnsi"/>
                <w:color w:val="000000"/>
                <w:sz w:val="16"/>
                <w:szCs w:val="16"/>
              </w:rPr>
              <w:t>97</w:t>
            </w:r>
          </w:p>
        </w:tc>
        <w:tc>
          <w:tcPr>
            <w:tcW w:w="864" w:type="dxa"/>
            <w:tcBorders>
              <w:top w:val="nil"/>
              <w:left w:val="nil"/>
              <w:bottom w:val="single" w:sz="4" w:space="0" w:color="auto"/>
              <w:right w:val="single" w:sz="4" w:space="0" w:color="auto"/>
            </w:tcBorders>
            <w:vAlign w:val="center"/>
            <w:hideMark/>
          </w:tcPr>
          <w:p w14:paraId="3C4FCBE7" w14:textId="78EC8586"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501</w:t>
            </w:r>
            <w:r w:rsidR="0092146B" w:rsidRPr="00946249">
              <w:rPr>
                <w:rFonts w:asciiTheme="majorHAnsi" w:hAnsiTheme="majorHAnsi"/>
                <w:color w:val="000000"/>
                <w:sz w:val="16"/>
                <w:szCs w:val="16"/>
              </w:rPr>
              <w:t>,</w:t>
            </w:r>
            <w:r w:rsidRPr="00946249">
              <w:rPr>
                <w:rFonts w:asciiTheme="majorHAnsi" w:hAnsiTheme="majorHAnsi"/>
                <w:color w:val="000000"/>
                <w:sz w:val="16"/>
                <w:szCs w:val="16"/>
              </w:rPr>
              <w:t>67</w:t>
            </w:r>
          </w:p>
        </w:tc>
        <w:tc>
          <w:tcPr>
            <w:tcW w:w="864" w:type="dxa"/>
            <w:tcBorders>
              <w:top w:val="nil"/>
              <w:left w:val="nil"/>
              <w:bottom w:val="single" w:sz="4" w:space="0" w:color="auto"/>
              <w:right w:val="single" w:sz="4" w:space="0" w:color="auto"/>
            </w:tcBorders>
            <w:vAlign w:val="center"/>
            <w:hideMark/>
          </w:tcPr>
          <w:p w14:paraId="5C4E22F9" w14:textId="2AA8B9EC"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106</w:t>
            </w:r>
            <w:r w:rsidR="0092146B" w:rsidRPr="00946249">
              <w:rPr>
                <w:rFonts w:asciiTheme="majorHAnsi" w:hAnsiTheme="majorHAnsi"/>
                <w:color w:val="000000"/>
                <w:sz w:val="16"/>
                <w:szCs w:val="16"/>
              </w:rPr>
              <w:t>,</w:t>
            </w:r>
            <w:r w:rsidRPr="00946249">
              <w:rPr>
                <w:rFonts w:asciiTheme="majorHAnsi" w:hAnsiTheme="majorHAnsi"/>
                <w:color w:val="000000"/>
                <w:sz w:val="16"/>
                <w:szCs w:val="16"/>
              </w:rPr>
              <w:t>88</w:t>
            </w:r>
          </w:p>
        </w:tc>
        <w:tc>
          <w:tcPr>
            <w:tcW w:w="864" w:type="dxa"/>
            <w:tcBorders>
              <w:top w:val="nil"/>
              <w:left w:val="nil"/>
              <w:bottom w:val="single" w:sz="4" w:space="0" w:color="auto"/>
              <w:right w:val="single" w:sz="4" w:space="0" w:color="auto"/>
            </w:tcBorders>
            <w:vAlign w:val="center"/>
            <w:hideMark/>
          </w:tcPr>
          <w:p w14:paraId="3CA0A44A" w14:textId="35D163C3"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798</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52</w:t>
            </w:r>
          </w:p>
        </w:tc>
        <w:tc>
          <w:tcPr>
            <w:tcW w:w="864" w:type="dxa"/>
            <w:tcBorders>
              <w:top w:val="nil"/>
              <w:left w:val="nil"/>
              <w:bottom w:val="single" w:sz="4" w:space="0" w:color="auto"/>
              <w:right w:val="single" w:sz="4" w:space="0" w:color="auto"/>
            </w:tcBorders>
            <w:vAlign w:val="center"/>
            <w:hideMark/>
          </w:tcPr>
          <w:p w14:paraId="79CB920E" w14:textId="6B431945"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798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52</w:t>
            </w:r>
          </w:p>
        </w:tc>
        <w:tc>
          <w:tcPr>
            <w:tcW w:w="1003" w:type="dxa"/>
            <w:tcBorders>
              <w:top w:val="nil"/>
              <w:left w:val="nil"/>
              <w:bottom w:val="single" w:sz="4" w:space="0" w:color="auto"/>
              <w:right w:val="single" w:sz="4" w:space="0" w:color="auto"/>
            </w:tcBorders>
            <w:vAlign w:val="center"/>
            <w:hideMark/>
          </w:tcPr>
          <w:p w14:paraId="11AF27DD" w14:textId="2F42031B"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798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52</w:t>
            </w:r>
          </w:p>
        </w:tc>
      </w:tr>
      <w:tr w:rsidR="00A47EE5" w:rsidRPr="00946249" w14:paraId="41746B66" w14:textId="77777777" w:rsidTr="006D1DE6">
        <w:trPr>
          <w:trHeight w:val="285"/>
        </w:trPr>
        <w:tc>
          <w:tcPr>
            <w:tcW w:w="1422" w:type="dxa"/>
            <w:tcBorders>
              <w:top w:val="nil"/>
              <w:left w:val="single" w:sz="4" w:space="0" w:color="auto"/>
              <w:bottom w:val="single" w:sz="4" w:space="0" w:color="auto"/>
              <w:right w:val="single" w:sz="4" w:space="0" w:color="auto"/>
            </w:tcBorders>
            <w:noWrap/>
            <w:vAlign w:val="center"/>
            <w:hideMark/>
          </w:tcPr>
          <w:p w14:paraId="12621F4F" w14:textId="77777777" w:rsidR="00A47EE5" w:rsidRPr="00946249" w:rsidRDefault="00A47EE5" w:rsidP="00A47EE5">
            <w:pPr>
              <w:widowControl/>
              <w:autoSpaceDE/>
              <w:autoSpaceDN/>
              <w:adjustRightInd/>
              <w:rPr>
                <w:rFonts w:asciiTheme="majorHAnsi" w:hAnsiTheme="majorHAnsi"/>
                <w:color w:val="000000"/>
                <w:sz w:val="16"/>
                <w:szCs w:val="16"/>
              </w:rPr>
            </w:pPr>
            <w:proofErr w:type="spellStart"/>
            <w:r w:rsidRPr="00946249">
              <w:rPr>
                <w:rFonts w:asciiTheme="majorHAnsi" w:hAnsiTheme="majorHAnsi"/>
                <w:color w:val="000000"/>
                <w:sz w:val="16"/>
                <w:szCs w:val="16"/>
              </w:rPr>
              <w:t>Türkiye</w:t>
            </w:r>
            <w:proofErr w:type="spellEnd"/>
          </w:p>
        </w:tc>
        <w:tc>
          <w:tcPr>
            <w:tcW w:w="864" w:type="dxa"/>
            <w:tcBorders>
              <w:top w:val="nil"/>
              <w:left w:val="nil"/>
              <w:bottom w:val="single" w:sz="4" w:space="0" w:color="auto"/>
              <w:right w:val="single" w:sz="4" w:space="0" w:color="auto"/>
            </w:tcBorders>
            <w:vAlign w:val="center"/>
            <w:hideMark/>
          </w:tcPr>
          <w:p w14:paraId="5957D86A" w14:textId="7777777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378,70</w:t>
            </w:r>
          </w:p>
        </w:tc>
        <w:tc>
          <w:tcPr>
            <w:tcW w:w="851" w:type="dxa"/>
            <w:tcBorders>
              <w:top w:val="nil"/>
              <w:left w:val="nil"/>
              <w:bottom w:val="single" w:sz="4" w:space="0" w:color="auto"/>
              <w:right w:val="single" w:sz="4" w:space="0" w:color="auto"/>
            </w:tcBorders>
            <w:vAlign w:val="center"/>
            <w:hideMark/>
          </w:tcPr>
          <w:p w14:paraId="1A1635A0" w14:textId="504F1405"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32</w:t>
            </w:r>
            <w:r w:rsidR="0092146B" w:rsidRPr="00946249">
              <w:rPr>
                <w:rFonts w:asciiTheme="majorHAnsi" w:hAnsiTheme="majorHAnsi"/>
                <w:color w:val="000000"/>
                <w:sz w:val="16"/>
                <w:szCs w:val="16"/>
              </w:rPr>
              <w:t>,</w:t>
            </w:r>
            <w:r w:rsidRPr="00946249">
              <w:rPr>
                <w:rFonts w:asciiTheme="majorHAnsi" w:hAnsiTheme="majorHAnsi"/>
                <w:color w:val="000000"/>
                <w:sz w:val="16"/>
                <w:szCs w:val="16"/>
              </w:rPr>
              <w:t>85</w:t>
            </w:r>
          </w:p>
        </w:tc>
        <w:tc>
          <w:tcPr>
            <w:tcW w:w="864" w:type="dxa"/>
            <w:tcBorders>
              <w:top w:val="nil"/>
              <w:left w:val="nil"/>
              <w:bottom w:val="single" w:sz="4" w:space="0" w:color="auto"/>
              <w:right w:val="single" w:sz="4" w:space="0" w:color="auto"/>
            </w:tcBorders>
            <w:vAlign w:val="center"/>
            <w:hideMark/>
          </w:tcPr>
          <w:p w14:paraId="6113E9CE" w14:textId="4F316D01"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161</w:t>
            </w:r>
            <w:r w:rsidR="0092146B" w:rsidRPr="00946249">
              <w:rPr>
                <w:rFonts w:asciiTheme="majorHAnsi" w:hAnsiTheme="majorHAnsi"/>
                <w:color w:val="000000"/>
                <w:sz w:val="16"/>
                <w:szCs w:val="16"/>
              </w:rPr>
              <w:t>,</w:t>
            </w:r>
            <w:r w:rsidRPr="00946249">
              <w:rPr>
                <w:rFonts w:asciiTheme="majorHAnsi" w:hAnsiTheme="majorHAnsi"/>
                <w:color w:val="000000"/>
                <w:sz w:val="16"/>
                <w:szCs w:val="16"/>
              </w:rPr>
              <w:t>40</w:t>
            </w:r>
          </w:p>
        </w:tc>
        <w:tc>
          <w:tcPr>
            <w:tcW w:w="864" w:type="dxa"/>
            <w:tcBorders>
              <w:top w:val="nil"/>
              <w:left w:val="nil"/>
              <w:bottom w:val="single" w:sz="4" w:space="0" w:color="auto"/>
              <w:right w:val="single" w:sz="4" w:space="0" w:color="auto"/>
            </w:tcBorders>
            <w:vAlign w:val="center"/>
            <w:hideMark/>
          </w:tcPr>
          <w:p w14:paraId="53FD63E5" w14:textId="5D56F791"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141</w:t>
            </w:r>
            <w:r w:rsidR="0092146B" w:rsidRPr="00946249">
              <w:rPr>
                <w:rFonts w:asciiTheme="majorHAnsi" w:hAnsiTheme="majorHAnsi"/>
                <w:color w:val="000000"/>
                <w:sz w:val="16"/>
                <w:szCs w:val="16"/>
              </w:rPr>
              <w:t>,</w:t>
            </w:r>
            <w:r w:rsidRPr="00946249">
              <w:rPr>
                <w:rFonts w:asciiTheme="majorHAnsi" w:hAnsiTheme="majorHAnsi"/>
                <w:color w:val="000000"/>
                <w:sz w:val="16"/>
                <w:szCs w:val="16"/>
              </w:rPr>
              <w:t>35</w:t>
            </w:r>
          </w:p>
        </w:tc>
        <w:tc>
          <w:tcPr>
            <w:tcW w:w="864" w:type="dxa"/>
            <w:tcBorders>
              <w:top w:val="nil"/>
              <w:left w:val="nil"/>
              <w:bottom w:val="single" w:sz="4" w:space="0" w:color="auto"/>
              <w:right w:val="single" w:sz="4" w:space="0" w:color="auto"/>
            </w:tcBorders>
            <w:vAlign w:val="center"/>
            <w:hideMark/>
          </w:tcPr>
          <w:p w14:paraId="3AEE1CC9" w14:textId="6192D25F"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46</w:t>
            </w:r>
            <w:r w:rsidR="0092146B" w:rsidRPr="00946249">
              <w:rPr>
                <w:rFonts w:asciiTheme="majorHAnsi" w:hAnsiTheme="majorHAnsi"/>
                <w:color w:val="000000"/>
                <w:sz w:val="16"/>
                <w:szCs w:val="16"/>
              </w:rPr>
              <w:t>,</w:t>
            </w:r>
            <w:r w:rsidRPr="00946249">
              <w:rPr>
                <w:rFonts w:asciiTheme="majorHAnsi" w:hAnsiTheme="majorHAnsi"/>
                <w:color w:val="000000"/>
                <w:sz w:val="16"/>
                <w:szCs w:val="16"/>
              </w:rPr>
              <w:t>89</w:t>
            </w:r>
          </w:p>
        </w:tc>
        <w:tc>
          <w:tcPr>
            <w:tcW w:w="864" w:type="dxa"/>
            <w:tcBorders>
              <w:top w:val="nil"/>
              <w:left w:val="nil"/>
              <w:bottom w:val="single" w:sz="4" w:space="0" w:color="auto"/>
              <w:right w:val="single" w:sz="4" w:space="0" w:color="auto"/>
            </w:tcBorders>
            <w:vAlign w:val="center"/>
            <w:hideMark/>
          </w:tcPr>
          <w:p w14:paraId="5BD327A1" w14:textId="29946236"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382</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49</w:t>
            </w:r>
          </w:p>
        </w:tc>
        <w:tc>
          <w:tcPr>
            <w:tcW w:w="864" w:type="dxa"/>
            <w:tcBorders>
              <w:top w:val="nil"/>
              <w:left w:val="nil"/>
              <w:bottom w:val="single" w:sz="4" w:space="0" w:color="auto"/>
              <w:right w:val="single" w:sz="4" w:space="0" w:color="auto"/>
            </w:tcBorders>
            <w:vAlign w:val="center"/>
            <w:hideMark/>
          </w:tcPr>
          <w:p w14:paraId="4EA438CF" w14:textId="5CB9E06B"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378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70</w:t>
            </w:r>
          </w:p>
        </w:tc>
        <w:tc>
          <w:tcPr>
            <w:tcW w:w="1003" w:type="dxa"/>
            <w:tcBorders>
              <w:top w:val="nil"/>
              <w:left w:val="nil"/>
              <w:bottom w:val="single" w:sz="4" w:space="0" w:color="auto"/>
              <w:right w:val="single" w:sz="4" w:space="0" w:color="auto"/>
            </w:tcBorders>
            <w:vAlign w:val="center"/>
            <w:hideMark/>
          </w:tcPr>
          <w:p w14:paraId="0D243791" w14:textId="04B73079"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378</w:t>
            </w:r>
            <w:r w:rsidR="0092146B" w:rsidRPr="00946249">
              <w:rPr>
                <w:rFonts w:asciiTheme="majorHAnsi" w:hAnsiTheme="majorHAnsi"/>
                <w:color w:val="000000"/>
                <w:sz w:val="16"/>
                <w:szCs w:val="16"/>
              </w:rPr>
              <w:t>,</w:t>
            </w:r>
            <w:r w:rsidRPr="00946249">
              <w:rPr>
                <w:rFonts w:asciiTheme="majorHAnsi" w:hAnsiTheme="majorHAnsi"/>
                <w:color w:val="000000"/>
                <w:sz w:val="16"/>
                <w:szCs w:val="16"/>
              </w:rPr>
              <w:t>04</w:t>
            </w:r>
          </w:p>
        </w:tc>
      </w:tr>
      <w:tr w:rsidR="008124D0" w:rsidRPr="00946249" w14:paraId="65C521FF" w14:textId="77777777" w:rsidTr="00A47EE5">
        <w:trPr>
          <w:trHeight w:val="285"/>
        </w:trPr>
        <w:tc>
          <w:tcPr>
            <w:tcW w:w="1422" w:type="dxa"/>
            <w:tcBorders>
              <w:top w:val="nil"/>
              <w:left w:val="single" w:sz="4" w:space="0" w:color="auto"/>
              <w:bottom w:val="single" w:sz="4" w:space="0" w:color="auto"/>
              <w:right w:val="single" w:sz="4" w:space="0" w:color="auto"/>
            </w:tcBorders>
            <w:noWrap/>
            <w:vAlign w:val="center"/>
            <w:hideMark/>
          </w:tcPr>
          <w:p w14:paraId="2A490AF6" w14:textId="77777777"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Otras CPC</w:t>
            </w:r>
          </w:p>
        </w:tc>
        <w:tc>
          <w:tcPr>
            <w:tcW w:w="864" w:type="dxa"/>
            <w:tcBorders>
              <w:top w:val="nil"/>
              <w:left w:val="nil"/>
              <w:bottom w:val="single" w:sz="4" w:space="0" w:color="auto"/>
              <w:right w:val="single" w:sz="4" w:space="0" w:color="auto"/>
            </w:tcBorders>
            <w:vAlign w:val="center"/>
            <w:hideMark/>
          </w:tcPr>
          <w:p w14:paraId="4F365037" w14:textId="79BDC233"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51" w:type="dxa"/>
            <w:tcBorders>
              <w:top w:val="nil"/>
              <w:left w:val="nil"/>
              <w:bottom w:val="single" w:sz="4" w:space="0" w:color="auto"/>
              <w:right w:val="single" w:sz="4" w:space="0" w:color="auto"/>
            </w:tcBorders>
            <w:vAlign w:val="center"/>
            <w:hideMark/>
          </w:tcPr>
          <w:p w14:paraId="71B02771" w14:textId="7FD02060"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0DE6159C" w14:textId="6E76FAD5"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4ED7C961" w14:textId="6581B63C"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4755618F" w14:textId="3C391B8D"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318C8431" w14:textId="75E2BE72"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76B80C16" w14:textId="16B10D88"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1003" w:type="dxa"/>
            <w:tcBorders>
              <w:top w:val="nil"/>
              <w:left w:val="nil"/>
              <w:bottom w:val="single" w:sz="4" w:space="0" w:color="auto"/>
              <w:right w:val="single" w:sz="4" w:space="0" w:color="auto"/>
            </w:tcBorders>
            <w:vAlign w:val="center"/>
            <w:hideMark/>
          </w:tcPr>
          <w:p w14:paraId="0DB4A25A" w14:textId="2160E676" w:rsidR="00A47EE5" w:rsidRPr="00946249" w:rsidRDefault="00A47EE5" w:rsidP="00A47EE5">
            <w:pPr>
              <w:widowControl/>
              <w:autoSpaceDE/>
              <w:autoSpaceDN/>
              <w:adjustRightInd/>
              <w:jc w:val="center"/>
              <w:rPr>
                <w:rFonts w:asciiTheme="majorHAnsi" w:hAnsiTheme="majorHAnsi"/>
                <w:color w:val="000000"/>
                <w:sz w:val="16"/>
                <w:szCs w:val="16"/>
                <w:lang w:val="en-GB" w:eastAsia="en-GB"/>
              </w:rPr>
            </w:pPr>
          </w:p>
        </w:tc>
      </w:tr>
      <w:tr w:rsidR="008124D0" w:rsidRPr="00946249" w14:paraId="2F919E9E" w14:textId="77777777" w:rsidTr="00A47EE5">
        <w:trPr>
          <w:trHeight w:val="285"/>
        </w:trPr>
        <w:tc>
          <w:tcPr>
            <w:tcW w:w="1422" w:type="dxa"/>
            <w:tcBorders>
              <w:top w:val="nil"/>
              <w:left w:val="single" w:sz="4" w:space="0" w:color="auto"/>
              <w:bottom w:val="single" w:sz="4" w:space="0" w:color="auto"/>
              <w:right w:val="single" w:sz="4" w:space="0" w:color="auto"/>
            </w:tcBorders>
            <w:noWrap/>
            <w:vAlign w:val="center"/>
            <w:hideMark/>
          </w:tcPr>
          <w:p w14:paraId="56B62288" w14:textId="77777777"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Egipto</w:t>
            </w:r>
          </w:p>
        </w:tc>
        <w:tc>
          <w:tcPr>
            <w:tcW w:w="864" w:type="dxa"/>
            <w:tcBorders>
              <w:top w:val="nil"/>
              <w:left w:val="nil"/>
              <w:bottom w:val="single" w:sz="4" w:space="0" w:color="auto"/>
              <w:right w:val="single" w:sz="4" w:space="0" w:color="auto"/>
            </w:tcBorders>
            <w:vAlign w:val="center"/>
            <w:hideMark/>
          </w:tcPr>
          <w:p w14:paraId="24578EA7" w14:textId="1D75FE5B"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51" w:type="dxa"/>
            <w:tcBorders>
              <w:top w:val="nil"/>
              <w:left w:val="nil"/>
              <w:bottom w:val="single" w:sz="4" w:space="0" w:color="auto"/>
              <w:right w:val="single" w:sz="4" w:space="0" w:color="auto"/>
            </w:tcBorders>
            <w:vAlign w:val="center"/>
            <w:hideMark/>
          </w:tcPr>
          <w:p w14:paraId="4E086EF0" w14:textId="52ABB975"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3494D7F6" w14:textId="20F69386"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4D2DCBFD" w14:textId="2E86433D"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70F777A8" w14:textId="6FCE408B"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60B6648F" w14:textId="568EF5FA"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503CBDF4" w14:textId="457F5DCC"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100,00</w:t>
            </w:r>
          </w:p>
        </w:tc>
        <w:tc>
          <w:tcPr>
            <w:tcW w:w="1003" w:type="dxa"/>
            <w:tcBorders>
              <w:top w:val="nil"/>
              <w:left w:val="nil"/>
              <w:bottom w:val="single" w:sz="4" w:space="0" w:color="auto"/>
              <w:right w:val="single" w:sz="4" w:space="0" w:color="auto"/>
            </w:tcBorders>
            <w:vAlign w:val="center"/>
            <w:hideMark/>
          </w:tcPr>
          <w:p w14:paraId="45502B15" w14:textId="6688D187"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100</w:t>
            </w:r>
            <w:r w:rsidR="0092146B" w:rsidRPr="00946249">
              <w:rPr>
                <w:rFonts w:asciiTheme="majorHAnsi" w:hAnsiTheme="majorHAnsi"/>
                <w:color w:val="000000"/>
                <w:sz w:val="16"/>
                <w:szCs w:val="16"/>
              </w:rPr>
              <w:t>,</w:t>
            </w:r>
            <w:r w:rsidRPr="00946249">
              <w:rPr>
                <w:rFonts w:asciiTheme="majorHAnsi" w:hAnsiTheme="majorHAnsi"/>
                <w:color w:val="000000"/>
                <w:sz w:val="16"/>
                <w:szCs w:val="16"/>
              </w:rPr>
              <w:t>00</w:t>
            </w:r>
          </w:p>
        </w:tc>
      </w:tr>
      <w:tr w:rsidR="008124D0" w:rsidRPr="00946249" w14:paraId="37943D3B" w14:textId="77777777" w:rsidTr="00A47EE5">
        <w:trPr>
          <w:trHeight w:val="315"/>
        </w:trPr>
        <w:tc>
          <w:tcPr>
            <w:tcW w:w="1422" w:type="dxa"/>
            <w:tcBorders>
              <w:top w:val="nil"/>
              <w:left w:val="single" w:sz="4" w:space="0" w:color="auto"/>
              <w:bottom w:val="single" w:sz="4" w:space="0" w:color="auto"/>
              <w:right w:val="single" w:sz="4" w:space="0" w:color="auto"/>
            </w:tcBorders>
            <w:noWrap/>
            <w:vAlign w:val="center"/>
            <w:hideMark/>
          </w:tcPr>
          <w:p w14:paraId="007EF303" w14:textId="77777777" w:rsidR="00A47EE5" w:rsidRPr="00946249" w:rsidRDefault="00A47EE5" w:rsidP="00A47EE5">
            <w:pPr>
              <w:widowControl/>
              <w:autoSpaceDE/>
              <w:autoSpaceDN/>
              <w:adjustRightInd/>
              <w:rPr>
                <w:rFonts w:asciiTheme="majorHAnsi" w:hAnsiTheme="majorHAnsi"/>
                <w:color w:val="000000"/>
                <w:sz w:val="16"/>
                <w:szCs w:val="16"/>
              </w:rPr>
            </w:pPr>
            <w:r w:rsidRPr="00946249">
              <w:rPr>
                <w:rFonts w:asciiTheme="majorHAnsi" w:hAnsiTheme="majorHAnsi"/>
                <w:color w:val="000000"/>
                <w:sz w:val="16"/>
                <w:szCs w:val="16"/>
              </w:rPr>
              <w:t>Libia</w:t>
            </w:r>
          </w:p>
        </w:tc>
        <w:tc>
          <w:tcPr>
            <w:tcW w:w="864" w:type="dxa"/>
            <w:tcBorders>
              <w:top w:val="nil"/>
              <w:left w:val="nil"/>
              <w:bottom w:val="single" w:sz="4" w:space="0" w:color="auto"/>
              <w:right w:val="single" w:sz="4" w:space="0" w:color="auto"/>
            </w:tcBorders>
            <w:vAlign w:val="center"/>
            <w:hideMark/>
          </w:tcPr>
          <w:p w14:paraId="213D64E0" w14:textId="68BB71DA"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51" w:type="dxa"/>
            <w:tcBorders>
              <w:top w:val="nil"/>
              <w:left w:val="nil"/>
              <w:bottom w:val="single" w:sz="4" w:space="0" w:color="auto"/>
              <w:right w:val="single" w:sz="4" w:space="0" w:color="auto"/>
            </w:tcBorders>
            <w:vAlign w:val="center"/>
            <w:hideMark/>
          </w:tcPr>
          <w:p w14:paraId="4B53B45A" w14:textId="7A0B9CBF"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653AB0E7" w14:textId="2A894273"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17A18C1A" w14:textId="6EC70161"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2B88706D" w14:textId="638CCAA4"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2C4DDB2B" w14:textId="2B46DEB4" w:rsidR="00A47EE5" w:rsidRPr="00946249" w:rsidRDefault="00A47EE5" w:rsidP="006D1DE6">
            <w:pPr>
              <w:widowControl/>
              <w:autoSpaceDE/>
              <w:autoSpaceDN/>
              <w:adjustRightInd/>
              <w:jc w:val="center"/>
              <w:rPr>
                <w:rFonts w:asciiTheme="majorHAnsi" w:hAnsiTheme="majorHAnsi"/>
                <w:color w:val="000000"/>
                <w:sz w:val="16"/>
                <w:szCs w:val="16"/>
                <w:lang w:val="en-GB" w:eastAsia="en-GB"/>
              </w:rPr>
            </w:pPr>
          </w:p>
        </w:tc>
        <w:tc>
          <w:tcPr>
            <w:tcW w:w="864" w:type="dxa"/>
            <w:tcBorders>
              <w:top w:val="nil"/>
              <w:left w:val="nil"/>
              <w:bottom w:val="single" w:sz="4" w:space="0" w:color="auto"/>
              <w:right w:val="single" w:sz="4" w:space="0" w:color="auto"/>
            </w:tcBorders>
            <w:vAlign w:val="center"/>
            <w:hideMark/>
          </w:tcPr>
          <w:p w14:paraId="41DDC4BB" w14:textId="58DA7329"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120,00</w:t>
            </w:r>
          </w:p>
        </w:tc>
        <w:tc>
          <w:tcPr>
            <w:tcW w:w="1003" w:type="dxa"/>
            <w:tcBorders>
              <w:top w:val="nil"/>
              <w:left w:val="nil"/>
              <w:bottom w:val="single" w:sz="4" w:space="0" w:color="auto"/>
              <w:right w:val="single" w:sz="4" w:space="0" w:color="auto"/>
            </w:tcBorders>
            <w:vAlign w:val="center"/>
            <w:hideMark/>
          </w:tcPr>
          <w:p w14:paraId="73D1180A" w14:textId="5656598F" w:rsidR="00A47EE5" w:rsidRPr="00946249" w:rsidRDefault="00A47EE5" w:rsidP="00A47EE5">
            <w:pPr>
              <w:widowControl/>
              <w:autoSpaceDE/>
              <w:autoSpaceDN/>
              <w:adjustRightInd/>
              <w:jc w:val="center"/>
              <w:rPr>
                <w:rFonts w:asciiTheme="majorHAnsi" w:hAnsiTheme="majorHAnsi"/>
                <w:color w:val="000000"/>
                <w:sz w:val="16"/>
                <w:szCs w:val="16"/>
              </w:rPr>
            </w:pPr>
            <w:r w:rsidRPr="00946249">
              <w:rPr>
                <w:rFonts w:asciiTheme="majorHAnsi" w:hAnsiTheme="majorHAnsi"/>
                <w:color w:val="000000"/>
                <w:sz w:val="16"/>
                <w:szCs w:val="16"/>
              </w:rPr>
              <w:t>120</w:t>
            </w:r>
            <w:r w:rsidR="0092146B" w:rsidRPr="00946249">
              <w:rPr>
                <w:rFonts w:asciiTheme="majorHAnsi" w:hAnsiTheme="majorHAnsi"/>
                <w:color w:val="000000"/>
                <w:sz w:val="16"/>
                <w:szCs w:val="16"/>
              </w:rPr>
              <w:t>,</w:t>
            </w:r>
            <w:r w:rsidRPr="00946249">
              <w:rPr>
                <w:rFonts w:asciiTheme="majorHAnsi" w:hAnsiTheme="majorHAnsi"/>
                <w:color w:val="000000"/>
                <w:sz w:val="16"/>
                <w:szCs w:val="16"/>
              </w:rPr>
              <w:t>00</w:t>
            </w:r>
          </w:p>
        </w:tc>
      </w:tr>
      <w:tr w:rsidR="008124D0" w:rsidRPr="00946249" w14:paraId="07FBB38D" w14:textId="77777777" w:rsidTr="00A47EE5">
        <w:trPr>
          <w:trHeight w:val="300"/>
        </w:trPr>
        <w:tc>
          <w:tcPr>
            <w:tcW w:w="1422" w:type="dxa"/>
            <w:tcBorders>
              <w:top w:val="nil"/>
              <w:left w:val="single" w:sz="4" w:space="0" w:color="auto"/>
              <w:bottom w:val="single" w:sz="4" w:space="0" w:color="auto"/>
              <w:right w:val="single" w:sz="4" w:space="0" w:color="auto"/>
            </w:tcBorders>
            <w:noWrap/>
            <w:vAlign w:val="center"/>
            <w:hideMark/>
          </w:tcPr>
          <w:p w14:paraId="4CFDD52D" w14:textId="77777777" w:rsidR="00A47EE5" w:rsidRPr="00946249" w:rsidRDefault="00A47EE5" w:rsidP="00A47EE5">
            <w:pPr>
              <w:widowControl/>
              <w:autoSpaceDE/>
              <w:autoSpaceDN/>
              <w:adjustRightInd/>
              <w:rPr>
                <w:rFonts w:asciiTheme="majorHAnsi" w:hAnsiTheme="majorHAnsi"/>
                <w:b/>
                <w:bCs/>
                <w:color w:val="000000"/>
                <w:sz w:val="16"/>
                <w:szCs w:val="16"/>
              </w:rPr>
            </w:pPr>
            <w:r w:rsidRPr="00946249">
              <w:rPr>
                <w:rFonts w:asciiTheme="majorHAnsi" w:hAnsiTheme="majorHAnsi"/>
                <w:b/>
                <w:color w:val="000000"/>
                <w:sz w:val="16"/>
                <w:szCs w:val="16"/>
              </w:rPr>
              <w:t>Total</w:t>
            </w:r>
          </w:p>
        </w:tc>
        <w:tc>
          <w:tcPr>
            <w:tcW w:w="864" w:type="dxa"/>
            <w:tcBorders>
              <w:top w:val="nil"/>
              <w:left w:val="nil"/>
              <w:bottom w:val="single" w:sz="4" w:space="0" w:color="auto"/>
              <w:right w:val="single" w:sz="4" w:space="0" w:color="auto"/>
            </w:tcBorders>
            <w:vAlign w:val="center"/>
            <w:hideMark/>
          </w:tcPr>
          <w:p w14:paraId="40E809E5" w14:textId="77777777"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8976,46</w:t>
            </w:r>
          </w:p>
        </w:tc>
        <w:tc>
          <w:tcPr>
            <w:tcW w:w="851" w:type="dxa"/>
            <w:tcBorders>
              <w:top w:val="nil"/>
              <w:left w:val="nil"/>
              <w:bottom w:val="single" w:sz="4" w:space="0" w:color="auto"/>
              <w:right w:val="single" w:sz="4" w:space="0" w:color="auto"/>
            </w:tcBorders>
            <w:vAlign w:val="center"/>
            <w:hideMark/>
          </w:tcPr>
          <w:p w14:paraId="20D07B46" w14:textId="003EE550"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135</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43</w:t>
            </w:r>
          </w:p>
        </w:tc>
        <w:tc>
          <w:tcPr>
            <w:tcW w:w="864" w:type="dxa"/>
            <w:tcBorders>
              <w:top w:val="nil"/>
              <w:left w:val="nil"/>
              <w:bottom w:val="single" w:sz="4" w:space="0" w:color="auto"/>
              <w:right w:val="single" w:sz="4" w:space="0" w:color="auto"/>
            </w:tcBorders>
            <w:vAlign w:val="center"/>
            <w:hideMark/>
          </w:tcPr>
          <w:p w14:paraId="7915E12D" w14:textId="1A4A2A30"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2202</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78</w:t>
            </w:r>
          </w:p>
        </w:tc>
        <w:tc>
          <w:tcPr>
            <w:tcW w:w="864" w:type="dxa"/>
            <w:tcBorders>
              <w:top w:val="nil"/>
              <w:left w:val="nil"/>
              <w:bottom w:val="single" w:sz="4" w:space="0" w:color="auto"/>
              <w:right w:val="single" w:sz="4" w:space="0" w:color="auto"/>
            </w:tcBorders>
            <w:vAlign w:val="center"/>
            <w:hideMark/>
          </w:tcPr>
          <w:p w14:paraId="576C76C1" w14:textId="1FE31BB1"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3958</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89</w:t>
            </w:r>
          </w:p>
        </w:tc>
        <w:tc>
          <w:tcPr>
            <w:tcW w:w="864" w:type="dxa"/>
            <w:tcBorders>
              <w:top w:val="nil"/>
              <w:left w:val="nil"/>
              <w:bottom w:val="single" w:sz="4" w:space="0" w:color="auto"/>
              <w:right w:val="single" w:sz="4" w:space="0" w:color="auto"/>
            </w:tcBorders>
            <w:vAlign w:val="center"/>
            <w:hideMark/>
          </w:tcPr>
          <w:p w14:paraId="7714AA3E" w14:textId="25FE266F"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1729</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97</w:t>
            </w:r>
          </w:p>
        </w:tc>
        <w:tc>
          <w:tcPr>
            <w:tcW w:w="864" w:type="dxa"/>
            <w:tcBorders>
              <w:top w:val="nil"/>
              <w:left w:val="nil"/>
              <w:bottom w:val="single" w:sz="4" w:space="0" w:color="auto"/>
              <w:right w:val="single" w:sz="4" w:space="0" w:color="auto"/>
            </w:tcBorders>
            <w:vAlign w:val="center"/>
            <w:hideMark/>
          </w:tcPr>
          <w:p w14:paraId="6ED40E72" w14:textId="2383792F"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8027</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08</w:t>
            </w:r>
          </w:p>
        </w:tc>
        <w:tc>
          <w:tcPr>
            <w:tcW w:w="864" w:type="dxa"/>
            <w:tcBorders>
              <w:top w:val="nil"/>
              <w:left w:val="nil"/>
              <w:bottom w:val="single" w:sz="4" w:space="0" w:color="auto"/>
              <w:right w:val="single" w:sz="4" w:space="0" w:color="auto"/>
            </w:tcBorders>
            <w:vAlign w:val="center"/>
            <w:hideMark/>
          </w:tcPr>
          <w:p w14:paraId="583B2A6B" w14:textId="1DA2E543"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8074</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32</w:t>
            </w:r>
          </w:p>
        </w:tc>
        <w:tc>
          <w:tcPr>
            <w:tcW w:w="1003" w:type="dxa"/>
            <w:tcBorders>
              <w:top w:val="nil"/>
              <w:left w:val="nil"/>
              <w:bottom w:val="single" w:sz="4" w:space="0" w:color="auto"/>
              <w:right w:val="single" w:sz="4" w:space="0" w:color="auto"/>
            </w:tcBorders>
            <w:vAlign w:val="center"/>
            <w:hideMark/>
          </w:tcPr>
          <w:p w14:paraId="70D72036" w14:textId="36FD67E1" w:rsidR="00A47EE5" w:rsidRPr="00946249" w:rsidRDefault="00A47EE5" w:rsidP="00A47EE5">
            <w:pPr>
              <w:widowControl/>
              <w:autoSpaceDE/>
              <w:autoSpaceDN/>
              <w:adjustRightInd/>
              <w:jc w:val="center"/>
              <w:rPr>
                <w:rFonts w:asciiTheme="majorHAnsi" w:hAnsiTheme="majorHAnsi"/>
                <w:b/>
                <w:bCs/>
                <w:color w:val="000000"/>
                <w:sz w:val="16"/>
                <w:szCs w:val="16"/>
              </w:rPr>
            </w:pPr>
            <w:r w:rsidRPr="00946249">
              <w:rPr>
                <w:rFonts w:asciiTheme="majorHAnsi" w:hAnsiTheme="majorHAnsi"/>
                <w:b/>
                <w:color w:val="000000"/>
                <w:sz w:val="16"/>
                <w:szCs w:val="16"/>
              </w:rPr>
              <w:t>8374</w:t>
            </w:r>
            <w:r w:rsidR="0092146B" w:rsidRPr="00946249">
              <w:rPr>
                <w:rFonts w:asciiTheme="majorHAnsi" w:hAnsiTheme="majorHAnsi"/>
                <w:b/>
                <w:color w:val="000000"/>
                <w:sz w:val="16"/>
                <w:szCs w:val="16"/>
              </w:rPr>
              <w:t>,</w:t>
            </w:r>
            <w:r w:rsidRPr="00946249">
              <w:rPr>
                <w:rFonts w:asciiTheme="majorHAnsi" w:hAnsiTheme="majorHAnsi"/>
                <w:b/>
                <w:color w:val="000000"/>
                <w:sz w:val="16"/>
                <w:szCs w:val="16"/>
              </w:rPr>
              <w:t>61</w:t>
            </w:r>
          </w:p>
        </w:tc>
      </w:tr>
    </w:tbl>
    <w:p w14:paraId="1A71B154" w14:textId="77777777" w:rsidR="00CF66C5" w:rsidRPr="00946249" w:rsidRDefault="00CF66C5" w:rsidP="006D1DE6">
      <w:pPr>
        <w:widowControl/>
        <w:autoSpaceDE/>
        <w:autoSpaceDN/>
        <w:adjustRightInd/>
        <w:rPr>
          <w:rFonts w:ascii="Cambria" w:hAnsi="Cambria"/>
          <w:i/>
          <w:lang w:val="en-GB"/>
        </w:rPr>
      </w:pPr>
    </w:p>
    <w:p w14:paraId="148BD968" w14:textId="6824BE9F" w:rsidR="004E2703" w:rsidRPr="00946249" w:rsidRDefault="003E0403" w:rsidP="00820485">
      <w:pPr>
        <w:tabs>
          <w:tab w:val="left" w:pos="1276"/>
          <w:tab w:val="left" w:pos="1418"/>
          <w:tab w:val="left" w:leader="dot" w:pos="8222"/>
          <w:tab w:val="right" w:pos="8647"/>
        </w:tabs>
        <w:jc w:val="both"/>
        <w:rPr>
          <w:rFonts w:ascii="Cambria" w:hAnsi="Cambria"/>
          <w:i/>
          <w:color w:val="000000"/>
        </w:rPr>
      </w:pPr>
      <w:r w:rsidRPr="00946249">
        <w:rPr>
          <w:rFonts w:ascii="Cambria" w:hAnsi="Cambria"/>
          <w:i/>
          <w:iCs/>
        </w:rPr>
        <w:t>[17-02] Recomendación de ICCAT que enmienda la Recomendación 16-03 de ICCAT sobre la conservación del pez espada del Atlántico norte</w:t>
      </w:r>
      <w:r w:rsidRPr="00946249">
        <w:rPr>
          <w:rFonts w:ascii="Cambria" w:hAnsi="Cambria"/>
        </w:rPr>
        <w:t xml:space="preserve">, enmendada por la </w:t>
      </w:r>
      <w:r w:rsidRPr="00946249">
        <w:rPr>
          <w:rFonts w:ascii="Cambria" w:hAnsi="Cambria"/>
          <w:i/>
          <w:iCs/>
        </w:rPr>
        <w:t>[23-04] Recomendación de ICCAT que remplaza la Recomendación 22-03 que amplía y enmienda la Recomendación 17-02 para la conservación del pez espada del Atlántico norte</w:t>
      </w:r>
    </w:p>
    <w:p w14:paraId="02FDDBB8" w14:textId="77777777" w:rsidR="002D5434" w:rsidRPr="00946249" w:rsidRDefault="002D5434" w:rsidP="00820485">
      <w:pPr>
        <w:tabs>
          <w:tab w:val="left" w:pos="1276"/>
          <w:tab w:val="left" w:pos="1418"/>
          <w:tab w:val="left" w:leader="dot" w:pos="8222"/>
          <w:tab w:val="right" w:pos="8647"/>
        </w:tabs>
        <w:jc w:val="both"/>
        <w:rPr>
          <w:rFonts w:ascii="Cambria" w:hAnsi="Cambria"/>
          <w:i/>
          <w:color w:val="000000"/>
        </w:rPr>
      </w:pPr>
    </w:p>
    <w:p w14:paraId="3CD53A2D" w14:textId="7AD18BB5" w:rsidR="004E2703" w:rsidRPr="00946249" w:rsidRDefault="004E2703" w:rsidP="00820485">
      <w:pPr>
        <w:tabs>
          <w:tab w:val="left" w:pos="1276"/>
          <w:tab w:val="left" w:pos="1418"/>
          <w:tab w:val="left" w:leader="dot" w:pos="8222"/>
          <w:tab w:val="right" w:pos="8647"/>
        </w:tabs>
        <w:jc w:val="both"/>
        <w:rPr>
          <w:rFonts w:ascii="Cambria" w:hAnsi="Cambria"/>
          <w:bCs/>
        </w:rPr>
      </w:pPr>
      <w:r w:rsidRPr="00946249">
        <w:rPr>
          <w:rFonts w:ascii="Cambria" w:hAnsi="Cambria"/>
        </w:rPr>
        <w:t>(</w:t>
      </w:r>
      <w:r w:rsidR="00775F12" w:rsidRPr="00946249">
        <w:rPr>
          <w:rFonts w:ascii="Cambria" w:hAnsi="Cambria"/>
        </w:rPr>
        <w:t>s</w:t>
      </w:r>
      <w:r w:rsidRPr="00946249">
        <w:rPr>
          <w:rFonts w:ascii="Cambria" w:hAnsi="Cambria"/>
        </w:rPr>
        <w:t xml:space="preserve">ustituida por la </w:t>
      </w:r>
      <w:r w:rsidRPr="00946249">
        <w:rPr>
          <w:rFonts w:ascii="Cambria" w:hAnsi="Cambria"/>
          <w:i/>
          <w:iCs/>
          <w:color w:val="000000"/>
        </w:rPr>
        <w:t>[24-10] Recomendación de ICCAT sobre medidas de conservación y ordenación, incluido un procedimiento de ordenación, para el pez espada del Atlántico norte</w:t>
      </w:r>
      <w:r w:rsidRPr="00946249">
        <w:rPr>
          <w:rFonts w:ascii="Cambria" w:hAnsi="Cambria"/>
          <w:color w:val="000000"/>
        </w:rPr>
        <w:t>)</w:t>
      </w:r>
    </w:p>
    <w:p w14:paraId="6EFEFB4A" w14:textId="77777777" w:rsidR="00D26C9B" w:rsidRPr="00946249" w:rsidRDefault="00D26C9B" w:rsidP="00820485">
      <w:pPr>
        <w:tabs>
          <w:tab w:val="left" w:pos="1276"/>
          <w:tab w:val="left" w:pos="1418"/>
          <w:tab w:val="left" w:leader="dot" w:pos="8222"/>
          <w:tab w:val="right" w:pos="8647"/>
        </w:tabs>
        <w:jc w:val="both"/>
        <w:rPr>
          <w:rFonts w:ascii="Cambria" w:hAnsi="Cambria"/>
          <w:i/>
        </w:rPr>
      </w:pPr>
    </w:p>
    <w:p w14:paraId="7B2F6A90" w14:textId="0DBFB5E1" w:rsidR="0062071E" w:rsidRPr="00946249" w:rsidRDefault="0062071E" w:rsidP="00820485">
      <w:pPr>
        <w:tabs>
          <w:tab w:val="left" w:pos="1276"/>
          <w:tab w:val="left" w:pos="1418"/>
          <w:tab w:val="left" w:leader="dot" w:pos="8222"/>
          <w:tab w:val="right" w:pos="8647"/>
        </w:tabs>
        <w:jc w:val="both"/>
        <w:rPr>
          <w:rFonts w:ascii="Cambria" w:hAnsi="Cambria"/>
        </w:rPr>
      </w:pPr>
      <w:r w:rsidRPr="00946249">
        <w:rPr>
          <w:rFonts w:ascii="Cambria" w:hAnsi="Cambria"/>
          <w:b/>
          <w:bCs/>
          <w:i/>
          <w:iCs/>
        </w:rPr>
        <w:t>Cumplimiento de las cuotas/límites de captura:</w:t>
      </w:r>
      <w:r w:rsidRPr="00946249">
        <w:rPr>
          <w:rFonts w:ascii="Cambria" w:hAnsi="Cambria"/>
        </w:rPr>
        <w:t xml:space="preserve"> Véase el documento "Tablas de cumplimiento de 2024 recibidas en 2025" [COC_304/2025].</w:t>
      </w:r>
    </w:p>
    <w:p w14:paraId="6518008F" w14:textId="77777777" w:rsidR="00A83EF2" w:rsidRPr="00946249" w:rsidRDefault="00A83EF2" w:rsidP="00820485">
      <w:pPr>
        <w:tabs>
          <w:tab w:val="left" w:pos="1276"/>
          <w:tab w:val="left" w:pos="1418"/>
          <w:tab w:val="left" w:leader="dot" w:pos="8222"/>
          <w:tab w:val="right" w:pos="8647"/>
        </w:tabs>
        <w:ind w:firstLine="426"/>
        <w:rPr>
          <w:rFonts w:ascii="Cambria" w:hAnsi="Cambria"/>
        </w:rPr>
      </w:pPr>
    </w:p>
    <w:p w14:paraId="64DA5DAA" w14:textId="4372E685" w:rsidR="00B66141" w:rsidRPr="00946249" w:rsidRDefault="00233926" w:rsidP="00820485">
      <w:pPr>
        <w:tabs>
          <w:tab w:val="left" w:pos="1276"/>
          <w:tab w:val="left" w:pos="1418"/>
          <w:tab w:val="left" w:leader="dot" w:pos="8222"/>
          <w:tab w:val="right" w:pos="8647"/>
        </w:tabs>
        <w:jc w:val="both"/>
        <w:rPr>
          <w:rFonts w:ascii="Cambria" w:hAnsi="Cambria"/>
        </w:rPr>
      </w:pPr>
      <w:r w:rsidRPr="00946249">
        <w:rPr>
          <w:rFonts w:ascii="Cambria" w:hAnsi="Cambria"/>
        </w:rPr>
        <w:t>De conformidad con el párrafo 14 de la Rec. 17-02, las siguientes CPC han informado en sus informes anuales del límite máximo de captura fortuita a bordo de pez espada del norte:</w:t>
      </w:r>
    </w:p>
    <w:p w14:paraId="74688093" w14:textId="77777777" w:rsidR="00FD756E" w:rsidRPr="00946249" w:rsidRDefault="00FD756E" w:rsidP="00820485">
      <w:pPr>
        <w:jc w:val="both"/>
        <w:rPr>
          <w:rFonts w:ascii="Cambria" w:hAnsi="Cambria" w:cs="Calibri"/>
          <w:color w:val="000000"/>
        </w:rPr>
      </w:pPr>
    </w:p>
    <w:tbl>
      <w:tblPr>
        <w:tblW w:w="5000" w:type="pct"/>
        <w:tblLook w:val="04A0" w:firstRow="1" w:lastRow="0" w:firstColumn="1" w:lastColumn="0" w:noHBand="0" w:noVBand="1"/>
      </w:tblPr>
      <w:tblGrid>
        <w:gridCol w:w="1550"/>
        <w:gridCol w:w="7505"/>
      </w:tblGrid>
      <w:tr w:rsidR="00FD756E" w:rsidRPr="00946249" w14:paraId="5DAE7ED8" w14:textId="77777777" w:rsidTr="00730878">
        <w:tc>
          <w:tcPr>
            <w:tcW w:w="856" w:type="pct"/>
            <w:tcBorders>
              <w:top w:val="single" w:sz="8" w:space="0" w:color="auto"/>
              <w:left w:val="single" w:sz="8" w:space="0" w:color="auto"/>
              <w:bottom w:val="single" w:sz="8" w:space="0" w:color="auto"/>
              <w:right w:val="single" w:sz="8" w:space="0" w:color="auto"/>
            </w:tcBorders>
            <w:noWrap/>
            <w:vAlign w:val="center"/>
            <w:hideMark/>
          </w:tcPr>
          <w:p w14:paraId="1F5EB3F2" w14:textId="77777777" w:rsidR="00FD756E" w:rsidRPr="00946249" w:rsidRDefault="00FD756E" w:rsidP="00FD756E">
            <w:pPr>
              <w:widowControl/>
              <w:autoSpaceDE/>
              <w:autoSpaceDN/>
              <w:adjustRightInd/>
              <w:jc w:val="center"/>
              <w:rPr>
                <w:rFonts w:ascii="Cambria" w:hAnsi="Cambria" w:cs="Calibri"/>
                <w:i/>
                <w:iCs/>
                <w:color w:val="000000"/>
              </w:rPr>
            </w:pPr>
            <w:r w:rsidRPr="00946249">
              <w:rPr>
                <w:rFonts w:ascii="Cambria" w:hAnsi="Cambria"/>
                <w:i/>
                <w:color w:val="000000"/>
              </w:rPr>
              <w:t>CPC</w:t>
            </w:r>
          </w:p>
        </w:tc>
        <w:tc>
          <w:tcPr>
            <w:tcW w:w="4144" w:type="pct"/>
            <w:tcBorders>
              <w:top w:val="single" w:sz="8" w:space="0" w:color="auto"/>
              <w:left w:val="nil"/>
              <w:bottom w:val="single" w:sz="8" w:space="0" w:color="auto"/>
              <w:right w:val="single" w:sz="8" w:space="0" w:color="auto"/>
            </w:tcBorders>
            <w:vAlign w:val="center"/>
            <w:hideMark/>
          </w:tcPr>
          <w:p w14:paraId="0F2A1D30" w14:textId="77777777" w:rsidR="00FD756E" w:rsidRPr="00946249" w:rsidRDefault="00FD756E" w:rsidP="00FD756E">
            <w:pPr>
              <w:widowControl/>
              <w:autoSpaceDE/>
              <w:autoSpaceDN/>
              <w:adjustRightInd/>
              <w:jc w:val="center"/>
              <w:rPr>
                <w:rFonts w:ascii="Cambria" w:hAnsi="Cambria" w:cs="Calibri"/>
                <w:i/>
                <w:iCs/>
                <w:color w:val="000000"/>
              </w:rPr>
            </w:pPr>
            <w:r w:rsidRPr="00946249">
              <w:rPr>
                <w:rFonts w:ascii="Cambria" w:hAnsi="Cambria"/>
                <w:i/>
                <w:color w:val="000000"/>
              </w:rPr>
              <w:t>Respuesta</w:t>
            </w:r>
          </w:p>
        </w:tc>
      </w:tr>
      <w:tr w:rsidR="00FD756E" w:rsidRPr="00946249" w14:paraId="69B0FEFE" w14:textId="77777777" w:rsidTr="00730878">
        <w:tc>
          <w:tcPr>
            <w:tcW w:w="856" w:type="pct"/>
            <w:tcBorders>
              <w:top w:val="nil"/>
              <w:left w:val="single" w:sz="8" w:space="0" w:color="auto"/>
              <w:bottom w:val="single" w:sz="8" w:space="0" w:color="auto"/>
              <w:right w:val="single" w:sz="8" w:space="0" w:color="auto"/>
            </w:tcBorders>
            <w:noWrap/>
            <w:vAlign w:val="center"/>
            <w:hideMark/>
          </w:tcPr>
          <w:p w14:paraId="0A451E75" w14:textId="521153D0" w:rsidR="00FD756E" w:rsidRPr="00946249" w:rsidRDefault="00511B40" w:rsidP="00FD756E">
            <w:pPr>
              <w:widowControl/>
              <w:autoSpaceDE/>
              <w:autoSpaceDN/>
              <w:adjustRightInd/>
              <w:rPr>
                <w:rFonts w:ascii="Cambria" w:hAnsi="Cambria" w:cs="Calibri"/>
                <w:color w:val="000000"/>
              </w:rPr>
            </w:pPr>
            <w:r w:rsidRPr="00946249">
              <w:rPr>
                <w:rFonts w:ascii="Cambria" w:hAnsi="Cambria"/>
                <w:color w:val="000000"/>
              </w:rPr>
              <w:t>Belice</w:t>
            </w:r>
          </w:p>
        </w:tc>
        <w:tc>
          <w:tcPr>
            <w:tcW w:w="4144" w:type="pct"/>
            <w:tcBorders>
              <w:top w:val="nil"/>
              <w:left w:val="nil"/>
              <w:bottom w:val="single" w:sz="8" w:space="0" w:color="auto"/>
              <w:right w:val="single" w:sz="8" w:space="0" w:color="auto"/>
            </w:tcBorders>
            <w:vAlign w:val="center"/>
            <w:hideMark/>
          </w:tcPr>
          <w:p w14:paraId="18AE16E5" w14:textId="3A44813E" w:rsidR="00FD756E" w:rsidRPr="00946249" w:rsidRDefault="00B05F2B" w:rsidP="00FD756E">
            <w:pPr>
              <w:widowControl/>
              <w:autoSpaceDE/>
              <w:autoSpaceDN/>
              <w:adjustRightInd/>
              <w:jc w:val="both"/>
              <w:rPr>
                <w:rFonts w:ascii="Cambria" w:hAnsi="Cambria" w:cs="Calibri"/>
                <w:color w:val="000000"/>
              </w:rPr>
            </w:pPr>
            <w:r w:rsidRPr="00946249">
              <w:rPr>
                <w:rFonts w:ascii="Cambria" w:hAnsi="Cambria"/>
                <w:color w:val="000000"/>
              </w:rPr>
              <w:t>Belice ha establecido un límite captura fortuita a bordo para todas las especies, incluido el pez espada del norte. El límite de captura fortuita establecido para los buques no autorizados a pescar esta especie exclusivamente es de 10 t. Esta cantidad se descuenta de la asignación de cuota total de Belice. Sin embargo, no tenemos ningún buque que haya comunicado captura fortuita de pez espada del sur.</w:t>
            </w:r>
          </w:p>
        </w:tc>
      </w:tr>
      <w:tr w:rsidR="00FD756E" w:rsidRPr="00946249" w14:paraId="460D8701" w14:textId="77777777" w:rsidTr="00730878">
        <w:tc>
          <w:tcPr>
            <w:tcW w:w="856" w:type="pct"/>
            <w:tcBorders>
              <w:top w:val="nil"/>
              <w:left w:val="single" w:sz="8" w:space="0" w:color="auto"/>
              <w:bottom w:val="single" w:sz="8" w:space="0" w:color="auto"/>
              <w:right w:val="single" w:sz="8" w:space="0" w:color="auto"/>
            </w:tcBorders>
            <w:noWrap/>
            <w:vAlign w:val="center"/>
            <w:hideMark/>
          </w:tcPr>
          <w:p w14:paraId="46335221" w14:textId="2B430B60" w:rsidR="00FD756E" w:rsidRPr="00946249" w:rsidRDefault="00511B40" w:rsidP="00FD756E">
            <w:pPr>
              <w:widowControl/>
              <w:autoSpaceDE/>
              <w:autoSpaceDN/>
              <w:adjustRightInd/>
              <w:rPr>
                <w:rFonts w:ascii="Cambria" w:hAnsi="Cambria" w:cs="Calibri"/>
                <w:color w:val="000000"/>
              </w:rPr>
            </w:pPr>
            <w:r w:rsidRPr="00946249">
              <w:rPr>
                <w:rFonts w:ascii="Cambria" w:hAnsi="Cambria"/>
                <w:color w:val="000000"/>
              </w:rPr>
              <w:t>China</w:t>
            </w:r>
          </w:p>
        </w:tc>
        <w:tc>
          <w:tcPr>
            <w:tcW w:w="4144" w:type="pct"/>
            <w:tcBorders>
              <w:top w:val="nil"/>
              <w:left w:val="nil"/>
              <w:bottom w:val="single" w:sz="8" w:space="0" w:color="auto"/>
              <w:right w:val="single" w:sz="8" w:space="0" w:color="auto"/>
            </w:tcBorders>
            <w:vAlign w:val="center"/>
            <w:hideMark/>
          </w:tcPr>
          <w:p w14:paraId="39E29F7E" w14:textId="7A2AF754" w:rsidR="00FD756E" w:rsidRPr="00946249" w:rsidRDefault="00B05F2B" w:rsidP="00FD756E">
            <w:pPr>
              <w:widowControl/>
              <w:autoSpaceDE/>
              <w:autoSpaceDN/>
              <w:adjustRightInd/>
              <w:jc w:val="both"/>
              <w:rPr>
                <w:rFonts w:ascii="Cambria" w:hAnsi="Cambria" w:cs="Calibri"/>
                <w:color w:val="000000"/>
              </w:rPr>
            </w:pPr>
            <w:r w:rsidRPr="00946249">
              <w:rPr>
                <w:rFonts w:ascii="Cambria" w:hAnsi="Cambria"/>
                <w:color w:val="000000"/>
              </w:rPr>
              <w:t>China no tiene buques que pesquen pez espada del norte ni pez espada del sur, todos los peces espada se capturan de forma fortuita y todos los palangreros tropicales pueden capturar peces espada de forma fortuita. En 2024, China disponía de 115 t de cuota de pez espada del norte y 344,3 t de pez espada del sur. China estableció un límite de capturas de pez espada del norte y pez espada del sur para cada palangrero basado en el TAC asignado a China según las Recomendaciones para el pez espada del norte y para el pez espada del sur. Cada buque debe respetar estrictamente el límite de capturas que se le haya fijado.</w:t>
            </w:r>
          </w:p>
        </w:tc>
      </w:tr>
      <w:tr w:rsidR="00FD756E" w:rsidRPr="00946249" w14:paraId="36A90707" w14:textId="77777777" w:rsidTr="006D1DE6">
        <w:tc>
          <w:tcPr>
            <w:tcW w:w="856" w:type="pct"/>
            <w:tcBorders>
              <w:top w:val="nil"/>
              <w:left w:val="single" w:sz="8" w:space="0" w:color="auto"/>
              <w:bottom w:val="single" w:sz="4" w:space="0" w:color="auto"/>
              <w:right w:val="single" w:sz="8" w:space="0" w:color="auto"/>
            </w:tcBorders>
            <w:noWrap/>
            <w:vAlign w:val="center"/>
            <w:hideMark/>
          </w:tcPr>
          <w:p w14:paraId="7FC81133" w14:textId="7E3FA3F1" w:rsidR="00FD756E" w:rsidRPr="00946249" w:rsidRDefault="00511B40" w:rsidP="00FD756E">
            <w:pPr>
              <w:widowControl/>
              <w:autoSpaceDE/>
              <w:autoSpaceDN/>
              <w:adjustRightInd/>
              <w:rPr>
                <w:rFonts w:ascii="Cambria" w:hAnsi="Cambria" w:cs="Calibri"/>
                <w:color w:val="000000"/>
              </w:rPr>
            </w:pPr>
            <w:r w:rsidRPr="00946249">
              <w:rPr>
                <w:rFonts w:ascii="Cambria" w:hAnsi="Cambria"/>
                <w:color w:val="000000"/>
              </w:rPr>
              <w:t>Curazao</w:t>
            </w:r>
          </w:p>
        </w:tc>
        <w:tc>
          <w:tcPr>
            <w:tcW w:w="4144" w:type="pct"/>
            <w:tcBorders>
              <w:top w:val="nil"/>
              <w:left w:val="nil"/>
              <w:bottom w:val="single" w:sz="4" w:space="0" w:color="auto"/>
              <w:right w:val="single" w:sz="8" w:space="0" w:color="auto"/>
            </w:tcBorders>
            <w:vAlign w:val="center"/>
            <w:hideMark/>
          </w:tcPr>
          <w:p w14:paraId="3948BDE0" w14:textId="7A48C415" w:rsidR="00FD756E" w:rsidRPr="00946249" w:rsidRDefault="00B05F2B" w:rsidP="00FD756E">
            <w:pPr>
              <w:widowControl/>
              <w:autoSpaceDE/>
              <w:autoSpaceDN/>
              <w:adjustRightInd/>
              <w:jc w:val="both"/>
              <w:rPr>
                <w:rFonts w:ascii="Cambria" w:hAnsi="Cambria"/>
              </w:rPr>
            </w:pPr>
            <w:r w:rsidRPr="00946249">
              <w:rPr>
                <w:rFonts w:ascii="Cambria" w:hAnsi="Cambria"/>
              </w:rPr>
              <w:t>En el caso de las actividades pesqueras, Curazao llegó a un acuerdo con los buques en cuanto a un límite máximo de 10 t de captura fortuita. En este caso, no hubo actividades pesqueras durante 2024.</w:t>
            </w:r>
          </w:p>
        </w:tc>
      </w:tr>
      <w:tr w:rsidR="00B05F2B" w:rsidRPr="00946249" w14:paraId="782374FC" w14:textId="77777777" w:rsidTr="006D1DE6">
        <w:trPr>
          <w:trHeight w:val="75"/>
        </w:trPr>
        <w:tc>
          <w:tcPr>
            <w:tcW w:w="856" w:type="pct"/>
            <w:tcBorders>
              <w:top w:val="single" w:sz="4" w:space="0" w:color="auto"/>
              <w:left w:val="single" w:sz="4" w:space="0" w:color="auto"/>
              <w:bottom w:val="single" w:sz="4" w:space="0" w:color="auto"/>
              <w:right w:val="single" w:sz="4" w:space="0" w:color="auto"/>
            </w:tcBorders>
            <w:noWrap/>
            <w:vAlign w:val="center"/>
            <w:hideMark/>
          </w:tcPr>
          <w:p w14:paraId="0D7F6A6B" w14:textId="1CD0D169" w:rsidR="00B05F2B" w:rsidRPr="00946249" w:rsidRDefault="00B05F2B" w:rsidP="00FD756E">
            <w:pPr>
              <w:widowControl/>
              <w:autoSpaceDE/>
              <w:autoSpaceDN/>
              <w:adjustRightInd/>
              <w:rPr>
                <w:rFonts w:ascii="Cambria" w:hAnsi="Cambria" w:cs="Calibri"/>
                <w:color w:val="000000"/>
              </w:rPr>
            </w:pPr>
            <w:r w:rsidRPr="00946249">
              <w:rPr>
                <w:rFonts w:ascii="Cambria" w:hAnsi="Cambria"/>
                <w:color w:val="000000"/>
              </w:rPr>
              <w:t>UE</w:t>
            </w:r>
          </w:p>
        </w:tc>
        <w:tc>
          <w:tcPr>
            <w:tcW w:w="4144" w:type="pct"/>
            <w:tcBorders>
              <w:top w:val="single" w:sz="4" w:space="0" w:color="auto"/>
              <w:left w:val="single" w:sz="4" w:space="0" w:color="auto"/>
              <w:bottom w:val="single" w:sz="4" w:space="0" w:color="auto"/>
              <w:right w:val="single" w:sz="4" w:space="0" w:color="auto"/>
            </w:tcBorders>
            <w:vAlign w:val="center"/>
            <w:hideMark/>
          </w:tcPr>
          <w:p w14:paraId="6C223A4C" w14:textId="5CD43AED" w:rsidR="00B05F2B" w:rsidRPr="00946249" w:rsidRDefault="00B05F2B" w:rsidP="006D1DE6">
            <w:pPr>
              <w:jc w:val="both"/>
              <w:rPr>
                <w:rFonts w:ascii="Cambria" w:hAnsi="Cambria" w:cs="Calibri"/>
                <w:color w:val="000000"/>
              </w:rPr>
            </w:pPr>
            <w:r w:rsidRPr="00946249">
              <w:rPr>
                <w:rFonts w:ascii="Cambria" w:hAnsi="Cambria"/>
                <w:color w:val="000000"/>
              </w:rPr>
              <w:t>Dependiendo del Estado miembro de la UE, los límites de las capturas fortuitas pueden variar. En la Sección 2 de su Informe anual se incluye información adicional.</w:t>
            </w:r>
          </w:p>
        </w:tc>
      </w:tr>
    </w:tbl>
    <w:p w14:paraId="4CDDC0A4" w14:textId="77777777" w:rsidR="00D30794" w:rsidRPr="00946249" w:rsidRDefault="00D30794" w:rsidP="00820485">
      <w:pPr>
        <w:jc w:val="both"/>
        <w:rPr>
          <w:rFonts w:ascii="Cambria" w:hAnsi="Cambria" w:cs="Calibri"/>
          <w:color w:val="000000"/>
        </w:rPr>
      </w:pPr>
    </w:p>
    <w:p w14:paraId="7E60B700" w14:textId="0BA3C124" w:rsidR="005C222D" w:rsidRPr="00946249" w:rsidRDefault="008F44BD" w:rsidP="006D1DE6">
      <w:pPr>
        <w:tabs>
          <w:tab w:val="left" w:pos="1276"/>
          <w:tab w:val="left" w:pos="1418"/>
          <w:tab w:val="left" w:leader="dot" w:pos="8222"/>
          <w:tab w:val="right" w:pos="8647"/>
        </w:tabs>
        <w:jc w:val="both"/>
        <w:rPr>
          <w:rFonts w:ascii="Cambria" w:hAnsi="Cambria"/>
          <w:b/>
        </w:rPr>
      </w:pPr>
      <w:r w:rsidRPr="00946249">
        <w:rPr>
          <w:rFonts w:ascii="Cambria" w:hAnsi="Cambria"/>
          <w:color w:val="000000"/>
        </w:rPr>
        <w:t xml:space="preserve">Cabe señalar que lo anterior solo muestra las CPC que han indicado que se ha establecido un límite. En muchos casos, no se ha establecido un límite porque todos los buques pertinentes cuentan con licencia y/o porque no se permite la captura fortuita. </w:t>
      </w:r>
      <w:bookmarkStart w:id="1" w:name="_Hlk148612685"/>
      <w:r w:rsidRPr="00946249">
        <w:rPr>
          <w:rFonts w:ascii="Cambria" w:hAnsi="Cambria"/>
          <w:color w:val="000000"/>
        </w:rPr>
        <w:t>Sin embargo, algunas de las respuestas sobre los límites máximos de captura fortuita no son coherentes, ya que las CPC no han leído o comprendido el requisito. En varios casos, se han mezclado las especies o se han dado respuestas totalmente irrelevantes (por ejemplo, que no hay pesquería dirigida a esta especie o que no hay buques con pabellón de XX que pesquen esta especie).</w:t>
      </w:r>
    </w:p>
    <w:p w14:paraId="7F3B2081" w14:textId="77777777" w:rsidR="008F44BD" w:rsidRPr="00946249" w:rsidRDefault="008F44BD" w:rsidP="006D1DE6">
      <w:pPr>
        <w:jc w:val="both"/>
        <w:rPr>
          <w:rFonts w:ascii="Cambria" w:eastAsiaTheme="minorHAnsi" w:hAnsi="Cambria"/>
          <w:color w:val="1F497D"/>
        </w:rPr>
      </w:pPr>
    </w:p>
    <w:bookmarkEnd w:id="1"/>
    <w:p w14:paraId="4D4A9BB1" w14:textId="77777777" w:rsidR="000D664A" w:rsidRPr="00946249" w:rsidRDefault="000D664A">
      <w:pPr>
        <w:widowControl/>
        <w:autoSpaceDE/>
        <w:autoSpaceDN/>
        <w:adjustRightInd/>
        <w:rPr>
          <w:rFonts w:ascii="Cambria" w:hAnsi="Cambria"/>
          <w:b/>
          <w:i/>
        </w:rPr>
      </w:pPr>
      <w:r w:rsidRPr="00946249">
        <w:rPr>
          <w:rFonts w:ascii="Cambria" w:hAnsi="Cambria"/>
          <w:b/>
          <w:i/>
        </w:rPr>
        <w:br w:type="page"/>
      </w:r>
    </w:p>
    <w:p w14:paraId="349BD021" w14:textId="3C54AAB6" w:rsidR="00210F2C" w:rsidRPr="00946249" w:rsidRDefault="00210F2C" w:rsidP="00820485">
      <w:pPr>
        <w:tabs>
          <w:tab w:val="left" w:pos="1276"/>
          <w:tab w:val="left" w:pos="1418"/>
          <w:tab w:val="left" w:leader="dot" w:pos="8222"/>
          <w:tab w:val="right" w:pos="8647"/>
        </w:tabs>
        <w:jc w:val="both"/>
        <w:rPr>
          <w:rFonts w:ascii="Cambria" w:hAnsi="Cambria"/>
          <w:b/>
          <w:bCs/>
        </w:rPr>
      </w:pPr>
      <w:r w:rsidRPr="00946249">
        <w:rPr>
          <w:rFonts w:ascii="Cambria" w:hAnsi="Cambria"/>
          <w:b/>
          <w:i/>
        </w:rPr>
        <w:lastRenderedPageBreak/>
        <w:t xml:space="preserve">Planes de ordenación/desarrollo de la pesca de pez espada del norte: </w:t>
      </w:r>
      <w:r w:rsidRPr="00946249">
        <w:rPr>
          <w:rFonts w:ascii="Cambria" w:hAnsi="Cambria"/>
        </w:rPr>
        <w:t xml:space="preserve">Las versiones actualizadas recibidas figuran en el documento "Planes de ordenación, desarrollo o pesca para el pez espada del Atlántico norte" [PA4_801/2025]. Ya no es necesario volver a enviarlos si no ha habido cambios respecto al plan anterior. </w:t>
      </w:r>
    </w:p>
    <w:p w14:paraId="588C560F" w14:textId="77777777" w:rsidR="00A83EF2" w:rsidRPr="00946249" w:rsidRDefault="00A83EF2" w:rsidP="00820485">
      <w:pPr>
        <w:tabs>
          <w:tab w:val="left" w:pos="1276"/>
          <w:tab w:val="left" w:pos="1418"/>
          <w:tab w:val="left" w:leader="dot" w:pos="8222"/>
          <w:tab w:val="right" w:pos="8647"/>
        </w:tabs>
        <w:ind w:firstLine="426"/>
        <w:jc w:val="both"/>
        <w:rPr>
          <w:rFonts w:ascii="Cambria" w:hAnsi="Cambria"/>
          <w:b/>
          <w:bCs/>
          <w:i/>
          <w:iCs/>
        </w:rPr>
      </w:pPr>
    </w:p>
    <w:p w14:paraId="1ACE4FA6" w14:textId="39CC603A" w:rsidR="00304B87" w:rsidRPr="00946249" w:rsidRDefault="00210F2C" w:rsidP="00820485">
      <w:pPr>
        <w:tabs>
          <w:tab w:val="left" w:pos="1276"/>
          <w:tab w:val="left" w:pos="1418"/>
          <w:tab w:val="left" w:leader="dot" w:pos="8222"/>
          <w:tab w:val="right" w:pos="8647"/>
        </w:tabs>
        <w:jc w:val="both"/>
        <w:rPr>
          <w:rFonts w:ascii="Cambria" w:hAnsi="Cambria"/>
          <w:bCs/>
        </w:rPr>
      </w:pPr>
      <w:r w:rsidRPr="00946249">
        <w:rPr>
          <w:rFonts w:ascii="Cambria" w:hAnsi="Cambria"/>
          <w:b/>
          <w:i/>
          <w:iCs/>
        </w:rPr>
        <w:t>Autorización específica para buques de pez espada del norte</w:t>
      </w:r>
      <w:r w:rsidR="00B81BDA" w:rsidRPr="00946249">
        <w:rPr>
          <w:rFonts w:ascii="Cambria" w:hAnsi="Cambria"/>
          <w:b/>
        </w:rPr>
        <w:t>:</w:t>
      </w:r>
      <w:r w:rsidRPr="00946249">
        <w:rPr>
          <w:rFonts w:ascii="Cambria" w:hAnsi="Cambria"/>
          <w:b/>
        </w:rPr>
        <w:t xml:space="preserve"> </w:t>
      </w:r>
      <w:r w:rsidRPr="00946249">
        <w:rPr>
          <w:rFonts w:ascii="Cambria" w:hAnsi="Cambria"/>
        </w:rPr>
        <w:t xml:space="preserve">Los buques de 20 m o más con autorizaciones específicas para el pez espada del norte pueden consultarse en el </w:t>
      </w:r>
      <w:hyperlink r:id="rId11" w:history="1">
        <w:r w:rsidRPr="00946249">
          <w:rPr>
            <w:rStyle w:val="Hyperlink"/>
            <w:rFonts w:ascii="Cambria" w:hAnsi="Cambria"/>
            <w:u w:val="none"/>
          </w:rPr>
          <w:t>Registro ICCAT de buques</w:t>
        </w:r>
      </w:hyperlink>
      <w:r w:rsidRPr="00946249">
        <w:rPr>
          <w:rFonts w:ascii="Cambria" w:hAnsi="Cambria"/>
        </w:rPr>
        <w:t>.</w:t>
      </w:r>
    </w:p>
    <w:p w14:paraId="68A9F764" w14:textId="77777777" w:rsidR="004078B1" w:rsidRPr="00946249" w:rsidRDefault="004078B1" w:rsidP="00820485">
      <w:pPr>
        <w:tabs>
          <w:tab w:val="left" w:pos="1276"/>
          <w:tab w:val="left" w:pos="1418"/>
          <w:tab w:val="left" w:leader="dot" w:pos="8222"/>
          <w:tab w:val="right" w:pos="8647"/>
        </w:tabs>
        <w:jc w:val="both"/>
        <w:rPr>
          <w:rFonts w:ascii="Cambria" w:hAnsi="Cambria"/>
          <w:bCs/>
        </w:rPr>
      </w:pPr>
    </w:p>
    <w:p w14:paraId="5A708720" w14:textId="7941B42C" w:rsidR="00304B87" w:rsidRPr="00946249" w:rsidRDefault="00274C6B"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Siete CPC con cuota actualmente no tienen buques (de 20 m o más) inscritos en el Registro ICCAT de buques autorizados a capturar pez espada del norte:  Barbados, Brasil, Francia (San Pedro y Miquelón), México, San Vicente y las </w:t>
      </w:r>
      <w:proofErr w:type="gramStart"/>
      <w:r w:rsidRPr="00946249">
        <w:rPr>
          <w:rFonts w:ascii="Cambria" w:hAnsi="Cambria"/>
        </w:rPr>
        <w:t>Granadinas</w:t>
      </w:r>
      <w:proofErr w:type="gramEnd"/>
      <w:r w:rsidRPr="00946249">
        <w:rPr>
          <w:rFonts w:ascii="Cambria" w:hAnsi="Cambria"/>
        </w:rPr>
        <w:t>, Reino Unido y Venezuela.</w:t>
      </w:r>
    </w:p>
    <w:p w14:paraId="29FCCB71" w14:textId="77777777" w:rsidR="00210F2C" w:rsidRPr="00946249" w:rsidRDefault="00210F2C" w:rsidP="00820485">
      <w:pPr>
        <w:tabs>
          <w:tab w:val="left" w:pos="1276"/>
          <w:tab w:val="left" w:pos="1418"/>
          <w:tab w:val="left" w:leader="dot" w:pos="8222"/>
          <w:tab w:val="right" w:pos="8647"/>
        </w:tabs>
        <w:ind w:firstLine="426"/>
        <w:rPr>
          <w:rFonts w:ascii="Cambria" w:hAnsi="Cambria"/>
        </w:rPr>
      </w:pPr>
    </w:p>
    <w:p w14:paraId="62156858" w14:textId="3B9EF76A" w:rsidR="004451B9" w:rsidRPr="00946249" w:rsidRDefault="004451B9" w:rsidP="00820485">
      <w:pPr>
        <w:tabs>
          <w:tab w:val="left" w:pos="1276"/>
          <w:tab w:val="left" w:pos="1418"/>
          <w:tab w:val="left" w:leader="dot" w:pos="8222"/>
          <w:tab w:val="right" w:pos="8647"/>
        </w:tabs>
        <w:jc w:val="both"/>
        <w:rPr>
          <w:rFonts w:ascii="Cambria" w:hAnsi="Cambria"/>
          <w:bCs/>
        </w:rPr>
      </w:pPr>
      <w:r w:rsidRPr="00946249">
        <w:rPr>
          <w:rFonts w:ascii="Cambria" w:hAnsi="Cambria"/>
          <w:b/>
          <w:bCs/>
          <w:i/>
          <w:iCs/>
        </w:rPr>
        <w:t>Cumplimiento de los límites de captura/cuotas</w:t>
      </w:r>
      <w:r w:rsidRPr="00946249">
        <w:rPr>
          <w:rFonts w:ascii="Cambria" w:hAnsi="Cambria"/>
        </w:rPr>
        <w:t>: véase el documento "Tablas de cumplimiento de 2024 recibidas en 2025" [COC_304/2025]</w:t>
      </w:r>
      <w:r w:rsidRPr="00946249">
        <w:rPr>
          <w:rFonts w:ascii="Cambria" w:hAnsi="Cambria"/>
          <w:b/>
          <w:bCs/>
        </w:rPr>
        <w:t>.</w:t>
      </w:r>
    </w:p>
    <w:p w14:paraId="6A50DDF2" w14:textId="77777777" w:rsidR="004451B9" w:rsidRPr="00946249" w:rsidRDefault="004451B9" w:rsidP="00820485">
      <w:pPr>
        <w:tabs>
          <w:tab w:val="left" w:pos="1276"/>
          <w:tab w:val="left" w:pos="1418"/>
          <w:tab w:val="left" w:leader="dot" w:pos="8222"/>
          <w:tab w:val="right" w:pos="8647"/>
        </w:tabs>
        <w:ind w:firstLine="426"/>
        <w:rPr>
          <w:rFonts w:ascii="Cambria" w:hAnsi="Cambria"/>
        </w:rPr>
      </w:pPr>
    </w:p>
    <w:p w14:paraId="037621D4" w14:textId="2DBD3CBB" w:rsidR="00501981" w:rsidRPr="00946249" w:rsidRDefault="003E0403" w:rsidP="00820485">
      <w:pPr>
        <w:tabs>
          <w:tab w:val="left" w:pos="1276"/>
          <w:tab w:val="left" w:pos="1418"/>
          <w:tab w:val="left" w:leader="dot" w:pos="8222"/>
          <w:tab w:val="right" w:pos="8647"/>
        </w:tabs>
        <w:jc w:val="both"/>
        <w:rPr>
          <w:rFonts w:ascii="Cambria" w:hAnsi="Cambria"/>
          <w:i/>
        </w:rPr>
      </w:pPr>
      <w:r w:rsidRPr="00946249">
        <w:rPr>
          <w:rFonts w:ascii="Cambria" w:hAnsi="Cambria"/>
          <w:i/>
          <w:iCs/>
        </w:rPr>
        <w:t>[17-03] Recomendación de ICCAT que enmienda la Recomendación 16-04 sobre la conservación del pez espada del Atlántico sur</w:t>
      </w:r>
      <w:r w:rsidRPr="00946249">
        <w:rPr>
          <w:rFonts w:ascii="Cambria" w:hAnsi="Cambria"/>
        </w:rPr>
        <w:t xml:space="preserve">, enmendada por la </w:t>
      </w:r>
      <w:r w:rsidRPr="00946249">
        <w:rPr>
          <w:rFonts w:ascii="Cambria" w:hAnsi="Cambria"/>
          <w:i/>
          <w:iCs/>
        </w:rPr>
        <w:t>[22-04]</w:t>
      </w:r>
      <w:r w:rsidRPr="00946249">
        <w:rPr>
          <w:rFonts w:ascii="Cambria" w:hAnsi="Cambria"/>
        </w:rPr>
        <w:t xml:space="preserve"> </w:t>
      </w:r>
      <w:r w:rsidRPr="00946249">
        <w:rPr>
          <w:rFonts w:ascii="Cambria" w:hAnsi="Cambria"/>
          <w:i/>
          <w:iCs/>
        </w:rPr>
        <w:t>Recomendación de ICCAT que reemplaza la Recomendación suplementaria 21-03 que prorroga y enmienda la Recomendación 17-03 para la conservación del pez espada del Atlántico sur</w:t>
      </w:r>
    </w:p>
    <w:p w14:paraId="4C5400E3" w14:textId="77777777" w:rsidR="00F6337D" w:rsidRPr="00946249" w:rsidRDefault="00F6337D" w:rsidP="00820485">
      <w:pPr>
        <w:tabs>
          <w:tab w:val="left" w:pos="1276"/>
          <w:tab w:val="left" w:pos="1418"/>
          <w:tab w:val="left" w:leader="dot" w:pos="8222"/>
          <w:tab w:val="right" w:pos="8647"/>
        </w:tabs>
        <w:jc w:val="both"/>
        <w:rPr>
          <w:rFonts w:ascii="Cambria" w:hAnsi="Cambria"/>
          <w:i/>
        </w:rPr>
      </w:pPr>
    </w:p>
    <w:p w14:paraId="2BE22B79" w14:textId="34423E1E" w:rsidR="007A1471" w:rsidRPr="00946249" w:rsidRDefault="00304B87" w:rsidP="00820485">
      <w:pPr>
        <w:tabs>
          <w:tab w:val="left" w:pos="1276"/>
          <w:tab w:val="left" w:pos="1418"/>
          <w:tab w:val="left" w:leader="dot" w:pos="8222"/>
          <w:tab w:val="right" w:pos="8647"/>
        </w:tabs>
        <w:jc w:val="both"/>
        <w:rPr>
          <w:rFonts w:ascii="Cambria" w:hAnsi="Cambria"/>
          <w:bCs/>
        </w:rPr>
      </w:pPr>
      <w:r w:rsidRPr="00946249">
        <w:rPr>
          <w:rFonts w:ascii="Cambria" w:hAnsi="Cambria"/>
          <w:b/>
          <w:i/>
        </w:rPr>
        <w:t>Autorización específica para buques de pez espada del sur</w:t>
      </w:r>
      <w:r w:rsidR="007B03DC" w:rsidRPr="00946249">
        <w:rPr>
          <w:rFonts w:ascii="Cambria" w:hAnsi="Cambria"/>
          <w:b/>
          <w:i/>
        </w:rPr>
        <w:t>:</w:t>
      </w:r>
      <w:r w:rsidRPr="00946249">
        <w:rPr>
          <w:rFonts w:ascii="Cambria" w:hAnsi="Cambria"/>
        </w:rPr>
        <w:t xml:space="preserve"> Los buques de 20 m o más con autorizaciones específicas para el pez espada del norte pueden consultarse en el </w:t>
      </w:r>
      <w:hyperlink r:id="rId12" w:history="1">
        <w:r w:rsidRPr="00946249">
          <w:rPr>
            <w:rStyle w:val="Hyperlink"/>
            <w:rFonts w:ascii="Cambria" w:hAnsi="Cambria"/>
            <w:u w:val="none"/>
          </w:rPr>
          <w:t>Registro ICCAT de buques</w:t>
        </w:r>
      </w:hyperlink>
      <w:r w:rsidRPr="00946249">
        <w:rPr>
          <w:rFonts w:ascii="Cambria" w:hAnsi="Cambria"/>
        </w:rPr>
        <w:t>.</w:t>
      </w:r>
    </w:p>
    <w:p w14:paraId="634F8F1F" w14:textId="77777777" w:rsidR="005F5570" w:rsidRPr="00946249" w:rsidRDefault="005F5570" w:rsidP="00820485">
      <w:pPr>
        <w:tabs>
          <w:tab w:val="left" w:pos="1276"/>
          <w:tab w:val="left" w:pos="1418"/>
          <w:tab w:val="left" w:leader="dot" w:pos="8222"/>
          <w:tab w:val="right" w:pos="8647"/>
        </w:tabs>
        <w:ind w:firstLine="426"/>
        <w:rPr>
          <w:rFonts w:ascii="Cambria" w:hAnsi="Cambria"/>
          <w:bCs/>
          <w:i/>
          <w:iCs/>
        </w:rPr>
      </w:pPr>
    </w:p>
    <w:p w14:paraId="1EAA8C7D" w14:textId="4FCF8C9A" w:rsidR="00842AE5" w:rsidRPr="00946249" w:rsidRDefault="00C57434" w:rsidP="00820485">
      <w:pPr>
        <w:tabs>
          <w:tab w:val="left" w:pos="1276"/>
          <w:tab w:val="left" w:pos="1418"/>
          <w:tab w:val="left" w:leader="dot" w:pos="8222"/>
          <w:tab w:val="right" w:pos="8647"/>
        </w:tabs>
        <w:jc w:val="both"/>
        <w:rPr>
          <w:rFonts w:ascii="Cambria" w:hAnsi="Cambria"/>
          <w:bCs/>
        </w:rPr>
      </w:pPr>
      <w:r w:rsidRPr="00946249">
        <w:rPr>
          <w:rFonts w:ascii="Cambria" w:hAnsi="Cambria"/>
        </w:rPr>
        <w:t xml:space="preserve">Cinco CPC con cuota actualmente no tienen buques (de 20 m o más) inscritos en el Registro ICCAT de buques autorizados a capturar pez espada del sur: Ghana, São Tomé </w:t>
      </w:r>
      <w:proofErr w:type="spellStart"/>
      <w:r w:rsidRPr="00946249">
        <w:rPr>
          <w:rFonts w:ascii="Cambria" w:hAnsi="Cambria"/>
        </w:rPr>
        <w:t>e</w:t>
      </w:r>
      <w:proofErr w:type="spellEnd"/>
      <w:r w:rsidRPr="00946249">
        <w:rPr>
          <w:rFonts w:ascii="Cambria" w:hAnsi="Cambria"/>
        </w:rPr>
        <w:t xml:space="preserve"> Príncipe, Reino Unido, Estados Unidos y Uruguay.</w:t>
      </w:r>
    </w:p>
    <w:p w14:paraId="66403C96" w14:textId="77777777" w:rsidR="003F3EC0" w:rsidRPr="00946249" w:rsidRDefault="003F3EC0" w:rsidP="00820485">
      <w:pPr>
        <w:tabs>
          <w:tab w:val="left" w:pos="1276"/>
          <w:tab w:val="left" w:pos="1418"/>
          <w:tab w:val="left" w:leader="dot" w:pos="8222"/>
          <w:tab w:val="right" w:pos="8647"/>
        </w:tabs>
        <w:jc w:val="both"/>
        <w:rPr>
          <w:rFonts w:ascii="Cambria" w:hAnsi="Cambria"/>
          <w:bCs/>
        </w:rPr>
      </w:pPr>
    </w:p>
    <w:p w14:paraId="6D4715C4" w14:textId="77777777" w:rsidR="00C57434" w:rsidRPr="00946249" w:rsidRDefault="00894DA8" w:rsidP="00820485">
      <w:pPr>
        <w:rPr>
          <w:rFonts w:ascii="Cambria" w:hAnsi="Cambria"/>
        </w:rPr>
      </w:pPr>
      <w:r w:rsidRPr="00946249">
        <w:rPr>
          <w:rFonts w:ascii="Cambria" w:hAnsi="Cambria"/>
        </w:rPr>
        <w:t>De conformidad con el párrafo 9 de la Rec. 17-03, las siguientes CPC han informado en sus informes anuales del límite máximo de captura fortuita a bordo de pez espada del sur:</w:t>
      </w:r>
    </w:p>
    <w:p w14:paraId="5BD781C5" w14:textId="4F46E189" w:rsidR="008A53D8" w:rsidRPr="00946249" w:rsidRDefault="00C57434" w:rsidP="00820485">
      <w:pPr>
        <w:rPr>
          <w:rFonts w:ascii="Cambria" w:eastAsiaTheme="minorHAnsi" w:hAnsi="Cambria"/>
          <w:color w:val="1F497D"/>
        </w:rPr>
      </w:pPr>
      <w:r w:rsidRPr="00946249">
        <w:rPr>
          <w:rFonts w:ascii="Cambria" w:hAnsi="Cambria"/>
          <w:color w:val="1F497D"/>
        </w:rPr>
        <w:t xml:space="preserve"> </w:t>
      </w:r>
    </w:p>
    <w:tbl>
      <w:tblPr>
        <w:tblW w:w="5000" w:type="pct"/>
        <w:tblLook w:val="04A0" w:firstRow="1" w:lastRow="0" w:firstColumn="1" w:lastColumn="0" w:noHBand="0" w:noVBand="1"/>
      </w:tblPr>
      <w:tblGrid>
        <w:gridCol w:w="2117"/>
        <w:gridCol w:w="6938"/>
      </w:tblGrid>
      <w:tr w:rsidR="00C57434" w:rsidRPr="00946249" w14:paraId="1F346ABF" w14:textId="77777777" w:rsidTr="00C57434">
        <w:tc>
          <w:tcPr>
            <w:tcW w:w="1169" w:type="pct"/>
            <w:tcBorders>
              <w:top w:val="single" w:sz="8" w:space="0" w:color="auto"/>
              <w:left w:val="single" w:sz="8" w:space="0" w:color="auto"/>
              <w:bottom w:val="single" w:sz="8" w:space="0" w:color="auto"/>
              <w:right w:val="single" w:sz="8" w:space="0" w:color="auto"/>
            </w:tcBorders>
            <w:noWrap/>
            <w:vAlign w:val="center"/>
            <w:hideMark/>
          </w:tcPr>
          <w:p w14:paraId="2D8DA168" w14:textId="77777777" w:rsidR="00C57434" w:rsidRPr="00946249" w:rsidRDefault="00C57434" w:rsidP="00C57434">
            <w:pPr>
              <w:widowControl/>
              <w:autoSpaceDE/>
              <w:autoSpaceDN/>
              <w:adjustRightInd/>
              <w:jc w:val="center"/>
              <w:rPr>
                <w:rFonts w:ascii="Cambria" w:hAnsi="Cambria" w:cs="Calibri"/>
                <w:i/>
                <w:iCs/>
                <w:color w:val="000000"/>
              </w:rPr>
            </w:pPr>
            <w:r w:rsidRPr="00946249">
              <w:rPr>
                <w:rFonts w:ascii="Cambria" w:hAnsi="Cambria"/>
                <w:i/>
                <w:color w:val="000000"/>
              </w:rPr>
              <w:t>CPC</w:t>
            </w:r>
          </w:p>
        </w:tc>
        <w:tc>
          <w:tcPr>
            <w:tcW w:w="3831" w:type="pct"/>
            <w:tcBorders>
              <w:top w:val="single" w:sz="8" w:space="0" w:color="auto"/>
              <w:left w:val="nil"/>
              <w:bottom w:val="single" w:sz="8" w:space="0" w:color="auto"/>
              <w:right w:val="single" w:sz="8" w:space="0" w:color="auto"/>
            </w:tcBorders>
            <w:noWrap/>
            <w:vAlign w:val="center"/>
            <w:hideMark/>
          </w:tcPr>
          <w:p w14:paraId="2D75E73A" w14:textId="77777777" w:rsidR="00C57434" w:rsidRPr="00946249" w:rsidRDefault="00C57434" w:rsidP="00C57434">
            <w:pPr>
              <w:widowControl/>
              <w:autoSpaceDE/>
              <w:autoSpaceDN/>
              <w:adjustRightInd/>
              <w:jc w:val="center"/>
              <w:rPr>
                <w:rFonts w:ascii="Cambria" w:hAnsi="Cambria" w:cs="Calibri"/>
                <w:i/>
                <w:iCs/>
                <w:color w:val="000000"/>
              </w:rPr>
            </w:pPr>
            <w:r w:rsidRPr="00946249">
              <w:rPr>
                <w:rFonts w:ascii="Cambria" w:hAnsi="Cambria"/>
                <w:i/>
                <w:color w:val="000000"/>
              </w:rPr>
              <w:t>Respuesta</w:t>
            </w:r>
          </w:p>
        </w:tc>
      </w:tr>
      <w:tr w:rsidR="00C57434" w:rsidRPr="00946249" w14:paraId="1DF1E2F1"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38EFF096" w14:textId="2F9C8D92" w:rsidR="00C57434" w:rsidRPr="00946249" w:rsidRDefault="00EC4866" w:rsidP="00C57434">
            <w:pPr>
              <w:widowControl/>
              <w:autoSpaceDE/>
              <w:autoSpaceDN/>
              <w:adjustRightInd/>
              <w:rPr>
                <w:rFonts w:ascii="Cambria" w:hAnsi="Cambria" w:cs="Calibri"/>
                <w:color w:val="000000"/>
              </w:rPr>
            </w:pPr>
            <w:r w:rsidRPr="00946249">
              <w:rPr>
                <w:rFonts w:ascii="Cambria" w:hAnsi="Cambria"/>
                <w:color w:val="000000"/>
              </w:rPr>
              <w:t>Belice</w:t>
            </w:r>
          </w:p>
        </w:tc>
        <w:tc>
          <w:tcPr>
            <w:tcW w:w="3831" w:type="pct"/>
            <w:tcBorders>
              <w:top w:val="nil"/>
              <w:left w:val="nil"/>
              <w:bottom w:val="single" w:sz="8" w:space="0" w:color="auto"/>
              <w:right w:val="single" w:sz="8" w:space="0" w:color="auto"/>
            </w:tcBorders>
            <w:vAlign w:val="center"/>
            <w:hideMark/>
          </w:tcPr>
          <w:p w14:paraId="67ED841B" w14:textId="6851D266" w:rsidR="00C57434" w:rsidRPr="00946249" w:rsidRDefault="008A125E" w:rsidP="00C57434">
            <w:pPr>
              <w:widowControl/>
              <w:autoSpaceDE/>
              <w:autoSpaceDN/>
              <w:adjustRightInd/>
              <w:jc w:val="both"/>
              <w:rPr>
                <w:rFonts w:ascii="Cambria" w:hAnsi="Cambria" w:cs="Calibri"/>
              </w:rPr>
            </w:pPr>
            <w:r w:rsidRPr="00946249">
              <w:rPr>
                <w:rFonts w:ascii="Cambria" w:hAnsi="Cambria"/>
              </w:rPr>
              <w:t>Belice ha establecido un límite captura fortuita a bordo para todas las especies, incluido el pez espada del norte. El límite de captura fortuita establecido para los buques no autorizados a pescar esta especie exclusivamente es de 10 t. Esta cantidad se descuenta de la asignación de cuota total de Belice. Sin embargo, no tenemos ningún buque que haya comunicado captura fortuita de pez espada del sur.</w:t>
            </w:r>
          </w:p>
        </w:tc>
      </w:tr>
      <w:tr w:rsidR="00C57434" w:rsidRPr="00946249" w14:paraId="22B904FD"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639BF6F0" w14:textId="44A2F07C" w:rsidR="00C57434" w:rsidRPr="00946249" w:rsidRDefault="00EC4866" w:rsidP="00C57434">
            <w:pPr>
              <w:widowControl/>
              <w:autoSpaceDE/>
              <w:autoSpaceDN/>
              <w:adjustRightInd/>
              <w:rPr>
                <w:rFonts w:ascii="Cambria" w:hAnsi="Cambria" w:cs="Calibri"/>
                <w:color w:val="000000"/>
              </w:rPr>
            </w:pPr>
            <w:r w:rsidRPr="00946249">
              <w:rPr>
                <w:rFonts w:ascii="Cambria" w:hAnsi="Cambria"/>
                <w:color w:val="000000"/>
              </w:rPr>
              <w:t xml:space="preserve">China </w:t>
            </w:r>
          </w:p>
        </w:tc>
        <w:tc>
          <w:tcPr>
            <w:tcW w:w="3831" w:type="pct"/>
            <w:tcBorders>
              <w:top w:val="nil"/>
              <w:left w:val="nil"/>
              <w:bottom w:val="single" w:sz="8" w:space="0" w:color="auto"/>
              <w:right w:val="single" w:sz="8" w:space="0" w:color="auto"/>
            </w:tcBorders>
            <w:vAlign w:val="center"/>
            <w:hideMark/>
          </w:tcPr>
          <w:p w14:paraId="715D48A6" w14:textId="1438795F" w:rsidR="00C57434" w:rsidRPr="00946249" w:rsidRDefault="00B05F2B" w:rsidP="00C57434">
            <w:pPr>
              <w:widowControl/>
              <w:autoSpaceDE/>
              <w:autoSpaceDN/>
              <w:adjustRightInd/>
              <w:jc w:val="both"/>
              <w:rPr>
                <w:rFonts w:ascii="Cambria" w:hAnsi="Cambria" w:cs="Calibri"/>
              </w:rPr>
            </w:pPr>
            <w:r w:rsidRPr="00946249">
              <w:rPr>
                <w:rFonts w:ascii="Cambria" w:hAnsi="Cambria"/>
              </w:rPr>
              <w:t>China no tiene buques que se dirijan al pez espada del norte ni al pez espada del sur. Todos los peces espada se capturan de forma fortuita y todos los palangreros tropicales pueden capturar peces espada de forma fortuita. En 2024, China disponía de 115 t de cuota de pez espada del norte y 344,3 t de pez espada del sur. China estableció un límite de capturas de pez espada del norte y pez espada del sur para cada palangrero basado en el TAC asignado a China según las Recomendaciones para el pez espada del norte y para el pez espada del sur. Cada buque debe respetar estrictamente el límite de capturas que se le haya fijado.</w:t>
            </w:r>
          </w:p>
        </w:tc>
      </w:tr>
      <w:tr w:rsidR="00C57434" w:rsidRPr="00946249" w14:paraId="518935AE"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3589047D" w14:textId="1A772783" w:rsidR="00C57434" w:rsidRPr="00946249" w:rsidRDefault="00EC4866" w:rsidP="00C57434">
            <w:pPr>
              <w:widowControl/>
              <w:autoSpaceDE/>
              <w:autoSpaceDN/>
              <w:adjustRightInd/>
              <w:rPr>
                <w:rFonts w:ascii="Cambria" w:hAnsi="Cambria" w:cs="Calibri"/>
                <w:color w:val="000000"/>
              </w:rPr>
            </w:pPr>
            <w:r w:rsidRPr="00946249">
              <w:rPr>
                <w:rFonts w:ascii="Cambria" w:hAnsi="Cambria"/>
                <w:color w:val="000000"/>
              </w:rPr>
              <w:t>Curazao</w:t>
            </w:r>
          </w:p>
        </w:tc>
        <w:tc>
          <w:tcPr>
            <w:tcW w:w="3831" w:type="pct"/>
            <w:tcBorders>
              <w:top w:val="nil"/>
              <w:left w:val="nil"/>
              <w:bottom w:val="single" w:sz="8" w:space="0" w:color="auto"/>
              <w:right w:val="single" w:sz="8" w:space="0" w:color="auto"/>
            </w:tcBorders>
            <w:vAlign w:val="center"/>
            <w:hideMark/>
          </w:tcPr>
          <w:p w14:paraId="647E04C0" w14:textId="2D06241E" w:rsidR="00C57434" w:rsidRPr="00946249" w:rsidRDefault="008A125E" w:rsidP="00C57434">
            <w:pPr>
              <w:widowControl/>
              <w:autoSpaceDE/>
              <w:autoSpaceDN/>
              <w:adjustRightInd/>
              <w:jc w:val="both"/>
              <w:rPr>
                <w:rFonts w:ascii="Cambria" w:hAnsi="Cambria" w:cs="Calibri"/>
              </w:rPr>
            </w:pPr>
            <w:r w:rsidRPr="00946249">
              <w:rPr>
                <w:rFonts w:ascii="Cambria" w:hAnsi="Cambria"/>
              </w:rPr>
              <w:t>En el caso de las actividades pesqueras, Curazao llegó a un acuerdo con los buques en cuanto a un límite máximo de 10 t de captura fortuita. En este caso, no hubo actividades pesqueras durante 2024.</w:t>
            </w:r>
          </w:p>
        </w:tc>
      </w:tr>
      <w:tr w:rsidR="00C57434" w:rsidRPr="00946249" w14:paraId="1B4021D0" w14:textId="77777777" w:rsidTr="00C57434">
        <w:tc>
          <w:tcPr>
            <w:tcW w:w="1169" w:type="pct"/>
            <w:tcBorders>
              <w:top w:val="nil"/>
              <w:left w:val="single" w:sz="8" w:space="0" w:color="auto"/>
              <w:bottom w:val="single" w:sz="8" w:space="0" w:color="auto"/>
              <w:right w:val="single" w:sz="8" w:space="0" w:color="auto"/>
            </w:tcBorders>
            <w:noWrap/>
            <w:vAlign w:val="center"/>
            <w:hideMark/>
          </w:tcPr>
          <w:p w14:paraId="17DD3EB0" w14:textId="42D7AF01" w:rsidR="00C57434" w:rsidRPr="00946249" w:rsidRDefault="00EC4866" w:rsidP="00C57434">
            <w:pPr>
              <w:widowControl/>
              <w:autoSpaceDE/>
              <w:autoSpaceDN/>
              <w:adjustRightInd/>
              <w:rPr>
                <w:rFonts w:ascii="Cambria" w:hAnsi="Cambria" w:cs="Calibri"/>
                <w:color w:val="000000"/>
              </w:rPr>
            </w:pPr>
            <w:r w:rsidRPr="00946249">
              <w:rPr>
                <w:rFonts w:ascii="Cambria" w:hAnsi="Cambria"/>
                <w:color w:val="000000"/>
              </w:rPr>
              <w:t>Unión Europea</w:t>
            </w:r>
          </w:p>
        </w:tc>
        <w:tc>
          <w:tcPr>
            <w:tcW w:w="3831" w:type="pct"/>
            <w:tcBorders>
              <w:top w:val="nil"/>
              <w:left w:val="nil"/>
              <w:bottom w:val="single" w:sz="8" w:space="0" w:color="auto"/>
              <w:right w:val="single" w:sz="8" w:space="0" w:color="auto"/>
            </w:tcBorders>
            <w:vAlign w:val="center"/>
            <w:hideMark/>
          </w:tcPr>
          <w:p w14:paraId="1DBA9DB0" w14:textId="18420356" w:rsidR="00C57434" w:rsidRPr="00946249" w:rsidRDefault="00805709" w:rsidP="00C57434">
            <w:pPr>
              <w:widowControl/>
              <w:autoSpaceDE/>
              <w:autoSpaceDN/>
              <w:adjustRightInd/>
              <w:jc w:val="both"/>
              <w:rPr>
                <w:rFonts w:ascii="Cambria" w:hAnsi="Cambria"/>
                <w:color w:val="000000"/>
              </w:rPr>
            </w:pPr>
            <w:r w:rsidRPr="00946249">
              <w:rPr>
                <w:rFonts w:ascii="Cambria" w:hAnsi="Cambria"/>
                <w:color w:val="000000"/>
              </w:rPr>
              <w:t>Dependiendo del Estado miembro de la UE, los límites de las capturas fortuitas pueden variar. En la Sección 2 de su Informe anual se incluye información adicional.</w:t>
            </w:r>
          </w:p>
        </w:tc>
      </w:tr>
    </w:tbl>
    <w:p w14:paraId="04209CFC" w14:textId="77777777" w:rsidR="00C57434" w:rsidRPr="00946249" w:rsidRDefault="00C57434" w:rsidP="00820485">
      <w:pPr>
        <w:tabs>
          <w:tab w:val="left" w:pos="1276"/>
          <w:tab w:val="left" w:pos="1418"/>
          <w:tab w:val="left" w:leader="dot" w:pos="8222"/>
          <w:tab w:val="right" w:pos="8647"/>
        </w:tabs>
        <w:jc w:val="both"/>
        <w:rPr>
          <w:rFonts w:ascii="Cambria" w:hAnsi="Cambria" w:cs="Calibri"/>
          <w:color w:val="000000"/>
        </w:rPr>
      </w:pPr>
    </w:p>
    <w:p w14:paraId="73764076" w14:textId="0D7CF6E1" w:rsidR="008F44BD" w:rsidRPr="00946249" w:rsidRDefault="008F44BD" w:rsidP="00820485">
      <w:pPr>
        <w:tabs>
          <w:tab w:val="left" w:pos="1276"/>
          <w:tab w:val="left" w:pos="1418"/>
          <w:tab w:val="left" w:leader="dot" w:pos="8222"/>
          <w:tab w:val="right" w:pos="8647"/>
        </w:tabs>
        <w:jc w:val="both"/>
        <w:rPr>
          <w:rFonts w:ascii="Cambria" w:hAnsi="Cambria"/>
          <w:b/>
          <w:bCs/>
          <w:iCs/>
        </w:rPr>
      </w:pPr>
      <w:r w:rsidRPr="00946249">
        <w:rPr>
          <w:rFonts w:ascii="Cambria" w:hAnsi="Cambria"/>
          <w:color w:val="000000"/>
        </w:rPr>
        <w:t xml:space="preserve">Cabe señalar que lo anterior solo muestra las CPC que han indicado que se ha establecido un límite. En muchos casos, no se ha establecido un límite porque todos los buques pertinentes cuentan con licencia y/o porque no se permite la captura fortuita. </w:t>
      </w:r>
      <w:bookmarkStart w:id="2" w:name="_Hlk211950338"/>
      <w:r w:rsidRPr="00946249">
        <w:rPr>
          <w:rFonts w:ascii="Cambria" w:hAnsi="Cambria"/>
          <w:color w:val="000000"/>
        </w:rPr>
        <w:t>Sin embargo, algunas de las respuestas sobre los límites máximos de captura fortuita no son coherentes, ya que las CPC no han leído o comprendido el requisito. En varios casos, se han mezclado las especies o se han dado respuestas totalmente irrelevantes (por ejemplo, que no hay pesquería dirigida a esta especie o que no hay buques con pabellón de XX que pesquen esta especie).</w:t>
      </w:r>
    </w:p>
    <w:bookmarkEnd w:id="2"/>
    <w:p w14:paraId="759A4DDC" w14:textId="71999EEB" w:rsidR="004451B9" w:rsidRPr="00946249" w:rsidRDefault="004451B9" w:rsidP="00820485">
      <w:pPr>
        <w:tabs>
          <w:tab w:val="left" w:pos="1276"/>
          <w:tab w:val="left" w:pos="1418"/>
          <w:tab w:val="left" w:leader="dot" w:pos="8222"/>
          <w:tab w:val="right" w:pos="8647"/>
        </w:tabs>
        <w:jc w:val="both"/>
        <w:rPr>
          <w:rFonts w:ascii="Cambria" w:hAnsi="Cambria"/>
          <w:bCs/>
        </w:rPr>
      </w:pPr>
      <w:r w:rsidRPr="00946249">
        <w:rPr>
          <w:rFonts w:ascii="Cambria" w:hAnsi="Cambria"/>
          <w:b/>
          <w:bCs/>
          <w:i/>
          <w:iCs/>
        </w:rPr>
        <w:lastRenderedPageBreak/>
        <w:t>Cumplimiento de los límites de captura/cuotas</w:t>
      </w:r>
      <w:r w:rsidRPr="00946249">
        <w:rPr>
          <w:rFonts w:ascii="Cambria" w:hAnsi="Cambria"/>
        </w:rPr>
        <w:t>: véase el documento "Tablas de cumplimiento de 2024 recibidas en 2025" [COC_304/2025]</w:t>
      </w:r>
      <w:r w:rsidRPr="00946249">
        <w:rPr>
          <w:rFonts w:ascii="Cambria" w:hAnsi="Cambria"/>
          <w:b/>
          <w:bCs/>
        </w:rPr>
        <w:t>.</w:t>
      </w:r>
    </w:p>
    <w:p w14:paraId="3BA9F552" w14:textId="5F5A3898" w:rsidR="004451B9" w:rsidRPr="00946249" w:rsidRDefault="004451B9" w:rsidP="00820485">
      <w:pPr>
        <w:tabs>
          <w:tab w:val="left" w:pos="1276"/>
          <w:tab w:val="left" w:pos="1418"/>
          <w:tab w:val="left" w:leader="dot" w:pos="8222"/>
          <w:tab w:val="right" w:pos="8647"/>
        </w:tabs>
        <w:ind w:firstLine="426"/>
        <w:rPr>
          <w:rFonts w:ascii="Cambria" w:hAnsi="Cambria"/>
          <w:b/>
          <w:bCs/>
        </w:rPr>
      </w:pPr>
    </w:p>
    <w:p w14:paraId="5F01E33A" w14:textId="77777777" w:rsidR="00501981" w:rsidRPr="00946249" w:rsidRDefault="00501981" w:rsidP="00820485">
      <w:pPr>
        <w:tabs>
          <w:tab w:val="left" w:pos="1276"/>
          <w:tab w:val="left" w:pos="1418"/>
          <w:tab w:val="left" w:leader="dot" w:pos="8222"/>
          <w:tab w:val="right" w:pos="8647"/>
        </w:tabs>
        <w:rPr>
          <w:rFonts w:ascii="Cambria" w:hAnsi="Cambria"/>
          <w:b/>
          <w:bCs/>
        </w:rPr>
      </w:pPr>
    </w:p>
    <w:p w14:paraId="02352322" w14:textId="0BB5F843" w:rsidR="00F225F3" w:rsidRPr="00C7012F" w:rsidRDefault="00F225F3" w:rsidP="00820485">
      <w:pPr>
        <w:tabs>
          <w:tab w:val="left" w:pos="1276"/>
          <w:tab w:val="left" w:pos="1418"/>
          <w:tab w:val="left" w:leader="dot" w:pos="8222"/>
          <w:tab w:val="right" w:pos="8647"/>
        </w:tabs>
        <w:rPr>
          <w:rFonts w:ascii="Cambria" w:hAnsi="Cambria"/>
          <w:b/>
          <w:bCs/>
          <w:i/>
          <w:iCs/>
          <w:lang w:val="it-IT"/>
        </w:rPr>
      </w:pPr>
      <w:r w:rsidRPr="00C7012F">
        <w:rPr>
          <w:rFonts w:ascii="Cambria" w:hAnsi="Cambria"/>
          <w:b/>
          <w:lang w:val="it-IT"/>
        </w:rPr>
        <w:t xml:space="preserve">ALB </w:t>
      </w:r>
      <w:proofErr w:type="gramStart"/>
      <w:r w:rsidRPr="00C7012F">
        <w:rPr>
          <w:rFonts w:ascii="Cambria" w:hAnsi="Cambria"/>
          <w:b/>
          <w:lang w:val="it-IT"/>
        </w:rPr>
        <w:t>-  ATÚN</w:t>
      </w:r>
      <w:proofErr w:type="gramEnd"/>
      <w:r w:rsidRPr="00C7012F">
        <w:rPr>
          <w:rFonts w:ascii="Cambria" w:hAnsi="Cambria"/>
          <w:b/>
          <w:lang w:val="it-IT"/>
        </w:rPr>
        <w:t xml:space="preserve"> BLANCO (</w:t>
      </w:r>
      <w:proofErr w:type="spellStart"/>
      <w:r w:rsidRPr="00C7012F">
        <w:rPr>
          <w:rFonts w:ascii="Cambria" w:hAnsi="Cambria"/>
          <w:b/>
          <w:i/>
          <w:iCs/>
          <w:lang w:val="it-IT"/>
        </w:rPr>
        <w:t>Thunnus</w:t>
      </w:r>
      <w:proofErr w:type="spellEnd"/>
      <w:r w:rsidRPr="00C7012F">
        <w:rPr>
          <w:rFonts w:ascii="Cambria" w:hAnsi="Cambria"/>
          <w:b/>
          <w:i/>
          <w:iCs/>
          <w:lang w:val="it-IT"/>
        </w:rPr>
        <w:t xml:space="preserve"> alalunga</w:t>
      </w:r>
      <w:r w:rsidRPr="00C7012F">
        <w:rPr>
          <w:rFonts w:ascii="Cambria" w:hAnsi="Cambria"/>
          <w:b/>
          <w:lang w:val="it-IT"/>
        </w:rPr>
        <w:t>)</w:t>
      </w:r>
    </w:p>
    <w:p w14:paraId="4B9188BF" w14:textId="77777777" w:rsidR="00F225F3" w:rsidRPr="00C7012F" w:rsidRDefault="00F225F3" w:rsidP="00820485">
      <w:pPr>
        <w:tabs>
          <w:tab w:val="left" w:pos="1276"/>
          <w:tab w:val="left" w:pos="1418"/>
          <w:tab w:val="left" w:leader="dot" w:pos="8222"/>
          <w:tab w:val="right" w:pos="8647"/>
        </w:tabs>
        <w:ind w:firstLine="426"/>
        <w:rPr>
          <w:rFonts w:ascii="Cambria" w:hAnsi="Cambria"/>
          <w:b/>
          <w:bCs/>
          <w:i/>
          <w:iCs/>
          <w:lang w:val="it-IT"/>
        </w:rPr>
      </w:pPr>
    </w:p>
    <w:p w14:paraId="1FFA614D" w14:textId="0AEB9B11" w:rsidR="00501981" w:rsidRPr="00946249" w:rsidRDefault="00905BD5" w:rsidP="00501981">
      <w:pPr>
        <w:tabs>
          <w:tab w:val="left" w:pos="1276"/>
          <w:tab w:val="left" w:pos="1418"/>
          <w:tab w:val="left" w:leader="dot" w:pos="8222"/>
          <w:tab w:val="right" w:pos="8647"/>
        </w:tabs>
        <w:jc w:val="both"/>
        <w:rPr>
          <w:rFonts w:ascii="Cambria" w:hAnsi="Cambria"/>
          <w:iCs/>
        </w:rPr>
      </w:pPr>
      <w:r w:rsidRPr="00946249">
        <w:rPr>
          <w:rFonts w:ascii="Cambria" w:hAnsi="Cambria"/>
          <w:i/>
        </w:rPr>
        <w:t>[21-04] Recomendación de ICCAT sobre medidas de conservación y ordenación, incluido un procedimiento de ordenación y un protocolo de circunstancias excepcionales, para el atún blanco del Atlántico norte</w:t>
      </w:r>
      <w:r w:rsidR="00D713CB" w:rsidRPr="00946249">
        <w:rPr>
          <w:rFonts w:ascii="Cambria" w:hAnsi="Cambria"/>
          <w:i/>
        </w:rPr>
        <w:t>,</w:t>
      </w:r>
      <w:r w:rsidRPr="00946249">
        <w:rPr>
          <w:rFonts w:ascii="Cambria" w:hAnsi="Cambria"/>
          <w:i/>
        </w:rPr>
        <w:t xml:space="preserve"> </w:t>
      </w:r>
      <w:r w:rsidRPr="00946249">
        <w:rPr>
          <w:rFonts w:ascii="Cambria" w:hAnsi="Cambria"/>
        </w:rPr>
        <w:t xml:space="preserve">enmendada por la </w:t>
      </w:r>
      <w:r w:rsidRPr="00946249">
        <w:rPr>
          <w:rFonts w:ascii="Cambria" w:hAnsi="Cambria"/>
          <w:i/>
        </w:rPr>
        <w:t>[23-05] Recomendación de ICCAT que enmienda la Recomendación 21-04 sobre medidas de conservación y ordenación, incluido un procedimiento de ordenación y un protocolo de circunstancias excepcionales, para el atún blanco del Atlántico norte.</w:t>
      </w:r>
    </w:p>
    <w:p w14:paraId="75BA4E17" w14:textId="77777777" w:rsidR="00501981" w:rsidRPr="00946249" w:rsidRDefault="00501981" w:rsidP="00820485">
      <w:pPr>
        <w:tabs>
          <w:tab w:val="left" w:pos="1276"/>
          <w:tab w:val="left" w:pos="1418"/>
          <w:tab w:val="left" w:leader="dot" w:pos="8222"/>
          <w:tab w:val="right" w:pos="8647"/>
        </w:tabs>
        <w:jc w:val="both"/>
        <w:rPr>
          <w:rFonts w:ascii="Cambria" w:hAnsi="Cambria"/>
          <w:bCs/>
          <w:i/>
        </w:rPr>
      </w:pPr>
    </w:p>
    <w:p w14:paraId="3A1B89C6" w14:textId="371F0280" w:rsidR="00D26C9B" w:rsidRPr="00946249" w:rsidRDefault="00D26C9B"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No se requiere una comunicación específica a la Secretaría que no sea la información que tiene que incluirse en la Sección 4 del Informe anual. </w:t>
      </w:r>
    </w:p>
    <w:p w14:paraId="4C56DC5C" w14:textId="77777777" w:rsidR="00021885" w:rsidRPr="00946249" w:rsidRDefault="00021885" w:rsidP="00820485">
      <w:pPr>
        <w:tabs>
          <w:tab w:val="left" w:pos="1276"/>
          <w:tab w:val="left" w:pos="1418"/>
          <w:tab w:val="left" w:leader="dot" w:pos="8222"/>
          <w:tab w:val="right" w:pos="8647"/>
        </w:tabs>
        <w:ind w:firstLine="426"/>
        <w:rPr>
          <w:rFonts w:ascii="Cambria" w:hAnsi="Cambria"/>
          <w:bCs/>
        </w:rPr>
      </w:pPr>
    </w:p>
    <w:p w14:paraId="2DEA9697" w14:textId="2CB34271" w:rsidR="00AA4E39" w:rsidRPr="00946249" w:rsidRDefault="0027310F" w:rsidP="00820485">
      <w:pPr>
        <w:tabs>
          <w:tab w:val="left" w:pos="1276"/>
          <w:tab w:val="left" w:pos="1418"/>
          <w:tab w:val="left" w:leader="dot" w:pos="8222"/>
          <w:tab w:val="right" w:pos="8647"/>
        </w:tabs>
        <w:jc w:val="both"/>
        <w:rPr>
          <w:rFonts w:ascii="Cambria" w:hAnsi="Cambria"/>
          <w:bCs/>
        </w:rPr>
      </w:pPr>
      <w:r w:rsidRPr="00946249">
        <w:rPr>
          <w:rFonts w:ascii="Cambria" w:hAnsi="Cambria"/>
        </w:rPr>
        <w:t xml:space="preserve">De conformidad con la Rec. 21-04, los buques autorizados de 20 m o más con autorizaciones específicas para el atún blanco del norte pueden consultarse en el </w:t>
      </w:r>
      <w:hyperlink r:id="rId13" w:history="1">
        <w:r w:rsidRPr="00946249">
          <w:rPr>
            <w:rStyle w:val="Hyperlink"/>
            <w:rFonts w:ascii="Cambria" w:hAnsi="Cambria"/>
            <w:u w:val="none"/>
          </w:rPr>
          <w:t>Registro ICCAT de buques</w:t>
        </w:r>
      </w:hyperlink>
      <w:r w:rsidRPr="00946249">
        <w:rPr>
          <w:rFonts w:ascii="Cambria" w:hAnsi="Cambria"/>
        </w:rPr>
        <w:t>.</w:t>
      </w:r>
    </w:p>
    <w:p w14:paraId="5329AD27" w14:textId="77777777" w:rsidR="00145308" w:rsidRPr="00946249" w:rsidRDefault="00145308" w:rsidP="00145308">
      <w:pPr>
        <w:tabs>
          <w:tab w:val="left" w:pos="1276"/>
          <w:tab w:val="left" w:pos="1418"/>
          <w:tab w:val="left" w:leader="dot" w:pos="8222"/>
          <w:tab w:val="right" w:pos="8647"/>
        </w:tabs>
        <w:jc w:val="both"/>
        <w:rPr>
          <w:rFonts w:ascii="Cambria" w:hAnsi="Cambria"/>
          <w:bCs/>
        </w:rPr>
      </w:pPr>
    </w:p>
    <w:p w14:paraId="3B979207" w14:textId="7745FDE2" w:rsidR="00145308" w:rsidRPr="00946249" w:rsidRDefault="00145308" w:rsidP="00145308">
      <w:pPr>
        <w:tabs>
          <w:tab w:val="left" w:pos="1276"/>
          <w:tab w:val="left" w:pos="1418"/>
          <w:tab w:val="left" w:leader="dot" w:pos="8222"/>
          <w:tab w:val="right" w:pos="8647"/>
        </w:tabs>
        <w:jc w:val="both"/>
        <w:rPr>
          <w:rFonts w:ascii="Cambria" w:hAnsi="Cambria"/>
          <w:bCs/>
        </w:rPr>
      </w:pPr>
      <w:r w:rsidRPr="00946249">
        <w:rPr>
          <w:rFonts w:ascii="Cambria" w:hAnsi="Cambria"/>
        </w:rPr>
        <w:t>Una CPC con cuota actualmente no tienen buques (de 20 m o más) inscritos en el Registro ICCAT de buques autorizados a capturar atún blanco del norte: Venezuela</w:t>
      </w:r>
    </w:p>
    <w:p w14:paraId="568B411B" w14:textId="77777777" w:rsidR="00501981" w:rsidRPr="00946249" w:rsidRDefault="00501981" w:rsidP="00820485">
      <w:pPr>
        <w:tabs>
          <w:tab w:val="left" w:pos="1276"/>
          <w:tab w:val="left" w:pos="1418"/>
          <w:tab w:val="left" w:leader="dot" w:pos="8222"/>
          <w:tab w:val="right" w:pos="8647"/>
        </w:tabs>
        <w:jc w:val="both"/>
        <w:rPr>
          <w:rFonts w:ascii="Cambria" w:hAnsi="Cambria"/>
          <w:bCs/>
        </w:rPr>
      </w:pPr>
    </w:p>
    <w:p w14:paraId="2A8B693C" w14:textId="72338228" w:rsidR="00501981" w:rsidRPr="00946249" w:rsidRDefault="00501981" w:rsidP="00501981">
      <w:pPr>
        <w:tabs>
          <w:tab w:val="left" w:pos="1276"/>
          <w:tab w:val="left" w:pos="1418"/>
          <w:tab w:val="left" w:leader="dot" w:pos="8222"/>
          <w:tab w:val="right" w:pos="8647"/>
        </w:tabs>
        <w:jc w:val="both"/>
        <w:rPr>
          <w:rFonts w:ascii="Cambria" w:hAnsi="Cambria"/>
        </w:rPr>
      </w:pPr>
      <w:r w:rsidRPr="00946249">
        <w:rPr>
          <w:rFonts w:ascii="Cambria" w:hAnsi="Cambria"/>
        </w:rPr>
        <w:t>De conformidad con el párrafo 13 de la Rec. 21-04, las siguientes CPC han informado en sus informes anuales del límite máximo de captura fortuita a bordo de atún blanco del norte:</w:t>
      </w:r>
    </w:p>
    <w:p w14:paraId="3E79A8D0" w14:textId="77777777" w:rsidR="00501981" w:rsidRPr="00946249" w:rsidRDefault="00501981" w:rsidP="00820485">
      <w:pPr>
        <w:tabs>
          <w:tab w:val="left" w:pos="1276"/>
          <w:tab w:val="left" w:pos="1418"/>
          <w:tab w:val="left" w:leader="dot" w:pos="8222"/>
          <w:tab w:val="right" w:pos="8647"/>
        </w:tabs>
        <w:jc w:val="both"/>
        <w:rPr>
          <w:rFonts w:ascii="Cambria" w:hAnsi="Cambria"/>
          <w:bCs/>
        </w:rPr>
      </w:pPr>
    </w:p>
    <w:tbl>
      <w:tblPr>
        <w:tblW w:w="5000" w:type="pct"/>
        <w:tblLook w:val="04A0" w:firstRow="1" w:lastRow="0" w:firstColumn="1" w:lastColumn="0" w:noHBand="0" w:noVBand="1"/>
      </w:tblPr>
      <w:tblGrid>
        <w:gridCol w:w="1833"/>
        <w:gridCol w:w="7222"/>
      </w:tblGrid>
      <w:tr w:rsidR="00E13086" w:rsidRPr="00946249" w14:paraId="02CFC7FD" w14:textId="77777777" w:rsidTr="00E13086">
        <w:tc>
          <w:tcPr>
            <w:tcW w:w="1012" w:type="pct"/>
            <w:tcBorders>
              <w:top w:val="single" w:sz="8" w:space="0" w:color="auto"/>
              <w:left w:val="single" w:sz="8" w:space="0" w:color="auto"/>
              <w:bottom w:val="single" w:sz="8" w:space="0" w:color="auto"/>
              <w:right w:val="single" w:sz="8" w:space="0" w:color="auto"/>
            </w:tcBorders>
            <w:vAlign w:val="center"/>
            <w:hideMark/>
          </w:tcPr>
          <w:p w14:paraId="0AB0D2F8" w14:textId="77777777" w:rsidR="00E13086" w:rsidRPr="00946249" w:rsidRDefault="00E13086" w:rsidP="00E13086">
            <w:pPr>
              <w:widowControl/>
              <w:autoSpaceDE/>
              <w:autoSpaceDN/>
              <w:adjustRightInd/>
              <w:jc w:val="center"/>
              <w:rPr>
                <w:rFonts w:ascii="Cambria" w:hAnsi="Cambria" w:cs="Calibri"/>
                <w:i/>
                <w:iCs/>
                <w:color w:val="000000"/>
              </w:rPr>
            </w:pPr>
            <w:r w:rsidRPr="00946249">
              <w:rPr>
                <w:rFonts w:ascii="Cambria" w:hAnsi="Cambria"/>
                <w:i/>
                <w:color w:val="000000"/>
              </w:rPr>
              <w:t>CPC</w:t>
            </w:r>
          </w:p>
        </w:tc>
        <w:tc>
          <w:tcPr>
            <w:tcW w:w="3988" w:type="pct"/>
            <w:tcBorders>
              <w:top w:val="single" w:sz="8" w:space="0" w:color="auto"/>
              <w:left w:val="nil"/>
              <w:bottom w:val="single" w:sz="8" w:space="0" w:color="auto"/>
              <w:right w:val="single" w:sz="8" w:space="0" w:color="auto"/>
            </w:tcBorders>
            <w:vAlign w:val="center"/>
            <w:hideMark/>
          </w:tcPr>
          <w:p w14:paraId="3C9A3428" w14:textId="77777777" w:rsidR="00E13086" w:rsidRPr="00946249" w:rsidRDefault="00E13086" w:rsidP="00E13086">
            <w:pPr>
              <w:widowControl/>
              <w:autoSpaceDE/>
              <w:autoSpaceDN/>
              <w:adjustRightInd/>
              <w:jc w:val="center"/>
              <w:rPr>
                <w:rFonts w:ascii="Cambria" w:hAnsi="Cambria" w:cs="Calibri"/>
                <w:i/>
                <w:iCs/>
                <w:color w:val="000000"/>
              </w:rPr>
            </w:pPr>
            <w:r w:rsidRPr="00946249">
              <w:rPr>
                <w:rFonts w:ascii="Cambria" w:hAnsi="Cambria"/>
                <w:i/>
                <w:color w:val="000000"/>
              </w:rPr>
              <w:t>Respuesta</w:t>
            </w:r>
          </w:p>
        </w:tc>
      </w:tr>
      <w:tr w:rsidR="00E13086" w:rsidRPr="00946249" w14:paraId="64E7C7F6" w14:textId="77777777" w:rsidTr="00E13086">
        <w:tc>
          <w:tcPr>
            <w:tcW w:w="1012" w:type="pct"/>
            <w:tcBorders>
              <w:top w:val="nil"/>
              <w:left w:val="single" w:sz="8" w:space="0" w:color="auto"/>
              <w:bottom w:val="single" w:sz="8" w:space="0" w:color="auto"/>
              <w:right w:val="single" w:sz="8" w:space="0" w:color="auto"/>
            </w:tcBorders>
            <w:vAlign w:val="center"/>
            <w:hideMark/>
          </w:tcPr>
          <w:p w14:paraId="7837E623" w14:textId="708DC2F4" w:rsidR="00E13086" w:rsidRPr="00946249" w:rsidRDefault="000F7BE0" w:rsidP="00E13086">
            <w:pPr>
              <w:widowControl/>
              <w:autoSpaceDE/>
              <w:autoSpaceDN/>
              <w:adjustRightInd/>
              <w:rPr>
                <w:rFonts w:ascii="Cambria" w:hAnsi="Cambria" w:cs="Calibri"/>
                <w:color w:val="000000"/>
              </w:rPr>
            </w:pPr>
            <w:r w:rsidRPr="00946249">
              <w:rPr>
                <w:rFonts w:ascii="Cambria" w:hAnsi="Cambria"/>
                <w:color w:val="000000"/>
              </w:rPr>
              <w:t>Belice</w:t>
            </w:r>
          </w:p>
        </w:tc>
        <w:tc>
          <w:tcPr>
            <w:tcW w:w="3988" w:type="pct"/>
            <w:tcBorders>
              <w:top w:val="nil"/>
              <w:left w:val="nil"/>
              <w:bottom w:val="single" w:sz="8" w:space="0" w:color="auto"/>
              <w:right w:val="single" w:sz="8" w:space="0" w:color="auto"/>
            </w:tcBorders>
            <w:vAlign w:val="center"/>
            <w:hideMark/>
          </w:tcPr>
          <w:p w14:paraId="1384B386" w14:textId="10EB072F" w:rsidR="00E13086" w:rsidRPr="00946249" w:rsidRDefault="00DC0214" w:rsidP="00E13086">
            <w:pPr>
              <w:widowControl/>
              <w:autoSpaceDE/>
              <w:autoSpaceDN/>
              <w:adjustRightInd/>
              <w:jc w:val="both"/>
              <w:rPr>
                <w:rFonts w:ascii="Cambria" w:hAnsi="Cambria" w:cs="Calibri"/>
              </w:rPr>
            </w:pPr>
            <w:r w:rsidRPr="00946249">
              <w:rPr>
                <w:rFonts w:ascii="Cambria" w:hAnsi="Cambria"/>
              </w:rPr>
              <w:t>Belice ha establecido un límite captura fortuita a bordo en todas las especies, incluido el atún blanco del norte. El límite de captura fortuita establecido para los buques no autorizados a pescar esta especie exclusivamente es de 10 t. Esta cantidad se descuenta de la asignación de cuota total de Belice. Sin embargo, no tenemos ningún buque que haya comunicado captura fortuita de atún blanco del norte.</w:t>
            </w:r>
          </w:p>
        </w:tc>
      </w:tr>
      <w:tr w:rsidR="00E13086" w:rsidRPr="00946249" w14:paraId="49E573EA" w14:textId="77777777" w:rsidTr="00E13086">
        <w:tc>
          <w:tcPr>
            <w:tcW w:w="1012" w:type="pct"/>
            <w:tcBorders>
              <w:top w:val="nil"/>
              <w:left w:val="single" w:sz="8" w:space="0" w:color="auto"/>
              <w:bottom w:val="single" w:sz="8" w:space="0" w:color="auto"/>
              <w:right w:val="single" w:sz="8" w:space="0" w:color="auto"/>
            </w:tcBorders>
            <w:vAlign w:val="center"/>
            <w:hideMark/>
          </w:tcPr>
          <w:p w14:paraId="2AEF0F9F" w14:textId="1BCE20F6" w:rsidR="00E13086" w:rsidRPr="00946249" w:rsidRDefault="000F7BE0" w:rsidP="00E13086">
            <w:pPr>
              <w:widowControl/>
              <w:autoSpaceDE/>
              <w:autoSpaceDN/>
              <w:adjustRightInd/>
              <w:rPr>
                <w:rFonts w:ascii="Cambria" w:hAnsi="Cambria" w:cs="Calibri"/>
                <w:color w:val="000000"/>
              </w:rPr>
            </w:pPr>
            <w:r w:rsidRPr="00946249">
              <w:rPr>
                <w:rFonts w:ascii="Cambria" w:hAnsi="Cambria"/>
                <w:color w:val="000000"/>
              </w:rPr>
              <w:t>China</w:t>
            </w:r>
          </w:p>
        </w:tc>
        <w:tc>
          <w:tcPr>
            <w:tcW w:w="3988" w:type="pct"/>
            <w:tcBorders>
              <w:top w:val="nil"/>
              <w:left w:val="nil"/>
              <w:bottom w:val="single" w:sz="8" w:space="0" w:color="auto"/>
              <w:right w:val="single" w:sz="8" w:space="0" w:color="auto"/>
            </w:tcBorders>
            <w:vAlign w:val="center"/>
            <w:hideMark/>
          </w:tcPr>
          <w:p w14:paraId="303705C7" w14:textId="679206AF" w:rsidR="00E13086" w:rsidRPr="00946249" w:rsidRDefault="00B05F2B" w:rsidP="00E13086">
            <w:pPr>
              <w:widowControl/>
              <w:autoSpaceDE/>
              <w:autoSpaceDN/>
              <w:adjustRightInd/>
              <w:jc w:val="both"/>
              <w:rPr>
                <w:rFonts w:ascii="Cambria" w:hAnsi="Cambria" w:cs="Calibri"/>
              </w:rPr>
            </w:pPr>
            <w:r w:rsidRPr="00946249">
              <w:rPr>
                <w:rFonts w:ascii="Cambria" w:hAnsi="Cambria"/>
              </w:rPr>
              <w:t>China no cuenta con buques que se dirijan al atún blanco del Atlántico norte ni al atún blanco del Atlántico sur, todo el atún blanco se captura de forma fortuita y cualquier palangrero tropical puede capturar atún blanco de forma fortuita. En 2024, China disponía de 357,88 t de atún blanco del norte y 242,98 t de atún blanco del sur. China estableció un límite de capturas de atún blanco del norte y atún blanco del sur para cada palangrero basado en el TAC asignado a China según las Recomendaciones para el atún blanco del norte y para el atún blanco del sur. Cada buque debe respetar estrictamente el límite de capturas que se le haya fijado.</w:t>
            </w:r>
          </w:p>
        </w:tc>
      </w:tr>
      <w:tr w:rsidR="00E13086" w:rsidRPr="00946249" w14:paraId="0F0A8A02" w14:textId="77777777" w:rsidTr="00E13086">
        <w:tc>
          <w:tcPr>
            <w:tcW w:w="1012" w:type="pct"/>
            <w:tcBorders>
              <w:top w:val="nil"/>
              <w:left w:val="single" w:sz="8" w:space="0" w:color="auto"/>
              <w:bottom w:val="single" w:sz="8" w:space="0" w:color="auto"/>
              <w:right w:val="single" w:sz="8" w:space="0" w:color="auto"/>
            </w:tcBorders>
            <w:noWrap/>
            <w:vAlign w:val="center"/>
            <w:hideMark/>
          </w:tcPr>
          <w:p w14:paraId="0000C214" w14:textId="79FCAB01" w:rsidR="00E13086" w:rsidRPr="00946249" w:rsidRDefault="000F7BE0" w:rsidP="00E13086">
            <w:pPr>
              <w:widowControl/>
              <w:autoSpaceDE/>
              <w:autoSpaceDN/>
              <w:adjustRightInd/>
              <w:rPr>
                <w:rFonts w:ascii="Cambria" w:hAnsi="Cambria" w:cs="Calibri"/>
                <w:color w:val="000000"/>
              </w:rPr>
            </w:pPr>
            <w:r w:rsidRPr="00946249">
              <w:rPr>
                <w:rFonts w:ascii="Cambria" w:hAnsi="Cambria"/>
                <w:color w:val="000000"/>
              </w:rPr>
              <w:t>Curazao</w:t>
            </w:r>
          </w:p>
        </w:tc>
        <w:tc>
          <w:tcPr>
            <w:tcW w:w="3988" w:type="pct"/>
            <w:tcBorders>
              <w:top w:val="nil"/>
              <w:left w:val="nil"/>
              <w:bottom w:val="single" w:sz="8" w:space="0" w:color="auto"/>
              <w:right w:val="single" w:sz="8" w:space="0" w:color="auto"/>
            </w:tcBorders>
            <w:vAlign w:val="center"/>
            <w:hideMark/>
          </w:tcPr>
          <w:p w14:paraId="38221849" w14:textId="6AA1AE82" w:rsidR="00E13086" w:rsidRPr="00946249" w:rsidRDefault="00DC0214" w:rsidP="00E13086">
            <w:pPr>
              <w:widowControl/>
              <w:autoSpaceDE/>
              <w:autoSpaceDN/>
              <w:adjustRightInd/>
              <w:jc w:val="both"/>
              <w:rPr>
                <w:rFonts w:ascii="Cambria" w:hAnsi="Cambria" w:cs="Calibri"/>
                <w:color w:val="000000"/>
              </w:rPr>
            </w:pPr>
            <w:r w:rsidRPr="00946249">
              <w:rPr>
                <w:rFonts w:ascii="Cambria" w:hAnsi="Cambria"/>
                <w:color w:val="000000"/>
              </w:rPr>
              <w:t>No había ningún buque pesquero autorizado para realizar actividades pesqueras.  En caso de actividades pesqueras, [16</w:t>
            </w:r>
            <w:r w:rsidR="0093669A" w:rsidRPr="00946249">
              <w:rPr>
                <w:rFonts w:ascii="Cambria" w:hAnsi="Cambria"/>
                <w:color w:val="000000"/>
              </w:rPr>
              <w:t>-</w:t>
            </w:r>
            <w:r w:rsidRPr="00946249">
              <w:rPr>
                <w:rFonts w:ascii="Cambria" w:hAnsi="Cambria"/>
                <w:color w:val="000000"/>
              </w:rPr>
              <w:t>06]</w:t>
            </w:r>
            <w:r w:rsidR="0093669A" w:rsidRPr="00946249">
              <w:rPr>
                <w:rFonts w:ascii="Cambria" w:hAnsi="Cambria"/>
                <w:color w:val="000000"/>
              </w:rPr>
              <w:t>, para el l</w:t>
            </w:r>
            <w:r w:rsidRPr="00946249">
              <w:rPr>
                <w:rFonts w:ascii="Cambria" w:hAnsi="Cambria"/>
                <w:color w:val="000000"/>
              </w:rPr>
              <w:t>ímite de captura fortuita de atún blanco del norte</w:t>
            </w:r>
            <w:r w:rsidR="0093669A" w:rsidRPr="00946249">
              <w:rPr>
                <w:rFonts w:ascii="Cambria" w:hAnsi="Cambria"/>
                <w:color w:val="000000"/>
              </w:rPr>
              <w:t xml:space="preserve">, </w:t>
            </w:r>
            <w:r w:rsidRPr="00946249">
              <w:rPr>
                <w:rFonts w:ascii="Cambria" w:hAnsi="Cambria"/>
                <w:color w:val="000000"/>
              </w:rPr>
              <w:t xml:space="preserve">Curazao </w:t>
            </w:r>
            <w:r w:rsidR="0093669A" w:rsidRPr="00946249">
              <w:rPr>
                <w:rFonts w:ascii="Cambria" w:hAnsi="Cambria"/>
                <w:color w:val="000000"/>
              </w:rPr>
              <w:t xml:space="preserve">acordó </w:t>
            </w:r>
            <w:r w:rsidRPr="00946249">
              <w:rPr>
                <w:rFonts w:ascii="Cambria" w:hAnsi="Cambria"/>
                <w:color w:val="000000"/>
              </w:rPr>
              <w:t>con los buques un límite de 200 t.</w:t>
            </w:r>
          </w:p>
        </w:tc>
      </w:tr>
      <w:tr w:rsidR="00E13086" w:rsidRPr="00946249" w14:paraId="2C11B7F6" w14:textId="77777777" w:rsidTr="00E13086">
        <w:tc>
          <w:tcPr>
            <w:tcW w:w="1012" w:type="pct"/>
            <w:tcBorders>
              <w:top w:val="nil"/>
              <w:left w:val="single" w:sz="8" w:space="0" w:color="auto"/>
              <w:bottom w:val="single" w:sz="8" w:space="0" w:color="auto"/>
              <w:right w:val="single" w:sz="8" w:space="0" w:color="auto"/>
            </w:tcBorders>
            <w:noWrap/>
            <w:vAlign w:val="center"/>
            <w:hideMark/>
          </w:tcPr>
          <w:p w14:paraId="225D15B1" w14:textId="6063979D" w:rsidR="00E13086" w:rsidRPr="00946249" w:rsidRDefault="000F7BE0" w:rsidP="00E13086">
            <w:pPr>
              <w:widowControl/>
              <w:autoSpaceDE/>
              <w:autoSpaceDN/>
              <w:adjustRightInd/>
              <w:rPr>
                <w:rFonts w:ascii="Cambria" w:hAnsi="Cambria" w:cs="Calibri"/>
                <w:color w:val="000000"/>
              </w:rPr>
            </w:pPr>
            <w:r w:rsidRPr="00946249">
              <w:rPr>
                <w:rFonts w:ascii="Cambria" w:hAnsi="Cambria"/>
                <w:color w:val="000000"/>
              </w:rPr>
              <w:t>UE</w:t>
            </w:r>
          </w:p>
        </w:tc>
        <w:tc>
          <w:tcPr>
            <w:tcW w:w="3988" w:type="pct"/>
            <w:tcBorders>
              <w:top w:val="nil"/>
              <w:left w:val="nil"/>
              <w:bottom w:val="single" w:sz="8" w:space="0" w:color="auto"/>
              <w:right w:val="single" w:sz="8" w:space="0" w:color="auto"/>
            </w:tcBorders>
            <w:vAlign w:val="center"/>
            <w:hideMark/>
          </w:tcPr>
          <w:p w14:paraId="6815EC28" w14:textId="67DE6A0D" w:rsidR="00E13086" w:rsidRPr="00946249" w:rsidRDefault="00E13086" w:rsidP="00E13086">
            <w:pPr>
              <w:widowControl/>
              <w:autoSpaceDE/>
              <w:autoSpaceDN/>
              <w:adjustRightInd/>
              <w:jc w:val="both"/>
              <w:rPr>
                <w:rFonts w:ascii="Cambria" w:hAnsi="Cambria" w:cs="Calibri"/>
                <w:color w:val="000000"/>
              </w:rPr>
            </w:pPr>
            <w:r w:rsidRPr="00946249">
              <w:rPr>
                <w:rFonts w:ascii="Cambria" w:hAnsi="Cambria"/>
                <w:color w:val="000000"/>
              </w:rPr>
              <w:t>Dependiendo del Estado miembro de la UE, los límites de las capturas fortuitas pueden variar. En la Sección 2 de su Informe anual se incluye información adicional.</w:t>
            </w:r>
          </w:p>
        </w:tc>
      </w:tr>
    </w:tbl>
    <w:p w14:paraId="3FC9FC05" w14:textId="77777777" w:rsidR="00E13086" w:rsidRPr="00946249" w:rsidRDefault="00E13086" w:rsidP="00827721">
      <w:pPr>
        <w:tabs>
          <w:tab w:val="left" w:pos="851"/>
          <w:tab w:val="left" w:pos="1276"/>
          <w:tab w:val="left" w:pos="1418"/>
          <w:tab w:val="left" w:leader="dot" w:pos="8222"/>
          <w:tab w:val="right" w:pos="8647"/>
        </w:tabs>
        <w:jc w:val="both"/>
        <w:rPr>
          <w:rFonts w:ascii="Cambria" w:hAnsi="Cambria"/>
          <w:color w:val="000000"/>
        </w:rPr>
      </w:pPr>
    </w:p>
    <w:p w14:paraId="6FAB85CD" w14:textId="1D09F892" w:rsidR="00DC0214" w:rsidRPr="00946249" w:rsidRDefault="008F44BD" w:rsidP="00DC0214">
      <w:pPr>
        <w:tabs>
          <w:tab w:val="left" w:pos="1276"/>
          <w:tab w:val="left" w:pos="1418"/>
          <w:tab w:val="left" w:leader="dot" w:pos="8222"/>
          <w:tab w:val="right" w:pos="8647"/>
        </w:tabs>
        <w:jc w:val="both"/>
        <w:rPr>
          <w:rFonts w:ascii="Cambria" w:hAnsi="Cambria"/>
          <w:b/>
          <w:bCs/>
          <w:iCs/>
        </w:rPr>
      </w:pPr>
      <w:r w:rsidRPr="00946249">
        <w:rPr>
          <w:rFonts w:ascii="Cambria" w:hAnsi="Cambria"/>
          <w:color w:val="000000"/>
        </w:rPr>
        <w:t>Cabe señalar que lo anterior solo muestra las CPC que han indicado que se ha establecido un límite. En muchos casos, no se ha establecido un límite porque todos los buques pertinentes cuentan con licencia y/o porque no se permite la captura fortuita. Sin embargo, algunas de las respuestas sobre los límites máximos de captura fortuita no son coherentes, ya que las CPC no han leído o comprendido el requisito. En varios casos, se han mezclado las especies o se han dado respuestas totalmente irrelevantes (por ejemplo, que no hay pesquería dirigida a esta especie o que no hay buques con pabellón de XX que pesquen esta especie).</w:t>
      </w:r>
    </w:p>
    <w:p w14:paraId="23999909" w14:textId="7E65223F" w:rsidR="008F44BD" w:rsidRPr="00946249" w:rsidRDefault="008F44BD" w:rsidP="00827721">
      <w:pPr>
        <w:tabs>
          <w:tab w:val="left" w:pos="851"/>
          <w:tab w:val="left" w:pos="1276"/>
          <w:tab w:val="left" w:pos="1418"/>
          <w:tab w:val="left" w:leader="dot" w:pos="8222"/>
          <w:tab w:val="right" w:pos="8647"/>
        </w:tabs>
        <w:jc w:val="both"/>
        <w:rPr>
          <w:rFonts w:ascii="Cambria" w:hAnsi="Cambria"/>
          <w:bCs/>
          <w:iCs/>
        </w:rPr>
      </w:pPr>
    </w:p>
    <w:p w14:paraId="530716F3" w14:textId="04A74B76" w:rsidR="00F62486" w:rsidRPr="00946249" w:rsidRDefault="00501981" w:rsidP="00D5335E">
      <w:pPr>
        <w:tabs>
          <w:tab w:val="left" w:pos="851"/>
          <w:tab w:val="left" w:pos="1276"/>
          <w:tab w:val="left" w:pos="1418"/>
          <w:tab w:val="left" w:leader="dot" w:pos="8222"/>
          <w:tab w:val="right" w:pos="8647"/>
        </w:tabs>
        <w:rPr>
          <w:rFonts w:ascii="Cambria" w:hAnsi="Cambria"/>
          <w:i/>
        </w:rPr>
      </w:pPr>
      <w:r w:rsidRPr="00946249">
        <w:rPr>
          <w:rFonts w:ascii="Cambria" w:hAnsi="Cambria"/>
          <w:i/>
        </w:rPr>
        <w:t>[22-06] Recomendación de ICCAT sobre límites de captura de atún blanco del Atlántico sur para el periodo 2023-2026</w:t>
      </w:r>
    </w:p>
    <w:p w14:paraId="79827FD8" w14:textId="77777777" w:rsidR="00E632BF" w:rsidRPr="00946249" w:rsidRDefault="00E632BF" w:rsidP="00820485">
      <w:pPr>
        <w:tabs>
          <w:tab w:val="left" w:pos="1276"/>
          <w:tab w:val="left" w:pos="1418"/>
          <w:tab w:val="left" w:leader="dot" w:pos="8222"/>
          <w:tab w:val="right" w:pos="8647"/>
        </w:tabs>
        <w:ind w:firstLine="426"/>
        <w:rPr>
          <w:rFonts w:ascii="Cambria" w:hAnsi="Cambria"/>
          <w:bCs/>
          <w:i/>
        </w:rPr>
      </w:pPr>
    </w:p>
    <w:p w14:paraId="55D8A528" w14:textId="4FBC6214" w:rsidR="00AA4E39" w:rsidRPr="00946249" w:rsidRDefault="00021885" w:rsidP="00820485">
      <w:pPr>
        <w:tabs>
          <w:tab w:val="left" w:pos="1276"/>
          <w:tab w:val="left" w:pos="1418"/>
          <w:tab w:val="left" w:leader="dot" w:pos="8222"/>
          <w:tab w:val="right" w:pos="8647"/>
        </w:tabs>
        <w:jc w:val="both"/>
        <w:rPr>
          <w:rFonts w:ascii="Cambria" w:hAnsi="Cambria"/>
          <w:bCs/>
        </w:rPr>
      </w:pPr>
      <w:r w:rsidRPr="00946249">
        <w:rPr>
          <w:rFonts w:ascii="Cambria" w:hAnsi="Cambria"/>
          <w:b/>
          <w:bCs/>
          <w:i/>
        </w:rPr>
        <w:t>Lista de buques autorizados:</w:t>
      </w:r>
      <w:r w:rsidRPr="00946249">
        <w:rPr>
          <w:rFonts w:ascii="Cambria" w:hAnsi="Cambria"/>
          <w:b/>
          <w:bCs/>
        </w:rPr>
        <w:t xml:space="preserve"> </w:t>
      </w:r>
      <w:r w:rsidRPr="00946249">
        <w:rPr>
          <w:rFonts w:ascii="Cambria" w:hAnsi="Cambria"/>
        </w:rPr>
        <w:t xml:space="preserve">Los buques de 20 m o más con autorizaciones específicas para el atún blanco del sur pueden consultarse en el </w:t>
      </w:r>
      <w:hyperlink r:id="rId14" w:history="1">
        <w:r w:rsidRPr="00946249">
          <w:rPr>
            <w:rStyle w:val="Hyperlink"/>
            <w:rFonts w:ascii="Cambria" w:hAnsi="Cambria"/>
            <w:u w:val="none"/>
          </w:rPr>
          <w:t>Registro ICCAT de buques</w:t>
        </w:r>
      </w:hyperlink>
      <w:r w:rsidRPr="00946249">
        <w:rPr>
          <w:rFonts w:ascii="Cambria" w:hAnsi="Cambria"/>
        </w:rPr>
        <w:t>.</w:t>
      </w:r>
    </w:p>
    <w:p w14:paraId="382765B6" w14:textId="77777777" w:rsidR="007F158F" w:rsidRPr="00946249" w:rsidRDefault="007F158F" w:rsidP="00820485">
      <w:pPr>
        <w:tabs>
          <w:tab w:val="left" w:pos="1276"/>
          <w:tab w:val="left" w:pos="1418"/>
          <w:tab w:val="left" w:leader="dot" w:pos="8222"/>
          <w:tab w:val="right" w:pos="8647"/>
        </w:tabs>
        <w:rPr>
          <w:rStyle w:val="Hyperlink"/>
          <w:rFonts w:ascii="Cambria" w:hAnsi="Cambria"/>
          <w:bCs/>
        </w:rPr>
      </w:pPr>
    </w:p>
    <w:p w14:paraId="613BDBE8" w14:textId="77777777" w:rsidR="000D664A" w:rsidRPr="00946249" w:rsidRDefault="000D664A" w:rsidP="00145308">
      <w:pPr>
        <w:tabs>
          <w:tab w:val="left" w:pos="1276"/>
          <w:tab w:val="left" w:pos="1418"/>
          <w:tab w:val="left" w:leader="dot" w:pos="8222"/>
          <w:tab w:val="right" w:pos="8647"/>
        </w:tabs>
        <w:jc w:val="both"/>
        <w:rPr>
          <w:rFonts w:ascii="Cambria" w:hAnsi="Cambria"/>
        </w:rPr>
      </w:pPr>
    </w:p>
    <w:p w14:paraId="2B76FDFE" w14:textId="33E487D6" w:rsidR="00145308" w:rsidRPr="00946249" w:rsidRDefault="00145308" w:rsidP="00145308">
      <w:pPr>
        <w:tabs>
          <w:tab w:val="left" w:pos="1276"/>
          <w:tab w:val="left" w:pos="1418"/>
          <w:tab w:val="left" w:leader="dot" w:pos="8222"/>
          <w:tab w:val="right" w:pos="8647"/>
        </w:tabs>
        <w:jc w:val="both"/>
        <w:rPr>
          <w:rFonts w:ascii="Cambria" w:hAnsi="Cambria"/>
          <w:bCs/>
        </w:rPr>
      </w:pPr>
      <w:r w:rsidRPr="00946249">
        <w:rPr>
          <w:rFonts w:ascii="Cambria" w:hAnsi="Cambria"/>
        </w:rPr>
        <w:lastRenderedPageBreak/>
        <w:t xml:space="preserve">Cinco CPC con cuota actualmente no tienen buques (de 20 m o más) inscritos en el Registro ICCAT de buques autorizados a capturar atún blanco del sur: Curazao, San Vicente y las </w:t>
      </w:r>
      <w:proofErr w:type="gramStart"/>
      <w:r w:rsidRPr="00946249">
        <w:rPr>
          <w:rFonts w:ascii="Cambria" w:hAnsi="Cambria"/>
        </w:rPr>
        <w:t>Granadinas</w:t>
      </w:r>
      <w:proofErr w:type="gramEnd"/>
      <w:r w:rsidRPr="00946249">
        <w:rPr>
          <w:rFonts w:ascii="Cambria" w:hAnsi="Cambria"/>
        </w:rPr>
        <w:t>, Filipinas, Reino Unido y Uruguay.</w:t>
      </w:r>
    </w:p>
    <w:p w14:paraId="43121CE8" w14:textId="77777777" w:rsidR="00145308" w:rsidRPr="00946249" w:rsidRDefault="00145308" w:rsidP="00820485">
      <w:pPr>
        <w:tabs>
          <w:tab w:val="left" w:pos="1276"/>
          <w:tab w:val="left" w:pos="1418"/>
          <w:tab w:val="left" w:leader="dot" w:pos="8222"/>
          <w:tab w:val="right" w:pos="8647"/>
        </w:tabs>
        <w:rPr>
          <w:rStyle w:val="Hyperlink"/>
          <w:rFonts w:ascii="Cambria" w:hAnsi="Cambria"/>
          <w:bCs/>
        </w:rPr>
      </w:pPr>
    </w:p>
    <w:p w14:paraId="5A75DBAB" w14:textId="04DC9104" w:rsidR="007F158F" w:rsidRPr="00946249" w:rsidRDefault="005E0BFB" w:rsidP="00820485">
      <w:pPr>
        <w:tabs>
          <w:tab w:val="left" w:pos="1276"/>
          <w:tab w:val="left" w:pos="1418"/>
          <w:tab w:val="left" w:leader="dot" w:pos="8222"/>
          <w:tab w:val="right" w:pos="8647"/>
        </w:tabs>
        <w:jc w:val="both"/>
        <w:rPr>
          <w:rFonts w:ascii="Cambria" w:hAnsi="Cambria"/>
        </w:rPr>
      </w:pPr>
      <w:r w:rsidRPr="00946249">
        <w:rPr>
          <w:rFonts w:ascii="Cambria" w:hAnsi="Cambria"/>
        </w:rPr>
        <w:t>De conformidad con el párrafo 11 de la Rec. 22-06, las siguientes CPC han informado en sus informes anuales del límite máximo de captura fortuita a bordo de atún blanco del sur:</w:t>
      </w:r>
    </w:p>
    <w:p w14:paraId="77D2E54E" w14:textId="77777777" w:rsidR="009B47A0" w:rsidRPr="00946249" w:rsidRDefault="009B47A0" w:rsidP="00820485">
      <w:pPr>
        <w:tabs>
          <w:tab w:val="left" w:pos="1276"/>
          <w:tab w:val="left" w:pos="1418"/>
          <w:tab w:val="left" w:leader="dot" w:pos="8222"/>
          <w:tab w:val="right" w:pos="8647"/>
        </w:tabs>
        <w:jc w:val="both"/>
        <w:rPr>
          <w:rFonts w:ascii="Cambria" w:hAnsi="Cambria"/>
        </w:rPr>
      </w:pPr>
    </w:p>
    <w:tbl>
      <w:tblPr>
        <w:tblW w:w="5000" w:type="pct"/>
        <w:tblLook w:val="04A0" w:firstRow="1" w:lastRow="0" w:firstColumn="1" w:lastColumn="0" w:noHBand="0" w:noVBand="1"/>
      </w:tblPr>
      <w:tblGrid>
        <w:gridCol w:w="1496"/>
        <w:gridCol w:w="7559"/>
      </w:tblGrid>
      <w:tr w:rsidR="009B47A0" w:rsidRPr="00946249" w14:paraId="3E603646" w14:textId="77777777" w:rsidTr="00614B50">
        <w:trPr>
          <w:trHeight w:val="315"/>
          <w:tblHeader/>
        </w:trPr>
        <w:tc>
          <w:tcPr>
            <w:tcW w:w="777" w:type="pct"/>
            <w:tcBorders>
              <w:top w:val="single" w:sz="8" w:space="0" w:color="auto"/>
              <w:left w:val="single" w:sz="8" w:space="0" w:color="auto"/>
              <w:bottom w:val="single" w:sz="8" w:space="0" w:color="auto"/>
              <w:right w:val="single" w:sz="8" w:space="0" w:color="auto"/>
            </w:tcBorders>
            <w:noWrap/>
            <w:vAlign w:val="center"/>
            <w:hideMark/>
          </w:tcPr>
          <w:p w14:paraId="2DECEB1B" w14:textId="77777777" w:rsidR="009B47A0" w:rsidRPr="00946249" w:rsidRDefault="009B47A0" w:rsidP="009B47A0">
            <w:pPr>
              <w:widowControl/>
              <w:autoSpaceDE/>
              <w:autoSpaceDN/>
              <w:adjustRightInd/>
              <w:jc w:val="center"/>
              <w:rPr>
                <w:rFonts w:ascii="Cambria" w:hAnsi="Cambria" w:cs="Calibri"/>
                <w:i/>
                <w:iCs/>
                <w:color w:val="000000"/>
              </w:rPr>
            </w:pPr>
            <w:r w:rsidRPr="00946249">
              <w:rPr>
                <w:rFonts w:ascii="Cambria" w:hAnsi="Cambria"/>
                <w:i/>
                <w:color w:val="000000"/>
              </w:rPr>
              <w:t>CPC</w:t>
            </w:r>
          </w:p>
        </w:tc>
        <w:tc>
          <w:tcPr>
            <w:tcW w:w="4223" w:type="pct"/>
            <w:tcBorders>
              <w:top w:val="single" w:sz="8" w:space="0" w:color="auto"/>
              <w:left w:val="nil"/>
              <w:bottom w:val="single" w:sz="8" w:space="0" w:color="auto"/>
              <w:right w:val="single" w:sz="8" w:space="0" w:color="auto"/>
            </w:tcBorders>
            <w:vAlign w:val="center"/>
            <w:hideMark/>
          </w:tcPr>
          <w:p w14:paraId="75043B34" w14:textId="77777777" w:rsidR="009B47A0" w:rsidRPr="00946249" w:rsidRDefault="009B47A0" w:rsidP="009B47A0">
            <w:pPr>
              <w:widowControl/>
              <w:autoSpaceDE/>
              <w:autoSpaceDN/>
              <w:adjustRightInd/>
              <w:jc w:val="center"/>
              <w:rPr>
                <w:rFonts w:ascii="Cambria" w:hAnsi="Cambria" w:cs="Calibri"/>
                <w:i/>
                <w:iCs/>
                <w:color w:val="000000"/>
              </w:rPr>
            </w:pPr>
            <w:r w:rsidRPr="00946249">
              <w:rPr>
                <w:rFonts w:ascii="Cambria" w:hAnsi="Cambria"/>
                <w:i/>
                <w:color w:val="000000"/>
              </w:rPr>
              <w:t>Respuesta</w:t>
            </w:r>
          </w:p>
        </w:tc>
      </w:tr>
      <w:tr w:rsidR="009B47A0" w:rsidRPr="00946249" w14:paraId="150523BB" w14:textId="77777777" w:rsidTr="00614B50">
        <w:trPr>
          <w:trHeight w:val="1290"/>
        </w:trPr>
        <w:tc>
          <w:tcPr>
            <w:tcW w:w="777" w:type="pct"/>
            <w:tcBorders>
              <w:top w:val="nil"/>
              <w:left w:val="single" w:sz="8" w:space="0" w:color="auto"/>
              <w:bottom w:val="single" w:sz="8" w:space="0" w:color="auto"/>
              <w:right w:val="single" w:sz="8" w:space="0" w:color="auto"/>
            </w:tcBorders>
            <w:noWrap/>
            <w:vAlign w:val="center"/>
            <w:hideMark/>
          </w:tcPr>
          <w:p w14:paraId="0C0EE2FD" w14:textId="552E6791" w:rsidR="009B47A0" w:rsidRPr="00946249" w:rsidRDefault="00C928F2" w:rsidP="009B47A0">
            <w:pPr>
              <w:widowControl/>
              <w:autoSpaceDE/>
              <w:autoSpaceDN/>
              <w:adjustRightInd/>
              <w:rPr>
                <w:rFonts w:ascii="Cambria" w:hAnsi="Cambria" w:cs="Calibri"/>
                <w:color w:val="000000"/>
              </w:rPr>
            </w:pPr>
            <w:r w:rsidRPr="00946249">
              <w:rPr>
                <w:rFonts w:ascii="Cambria" w:hAnsi="Cambria"/>
                <w:color w:val="000000"/>
              </w:rPr>
              <w:t>Belice</w:t>
            </w:r>
          </w:p>
        </w:tc>
        <w:tc>
          <w:tcPr>
            <w:tcW w:w="4223" w:type="pct"/>
            <w:tcBorders>
              <w:top w:val="nil"/>
              <w:left w:val="nil"/>
              <w:bottom w:val="single" w:sz="8" w:space="0" w:color="auto"/>
              <w:right w:val="single" w:sz="8" w:space="0" w:color="auto"/>
            </w:tcBorders>
            <w:vAlign w:val="center"/>
            <w:hideMark/>
          </w:tcPr>
          <w:p w14:paraId="3226C94C" w14:textId="2291B9C8" w:rsidR="009B47A0" w:rsidRPr="00946249" w:rsidRDefault="005C222D" w:rsidP="009B47A0">
            <w:pPr>
              <w:widowControl/>
              <w:autoSpaceDE/>
              <w:autoSpaceDN/>
              <w:adjustRightInd/>
              <w:jc w:val="both"/>
              <w:rPr>
                <w:rFonts w:ascii="Cambria" w:hAnsi="Cambria" w:cs="Calibri"/>
              </w:rPr>
            </w:pPr>
            <w:r w:rsidRPr="00946249">
              <w:rPr>
                <w:rFonts w:ascii="Cambria" w:hAnsi="Cambria"/>
              </w:rPr>
              <w:t>Belice ha establecido un límite captura fortuita a bordo en todas las especies, incluido el atún blanco del norte. El límite de captura fortuita establecido para los buques no autorizados a pescar esta especie exclusivamente es de 10 t. Esta cantidad se descuenta de la asignación de cuota total de Belice. Sin embargo, no tenemos ningún buque que haya comunicado ninguna captura fortuita de atún blanco del sur.</w:t>
            </w:r>
          </w:p>
        </w:tc>
      </w:tr>
      <w:tr w:rsidR="009B47A0" w:rsidRPr="00946249" w14:paraId="3BC1ECB7" w14:textId="77777777" w:rsidTr="00614B50">
        <w:trPr>
          <w:trHeight w:val="1290"/>
        </w:trPr>
        <w:tc>
          <w:tcPr>
            <w:tcW w:w="777" w:type="pct"/>
            <w:tcBorders>
              <w:top w:val="nil"/>
              <w:left w:val="single" w:sz="8" w:space="0" w:color="auto"/>
              <w:bottom w:val="single" w:sz="8" w:space="0" w:color="auto"/>
              <w:right w:val="single" w:sz="8" w:space="0" w:color="auto"/>
            </w:tcBorders>
            <w:noWrap/>
            <w:vAlign w:val="center"/>
            <w:hideMark/>
          </w:tcPr>
          <w:p w14:paraId="01387C7A" w14:textId="16EB4811" w:rsidR="009B47A0" w:rsidRPr="00946249" w:rsidRDefault="00C928F2" w:rsidP="009B47A0">
            <w:pPr>
              <w:widowControl/>
              <w:autoSpaceDE/>
              <w:autoSpaceDN/>
              <w:adjustRightInd/>
              <w:rPr>
                <w:rFonts w:ascii="Cambria" w:hAnsi="Cambria" w:cs="Calibri"/>
                <w:color w:val="000000"/>
              </w:rPr>
            </w:pPr>
            <w:r w:rsidRPr="00946249">
              <w:rPr>
                <w:rFonts w:ascii="Cambria" w:hAnsi="Cambria"/>
                <w:color w:val="000000"/>
              </w:rPr>
              <w:t>China</w:t>
            </w:r>
          </w:p>
        </w:tc>
        <w:tc>
          <w:tcPr>
            <w:tcW w:w="4223" w:type="pct"/>
            <w:tcBorders>
              <w:top w:val="nil"/>
              <w:left w:val="nil"/>
              <w:bottom w:val="single" w:sz="8" w:space="0" w:color="auto"/>
              <w:right w:val="single" w:sz="8" w:space="0" w:color="auto"/>
            </w:tcBorders>
            <w:vAlign w:val="center"/>
            <w:hideMark/>
          </w:tcPr>
          <w:p w14:paraId="6F0C08FE" w14:textId="70B4C097" w:rsidR="009B47A0" w:rsidRPr="00946249" w:rsidRDefault="00B05F2B" w:rsidP="009B47A0">
            <w:pPr>
              <w:widowControl/>
              <w:autoSpaceDE/>
              <w:autoSpaceDN/>
              <w:adjustRightInd/>
              <w:jc w:val="both"/>
              <w:rPr>
                <w:rFonts w:ascii="Cambria" w:hAnsi="Cambria" w:cs="Calibri"/>
              </w:rPr>
            </w:pPr>
            <w:r w:rsidRPr="00946249">
              <w:rPr>
                <w:rFonts w:ascii="Cambria" w:hAnsi="Cambria"/>
              </w:rPr>
              <w:t>China no cuenta con buques que se dirijan al atún blanco del Atlántico norte ni al atún blanco del Atlántico sur, todo el atún blanco se captura de forma fortuita y cualquier palangrero tropical puede capturar atún blanco de forma fortuita. En 2024, China dispone de 357,88 t de atún blanco del norte y 242,98 t de atún blanco del sur. China estableció un límite de capturas de atún blanco del norte y atún blanco del sur para cada palangrero basado en el TAC asignado a China según las Recomendaciones para el atún blanco del norte y para el atún blanco del sur. Cada buque debe respetar estrictamente el límite de capturas que se le haya fijado.</w:t>
            </w:r>
          </w:p>
        </w:tc>
      </w:tr>
      <w:tr w:rsidR="009B47A0" w:rsidRPr="00946249" w14:paraId="7CD3D380" w14:textId="77777777" w:rsidTr="00614B50">
        <w:trPr>
          <w:trHeight w:val="315"/>
        </w:trPr>
        <w:tc>
          <w:tcPr>
            <w:tcW w:w="777" w:type="pct"/>
            <w:tcBorders>
              <w:top w:val="nil"/>
              <w:left w:val="single" w:sz="8" w:space="0" w:color="auto"/>
              <w:bottom w:val="single" w:sz="8" w:space="0" w:color="auto"/>
              <w:right w:val="single" w:sz="8" w:space="0" w:color="auto"/>
            </w:tcBorders>
            <w:noWrap/>
            <w:vAlign w:val="center"/>
            <w:hideMark/>
          </w:tcPr>
          <w:p w14:paraId="1C2D6A98" w14:textId="5A305089" w:rsidR="009B47A0" w:rsidRPr="00946249" w:rsidRDefault="00C928F2" w:rsidP="009B47A0">
            <w:pPr>
              <w:widowControl/>
              <w:autoSpaceDE/>
              <w:autoSpaceDN/>
              <w:adjustRightInd/>
              <w:rPr>
                <w:rFonts w:ascii="Cambria" w:hAnsi="Cambria" w:cs="Calibri"/>
                <w:color w:val="000000"/>
              </w:rPr>
            </w:pPr>
            <w:r w:rsidRPr="00946249">
              <w:rPr>
                <w:rFonts w:ascii="Cambria" w:hAnsi="Cambria"/>
                <w:color w:val="000000"/>
              </w:rPr>
              <w:t>Curazao</w:t>
            </w:r>
          </w:p>
        </w:tc>
        <w:tc>
          <w:tcPr>
            <w:tcW w:w="4223" w:type="pct"/>
            <w:tcBorders>
              <w:top w:val="nil"/>
              <w:left w:val="nil"/>
              <w:bottom w:val="single" w:sz="8" w:space="0" w:color="auto"/>
              <w:right w:val="single" w:sz="8" w:space="0" w:color="auto"/>
            </w:tcBorders>
            <w:vAlign w:val="center"/>
            <w:hideMark/>
          </w:tcPr>
          <w:p w14:paraId="155F1C78" w14:textId="4406DDD4" w:rsidR="009B47A0" w:rsidRPr="00946249" w:rsidRDefault="005C222D" w:rsidP="009B47A0">
            <w:pPr>
              <w:widowControl/>
              <w:autoSpaceDE/>
              <w:autoSpaceDN/>
              <w:adjustRightInd/>
              <w:jc w:val="both"/>
              <w:rPr>
                <w:rFonts w:ascii="Cambria" w:hAnsi="Cambria" w:cs="Calibri"/>
              </w:rPr>
            </w:pPr>
            <w:r w:rsidRPr="00946249">
              <w:rPr>
                <w:rFonts w:ascii="Cambria" w:hAnsi="Cambria"/>
              </w:rPr>
              <w:t>No había ningún buque pesquero autorizado para realizar actividades pesqueras. En caso de actividades pesqueras, [16-06]</w:t>
            </w:r>
            <w:r w:rsidR="00F66CBA" w:rsidRPr="00946249">
              <w:rPr>
                <w:rFonts w:ascii="Cambria" w:hAnsi="Cambria"/>
              </w:rPr>
              <w:t>, para el l</w:t>
            </w:r>
            <w:r w:rsidRPr="00946249">
              <w:rPr>
                <w:rFonts w:ascii="Cambria" w:hAnsi="Cambria"/>
              </w:rPr>
              <w:t>ímite de captura fortuita de atún blanco del sur</w:t>
            </w:r>
            <w:r w:rsidR="00F66CBA" w:rsidRPr="00946249">
              <w:rPr>
                <w:rFonts w:ascii="Cambria" w:hAnsi="Cambria"/>
              </w:rPr>
              <w:t xml:space="preserve">, </w:t>
            </w:r>
            <w:r w:rsidRPr="00946249">
              <w:rPr>
                <w:rFonts w:ascii="Cambria" w:hAnsi="Cambria"/>
              </w:rPr>
              <w:t xml:space="preserve">Curazao </w:t>
            </w:r>
            <w:r w:rsidR="00F66CBA" w:rsidRPr="00946249">
              <w:rPr>
                <w:rFonts w:ascii="Cambria" w:hAnsi="Cambria"/>
              </w:rPr>
              <w:t xml:space="preserve">acordó </w:t>
            </w:r>
            <w:r w:rsidRPr="00946249">
              <w:rPr>
                <w:rFonts w:ascii="Cambria" w:hAnsi="Cambria"/>
              </w:rPr>
              <w:t>con los buques un límite de 50 t.</w:t>
            </w:r>
          </w:p>
        </w:tc>
      </w:tr>
      <w:tr w:rsidR="005C222D" w:rsidRPr="00946249" w14:paraId="6433CE57" w14:textId="77777777" w:rsidTr="00BA6483">
        <w:trPr>
          <w:trHeight w:val="628"/>
        </w:trPr>
        <w:tc>
          <w:tcPr>
            <w:tcW w:w="777" w:type="pct"/>
            <w:tcBorders>
              <w:top w:val="nil"/>
              <w:left w:val="single" w:sz="8" w:space="0" w:color="auto"/>
              <w:bottom w:val="single" w:sz="8" w:space="0" w:color="auto"/>
              <w:right w:val="single" w:sz="8" w:space="0" w:color="auto"/>
            </w:tcBorders>
            <w:noWrap/>
            <w:vAlign w:val="center"/>
            <w:hideMark/>
          </w:tcPr>
          <w:p w14:paraId="6565C045" w14:textId="4426A6E5" w:rsidR="005C222D" w:rsidRPr="00946249" w:rsidRDefault="005C222D" w:rsidP="005C222D">
            <w:pPr>
              <w:widowControl/>
              <w:autoSpaceDE/>
              <w:autoSpaceDN/>
              <w:adjustRightInd/>
              <w:rPr>
                <w:rFonts w:ascii="Cambria" w:hAnsi="Cambria" w:cs="Calibri"/>
                <w:color w:val="000000"/>
              </w:rPr>
            </w:pPr>
            <w:r w:rsidRPr="00946249">
              <w:rPr>
                <w:rFonts w:ascii="Cambria" w:hAnsi="Cambria"/>
                <w:color w:val="000000"/>
              </w:rPr>
              <w:t>Unión Europea</w:t>
            </w:r>
          </w:p>
        </w:tc>
        <w:tc>
          <w:tcPr>
            <w:tcW w:w="4223" w:type="pct"/>
            <w:tcBorders>
              <w:top w:val="nil"/>
              <w:left w:val="nil"/>
              <w:bottom w:val="single" w:sz="8" w:space="0" w:color="auto"/>
              <w:right w:val="single" w:sz="8" w:space="0" w:color="auto"/>
            </w:tcBorders>
            <w:vAlign w:val="center"/>
            <w:hideMark/>
          </w:tcPr>
          <w:p w14:paraId="0B8E1121" w14:textId="44C322DF" w:rsidR="005C222D" w:rsidRPr="00946249" w:rsidRDefault="005C222D" w:rsidP="005C222D">
            <w:pPr>
              <w:widowControl/>
              <w:autoSpaceDE/>
              <w:autoSpaceDN/>
              <w:adjustRightInd/>
              <w:jc w:val="both"/>
              <w:rPr>
                <w:rFonts w:ascii="Cambria" w:hAnsi="Cambria" w:cs="Calibri"/>
              </w:rPr>
            </w:pPr>
            <w:r w:rsidRPr="00946249">
              <w:rPr>
                <w:rFonts w:ascii="Cambria" w:hAnsi="Cambria"/>
                <w:color w:val="000000"/>
              </w:rPr>
              <w:t>Dependiendo del Estado miembro de la UE, los límites de las capturas fortuitas pueden variar. En la Sección 2 de su Informe anual se incluye información adicional.</w:t>
            </w:r>
          </w:p>
        </w:tc>
      </w:tr>
    </w:tbl>
    <w:p w14:paraId="04D44F3D" w14:textId="77777777" w:rsidR="009B47A0" w:rsidRPr="00946249" w:rsidRDefault="009B47A0" w:rsidP="00820485">
      <w:pPr>
        <w:tabs>
          <w:tab w:val="left" w:pos="851"/>
          <w:tab w:val="left" w:pos="1418"/>
          <w:tab w:val="left" w:leader="dot" w:pos="8222"/>
          <w:tab w:val="right" w:pos="8647"/>
        </w:tabs>
        <w:jc w:val="both"/>
        <w:rPr>
          <w:rFonts w:ascii="Cambria" w:hAnsi="Cambria" w:cs="Calibri"/>
          <w:color w:val="000000"/>
        </w:rPr>
      </w:pPr>
    </w:p>
    <w:p w14:paraId="2F630975" w14:textId="335D976B" w:rsidR="008F44BD" w:rsidRPr="00946249" w:rsidRDefault="008F44BD" w:rsidP="00820485">
      <w:pPr>
        <w:tabs>
          <w:tab w:val="left" w:pos="851"/>
          <w:tab w:val="left" w:pos="1418"/>
          <w:tab w:val="left" w:leader="dot" w:pos="8222"/>
          <w:tab w:val="right" w:pos="8647"/>
        </w:tabs>
        <w:jc w:val="both"/>
        <w:rPr>
          <w:rFonts w:ascii="Cambria" w:hAnsi="Cambria"/>
          <w:bCs/>
          <w:iCs/>
        </w:rPr>
      </w:pPr>
      <w:r w:rsidRPr="00946249">
        <w:rPr>
          <w:rFonts w:ascii="Cambria" w:hAnsi="Cambria"/>
          <w:color w:val="000000"/>
        </w:rPr>
        <w:t>Cabe señalar que lo anterior solo muestra las CPC que han indicado que se ha establecido un límite. En muchos casos, no se ha establecido un límite porque todos los buques pertinentes cuentan con licencia y/o porque no se permite la captura fortuita. Sin embargo, algunas de las respuestas sobre los límites máximos de captura fortuita no son coherentes, ya que las CPC no han leído o comprendido el requisito. En varios casos, se han mezclado las especies o se han dado respuestas totalmente irrelevantes (por ejemplo, que no hay pesquería dirigida a esta especie o que no hay buques con pabellón de XX que pesquen esta especie).</w:t>
      </w:r>
    </w:p>
    <w:p w14:paraId="7FB7FC6A" w14:textId="77777777" w:rsidR="008F44BD" w:rsidRPr="00946249" w:rsidRDefault="008F44BD" w:rsidP="00820485">
      <w:pPr>
        <w:tabs>
          <w:tab w:val="left" w:pos="851"/>
          <w:tab w:val="left" w:pos="1418"/>
          <w:tab w:val="left" w:leader="dot" w:pos="8222"/>
          <w:tab w:val="right" w:pos="8647"/>
        </w:tabs>
        <w:jc w:val="both"/>
        <w:rPr>
          <w:rFonts w:ascii="Cambria" w:hAnsi="Cambria"/>
          <w:bCs/>
          <w:i/>
        </w:rPr>
      </w:pPr>
    </w:p>
    <w:p w14:paraId="6799D81E" w14:textId="52497CF1" w:rsidR="00AD56BD" w:rsidRPr="00946249" w:rsidRDefault="005E0BFB" w:rsidP="00820485">
      <w:pPr>
        <w:tabs>
          <w:tab w:val="left" w:pos="1276"/>
          <w:tab w:val="left" w:pos="1418"/>
          <w:tab w:val="left" w:leader="dot" w:pos="8222"/>
          <w:tab w:val="right" w:pos="8647"/>
        </w:tabs>
        <w:jc w:val="both"/>
        <w:rPr>
          <w:rFonts w:ascii="Cambria" w:hAnsi="Cambria"/>
          <w:bCs/>
          <w:i/>
        </w:rPr>
      </w:pPr>
      <w:r w:rsidRPr="00946249">
        <w:rPr>
          <w:rFonts w:ascii="Cambria" w:hAnsi="Cambria"/>
          <w:i/>
        </w:rPr>
        <w:t>[22-05] Recomendación de ICCAT que enmienda la Recomendación 21-06 para establecer un plan de recuperación para el atún blanco del Mediterráneo</w:t>
      </w:r>
    </w:p>
    <w:p w14:paraId="429F0212" w14:textId="77777777" w:rsidR="00C30FAB" w:rsidRPr="00946249" w:rsidRDefault="00C30FAB" w:rsidP="00820485">
      <w:pPr>
        <w:tabs>
          <w:tab w:val="left" w:pos="1276"/>
          <w:tab w:val="left" w:pos="1418"/>
          <w:tab w:val="left" w:leader="dot" w:pos="8222"/>
          <w:tab w:val="right" w:pos="8647"/>
        </w:tabs>
        <w:jc w:val="both"/>
        <w:rPr>
          <w:rFonts w:ascii="Cambria" w:hAnsi="Cambria"/>
          <w:bCs/>
          <w:i/>
        </w:rPr>
      </w:pPr>
    </w:p>
    <w:p w14:paraId="024AE804" w14:textId="1DF00681" w:rsidR="00C30FAB" w:rsidRPr="00946249" w:rsidRDefault="00C30FAB" w:rsidP="00C30FAB">
      <w:pPr>
        <w:tabs>
          <w:tab w:val="left" w:pos="1276"/>
          <w:tab w:val="left" w:pos="1418"/>
          <w:tab w:val="left" w:leader="dot" w:pos="8222"/>
          <w:tab w:val="right" w:pos="8647"/>
        </w:tabs>
        <w:jc w:val="both"/>
        <w:rPr>
          <w:rFonts w:ascii="Cambria" w:hAnsi="Cambria"/>
          <w:bCs/>
        </w:rPr>
      </w:pPr>
      <w:r w:rsidRPr="00946249">
        <w:rPr>
          <w:rFonts w:ascii="Cambria" w:hAnsi="Cambria"/>
        </w:rPr>
        <w:t>(</w:t>
      </w:r>
      <w:r w:rsidR="00D621E6" w:rsidRPr="00946249">
        <w:rPr>
          <w:rFonts w:ascii="Cambria" w:hAnsi="Cambria"/>
        </w:rPr>
        <w:t>s</w:t>
      </w:r>
      <w:r w:rsidRPr="00946249">
        <w:rPr>
          <w:rFonts w:ascii="Cambria" w:hAnsi="Cambria"/>
        </w:rPr>
        <w:t xml:space="preserve">ustituida por la </w:t>
      </w:r>
      <w:r w:rsidRPr="00946249">
        <w:rPr>
          <w:rFonts w:ascii="Cambria" w:hAnsi="Cambria"/>
          <w:i/>
          <w:iCs/>
        </w:rPr>
        <w:t>[</w:t>
      </w:r>
      <w:r w:rsidRPr="00946249">
        <w:rPr>
          <w:rFonts w:ascii="Cambria" w:hAnsi="Cambria"/>
          <w:i/>
          <w:iCs/>
          <w:color w:val="000000"/>
        </w:rPr>
        <w:t xml:space="preserve">24-08] </w:t>
      </w:r>
      <w:r w:rsidRPr="00946249">
        <w:rPr>
          <w:rFonts w:ascii="Cambria" w:hAnsi="Cambria"/>
          <w:i/>
          <w:iCs/>
        </w:rPr>
        <w:t>Recomendación de ICCAT que enmienda la Recomendación 22-05 para establecer un plan de recuperación para el atún blanco del Mediterráneo</w:t>
      </w:r>
      <w:r w:rsidR="00D621E6" w:rsidRPr="00946249">
        <w:rPr>
          <w:rFonts w:ascii="Cambria" w:hAnsi="Cambria"/>
        </w:rPr>
        <w:t>)</w:t>
      </w:r>
    </w:p>
    <w:p w14:paraId="1D8B51FE" w14:textId="77777777" w:rsidR="00AD56BD" w:rsidRPr="00946249" w:rsidRDefault="00AD56BD" w:rsidP="00820485">
      <w:pPr>
        <w:tabs>
          <w:tab w:val="left" w:pos="1276"/>
          <w:tab w:val="left" w:pos="1418"/>
          <w:tab w:val="left" w:leader="dot" w:pos="8222"/>
          <w:tab w:val="right" w:pos="8647"/>
        </w:tabs>
        <w:jc w:val="both"/>
        <w:rPr>
          <w:rFonts w:ascii="Cambria" w:hAnsi="Cambria"/>
          <w:bCs/>
          <w:i/>
        </w:rPr>
      </w:pPr>
    </w:p>
    <w:p w14:paraId="3607918A" w14:textId="079057D5" w:rsidR="00F45E6A" w:rsidRPr="00946249" w:rsidRDefault="00F45E6A" w:rsidP="00820485">
      <w:pPr>
        <w:tabs>
          <w:tab w:val="left" w:pos="1276"/>
          <w:tab w:val="left" w:pos="1418"/>
          <w:tab w:val="left" w:leader="dot" w:pos="8222"/>
          <w:tab w:val="right" w:pos="8647"/>
        </w:tabs>
        <w:jc w:val="both"/>
        <w:rPr>
          <w:rFonts w:ascii="Cambria" w:hAnsi="Cambria"/>
        </w:rPr>
      </w:pPr>
      <w:r w:rsidRPr="00946249">
        <w:rPr>
          <w:rFonts w:ascii="Cambria" w:hAnsi="Cambria"/>
          <w:b/>
          <w:bCs/>
          <w:i/>
          <w:iCs/>
        </w:rPr>
        <w:t>Cumplimiento de las cuotas/límites de captura:</w:t>
      </w:r>
      <w:r w:rsidRPr="00946249">
        <w:rPr>
          <w:rFonts w:ascii="Cambria" w:hAnsi="Cambria"/>
        </w:rPr>
        <w:t xml:space="preserve"> Véase el documento "Tablas de cumplimiento de 2024 recibidas en 2025" [COC_304/2025].</w:t>
      </w:r>
    </w:p>
    <w:p w14:paraId="378C779F" w14:textId="77777777" w:rsidR="009B47A0" w:rsidRPr="00946249" w:rsidRDefault="009B47A0" w:rsidP="00820485">
      <w:pPr>
        <w:tabs>
          <w:tab w:val="left" w:pos="1276"/>
          <w:tab w:val="left" w:pos="1418"/>
          <w:tab w:val="left" w:leader="dot" w:pos="8222"/>
          <w:tab w:val="right" w:pos="8647"/>
        </w:tabs>
        <w:jc w:val="both"/>
        <w:rPr>
          <w:rStyle w:val="Hyperlink"/>
          <w:rFonts w:ascii="Cambria" w:hAnsi="Cambria"/>
          <w:bCs/>
          <w:u w:val="none"/>
        </w:rPr>
      </w:pPr>
    </w:p>
    <w:p w14:paraId="40E555C0" w14:textId="07E4841B" w:rsidR="008E6992" w:rsidRPr="00946249" w:rsidRDefault="009B47A0" w:rsidP="008E6992">
      <w:pPr>
        <w:jc w:val="both"/>
        <w:rPr>
          <w:rFonts w:ascii="Cambria" w:hAnsi="Cambria"/>
          <w:bCs/>
        </w:rPr>
      </w:pPr>
      <w:r w:rsidRPr="00946249">
        <w:rPr>
          <w:rFonts w:ascii="Cambria" w:hAnsi="Cambria"/>
          <w:b/>
          <w:bCs/>
          <w:i/>
        </w:rPr>
        <w:t>Lista de buques autorizados para pescar atún blanco del Mediterráneo:</w:t>
      </w:r>
      <w:r w:rsidRPr="00946249">
        <w:rPr>
          <w:rFonts w:ascii="Cambria" w:hAnsi="Cambria"/>
        </w:rPr>
        <w:t xml:space="preserve"> En el momento de redactar este documento, cuatro CPC (Egipto, Unión Europea, Marruecos y </w:t>
      </w:r>
      <w:proofErr w:type="spellStart"/>
      <w:r w:rsidRPr="00946249">
        <w:rPr>
          <w:rFonts w:ascii="Cambria" w:hAnsi="Cambria"/>
        </w:rPr>
        <w:t>Türkiye</w:t>
      </w:r>
      <w:proofErr w:type="spellEnd"/>
      <w:r w:rsidRPr="00946249">
        <w:rPr>
          <w:rFonts w:ascii="Cambria" w:hAnsi="Cambria"/>
        </w:rPr>
        <w:t xml:space="preserve">) han presentado listas de buques autorizados de conformidad con esta Recomendación. </w:t>
      </w:r>
    </w:p>
    <w:p w14:paraId="2406A857" w14:textId="77777777" w:rsidR="008E6992" w:rsidRPr="00946249" w:rsidRDefault="008E6992" w:rsidP="00820485">
      <w:pPr>
        <w:tabs>
          <w:tab w:val="left" w:pos="1276"/>
          <w:tab w:val="left" w:pos="1418"/>
          <w:tab w:val="left" w:leader="dot" w:pos="8222"/>
          <w:tab w:val="right" w:pos="8647"/>
        </w:tabs>
        <w:jc w:val="both"/>
        <w:rPr>
          <w:rFonts w:ascii="Cambria" w:hAnsi="Cambria"/>
        </w:rPr>
      </w:pPr>
    </w:p>
    <w:p w14:paraId="48DAD1FD" w14:textId="6EB596CB" w:rsidR="00C928F2" w:rsidRPr="00946249" w:rsidRDefault="009B47A0" w:rsidP="001E5CEC">
      <w:pPr>
        <w:tabs>
          <w:tab w:val="left" w:pos="1276"/>
          <w:tab w:val="left" w:pos="1418"/>
          <w:tab w:val="left" w:leader="dot" w:pos="8222"/>
          <w:tab w:val="right" w:pos="8647"/>
        </w:tabs>
        <w:jc w:val="both"/>
        <w:rPr>
          <w:rFonts w:ascii="Cambria" w:hAnsi="Cambria"/>
        </w:rPr>
      </w:pPr>
      <w:r w:rsidRPr="00946249">
        <w:rPr>
          <w:rFonts w:ascii="Cambria" w:hAnsi="Cambria"/>
        </w:rPr>
        <w:t xml:space="preserve">Las listas de se publica en la </w:t>
      </w:r>
      <w:hyperlink r:id="rId15" w:history="1">
        <w:r w:rsidRPr="00946249">
          <w:rPr>
            <w:rStyle w:val="Hyperlink"/>
            <w:rFonts w:ascii="Cambria" w:hAnsi="Cambria"/>
            <w:u w:val="none"/>
          </w:rPr>
          <w:t>página web de ICCAT.</w:t>
        </w:r>
      </w:hyperlink>
    </w:p>
    <w:p w14:paraId="2173E484" w14:textId="77777777" w:rsidR="001E5CEC" w:rsidRPr="00946249" w:rsidRDefault="001E5CEC" w:rsidP="001E5CEC">
      <w:pPr>
        <w:tabs>
          <w:tab w:val="left" w:pos="1276"/>
          <w:tab w:val="left" w:pos="1418"/>
          <w:tab w:val="left" w:leader="dot" w:pos="8222"/>
          <w:tab w:val="right" w:pos="8647"/>
        </w:tabs>
        <w:jc w:val="both"/>
        <w:rPr>
          <w:rFonts w:ascii="Cambria" w:hAnsi="Cambria"/>
        </w:rPr>
      </w:pPr>
    </w:p>
    <w:p w14:paraId="2476FAD7" w14:textId="66A4F675" w:rsidR="00FB5CBC" w:rsidRPr="00946249" w:rsidRDefault="00FB5CBC">
      <w:pPr>
        <w:widowControl/>
        <w:autoSpaceDE/>
        <w:autoSpaceDN/>
        <w:adjustRightInd/>
        <w:rPr>
          <w:rFonts w:ascii="Cambria" w:hAnsi="Cambria"/>
          <w:b/>
          <w:bCs/>
        </w:rPr>
      </w:pPr>
    </w:p>
    <w:p w14:paraId="2C91A849" w14:textId="684B1BD0" w:rsidR="00F225F3" w:rsidRPr="00946249" w:rsidRDefault="00F225F3" w:rsidP="00820485">
      <w:pPr>
        <w:tabs>
          <w:tab w:val="left" w:pos="1276"/>
          <w:tab w:val="left" w:pos="1418"/>
          <w:tab w:val="left" w:leader="dot" w:pos="8222"/>
          <w:tab w:val="right" w:pos="8647"/>
        </w:tabs>
        <w:rPr>
          <w:rFonts w:ascii="Cambria" w:hAnsi="Cambria"/>
          <w:lang w:val="en-US"/>
        </w:rPr>
      </w:pPr>
      <w:r w:rsidRPr="00946249">
        <w:rPr>
          <w:rFonts w:ascii="Cambria" w:hAnsi="Cambria"/>
          <w:b/>
          <w:lang w:val="en-US"/>
        </w:rPr>
        <w:t xml:space="preserve">BFT </w:t>
      </w:r>
      <w:proofErr w:type="gramStart"/>
      <w:r w:rsidRPr="00946249">
        <w:rPr>
          <w:rFonts w:ascii="Cambria" w:hAnsi="Cambria"/>
          <w:b/>
          <w:lang w:val="en-US"/>
        </w:rPr>
        <w:t>-  ATÚN</w:t>
      </w:r>
      <w:proofErr w:type="gramEnd"/>
      <w:r w:rsidRPr="00946249">
        <w:rPr>
          <w:rFonts w:ascii="Cambria" w:hAnsi="Cambria"/>
          <w:b/>
          <w:lang w:val="en-US"/>
        </w:rPr>
        <w:t xml:space="preserve"> ROJO (</w:t>
      </w:r>
      <w:r w:rsidRPr="00946249">
        <w:rPr>
          <w:rFonts w:ascii="Cambria" w:hAnsi="Cambria"/>
          <w:b/>
          <w:i/>
          <w:iCs/>
          <w:lang w:val="en-US"/>
        </w:rPr>
        <w:t>Thunnus thynnus</w:t>
      </w:r>
      <w:r w:rsidRPr="00946249">
        <w:rPr>
          <w:rFonts w:ascii="Cambria" w:hAnsi="Cambria"/>
          <w:b/>
          <w:lang w:val="en-US"/>
        </w:rPr>
        <w:t>)</w:t>
      </w:r>
    </w:p>
    <w:p w14:paraId="1523D6FC" w14:textId="46926ADE" w:rsidR="00B71DB5" w:rsidRPr="00946249" w:rsidRDefault="004D28CC" w:rsidP="00820485">
      <w:pPr>
        <w:tabs>
          <w:tab w:val="left" w:pos="851"/>
          <w:tab w:val="left" w:pos="1276"/>
          <w:tab w:val="left" w:pos="1418"/>
          <w:tab w:val="left" w:leader="dot" w:pos="8222"/>
          <w:tab w:val="right" w:pos="8647"/>
        </w:tabs>
        <w:jc w:val="both"/>
        <w:rPr>
          <w:rFonts w:ascii="Cambria" w:hAnsi="Cambria"/>
          <w:i/>
          <w:lang w:val="en-US"/>
        </w:rPr>
      </w:pPr>
      <w:r w:rsidRPr="00946249">
        <w:rPr>
          <w:rFonts w:ascii="Cambria" w:hAnsi="Cambria"/>
          <w:i/>
          <w:lang w:val="en-US"/>
        </w:rPr>
        <w:t xml:space="preserve"> </w:t>
      </w:r>
    </w:p>
    <w:p w14:paraId="129596D5" w14:textId="61160869" w:rsidR="007C7401" w:rsidRPr="00946249" w:rsidRDefault="0027398A" w:rsidP="007C7401">
      <w:pPr>
        <w:tabs>
          <w:tab w:val="left" w:pos="1276"/>
          <w:tab w:val="left" w:pos="1418"/>
          <w:tab w:val="left" w:leader="dot" w:pos="8222"/>
          <w:tab w:val="right" w:pos="8647"/>
        </w:tabs>
        <w:jc w:val="both"/>
        <w:rPr>
          <w:rFonts w:ascii="Cambria" w:hAnsi="Cambria"/>
          <w:i/>
        </w:rPr>
      </w:pPr>
      <w:r w:rsidRPr="00946249">
        <w:rPr>
          <w:rFonts w:ascii="Cambria" w:hAnsi="Cambria"/>
          <w:i/>
          <w:iCs/>
        </w:rPr>
        <w:t>[22-08] Recomendación de ICCAT que enmienda la Recomendación 21-08 que establece un plan de ordenación plurianual para el atún rojo en el Atlántico este y el Mediterráneo</w:t>
      </w:r>
      <w:r w:rsidR="00D00C39" w:rsidRPr="00946249">
        <w:rPr>
          <w:rFonts w:ascii="Cambria" w:hAnsi="Cambria"/>
        </w:rPr>
        <w:t>, enmendada por la</w:t>
      </w:r>
      <w:r w:rsidRPr="00946249">
        <w:rPr>
          <w:rFonts w:ascii="Cambria" w:hAnsi="Cambria"/>
        </w:rPr>
        <w:t xml:space="preserve"> </w:t>
      </w:r>
      <w:r w:rsidRPr="00946249">
        <w:rPr>
          <w:rFonts w:ascii="Cambria" w:hAnsi="Cambria"/>
          <w:i/>
          <w:iCs/>
        </w:rPr>
        <w:t>[23-06]</w:t>
      </w:r>
      <w:r w:rsidRPr="00946249">
        <w:rPr>
          <w:rFonts w:ascii="Cambria" w:hAnsi="Cambria"/>
        </w:rPr>
        <w:t xml:space="preserve"> </w:t>
      </w:r>
      <w:r w:rsidRPr="00946249">
        <w:rPr>
          <w:rFonts w:ascii="Cambria" w:hAnsi="Cambria"/>
          <w:i/>
          <w:iCs/>
        </w:rPr>
        <w:t>Recomendación de ICCAT que enmienda la Recomendación 22-08 que establece un plan de ordenación plurianual para el atún rojo en el Atlántico este y Mediterráneo</w:t>
      </w:r>
    </w:p>
    <w:p w14:paraId="4B807E3F" w14:textId="77777777" w:rsidR="00C30FAB" w:rsidRPr="00946249" w:rsidRDefault="00C30FAB" w:rsidP="007C7401">
      <w:pPr>
        <w:tabs>
          <w:tab w:val="left" w:pos="1276"/>
          <w:tab w:val="left" w:pos="1418"/>
          <w:tab w:val="left" w:leader="dot" w:pos="8222"/>
          <w:tab w:val="right" w:pos="8647"/>
        </w:tabs>
        <w:jc w:val="both"/>
        <w:rPr>
          <w:rFonts w:ascii="Cambria" w:hAnsi="Cambria"/>
          <w:i/>
        </w:rPr>
      </w:pPr>
    </w:p>
    <w:p w14:paraId="1F7284D5" w14:textId="2CB85240" w:rsidR="00C30FAB" w:rsidRPr="00946249" w:rsidRDefault="00C30FAB" w:rsidP="00C30FAB">
      <w:pPr>
        <w:tabs>
          <w:tab w:val="left" w:pos="1276"/>
          <w:tab w:val="left" w:pos="1418"/>
          <w:tab w:val="left" w:leader="dot" w:pos="8222"/>
          <w:tab w:val="right" w:pos="8647"/>
        </w:tabs>
        <w:jc w:val="both"/>
        <w:rPr>
          <w:rFonts w:ascii="Cambria" w:hAnsi="Cambria"/>
          <w:bCs/>
        </w:rPr>
      </w:pPr>
      <w:r w:rsidRPr="00946249">
        <w:rPr>
          <w:rFonts w:ascii="Cambria" w:hAnsi="Cambria"/>
        </w:rPr>
        <w:lastRenderedPageBreak/>
        <w:t xml:space="preserve">(sustituida por la </w:t>
      </w:r>
      <w:r w:rsidRPr="00946249">
        <w:rPr>
          <w:rFonts w:ascii="Cambria" w:hAnsi="Cambria"/>
          <w:i/>
          <w:iCs/>
        </w:rPr>
        <w:t>[24-05] Recomendación de ICCAT que enmienda la Recomendación 22-08 que establece un plan de ordenación plurianual para el atún rojo en el Atlántico este y Mediterráneo</w:t>
      </w:r>
      <w:r w:rsidR="00D00C39" w:rsidRPr="00946249">
        <w:rPr>
          <w:rFonts w:ascii="Cambria" w:hAnsi="Cambria"/>
        </w:rPr>
        <w:t>)</w:t>
      </w:r>
    </w:p>
    <w:p w14:paraId="28E48EA8" w14:textId="77777777" w:rsidR="00FB5CBC" w:rsidRPr="00946249" w:rsidRDefault="00FB5CBC" w:rsidP="007C7401">
      <w:pPr>
        <w:tabs>
          <w:tab w:val="left" w:pos="1276"/>
          <w:tab w:val="left" w:pos="1418"/>
          <w:tab w:val="left" w:leader="dot" w:pos="8222"/>
          <w:tab w:val="right" w:pos="8647"/>
        </w:tabs>
        <w:jc w:val="both"/>
        <w:rPr>
          <w:rFonts w:ascii="Cambria" w:hAnsi="Cambria"/>
          <w:iCs/>
        </w:rPr>
      </w:pPr>
    </w:p>
    <w:p w14:paraId="1A7D7122" w14:textId="36529CC2" w:rsidR="00CC1053" w:rsidRPr="00946249" w:rsidRDefault="00342456" w:rsidP="00820485">
      <w:pPr>
        <w:tabs>
          <w:tab w:val="left" w:pos="1276"/>
          <w:tab w:val="left" w:pos="1418"/>
          <w:tab w:val="left" w:leader="dot" w:pos="8222"/>
          <w:tab w:val="right" w:pos="8647"/>
        </w:tabs>
        <w:jc w:val="both"/>
        <w:rPr>
          <w:rFonts w:ascii="Cambria" w:hAnsi="Cambria"/>
        </w:rPr>
      </w:pPr>
      <w:r w:rsidRPr="00946249">
        <w:rPr>
          <w:rFonts w:ascii="Cambria" w:hAnsi="Cambria"/>
          <w:b/>
          <w:bCs/>
          <w:i/>
          <w:iCs/>
        </w:rPr>
        <w:t>Registro ICCAT de FFB:</w:t>
      </w:r>
      <w:r w:rsidRPr="00946249">
        <w:rPr>
          <w:rFonts w:ascii="Cambria" w:hAnsi="Cambria"/>
        </w:rPr>
        <w:t xml:space="preserve"> El Registro ICCAT de granjas, que actualmente incluye 72 granjas, se publica en la </w:t>
      </w:r>
      <w:hyperlink r:id="rId16" w:history="1">
        <w:r w:rsidRPr="00946249">
          <w:rPr>
            <w:rStyle w:val="Hyperlink"/>
            <w:rFonts w:ascii="Cambria" w:hAnsi="Cambria"/>
            <w:u w:val="none"/>
          </w:rPr>
          <w:t>página web de ICCAT</w:t>
        </w:r>
      </w:hyperlink>
      <w:r w:rsidRPr="00946249">
        <w:rPr>
          <w:rFonts w:ascii="Cambria" w:hAnsi="Cambria"/>
        </w:rPr>
        <w:t>. No se requieren listas/autorizaciones anuales.  Muchas de las granjas inscritas como autorizadas a operar en la página web de ICCAT no participan en el programa regional de observadores de ICCAT (ROP-BFT).</w:t>
      </w:r>
    </w:p>
    <w:p w14:paraId="11CAC46C" w14:textId="77777777" w:rsidR="00021086" w:rsidRPr="00946249" w:rsidRDefault="00021086" w:rsidP="00820485">
      <w:pPr>
        <w:tabs>
          <w:tab w:val="left" w:pos="1276"/>
          <w:tab w:val="left" w:pos="1418"/>
          <w:tab w:val="left" w:leader="dot" w:pos="8222"/>
          <w:tab w:val="right" w:pos="8647"/>
        </w:tabs>
        <w:ind w:firstLine="426"/>
        <w:rPr>
          <w:rFonts w:ascii="Cambria" w:hAnsi="Cambria"/>
          <w:bCs/>
        </w:rPr>
      </w:pPr>
    </w:p>
    <w:p w14:paraId="2ADE1596" w14:textId="059E2854" w:rsidR="00D823B1" w:rsidRPr="00946249" w:rsidRDefault="00D823B1" w:rsidP="00820485">
      <w:pPr>
        <w:tabs>
          <w:tab w:val="left" w:pos="709"/>
          <w:tab w:val="left" w:pos="1276"/>
          <w:tab w:val="left" w:pos="1418"/>
          <w:tab w:val="left" w:leader="dot" w:pos="8222"/>
          <w:tab w:val="right" w:pos="8647"/>
        </w:tabs>
        <w:jc w:val="both"/>
        <w:rPr>
          <w:rFonts w:ascii="Cambria" w:hAnsi="Cambria"/>
          <w:bCs/>
          <w:i/>
        </w:rPr>
      </w:pPr>
      <w:r w:rsidRPr="00946249">
        <w:rPr>
          <w:rFonts w:ascii="Cambria" w:hAnsi="Cambria"/>
          <w:i/>
        </w:rPr>
        <w:t>[16-24] Directrices para preparar los planes de pesca, inspección y ordenación de la capacidad de atún rojo del Atlántico este y Mediterráneo</w:t>
      </w:r>
    </w:p>
    <w:p w14:paraId="24EEF7BB" w14:textId="77777777" w:rsidR="003716E6" w:rsidRPr="00946249" w:rsidRDefault="003716E6" w:rsidP="00820485">
      <w:pPr>
        <w:tabs>
          <w:tab w:val="left" w:pos="1276"/>
          <w:tab w:val="left" w:pos="1418"/>
          <w:tab w:val="left" w:leader="dot" w:pos="8222"/>
          <w:tab w:val="right" w:pos="8647"/>
        </w:tabs>
        <w:jc w:val="both"/>
        <w:rPr>
          <w:rFonts w:ascii="Cambria" w:hAnsi="Cambria"/>
          <w:b/>
          <w:i/>
        </w:rPr>
      </w:pPr>
    </w:p>
    <w:p w14:paraId="7EA28B69" w14:textId="565E9F22" w:rsidR="003716E6" w:rsidRPr="00946249" w:rsidRDefault="003716E6"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Se recibieron planes de pesca, inspección y ordenación de la capacidad, dentro del plazo y siguiendo las directrices adoptadas, de todas las CPC con cuota para atún rojo del este, excepto Namibia. Todos los planes fueron aprobados y se han incluido adjuntos al "Informe de la reunión </w:t>
      </w:r>
      <w:proofErr w:type="spellStart"/>
      <w:r w:rsidRPr="00946249">
        <w:rPr>
          <w:rFonts w:ascii="Cambria" w:hAnsi="Cambria"/>
        </w:rPr>
        <w:t>intersesiones</w:t>
      </w:r>
      <w:proofErr w:type="spellEnd"/>
      <w:r w:rsidRPr="00946249">
        <w:rPr>
          <w:rFonts w:ascii="Cambria" w:hAnsi="Cambria"/>
        </w:rPr>
        <w:t xml:space="preserve"> de la Subcomisión 2" [PA2_602/2025].</w:t>
      </w:r>
    </w:p>
    <w:p w14:paraId="3CCB2A1D" w14:textId="77777777" w:rsidR="00D823B1" w:rsidRPr="00946249" w:rsidRDefault="00D823B1" w:rsidP="00820485">
      <w:pPr>
        <w:tabs>
          <w:tab w:val="left" w:pos="1276"/>
          <w:tab w:val="left" w:pos="1418"/>
          <w:tab w:val="left" w:leader="dot" w:pos="8222"/>
          <w:tab w:val="right" w:pos="8647"/>
        </w:tabs>
        <w:ind w:firstLine="426"/>
        <w:rPr>
          <w:rFonts w:ascii="Cambria" w:hAnsi="Cambria"/>
          <w:i/>
        </w:rPr>
      </w:pPr>
    </w:p>
    <w:p w14:paraId="26350691" w14:textId="04577677" w:rsidR="001A3174" w:rsidRPr="00946249" w:rsidRDefault="001A3174" w:rsidP="00820485">
      <w:pPr>
        <w:tabs>
          <w:tab w:val="left" w:pos="1276"/>
          <w:tab w:val="left" w:pos="1418"/>
          <w:tab w:val="left" w:leader="dot" w:pos="8222"/>
          <w:tab w:val="right" w:pos="8647"/>
        </w:tabs>
        <w:jc w:val="both"/>
        <w:rPr>
          <w:rFonts w:ascii="Cambria" w:hAnsi="Cambria"/>
          <w:i/>
        </w:rPr>
      </w:pPr>
      <w:r w:rsidRPr="00946249">
        <w:rPr>
          <w:rFonts w:ascii="Cambria" w:hAnsi="Cambria"/>
          <w:i/>
        </w:rPr>
        <w:t>[22-10] Recomendación de ICCAT para un plan de conservación y ordenación para el atún rojo del Atlántico oeste</w:t>
      </w:r>
    </w:p>
    <w:p w14:paraId="0D5D97C6" w14:textId="77777777" w:rsidR="006150C6" w:rsidRPr="00946249" w:rsidRDefault="006150C6" w:rsidP="00820485">
      <w:pPr>
        <w:tabs>
          <w:tab w:val="left" w:pos="1276"/>
          <w:tab w:val="left" w:pos="1418"/>
          <w:tab w:val="left" w:leader="dot" w:pos="8222"/>
          <w:tab w:val="right" w:pos="8647"/>
        </w:tabs>
        <w:ind w:firstLine="426"/>
        <w:rPr>
          <w:rFonts w:ascii="Cambria" w:hAnsi="Cambria"/>
          <w:i/>
        </w:rPr>
      </w:pPr>
    </w:p>
    <w:p w14:paraId="5A944797" w14:textId="784EF90F" w:rsidR="006150C6" w:rsidRPr="00946249" w:rsidRDefault="006150C6" w:rsidP="00820485">
      <w:pPr>
        <w:tabs>
          <w:tab w:val="left" w:pos="1276"/>
          <w:tab w:val="left" w:pos="1418"/>
          <w:tab w:val="left" w:leader="dot" w:pos="8222"/>
          <w:tab w:val="right" w:pos="8647"/>
        </w:tabs>
        <w:jc w:val="both"/>
        <w:rPr>
          <w:rFonts w:ascii="Cambria" w:hAnsi="Cambria"/>
          <w:bCs/>
        </w:rPr>
      </w:pPr>
      <w:r w:rsidRPr="00946249">
        <w:rPr>
          <w:rFonts w:ascii="Cambria" w:hAnsi="Cambria"/>
          <w:b/>
          <w:i/>
        </w:rPr>
        <w:t xml:space="preserve">Comunicación de captura mensual: </w:t>
      </w:r>
      <w:r w:rsidRPr="00946249">
        <w:rPr>
          <w:rFonts w:ascii="Cambria" w:hAnsi="Cambria"/>
        </w:rPr>
        <w:t xml:space="preserve">Véase la </w:t>
      </w:r>
      <w:r w:rsidRPr="00946249">
        <w:rPr>
          <w:rFonts w:ascii="Cambria" w:hAnsi="Cambria"/>
          <w:b/>
          <w:bCs/>
        </w:rPr>
        <w:t>Tabla 7</w:t>
      </w:r>
      <w:r w:rsidRPr="00946249">
        <w:rPr>
          <w:rFonts w:ascii="Cambria" w:hAnsi="Cambria"/>
        </w:rPr>
        <w:t xml:space="preserve"> para un resumen de los informes recibidos durante el año. Las cantidades comunicadas se siguen publicando en </w:t>
      </w:r>
      <w:proofErr w:type="gramStart"/>
      <w:r w:rsidRPr="00946249">
        <w:rPr>
          <w:rFonts w:ascii="Cambria" w:hAnsi="Cambria"/>
        </w:rPr>
        <w:t>una sitio</w:t>
      </w:r>
      <w:proofErr w:type="gramEnd"/>
      <w:r w:rsidRPr="00946249">
        <w:rPr>
          <w:rFonts w:ascii="Cambria" w:hAnsi="Cambria"/>
        </w:rPr>
        <w:t xml:space="preserve"> de la página web de ICCAT protegido con contraseña. </w:t>
      </w:r>
    </w:p>
    <w:p w14:paraId="0CB318CC" w14:textId="77777777" w:rsidR="00345418" w:rsidRPr="00946249" w:rsidRDefault="00345418" w:rsidP="00820485">
      <w:pPr>
        <w:tabs>
          <w:tab w:val="left" w:pos="1276"/>
          <w:tab w:val="left" w:pos="1418"/>
          <w:tab w:val="left" w:leader="dot" w:pos="8222"/>
          <w:tab w:val="right" w:pos="8647"/>
        </w:tabs>
        <w:jc w:val="both"/>
        <w:rPr>
          <w:rFonts w:ascii="Cambria" w:hAnsi="Cambria"/>
          <w:b/>
          <w:bCs/>
          <w:i/>
        </w:rPr>
      </w:pPr>
    </w:p>
    <w:p w14:paraId="4F55FD49" w14:textId="091F08E5" w:rsidR="00500DD6" w:rsidRPr="00946249" w:rsidRDefault="00500DD6" w:rsidP="00820485">
      <w:pPr>
        <w:tabs>
          <w:tab w:val="left" w:pos="1276"/>
          <w:tab w:val="left" w:pos="1418"/>
          <w:tab w:val="left" w:leader="dot" w:pos="8222"/>
          <w:tab w:val="right" w:pos="8647"/>
        </w:tabs>
        <w:jc w:val="both"/>
        <w:rPr>
          <w:rFonts w:ascii="Cambria" w:hAnsi="Cambria"/>
        </w:rPr>
      </w:pPr>
      <w:r w:rsidRPr="00946249">
        <w:rPr>
          <w:rFonts w:ascii="Cambria" w:hAnsi="Cambria"/>
          <w:b/>
          <w:bCs/>
          <w:i/>
          <w:iCs/>
        </w:rPr>
        <w:t>Cumplimiento de las cuotas/límites de captura:</w:t>
      </w:r>
      <w:r w:rsidRPr="00946249">
        <w:rPr>
          <w:rFonts w:ascii="Cambria" w:hAnsi="Cambria"/>
        </w:rPr>
        <w:t xml:space="preserve"> Véase el documento "Tablas de cumplimiento de 2024 recibidas en 2025" [COC_304/2025].</w:t>
      </w:r>
    </w:p>
    <w:p w14:paraId="30E2C352" w14:textId="77777777" w:rsidR="00500DD6" w:rsidRPr="00946249" w:rsidRDefault="00500DD6" w:rsidP="00820485">
      <w:pPr>
        <w:tabs>
          <w:tab w:val="left" w:pos="1276"/>
          <w:tab w:val="left" w:pos="1418"/>
          <w:tab w:val="left" w:leader="dot" w:pos="8222"/>
          <w:tab w:val="right" w:pos="8647"/>
        </w:tabs>
        <w:ind w:firstLine="426"/>
        <w:rPr>
          <w:rFonts w:ascii="Cambria" w:hAnsi="Cambria"/>
          <w:i/>
        </w:rPr>
      </w:pPr>
    </w:p>
    <w:p w14:paraId="4B4CA781" w14:textId="520A2345" w:rsidR="00C30FAB" w:rsidRPr="00946249" w:rsidRDefault="00C30FAB" w:rsidP="00C30FAB">
      <w:pPr>
        <w:tabs>
          <w:tab w:val="left" w:pos="1276"/>
          <w:tab w:val="left" w:pos="1418"/>
          <w:tab w:val="left" w:leader="dot" w:pos="8222"/>
          <w:tab w:val="right" w:pos="8647"/>
        </w:tabs>
        <w:jc w:val="both"/>
        <w:rPr>
          <w:rFonts w:ascii="Cambria" w:hAnsi="Cambria"/>
          <w:i/>
        </w:rPr>
      </w:pPr>
      <w:r w:rsidRPr="00946249">
        <w:rPr>
          <w:rFonts w:ascii="Cambria" w:hAnsi="Cambria"/>
          <w:i/>
          <w:iCs/>
        </w:rPr>
        <w:t>[22-08] Recomendación de ICCAT que enmienda la Recomendación 21-08 que establece un plan de ordenación plurianual para el atún rojo en el Atlántico este y el Mediterráneo</w:t>
      </w:r>
      <w:r w:rsidR="009D111A" w:rsidRPr="00946249">
        <w:rPr>
          <w:rFonts w:ascii="Cambria" w:hAnsi="Cambria"/>
        </w:rPr>
        <w:t>, enmendada por la</w:t>
      </w:r>
      <w:r w:rsidRPr="00946249">
        <w:rPr>
          <w:rFonts w:ascii="Cambria" w:hAnsi="Cambria"/>
        </w:rPr>
        <w:t xml:space="preserve"> </w:t>
      </w:r>
      <w:r w:rsidRPr="00946249">
        <w:rPr>
          <w:rFonts w:ascii="Cambria" w:hAnsi="Cambria"/>
          <w:i/>
          <w:iCs/>
        </w:rPr>
        <w:t>[23-06]</w:t>
      </w:r>
      <w:r w:rsidRPr="00946249">
        <w:rPr>
          <w:rFonts w:ascii="Cambria" w:hAnsi="Cambria"/>
        </w:rPr>
        <w:t xml:space="preserve"> </w:t>
      </w:r>
      <w:r w:rsidRPr="00946249">
        <w:rPr>
          <w:rFonts w:ascii="Cambria" w:hAnsi="Cambria"/>
          <w:i/>
          <w:iCs/>
        </w:rPr>
        <w:t>Recomendación de ICCAT que enmienda la Recomendación 22-08 que establece un plan de ordenación plurianual para el atún rojo en el Atlántico este y Mediterráneo</w:t>
      </w:r>
    </w:p>
    <w:p w14:paraId="56C2DB6D" w14:textId="77777777" w:rsidR="00C30FAB" w:rsidRPr="00946249" w:rsidRDefault="00C30FAB" w:rsidP="00C30FAB">
      <w:pPr>
        <w:tabs>
          <w:tab w:val="left" w:pos="1276"/>
          <w:tab w:val="left" w:pos="1418"/>
          <w:tab w:val="left" w:leader="dot" w:pos="8222"/>
          <w:tab w:val="right" w:pos="8647"/>
        </w:tabs>
        <w:jc w:val="both"/>
        <w:rPr>
          <w:rFonts w:ascii="Cambria" w:hAnsi="Cambria"/>
          <w:i/>
        </w:rPr>
      </w:pPr>
    </w:p>
    <w:p w14:paraId="0C68BD17" w14:textId="11F22C09" w:rsidR="00C30FAB" w:rsidRPr="00946249" w:rsidRDefault="00C30FAB" w:rsidP="00C30FAB">
      <w:pPr>
        <w:tabs>
          <w:tab w:val="left" w:pos="1276"/>
          <w:tab w:val="left" w:pos="1418"/>
          <w:tab w:val="left" w:leader="dot" w:pos="8222"/>
          <w:tab w:val="right" w:pos="8647"/>
        </w:tabs>
        <w:jc w:val="both"/>
        <w:rPr>
          <w:rFonts w:ascii="Cambria" w:hAnsi="Cambria"/>
        </w:rPr>
      </w:pPr>
      <w:r w:rsidRPr="00946249">
        <w:rPr>
          <w:rFonts w:ascii="Cambria" w:hAnsi="Cambria"/>
        </w:rPr>
        <w:t xml:space="preserve">(sustituida por la </w:t>
      </w:r>
      <w:r w:rsidRPr="00946249">
        <w:rPr>
          <w:rFonts w:ascii="Cambria" w:hAnsi="Cambria"/>
          <w:i/>
          <w:iCs/>
        </w:rPr>
        <w:t>[24-05] Recomendación de ICCAT que enmienda la Recomendación 22-08 que establece un plan de ordenación plurianual para el atún rojo en el Atlántico este y Mediterráneo</w:t>
      </w:r>
      <w:r w:rsidR="00BC10C7" w:rsidRPr="00946249">
        <w:rPr>
          <w:rFonts w:ascii="Cambria" w:hAnsi="Cambria"/>
        </w:rPr>
        <w:t>)</w:t>
      </w:r>
    </w:p>
    <w:p w14:paraId="7E546A85" w14:textId="77777777" w:rsidR="007C7401" w:rsidRPr="00946249" w:rsidRDefault="007C7401" w:rsidP="00820485">
      <w:pPr>
        <w:tabs>
          <w:tab w:val="left" w:pos="1276"/>
          <w:tab w:val="left" w:pos="1418"/>
          <w:tab w:val="left" w:leader="dot" w:pos="8222"/>
          <w:tab w:val="right" w:pos="8647"/>
        </w:tabs>
        <w:jc w:val="both"/>
        <w:rPr>
          <w:rFonts w:ascii="Cambria" w:hAnsi="Cambria"/>
          <w:i/>
        </w:rPr>
      </w:pPr>
    </w:p>
    <w:p w14:paraId="3E4C8478" w14:textId="22728008" w:rsidR="00530276" w:rsidRPr="00946249" w:rsidRDefault="003716E6" w:rsidP="00530276">
      <w:pPr>
        <w:tabs>
          <w:tab w:val="left" w:pos="1276"/>
          <w:tab w:val="left" w:pos="1418"/>
          <w:tab w:val="left" w:leader="dot" w:pos="8222"/>
          <w:tab w:val="right" w:pos="8647"/>
        </w:tabs>
        <w:jc w:val="both"/>
        <w:rPr>
          <w:rFonts w:ascii="Cambria" w:hAnsi="Cambria"/>
        </w:rPr>
      </w:pPr>
      <w:r w:rsidRPr="00946249">
        <w:rPr>
          <w:rFonts w:ascii="Cambria" w:hAnsi="Cambria"/>
          <w:b/>
          <w:bCs/>
          <w:i/>
          <w:iCs/>
        </w:rPr>
        <w:t>Cumplimiento de las cuotas/límites de captura:</w:t>
      </w:r>
      <w:r w:rsidRPr="00946249">
        <w:rPr>
          <w:rFonts w:ascii="Cambria" w:hAnsi="Cambria"/>
          <w:i/>
        </w:rPr>
        <w:t xml:space="preserve"> </w:t>
      </w:r>
      <w:r w:rsidRPr="00946249">
        <w:rPr>
          <w:rFonts w:ascii="Cambria" w:hAnsi="Cambria"/>
        </w:rPr>
        <w:t>Véase el documento "Tablas de cumplimiento de 2024 recibidas en 2025" [COC_304/2025].</w:t>
      </w:r>
    </w:p>
    <w:p w14:paraId="79079704" w14:textId="1882B607" w:rsidR="003716E6" w:rsidRPr="00946249" w:rsidRDefault="003716E6" w:rsidP="00820485">
      <w:pPr>
        <w:tabs>
          <w:tab w:val="left" w:pos="1276"/>
          <w:tab w:val="left" w:pos="1418"/>
          <w:tab w:val="left" w:leader="dot" w:pos="8222"/>
          <w:tab w:val="right" w:pos="8647"/>
        </w:tabs>
        <w:jc w:val="both"/>
        <w:rPr>
          <w:rFonts w:ascii="Cambria" w:hAnsi="Cambria"/>
          <w:i/>
        </w:rPr>
      </w:pPr>
    </w:p>
    <w:p w14:paraId="333978C7" w14:textId="3B1FDB2B" w:rsidR="003716E6" w:rsidRPr="00946249" w:rsidRDefault="003716E6" w:rsidP="00820485">
      <w:pPr>
        <w:tabs>
          <w:tab w:val="left" w:pos="1276"/>
          <w:tab w:val="left" w:pos="1418"/>
          <w:tab w:val="left" w:leader="dot" w:pos="8222"/>
          <w:tab w:val="right" w:pos="8647"/>
        </w:tabs>
        <w:jc w:val="both"/>
        <w:rPr>
          <w:rFonts w:ascii="Cambria" w:hAnsi="Cambria"/>
        </w:rPr>
      </w:pPr>
      <w:r w:rsidRPr="00946249">
        <w:rPr>
          <w:rFonts w:ascii="Cambria" w:hAnsi="Cambria"/>
          <w:b/>
          <w:bCs/>
          <w:i/>
        </w:rPr>
        <w:t>Planes de pesca:</w:t>
      </w:r>
      <w:r w:rsidRPr="00946249">
        <w:rPr>
          <w:rFonts w:ascii="Cambria" w:hAnsi="Cambria"/>
          <w:i/>
        </w:rPr>
        <w:t xml:space="preserve"> </w:t>
      </w:r>
      <w:r w:rsidRPr="00946249">
        <w:rPr>
          <w:rFonts w:ascii="Cambria" w:hAnsi="Cambria"/>
        </w:rPr>
        <w:t>Los planes se han recibido dentro del plazo, excepto en el caso de Namibia, y, tras solicitudes de aclaración, fueron todos aprobados por la Subcomisión 2 (véase la Ref. 16-24 anterior).</w:t>
      </w:r>
    </w:p>
    <w:p w14:paraId="77443963" w14:textId="77777777" w:rsidR="00D26C9B" w:rsidRPr="00946249" w:rsidRDefault="00D26C9B" w:rsidP="00820485">
      <w:pPr>
        <w:tabs>
          <w:tab w:val="left" w:pos="1276"/>
          <w:tab w:val="left" w:pos="1418"/>
          <w:tab w:val="left" w:leader="dot" w:pos="8222"/>
          <w:tab w:val="right" w:pos="8647"/>
        </w:tabs>
        <w:jc w:val="both"/>
        <w:rPr>
          <w:rFonts w:ascii="Cambria" w:hAnsi="Cambria"/>
        </w:rPr>
      </w:pPr>
    </w:p>
    <w:p w14:paraId="4D53F026" w14:textId="40BEFDF6" w:rsidR="002D61E1" w:rsidRPr="00946249" w:rsidRDefault="00795BCA" w:rsidP="00820485">
      <w:pPr>
        <w:jc w:val="both"/>
        <w:rPr>
          <w:rFonts w:ascii="Cambria" w:hAnsi="Cambria"/>
        </w:rPr>
      </w:pPr>
      <w:r w:rsidRPr="00946249">
        <w:rPr>
          <w:rFonts w:ascii="Cambria" w:hAnsi="Cambria"/>
          <w:b/>
          <w:bCs/>
          <w:i/>
        </w:rPr>
        <w:t>Operaciones de pesca conjuntas:</w:t>
      </w:r>
      <w:r w:rsidRPr="00946249">
        <w:rPr>
          <w:rFonts w:ascii="Cambria" w:hAnsi="Cambria"/>
          <w:i/>
        </w:rPr>
        <w:t xml:space="preserve"> </w:t>
      </w:r>
      <w:r w:rsidRPr="00946249">
        <w:rPr>
          <w:rFonts w:ascii="Cambria" w:hAnsi="Cambria"/>
        </w:rPr>
        <w:t xml:space="preserve">En 2025 se notificaron 28 operaciones de pesca conjuntas (JFO). La Secretaría de ICCAT ha recibido, en la mayoría de los casos, la información necesaria cinco días antes de las JFO. La información se ha publicado en la </w:t>
      </w:r>
      <w:hyperlink r:id="rId17" w:history="1">
        <w:r w:rsidRPr="00946249">
          <w:rPr>
            <w:rStyle w:val="Hyperlink"/>
            <w:rFonts w:ascii="Cambria" w:hAnsi="Cambria"/>
            <w:u w:val="none"/>
          </w:rPr>
          <w:t>página web de ICCAT</w:t>
        </w:r>
      </w:hyperlink>
      <w:r w:rsidRPr="00946249">
        <w:rPr>
          <w:rFonts w:ascii="Cambria" w:hAnsi="Cambria"/>
        </w:rPr>
        <w:t xml:space="preserve">. </w:t>
      </w:r>
      <w:bookmarkStart w:id="3" w:name="_Hlk212038714"/>
      <w:r w:rsidRPr="00946249">
        <w:rPr>
          <w:rFonts w:ascii="Cambria" w:hAnsi="Cambria"/>
        </w:rPr>
        <w:t>En muchos casos, el breve espacio de tiempo entre la presentación de los datos de la JFO y su fecha de inicio sigue dificultando que toda la información se introduzca completamente en las bases de datos de ICCAT y su sincronización con el eBCD, así como su entrega a los observadores del ROP-BFT a tiempo para su asignación. Además, el procedimiento actual no permite introducir ninguna JFO sin información sobre la granja de destino y se encontraron algunas dificultades cuando se requirieron cambios, ya que, una vez que los eBCD están asociados a una JFO, la información no puede actualizarse a menos que se vuelvan a emitir todos los eBCD.</w:t>
      </w:r>
    </w:p>
    <w:bookmarkEnd w:id="3"/>
    <w:p w14:paraId="4A8E6A7C" w14:textId="54980710" w:rsidR="003C49E3" w:rsidRPr="00946249" w:rsidRDefault="003C49E3" w:rsidP="006D1DE6">
      <w:pPr>
        <w:tabs>
          <w:tab w:val="left" w:pos="1276"/>
          <w:tab w:val="left" w:pos="1418"/>
          <w:tab w:val="left" w:leader="dot" w:pos="8222"/>
          <w:tab w:val="right" w:pos="8647"/>
        </w:tabs>
        <w:jc w:val="both"/>
        <w:rPr>
          <w:rFonts w:ascii="Cambria" w:hAnsi="Cambria"/>
        </w:rPr>
      </w:pPr>
    </w:p>
    <w:p w14:paraId="7CA99842" w14:textId="5A340119" w:rsidR="00DF112A" w:rsidRPr="00946249" w:rsidRDefault="000371A1" w:rsidP="00FD278B">
      <w:pPr>
        <w:tabs>
          <w:tab w:val="left" w:pos="1276"/>
          <w:tab w:val="left" w:pos="1418"/>
          <w:tab w:val="left" w:leader="dot" w:pos="8222"/>
          <w:tab w:val="right" w:pos="8647"/>
        </w:tabs>
        <w:jc w:val="both"/>
        <w:rPr>
          <w:rFonts w:ascii="Cambria" w:hAnsi="Cambria"/>
        </w:rPr>
      </w:pPr>
      <w:bookmarkStart w:id="4" w:name="_Hlk23928350"/>
      <w:bookmarkStart w:id="5" w:name="_Hlk52880218"/>
      <w:bookmarkStart w:id="6" w:name="_Hlk23241440"/>
      <w:bookmarkStart w:id="7" w:name="_Hlk179901459"/>
      <w:r w:rsidRPr="00946249">
        <w:rPr>
          <w:rFonts w:ascii="Cambria" w:hAnsi="Cambria"/>
          <w:b/>
          <w:i/>
        </w:rPr>
        <w:t>Sistema de seguimiento de buques (VMS):</w:t>
      </w:r>
      <w:bookmarkEnd w:id="4"/>
      <w:bookmarkEnd w:id="5"/>
      <w:bookmarkEnd w:id="6"/>
      <w:r w:rsidRPr="00946249">
        <w:rPr>
          <w:rFonts w:ascii="Cambria" w:hAnsi="Cambria"/>
          <w:b/>
          <w:i/>
        </w:rPr>
        <w:t xml:space="preserve"> </w:t>
      </w:r>
      <w:r w:rsidRPr="00946249">
        <w:rPr>
          <w:rFonts w:ascii="Cambria" w:hAnsi="Cambria"/>
        </w:rPr>
        <w:t>Este año, hasta el 17 de octubre de 2025, se han recibido un total de 2.775.992 mensajes VMS (en el cálculo de este total no se han tenido en cuenta los mensajes que los sistemas identifican como posiciones de puerto). En comparación con el mismo período del año pasado, se han recibido 176.964 mensajes menos, lo que supone un descenso aproximado del 7 %. En el mismo período este año, han estado activos 1</w:t>
      </w:r>
      <w:r w:rsidR="00FD11D5" w:rsidRPr="00946249">
        <w:rPr>
          <w:rFonts w:ascii="Cambria" w:hAnsi="Cambria"/>
        </w:rPr>
        <w:t>.</w:t>
      </w:r>
      <w:r w:rsidRPr="00946249">
        <w:rPr>
          <w:rFonts w:ascii="Cambria" w:hAnsi="Cambria"/>
        </w:rPr>
        <w:t>029 buques (al igual que en el criterio de los mensajes, se consideran buques activos los que han transmitido al menos un mensaje con una posición fuera de puerto), lo que supone 78 buques menos que el año pasado, es decir, un descenso de aproximadamente el 6 %.</w:t>
      </w:r>
    </w:p>
    <w:p w14:paraId="11431DE8" w14:textId="77777777" w:rsidR="00DF112A" w:rsidRPr="00946249" w:rsidRDefault="00DF112A" w:rsidP="00820485">
      <w:pPr>
        <w:jc w:val="both"/>
        <w:rPr>
          <w:rFonts w:ascii="Cambria" w:hAnsi="Cambria"/>
        </w:rPr>
      </w:pPr>
    </w:p>
    <w:p w14:paraId="24D2C0F2" w14:textId="77777777" w:rsidR="00DF112A" w:rsidRPr="00946249" w:rsidRDefault="00DF112A"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Para más información sobre los mensajes VMS transmitidos, véanse las </w:t>
      </w:r>
      <w:r w:rsidRPr="00946249">
        <w:rPr>
          <w:rFonts w:ascii="Cambria" w:hAnsi="Cambria"/>
          <w:b/>
        </w:rPr>
        <w:t xml:space="preserve">Tablas 4, 5 </w:t>
      </w:r>
      <w:r w:rsidRPr="00946249">
        <w:rPr>
          <w:rFonts w:ascii="Cambria" w:hAnsi="Cambria"/>
          <w:bCs/>
        </w:rPr>
        <w:t>y</w:t>
      </w:r>
      <w:r w:rsidRPr="00946249">
        <w:rPr>
          <w:rFonts w:ascii="Cambria" w:hAnsi="Cambria"/>
          <w:b/>
        </w:rPr>
        <w:t xml:space="preserve"> 6.</w:t>
      </w:r>
    </w:p>
    <w:p w14:paraId="5A914BF3" w14:textId="4E768ABD" w:rsidR="00DF112A" w:rsidRPr="00946249" w:rsidRDefault="00DF112A" w:rsidP="00820485">
      <w:pPr>
        <w:tabs>
          <w:tab w:val="left" w:pos="1276"/>
          <w:tab w:val="left" w:pos="1418"/>
          <w:tab w:val="left" w:leader="dot" w:pos="8222"/>
          <w:tab w:val="right" w:pos="8647"/>
        </w:tabs>
        <w:jc w:val="both"/>
        <w:rPr>
          <w:rFonts w:ascii="Cambria" w:hAnsi="Cambria"/>
        </w:rPr>
      </w:pPr>
      <w:r w:rsidRPr="00946249">
        <w:rPr>
          <w:rFonts w:ascii="Cambria" w:hAnsi="Cambria"/>
        </w:rPr>
        <w:lastRenderedPageBreak/>
        <w:t>Desde 2014, el número de mensajes VMS recibidos ha aumentado aproximadamente un 86 %.</w:t>
      </w:r>
    </w:p>
    <w:p w14:paraId="7E9A06B9" w14:textId="30EA7233" w:rsidR="00DF112A" w:rsidRPr="00946249" w:rsidRDefault="00DF112A" w:rsidP="00820485">
      <w:pPr>
        <w:tabs>
          <w:tab w:val="left" w:pos="1276"/>
          <w:tab w:val="left" w:pos="1418"/>
          <w:tab w:val="left" w:leader="dot" w:pos="8222"/>
          <w:tab w:val="right" w:pos="8647"/>
        </w:tabs>
        <w:jc w:val="both"/>
        <w:rPr>
          <w:rFonts w:ascii="Cambria" w:hAnsi="Cambria"/>
        </w:rPr>
      </w:pPr>
    </w:p>
    <w:p w14:paraId="7BAF0344" w14:textId="2D2BCD2B" w:rsidR="00122A9E" w:rsidRPr="00946249" w:rsidRDefault="00FD11D5" w:rsidP="00820485">
      <w:pPr>
        <w:tabs>
          <w:tab w:val="left" w:pos="1276"/>
          <w:tab w:val="left" w:pos="1418"/>
          <w:tab w:val="left" w:leader="dot" w:pos="8222"/>
          <w:tab w:val="right" w:pos="8647"/>
        </w:tabs>
        <w:jc w:val="both"/>
        <w:rPr>
          <w:rFonts w:ascii="Cambria" w:hAnsi="Cambria"/>
        </w:rPr>
      </w:pPr>
      <w:r w:rsidRPr="00946249">
        <w:rPr>
          <w:noProof/>
          <w:sz w:val="24"/>
          <w:szCs w:val="24"/>
          <w:lang w:eastAsia="es-ES"/>
        </w:rPr>
        <mc:AlternateContent>
          <mc:Choice Requires="wps">
            <w:drawing>
              <wp:anchor distT="0" distB="0" distL="114300" distR="114300" simplePos="0" relativeHeight="251659264" behindDoc="0" locked="0" layoutInCell="1" allowOverlap="1" wp14:anchorId="75941043" wp14:editId="50ACD411">
                <wp:simplePos x="0" y="0"/>
                <wp:positionH relativeFrom="column">
                  <wp:posOffset>989556</wp:posOffset>
                </wp:positionH>
                <wp:positionV relativeFrom="paragraph">
                  <wp:posOffset>86674</wp:posOffset>
                </wp:positionV>
                <wp:extent cx="3963533" cy="297180"/>
                <wp:effectExtent l="0" t="0" r="0" b="7620"/>
                <wp:wrapNone/>
                <wp:docPr id="2000944915" name="Text Box 1"/>
                <wp:cNvGraphicFramePr/>
                <a:graphic xmlns:a="http://schemas.openxmlformats.org/drawingml/2006/main">
                  <a:graphicData uri="http://schemas.microsoft.com/office/word/2010/wordprocessingShape">
                    <wps:wsp>
                      <wps:cNvSpPr txBox="1"/>
                      <wps:spPr>
                        <a:xfrm>
                          <a:off x="0" y="0"/>
                          <a:ext cx="3963533" cy="297180"/>
                        </a:xfrm>
                        <a:prstGeom prst="rect">
                          <a:avLst/>
                        </a:prstGeom>
                        <a:solidFill>
                          <a:schemeClr val="lt1"/>
                        </a:solidFill>
                        <a:ln w="6350">
                          <a:noFill/>
                        </a:ln>
                      </wps:spPr>
                      <wps:txbx>
                        <w:txbxContent>
                          <w:p w14:paraId="4C40D2F9" w14:textId="77777777" w:rsidR="00FD11D5" w:rsidRDefault="00FD11D5" w:rsidP="00FD11D5">
                            <w:pPr>
                              <w:rPr>
                                <w:rFonts w:ascii="Cambria" w:hAnsi="Cambria"/>
                              </w:rPr>
                            </w:pPr>
                            <w:r>
                              <w:rPr>
                                <w:rFonts w:ascii="Cambria" w:hAnsi="Cambria"/>
                              </w:rPr>
                              <w:t>Evolución de los mensajes VMS y de los buques desde 2014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941043" id="_x0000_t202" coordsize="21600,21600" o:spt="202" path="m,l,21600r21600,l21600,xe">
                <v:stroke joinstyle="miter"/>
                <v:path gradientshapeok="t" o:connecttype="rect"/>
              </v:shapetype>
              <v:shape id="Text Box 1" o:spid="_x0000_s1026" type="#_x0000_t202" style="position:absolute;left:0;text-align:left;margin-left:77.9pt;margin-top:6.8pt;width:312.1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" fillcolor="white [3201]" stroked="f" strokeweight=".5pt">
                <v:textbox>
                  <w:txbxContent>
                    <w:p w14:paraId="4C40D2F9" w14:textId="77777777" w:rsidR="00FD11D5" w:rsidRDefault="00FD11D5" w:rsidP="00FD11D5">
                      <w:pPr>
                        <w:rPr>
                          <w:rFonts w:ascii="Cambria" w:hAnsi="Cambria"/>
                        </w:rPr>
                      </w:pPr>
                      <w:r>
                        <w:rPr>
                          <w:rFonts w:ascii="Cambria" w:hAnsi="Cambria"/>
                        </w:rPr>
                        <w:t>Evolución de los mensajes VMS y de los buques desde 2014</w:t>
                      </w:r>
                    </w:p>
                  </w:txbxContent>
                </v:textbox>
              </v:shape>
            </w:pict>
          </mc:Fallback>
        </mc:AlternateContent>
      </w:r>
      <w:r w:rsidR="008D2C15" w:rsidRPr="00946249">
        <w:rPr>
          <w:rFonts w:ascii="Cambria" w:hAnsi="Cambria"/>
          <w:noProof/>
        </w:rPr>
        <w:drawing>
          <wp:inline distT="0" distB="0" distL="0" distR="0" wp14:anchorId="561F4A8F" wp14:editId="280366B0">
            <wp:extent cx="5724525" cy="3706495"/>
            <wp:effectExtent l="0" t="0" r="9525" b="8255"/>
            <wp:docPr id="931280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3706495"/>
                    </a:xfrm>
                    <a:prstGeom prst="rect">
                      <a:avLst/>
                    </a:prstGeom>
                    <a:noFill/>
                  </pic:spPr>
                </pic:pic>
              </a:graphicData>
            </a:graphic>
          </wp:inline>
        </w:drawing>
      </w:r>
    </w:p>
    <w:bookmarkEnd w:id="7"/>
    <w:p w14:paraId="7FF311FA" w14:textId="77777777" w:rsidR="000D664A" w:rsidRPr="00946249" w:rsidRDefault="000D664A" w:rsidP="00820485">
      <w:pPr>
        <w:tabs>
          <w:tab w:val="left" w:pos="1276"/>
          <w:tab w:val="left" w:pos="1418"/>
          <w:tab w:val="left" w:leader="dot" w:pos="8222"/>
          <w:tab w:val="right" w:pos="8647"/>
        </w:tabs>
        <w:jc w:val="both"/>
        <w:rPr>
          <w:rFonts w:ascii="Cambria" w:hAnsi="Cambria"/>
          <w:b/>
          <w:i/>
        </w:rPr>
      </w:pPr>
    </w:p>
    <w:p w14:paraId="062CCCE6" w14:textId="37ACEC54" w:rsidR="00ED3D91" w:rsidRPr="00946249" w:rsidRDefault="0011649F" w:rsidP="00820485">
      <w:pPr>
        <w:tabs>
          <w:tab w:val="left" w:pos="1276"/>
          <w:tab w:val="left" w:pos="1418"/>
          <w:tab w:val="left" w:leader="dot" w:pos="8222"/>
          <w:tab w:val="right" w:pos="8647"/>
        </w:tabs>
        <w:jc w:val="both"/>
        <w:rPr>
          <w:rFonts w:ascii="Cambria" w:hAnsi="Cambria"/>
          <w:b/>
        </w:rPr>
      </w:pPr>
      <w:r w:rsidRPr="00946249">
        <w:rPr>
          <w:rFonts w:ascii="Cambria" w:hAnsi="Cambria"/>
          <w:b/>
          <w:i/>
        </w:rPr>
        <w:t xml:space="preserve">Informes de capturas quincenales: </w:t>
      </w:r>
      <w:r w:rsidRPr="00946249">
        <w:rPr>
          <w:rFonts w:ascii="Cambria" w:hAnsi="Cambria"/>
        </w:rPr>
        <w:t xml:space="preserve">Véase la </w:t>
      </w:r>
      <w:r w:rsidRPr="00946249">
        <w:rPr>
          <w:rFonts w:ascii="Cambria" w:hAnsi="Cambria"/>
          <w:b/>
          <w:bCs/>
        </w:rPr>
        <w:t>Tabla 8</w:t>
      </w:r>
      <w:r w:rsidRPr="00946249">
        <w:rPr>
          <w:rFonts w:ascii="Cambria" w:hAnsi="Cambria"/>
        </w:rPr>
        <w:t xml:space="preserve">. </w:t>
      </w:r>
    </w:p>
    <w:p w14:paraId="075F2021" w14:textId="21E5C113" w:rsidR="00C07B4D" w:rsidRPr="00946249" w:rsidRDefault="00C07B4D" w:rsidP="00820485">
      <w:pPr>
        <w:tabs>
          <w:tab w:val="left" w:pos="1276"/>
          <w:tab w:val="left" w:pos="1418"/>
          <w:tab w:val="left" w:leader="dot" w:pos="8222"/>
          <w:tab w:val="right" w:pos="8647"/>
        </w:tabs>
        <w:rPr>
          <w:rFonts w:ascii="Cambria" w:hAnsi="Cambria"/>
          <w:bCs/>
        </w:rPr>
      </w:pPr>
    </w:p>
    <w:p w14:paraId="62A9722F" w14:textId="2884C2B1" w:rsidR="008F686A" w:rsidRPr="00946249" w:rsidRDefault="00206E17" w:rsidP="000E29EC">
      <w:pPr>
        <w:pStyle w:val="wordsection1"/>
        <w:spacing w:before="0" w:beforeAutospacing="0" w:after="0" w:afterAutospacing="0"/>
        <w:jc w:val="both"/>
        <w:rPr>
          <w:rFonts w:ascii="Cambria" w:hAnsi="Cambria"/>
          <w:sz w:val="20"/>
          <w:szCs w:val="20"/>
        </w:rPr>
      </w:pPr>
      <w:r w:rsidRPr="00946249">
        <w:rPr>
          <w:rFonts w:ascii="Cambria" w:hAnsi="Cambria"/>
          <w:b/>
          <w:i/>
          <w:iCs/>
          <w:sz w:val="20"/>
          <w:szCs w:val="20"/>
        </w:rPr>
        <w:t xml:space="preserve">Informes de granjas/declaraciones de introducción en jaulas/traspaso de peces de las jaulas </w:t>
      </w:r>
      <w:r w:rsidRPr="00946249">
        <w:rPr>
          <w:rFonts w:ascii="Cambria" w:hAnsi="Cambria"/>
          <w:color w:val="000000"/>
          <w:sz w:val="20"/>
          <w:szCs w:val="20"/>
        </w:rPr>
        <w:t>Según las declaraciones recibidas en la Secretaría, no se produjo ninguna introducción en jaula después del 22 de agosto de 2025.</w:t>
      </w:r>
      <w:r w:rsidRPr="00946249">
        <w:rPr>
          <w:rFonts w:ascii="Cambria" w:hAnsi="Cambria"/>
          <w:b/>
          <w:color w:val="000000"/>
          <w:sz w:val="20"/>
          <w:szCs w:val="20"/>
        </w:rPr>
        <w:t xml:space="preserve"> </w:t>
      </w:r>
      <w:r w:rsidRPr="00946249">
        <w:rPr>
          <w:rFonts w:ascii="Cambria" w:hAnsi="Cambria"/>
          <w:sz w:val="20"/>
          <w:szCs w:val="20"/>
        </w:rPr>
        <w:t xml:space="preserve">Los traspasos de peces enjaulados comunicados por la Unión Europea, Túnez y </w:t>
      </w:r>
      <w:proofErr w:type="spellStart"/>
      <w:r w:rsidRPr="00946249">
        <w:rPr>
          <w:rFonts w:ascii="Cambria" w:hAnsi="Cambria"/>
          <w:sz w:val="20"/>
          <w:szCs w:val="20"/>
        </w:rPr>
        <w:t>Türkiye</w:t>
      </w:r>
      <w:proofErr w:type="spellEnd"/>
      <w:r w:rsidRPr="00946249">
        <w:rPr>
          <w:rFonts w:ascii="Cambria" w:hAnsi="Cambria"/>
          <w:sz w:val="20"/>
          <w:szCs w:val="20"/>
        </w:rPr>
        <w:t xml:space="preserve"> se muestran en la Tabla 9. Marruecos y Albania informaron de que no se traspasaron peces de 2024 a 2025.</w:t>
      </w:r>
    </w:p>
    <w:p w14:paraId="198E62C6" w14:textId="77777777" w:rsidR="00AE0476" w:rsidRPr="00946249" w:rsidRDefault="00AE0476" w:rsidP="00820485">
      <w:pPr>
        <w:tabs>
          <w:tab w:val="left" w:pos="1276"/>
          <w:tab w:val="left" w:pos="1418"/>
          <w:tab w:val="left" w:leader="dot" w:pos="8222"/>
          <w:tab w:val="right" w:pos="8647"/>
        </w:tabs>
        <w:jc w:val="both"/>
        <w:rPr>
          <w:rFonts w:ascii="Cambria" w:hAnsi="Cambria"/>
        </w:rPr>
      </w:pPr>
    </w:p>
    <w:p w14:paraId="4D46326F" w14:textId="79B76646" w:rsidR="007D4815" w:rsidRPr="00946249" w:rsidRDefault="00206E17" w:rsidP="00820485">
      <w:pPr>
        <w:jc w:val="both"/>
        <w:rPr>
          <w:rFonts w:ascii="Cambria" w:hAnsi="Cambria"/>
          <w:bCs/>
        </w:rPr>
      </w:pPr>
      <w:r w:rsidRPr="00946249">
        <w:rPr>
          <w:rFonts w:ascii="Cambria" w:hAnsi="Cambria"/>
          <w:b/>
          <w:i/>
        </w:rPr>
        <w:t xml:space="preserve">Registro ICCAT de buques de captura de atún rojo/y otros buques de atún rojo: </w:t>
      </w:r>
      <w:bookmarkStart w:id="8" w:name="_Hlk148433611"/>
      <w:bookmarkStart w:id="9" w:name="_Hlk148432875"/>
      <w:r w:rsidR="0017733A" w:rsidRPr="00946249">
        <w:rPr>
          <w:rFonts w:ascii="Cambria" w:hAnsi="Cambria"/>
          <w:bCs/>
          <w:i/>
        </w:rPr>
        <w:t xml:space="preserve">Las listas de buques autorizados se publicaron en la </w:t>
      </w:r>
      <w:hyperlink r:id="rId19" w:history="1">
        <w:r w:rsidR="0017733A" w:rsidRPr="00946249">
          <w:rPr>
            <w:rStyle w:val="Hyperlink"/>
            <w:rFonts w:ascii="Cambria" w:hAnsi="Cambria"/>
            <w:bCs/>
            <w:i/>
            <w:u w:val="none"/>
          </w:rPr>
          <w:t>página web de ICCAT</w:t>
        </w:r>
      </w:hyperlink>
      <w:r w:rsidR="0017733A" w:rsidRPr="00946249">
        <w:rPr>
          <w:rFonts w:ascii="Cambria" w:hAnsi="Cambria"/>
          <w:bCs/>
          <w:i/>
        </w:rPr>
        <w:t>.</w:t>
      </w:r>
    </w:p>
    <w:bookmarkEnd w:id="8"/>
    <w:p w14:paraId="20C64A99" w14:textId="77777777" w:rsidR="001624E5" w:rsidRPr="00946249" w:rsidRDefault="001624E5" w:rsidP="00820485">
      <w:pPr>
        <w:jc w:val="both"/>
        <w:rPr>
          <w:rFonts w:ascii="Cambria" w:hAnsi="Cambria"/>
        </w:rPr>
      </w:pPr>
    </w:p>
    <w:bookmarkEnd w:id="9"/>
    <w:p w14:paraId="066FF66A" w14:textId="7F614D2A" w:rsidR="00206E17" w:rsidRPr="00946249" w:rsidRDefault="00A22123" w:rsidP="00820485">
      <w:pPr>
        <w:jc w:val="both"/>
        <w:rPr>
          <w:rFonts w:ascii="Cambria" w:hAnsi="Cambria"/>
          <w:bCs/>
        </w:rPr>
      </w:pPr>
      <w:r w:rsidRPr="00946249">
        <w:rPr>
          <w:rFonts w:ascii="Cambria" w:hAnsi="Cambria"/>
        </w:rPr>
        <w:t xml:space="preserve">La información sobre </w:t>
      </w:r>
      <w:proofErr w:type="gramStart"/>
      <w:r w:rsidRPr="00946249">
        <w:rPr>
          <w:rFonts w:ascii="Cambria" w:hAnsi="Cambria"/>
        </w:rPr>
        <w:t>la  lista</w:t>
      </w:r>
      <w:proofErr w:type="gramEnd"/>
      <w:r w:rsidRPr="00946249">
        <w:rPr>
          <w:rFonts w:ascii="Cambria" w:hAnsi="Cambria"/>
        </w:rPr>
        <w:t xml:space="preserve"> de buques que pescaron el año anterior se incluye en el </w:t>
      </w:r>
      <w:r w:rsidRPr="00946249">
        <w:rPr>
          <w:rFonts w:ascii="Cambria" w:hAnsi="Cambria"/>
          <w:b/>
          <w:bCs/>
        </w:rPr>
        <w:t>Anexo 5</w:t>
      </w:r>
      <w:r w:rsidRPr="00946249">
        <w:rPr>
          <w:rFonts w:ascii="Cambria" w:hAnsi="Cambria"/>
        </w:rPr>
        <w:t xml:space="preserve">. </w:t>
      </w:r>
    </w:p>
    <w:p w14:paraId="104CE1A1" w14:textId="77777777" w:rsidR="00206E17" w:rsidRPr="00946249" w:rsidRDefault="00206E17" w:rsidP="00820485">
      <w:pPr>
        <w:tabs>
          <w:tab w:val="left" w:pos="1276"/>
          <w:tab w:val="left" w:pos="1418"/>
          <w:tab w:val="left" w:leader="dot" w:pos="8222"/>
          <w:tab w:val="right" w:pos="8647"/>
        </w:tabs>
        <w:jc w:val="both"/>
        <w:rPr>
          <w:rFonts w:ascii="Cambria" w:hAnsi="Cambria"/>
          <w:b/>
          <w:bCs/>
          <w:i/>
        </w:rPr>
      </w:pPr>
    </w:p>
    <w:p w14:paraId="5E01D285" w14:textId="31C43EA7" w:rsidR="00354C9D" w:rsidRPr="00946249" w:rsidRDefault="00206E17" w:rsidP="00820485">
      <w:pPr>
        <w:tabs>
          <w:tab w:val="left" w:pos="1276"/>
          <w:tab w:val="left" w:pos="1418"/>
          <w:tab w:val="left" w:leader="dot" w:pos="8222"/>
          <w:tab w:val="right" w:pos="8647"/>
        </w:tabs>
        <w:jc w:val="both"/>
        <w:rPr>
          <w:rFonts w:ascii="Cambria" w:hAnsi="Cambria"/>
        </w:rPr>
      </w:pPr>
      <w:r w:rsidRPr="00946249">
        <w:rPr>
          <w:rFonts w:ascii="Cambria" w:hAnsi="Cambria"/>
          <w:b/>
          <w:bCs/>
          <w:i/>
        </w:rPr>
        <w:t xml:space="preserve">Lista de puertos autorizados: </w:t>
      </w:r>
      <w:r w:rsidRPr="00946249">
        <w:rPr>
          <w:rFonts w:ascii="Cambria" w:hAnsi="Cambria"/>
        </w:rPr>
        <w:t xml:space="preserve">Actualmente hay 901 puertos (12 más que el 2024) incluidos en el registro ICCAT de puertos autorizados para el desembarque y/o transbordo de atún rojo del Atlántico este y Mediterráneo, publicado en el </w:t>
      </w:r>
      <w:hyperlink r:id="rId20" w:history="1">
        <w:r w:rsidRPr="00946249">
          <w:rPr>
            <w:rStyle w:val="Hyperlink"/>
            <w:rFonts w:ascii="Cambria" w:hAnsi="Cambria"/>
            <w:u w:val="none"/>
          </w:rPr>
          <w:t>sitio web de ICCAT</w:t>
        </w:r>
      </w:hyperlink>
      <w:r w:rsidR="00F271AC" w:rsidRPr="00946249">
        <w:rPr>
          <w:rFonts w:ascii="Cambria" w:hAnsi="Cambria"/>
        </w:rPr>
        <w:t>.</w:t>
      </w:r>
    </w:p>
    <w:p w14:paraId="1422F64A" w14:textId="4CFE9535" w:rsidR="006402EA" w:rsidRPr="00946249" w:rsidRDefault="006402EA" w:rsidP="00820485">
      <w:pPr>
        <w:tabs>
          <w:tab w:val="left" w:pos="1276"/>
          <w:tab w:val="left" w:pos="1418"/>
          <w:tab w:val="left" w:leader="dot" w:pos="8222"/>
          <w:tab w:val="right" w:pos="8647"/>
        </w:tabs>
        <w:jc w:val="both"/>
        <w:rPr>
          <w:rFonts w:ascii="Cambria" w:hAnsi="Cambria"/>
        </w:rPr>
      </w:pPr>
    </w:p>
    <w:p w14:paraId="7F30DD38" w14:textId="333D46E3" w:rsidR="00795BCA" w:rsidRPr="00946249" w:rsidRDefault="00354C9D" w:rsidP="00820485">
      <w:pPr>
        <w:tabs>
          <w:tab w:val="left" w:pos="1276"/>
          <w:tab w:val="left" w:pos="1418"/>
          <w:tab w:val="left" w:leader="dot" w:pos="8222"/>
          <w:tab w:val="right" w:pos="8647"/>
        </w:tabs>
        <w:jc w:val="both"/>
        <w:rPr>
          <w:rFonts w:ascii="Cambria" w:hAnsi="Cambria"/>
          <w:b/>
          <w:bCs/>
          <w:color w:val="000000" w:themeColor="text1"/>
        </w:rPr>
      </w:pPr>
      <w:r w:rsidRPr="00946249">
        <w:rPr>
          <w:rFonts w:ascii="Cambria" w:hAnsi="Cambria"/>
          <w:b/>
          <w:bCs/>
          <w:i/>
        </w:rPr>
        <w:t>Listas de almadrabas:</w:t>
      </w:r>
      <w:r w:rsidRPr="00946249">
        <w:rPr>
          <w:rFonts w:ascii="Cambria" w:hAnsi="Cambria"/>
          <w:i/>
        </w:rPr>
        <w:t xml:space="preserve"> </w:t>
      </w:r>
      <w:r w:rsidRPr="00946249">
        <w:rPr>
          <w:rFonts w:ascii="Cambria" w:hAnsi="Cambria"/>
        </w:rPr>
        <w:t xml:space="preserve">Actualmente hay 33 almadrabas en el </w:t>
      </w:r>
      <w:hyperlink r:id="rId21" w:history="1">
        <w:r w:rsidRPr="00946249">
          <w:rPr>
            <w:rStyle w:val="Hyperlink"/>
            <w:rFonts w:ascii="Cambria" w:hAnsi="Cambria"/>
            <w:u w:val="none"/>
          </w:rPr>
          <w:t>Registro ICCAT de almadrabas autorizadas a capturar atún rojo del Atlántico este y Mediterráneo.</w:t>
        </w:r>
      </w:hyperlink>
      <w:r w:rsidRPr="00946249">
        <w:rPr>
          <w:rFonts w:ascii="Cambria" w:hAnsi="Cambria"/>
        </w:rPr>
        <w:t xml:space="preserve"> </w:t>
      </w:r>
    </w:p>
    <w:p w14:paraId="738A76EA" w14:textId="77777777" w:rsidR="009E23A8" w:rsidRPr="00946249" w:rsidRDefault="009E23A8" w:rsidP="00820485">
      <w:pPr>
        <w:tabs>
          <w:tab w:val="left" w:pos="1276"/>
          <w:tab w:val="left" w:pos="1418"/>
          <w:tab w:val="left" w:leader="dot" w:pos="8222"/>
          <w:tab w:val="right" w:pos="8647"/>
        </w:tabs>
        <w:jc w:val="center"/>
        <w:rPr>
          <w:rFonts w:ascii="Cambria" w:hAnsi="Cambria"/>
          <w:i/>
        </w:rPr>
      </w:pPr>
    </w:p>
    <w:p w14:paraId="171347CB" w14:textId="18DE0E82" w:rsidR="001E6FB0" w:rsidRPr="00946249" w:rsidRDefault="008F686A" w:rsidP="00820485">
      <w:pPr>
        <w:tabs>
          <w:tab w:val="left" w:pos="1276"/>
          <w:tab w:val="left" w:pos="1418"/>
          <w:tab w:val="left" w:leader="dot" w:pos="8222"/>
          <w:tab w:val="right" w:pos="8647"/>
        </w:tabs>
        <w:jc w:val="both"/>
        <w:rPr>
          <w:rFonts w:ascii="Cambria" w:hAnsi="Cambria"/>
        </w:rPr>
      </w:pPr>
      <w:r w:rsidRPr="00946249">
        <w:rPr>
          <w:rFonts w:ascii="Cambria" w:hAnsi="Cambria"/>
          <w:b/>
          <w:i/>
        </w:rPr>
        <w:t>Cierre de la pesquería:</w:t>
      </w:r>
      <w:r w:rsidRPr="00946249">
        <w:rPr>
          <w:rFonts w:ascii="Cambria" w:hAnsi="Cambria"/>
          <w:i/>
        </w:rPr>
        <w:t xml:space="preserve"> </w:t>
      </w:r>
      <w:r w:rsidRPr="00946249">
        <w:rPr>
          <w:rFonts w:ascii="Cambria" w:hAnsi="Cambria"/>
        </w:rPr>
        <w:t>De conformidad con el párrafo 87 de la Rec. 22-08 y la Rec. 24-05, las CPC han informado de la fecha en que habían utilizado su cuota, tal y como puede verse a continuación:</w:t>
      </w:r>
    </w:p>
    <w:p w14:paraId="2E5949D6" w14:textId="77777777" w:rsidR="001E6FB0" w:rsidRPr="00946249" w:rsidRDefault="001E6FB0" w:rsidP="00820485">
      <w:pPr>
        <w:tabs>
          <w:tab w:val="left" w:pos="1276"/>
          <w:tab w:val="left" w:pos="1418"/>
          <w:tab w:val="left" w:leader="dot" w:pos="8222"/>
          <w:tab w:val="right" w:pos="8647"/>
        </w:tabs>
        <w:jc w:val="both"/>
        <w:rPr>
          <w:rFonts w:ascii="Cambria" w:hAnsi="Cambria"/>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4900"/>
      </w:tblGrid>
      <w:tr w:rsidR="002A6CD2" w:rsidRPr="00946249" w14:paraId="39723269" w14:textId="77777777" w:rsidTr="00584D60">
        <w:trPr>
          <w:trHeight w:val="525"/>
          <w:jc w:val="center"/>
        </w:trPr>
        <w:tc>
          <w:tcPr>
            <w:tcW w:w="1760" w:type="dxa"/>
            <w:tcMar>
              <w:top w:w="15" w:type="dxa"/>
              <w:left w:w="15" w:type="dxa"/>
              <w:bottom w:w="0" w:type="dxa"/>
              <w:right w:w="15" w:type="dxa"/>
            </w:tcMar>
            <w:vAlign w:val="center"/>
            <w:hideMark/>
          </w:tcPr>
          <w:p w14:paraId="77C10410" w14:textId="77777777" w:rsidR="002A6CD2" w:rsidRPr="00946249" w:rsidRDefault="002A6CD2" w:rsidP="005C1EE7">
            <w:pPr>
              <w:widowControl/>
              <w:autoSpaceDE/>
              <w:autoSpaceDN/>
              <w:adjustRightInd/>
              <w:jc w:val="center"/>
              <w:rPr>
                <w:rFonts w:ascii="Cambria" w:hAnsi="Cambria"/>
                <w:i/>
                <w:iCs/>
                <w:color w:val="000000"/>
              </w:rPr>
            </w:pPr>
            <w:r w:rsidRPr="00946249">
              <w:rPr>
                <w:rFonts w:ascii="Cambria" w:hAnsi="Cambria"/>
                <w:i/>
                <w:color w:val="000000"/>
              </w:rPr>
              <w:t>CPC</w:t>
            </w:r>
          </w:p>
        </w:tc>
        <w:tc>
          <w:tcPr>
            <w:tcW w:w="4900" w:type="dxa"/>
            <w:tcMar>
              <w:top w:w="15" w:type="dxa"/>
              <w:left w:w="15" w:type="dxa"/>
              <w:bottom w:w="0" w:type="dxa"/>
              <w:right w:w="15" w:type="dxa"/>
            </w:tcMar>
            <w:vAlign w:val="center"/>
            <w:hideMark/>
          </w:tcPr>
          <w:p w14:paraId="42C5CDBA" w14:textId="0840D45A" w:rsidR="002A6CD2" w:rsidRPr="00946249" w:rsidRDefault="002A6CD2" w:rsidP="001E6FB0">
            <w:pPr>
              <w:jc w:val="center"/>
              <w:rPr>
                <w:rFonts w:ascii="Cambria" w:hAnsi="Cambria"/>
                <w:i/>
                <w:iCs/>
                <w:color w:val="000000"/>
              </w:rPr>
            </w:pPr>
            <w:r w:rsidRPr="00946249">
              <w:rPr>
                <w:rFonts w:ascii="Cambria" w:hAnsi="Cambria"/>
                <w:i/>
                <w:color w:val="000000"/>
              </w:rPr>
              <w:t>Fecha en la que se ha utilizado toda la cuota de BFT-E</w:t>
            </w:r>
          </w:p>
        </w:tc>
      </w:tr>
      <w:tr w:rsidR="002A6CD2" w:rsidRPr="00946249" w14:paraId="25553FBA" w14:textId="77777777" w:rsidTr="00584D60">
        <w:trPr>
          <w:trHeight w:val="255"/>
          <w:jc w:val="center"/>
        </w:trPr>
        <w:tc>
          <w:tcPr>
            <w:tcW w:w="1760" w:type="dxa"/>
            <w:tcMar>
              <w:top w:w="15" w:type="dxa"/>
              <w:left w:w="15" w:type="dxa"/>
              <w:bottom w:w="0" w:type="dxa"/>
              <w:right w:w="15" w:type="dxa"/>
            </w:tcMar>
            <w:vAlign w:val="center"/>
            <w:hideMark/>
          </w:tcPr>
          <w:p w14:paraId="6D04B7D0"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Albania</w:t>
            </w:r>
          </w:p>
        </w:tc>
        <w:tc>
          <w:tcPr>
            <w:tcW w:w="4900" w:type="dxa"/>
            <w:tcMar>
              <w:top w:w="15" w:type="dxa"/>
              <w:left w:w="15" w:type="dxa"/>
              <w:bottom w:w="0" w:type="dxa"/>
              <w:right w:w="15" w:type="dxa"/>
            </w:tcMar>
            <w:vAlign w:val="center"/>
            <w:hideMark/>
          </w:tcPr>
          <w:p w14:paraId="690CA650" w14:textId="24C325EB" w:rsidR="002A6CD2" w:rsidRPr="00946249" w:rsidRDefault="00184726" w:rsidP="00182D29">
            <w:pPr>
              <w:jc w:val="center"/>
              <w:rPr>
                <w:rFonts w:ascii="Cambria" w:hAnsi="Cambria"/>
                <w:color w:val="000000"/>
              </w:rPr>
            </w:pPr>
            <w:r w:rsidRPr="00946249">
              <w:rPr>
                <w:rFonts w:ascii="Cambria" w:hAnsi="Cambria"/>
                <w:color w:val="000000"/>
              </w:rPr>
              <w:t>No se ha recibido ninguna información.</w:t>
            </w:r>
          </w:p>
        </w:tc>
      </w:tr>
      <w:tr w:rsidR="002A6CD2" w:rsidRPr="00946249" w14:paraId="70C894B3" w14:textId="77777777" w:rsidTr="00584D60">
        <w:trPr>
          <w:trHeight w:val="255"/>
          <w:jc w:val="center"/>
        </w:trPr>
        <w:tc>
          <w:tcPr>
            <w:tcW w:w="1760" w:type="dxa"/>
            <w:tcMar>
              <w:top w:w="15" w:type="dxa"/>
              <w:left w:w="15" w:type="dxa"/>
              <w:bottom w:w="0" w:type="dxa"/>
              <w:right w:w="15" w:type="dxa"/>
            </w:tcMar>
            <w:vAlign w:val="center"/>
            <w:hideMark/>
          </w:tcPr>
          <w:p w14:paraId="527A954A"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Argelia</w:t>
            </w:r>
          </w:p>
        </w:tc>
        <w:tc>
          <w:tcPr>
            <w:tcW w:w="4900" w:type="dxa"/>
            <w:tcMar>
              <w:top w:w="15" w:type="dxa"/>
              <w:left w:w="15" w:type="dxa"/>
              <w:bottom w:w="0" w:type="dxa"/>
              <w:right w:w="15" w:type="dxa"/>
            </w:tcMar>
            <w:vAlign w:val="center"/>
            <w:hideMark/>
          </w:tcPr>
          <w:p w14:paraId="43BE261A" w14:textId="692F474A" w:rsidR="005E4DC3" w:rsidRPr="00946249" w:rsidRDefault="0065376B" w:rsidP="0065376B">
            <w:pPr>
              <w:jc w:val="center"/>
              <w:rPr>
                <w:rFonts w:ascii="Cambria" w:hAnsi="Cambria"/>
                <w:color w:val="000000"/>
              </w:rPr>
            </w:pPr>
            <w:r w:rsidRPr="00946249">
              <w:rPr>
                <w:rFonts w:ascii="Cambria" w:hAnsi="Cambria"/>
                <w:color w:val="000000"/>
              </w:rPr>
              <w:t>11 de julio de 2025</w:t>
            </w:r>
          </w:p>
        </w:tc>
      </w:tr>
      <w:tr w:rsidR="002A6CD2" w:rsidRPr="00946249" w14:paraId="5E29E9F8" w14:textId="77777777" w:rsidTr="00584D60">
        <w:trPr>
          <w:trHeight w:val="255"/>
          <w:jc w:val="center"/>
        </w:trPr>
        <w:tc>
          <w:tcPr>
            <w:tcW w:w="1760" w:type="dxa"/>
            <w:tcMar>
              <w:top w:w="15" w:type="dxa"/>
              <w:left w:w="15" w:type="dxa"/>
              <w:bottom w:w="0" w:type="dxa"/>
              <w:right w:w="15" w:type="dxa"/>
            </w:tcMar>
            <w:vAlign w:val="center"/>
            <w:hideMark/>
          </w:tcPr>
          <w:p w14:paraId="59FD8E63"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China</w:t>
            </w:r>
          </w:p>
        </w:tc>
        <w:tc>
          <w:tcPr>
            <w:tcW w:w="4900" w:type="dxa"/>
            <w:tcMar>
              <w:top w:w="15" w:type="dxa"/>
              <w:left w:w="15" w:type="dxa"/>
              <w:bottom w:w="0" w:type="dxa"/>
              <w:right w:w="15" w:type="dxa"/>
            </w:tcMar>
            <w:vAlign w:val="center"/>
            <w:hideMark/>
          </w:tcPr>
          <w:p w14:paraId="6F4C5370" w14:textId="0B74D2E5" w:rsidR="002A6CD2" w:rsidRPr="00946249" w:rsidRDefault="001E5CEC" w:rsidP="00584D60">
            <w:pPr>
              <w:jc w:val="center"/>
              <w:rPr>
                <w:rFonts w:ascii="Cambria" w:hAnsi="Cambria"/>
                <w:color w:val="000000"/>
              </w:rPr>
            </w:pPr>
            <w:r w:rsidRPr="00946249">
              <w:rPr>
                <w:rFonts w:ascii="Cambria" w:hAnsi="Cambria"/>
                <w:color w:val="000000"/>
              </w:rPr>
              <w:t>No aplicable</w:t>
            </w:r>
            <w:r w:rsidR="000062BD" w:rsidRPr="00946249">
              <w:rPr>
                <w:rFonts w:ascii="Cambria" w:hAnsi="Cambria"/>
                <w:color w:val="000000"/>
              </w:rPr>
              <w:t>: c</w:t>
            </w:r>
            <w:r w:rsidRPr="00946249">
              <w:rPr>
                <w:rFonts w:ascii="Cambria" w:hAnsi="Cambria"/>
                <w:color w:val="000000"/>
              </w:rPr>
              <w:t>uota no utilizada en su totalidad en el momento de la notificación.</w:t>
            </w:r>
          </w:p>
        </w:tc>
      </w:tr>
      <w:tr w:rsidR="002A6CD2" w:rsidRPr="00946249" w14:paraId="54C84B09" w14:textId="77777777" w:rsidTr="00584D60">
        <w:trPr>
          <w:trHeight w:val="260"/>
          <w:jc w:val="center"/>
        </w:trPr>
        <w:tc>
          <w:tcPr>
            <w:tcW w:w="1760" w:type="dxa"/>
            <w:tcMar>
              <w:top w:w="15" w:type="dxa"/>
              <w:left w:w="15" w:type="dxa"/>
              <w:bottom w:w="0" w:type="dxa"/>
              <w:right w:w="15" w:type="dxa"/>
            </w:tcMar>
            <w:vAlign w:val="center"/>
            <w:hideMark/>
          </w:tcPr>
          <w:p w14:paraId="0901B9B8"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Egipto</w:t>
            </w:r>
          </w:p>
        </w:tc>
        <w:tc>
          <w:tcPr>
            <w:tcW w:w="4900" w:type="dxa"/>
            <w:tcMar>
              <w:top w:w="15" w:type="dxa"/>
              <w:left w:w="15" w:type="dxa"/>
              <w:bottom w:w="0" w:type="dxa"/>
              <w:right w:w="15" w:type="dxa"/>
            </w:tcMar>
            <w:vAlign w:val="center"/>
            <w:hideMark/>
          </w:tcPr>
          <w:p w14:paraId="223E8D87" w14:textId="3BC0A77F" w:rsidR="002A6CD2" w:rsidRPr="00946249" w:rsidRDefault="0065376B" w:rsidP="00182D29">
            <w:pPr>
              <w:jc w:val="center"/>
              <w:rPr>
                <w:rFonts w:ascii="Cambria" w:hAnsi="Cambria"/>
                <w:color w:val="000000"/>
              </w:rPr>
            </w:pPr>
            <w:r w:rsidRPr="00946249">
              <w:rPr>
                <w:rFonts w:ascii="Cambria" w:hAnsi="Cambria"/>
                <w:color w:val="000000"/>
              </w:rPr>
              <w:t>11 de julio de 2025</w:t>
            </w:r>
          </w:p>
        </w:tc>
      </w:tr>
      <w:tr w:rsidR="002A6CD2" w:rsidRPr="00946249" w14:paraId="46E1694F" w14:textId="77777777" w:rsidTr="00584D60">
        <w:trPr>
          <w:trHeight w:val="318"/>
          <w:jc w:val="center"/>
        </w:trPr>
        <w:tc>
          <w:tcPr>
            <w:tcW w:w="1760" w:type="dxa"/>
            <w:tcMar>
              <w:top w:w="15" w:type="dxa"/>
              <w:left w:w="15" w:type="dxa"/>
              <w:bottom w:w="0" w:type="dxa"/>
              <w:right w:w="15" w:type="dxa"/>
            </w:tcMar>
            <w:vAlign w:val="center"/>
            <w:hideMark/>
          </w:tcPr>
          <w:p w14:paraId="22F36DB1"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Unión Europea</w:t>
            </w:r>
          </w:p>
        </w:tc>
        <w:tc>
          <w:tcPr>
            <w:tcW w:w="4900" w:type="dxa"/>
            <w:tcMar>
              <w:top w:w="15" w:type="dxa"/>
              <w:left w:w="15" w:type="dxa"/>
              <w:bottom w:w="0" w:type="dxa"/>
              <w:right w:w="15" w:type="dxa"/>
            </w:tcMar>
            <w:vAlign w:val="center"/>
            <w:hideMark/>
          </w:tcPr>
          <w:p w14:paraId="6FC3D579" w14:textId="0707346D" w:rsidR="002A6CD2" w:rsidRPr="00946249" w:rsidRDefault="001E5CEC" w:rsidP="00584D60">
            <w:pPr>
              <w:jc w:val="center"/>
              <w:rPr>
                <w:rFonts w:ascii="Cambria" w:hAnsi="Cambria"/>
                <w:color w:val="000000"/>
              </w:rPr>
            </w:pPr>
            <w:r w:rsidRPr="00946249">
              <w:rPr>
                <w:rFonts w:ascii="Cambria" w:hAnsi="Cambria"/>
                <w:color w:val="000000"/>
              </w:rPr>
              <w:t>No aplicable</w:t>
            </w:r>
            <w:r w:rsidR="000062BD" w:rsidRPr="00946249">
              <w:rPr>
                <w:rFonts w:ascii="Cambria" w:hAnsi="Cambria"/>
                <w:color w:val="000000"/>
              </w:rPr>
              <w:t>: c</w:t>
            </w:r>
            <w:r w:rsidRPr="00946249">
              <w:rPr>
                <w:rFonts w:ascii="Cambria" w:hAnsi="Cambria"/>
                <w:color w:val="000000"/>
              </w:rPr>
              <w:t xml:space="preserve">uota no utilizada en su totalidad en el </w:t>
            </w:r>
            <w:r w:rsidRPr="00946249">
              <w:rPr>
                <w:rFonts w:ascii="Cambria" w:hAnsi="Cambria"/>
                <w:color w:val="000000"/>
              </w:rPr>
              <w:lastRenderedPageBreak/>
              <w:t>momento de la notificación.</w:t>
            </w:r>
          </w:p>
        </w:tc>
      </w:tr>
      <w:tr w:rsidR="002A6CD2" w:rsidRPr="00946249" w14:paraId="588C913A" w14:textId="77777777" w:rsidTr="00584D60">
        <w:trPr>
          <w:trHeight w:val="255"/>
          <w:jc w:val="center"/>
        </w:trPr>
        <w:tc>
          <w:tcPr>
            <w:tcW w:w="1760" w:type="dxa"/>
            <w:tcMar>
              <w:top w:w="15" w:type="dxa"/>
              <w:left w:w="270" w:type="dxa"/>
              <w:bottom w:w="0" w:type="dxa"/>
              <w:right w:w="15" w:type="dxa"/>
            </w:tcMar>
            <w:vAlign w:val="center"/>
            <w:hideMark/>
          </w:tcPr>
          <w:p w14:paraId="5091DA55" w14:textId="77777777" w:rsidR="002A6CD2" w:rsidRPr="00946249" w:rsidRDefault="002A6CD2" w:rsidP="00820485">
            <w:pPr>
              <w:ind w:firstLineChars="200" w:firstLine="400"/>
              <w:rPr>
                <w:rFonts w:ascii="Cambria" w:hAnsi="Cambria"/>
                <w:color w:val="000000"/>
              </w:rPr>
            </w:pPr>
            <w:r w:rsidRPr="00946249">
              <w:rPr>
                <w:rFonts w:ascii="Cambria" w:hAnsi="Cambria"/>
                <w:color w:val="000000"/>
              </w:rPr>
              <w:lastRenderedPageBreak/>
              <w:t>UE-Croacia</w:t>
            </w:r>
          </w:p>
        </w:tc>
        <w:tc>
          <w:tcPr>
            <w:tcW w:w="4900" w:type="dxa"/>
            <w:tcMar>
              <w:top w:w="15" w:type="dxa"/>
              <w:left w:w="15" w:type="dxa"/>
              <w:bottom w:w="0" w:type="dxa"/>
              <w:right w:w="15" w:type="dxa"/>
            </w:tcMar>
            <w:vAlign w:val="center"/>
            <w:hideMark/>
          </w:tcPr>
          <w:p w14:paraId="0671D888" w14:textId="7C530313" w:rsidR="002A6CD2" w:rsidRPr="00946249" w:rsidRDefault="002A6CD2" w:rsidP="00182D29">
            <w:pPr>
              <w:jc w:val="center"/>
              <w:rPr>
                <w:rFonts w:ascii="Cambria" w:hAnsi="Cambria"/>
                <w:color w:val="000000"/>
                <w:lang w:val="en-GB"/>
              </w:rPr>
            </w:pPr>
          </w:p>
        </w:tc>
      </w:tr>
      <w:tr w:rsidR="002A6CD2" w:rsidRPr="00946249" w14:paraId="548CB7C6" w14:textId="77777777" w:rsidTr="00584D60">
        <w:trPr>
          <w:trHeight w:val="255"/>
          <w:jc w:val="center"/>
        </w:trPr>
        <w:tc>
          <w:tcPr>
            <w:tcW w:w="1760" w:type="dxa"/>
            <w:tcMar>
              <w:top w:w="15" w:type="dxa"/>
              <w:left w:w="270" w:type="dxa"/>
              <w:bottom w:w="0" w:type="dxa"/>
              <w:right w:w="15" w:type="dxa"/>
            </w:tcMar>
            <w:vAlign w:val="center"/>
            <w:hideMark/>
          </w:tcPr>
          <w:p w14:paraId="23AC4446" w14:textId="77777777" w:rsidR="002A6CD2" w:rsidRPr="00946249" w:rsidRDefault="002A6CD2" w:rsidP="00820485">
            <w:pPr>
              <w:ind w:firstLineChars="200" w:firstLine="400"/>
              <w:rPr>
                <w:rFonts w:ascii="Cambria" w:hAnsi="Cambria"/>
                <w:color w:val="000000"/>
              </w:rPr>
            </w:pPr>
            <w:r w:rsidRPr="00946249">
              <w:rPr>
                <w:rFonts w:ascii="Cambria" w:hAnsi="Cambria"/>
                <w:color w:val="000000"/>
              </w:rPr>
              <w:t>UE-Chipre</w:t>
            </w:r>
          </w:p>
        </w:tc>
        <w:tc>
          <w:tcPr>
            <w:tcW w:w="4900" w:type="dxa"/>
            <w:tcMar>
              <w:top w:w="15" w:type="dxa"/>
              <w:left w:w="15" w:type="dxa"/>
              <w:bottom w:w="0" w:type="dxa"/>
              <w:right w:w="15" w:type="dxa"/>
            </w:tcMar>
            <w:vAlign w:val="center"/>
            <w:hideMark/>
          </w:tcPr>
          <w:p w14:paraId="22C401FB" w14:textId="17A9D9EE" w:rsidR="002A6CD2" w:rsidRPr="00946249" w:rsidRDefault="002A6CD2" w:rsidP="00182D29">
            <w:pPr>
              <w:jc w:val="center"/>
              <w:rPr>
                <w:rFonts w:ascii="Cambria" w:hAnsi="Cambria"/>
                <w:color w:val="000000"/>
                <w:lang w:val="en-GB"/>
              </w:rPr>
            </w:pPr>
          </w:p>
        </w:tc>
      </w:tr>
      <w:tr w:rsidR="002A6CD2" w:rsidRPr="00946249" w14:paraId="3021F347" w14:textId="77777777" w:rsidTr="00584D60">
        <w:trPr>
          <w:trHeight w:val="255"/>
          <w:jc w:val="center"/>
        </w:trPr>
        <w:tc>
          <w:tcPr>
            <w:tcW w:w="1760" w:type="dxa"/>
            <w:tcMar>
              <w:top w:w="15" w:type="dxa"/>
              <w:left w:w="270" w:type="dxa"/>
              <w:bottom w:w="0" w:type="dxa"/>
              <w:right w:w="15" w:type="dxa"/>
            </w:tcMar>
            <w:vAlign w:val="center"/>
            <w:hideMark/>
          </w:tcPr>
          <w:p w14:paraId="35730C9C" w14:textId="77777777" w:rsidR="002A6CD2" w:rsidRPr="00946249" w:rsidRDefault="002A6CD2" w:rsidP="00820485">
            <w:pPr>
              <w:ind w:firstLineChars="200" w:firstLine="400"/>
              <w:rPr>
                <w:rFonts w:ascii="Cambria" w:hAnsi="Cambria"/>
                <w:color w:val="000000"/>
              </w:rPr>
            </w:pPr>
            <w:r w:rsidRPr="00946249">
              <w:rPr>
                <w:rFonts w:ascii="Cambria" w:hAnsi="Cambria"/>
                <w:color w:val="000000"/>
              </w:rPr>
              <w:t>UE-Francia</w:t>
            </w:r>
          </w:p>
        </w:tc>
        <w:tc>
          <w:tcPr>
            <w:tcW w:w="4900" w:type="dxa"/>
            <w:tcMar>
              <w:top w:w="15" w:type="dxa"/>
              <w:left w:w="15" w:type="dxa"/>
              <w:bottom w:w="0" w:type="dxa"/>
              <w:right w:w="15" w:type="dxa"/>
            </w:tcMar>
            <w:vAlign w:val="center"/>
            <w:hideMark/>
          </w:tcPr>
          <w:p w14:paraId="19B782CF" w14:textId="6A1A33D5" w:rsidR="002A6CD2" w:rsidRPr="00946249" w:rsidRDefault="002A6CD2" w:rsidP="00182D29">
            <w:pPr>
              <w:jc w:val="center"/>
              <w:rPr>
                <w:rFonts w:ascii="Cambria" w:hAnsi="Cambria"/>
                <w:color w:val="000000"/>
                <w:lang w:val="en-GB"/>
              </w:rPr>
            </w:pPr>
          </w:p>
        </w:tc>
      </w:tr>
      <w:tr w:rsidR="002A6CD2" w:rsidRPr="00946249" w14:paraId="0767A29B" w14:textId="77777777" w:rsidTr="00584D60">
        <w:trPr>
          <w:trHeight w:val="255"/>
          <w:jc w:val="center"/>
        </w:trPr>
        <w:tc>
          <w:tcPr>
            <w:tcW w:w="1760" w:type="dxa"/>
            <w:tcMar>
              <w:top w:w="15" w:type="dxa"/>
              <w:left w:w="270" w:type="dxa"/>
              <w:bottom w:w="0" w:type="dxa"/>
              <w:right w:w="15" w:type="dxa"/>
            </w:tcMar>
            <w:vAlign w:val="center"/>
            <w:hideMark/>
          </w:tcPr>
          <w:p w14:paraId="217EA77D" w14:textId="77777777" w:rsidR="002A6CD2" w:rsidRPr="00946249" w:rsidRDefault="002A6CD2" w:rsidP="00820485">
            <w:pPr>
              <w:ind w:firstLineChars="200" w:firstLine="400"/>
              <w:rPr>
                <w:rFonts w:ascii="Cambria" w:hAnsi="Cambria"/>
                <w:color w:val="000000"/>
              </w:rPr>
            </w:pPr>
            <w:r w:rsidRPr="00946249">
              <w:rPr>
                <w:rFonts w:ascii="Cambria" w:hAnsi="Cambria"/>
                <w:color w:val="000000"/>
              </w:rPr>
              <w:t>UE-Italia</w:t>
            </w:r>
          </w:p>
        </w:tc>
        <w:tc>
          <w:tcPr>
            <w:tcW w:w="4900" w:type="dxa"/>
            <w:tcMar>
              <w:top w:w="15" w:type="dxa"/>
              <w:left w:w="15" w:type="dxa"/>
              <w:bottom w:w="0" w:type="dxa"/>
              <w:right w:w="15" w:type="dxa"/>
            </w:tcMar>
            <w:vAlign w:val="center"/>
            <w:hideMark/>
          </w:tcPr>
          <w:p w14:paraId="12EC1ED6" w14:textId="0A437150" w:rsidR="002A6CD2" w:rsidRPr="00946249" w:rsidRDefault="002A6CD2" w:rsidP="00182D29">
            <w:pPr>
              <w:jc w:val="center"/>
              <w:rPr>
                <w:rFonts w:ascii="Cambria" w:hAnsi="Cambria"/>
                <w:color w:val="000000"/>
                <w:lang w:val="en-GB"/>
              </w:rPr>
            </w:pPr>
          </w:p>
        </w:tc>
      </w:tr>
      <w:tr w:rsidR="002A6CD2" w:rsidRPr="00946249" w14:paraId="3CD74C60" w14:textId="77777777" w:rsidTr="00584D60">
        <w:trPr>
          <w:trHeight w:val="255"/>
          <w:jc w:val="center"/>
        </w:trPr>
        <w:tc>
          <w:tcPr>
            <w:tcW w:w="1760" w:type="dxa"/>
            <w:tcMar>
              <w:top w:w="15" w:type="dxa"/>
              <w:left w:w="270" w:type="dxa"/>
              <w:bottom w:w="0" w:type="dxa"/>
              <w:right w:w="15" w:type="dxa"/>
            </w:tcMar>
            <w:vAlign w:val="center"/>
            <w:hideMark/>
          </w:tcPr>
          <w:p w14:paraId="2DD5C3E4" w14:textId="77777777" w:rsidR="002A6CD2" w:rsidRPr="00946249" w:rsidRDefault="002A6CD2" w:rsidP="00820485">
            <w:pPr>
              <w:ind w:firstLineChars="200" w:firstLine="400"/>
              <w:rPr>
                <w:rFonts w:ascii="Cambria" w:hAnsi="Cambria"/>
                <w:color w:val="000000"/>
              </w:rPr>
            </w:pPr>
            <w:r w:rsidRPr="00946249">
              <w:rPr>
                <w:rFonts w:ascii="Cambria" w:hAnsi="Cambria"/>
                <w:color w:val="000000"/>
              </w:rPr>
              <w:t xml:space="preserve">UE-España </w:t>
            </w:r>
          </w:p>
        </w:tc>
        <w:tc>
          <w:tcPr>
            <w:tcW w:w="4900" w:type="dxa"/>
            <w:tcMar>
              <w:top w:w="15" w:type="dxa"/>
              <w:left w:w="15" w:type="dxa"/>
              <w:bottom w:w="0" w:type="dxa"/>
              <w:right w:w="15" w:type="dxa"/>
            </w:tcMar>
            <w:vAlign w:val="center"/>
            <w:hideMark/>
          </w:tcPr>
          <w:p w14:paraId="7CC8C26A" w14:textId="585EB200" w:rsidR="002A6CD2" w:rsidRPr="00946249" w:rsidRDefault="002A6CD2" w:rsidP="00182D29">
            <w:pPr>
              <w:jc w:val="center"/>
              <w:rPr>
                <w:rFonts w:ascii="Cambria" w:hAnsi="Cambria"/>
                <w:color w:val="000000"/>
                <w:lang w:val="en-GB"/>
              </w:rPr>
            </w:pPr>
          </w:p>
        </w:tc>
      </w:tr>
      <w:tr w:rsidR="002A6CD2" w:rsidRPr="00946249" w14:paraId="581C58D7" w14:textId="77777777" w:rsidTr="00584D60">
        <w:trPr>
          <w:trHeight w:val="765"/>
          <w:jc w:val="center"/>
        </w:trPr>
        <w:tc>
          <w:tcPr>
            <w:tcW w:w="1760" w:type="dxa"/>
            <w:tcMar>
              <w:top w:w="15" w:type="dxa"/>
              <w:left w:w="15" w:type="dxa"/>
              <w:bottom w:w="0" w:type="dxa"/>
              <w:right w:w="15" w:type="dxa"/>
            </w:tcMar>
            <w:vAlign w:val="center"/>
            <w:hideMark/>
          </w:tcPr>
          <w:p w14:paraId="2A99E00F"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Islandia</w:t>
            </w:r>
          </w:p>
        </w:tc>
        <w:tc>
          <w:tcPr>
            <w:tcW w:w="4900" w:type="dxa"/>
            <w:tcMar>
              <w:top w:w="15" w:type="dxa"/>
              <w:left w:w="15" w:type="dxa"/>
              <w:bottom w:w="0" w:type="dxa"/>
              <w:right w:w="15" w:type="dxa"/>
            </w:tcMar>
            <w:vAlign w:val="center"/>
            <w:hideMark/>
          </w:tcPr>
          <w:p w14:paraId="5EB2689E" w14:textId="4B7F379C" w:rsidR="00584D60" w:rsidRPr="00946249" w:rsidRDefault="00426519" w:rsidP="00426519">
            <w:pPr>
              <w:jc w:val="center"/>
              <w:rPr>
                <w:rFonts w:ascii="Cambria" w:hAnsi="Cambria"/>
                <w:color w:val="000000"/>
              </w:rPr>
            </w:pPr>
            <w:r w:rsidRPr="00946249">
              <w:rPr>
                <w:rFonts w:ascii="Cambria" w:hAnsi="Cambria"/>
                <w:color w:val="000000"/>
              </w:rPr>
              <w:t>No aplicable</w:t>
            </w:r>
            <w:r w:rsidR="00F271AC" w:rsidRPr="00946249">
              <w:rPr>
                <w:rFonts w:ascii="Cambria" w:hAnsi="Cambria"/>
                <w:color w:val="000000"/>
              </w:rPr>
              <w:t>:</w:t>
            </w:r>
            <w:r w:rsidRPr="00946249">
              <w:rPr>
                <w:rFonts w:ascii="Cambria" w:hAnsi="Cambria"/>
                <w:color w:val="000000"/>
              </w:rPr>
              <w:t xml:space="preserve"> ningún buque islandés realizará pesca dirigida al atún rojo del Atlántico este en 2025. </w:t>
            </w:r>
          </w:p>
          <w:p w14:paraId="3B3B8CC7" w14:textId="3985D7BE" w:rsidR="002A6CD2" w:rsidRPr="00946249" w:rsidRDefault="00C8781E" w:rsidP="00426519">
            <w:pPr>
              <w:jc w:val="center"/>
              <w:rPr>
                <w:rFonts w:ascii="Cambria" w:hAnsi="Cambria"/>
              </w:rPr>
            </w:pPr>
            <w:r w:rsidRPr="00946249">
              <w:rPr>
                <w:rFonts w:ascii="Cambria" w:hAnsi="Cambria"/>
              </w:rPr>
              <w:t>200 t de su cuota transferidas a la UE.</w:t>
            </w:r>
          </w:p>
          <w:p w14:paraId="6C35697A" w14:textId="6C0F2EC8" w:rsidR="00584D60" w:rsidRPr="00946249" w:rsidRDefault="00584D60" w:rsidP="00426519">
            <w:pPr>
              <w:jc w:val="center"/>
              <w:rPr>
                <w:rFonts w:ascii="Cambria" w:hAnsi="Cambria"/>
                <w:color w:val="000000"/>
              </w:rPr>
            </w:pPr>
          </w:p>
        </w:tc>
      </w:tr>
      <w:tr w:rsidR="002A6CD2" w:rsidRPr="00946249" w14:paraId="31BE0125" w14:textId="77777777" w:rsidTr="00584D60">
        <w:trPr>
          <w:trHeight w:val="255"/>
          <w:jc w:val="center"/>
        </w:trPr>
        <w:tc>
          <w:tcPr>
            <w:tcW w:w="1760" w:type="dxa"/>
            <w:tcMar>
              <w:top w:w="15" w:type="dxa"/>
              <w:left w:w="15" w:type="dxa"/>
              <w:bottom w:w="0" w:type="dxa"/>
              <w:right w:w="15" w:type="dxa"/>
            </w:tcMar>
            <w:vAlign w:val="center"/>
            <w:hideMark/>
          </w:tcPr>
          <w:p w14:paraId="5289231F"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Japón</w:t>
            </w:r>
          </w:p>
        </w:tc>
        <w:tc>
          <w:tcPr>
            <w:tcW w:w="4900" w:type="dxa"/>
            <w:tcMar>
              <w:top w:w="15" w:type="dxa"/>
              <w:left w:w="15" w:type="dxa"/>
              <w:bottom w:w="0" w:type="dxa"/>
              <w:right w:w="15" w:type="dxa"/>
            </w:tcMar>
            <w:vAlign w:val="center"/>
            <w:hideMark/>
          </w:tcPr>
          <w:p w14:paraId="72152F21" w14:textId="1C18A2E2" w:rsidR="002A6CD2" w:rsidRPr="00946249" w:rsidRDefault="0065376B" w:rsidP="00182D29">
            <w:pPr>
              <w:jc w:val="center"/>
              <w:rPr>
                <w:rFonts w:ascii="Cambria" w:hAnsi="Cambria"/>
                <w:color w:val="000000"/>
              </w:rPr>
            </w:pPr>
            <w:r w:rsidRPr="00946249">
              <w:rPr>
                <w:rFonts w:ascii="Cambria" w:hAnsi="Cambria"/>
                <w:color w:val="000000"/>
              </w:rPr>
              <w:t>22 de enero de 2025 (cuota 2024)</w:t>
            </w:r>
          </w:p>
        </w:tc>
      </w:tr>
      <w:tr w:rsidR="002A6CD2" w:rsidRPr="00946249" w14:paraId="12821C80" w14:textId="77777777" w:rsidTr="00584D60">
        <w:trPr>
          <w:trHeight w:val="255"/>
          <w:jc w:val="center"/>
        </w:trPr>
        <w:tc>
          <w:tcPr>
            <w:tcW w:w="1760" w:type="dxa"/>
            <w:tcMar>
              <w:top w:w="15" w:type="dxa"/>
              <w:left w:w="15" w:type="dxa"/>
              <w:bottom w:w="0" w:type="dxa"/>
              <w:right w:w="15" w:type="dxa"/>
            </w:tcMar>
            <w:vAlign w:val="center"/>
            <w:hideMark/>
          </w:tcPr>
          <w:p w14:paraId="613EC188"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Corea</w:t>
            </w:r>
          </w:p>
        </w:tc>
        <w:tc>
          <w:tcPr>
            <w:tcW w:w="4900" w:type="dxa"/>
            <w:tcMar>
              <w:top w:w="15" w:type="dxa"/>
              <w:left w:w="15" w:type="dxa"/>
              <w:bottom w:w="0" w:type="dxa"/>
              <w:right w:w="15" w:type="dxa"/>
            </w:tcMar>
            <w:vAlign w:val="center"/>
            <w:hideMark/>
          </w:tcPr>
          <w:p w14:paraId="3F93571F" w14:textId="24683B8E" w:rsidR="002A6CD2" w:rsidRPr="00946249" w:rsidRDefault="00426519" w:rsidP="00584D60">
            <w:pPr>
              <w:jc w:val="center"/>
              <w:rPr>
                <w:rFonts w:ascii="Cambria" w:hAnsi="Cambria"/>
                <w:color w:val="000000"/>
              </w:rPr>
            </w:pPr>
            <w:r w:rsidRPr="00946249">
              <w:rPr>
                <w:rFonts w:ascii="Cambria" w:hAnsi="Cambria"/>
                <w:color w:val="000000"/>
              </w:rPr>
              <w:t>No aplicable</w:t>
            </w:r>
            <w:r w:rsidR="000062BD" w:rsidRPr="00946249">
              <w:rPr>
                <w:rFonts w:ascii="Cambria" w:hAnsi="Cambria"/>
                <w:color w:val="000000"/>
              </w:rPr>
              <w:t>: c</w:t>
            </w:r>
            <w:r w:rsidRPr="00946249">
              <w:rPr>
                <w:rFonts w:ascii="Cambria" w:hAnsi="Cambria"/>
                <w:color w:val="000000"/>
              </w:rPr>
              <w:t>uota no utilizada en su totalidad en el momento de la notificación.</w:t>
            </w:r>
          </w:p>
        </w:tc>
      </w:tr>
      <w:tr w:rsidR="002A6CD2" w:rsidRPr="00946249" w14:paraId="7C141498" w14:textId="77777777" w:rsidTr="00584D60">
        <w:trPr>
          <w:trHeight w:val="255"/>
          <w:jc w:val="center"/>
        </w:trPr>
        <w:tc>
          <w:tcPr>
            <w:tcW w:w="1760" w:type="dxa"/>
            <w:tcMar>
              <w:top w:w="15" w:type="dxa"/>
              <w:left w:w="15" w:type="dxa"/>
              <w:bottom w:w="0" w:type="dxa"/>
              <w:right w:w="15" w:type="dxa"/>
            </w:tcMar>
            <w:vAlign w:val="center"/>
            <w:hideMark/>
          </w:tcPr>
          <w:p w14:paraId="248C24FB"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Libia</w:t>
            </w:r>
          </w:p>
        </w:tc>
        <w:tc>
          <w:tcPr>
            <w:tcW w:w="4900" w:type="dxa"/>
            <w:tcMar>
              <w:top w:w="15" w:type="dxa"/>
              <w:left w:w="15" w:type="dxa"/>
              <w:bottom w:w="0" w:type="dxa"/>
              <w:right w:w="15" w:type="dxa"/>
            </w:tcMar>
            <w:vAlign w:val="center"/>
            <w:hideMark/>
          </w:tcPr>
          <w:p w14:paraId="2F7379CA" w14:textId="01DB1A90" w:rsidR="002A6CD2" w:rsidRPr="00946249" w:rsidRDefault="0065376B" w:rsidP="00182D29">
            <w:pPr>
              <w:jc w:val="center"/>
              <w:rPr>
                <w:rFonts w:ascii="Cambria" w:hAnsi="Cambria"/>
                <w:color w:val="000000"/>
              </w:rPr>
            </w:pPr>
            <w:r w:rsidRPr="00946249">
              <w:rPr>
                <w:rFonts w:ascii="Cambria" w:hAnsi="Cambria"/>
                <w:color w:val="000000"/>
              </w:rPr>
              <w:t>11 de julio de 2025</w:t>
            </w:r>
          </w:p>
        </w:tc>
      </w:tr>
      <w:tr w:rsidR="00686DD8" w:rsidRPr="00946249" w14:paraId="59D99999" w14:textId="77777777" w:rsidTr="00584D60">
        <w:trPr>
          <w:trHeight w:val="255"/>
          <w:jc w:val="center"/>
        </w:trPr>
        <w:tc>
          <w:tcPr>
            <w:tcW w:w="1760" w:type="dxa"/>
            <w:tcMar>
              <w:top w:w="15" w:type="dxa"/>
              <w:left w:w="15" w:type="dxa"/>
              <w:bottom w:w="0" w:type="dxa"/>
              <w:right w:w="15" w:type="dxa"/>
            </w:tcMar>
            <w:vAlign w:val="center"/>
            <w:hideMark/>
          </w:tcPr>
          <w:p w14:paraId="2966FFBC" w14:textId="77777777" w:rsidR="00686DD8" w:rsidRPr="00946249" w:rsidRDefault="00686DD8" w:rsidP="00686DD8">
            <w:pPr>
              <w:widowControl/>
              <w:autoSpaceDE/>
              <w:autoSpaceDN/>
              <w:adjustRightInd/>
              <w:ind w:firstLine="118"/>
              <w:rPr>
                <w:rFonts w:ascii="Cambria" w:hAnsi="Cambria"/>
                <w:color w:val="000000"/>
              </w:rPr>
            </w:pPr>
            <w:r w:rsidRPr="00946249">
              <w:rPr>
                <w:rFonts w:ascii="Cambria" w:hAnsi="Cambria"/>
                <w:color w:val="000000"/>
              </w:rPr>
              <w:t>Marruecos</w:t>
            </w:r>
          </w:p>
        </w:tc>
        <w:tc>
          <w:tcPr>
            <w:tcW w:w="4900" w:type="dxa"/>
            <w:tcMar>
              <w:top w:w="15" w:type="dxa"/>
              <w:left w:w="15" w:type="dxa"/>
              <w:bottom w:w="0" w:type="dxa"/>
              <w:right w:w="15" w:type="dxa"/>
            </w:tcMar>
            <w:vAlign w:val="center"/>
            <w:hideMark/>
          </w:tcPr>
          <w:p w14:paraId="6F6D9427" w14:textId="29095B94" w:rsidR="00686DD8" w:rsidRPr="00946249" w:rsidRDefault="0065376B" w:rsidP="00686DD8">
            <w:pPr>
              <w:jc w:val="center"/>
              <w:rPr>
                <w:rFonts w:ascii="Cambria" w:hAnsi="Cambria"/>
                <w:color w:val="000000"/>
              </w:rPr>
            </w:pPr>
            <w:r w:rsidRPr="00946249">
              <w:rPr>
                <w:rFonts w:ascii="Cambria" w:hAnsi="Cambria"/>
                <w:color w:val="000000"/>
              </w:rPr>
              <w:t>15 de octubre de 2025</w:t>
            </w:r>
          </w:p>
        </w:tc>
      </w:tr>
      <w:tr w:rsidR="00686DD8" w:rsidRPr="00946249" w14:paraId="5269BDBC" w14:textId="77777777" w:rsidTr="00584D60">
        <w:trPr>
          <w:trHeight w:val="255"/>
          <w:jc w:val="center"/>
        </w:trPr>
        <w:tc>
          <w:tcPr>
            <w:tcW w:w="1760" w:type="dxa"/>
            <w:tcMar>
              <w:top w:w="15" w:type="dxa"/>
              <w:left w:w="15" w:type="dxa"/>
              <w:bottom w:w="0" w:type="dxa"/>
              <w:right w:w="15" w:type="dxa"/>
            </w:tcMar>
            <w:vAlign w:val="center"/>
            <w:hideMark/>
          </w:tcPr>
          <w:p w14:paraId="0BE65F1F" w14:textId="77777777" w:rsidR="00686DD8" w:rsidRPr="00946249" w:rsidRDefault="00686DD8" w:rsidP="00686DD8">
            <w:pPr>
              <w:widowControl/>
              <w:autoSpaceDE/>
              <w:autoSpaceDN/>
              <w:adjustRightInd/>
              <w:ind w:firstLine="118"/>
              <w:rPr>
                <w:rFonts w:ascii="Cambria" w:hAnsi="Cambria"/>
                <w:color w:val="000000"/>
              </w:rPr>
            </w:pPr>
            <w:r w:rsidRPr="00946249">
              <w:rPr>
                <w:rFonts w:ascii="Cambria" w:hAnsi="Cambria"/>
                <w:color w:val="000000"/>
              </w:rPr>
              <w:t>Noruega</w:t>
            </w:r>
          </w:p>
        </w:tc>
        <w:tc>
          <w:tcPr>
            <w:tcW w:w="4900" w:type="dxa"/>
            <w:tcMar>
              <w:top w:w="15" w:type="dxa"/>
              <w:left w:w="15" w:type="dxa"/>
              <w:bottom w:w="0" w:type="dxa"/>
              <w:right w:w="15" w:type="dxa"/>
            </w:tcMar>
            <w:vAlign w:val="center"/>
            <w:hideMark/>
          </w:tcPr>
          <w:p w14:paraId="1FDBE841" w14:textId="31293C89" w:rsidR="00686DD8" w:rsidRPr="00946249" w:rsidRDefault="00426519" w:rsidP="00686DD8">
            <w:pPr>
              <w:jc w:val="center"/>
              <w:rPr>
                <w:rFonts w:ascii="Cambria" w:hAnsi="Cambria"/>
                <w:color w:val="000000"/>
              </w:rPr>
            </w:pPr>
            <w:r w:rsidRPr="00946249">
              <w:rPr>
                <w:rFonts w:ascii="Cambria" w:hAnsi="Cambria"/>
                <w:color w:val="000000"/>
              </w:rPr>
              <w:t>No aplicable</w:t>
            </w:r>
            <w:r w:rsidR="000062BD" w:rsidRPr="00946249">
              <w:rPr>
                <w:rFonts w:ascii="Cambria" w:hAnsi="Cambria"/>
                <w:color w:val="000000"/>
              </w:rPr>
              <w:t>: c</w:t>
            </w:r>
            <w:r w:rsidRPr="00946249">
              <w:rPr>
                <w:rFonts w:ascii="Cambria" w:hAnsi="Cambria"/>
                <w:color w:val="000000"/>
              </w:rPr>
              <w:t>uota no utilizada en su totalidad en el momento de la notificación.</w:t>
            </w:r>
          </w:p>
        </w:tc>
      </w:tr>
      <w:tr w:rsidR="002A6CD2" w:rsidRPr="00946249" w14:paraId="79483D9E" w14:textId="77777777" w:rsidTr="00584D60">
        <w:trPr>
          <w:trHeight w:val="510"/>
          <w:jc w:val="center"/>
        </w:trPr>
        <w:tc>
          <w:tcPr>
            <w:tcW w:w="1760" w:type="dxa"/>
            <w:tcMar>
              <w:top w:w="15" w:type="dxa"/>
              <w:left w:w="15" w:type="dxa"/>
              <w:bottom w:w="0" w:type="dxa"/>
              <w:right w:w="15" w:type="dxa"/>
            </w:tcMar>
            <w:vAlign w:val="center"/>
            <w:hideMark/>
          </w:tcPr>
          <w:p w14:paraId="3DA0B102"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Siria</w:t>
            </w:r>
          </w:p>
        </w:tc>
        <w:tc>
          <w:tcPr>
            <w:tcW w:w="4900" w:type="dxa"/>
            <w:tcMar>
              <w:top w:w="15" w:type="dxa"/>
              <w:left w:w="15" w:type="dxa"/>
              <w:bottom w:w="0" w:type="dxa"/>
              <w:right w:w="15" w:type="dxa"/>
            </w:tcMar>
            <w:vAlign w:val="center"/>
            <w:hideMark/>
          </w:tcPr>
          <w:p w14:paraId="58B38027" w14:textId="6DC25973" w:rsidR="002A6CD2" w:rsidRPr="00946249" w:rsidRDefault="00426519" w:rsidP="00182D29">
            <w:pPr>
              <w:jc w:val="center"/>
              <w:rPr>
                <w:rFonts w:ascii="Cambria" w:hAnsi="Cambria"/>
                <w:color w:val="000000"/>
              </w:rPr>
            </w:pPr>
            <w:r w:rsidRPr="00946249">
              <w:rPr>
                <w:rFonts w:ascii="Cambria" w:hAnsi="Cambria"/>
                <w:color w:val="000000"/>
              </w:rPr>
              <w:t>No aplicable</w:t>
            </w:r>
            <w:r w:rsidR="000062BD" w:rsidRPr="00946249">
              <w:rPr>
                <w:rFonts w:ascii="Cambria" w:hAnsi="Cambria"/>
                <w:color w:val="000000"/>
              </w:rPr>
              <w:t>:</w:t>
            </w:r>
            <w:r w:rsidRPr="00946249">
              <w:rPr>
                <w:rFonts w:ascii="Cambria" w:hAnsi="Cambria"/>
                <w:color w:val="000000"/>
              </w:rPr>
              <w:t xml:space="preserve"> cuota totalmente transferida a </w:t>
            </w:r>
            <w:proofErr w:type="spellStart"/>
            <w:proofErr w:type="gramStart"/>
            <w:r w:rsidRPr="00946249">
              <w:rPr>
                <w:rFonts w:ascii="Cambria" w:hAnsi="Cambria"/>
                <w:color w:val="000000"/>
              </w:rPr>
              <w:t>Türkiye</w:t>
            </w:r>
            <w:proofErr w:type="spellEnd"/>
            <w:proofErr w:type="gramEnd"/>
            <w:r w:rsidRPr="00946249">
              <w:rPr>
                <w:rFonts w:ascii="Cambria" w:hAnsi="Cambria"/>
                <w:color w:val="000000"/>
              </w:rPr>
              <w:t xml:space="preserve"> pero 0,8 % asignado a captura fortuita</w:t>
            </w:r>
          </w:p>
        </w:tc>
      </w:tr>
      <w:tr w:rsidR="002A6CD2" w:rsidRPr="00946249" w14:paraId="6A8534F0" w14:textId="77777777" w:rsidTr="00584D60">
        <w:trPr>
          <w:trHeight w:val="255"/>
          <w:jc w:val="center"/>
        </w:trPr>
        <w:tc>
          <w:tcPr>
            <w:tcW w:w="1760" w:type="dxa"/>
            <w:tcMar>
              <w:top w:w="15" w:type="dxa"/>
              <w:left w:w="15" w:type="dxa"/>
              <w:bottom w:w="0" w:type="dxa"/>
              <w:right w:w="15" w:type="dxa"/>
            </w:tcMar>
            <w:vAlign w:val="center"/>
            <w:hideMark/>
          </w:tcPr>
          <w:p w14:paraId="6370D45A" w14:textId="77777777" w:rsidR="002A6CD2" w:rsidRPr="00946249" w:rsidRDefault="002A6CD2" w:rsidP="00182D29">
            <w:pPr>
              <w:widowControl/>
              <w:autoSpaceDE/>
              <w:autoSpaceDN/>
              <w:adjustRightInd/>
              <w:ind w:firstLine="118"/>
              <w:rPr>
                <w:rFonts w:ascii="Cambria" w:hAnsi="Cambria"/>
                <w:color w:val="000000"/>
              </w:rPr>
            </w:pPr>
            <w:r w:rsidRPr="00946249">
              <w:rPr>
                <w:rFonts w:ascii="Cambria" w:hAnsi="Cambria"/>
                <w:color w:val="000000"/>
              </w:rPr>
              <w:t>Túnez</w:t>
            </w:r>
          </w:p>
        </w:tc>
        <w:tc>
          <w:tcPr>
            <w:tcW w:w="4900" w:type="dxa"/>
            <w:tcMar>
              <w:top w:w="15" w:type="dxa"/>
              <w:left w:w="15" w:type="dxa"/>
              <w:bottom w:w="0" w:type="dxa"/>
              <w:right w:w="15" w:type="dxa"/>
            </w:tcMar>
            <w:vAlign w:val="center"/>
            <w:hideMark/>
          </w:tcPr>
          <w:p w14:paraId="7A8F6792" w14:textId="2C6F8C83" w:rsidR="002A6CD2" w:rsidRPr="00946249" w:rsidRDefault="0065376B" w:rsidP="00182D29">
            <w:pPr>
              <w:jc w:val="center"/>
              <w:rPr>
                <w:rFonts w:ascii="Cambria" w:hAnsi="Cambria"/>
                <w:color w:val="000000"/>
              </w:rPr>
            </w:pPr>
            <w:r w:rsidRPr="00946249">
              <w:rPr>
                <w:rFonts w:ascii="Cambria" w:hAnsi="Cambria"/>
                <w:color w:val="000000"/>
              </w:rPr>
              <w:t>22 de junio de 2025</w:t>
            </w:r>
          </w:p>
        </w:tc>
      </w:tr>
      <w:tr w:rsidR="002A6CD2" w:rsidRPr="00946249" w14:paraId="4BBCB9C0" w14:textId="77777777" w:rsidTr="00584D60">
        <w:trPr>
          <w:trHeight w:val="255"/>
          <w:jc w:val="center"/>
        </w:trPr>
        <w:tc>
          <w:tcPr>
            <w:tcW w:w="1760" w:type="dxa"/>
            <w:tcMar>
              <w:top w:w="15" w:type="dxa"/>
              <w:left w:w="15" w:type="dxa"/>
              <w:bottom w:w="0" w:type="dxa"/>
              <w:right w:w="15" w:type="dxa"/>
            </w:tcMar>
            <w:vAlign w:val="center"/>
            <w:hideMark/>
          </w:tcPr>
          <w:p w14:paraId="134CC06B" w14:textId="77777777" w:rsidR="002A6CD2" w:rsidRPr="00946249" w:rsidRDefault="002A6CD2" w:rsidP="00182D29">
            <w:pPr>
              <w:widowControl/>
              <w:autoSpaceDE/>
              <w:autoSpaceDN/>
              <w:adjustRightInd/>
              <w:ind w:firstLine="118"/>
              <w:rPr>
                <w:rFonts w:ascii="Cambria" w:hAnsi="Cambria"/>
                <w:color w:val="000000"/>
              </w:rPr>
            </w:pPr>
            <w:proofErr w:type="spellStart"/>
            <w:r w:rsidRPr="00946249">
              <w:rPr>
                <w:rFonts w:ascii="Cambria" w:hAnsi="Cambria"/>
                <w:color w:val="000000"/>
              </w:rPr>
              <w:t>Türkiye</w:t>
            </w:r>
            <w:proofErr w:type="spellEnd"/>
          </w:p>
        </w:tc>
        <w:tc>
          <w:tcPr>
            <w:tcW w:w="4900" w:type="dxa"/>
            <w:tcMar>
              <w:top w:w="15" w:type="dxa"/>
              <w:left w:w="15" w:type="dxa"/>
              <w:bottom w:w="0" w:type="dxa"/>
              <w:right w:w="15" w:type="dxa"/>
            </w:tcMar>
            <w:vAlign w:val="center"/>
            <w:hideMark/>
          </w:tcPr>
          <w:p w14:paraId="027E8B90" w14:textId="759980B7" w:rsidR="002A6CD2" w:rsidRPr="00946249" w:rsidRDefault="0065376B" w:rsidP="00182D29">
            <w:pPr>
              <w:jc w:val="center"/>
              <w:rPr>
                <w:rFonts w:ascii="Cambria" w:hAnsi="Cambria"/>
                <w:color w:val="000000"/>
              </w:rPr>
            </w:pPr>
            <w:r w:rsidRPr="00946249">
              <w:rPr>
                <w:rFonts w:ascii="Cambria" w:hAnsi="Cambria"/>
                <w:color w:val="000000"/>
              </w:rPr>
              <w:t>16 de junio de 2025</w:t>
            </w:r>
          </w:p>
        </w:tc>
      </w:tr>
      <w:tr w:rsidR="002A6CD2" w:rsidRPr="00946249" w14:paraId="623CE28F" w14:textId="77777777" w:rsidTr="00584D60">
        <w:trPr>
          <w:trHeight w:val="270"/>
          <w:jc w:val="center"/>
        </w:trPr>
        <w:tc>
          <w:tcPr>
            <w:tcW w:w="1760" w:type="dxa"/>
            <w:tcMar>
              <w:top w:w="15" w:type="dxa"/>
              <w:left w:w="15" w:type="dxa"/>
              <w:bottom w:w="0" w:type="dxa"/>
              <w:right w:w="15" w:type="dxa"/>
            </w:tcMar>
            <w:vAlign w:val="center"/>
            <w:hideMark/>
          </w:tcPr>
          <w:p w14:paraId="222EDB90" w14:textId="77777777" w:rsidR="002A6CD2" w:rsidRPr="00946249" w:rsidRDefault="002A6CD2" w:rsidP="00182D29">
            <w:pPr>
              <w:widowControl/>
              <w:autoSpaceDE/>
              <w:autoSpaceDN/>
              <w:adjustRightInd/>
              <w:ind w:firstLine="118"/>
              <w:rPr>
                <w:rFonts w:ascii="Cambria" w:hAnsi="Cambria"/>
                <w:color w:val="000000"/>
              </w:rPr>
            </w:pPr>
            <w:proofErr w:type="spellStart"/>
            <w:r w:rsidRPr="00946249">
              <w:rPr>
                <w:rFonts w:ascii="Cambria" w:hAnsi="Cambria"/>
                <w:color w:val="000000"/>
              </w:rPr>
              <w:t>Taipei</w:t>
            </w:r>
            <w:proofErr w:type="spellEnd"/>
            <w:r w:rsidRPr="00946249">
              <w:rPr>
                <w:rFonts w:ascii="Cambria" w:hAnsi="Cambria"/>
                <w:color w:val="000000"/>
              </w:rPr>
              <w:t xml:space="preserve"> </w:t>
            </w:r>
            <w:proofErr w:type="gramStart"/>
            <w:r w:rsidRPr="00946249">
              <w:rPr>
                <w:rFonts w:ascii="Cambria" w:hAnsi="Cambria"/>
                <w:color w:val="000000"/>
              </w:rPr>
              <w:t>Chino</w:t>
            </w:r>
            <w:proofErr w:type="gramEnd"/>
          </w:p>
        </w:tc>
        <w:tc>
          <w:tcPr>
            <w:tcW w:w="4900" w:type="dxa"/>
            <w:tcMar>
              <w:top w:w="15" w:type="dxa"/>
              <w:left w:w="15" w:type="dxa"/>
              <w:bottom w:w="0" w:type="dxa"/>
              <w:right w:w="15" w:type="dxa"/>
            </w:tcMar>
            <w:vAlign w:val="center"/>
            <w:hideMark/>
          </w:tcPr>
          <w:p w14:paraId="7AA9E180" w14:textId="4C5BE72A" w:rsidR="002A6CD2" w:rsidRPr="00946249" w:rsidRDefault="00345B5C" w:rsidP="00182D29">
            <w:pPr>
              <w:jc w:val="center"/>
              <w:rPr>
                <w:rFonts w:ascii="Cambria" w:hAnsi="Cambria"/>
                <w:color w:val="000000"/>
              </w:rPr>
            </w:pPr>
            <w:r w:rsidRPr="00946249">
              <w:rPr>
                <w:rFonts w:ascii="Cambria" w:hAnsi="Cambria"/>
                <w:color w:val="000000"/>
              </w:rPr>
              <w:t>No aplicable; actualmente sin pesquería de atún rojo.</w:t>
            </w:r>
          </w:p>
        </w:tc>
      </w:tr>
    </w:tbl>
    <w:p w14:paraId="6069AE8B" w14:textId="50B53176" w:rsidR="008823FD" w:rsidRPr="00946249" w:rsidRDefault="002A6CD2"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 </w:t>
      </w:r>
    </w:p>
    <w:p w14:paraId="7F6835EE" w14:textId="10FC6287" w:rsidR="001F171B" w:rsidRPr="00946249" w:rsidRDefault="00F11564" w:rsidP="00820485">
      <w:pPr>
        <w:tabs>
          <w:tab w:val="left" w:pos="1276"/>
          <w:tab w:val="left" w:pos="1418"/>
          <w:tab w:val="left" w:leader="dot" w:pos="8222"/>
          <w:tab w:val="right" w:pos="8647"/>
        </w:tabs>
        <w:jc w:val="both"/>
        <w:rPr>
          <w:rFonts w:ascii="Cambria" w:hAnsi="Cambria"/>
          <w:bCs/>
        </w:rPr>
      </w:pPr>
      <w:r w:rsidRPr="00946249">
        <w:rPr>
          <w:rFonts w:ascii="Cambria" w:hAnsi="Cambria"/>
          <w:b/>
          <w:i/>
          <w:iCs/>
        </w:rPr>
        <w:t>Informes de inspección en el marco del Programa conjunto de inspección y lista de agencias y nombres de inspectores:</w:t>
      </w:r>
      <w:r w:rsidRPr="00946249">
        <w:rPr>
          <w:rFonts w:ascii="Cambria" w:hAnsi="Cambria"/>
        </w:rPr>
        <w:t xml:space="preserve"> Puede consultarse la </w:t>
      </w:r>
      <w:r w:rsidRPr="00946249">
        <w:rPr>
          <w:rFonts w:ascii="Cambria" w:hAnsi="Cambria"/>
          <w:b/>
          <w:bCs/>
        </w:rPr>
        <w:t>Tabla 2</w:t>
      </w:r>
      <w:r w:rsidRPr="00946249">
        <w:rPr>
          <w:rFonts w:ascii="Cambria" w:hAnsi="Cambria"/>
        </w:rPr>
        <w:t xml:space="preserve"> para ver la lista de informes de inspección de atún rojo presentados por la UE y </w:t>
      </w:r>
      <w:proofErr w:type="spellStart"/>
      <w:r w:rsidRPr="00946249">
        <w:rPr>
          <w:rFonts w:ascii="Cambria" w:hAnsi="Cambria"/>
        </w:rPr>
        <w:t>Türkiye</w:t>
      </w:r>
      <w:proofErr w:type="spellEnd"/>
      <w:r w:rsidRPr="00946249">
        <w:rPr>
          <w:rFonts w:ascii="Cambria" w:hAnsi="Cambria"/>
        </w:rPr>
        <w:t xml:space="preserve">. Las copias de los informes presentados con infracciones están disponibles en el </w:t>
      </w:r>
      <w:r w:rsidRPr="00946249">
        <w:rPr>
          <w:rFonts w:ascii="Cambria" w:hAnsi="Cambria"/>
          <w:b/>
          <w:bCs/>
        </w:rPr>
        <w:t>Anexo 3</w:t>
      </w:r>
      <w:r w:rsidRPr="00946249">
        <w:rPr>
          <w:rFonts w:ascii="Cambria" w:hAnsi="Cambria"/>
        </w:rPr>
        <w:t xml:space="preserve"> y el </w:t>
      </w:r>
      <w:r w:rsidRPr="00946249">
        <w:rPr>
          <w:rFonts w:ascii="Cambria" w:hAnsi="Cambria"/>
          <w:b/>
          <w:bCs/>
        </w:rPr>
        <w:t xml:space="preserve">Anexo </w:t>
      </w:r>
      <w:proofErr w:type="gramStart"/>
      <w:r w:rsidRPr="00946249">
        <w:rPr>
          <w:rFonts w:ascii="Cambria" w:hAnsi="Cambria"/>
          <w:b/>
          <w:bCs/>
        </w:rPr>
        <w:t>4</w:t>
      </w:r>
      <w:r w:rsidRPr="00946249">
        <w:rPr>
          <w:rFonts w:ascii="Cambria" w:hAnsi="Cambria"/>
        </w:rPr>
        <w:t xml:space="preserve">  e</w:t>
      </w:r>
      <w:proofErr w:type="gramEnd"/>
      <w:r w:rsidRPr="00946249">
        <w:rPr>
          <w:rFonts w:ascii="Cambria" w:hAnsi="Cambria"/>
        </w:rPr>
        <w:t xml:space="preserve"> incluyen la lista de agencias, medios y nombres de los inspectores recibidos de Argelia, la UE, Túnez y </w:t>
      </w:r>
      <w:proofErr w:type="spellStart"/>
      <w:r w:rsidRPr="00946249">
        <w:rPr>
          <w:rFonts w:ascii="Cambria" w:hAnsi="Cambria"/>
        </w:rPr>
        <w:t>Türkiye</w:t>
      </w:r>
      <w:proofErr w:type="spellEnd"/>
      <w:r w:rsidRPr="00946249">
        <w:rPr>
          <w:rFonts w:ascii="Cambria" w:hAnsi="Cambria"/>
        </w:rPr>
        <w:t xml:space="preserve">. En el sitio web de ICCAT se ha publicado una lista de buques de inspección. En el </w:t>
      </w:r>
      <w:r w:rsidRPr="00946249">
        <w:rPr>
          <w:rFonts w:ascii="Cambria" w:hAnsi="Cambria"/>
          <w:b/>
          <w:bCs/>
        </w:rPr>
        <w:t>Apéndice 4</w:t>
      </w:r>
      <w:r w:rsidRPr="00946249">
        <w:rPr>
          <w:rFonts w:ascii="Cambria" w:hAnsi="Cambria"/>
        </w:rPr>
        <w:t xml:space="preserve"> se incluye un resumen de los informes con las infracciones, así como sus respuestas cuando están disponibles.</w:t>
      </w:r>
    </w:p>
    <w:p w14:paraId="44D281A8" w14:textId="77777777" w:rsidR="00FB5CBC" w:rsidRPr="00946249" w:rsidRDefault="00FB5CBC" w:rsidP="00820485">
      <w:pPr>
        <w:tabs>
          <w:tab w:val="left" w:pos="1276"/>
          <w:tab w:val="left" w:pos="1418"/>
          <w:tab w:val="left" w:leader="dot" w:pos="8222"/>
          <w:tab w:val="right" w:pos="8647"/>
        </w:tabs>
        <w:jc w:val="both"/>
        <w:rPr>
          <w:rFonts w:ascii="Cambria" w:hAnsi="Cambria"/>
        </w:rPr>
      </w:pPr>
    </w:p>
    <w:p w14:paraId="77E1E544" w14:textId="1F0FA581" w:rsidR="0018461D" w:rsidRPr="00946249" w:rsidRDefault="00206E17" w:rsidP="00C37678">
      <w:pPr>
        <w:widowControl/>
        <w:autoSpaceDE/>
        <w:autoSpaceDN/>
        <w:adjustRightInd/>
        <w:jc w:val="both"/>
        <w:rPr>
          <w:rFonts w:ascii="Cambria" w:hAnsi="Cambria"/>
        </w:rPr>
      </w:pPr>
      <w:r w:rsidRPr="00946249">
        <w:rPr>
          <w:rFonts w:ascii="Cambria" w:hAnsi="Cambria"/>
          <w:b/>
          <w:bCs/>
          <w:i/>
          <w:iCs/>
        </w:rPr>
        <w:t>Informes de implementación:</w:t>
      </w:r>
      <w:r w:rsidRPr="00946249">
        <w:rPr>
          <w:rFonts w:ascii="Cambria" w:hAnsi="Cambria"/>
        </w:rPr>
        <w:t xml:space="preserve"> De conformidad con el párrafo 235 de la Rec. 22-08, la Secretaría de ICCAT tiene el mandato de preparar un informe sobre la implementación de esta Recomendación. </w:t>
      </w:r>
      <w:bookmarkStart w:id="10" w:name="_Hlk203483165"/>
      <w:r w:rsidRPr="00946249">
        <w:rPr>
          <w:rFonts w:ascii="Cambria" w:hAnsi="Cambria"/>
        </w:rPr>
        <w:t>El informe sobre la implementación de la Rec. 22-08 debe presentarse cada dos años, y la Secretaría de ICCAT solicitó información y presentó un documento recopilatorio en 2024. Por consiguiente, la próxima evaluación de la implementación de la Rec. 24-05, que sustituye la Rec. 22-08, se llevará a cabo en 2026.</w:t>
      </w:r>
    </w:p>
    <w:bookmarkEnd w:id="10"/>
    <w:p w14:paraId="3025649B" w14:textId="77777777" w:rsidR="006150C6" w:rsidRPr="00946249" w:rsidRDefault="006150C6" w:rsidP="00820485">
      <w:pPr>
        <w:tabs>
          <w:tab w:val="left" w:pos="1276"/>
          <w:tab w:val="left" w:pos="1418"/>
          <w:tab w:val="left" w:leader="dot" w:pos="8222"/>
          <w:tab w:val="right" w:pos="8647"/>
        </w:tabs>
        <w:jc w:val="both"/>
        <w:rPr>
          <w:rFonts w:ascii="Cambria" w:hAnsi="Cambria"/>
          <w:b/>
          <w:bCs/>
        </w:rPr>
      </w:pPr>
    </w:p>
    <w:p w14:paraId="25914E60" w14:textId="7C9AA589" w:rsidR="006150C6" w:rsidRPr="00946249" w:rsidRDefault="006150C6" w:rsidP="00C37678">
      <w:pPr>
        <w:widowControl/>
        <w:autoSpaceDE/>
        <w:autoSpaceDN/>
        <w:adjustRightInd/>
        <w:jc w:val="both"/>
        <w:rPr>
          <w:rFonts w:ascii="Cambria" w:hAnsi="Cambria"/>
          <w:bCs/>
        </w:rPr>
      </w:pPr>
      <w:r w:rsidRPr="00946249">
        <w:rPr>
          <w:rFonts w:ascii="Cambria" w:hAnsi="Cambria"/>
          <w:b/>
          <w:i/>
        </w:rPr>
        <w:t xml:space="preserve">Programa de observadores: </w:t>
      </w:r>
      <w:r w:rsidRPr="00946249">
        <w:rPr>
          <w:rFonts w:ascii="Cambria" w:hAnsi="Cambria"/>
        </w:rPr>
        <w:t xml:space="preserve">Dado que los requisitos y procedimientos para la presentación de información no fueron desarrollados por la Comisión en 2009, tal y como requieren las Recomendaciones, la información de los programas de observadores nacionales se incluye en las presentaciones científicas regulares. Para más información sobre el Programa regional de observadores para el atún rojo del Atlántico este y Mediterráneo, véanse los documentos "Implementación del ROP-BFT" [PA2_601/2025] y "Cuestiones de posible incumplimiento derivadas de los Programas Regionales de observadores de ICCAT y respuestas" [COC_305/2025]. </w:t>
      </w:r>
    </w:p>
    <w:p w14:paraId="6DA90D4C" w14:textId="09701253" w:rsidR="00177F04" w:rsidRPr="00946249" w:rsidRDefault="00177F04" w:rsidP="00820485">
      <w:pPr>
        <w:jc w:val="both"/>
        <w:rPr>
          <w:rFonts w:ascii="Cambria" w:hAnsi="Cambria"/>
          <w:bCs/>
        </w:rPr>
      </w:pPr>
    </w:p>
    <w:p w14:paraId="590D5D3F" w14:textId="64A861C5" w:rsidR="00510B2A" w:rsidRPr="00946249" w:rsidRDefault="00177F04" w:rsidP="00820485">
      <w:pPr>
        <w:jc w:val="both"/>
        <w:rPr>
          <w:rFonts w:ascii="Cambria" w:hAnsi="Cambria"/>
        </w:rPr>
      </w:pPr>
      <w:bookmarkStart w:id="11" w:name="_Hlk86227917"/>
      <w:r w:rsidRPr="00946249">
        <w:rPr>
          <w:rFonts w:ascii="Cambria" w:hAnsi="Cambria"/>
          <w:b/>
          <w:i/>
        </w:rPr>
        <w:t>Transferencias dentro de las granjas y controles aleatorios:</w:t>
      </w:r>
      <w:bookmarkStart w:id="12" w:name="_Hlk86227871"/>
      <w:bookmarkEnd w:id="11"/>
      <w:r w:rsidRPr="00946249">
        <w:rPr>
          <w:rFonts w:ascii="Cambria" w:hAnsi="Cambria"/>
          <w:b/>
          <w:i/>
        </w:rPr>
        <w:t xml:space="preserve"> </w:t>
      </w:r>
      <w:r w:rsidRPr="00946249">
        <w:rPr>
          <w:rFonts w:ascii="Cambria" w:hAnsi="Cambria"/>
        </w:rPr>
        <w:t>De conformidad con los párrafos 215 y 218 de la Rec. 22-08 y la Rec. 24-05</w:t>
      </w:r>
      <w:r w:rsidR="00945505" w:rsidRPr="00946249">
        <w:rPr>
          <w:rFonts w:ascii="Cambria" w:hAnsi="Cambria"/>
        </w:rPr>
        <w:t>,</w:t>
      </w:r>
      <w:r w:rsidRPr="00946249">
        <w:rPr>
          <w:rFonts w:ascii="Cambria" w:hAnsi="Cambria"/>
        </w:rPr>
        <w:t xml:space="preserve"> respectivamente, 22 granjas con pabellón de cuatro CPC comunicaron a la Secretaría de ICCAT los resultados de los controles aleatorios realizados en sus instalaciones de la granja de atún rojo. Como se resume en la </w:t>
      </w:r>
      <w:r w:rsidRPr="00946249">
        <w:rPr>
          <w:rFonts w:ascii="Cambria" w:hAnsi="Cambria"/>
          <w:b/>
          <w:bCs/>
        </w:rPr>
        <w:t>Tabla 11</w:t>
      </w:r>
      <w:r w:rsidRPr="00946249">
        <w:rPr>
          <w:rFonts w:ascii="Cambria" w:hAnsi="Cambria"/>
        </w:rPr>
        <w:t>, durante el periodo comprendido entre el 28 de febrero y el 9 de septiembre de 2025 se presentaron un total de 11 informes correspondientes a los años 2024 y 2025. Para aclarar la información presentada, se ha añadido una nueva columna "Año" para indicar el año al que se refiere el informe. Como esta tabla no incluía esta columna en 2022 y 2023, se han añadido los datos del año pasado (sombreados en naranja) con la información adicional relativa al año de comunicación.</w:t>
      </w:r>
    </w:p>
    <w:p w14:paraId="3DD47DF1" w14:textId="6519D39B" w:rsidR="00657DD9" w:rsidRPr="00946249" w:rsidRDefault="00657DD9" w:rsidP="00820485">
      <w:pPr>
        <w:tabs>
          <w:tab w:val="left" w:pos="1276"/>
          <w:tab w:val="left" w:pos="1418"/>
          <w:tab w:val="left" w:leader="dot" w:pos="8222"/>
          <w:tab w:val="right" w:pos="8647"/>
        </w:tabs>
        <w:ind w:firstLine="426"/>
        <w:rPr>
          <w:rFonts w:ascii="Cambria" w:hAnsi="Cambria"/>
          <w:bCs/>
          <w:i/>
        </w:rPr>
      </w:pPr>
    </w:p>
    <w:p w14:paraId="5FBC8403" w14:textId="77777777" w:rsidR="005C1EE7" w:rsidRPr="00946249" w:rsidRDefault="005C1EE7" w:rsidP="00820485">
      <w:pPr>
        <w:tabs>
          <w:tab w:val="left" w:pos="1276"/>
          <w:tab w:val="left" w:pos="1418"/>
          <w:tab w:val="left" w:leader="dot" w:pos="8222"/>
          <w:tab w:val="right" w:pos="8647"/>
        </w:tabs>
        <w:ind w:firstLine="426"/>
        <w:rPr>
          <w:rFonts w:ascii="Cambria" w:hAnsi="Cambria"/>
          <w:bCs/>
          <w:i/>
        </w:rPr>
      </w:pPr>
    </w:p>
    <w:bookmarkEnd w:id="12"/>
    <w:p w14:paraId="1194F5F6" w14:textId="77777777" w:rsidR="000D664A" w:rsidRPr="00946249" w:rsidRDefault="000D664A">
      <w:pPr>
        <w:widowControl/>
        <w:autoSpaceDE/>
        <w:autoSpaceDN/>
        <w:adjustRightInd/>
        <w:rPr>
          <w:rFonts w:ascii="Cambria" w:hAnsi="Cambria"/>
          <w:b/>
        </w:rPr>
      </w:pPr>
      <w:r w:rsidRPr="00946249">
        <w:rPr>
          <w:rFonts w:ascii="Cambria" w:hAnsi="Cambria"/>
          <w:b/>
        </w:rPr>
        <w:br w:type="page"/>
      </w:r>
    </w:p>
    <w:p w14:paraId="0C9038CA" w14:textId="34053048" w:rsidR="00F225F3" w:rsidRPr="00946249" w:rsidRDefault="00F225F3" w:rsidP="00820485">
      <w:pPr>
        <w:tabs>
          <w:tab w:val="left" w:pos="1276"/>
          <w:tab w:val="left" w:pos="1418"/>
          <w:tab w:val="left" w:leader="dot" w:pos="8222"/>
          <w:tab w:val="right" w:pos="8647"/>
        </w:tabs>
        <w:jc w:val="both"/>
        <w:rPr>
          <w:rFonts w:ascii="Cambria" w:hAnsi="Cambria"/>
        </w:rPr>
      </w:pPr>
      <w:r w:rsidRPr="00946249">
        <w:rPr>
          <w:rFonts w:ascii="Cambria" w:hAnsi="Cambria"/>
          <w:b/>
        </w:rPr>
        <w:lastRenderedPageBreak/>
        <w:t xml:space="preserve">BIL </w:t>
      </w:r>
      <w:proofErr w:type="gramStart"/>
      <w:r w:rsidRPr="00946249">
        <w:rPr>
          <w:rFonts w:ascii="Cambria" w:hAnsi="Cambria"/>
          <w:b/>
        </w:rPr>
        <w:t xml:space="preserve">-  </w:t>
      </w:r>
      <w:r w:rsidR="004E30CD" w:rsidRPr="00946249">
        <w:rPr>
          <w:rFonts w:ascii="Cambria" w:hAnsi="Cambria"/>
          <w:b/>
        </w:rPr>
        <w:t>ISTIOFÓRIDOS</w:t>
      </w:r>
      <w:proofErr w:type="gramEnd"/>
      <w:r w:rsidRPr="00946249">
        <w:rPr>
          <w:rFonts w:ascii="Cambria" w:hAnsi="Cambria"/>
          <w:b/>
        </w:rPr>
        <w:t xml:space="preserve">: Aguja azul </w:t>
      </w:r>
      <w:r w:rsidRPr="00946249">
        <w:rPr>
          <w:rFonts w:ascii="Cambria" w:hAnsi="Cambria"/>
          <w:b/>
          <w:i/>
        </w:rPr>
        <w:t>(</w:t>
      </w:r>
      <w:proofErr w:type="spellStart"/>
      <w:r w:rsidRPr="00946249">
        <w:rPr>
          <w:rFonts w:ascii="Cambria" w:hAnsi="Cambria"/>
          <w:b/>
          <w:i/>
        </w:rPr>
        <w:t>Makaira</w:t>
      </w:r>
      <w:proofErr w:type="spellEnd"/>
      <w:r w:rsidRPr="00946249">
        <w:rPr>
          <w:rFonts w:ascii="Cambria" w:hAnsi="Cambria"/>
          <w:b/>
          <w:i/>
        </w:rPr>
        <w:t xml:space="preserve"> nigricans)</w:t>
      </w:r>
      <w:r w:rsidRPr="00946249">
        <w:rPr>
          <w:rFonts w:ascii="Cambria" w:hAnsi="Cambria"/>
          <w:b/>
        </w:rPr>
        <w:t xml:space="preserve">, aguja blanca </w:t>
      </w:r>
      <w:r w:rsidRPr="00946249">
        <w:rPr>
          <w:rFonts w:ascii="Cambria" w:hAnsi="Cambria"/>
          <w:b/>
          <w:i/>
        </w:rPr>
        <w:t xml:space="preserve">(Tetrapturus albidus), </w:t>
      </w:r>
      <w:r w:rsidRPr="00946249">
        <w:rPr>
          <w:rFonts w:ascii="Cambria" w:hAnsi="Cambria"/>
          <w:b/>
        </w:rPr>
        <w:t xml:space="preserve">pez vela </w:t>
      </w:r>
      <w:r w:rsidRPr="00946249">
        <w:rPr>
          <w:rFonts w:ascii="Cambria" w:hAnsi="Cambria"/>
          <w:b/>
          <w:i/>
        </w:rPr>
        <w:t xml:space="preserve">(Istiophorus </w:t>
      </w:r>
      <w:proofErr w:type="spellStart"/>
      <w:r w:rsidRPr="00946249">
        <w:rPr>
          <w:rFonts w:ascii="Cambria" w:hAnsi="Cambria"/>
          <w:b/>
          <w:i/>
        </w:rPr>
        <w:t>albicans</w:t>
      </w:r>
      <w:proofErr w:type="spellEnd"/>
      <w:r w:rsidRPr="00946249">
        <w:rPr>
          <w:rFonts w:ascii="Cambria" w:hAnsi="Cambria"/>
          <w:b/>
          <w:i/>
        </w:rPr>
        <w:t>)</w:t>
      </w:r>
      <w:r w:rsidRPr="00946249">
        <w:rPr>
          <w:rFonts w:ascii="Cambria" w:hAnsi="Cambria"/>
          <w:b/>
        </w:rPr>
        <w:t xml:space="preserve"> y </w:t>
      </w:r>
      <w:r w:rsidRPr="00946249">
        <w:rPr>
          <w:rFonts w:ascii="Cambria" w:hAnsi="Cambria"/>
          <w:b/>
          <w:i/>
        </w:rPr>
        <w:t xml:space="preserve">T. pfluegeri </w:t>
      </w:r>
      <w:r w:rsidRPr="00946249">
        <w:rPr>
          <w:rFonts w:ascii="Cambria" w:hAnsi="Cambria"/>
          <w:b/>
        </w:rPr>
        <w:t xml:space="preserve">y </w:t>
      </w:r>
      <w:r w:rsidRPr="00946249">
        <w:rPr>
          <w:rFonts w:ascii="Cambria" w:hAnsi="Cambria"/>
          <w:b/>
          <w:i/>
        </w:rPr>
        <w:t>T. belone</w:t>
      </w:r>
    </w:p>
    <w:p w14:paraId="0C2F17EF" w14:textId="77777777" w:rsidR="004D1CA8" w:rsidRPr="00946249" w:rsidRDefault="004D1CA8" w:rsidP="00820485">
      <w:pPr>
        <w:tabs>
          <w:tab w:val="left" w:pos="0"/>
          <w:tab w:val="left" w:pos="1276"/>
        </w:tabs>
        <w:ind w:right="3"/>
        <w:jc w:val="both"/>
        <w:rPr>
          <w:rFonts w:ascii="Cambria" w:hAnsi="Cambria"/>
        </w:rPr>
      </w:pPr>
    </w:p>
    <w:p w14:paraId="4BF46FB3" w14:textId="32F1B16E" w:rsidR="0083344E" w:rsidRPr="00946249" w:rsidRDefault="009445AC" w:rsidP="00820485">
      <w:pPr>
        <w:tabs>
          <w:tab w:val="left" w:pos="0"/>
          <w:tab w:val="left" w:pos="1276"/>
        </w:tabs>
        <w:ind w:right="3"/>
        <w:jc w:val="both"/>
        <w:rPr>
          <w:rFonts w:ascii="Cambria" w:hAnsi="Cambria"/>
          <w:i/>
        </w:rPr>
      </w:pPr>
      <w:r w:rsidRPr="00946249">
        <w:rPr>
          <w:rFonts w:ascii="Cambria" w:hAnsi="Cambria"/>
          <w:i/>
        </w:rPr>
        <w:t>[19-05]</w:t>
      </w:r>
      <w:r w:rsidRPr="00946249">
        <w:rPr>
          <w:rFonts w:ascii="Cambria" w:hAnsi="Cambria"/>
        </w:rPr>
        <w:t xml:space="preserve"> </w:t>
      </w:r>
      <w:hyperlink r:id="rId22" w:tgtFrame="_blank" w:history="1">
        <w:r w:rsidRPr="00946249">
          <w:rPr>
            <w:rFonts w:ascii="Cambria" w:hAnsi="Cambria"/>
            <w:i/>
          </w:rPr>
          <w:t>Recomendación de ICCAT para establecer programas de recuperación para la aguja azul y aguja blanca/marlín peto</w:t>
        </w:r>
      </w:hyperlink>
      <w:r w:rsidRPr="00946249">
        <w:rPr>
          <w:rFonts w:ascii="Cambria" w:hAnsi="Cambria"/>
          <w:i/>
        </w:rPr>
        <w:t xml:space="preserve"> </w:t>
      </w:r>
    </w:p>
    <w:p w14:paraId="445A0C34" w14:textId="77777777" w:rsidR="0083344E" w:rsidRPr="00946249" w:rsidRDefault="0083344E" w:rsidP="00820485">
      <w:pPr>
        <w:tabs>
          <w:tab w:val="left" w:pos="1276"/>
          <w:tab w:val="left" w:pos="1418"/>
          <w:tab w:val="left" w:leader="dot" w:pos="8222"/>
          <w:tab w:val="right" w:pos="8647"/>
        </w:tabs>
        <w:jc w:val="both"/>
        <w:rPr>
          <w:rFonts w:ascii="Cambria" w:hAnsi="Cambria"/>
          <w:i/>
        </w:rPr>
      </w:pPr>
    </w:p>
    <w:p w14:paraId="75C23498" w14:textId="02E8C61C" w:rsidR="00351F1F" w:rsidRPr="00946249" w:rsidRDefault="00AA571A" w:rsidP="0064289F">
      <w:pPr>
        <w:tabs>
          <w:tab w:val="left" w:pos="1276"/>
          <w:tab w:val="left" w:pos="1418"/>
          <w:tab w:val="left" w:leader="dot" w:pos="8222"/>
          <w:tab w:val="right" w:pos="8647"/>
        </w:tabs>
        <w:jc w:val="both"/>
        <w:rPr>
          <w:rFonts w:ascii="Cambria" w:hAnsi="Cambria"/>
          <w:bCs/>
        </w:rPr>
      </w:pPr>
      <w:r w:rsidRPr="00946249">
        <w:rPr>
          <w:rFonts w:ascii="Cambria" w:hAnsi="Cambria"/>
        </w:rPr>
        <w:t xml:space="preserve">Para el cumplimiento de los límites de captura/cuotas, puede consultarse el documento "Tablas de cumplimiento de 2024 recibidas en 2025" [COC_304/2025]. Para otra información, consultar la Rec. 18-05 más abajo. </w:t>
      </w:r>
    </w:p>
    <w:p w14:paraId="1A9F4DDB" w14:textId="6658CB7E" w:rsidR="00E6731A" w:rsidRPr="00946249" w:rsidRDefault="00E6731A" w:rsidP="00820485">
      <w:pPr>
        <w:jc w:val="both"/>
        <w:rPr>
          <w:rFonts w:ascii="Cambria" w:hAnsi="Cambria"/>
          <w:bCs/>
        </w:rPr>
      </w:pPr>
    </w:p>
    <w:p w14:paraId="4BEDD6DA" w14:textId="4F99D1FE" w:rsidR="00C72BAF" w:rsidRPr="00946249" w:rsidRDefault="00C72BAF" w:rsidP="00820485">
      <w:pPr>
        <w:jc w:val="both"/>
        <w:rPr>
          <w:rFonts w:ascii="Cambria" w:hAnsi="Cambria"/>
          <w:bCs/>
        </w:rPr>
      </w:pPr>
      <w:r w:rsidRPr="00946249">
        <w:rPr>
          <w:rFonts w:ascii="Cambria" w:hAnsi="Cambria"/>
          <w:i/>
        </w:rPr>
        <w:t>[16-11]</w:t>
      </w:r>
      <w:r w:rsidRPr="00946249">
        <w:rPr>
          <w:rFonts w:ascii="Cambria" w:hAnsi="Cambria"/>
          <w:i/>
        </w:rPr>
        <w:tab/>
        <w:t>Recomendación de ICCAT sobre medidas de ordenación para la conservación del pez vela del Atlántico</w:t>
      </w:r>
    </w:p>
    <w:p w14:paraId="6834A39A" w14:textId="49072D55" w:rsidR="00351F1F" w:rsidRPr="00946249" w:rsidRDefault="00351F1F" w:rsidP="00820485">
      <w:pPr>
        <w:widowControl/>
        <w:autoSpaceDE/>
        <w:autoSpaceDN/>
        <w:adjustRightInd/>
        <w:rPr>
          <w:rFonts w:ascii="Cambria" w:hAnsi="Cambria"/>
        </w:rPr>
      </w:pPr>
    </w:p>
    <w:p w14:paraId="1A7548ED" w14:textId="07456664" w:rsidR="00902C39" w:rsidRPr="00946249" w:rsidRDefault="00902C39" w:rsidP="00820485">
      <w:pPr>
        <w:jc w:val="both"/>
        <w:rPr>
          <w:rFonts w:ascii="Cambria" w:hAnsi="Cambria"/>
        </w:rPr>
      </w:pPr>
      <w:r w:rsidRPr="00946249">
        <w:rPr>
          <w:rFonts w:ascii="Cambria" w:hAnsi="Cambria"/>
        </w:rPr>
        <w:t xml:space="preserve">Si la captura total de cualquiera de los dos stocks de pez vela del Atlántico supera en cualquier año el nivel correspondiente al 67 % de la estimación media del rendimiento máximo sostenible (RMS) (a saber, 1.271 t para el stock del este y 1.030 t para el stock del oeste), la Comisión revisará la implementación y eficacia de esta Recomendación. Las capturas totales se muestran más abajo: </w:t>
      </w:r>
    </w:p>
    <w:p w14:paraId="19B51576" w14:textId="77777777" w:rsidR="00CD39ED" w:rsidRPr="00946249" w:rsidRDefault="00CD39ED" w:rsidP="00820485">
      <w:pPr>
        <w:jc w:val="both"/>
        <w:rPr>
          <w:rFonts w:ascii="Cambria" w:hAnsi="Cambria"/>
        </w:rPr>
      </w:pPr>
    </w:p>
    <w:p w14:paraId="675580D1" w14:textId="4136D522" w:rsidR="000220BD" w:rsidRPr="00946249" w:rsidRDefault="000220BD" w:rsidP="00820485">
      <w:pPr>
        <w:jc w:val="both"/>
        <w:rPr>
          <w:rFonts w:ascii="Cambria" w:hAnsi="Cambria"/>
        </w:rPr>
      </w:pPr>
      <w:r w:rsidRPr="00946249">
        <w:rPr>
          <w:rFonts w:ascii="Cambria" w:hAnsi="Cambria"/>
        </w:rPr>
        <w:t xml:space="preserve">Datos de Tarea 1 (incluidas las estimaciones del SCRS): </w:t>
      </w:r>
    </w:p>
    <w:p w14:paraId="6F9B4819" w14:textId="3329E39D" w:rsidR="00CD39ED" w:rsidRPr="00946249" w:rsidRDefault="00CD39ED" w:rsidP="00820485">
      <w:pPr>
        <w:jc w:val="both"/>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1"/>
        <w:gridCol w:w="963"/>
        <w:gridCol w:w="963"/>
        <w:gridCol w:w="963"/>
        <w:gridCol w:w="963"/>
        <w:gridCol w:w="963"/>
        <w:gridCol w:w="963"/>
        <w:gridCol w:w="963"/>
        <w:gridCol w:w="963"/>
      </w:tblGrid>
      <w:tr w:rsidR="008124D0" w:rsidRPr="00946249" w14:paraId="6869149E" w14:textId="1F2B4DB4" w:rsidTr="00AA5ADC">
        <w:tc>
          <w:tcPr>
            <w:tcW w:w="751" w:type="pct"/>
            <w:shd w:val="clear" w:color="auto" w:fill="FFFFFF"/>
            <w:vAlign w:val="center"/>
            <w:hideMark/>
          </w:tcPr>
          <w:p w14:paraId="527E854A"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Pez vela</w:t>
            </w:r>
          </w:p>
        </w:tc>
        <w:tc>
          <w:tcPr>
            <w:tcW w:w="531" w:type="pct"/>
            <w:shd w:val="clear" w:color="auto" w:fill="FFFFFF"/>
            <w:vAlign w:val="center"/>
            <w:hideMark/>
          </w:tcPr>
          <w:p w14:paraId="5ACC41DF"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2017</w:t>
            </w:r>
          </w:p>
        </w:tc>
        <w:tc>
          <w:tcPr>
            <w:tcW w:w="531" w:type="pct"/>
            <w:shd w:val="clear" w:color="auto" w:fill="FFFFFF"/>
            <w:vAlign w:val="center"/>
            <w:hideMark/>
          </w:tcPr>
          <w:p w14:paraId="6907E79E"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2018</w:t>
            </w:r>
          </w:p>
        </w:tc>
        <w:tc>
          <w:tcPr>
            <w:tcW w:w="531" w:type="pct"/>
            <w:shd w:val="clear" w:color="auto" w:fill="FFFFFF"/>
            <w:vAlign w:val="center"/>
            <w:hideMark/>
          </w:tcPr>
          <w:p w14:paraId="6F4D8FE8"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2019</w:t>
            </w:r>
          </w:p>
        </w:tc>
        <w:tc>
          <w:tcPr>
            <w:tcW w:w="531" w:type="pct"/>
            <w:shd w:val="clear" w:color="auto" w:fill="FFFFFF"/>
            <w:vAlign w:val="center"/>
            <w:hideMark/>
          </w:tcPr>
          <w:p w14:paraId="0D96AC9F"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2020</w:t>
            </w:r>
          </w:p>
        </w:tc>
        <w:tc>
          <w:tcPr>
            <w:tcW w:w="531" w:type="pct"/>
            <w:shd w:val="clear" w:color="auto" w:fill="FFFFFF"/>
          </w:tcPr>
          <w:p w14:paraId="4C7CF085" w14:textId="764DBF86" w:rsidR="00F801C1" w:rsidRPr="00946249" w:rsidRDefault="00F801C1" w:rsidP="00820485">
            <w:pPr>
              <w:widowControl/>
              <w:autoSpaceDE/>
              <w:autoSpaceDN/>
              <w:adjustRightInd/>
              <w:jc w:val="center"/>
              <w:rPr>
                <w:rFonts w:ascii="Cambria" w:hAnsi="Cambria"/>
                <w:i/>
                <w:iCs/>
              </w:rPr>
            </w:pPr>
            <w:r w:rsidRPr="00946249">
              <w:rPr>
                <w:rFonts w:ascii="Cambria" w:hAnsi="Cambria"/>
                <w:i/>
              </w:rPr>
              <w:t>2021</w:t>
            </w:r>
          </w:p>
        </w:tc>
        <w:tc>
          <w:tcPr>
            <w:tcW w:w="531" w:type="pct"/>
            <w:shd w:val="clear" w:color="auto" w:fill="FFFFFF"/>
          </w:tcPr>
          <w:p w14:paraId="53B70A9A" w14:textId="179D7F49" w:rsidR="00F801C1" w:rsidRPr="00946249" w:rsidRDefault="00F801C1" w:rsidP="00820485">
            <w:pPr>
              <w:widowControl/>
              <w:autoSpaceDE/>
              <w:autoSpaceDN/>
              <w:adjustRightInd/>
              <w:jc w:val="center"/>
              <w:rPr>
                <w:rFonts w:ascii="Cambria" w:hAnsi="Cambria"/>
                <w:i/>
                <w:iCs/>
              </w:rPr>
            </w:pPr>
            <w:r w:rsidRPr="00946249">
              <w:rPr>
                <w:rFonts w:ascii="Cambria" w:hAnsi="Cambria"/>
                <w:i/>
              </w:rPr>
              <w:t>2022</w:t>
            </w:r>
          </w:p>
        </w:tc>
        <w:tc>
          <w:tcPr>
            <w:tcW w:w="531" w:type="pct"/>
            <w:shd w:val="clear" w:color="auto" w:fill="FFFFFF"/>
          </w:tcPr>
          <w:p w14:paraId="3E4C5A73" w14:textId="6FF8BBAC" w:rsidR="00F801C1" w:rsidRPr="00946249" w:rsidRDefault="00F801C1" w:rsidP="00820485">
            <w:pPr>
              <w:widowControl/>
              <w:autoSpaceDE/>
              <w:autoSpaceDN/>
              <w:adjustRightInd/>
              <w:jc w:val="center"/>
              <w:rPr>
                <w:rFonts w:ascii="Cambria" w:hAnsi="Cambria"/>
                <w:i/>
                <w:iCs/>
              </w:rPr>
            </w:pPr>
            <w:r w:rsidRPr="00946249">
              <w:rPr>
                <w:rFonts w:ascii="Cambria" w:hAnsi="Cambria"/>
                <w:i/>
              </w:rPr>
              <w:t>2023</w:t>
            </w:r>
          </w:p>
        </w:tc>
        <w:tc>
          <w:tcPr>
            <w:tcW w:w="531" w:type="pct"/>
            <w:shd w:val="clear" w:color="auto" w:fill="FFFFFF"/>
          </w:tcPr>
          <w:p w14:paraId="5B50B154" w14:textId="7B47FB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2024</w:t>
            </w:r>
          </w:p>
        </w:tc>
      </w:tr>
      <w:tr w:rsidR="008124D0" w:rsidRPr="00946249" w14:paraId="0637ECE9" w14:textId="41AFD389" w:rsidTr="00AA5ADC">
        <w:tc>
          <w:tcPr>
            <w:tcW w:w="751" w:type="pct"/>
            <w:shd w:val="clear" w:color="auto" w:fill="FFFFFF"/>
            <w:vAlign w:val="center"/>
            <w:hideMark/>
          </w:tcPr>
          <w:p w14:paraId="2248EED5" w14:textId="77777777" w:rsidR="00227D7B" w:rsidRPr="00946249" w:rsidRDefault="00227D7B" w:rsidP="00227D7B">
            <w:pPr>
              <w:widowControl/>
              <w:autoSpaceDE/>
              <w:autoSpaceDN/>
              <w:adjustRightInd/>
              <w:jc w:val="center"/>
              <w:rPr>
                <w:rFonts w:ascii="Cambria" w:hAnsi="Cambria"/>
                <w:color w:val="000000"/>
              </w:rPr>
            </w:pPr>
            <w:r w:rsidRPr="00946249">
              <w:rPr>
                <w:rFonts w:ascii="Cambria" w:hAnsi="Cambria"/>
                <w:color w:val="000000"/>
              </w:rPr>
              <w:t>ATE</w:t>
            </w:r>
          </w:p>
        </w:tc>
        <w:tc>
          <w:tcPr>
            <w:tcW w:w="531" w:type="pct"/>
            <w:shd w:val="clear" w:color="auto" w:fill="FFFFFF"/>
            <w:hideMark/>
          </w:tcPr>
          <w:p w14:paraId="62FF1767" w14:textId="3704CBA2" w:rsidR="00227D7B" w:rsidRPr="00946249" w:rsidRDefault="00227D7B" w:rsidP="00227D7B">
            <w:pPr>
              <w:widowControl/>
              <w:autoSpaceDE/>
              <w:autoSpaceDN/>
              <w:adjustRightInd/>
              <w:jc w:val="center"/>
              <w:rPr>
                <w:rFonts w:ascii="Cambria" w:hAnsi="Cambria"/>
              </w:rPr>
            </w:pPr>
            <w:r w:rsidRPr="00946249">
              <w:rPr>
                <w:rFonts w:ascii="Cambria" w:hAnsi="Cambria"/>
              </w:rPr>
              <w:t>1650</w:t>
            </w:r>
          </w:p>
        </w:tc>
        <w:tc>
          <w:tcPr>
            <w:tcW w:w="531" w:type="pct"/>
            <w:shd w:val="clear" w:color="auto" w:fill="FFFFFF"/>
            <w:hideMark/>
          </w:tcPr>
          <w:p w14:paraId="6F31A2D5" w14:textId="4E04C6D1" w:rsidR="00227D7B" w:rsidRPr="00946249" w:rsidRDefault="00227D7B" w:rsidP="00227D7B">
            <w:pPr>
              <w:widowControl/>
              <w:autoSpaceDE/>
              <w:autoSpaceDN/>
              <w:adjustRightInd/>
              <w:jc w:val="center"/>
              <w:rPr>
                <w:rFonts w:ascii="Cambria" w:hAnsi="Cambria"/>
              </w:rPr>
            </w:pPr>
            <w:r w:rsidRPr="00946249">
              <w:rPr>
                <w:rFonts w:ascii="Cambria" w:hAnsi="Cambria"/>
              </w:rPr>
              <w:t>962</w:t>
            </w:r>
          </w:p>
        </w:tc>
        <w:tc>
          <w:tcPr>
            <w:tcW w:w="531" w:type="pct"/>
            <w:shd w:val="clear" w:color="auto" w:fill="FFFFFF"/>
            <w:hideMark/>
          </w:tcPr>
          <w:p w14:paraId="5E40AC1B" w14:textId="284C1CEA" w:rsidR="00227D7B" w:rsidRPr="00946249" w:rsidRDefault="00227D7B" w:rsidP="00227D7B">
            <w:pPr>
              <w:widowControl/>
              <w:autoSpaceDE/>
              <w:autoSpaceDN/>
              <w:adjustRightInd/>
              <w:jc w:val="center"/>
              <w:rPr>
                <w:rFonts w:ascii="Cambria" w:hAnsi="Cambria"/>
              </w:rPr>
            </w:pPr>
            <w:r w:rsidRPr="00946249">
              <w:rPr>
                <w:rFonts w:ascii="Cambria" w:hAnsi="Cambria"/>
              </w:rPr>
              <w:t>2270</w:t>
            </w:r>
          </w:p>
        </w:tc>
        <w:tc>
          <w:tcPr>
            <w:tcW w:w="531" w:type="pct"/>
            <w:shd w:val="clear" w:color="auto" w:fill="FFFFFF"/>
            <w:hideMark/>
          </w:tcPr>
          <w:p w14:paraId="721762D8" w14:textId="0AFE0072" w:rsidR="00227D7B" w:rsidRPr="00946249" w:rsidRDefault="00227D7B" w:rsidP="00227D7B">
            <w:pPr>
              <w:widowControl/>
              <w:autoSpaceDE/>
              <w:autoSpaceDN/>
              <w:adjustRightInd/>
              <w:jc w:val="center"/>
              <w:rPr>
                <w:rFonts w:ascii="Cambria" w:hAnsi="Cambria"/>
              </w:rPr>
            </w:pPr>
            <w:r w:rsidRPr="00946249">
              <w:rPr>
                <w:rFonts w:ascii="Cambria" w:hAnsi="Cambria"/>
              </w:rPr>
              <w:t>1218</w:t>
            </w:r>
          </w:p>
        </w:tc>
        <w:tc>
          <w:tcPr>
            <w:tcW w:w="531" w:type="pct"/>
            <w:shd w:val="clear" w:color="auto" w:fill="FFFFFF"/>
          </w:tcPr>
          <w:p w14:paraId="2D16BDAC" w14:textId="4D63DB2C" w:rsidR="00227D7B" w:rsidRPr="00946249" w:rsidRDefault="00227D7B" w:rsidP="00227D7B">
            <w:pPr>
              <w:widowControl/>
              <w:autoSpaceDE/>
              <w:autoSpaceDN/>
              <w:adjustRightInd/>
              <w:jc w:val="center"/>
              <w:rPr>
                <w:rFonts w:ascii="Cambria" w:hAnsi="Cambria"/>
              </w:rPr>
            </w:pPr>
            <w:r w:rsidRPr="00946249">
              <w:rPr>
                <w:rFonts w:ascii="Cambria" w:hAnsi="Cambria"/>
              </w:rPr>
              <w:t>1733</w:t>
            </w:r>
          </w:p>
        </w:tc>
        <w:tc>
          <w:tcPr>
            <w:tcW w:w="531" w:type="pct"/>
            <w:shd w:val="clear" w:color="auto" w:fill="FFFFFF"/>
          </w:tcPr>
          <w:p w14:paraId="212E104B" w14:textId="0ADC04F3" w:rsidR="00227D7B" w:rsidRPr="00946249" w:rsidRDefault="00227D7B" w:rsidP="00227D7B">
            <w:pPr>
              <w:widowControl/>
              <w:autoSpaceDE/>
              <w:autoSpaceDN/>
              <w:adjustRightInd/>
              <w:jc w:val="center"/>
              <w:rPr>
                <w:rFonts w:ascii="Cambria" w:hAnsi="Cambria"/>
                <w:color w:val="FF0000"/>
              </w:rPr>
            </w:pPr>
            <w:r w:rsidRPr="00946249">
              <w:rPr>
                <w:rFonts w:ascii="Cambria" w:hAnsi="Cambria"/>
              </w:rPr>
              <w:t>1183</w:t>
            </w:r>
          </w:p>
        </w:tc>
        <w:tc>
          <w:tcPr>
            <w:tcW w:w="531" w:type="pct"/>
            <w:shd w:val="clear" w:color="auto" w:fill="FFFFFF"/>
          </w:tcPr>
          <w:p w14:paraId="5B1EC3DC" w14:textId="35B68936" w:rsidR="00227D7B" w:rsidRPr="00946249" w:rsidRDefault="00227D7B" w:rsidP="00227D7B">
            <w:pPr>
              <w:widowControl/>
              <w:autoSpaceDE/>
              <w:autoSpaceDN/>
              <w:adjustRightInd/>
              <w:jc w:val="center"/>
              <w:rPr>
                <w:rFonts w:ascii="Cambria" w:hAnsi="Cambria"/>
              </w:rPr>
            </w:pPr>
            <w:r w:rsidRPr="00946249">
              <w:rPr>
                <w:rFonts w:ascii="Cambria" w:hAnsi="Cambria"/>
              </w:rPr>
              <w:t>1084</w:t>
            </w:r>
          </w:p>
        </w:tc>
        <w:tc>
          <w:tcPr>
            <w:tcW w:w="531" w:type="pct"/>
            <w:shd w:val="clear" w:color="auto" w:fill="FFFFFF"/>
          </w:tcPr>
          <w:p w14:paraId="1152F774" w14:textId="62265971" w:rsidR="00227D7B" w:rsidRPr="00946249" w:rsidRDefault="00227D7B" w:rsidP="00227D7B">
            <w:pPr>
              <w:widowControl/>
              <w:autoSpaceDE/>
              <w:autoSpaceDN/>
              <w:adjustRightInd/>
              <w:jc w:val="center"/>
              <w:rPr>
                <w:rFonts w:ascii="Cambria" w:hAnsi="Cambria"/>
              </w:rPr>
            </w:pPr>
            <w:r w:rsidRPr="00946249">
              <w:rPr>
                <w:rFonts w:ascii="Cambria" w:hAnsi="Cambria"/>
              </w:rPr>
              <w:t>1254</w:t>
            </w:r>
          </w:p>
        </w:tc>
      </w:tr>
      <w:tr w:rsidR="008124D0" w:rsidRPr="00946249" w14:paraId="17C4BE9C" w14:textId="36EBD7F6" w:rsidTr="00AA5ADC">
        <w:tc>
          <w:tcPr>
            <w:tcW w:w="751" w:type="pct"/>
            <w:shd w:val="clear" w:color="auto" w:fill="FFFFFF"/>
            <w:vAlign w:val="center"/>
            <w:hideMark/>
          </w:tcPr>
          <w:p w14:paraId="2A88649D" w14:textId="77777777" w:rsidR="00227D7B" w:rsidRPr="00946249" w:rsidRDefault="00227D7B" w:rsidP="00227D7B">
            <w:pPr>
              <w:widowControl/>
              <w:autoSpaceDE/>
              <w:autoSpaceDN/>
              <w:adjustRightInd/>
              <w:jc w:val="center"/>
              <w:rPr>
                <w:rFonts w:ascii="Cambria" w:hAnsi="Cambria"/>
                <w:color w:val="000000"/>
              </w:rPr>
            </w:pPr>
            <w:r w:rsidRPr="00946249">
              <w:rPr>
                <w:rFonts w:ascii="Cambria" w:hAnsi="Cambria"/>
                <w:color w:val="000000"/>
              </w:rPr>
              <w:t>ATW</w:t>
            </w:r>
          </w:p>
        </w:tc>
        <w:tc>
          <w:tcPr>
            <w:tcW w:w="531" w:type="pct"/>
            <w:shd w:val="clear" w:color="auto" w:fill="FFFFFF"/>
            <w:hideMark/>
          </w:tcPr>
          <w:p w14:paraId="4D8896D4" w14:textId="36BAB987" w:rsidR="00227D7B" w:rsidRPr="00946249" w:rsidRDefault="00227D7B" w:rsidP="00227D7B">
            <w:pPr>
              <w:widowControl/>
              <w:autoSpaceDE/>
              <w:autoSpaceDN/>
              <w:adjustRightInd/>
              <w:jc w:val="center"/>
              <w:rPr>
                <w:rFonts w:ascii="Cambria" w:hAnsi="Cambria"/>
              </w:rPr>
            </w:pPr>
            <w:r w:rsidRPr="00946249">
              <w:rPr>
                <w:rFonts w:ascii="Cambria" w:hAnsi="Cambria"/>
              </w:rPr>
              <w:t>1967</w:t>
            </w:r>
          </w:p>
        </w:tc>
        <w:tc>
          <w:tcPr>
            <w:tcW w:w="531" w:type="pct"/>
            <w:shd w:val="clear" w:color="auto" w:fill="FFFFFF"/>
            <w:hideMark/>
          </w:tcPr>
          <w:p w14:paraId="0C0F1AE9" w14:textId="346C52E0" w:rsidR="00227D7B" w:rsidRPr="00946249" w:rsidRDefault="00227D7B" w:rsidP="00227D7B">
            <w:pPr>
              <w:widowControl/>
              <w:autoSpaceDE/>
              <w:autoSpaceDN/>
              <w:adjustRightInd/>
              <w:jc w:val="center"/>
              <w:rPr>
                <w:rFonts w:ascii="Cambria" w:hAnsi="Cambria"/>
              </w:rPr>
            </w:pPr>
            <w:r w:rsidRPr="00946249">
              <w:rPr>
                <w:rFonts w:ascii="Cambria" w:hAnsi="Cambria"/>
              </w:rPr>
              <w:t>1955</w:t>
            </w:r>
          </w:p>
        </w:tc>
        <w:tc>
          <w:tcPr>
            <w:tcW w:w="531" w:type="pct"/>
            <w:shd w:val="clear" w:color="auto" w:fill="FFFFFF"/>
            <w:hideMark/>
          </w:tcPr>
          <w:p w14:paraId="3A881298" w14:textId="3AB42541" w:rsidR="00227D7B" w:rsidRPr="00946249" w:rsidRDefault="00227D7B" w:rsidP="00227D7B">
            <w:pPr>
              <w:widowControl/>
              <w:autoSpaceDE/>
              <w:autoSpaceDN/>
              <w:adjustRightInd/>
              <w:jc w:val="center"/>
              <w:rPr>
                <w:rFonts w:ascii="Cambria" w:hAnsi="Cambria"/>
              </w:rPr>
            </w:pPr>
            <w:r w:rsidRPr="00946249">
              <w:rPr>
                <w:rFonts w:ascii="Cambria" w:hAnsi="Cambria"/>
              </w:rPr>
              <w:t>1624</w:t>
            </w:r>
          </w:p>
        </w:tc>
        <w:tc>
          <w:tcPr>
            <w:tcW w:w="531" w:type="pct"/>
            <w:shd w:val="clear" w:color="auto" w:fill="FFFFFF"/>
            <w:hideMark/>
          </w:tcPr>
          <w:p w14:paraId="113E22AB" w14:textId="2C060C33" w:rsidR="00227D7B" w:rsidRPr="00946249" w:rsidRDefault="00227D7B" w:rsidP="00227D7B">
            <w:pPr>
              <w:widowControl/>
              <w:autoSpaceDE/>
              <w:autoSpaceDN/>
              <w:adjustRightInd/>
              <w:jc w:val="center"/>
              <w:rPr>
                <w:rFonts w:ascii="Cambria" w:hAnsi="Cambria"/>
              </w:rPr>
            </w:pPr>
            <w:r w:rsidRPr="00946249">
              <w:rPr>
                <w:rFonts w:ascii="Cambria" w:hAnsi="Cambria"/>
              </w:rPr>
              <w:t>1391</w:t>
            </w:r>
          </w:p>
        </w:tc>
        <w:tc>
          <w:tcPr>
            <w:tcW w:w="531" w:type="pct"/>
            <w:shd w:val="clear" w:color="auto" w:fill="FFFFFF"/>
          </w:tcPr>
          <w:p w14:paraId="663C52B8" w14:textId="7F0ED558" w:rsidR="00227D7B" w:rsidRPr="00946249" w:rsidRDefault="00227D7B" w:rsidP="00227D7B">
            <w:pPr>
              <w:widowControl/>
              <w:autoSpaceDE/>
              <w:autoSpaceDN/>
              <w:adjustRightInd/>
              <w:jc w:val="center"/>
              <w:rPr>
                <w:rFonts w:ascii="Cambria" w:hAnsi="Cambria"/>
              </w:rPr>
            </w:pPr>
            <w:r w:rsidRPr="00946249">
              <w:rPr>
                <w:rFonts w:ascii="Cambria" w:hAnsi="Cambria"/>
              </w:rPr>
              <w:t>934</w:t>
            </w:r>
          </w:p>
        </w:tc>
        <w:tc>
          <w:tcPr>
            <w:tcW w:w="531" w:type="pct"/>
            <w:shd w:val="clear" w:color="auto" w:fill="FFFFFF"/>
          </w:tcPr>
          <w:p w14:paraId="047D10F2" w14:textId="771B827B" w:rsidR="00227D7B" w:rsidRPr="00946249" w:rsidRDefault="00227D7B" w:rsidP="00227D7B">
            <w:pPr>
              <w:widowControl/>
              <w:autoSpaceDE/>
              <w:autoSpaceDN/>
              <w:adjustRightInd/>
              <w:jc w:val="center"/>
              <w:rPr>
                <w:rFonts w:ascii="Cambria" w:hAnsi="Cambria"/>
              </w:rPr>
            </w:pPr>
            <w:r w:rsidRPr="00946249">
              <w:rPr>
                <w:rFonts w:ascii="Cambria" w:hAnsi="Cambria"/>
              </w:rPr>
              <w:t>1095</w:t>
            </w:r>
          </w:p>
        </w:tc>
        <w:tc>
          <w:tcPr>
            <w:tcW w:w="531" w:type="pct"/>
            <w:shd w:val="clear" w:color="auto" w:fill="FFFFFF"/>
          </w:tcPr>
          <w:p w14:paraId="0ABB9B6C" w14:textId="7569B013" w:rsidR="00227D7B" w:rsidRPr="00946249" w:rsidRDefault="00227D7B" w:rsidP="00227D7B">
            <w:pPr>
              <w:widowControl/>
              <w:autoSpaceDE/>
              <w:autoSpaceDN/>
              <w:adjustRightInd/>
              <w:jc w:val="center"/>
              <w:rPr>
                <w:rFonts w:ascii="Cambria" w:hAnsi="Cambria"/>
              </w:rPr>
            </w:pPr>
            <w:r w:rsidRPr="00946249">
              <w:rPr>
                <w:rFonts w:ascii="Cambria" w:hAnsi="Cambria"/>
              </w:rPr>
              <w:t>1267</w:t>
            </w:r>
          </w:p>
        </w:tc>
        <w:tc>
          <w:tcPr>
            <w:tcW w:w="531" w:type="pct"/>
            <w:shd w:val="clear" w:color="auto" w:fill="FFFFFF"/>
          </w:tcPr>
          <w:p w14:paraId="10C8C266" w14:textId="664375A8" w:rsidR="00227D7B" w:rsidRPr="00946249" w:rsidRDefault="00227D7B" w:rsidP="00227D7B">
            <w:pPr>
              <w:widowControl/>
              <w:autoSpaceDE/>
              <w:autoSpaceDN/>
              <w:adjustRightInd/>
              <w:jc w:val="center"/>
              <w:rPr>
                <w:rFonts w:ascii="Cambria" w:hAnsi="Cambria"/>
              </w:rPr>
            </w:pPr>
            <w:r w:rsidRPr="00946249">
              <w:rPr>
                <w:rFonts w:ascii="Cambria" w:hAnsi="Cambria"/>
              </w:rPr>
              <w:t>1287</w:t>
            </w:r>
          </w:p>
        </w:tc>
      </w:tr>
    </w:tbl>
    <w:p w14:paraId="690DD3AD" w14:textId="77777777" w:rsidR="00CD39ED" w:rsidRPr="00946249" w:rsidRDefault="00CD39ED" w:rsidP="006D1DE6">
      <w:pPr>
        <w:jc w:val="both"/>
        <w:rPr>
          <w:rFonts w:ascii="Cambria" w:hAnsi="Cambria"/>
          <w:lang w:val="en-IE"/>
        </w:rPr>
      </w:pPr>
    </w:p>
    <w:p w14:paraId="7DF53343" w14:textId="53029986" w:rsidR="00AB289F" w:rsidRPr="00946249" w:rsidRDefault="00AB289F" w:rsidP="00820485">
      <w:pPr>
        <w:rPr>
          <w:rFonts w:ascii="Cambria" w:hAnsi="Cambria"/>
        </w:rPr>
      </w:pPr>
      <w:r w:rsidRPr="00946249">
        <w:rPr>
          <w:rFonts w:ascii="Cambria" w:hAnsi="Cambria"/>
        </w:rPr>
        <w:t>Datos de Tarea 1 (solo datos comunicados):</w:t>
      </w:r>
    </w:p>
    <w:p w14:paraId="04221596" w14:textId="6864CC0E" w:rsidR="00AB289F" w:rsidRPr="00946249" w:rsidRDefault="00AB289F" w:rsidP="006D1DE6">
      <w:pPr>
        <w:widowControl/>
        <w:autoSpaceDE/>
        <w:autoSpaceDN/>
        <w:adjustRightInd/>
        <w:jc w:val="center"/>
        <w:rPr>
          <w:rFonts w:ascii="Cambria" w:hAnsi="Cambria"/>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1"/>
        <w:gridCol w:w="963"/>
        <w:gridCol w:w="963"/>
        <w:gridCol w:w="963"/>
        <w:gridCol w:w="963"/>
        <w:gridCol w:w="963"/>
        <w:gridCol w:w="963"/>
        <w:gridCol w:w="963"/>
        <w:gridCol w:w="963"/>
      </w:tblGrid>
      <w:tr w:rsidR="00F801C1" w:rsidRPr="00946249" w14:paraId="61497943" w14:textId="79038ABD" w:rsidTr="00AA5ADC">
        <w:tc>
          <w:tcPr>
            <w:tcW w:w="751" w:type="pct"/>
            <w:shd w:val="clear" w:color="auto" w:fill="FFFFFF"/>
            <w:vAlign w:val="center"/>
            <w:hideMark/>
          </w:tcPr>
          <w:p w14:paraId="4038F0CE" w14:textId="2D219087" w:rsidR="00F801C1" w:rsidRPr="00946249" w:rsidRDefault="00F801C1" w:rsidP="00820485">
            <w:pPr>
              <w:widowControl/>
              <w:autoSpaceDE/>
              <w:autoSpaceDN/>
              <w:adjustRightInd/>
              <w:jc w:val="center"/>
              <w:rPr>
                <w:rFonts w:ascii="Cambria" w:hAnsi="Cambria"/>
                <w:i/>
                <w:iCs/>
              </w:rPr>
            </w:pPr>
            <w:r w:rsidRPr="00946249">
              <w:rPr>
                <w:rFonts w:ascii="Cambria" w:hAnsi="Cambria"/>
                <w:i/>
              </w:rPr>
              <w:t>Pez vela</w:t>
            </w:r>
          </w:p>
        </w:tc>
        <w:tc>
          <w:tcPr>
            <w:tcW w:w="531" w:type="pct"/>
            <w:shd w:val="clear" w:color="auto" w:fill="FFFFFF"/>
            <w:vAlign w:val="center"/>
            <w:hideMark/>
          </w:tcPr>
          <w:p w14:paraId="637ADFD5"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2017</w:t>
            </w:r>
          </w:p>
        </w:tc>
        <w:tc>
          <w:tcPr>
            <w:tcW w:w="531" w:type="pct"/>
            <w:shd w:val="clear" w:color="auto" w:fill="FFFFFF"/>
            <w:vAlign w:val="center"/>
            <w:hideMark/>
          </w:tcPr>
          <w:p w14:paraId="7BE9D5C7"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2018</w:t>
            </w:r>
          </w:p>
        </w:tc>
        <w:tc>
          <w:tcPr>
            <w:tcW w:w="531" w:type="pct"/>
            <w:shd w:val="clear" w:color="auto" w:fill="FFFFFF"/>
            <w:vAlign w:val="center"/>
            <w:hideMark/>
          </w:tcPr>
          <w:p w14:paraId="54BB269B"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2019</w:t>
            </w:r>
          </w:p>
        </w:tc>
        <w:tc>
          <w:tcPr>
            <w:tcW w:w="531" w:type="pct"/>
            <w:shd w:val="clear" w:color="auto" w:fill="FFFFFF"/>
            <w:vAlign w:val="center"/>
            <w:hideMark/>
          </w:tcPr>
          <w:p w14:paraId="2AC4F721" w14:textId="77777777" w:rsidR="00F801C1" w:rsidRPr="00946249" w:rsidRDefault="00F801C1" w:rsidP="00820485">
            <w:pPr>
              <w:widowControl/>
              <w:autoSpaceDE/>
              <w:autoSpaceDN/>
              <w:adjustRightInd/>
              <w:jc w:val="center"/>
              <w:rPr>
                <w:rFonts w:ascii="Cambria" w:hAnsi="Cambria"/>
                <w:i/>
                <w:iCs/>
              </w:rPr>
            </w:pPr>
            <w:r w:rsidRPr="00946249">
              <w:rPr>
                <w:rFonts w:ascii="Cambria" w:hAnsi="Cambria"/>
                <w:i/>
              </w:rPr>
              <w:t>2020</w:t>
            </w:r>
          </w:p>
        </w:tc>
        <w:tc>
          <w:tcPr>
            <w:tcW w:w="531" w:type="pct"/>
            <w:shd w:val="clear" w:color="auto" w:fill="FFFFFF"/>
          </w:tcPr>
          <w:p w14:paraId="703B4824" w14:textId="2483666E" w:rsidR="00F801C1" w:rsidRPr="00946249" w:rsidRDefault="00F801C1" w:rsidP="00820485">
            <w:pPr>
              <w:widowControl/>
              <w:autoSpaceDE/>
              <w:autoSpaceDN/>
              <w:adjustRightInd/>
              <w:jc w:val="center"/>
              <w:rPr>
                <w:rFonts w:ascii="Cambria" w:hAnsi="Cambria"/>
                <w:i/>
                <w:iCs/>
              </w:rPr>
            </w:pPr>
            <w:r w:rsidRPr="00946249">
              <w:rPr>
                <w:rFonts w:ascii="Cambria" w:hAnsi="Cambria"/>
                <w:i/>
              </w:rPr>
              <w:t>2021</w:t>
            </w:r>
          </w:p>
        </w:tc>
        <w:tc>
          <w:tcPr>
            <w:tcW w:w="531" w:type="pct"/>
            <w:shd w:val="clear" w:color="auto" w:fill="FFFFFF"/>
          </w:tcPr>
          <w:p w14:paraId="2D7980C4" w14:textId="461F9FF1" w:rsidR="00F801C1" w:rsidRPr="00946249" w:rsidRDefault="00F801C1" w:rsidP="00820485">
            <w:pPr>
              <w:widowControl/>
              <w:autoSpaceDE/>
              <w:autoSpaceDN/>
              <w:adjustRightInd/>
              <w:jc w:val="center"/>
              <w:rPr>
                <w:rFonts w:ascii="Cambria" w:hAnsi="Cambria"/>
                <w:i/>
                <w:iCs/>
              </w:rPr>
            </w:pPr>
            <w:r w:rsidRPr="00946249">
              <w:rPr>
                <w:rFonts w:ascii="Cambria" w:hAnsi="Cambria"/>
                <w:i/>
              </w:rPr>
              <w:t>2022</w:t>
            </w:r>
          </w:p>
        </w:tc>
        <w:tc>
          <w:tcPr>
            <w:tcW w:w="531" w:type="pct"/>
            <w:shd w:val="clear" w:color="auto" w:fill="FFFFFF"/>
          </w:tcPr>
          <w:p w14:paraId="2E58081B" w14:textId="1A15FEEA" w:rsidR="00F801C1" w:rsidRPr="00946249" w:rsidRDefault="00F801C1" w:rsidP="00820485">
            <w:pPr>
              <w:widowControl/>
              <w:autoSpaceDE/>
              <w:autoSpaceDN/>
              <w:adjustRightInd/>
              <w:jc w:val="center"/>
              <w:rPr>
                <w:rFonts w:ascii="Cambria" w:hAnsi="Cambria"/>
                <w:i/>
                <w:iCs/>
              </w:rPr>
            </w:pPr>
            <w:r w:rsidRPr="00946249">
              <w:rPr>
                <w:rFonts w:ascii="Cambria" w:hAnsi="Cambria"/>
                <w:i/>
              </w:rPr>
              <w:t>2023</w:t>
            </w:r>
          </w:p>
        </w:tc>
        <w:tc>
          <w:tcPr>
            <w:tcW w:w="531" w:type="pct"/>
            <w:shd w:val="clear" w:color="auto" w:fill="FFFFFF"/>
          </w:tcPr>
          <w:p w14:paraId="17EE6AD3" w14:textId="0D7E32B7" w:rsidR="00F801C1" w:rsidRPr="00946249" w:rsidRDefault="00F801C1" w:rsidP="00820485">
            <w:pPr>
              <w:widowControl/>
              <w:autoSpaceDE/>
              <w:autoSpaceDN/>
              <w:adjustRightInd/>
              <w:jc w:val="center"/>
              <w:rPr>
                <w:rFonts w:ascii="Cambria" w:hAnsi="Cambria"/>
                <w:i/>
                <w:iCs/>
              </w:rPr>
            </w:pPr>
            <w:r w:rsidRPr="00946249">
              <w:rPr>
                <w:rFonts w:ascii="Cambria" w:hAnsi="Cambria"/>
                <w:i/>
              </w:rPr>
              <w:t>2024</w:t>
            </w:r>
          </w:p>
        </w:tc>
      </w:tr>
      <w:tr w:rsidR="00227D7B" w:rsidRPr="00946249" w14:paraId="517E65B7" w14:textId="3084E55D" w:rsidTr="00AA5ADC">
        <w:tc>
          <w:tcPr>
            <w:tcW w:w="751" w:type="pct"/>
            <w:shd w:val="clear" w:color="auto" w:fill="FFFFFF"/>
            <w:vAlign w:val="center"/>
            <w:hideMark/>
          </w:tcPr>
          <w:p w14:paraId="457D0F1E" w14:textId="77777777" w:rsidR="00227D7B" w:rsidRPr="00946249" w:rsidRDefault="00227D7B" w:rsidP="00227D7B">
            <w:pPr>
              <w:widowControl/>
              <w:autoSpaceDE/>
              <w:autoSpaceDN/>
              <w:adjustRightInd/>
              <w:jc w:val="center"/>
              <w:rPr>
                <w:rFonts w:ascii="Cambria" w:hAnsi="Cambria"/>
                <w:color w:val="000000"/>
              </w:rPr>
            </w:pPr>
            <w:r w:rsidRPr="00946249">
              <w:rPr>
                <w:rFonts w:ascii="Cambria" w:hAnsi="Cambria"/>
                <w:color w:val="000000"/>
              </w:rPr>
              <w:t>ATE</w:t>
            </w:r>
          </w:p>
        </w:tc>
        <w:tc>
          <w:tcPr>
            <w:tcW w:w="531" w:type="pct"/>
            <w:shd w:val="clear" w:color="auto" w:fill="FFFFFF"/>
            <w:hideMark/>
          </w:tcPr>
          <w:p w14:paraId="69B9C90A" w14:textId="3AEF7220" w:rsidR="00227D7B" w:rsidRPr="00946249" w:rsidRDefault="00227D7B" w:rsidP="00227D7B">
            <w:pPr>
              <w:widowControl/>
              <w:autoSpaceDE/>
              <w:autoSpaceDN/>
              <w:adjustRightInd/>
              <w:jc w:val="center"/>
              <w:rPr>
                <w:rFonts w:ascii="Cambria" w:hAnsi="Cambria"/>
              </w:rPr>
            </w:pPr>
            <w:r w:rsidRPr="00946249">
              <w:rPr>
                <w:rFonts w:ascii="Cambria" w:hAnsi="Cambria"/>
              </w:rPr>
              <w:t>1631</w:t>
            </w:r>
          </w:p>
        </w:tc>
        <w:tc>
          <w:tcPr>
            <w:tcW w:w="531" w:type="pct"/>
            <w:shd w:val="clear" w:color="auto" w:fill="FFFFFF"/>
            <w:hideMark/>
          </w:tcPr>
          <w:p w14:paraId="176267FE" w14:textId="0EF9F970" w:rsidR="00227D7B" w:rsidRPr="00946249" w:rsidRDefault="00227D7B" w:rsidP="00227D7B">
            <w:pPr>
              <w:widowControl/>
              <w:autoSpaceDE/>
              <w:autoSpaceDN/>
              <w:adjustRightInd/>
              <w:jc w:val="center"/>
              <w:rPr>
                <w:rFonts w:ascii="Cambria" w:hAnsi="Cambria"/>
              </w:rPr>
            </w:pPr>
            <w:r w:rsidRPr="00946249">
              <w:rPr>
                <w:rFonts w:ascii="Cambria" w:hAnsi="Cambria"/>
              </w:rPr>
              <w:t>676</w:t>
            </w:r>
          </w:p>
        </w:tc>
        <w:tc>
          <w:tcPr>
            <w:tcW w:w="531" w:type="pct"/>
            <w:shd w:val="clear" w:color="auto" w:fill="FFFFFF"/>
            <w:hideMark/>
          </w:tcPr>
          <w:p w14:paraId="353C2935" w14:textId="26E2FFED" w:rsidR="00227D7B" w:rsidRPr="00946249" w:rsidRDefault="00227D7B" w:rsidP="00227D7B">
            <w:pPr>
              <w:widowControl/>
              <w:autoSpaceDE/>
              <w:autoSpaceDN/>
              <w:adjustRightInd/>
              <w:jc w:val="center"/>
              <w:rPr>
                <w:rFonts w:ascii="Cambria" w:hAnsi="Cambria"/>
              </w:rPr>
            </w:pPr>
            <w:r w:rsidRPr="00946249">
              <w:rPr>
                <w:rFonts w:ascii="Cambria" w:hAnsi="Cambria"/>
              </w:rPr>
              <w:t>1921</w:t>
            </w:r>
          </w:p>
        </w:tc>
        <w:tc>
          <w:tcPr>
            <w:tcW w:w="531" w:type="pct"/>
            <w:shd w:val="clear" w:color="auto" w:fill="FFFFFF"/>
            <w:hideMark/>
          </w:tcPr>
          <w:p w14:paraId="600596FE" w14:textId="6D80F073" w:rsidR="00227D7B" w:rsidRPr="00946249" w:rsidRDefault="00227D7B" w:rsidP="00227D7B">
            <w:pPr>
              <w:widowControl/>
              <w:autoSpaceDE/>
              <w:autoSpaceDN/>
              <w:adjustRightInd/>
              <w:jc w:val="center"/>
              <w:rPr>
                <w:rFonts w:ascii="Cambria" w:hAnsi="Cambria"/>
              </w:rPr>
            </w:pPr>
            <w:r w:rsidRPr="00946249">
              <w:rPr>
                <w:rFonts w:ascii="Cambria" w:hAnsi="Cambria"/>
              </w:rPr>
              <w:t>1208</w:t>
            </w:r>
          </w:p>
        </w:tc>
        <w:tc>
          <w:tcPr>
            <w:tcW w:w="531" w:type="pct"/>
            <w:shd w:val="clear" w:color="auto" w:fill="FFFFFF"/>
          </w:tcPr>
          <w:p w14:paraId="43952D25" w14:textId="06956551" w:rsidR="00227D7B" w:rsidRPr="00946249" w:rsidRDefault="00227D7B" w:rsidP="00227D7B">
            <w:pPr>
              <w:widowControl/>
              <w:autoSpaceDE/>
              <w:autoSpaceDN/>
              <w:adjustRightInd/>
              <w:jc w:val="center"/>
              <w:rPr>
                <w:rFonts w:ascii="Cambria" w:hAnsi="Cambria"/>
              </w:rPr>
            </w:pPr>
            <w:r w:rsidRPr="00946249">
              <w:rPr>
                <w:rFonts w:ascii="Cambria" w:hAnsi="Cambria"/>
              </w:rPr>
              <w:t>1730</w:t>
            </w:r>
          </w:p>
        </w:tc>
        <w:tc>
          <w:tcPr>
            <w:tcW w:w="531" w:type="pct"/>
            <w:shd w:val="clear" w:color="auto" w:fill="FFFFFF"/>
          </w:tcPr>
          <w:p w14:paraId="223A1547" w14:textId="2C5C7984" w:rsidR="00227D7B" w:rsidRPr="00946249" w:rsidRDefault="00227D7B" w:rsidP="00227D7B">
            <w:pPr>
              <w:widowControl/>
              <w:autoSpaceDE/>
              <w:autoSpaceDN/>
              <w:adjustRightInd/>
              <w:jc w:val="center"/>
              <w:rPr>
                <w:rFonts w:ascii="Cambria" w:hAnsi="Cambria"/>
                <w:color w:val="FF0000"/>
              </w:rPr>
            </w:pPr>
            <w:r w:rsidRPr="00946249">
              <w:rPr>
                <w:rFonts w:ascii="Cambria" w:hAnsi="Cambria"/>
              </w:rPr>
              <w:t>1169</w:t>
            </w:r>
          </w:p>
        </w:tc>
        <w:tc>
          <w:tcPr>
            <w:tcW w:w="531" w:type="pct"/>
            <w:shd w:val="clear" w:color="auto" w:fill="FFFFFF"/>
          </w:tcPr>
          <w:p w14:paraId="48E606A7" w14:textId="72AE936B" w:rsidR="00227D7B" w:rsidRPr="00946249" w:rsidRDefault="00227D7B" w:rsidP="00227D7B">
            <w:pPr>
              <w:widowControl/>
              <w:autoSpaceDE/>
              <w:autoSpaceDN/>
              <w:adjustRightInd/>
              <w:jc w:val="center"/>
              <w:rPr>
                <w:rFonts w:ascii="Cambria" w:hAnsi="Cambria"/>
              </w:rPr>
            </w:pPr>
            <w:r w:rsidRPr="00946249">
              <w:rPr>
                <w:rFonts w:ascii="Cambria" w:hAnsi="Cambria"/>
              </w:rPr>
              <w:t>759</w:t>
            </w:r>
          </w:p>
        </w:tc>
        <w:tc>
          <w:tcPr>
            <w:tcW w:w="531" w:type="pct"/>
            <w:shd w:val="clear" w:color="auto" w:fill="FFFFFF"/>
          </w:tcPr>
          <w:p w14:paraId="755FE9EA" w14:textId="0FC29B5C" w:rsidR="00227D7B" w:rsidRPr="00946249" w:rsidRDefault="00227D7B" w:rsidP="00227D7B">
            <w:pPr>
              <w:widowControl/>
              <w:autoSpaceDE/>
              <w:autoSpaceDN/>
              <w:adjustRightInd/>
              <w:jc w:val="center"/>
              <w:rPr>
                <w:rFonts w:ascii="Cambria" w:hAnsi="Cambria"/>
              </w:rPr>
            </w:pPr>
            <w:r w:rsidRPr="00946249">
              <w:rPr>
                <w:rFonts w:ascii="Cambria" w:hAnsi="Cambria"/>
              </w:rPr>
              <w:t>1163</w:t>
            </w:r>
          </w:p>
        </w:tc>
      </w:tr>
      <w:tr w:rsidR="00227D7B" w:rsidRPr="00946249" w14:paraId="639DC47C" w14:textId="7B9D9AA2" w:rsidTr="00AA5ADC">
        <w:tc>
          <w:tcPr>
            <w:tcW w:w="751" w:type="pct"/>
            <w:shd w:val="clear" w:color="auto" w:fill="FFFFFF"/>
            <w:vAlign w:val="center"/>
            <w:hideMark/>
          </w:tcPr>
          <w:p w14:paraId="1AC77825" w14:textId="77777777" w:rsidR="00227D7B" w:rsidRPr="00946249" w:rsidRDefault="00227D7B" w:rsidP="00227D7B">
            <w:pPr>
              <w:widowControl/>
              <w:autoSpaceDE/>
              <w:autoSpaceDN/>
              <w:adjustRightInd/>
              <w:jc w:val="center"/>
              <w:rPr>
                <w:rFonts w:ascii="Cambria" w:hAnsi="Cambria"/>
                <w:color w:val="000000"/>
              </w:rPr>
            </w:pPr>
            <w:r w:rsidRPr="00946249">
              <w:rPr>
                <w:rFonts w:ascii="Cambria" w:hAnsi="Cambria"/>
                <w:color w:val="000000"/>
              </w:rPr>
              <w:t>ATW</w:t>
            </w:r>
          </w:p>
        </w:tc>
        <w:tc>
          <w:tcPr>
            <w:tcW w:w="531" w:type="pct"/>
            <w:shd w:val="clear" w:color="auto" w:fill="FFFFFF"/>
            <w:hideMark/>
          </w:tcPr>
          <w:p w14:paraId="7158E5C0" w14:textId="2E5A613D" w:rsidR="00227D7B" w:rsidRPr="00946249" w:rsidRDefault="00227D7B" w:rsidP="00227D7B">
            <w:pPr>
              <w:widowControl/>
              <w:autoSpaceDE/>
              <w:autoSpaceDN/>
              <w:adjustRightInd/>
              <w:jc w:val="center"/>
              <w:rPr>
                <w:rFonts w:ascii="Cambria" w:hAnsi="Cambria"/>
              </w:rPr>
            </w:pPr>
            <w:r w:rsidRPr="00946249">
              <w:rPr>
                <w:rFonts w:ascii="Cambria" w:hAnsi="Cambria"/>
              </w:rPr>
              <w:t>1933</w:t>
            </w:r>
          </w:p>
        </w:tc>
        <w:tc>
          <w:tcPr>
            <w:tcW w:w="531" w:type="pct"/>
            <w:shd w:val="clear" w:color="auto" w:fill="FFFFFF"/>
            <w:hideMark/>
          </w:tcPr>
          <w:p w14:paraId="7A72ED6F" w14:textId="5C513441" w:rsidR="00227D7B" w:rsidRPr="00946249" w:rsidRDefault="00227D7B" w:rsidP="00227D7B">
            <w:pPr>
              <w:widowControl/>
              <w:autoSpaceDE/>
              <w:autoSpaceDN/>
              <w:adjustRightInd/>
              <w:jc w:val="center"/>
              <w:rPr>
                <w:rFonts w:ascii="Cambria" w:hAnsi="Cambria"/>
              </w:rPr>
            </w:pPr>
            <w:r w:rsidRPr="00946249">
              <w:rPr>
                <w:rFonts w:ascii="Cambria" w:hAnsi="Cambria"/>
              </w:rPr>
              <w:t>1659</w:t>
            </w:r>
          </w:p>
        </w:tc>
        <w:tc>
          <w:tcPr>
            <w:tcW w:w="531" w:type="pct"/>
            <w:shd w:val="clear" w:color="auto" w:fill="FFFFFF"/>
            <w:hideMark/>
          </w:tcPr>
          <w:p w14:paraId="260BB0BD" w14:textId="324E8C50" w:rsidR="00227D7B" w:rsidRPr="00946249" w:rsidRDefault="00227D7B" w:rsidP="00227D7B">
            <w:pPr>
              <w:widowControl/>
              <w:autoSpaceDE/>
              <w:autoSpaceDN/>
              <w:adjustRightInd/>
              <w:jc w:val="center"/>
              <w:rPr>
                <w:rFonts w:ascii="Cambria" w:hAnsi="Cambria"/>
              </w:rPr>
            </w:pPr>
            <w:r w:rsidRPr="00946249">
              <w:rPr>
                <w:rFonts w:ascii="Cambria" w:hAnsi="Cambria"/>
              </w:rPr>
              <w:t>1395</w:t>
            </w:r>
          </w:p>
        </w:tc>
        <w:tc>
          <w:tcPr>
            <w:tcW w:w="531" w:type="pct"/>
            <w:shd w:val="clear" w:color="auto" w:fill="FFFFFF"/>
            <w:hideMark/>
          </w:tcPr>
          <w:p w14:paraId="29880E6A" w14:textId="0A69A5B8" w:rsidR="00227D7B" w:rsidRPr="00946249" w:rsidRDefault="00227D7B" w:rsidP="00227D7B">
            <w:pPr>
              <w:widowControl/>
              <w:autoSpaceDE/>
              <w:autoSpaceDN/>
              <w:adjustRightInd/>
              <w:jc w:val="center"/>
              <w:rPr>
                <w:rFonts w:ascii="Cambria" w:hAnsi="Cambria"/>
              </w:rPr>
            </w:pPr>
            <w:r w:rsidRPr="00946249">
              <w:rPr>
                <w:rFonts w:ascii="Cambria" w:hAnsi="Cambria"/>
              </w:rPr>
              <w:t>1391</w:t>
            </w:r>
          </w:p>
        </w:tc>
        <w:tc>
          <w:tcPr>
            <w:tcW w:w="531" w:type="pct"/>
            <w:shd w:val="clear" w:color="auto" w:fill="FFFFFF"/>
          </w:tcPr>
          <w:p w14:paraId="6E7A2038" w14:textId="1207305B" w:rsidR="00227D7B" w:rsidRPr="00946249" w:rsidRDefault="00227D7B" w:rsidP="00227D7B">
            <w:pPr>
              <w:widowControl/>
              <w:autoSpaceDE/>
              <w:autoSpaceDN/>
              <w:adjustRightInd/>
              <w:jc w:val="center"/>
              <w:rPr>
                <w:rFonts w:ascii="Cambria" w:hAnsi="Cambria"/>
              </w:rPr>
            </w:pPr>
            <w:r w:rsidRPr="00946249">
              <w:rPr>
                <w:rFonts w:ascii="Cambria" w:hAnsi="Cambria"/>
              </w:rPr>
              <w:t>900</w:t>
            </w:r>
          </w:p>
        </w:tc>
        <w:tc>
          <w:tcPr>
            <w:tcW w:w="531" w:type="pct"/>
            <w:shd w:val="clear" w:color="auto" w:fill="FFFFFF"/>
          </w:tcPr>
          <w:p w14:paraId="59B91125" w14:textId="38D6C27D" w:rsidR="00227D7B" w:rsidRPr="00946249" w:rsidRDefault="00227D7B" w:rsidP="00227D7B">
            <w:pPr>
              <w:widowControl/>
              <w:autoSpaceDE/>
              <w:autoSpaceDN/>
              <w:adjustRightInd/>
              <w:jc w:val="center"/>
              <w:rPr>
                <w:rFonts w:ascii="Cambria" w:hAnsi="Cambria"/>
              </w:rPr>
            </w:pPr>
            <w:r w:rsidRPr="00946249">
              <w:rPr>
                <w:rFonts w:ascii="Cambria" w:hAnsi="Cambria"/>
              </w:rPr>
              <w:t>1089</w:t>
            </w:r>
          </w:p>
        </w:tc>
        <w:tc>
          <w:tcPr>
            <w:tcW w:w="531" w:type="pct"/>
            <w:shd w:val="clear" w:color="auto" w:fill="FFFFFF"/>
          </w:tcPr>
          <w:p w14:paraId="2008FB75" w14:textId="21F00E6D" w:rsidR="00227D7B" w:rsidRPr="00946249" w:rsidRDefault="00227D7B" w:rsidP="00227D7B">
            <w:pPr>
              <w:widowControl/>
              <w:autoSpaceDE/>
              <w:autoSpaceDN/>
              <w:adjustRightInd/>
              <w:jc w:val="center"/>
              <w:rPr>
                <w:rFonts w:ascii="Cambria" w:hAnsi="Cambria"/>
              </w:rPr>
            </w:pPr>
            <w:r w:rsidRPr="00946249">
              <w:rPr>
                <w:rFonts w:ascii="Cambria" w:hAnsi="Cambria"/>
              </w:rPr>
              <w:t>1265</w:t>
            </w:r>
          </w:p>
        </w:tc>
        <w:tc>
          <w:tcPr>
            <w:tcW w:w="531" w:type="pct"/>
            <w:shd w:val="clear" w:color="auto" w:fill="FFFFFF"/>
          </w:tcPr>
          <w:p w14:paraId="684236F4" w14:textId="392DDB05" w:rsidR="00227D7B" w:rsidRPr="00946249" w:rsidRDefault="00227D7B" w:rsidP="00227D7B">
            <w:pPr>
              <w:widowControl/>
              <w:autoSpaceDE/>
              <w:autoSpaceDN/>
              <w:adjustRightInd/>
              <w:jc w:val="center"/>
              <w:rPr>
                <w:rFonts w:ascii="Cambria" w:hAnsi="Cambria"/>
              </w:rPr>
            </w:pPr>
            <w:r w:rsidRPr="00946249">
              <w:rPr>
                <w:rFonts w:ascii="Cambria" w:hAnsi="Cambria"/>
              </w:rPr>
              <w:t>1180</w:t>
            </w:r>
          </w:p>
        </w:tc>
      </w:tr>
    </w:tbl>
    <w:p w14:paraId="47861E26" w14:textId="77777777" w:rsidR="00AB289F" w:rsidRPr="00946249" w:rsidRDefault="00AB289F" w:rsidP="00820485">
      <w:pPr>
        <w:jc w:val="both"/>
        <w:rPr>
          <w:rFonts w:ascii="Cambria" w:hAnsi="Cambria"/>
          <w:lang w:val="en-IE"/>
        </w:rPr>
      </w:pPr>
    </w:p>
    <w:p w14:paraId="5A8D70B9" w14:textId="14822216" w:rsidR="00C07B4D" w:rsidRPr="00946249" w:rsidRDefault="0072170F" w:rsidP="00820485">
      <w:pPr>
        <w:jc w:val="both"/>
        <w:rPr>
          <w:rFonts w:ascii="Cambria" w:hAnsi="Cambria"/>
          <w:color w:val="000000" w:themeColor="text1"/>
        </w:rPr>
      </w:pPr>
      <w:r w:rsidRPr="00946249">
        <w:rPr>
          <w:rFonts w:ascii="Cambria" w:hAnsi="Cambria"/>
          <w:color w:val="000000" w:themeColor="text1"/>
        </w:rPr>
        <w:t xml:space="preserve">Las obligaciones de comunicación de Tarea 1 se revisan en virtud de la Rec. 11-15. La Recomendación requiere que desde 2017 las CPC describan en sus informes anuales sus programas de recopilación de datos y lo pasos datos para implementar esta Recomendación.  Estos informes están incluidos en la Hoja de comprobación de </w:t>
      </w:r>
      <w:proofErr w:type="spellStart"/>
      <w:r w:rsidRPr="00946249">
        <w:rPr>
          <w:rFonts w:ascii="Cambria" w:hAnsi="Cambria"/>
          <w:color w:val="000000" w:themeColor="text1"/>
        </w:rPr>
        <w:t>istiofóridos</w:t>
      </w:r>
      <w:proofErr w:type="spellEnd"/>
      <w:r w:rsidRPr="00946249">
        <w:rPr>
          <w:rFonts w:ascii="Cambria" w:hAnsi="Cambria"/>
          <w:color w:val="000000" w:themeColor="text1"/>
        </w:rPr>
        <w:t xml:space="preserve"> (véase la Rec. 18-05 más abajo). </w:t>
      </w:r>
    </w:p>
    <w:p w14:paraId="4F5E966B" w14:textId="77777777" w:rsidR="00C07B4D" w:rsidRPr="00946249" w:rsidRDefault="00C07B4D" w:rsidP="00820485">
      <w:pPr>
        <w:jc w:val="both"/>
        <w:rPr>
          <w:rFonts w:ascii="Cambria" w:hAnsi="Cambria"/>
          <w:color w:val="000000" w:themeColor="text1"/>
        </w:rPr>
      </w:pPr>
    </w:p>
    <w:p w14:paraId="06B67515" w14:textId="75C46089" w:rsidR="0072170F" w:rsidRPr="00946249" w:rsidRDefault="008C1984" w:rsidP="00820485">
      <w:pPr>
        <w:jc w:val="both"/>
        <w:rPr>
          <w:rFonts w:ascii="Cambria" w:hAnsi="Cambria"/>
          <w:i/>
        </w:rPr>
      </w:pPr>
      <w:r w:rsidRPr="00946249">
        <w:rPr>
          <w:rFonts w:ascii="Cambria" w:hAnsi="Cambria"/>
          <w:i/>
        </w:rPr>
        <w:t xml:space="preserve">[18-05] </w:t>
      </w:r>
      <w:bookmarkStart w:id="13" w:name="_Hlk117848927"/>
      <w:r w:rsidR="00347845" w:rsidRPr="00946249">
        <w:rPr>
          <w:rFonts w:ascii="Cambria" w:hAnsi="Cambria"/>
        </w:rPr>
        <w:fldChar w:fldCharType="begin"/>
      </w:r>
      <w:r w:rsidR="00347845" w:rsidRPr="00946249">
        <w:rPr>
          <w:rFonts w:ascii="Cambria" w:hAnsi="Cambria"/>
        </w:rPr>
        <w:instrText>HYPERLINK "https://www.iccat.int/Documents/Recs/compendiopdf-s/2018-05-s.pdf" \t "_blank"</w:instrText>
      </w:r>
      <w:r w:rsidR="00347845" w:rsidRPr="00946249">
        <w:rPr>
          <w:rFonts w:ascii="Cambria" w:hAnsi="Cambria"/>
        </w:rPr>
      </w:r>
      <w:r w:rsidR="00347845" w:rsidRPr="00946249">
        <w:rPr>
          <w:rFonts w:ascii="Cambria" w:hAnsi="Cambria"/>
        </w:rPr>
        <w:fldChar w:fldCharType="separate"/>
      </w:r>
      <w:r w:rsidRPr="00946249">
        <w:rPr>
          <w:rFonts w:ascii="Cambria" w:hAnsi="Cambria"/>
          <w:i/>
        </w:rPr>
        <w:t>Recomendación de ICCAT para mejorar la revisión del cumplimiento</w:t>
      </w:r>
      <w:r w:rsidR="000D664A" w:rsidRPr="00946249">
        <w:rPr>
          <w:rFonts w:ascii="Cambria" w:hAnsi="Cambria"/>
          <w:i/>
        </w:rPr>
        <w:t xml:space="preserve"> </w:t>
      </w:r>
      <w:r w:rsidRPr="00946249">
        <w:rPr>
          <w:rFonts w:ascii="Cambria" w:hAnsi="Cambria"/>
          <w:i/>
        </w:rPr>
        <w:t>de las medidas de conservación y ordenación relacionadas</w:t>
      </w:r>
      <w:r w:rsidR="000D664A" w:rsidRPr="00946249">
        <w:rPr>
          <w:rFonts w:ascii="Cambria" w:hAnsi="Cambria"/>
          <w:i/>
        </w:rPr>
        <w:t xml:space="preserve"> </w:t>
      </w:r>
      <w:r w:rsidRPr="00946249">
        <w:rPr>
          <w:rFonts w:ascii="Cambria" w:hAnsi="Cambria"/>
          <w:i/>
        </w:rPr>
        <w:t xml:space="preserve">con los </w:t>
      </w:r>
      <w:proofErr w:type="spellStart"/>
      <w:r w:rsidRPr="00946249">
        <w:rPr>
          <w:rFonts w:ascii="Cambria" w:hAnsi="Cambria"/>
          <w:i/>
        </w:rPr>
        <w:t>istiofóridos</w:t>
      </w:r>
      <w:proofErr w:type="spellEnd"/>
      <w:r w:rsidRPr="00946249">
        <w:rPr>
          <w:rFonts w:ascii="Cambria" w:hAnsi="Cambria"/>
          <w:i/>
        </w:rPr>
        <w:t xml:space="preserve"> capturados en la zona del convenio de ICCAT</w:t>
      </w:r>
      <w:r w:rsidR="00347845" w:rsidRPr="00946249">
        <w:rPr>
          <w:rFonts w:ascii="Cambria" w:hAnsi="Cambria"/>
          <w:i/>
        </w:rPr>
        <w:fldChar w:fldCharType="end"/>
      </w:r>
    </w:p>
    <w:p w14:paraId="7DBE9C2F" w14:textId="77777777" w:rsidR="00C37678" w:rsidRPr="00946249" w:rsidRDefault="00C37678" w:rsidP="00820485">
      <w:pPr>
        <w:jc w:val="both"/>
        <w:rPr>
          <w:rFonts w:ascii="Cambria" w:hAnsi="Cambria"/>
          <w:iCs/>
        </w:rPr>
      </w:pPr>
    </w:p>
    <w:p w14:paraId="1AFFC308" w14:textId="20F290D3" w:rsidR="00CB0C74" w:rsidRPr="00946249" w:rsidRDefault="00CB0C74" w:rsidP="00820485">
      <w:pPr>
        <w:jc w:val="both"/>
        <w:rPr>
          <w:rFonts w:ascii="Cambria" w:hAnsi="Cambria"/>
          <w:iCs/>
        </w:rPr>
      </w:pPr>
      <w:r w:rsidRPr="00946249">
        <w:rPr>
          <w:rFonts w:ascii="Cambria" w:hAnsi="Cambria"/>
        </w:rPr>
        <w:t xml:space="preserve">Este año se recibieron hojas de comprobación de </w:t>
      </w:r>
      <w:proofErr w:type="spellStart"/>
      <w:r w:rsidRPr="00946249">
        <w:rPr>
          <w:rFonts w:ascii="Cambria" w:hAnsi="Cambria"/>
        </w:rPr>
        <w:t>istiofóridos</w:t>
      </w:r>
      <w:proofErr w:type="spellEnd"/>
      <w:r w:rsidRPr="00946249">
        <w:rPr>
          <w:rFonts w:ascii="Cambria" w:hAnsi="Cambria"/>
        </w:rPr>
        <w:t xml:space="preserve"> revisadas/actualizadas de 20 CPC, cuatro de ellas fuera de plazo. 33 CPC no han enviado ninguna actualización con respecto a las versiones anteriores del año pasado (2024) y 14 han confirmado que sus hojas de comprobación se han mantenido sin cambios (Bolivia, China, </w:t>
      </w:r>
      <w:proofErr w:type="spellStart"/>
      <w:r w:rsidRPr="00946249">
        <w:rPr>
          <w:rFonts w:ascii="Cambria" w:hAnsi="Cambria"/>
        </w:rPr>
        <w:t>Côte</w:t>
      </w:r>
      <w:proofErr w:type="spellEnd"/>
      <w:r w:rsidRPr="00946249">
        <w:rPr>
          <w:rFonts w:ascii="Cambria" w:hAnsi="Cambria"/>
        </w:rPr>
        <w:t xml:space="preserve"> </w:t>
      </w:r>
      <w:proofErr w:type="spellStart"/>
      <w:r w:rsidRPr="00946249">
        <w:rPr>
          <w:rFonts w:ascii="Cambria" w:hAnsi="Cambria"/>
        </w:rPr>
        <w:t>d’Ivoire</w:t>
      </w:r>
      <w:proofErr w:type="spellEnd"/>
      <w:r w:rsidRPr="00946249">
        <w:rPr>
          <w:rFonts w:ascii="Cambria" w:hAnsi="Cambria"/>
        </w:rPr>
        <w:t xml:space="preserve">, Unión Europea, Islandia, Liberia, México, Nigeria, Noruega, Panamá, Senegal, San Vicente y las </w:t>
      </w:r>
      <w:proofErr w:type="gramStart"/>
      <w:r w:rsidRPr="00946249">
        <w:rPr>
          <w:rFonts w:ascii="Cambria" w:hAnsi="Cambria"/>
        </w:rPr>
        <w:t>Granadinas</w:t>
      </w:r>
      <w:proofErr w:type="gramEnd"/>
      <w:r w:rsidRPr="00946249">
        <w:rPr>
          <w:rFonts w:ascii="Cambria" w:hAnsi="Cambria"/>
        </w:rPr>
        <w:t xml:space="preserve">, Túnez y </w:t>
      </w:r>
      <w:proofErr w:type="spellStart"/>
      <w:r w:rsidRPr="00946249">
        <w:rPr>
          <w:rFonts w:ascii="Cambria" w:hAnsi="Cambria"/>
        </w:rPr>
        <w:t>Türkiye</w:t>
      </w:r>
      <w:proofErr w:type="spellEnd"/>
      <w:r w:rsidRPr="00946249">
        <w:rPr>
          <w:rFonts w:ascii="Cambria" w:hAnsi="Cambria"/>
        </w:rPr>
        <w:t xml:space="preserve">) y cinco las han reutilizado para este año (Curazao, Egipto, El Salvador, Ghana y Nicaragua). Cinco (5) CPC no han presentado nunca hojas de comprobación de </w:t>
      </w:r>
      <w:proofErr w:type="spellStart"/>
      <w:r w:rsidRPr="00946249">
        <w:rPr>
          <w:rFonts w:ascii="Cambria" w:hAnsi="Cambria"/>
        </w:rPr>
        <w:t>istiofóridos</w:t>
      </w:r>
      <w:proofErr w:type="spellEnd"/>
      <w:r w:rsidRPr="00946249">
        <w:rPr>
          <w:rFonts w:ascii="Cambria" w:hAnsi="Cambria"/>
        </w:rPr>
        <w:t xml:space="preserve"> (Gambia, Granada, Guinea-Bissau, Mauritania y Cuba). Éstas figuran en el documento "Hojas de comprobación de datos de </w:t>
      </w:r>
      <w:proofErr w:type="spellStart"/>
      <w:r w:rsidRPr="00946249">
        <w:rPr>
          <w:rFonts w:ascii="Cambria" w:hAnsi="Cambria"/>
        </w:rPr>
        <w:t>istiofóridos</w:t>
      </w:r>
      <w:proofErr w:type="spellEnd"/>
      <w:r w:rsidRPr="00946249">
        <w:rPr>
          <w:rFonts w:ascii="Cambria" w:hAnsi="Cambria"/>
        </w:rPr>
        <w:t xml:space="preserve"> recibidas de conformidad con la Rec. 18-05" [COC_315/2025]. El contenido de estas hojas de comprobación de datos de </w:t>
      </w:r>
      <w:proofErr w:type="spellStart"/>
      <w:r w:rsidRPr="00946249">
        <w:rPr>
          <w:rFonts w:ascii="Cambria" w:hAnsi="Cambria"/>
        </w:rPr>
        <w:t>istiofóridos</w:t>
      </w:r>
      <w:proofErr w:type="spellEnd"/>
      <w:r w:rsidRPr="00946249">
        <w:rPr>
          <w:rFonts w:ascii="Cambria" w:hAnsi="Cambria"/>
        </w:rPr>
        <w:t xml:space="preserve"> se resume en el Anexo 1 del documento COC_315/2025.</w:t>
      </w:r>
    </w:p>
    <w:p w14:paraId="031756FC" w14:textId="77777777" w:rsidR="00CB0C74" w:rsidRPr="00946249" w:rsidRDefault="00CB0C74" w:rsidP="00820485">
      <w:pPr>
        <w:jc w:val="both"/>
        <w:rPr>
          <w:rFonts w:ascii="Cambria" w:hAnsi="Cambria"/>
          <w:iCs/>
        </w:rPr>
      </w:pPr>
    </w:p>
    <w:p w14:paraId="69531839" w14:textId="77777777" w:rsidR="005C1EE7" w:rsidRPr="00946249" w:rsidRDefault="005C1EE7" w:rsidP="00820485">
      <w:pPr>
        <w:jc w:val="both"/>
        <w:rPr>
          <w:rFonts w:ascii="Cambria" w:hAnsi="Cambria"/>
          <w:iCs/>
        </w:rPr>
      </w:pPr>
    </w:p>
    <w:bookmarkEnd w:id="13"/>
    <w:p w14:paraId="2FA08A2A" w14:textId="5DA7A5CE" w:rsidR="004E41C9" w:rsidRPr="00946249" w:rsidRDefault="004E41C9" w:rsidP="00C37678">
      <w:pPr>
        <w:tabs>
          <w:tab w:val="left" w:pos="1276"/>
          <w:tab w:val="left" w:pos="1418"/>
          <w:tab w:val="left" w:leader="dot" w:pos="8222"/>
          <w:tab w:val="right" w:pos="8647"/>
        </w:tabs>
        <w:jc w:val="both"/>
        <w:rPr>
          <w:rFonts w:ascii="Cambria" w:hAnsi="Cambria"/>
          <w:b/>
        </w:rPr>
      </w:pPr>
      <w:r w:rsidRPr="00946249">
        <w:rPr>
          <w:rFonts w:ascii="Cambria" w:hAnsi="Cambria"/>
          <w:b/>
        </w:rPr>
        <w:t>SHK –</w:t>
      </w:r>
      <w:r w:rsidR="008F0312" w:rsidRPr="00946249">
        <w:rPr>
          <w:rFonts w:ascii="Cambria" w:hAnsi="Cambria"/>
          <w:b/>
        </w:rPr>
        <w:t xml:space="preserve"> </w:t>
      </w:r>
      <w:r w:rsidRPr="00946249">
        <w:rPr>
          <w:rFonts w:ascii="Cambria" w:hAnsi="Cambria"/>
          <w:b/>
        </w:rPr>
        <w:t>TIBURONES</w:t>
      </w:r>
      <w:r w:rsidR="008F0312" w:rsidRPr="00946249">
        <w:rPr>
          <w:rFonts w:ascii="Cambria" w:hAnsi="Cambria"/>
          <w:b/>
        </w:rPr>
        <w:t>:</w:t>
      </w:r>
      <w:r w:rsidRPr="00946249">
        <w:rPr>
          <w:rFonts w:ascii="Cambria" w:hAnsi="Cambria"/>
          <w:b/>
        </w:rPr>
        <w:t xml:space="preserve"> Tiburón zorro (género </w:t>
      </w:r>
      <w:proofErr w:type="spellStart"/>
      <w:r w:rsidRPr="00946249">
        <w:rPr>
          <w:rFonts w:ascii="Cambria" w:hAnsi="Cambria"/>
          <w:b/>
        </w:rPr>
        <w:t>Alopias</w:t>
      </w:r>
      <w:proofErr w:type="spellEnd"/>
      <w:r w:rsidRPr="00946249">
        <w:rPr>
          <w:rFonts w:ascii="Cambria" w:hAnsi="Cambria"/>
          <w:b/>
        </w:rPr>
        <w:t xml:space="preserve"> spp), marrajo </w:t>
      </w:r>
      <w:proofErr w:type="spellStart"/>
      <w:r w:rsidRPr="00946249">
        <w:rPr>
          <w:rFonts w:ascii="Cambria" w:hAnsi="Cambria"/>
          <w:b/>
        </w:rPr>
        <w:t>dientuso</w:t>
      </w:r>
      <w:proofErr w:type="spellEnd"/>
      <w:r w:rsidRPr="00946249">
        <w:rPr>
          <w:rFonts w:ascii="Cambria" w:hAnsi="Cambria"/>
          <w:b/>
        </w:rPr>
        <w:t xml:space="preserve"> (</w:t>
      </w:r>
      <w:proofErr w:type="spellStart"/>
      <w:r w:rsidRPr="00946249">
        <w:rPr>
          <w:rFonts w:ascii="Cambria" w:hAnsi="Cambria"/>
          <w:b/>
          <w:i/>
          <w:iCs/>
        </w:rPr>
        <w:t>Isurus</w:t>
      </w:r>
      <w:proofErr w:type="spellEnd"/>
      <w:r w:rsidRPr="00946249">
        <w:rPr>
          <w:rFonts w:ascii="Cambria" w:hAnsi="Cambria"/>
          <w:b/>
          <w:i/>
          <w:iCs/>
        </w:rPr>
        <w:t xml:space="preserve"> </w:t>
      </w:r>
      <w:proofErr w:type="spellStart"/>
      <w:r w:rsidRPr="00946249">
        <w:rPr>
          <w:rFonts w:ascii="Cambria" w:hAnsi="Cambria"/>
          <w:b/>
          <w:i/>
          <w:iCs/>
        </w:rPr>
        <w:t>oxyrinchus</w:t>
      </w:r>
      <w:proofErr w:type="spellEnd"/>
      <w:r w:rsidRPr="00946249">
        <w:rPr>
          <w:rFonts w:ascii="Cambria" w:hAnsi="Cambria"/>
          <w:b/>
        </w:rPr>
        <w:t>), tiburón oceánico (</w:t>
      </w:r>
      <w:proofErr w:type="spellStart"/>
      <w:r w:rsidRPr="00946249">
        <w:rPr>
          <w:rFonts w:ascii="Cambria" w:hAnsi="Cambria"/>
          <w:b/>
          <w:i/>
          <w:iCs/>
        </w:rPr>
        <w:t>Carcharhinus</w:t>
      </w:r>
      <w:proofErr w:type="spellEnd"/>
      <w:r w:rsidRPr="00946249">
        <w:rPr>
          <w:rFonts w:ascii="Cambria" w:hAnsi="Cambria"/>
          <w:b/>
          <w:i/>
          <w:iCs/>
        </w:rPr>
        <w:t xml:space="preserve"> </w:t>
      </w:r>
      <w:proofErr w:type="spellStart"/>
      <w:r w:rsidRPr="00946249">
        <w:rPr>
          <w:rFonts w:ascii="Cambria" w:hAnsi="Cambria"/>
          <w:b/>
          <w:i/>
          <w:iCs/>
        </w:rPr>
        <w:t>longimanus</w:t>
      </w:r>
      <w:proofErr w:type="spellEnd"/>
      <w:r w:rsidRPr="00946249">
        <w:rPr>
          <w:rFonts w:ascii="Cambria" w:hAnsi="Cambria"/>
          <w:b/>
        </w:rPr>
        <w:t xml:space="preserve">), peces martillo (familia </w:t>
      </w:r>
      <w:proofErr w:type="spellStart"/>
      <w:r w:rsidRPr="00946249">
        <w:rPr>
          <w:rFonts w:ascii="Cambria" w:hAnsi="Cambria"/>
          <w:b/>
        </w:rPr>
        <w:t>Sphyrnidae</w:t>
      </w:r>
      <w:proofErr w:type="spellEnd"/>
      <w:r w:rsidRPr="00946249">
        <w:rPr>
          <w:rFonts w:ascii="Cambria" w:hAnsi="Cambria"/>
          <w:b/>
        </w:rPr>
        <w:t>), tiburón jaquetón (</w:t>
      </w:r>
      <w:proofErr w:type="spellStart"/>
      <w:r w:rsidRPr="00946249">
        <w:rPr>
          <w:rFonts w:ascii="Cambria" w:hAnsi="Cambria"/>
          <w:b/>
          <w:i/>
          <w:iCs/>
        </w:rPr>
        <w:t>Carcharhinus</w:t>
      </w:r>
      <w:proofErr w:type="spellEnd"/>
      <w:r w:rsidRPr="00946249">
        <w:rPr>
          <w:rFonts w:ascii="Cambria" w:hAnsi="Cambria"/>
          <w:b/>
          <w:i/>
          <w:iCs/>
        </w:rPr>
        <w:t xml:space="preserve"> </w:t>
      </w:r>
      <w:proofErr w:type="spellStart"/>
      <w:r w:rsidRPr="00946249">
        <w:rPr>
          <w:rFonts w:ascii="Cambria" w:hAnsi="Cambria"/>
          <w:b/>
          <w:i/>
          <w:iCs/>
        </w:rPr>
        <w:t>falciformis</w:t>
      </w:r>
      <w:proofErr w:type="spellEnd"/>
      <w:r w:rsidRPr="00946249">
        <w:rPr>
          <w:rFonts w:ascii="Cambria" w:hAnsi="Cambria"/>
          <w:b/>
        </w:rPr>
        <w:t>), marrajo sardinero (</w:t>
      </w:r>
      <w:proofErr w:type="spellStart"/>
      <w:r w:rsidRPr="00946249">
        <w:rPr>
          <w:rFonts w:ascii="Cambria" w:hAnsi="Cambria"/>
          <w:b/>
          <w:i/>
          <w:iCs/>
        </w:rPr>
        <w:t>Lamna</w:t>
      </w:r>
      <w:proofErr w:type="spellEnd"/>
      <w:r w:rsidRPr="00946249">
        <w:rPr>
          <w:rFonts w:ascii="Cambria" w:hAnsi="Cambria"/>
          <w:b/>
          <w:i/>
          <w:iCs/>
        </w:rPr>
        <w:t xml:space="preserve"> </w:t>
      </w:r>
      <w:proofErr w:type="spellStart"/>
      <w:r w:rsidRPr="00946249">
        <w:rPr>
          <w:rFonts w:ascii="Cambria" w:hAnsi="Cambria"/>
          <w:b/>
          <w:i/>
          <w:iCs/>
        </w:rPr>
        <w:t>nasus</w:t>
      </w:r>
      <w:proofErr w:type="spellEnd"/>
      <w:r w:rsidRPr="00946249">
        <w:rPr>
          <w:rFonts w:ascii="Cambria" w:hAnsi="Cambria"/>
          <w:b/>
        </w:rPr>
        <w:t>), tiburón azul (</w:t>
      </w:r>
      <w:proofErr w:type="spellStart"/>
      <w:r w:rsidRPr="00946249">
        <w:rPr>
          <w:rFonts w:ascii="Cambria" w:hAnsi="Cambria"/>
          <w:b/>
          <w:i/>
          <w:iCs/>
        </w:rPr>
        <w:t>Prionace</w:t>
      </w:r>
      <w:proofErr w:type="spellEnd"/>
      <w:r w:rsidRPr="00946249">
        <w:rPr>
          <w:rFonts w:ascii="Cambria" w:hAnsi="Cambria"/>
          <w:b/>
          <w:i/>
          <w:iCs/>
        </w:rPr>
        <w:t xml:space="preserve"> glauca</w:t>
      </w:r>
      <w:r w:rsidRPr="00946249">
        <w:rPr>
          <w:rFonts w:ascii="Cambria" w:hAnsi="Cambria"/>
          <w:b/>
        </w:rPr>
        <w:t>)</w:t>
      </w:r>
    </w:p>
    <w:p w14:paraId="3CE140A7" w14:textId="77777777" w:rsidR="004E41C9" w:rsidRPr="00946249" w:rsidRDefault="004E41C9" w:rsidP="004E41C9">
      <w:pPr>
        <w:tabs>
          <w:tab w:val="left" w:pos="1276"/>
          <w:tab w:val="left" w:pos="1418"/>
          <w:tab w:val="left" w:leader="dot" w:pos="8222"/>
          <w:tab w:val="right" w:pos="8647"/>
        </w:tabs>
        <w:ind w:firstLine="425"/>
        <w:rPr>
          <w:rFonts w:ascii="Cambria" w:hAnsi="Cambria"/>
        </w:rPr>
      </w:pPr>
    </w:p>
    <w:p w14:paraId="287A26E1" w14:textId="77777777" w:rsidR="004E41C9" w:rsidRPr="00946249" w:rsidRDefault="004E41C9" w:rsidP="000D664A">
      <w:pPr>
        <w:tabs>
          <w:tab w:val="left" w:pos="567"/>
          <w:tab w:val="left" w:pos="709"/>
          <w:tab w:val="left" w:leader="dot" w:pos="8222"/>
          <w:tab w:val="right" w:pos="8647"/>
        </w:tabs>
        <w:jc w:val="both"/>
        <w:rPr>
          <w:rFonts w:ascii="Cambria" w:hAnsi="Cambria"/>
        </w:rPr>
      </w:pPr>
      <w:r w:rsidRPr="00946249">
        <w:rPr>
          <w:rFonts w:ascii="Cambria" w:hAnsi="Cambria"/>
          <w:i/>
        </w:rPr>
        <w:t>[04-10]</w:t>
      </w:r>
      <w:r w:rsidRPr="00946249">
        <w:rPr>
          <w:rFonts w:ascii="Cambria" w:hAnsi="Cambria"/>
          <w:i/>
        </w:rPr>
        <w:tab/>
        <w:t>Recomendación de ICCAT sobre la conservación de tiburones capturados en asociación con las pesquerías que son competencia de ICCAT</w:t>
      </w:r>
    </w:p>
    <w:p w14:paraId="713241E7" w14:textId="77777777" w:rsidR="004E41C9" w:rsidRPr="00946249" w:rsidRDefault="004E41C9" w:rsidP="004E41C9">
      <w:pPr>
        <w:tabs>
          <w:tab w:val="left" w:pos="1276"/>
          <w:tab w:val="left" w:leader="dot" w:pos="8222"/>
          <w:tab w:val="right" w:pos="8647"/>
        </w:tabs>
        <w:ind w:left="1417" w:hanging="1417"/>
        <w:rPr>
          <w:rFonts w:ascii="Cambria" w:hAnsi="Cambria"/>
        </w:rPr>
      </w:pPr>
    </w:p>
    <w:p w14:paraId="301735A7" w14:textId="77777777" w:rsidR="004E41C9" w:rsidRPr="00946249" w:rsidRDefault="004E41C9" w:rsidP="004E41C9">
      <w:pPr>
        <w:tabs>
          <w:tab w:val="left" w:pos="1276"/>
          <w:tab w:val="left" w:leader="dot" w:pos="8222"/>
          <w:tab w:val="right" w:pos="8647"/>
        </w:tabs>
        <w:ind w:left="1417" w:hanging="1417"/>
        <w:rPr>
          <w:rFonts w:ascii="Cambria" w:hAnsi="Cambria"/>
        </w:rPr>
      </w:pPr>
      <w:r w:rsidRPr="00946249">
        <w:rPr>
          <w:rFonts w:ascii="Cambria" w:hAnsi="Cambria"/>
        </w:rPr>
        <w:t>Para la información comunicada, véase la Rec. 18-06 más abajo.</w:t>
      </w:r>
    </w:p>
    <w:p w14:paraId="05720F87" w14:textId="77777777" w:rsidR="004E41C9" w:rsidRPr="00946249" w:rsidRDefault="004E41C9" w:rsidP="004E41C9">
      <w:pPr>
        <w:tabs>
          <w:tab w:val="left" w:pos="1276"/>
          <w:tab w:val="left" w:leader="dot" w:pos="8222"/>
          <w:tab w:val="right" w:pos="8647"/>
        </w:tabs>
        <w:ind w:left="1417" w:hanging="992"/>
        <w:rPr>
          <w:rFonts w:ascii="Cambria" w:hAnsi="Cambria"/>
        </w:rPr>
      </w:pPr>
    </w:p>
    <w:p w14:paraId="03CA68F1" w14:textId="77777777" w:rsidR="004E41C9" w:rsidRPr="00946249" w:rsidRDefault="004E41C9" w:rsidP="004E41C9">
      <w:pPr>
        <w:tabs>
          <w:tab w:val="left" w:pos="1276"/>
          <w:tab w:val="left" w:leader="dot" w:pos="8222"/>
          <w:tab w:val="right" w:pos="8647"/>
        </w:tabs>
        <w:ind w:left="709" w:hanging="709"/>
        <w:jc w:val="both"/>
        <w:rPr>
          <w:rFonts w:ascii="Cambria" w:hAnsi="Cambria"/>
          <w:i/>
        </w:rPr>
      </w:pPr>
      <w:r w:rsidRPr="00946249">
        <w:rPr>
          <w:rFonts w:ascii="Cambria" w:hAnsi="Cambria"/>
          <w:i/>
        </w:rPr>
        <w:lastRenderedPageBreak/>
        <w:t>[07-06]</w:t>
      </w:r>
      <w:r w:rsidRPr="00946249">
        <w:rPr>
          <w:rFonts w:ascii="Cambria" w:hAnsi="Cambria"/>
          <w:i/>
        </w:rPr>
        <w:tab/>
        <w:t>Recomendación suplementaria de ICCAT sobre tiburones</w:t>
      </w:r>
    </w:p>
    <w:p w14:paraId="07289030" w14:textId="77777777" w:rsidR="004E41C9" w:rsidRPr="00946249" w:rsidRDefault="004E41C9" w:rsidP="004E41C9">
      <w:pPr>
        <w:tabs>
          <w:tab w:val="left" w:pos="1276"/>
          <w:tab w:val="left" w:leader="dot" w:pos="8222"/>
          <w:tab w:val="right" w:pos="8647"/>
        </w:tabs>
        <w:ind w:left="1417" w:hanging="992"/>
        <w:rPr>
          <w:rFonts w:ascii="Cambria" w:hAnsi="Cambria"/>
          <w:i/>
        </w:rPr>
      </w:pPr>
    </w:p>
    <w:p w14:paraId="3A30427A" w14:textId="77777777" w:rsidR="004E41C9" w:rsidRPr="00946249" w:rsidRDefault="004E41C9" w:rsidP="004E41C9">
      <w:pPr>
        <w:tabs>
          <w:tab w:val="left" w:pos="1276"/>
          <w:tab w:val="left" w:leader="dot" w:pos="8222"/>
          <w:tab w:val="right" w:pos="8647"/>
        </w:tabs>
        <w:ind w:left="1417" w:hanging="1417"/>
        <w:rPr>
          <w:rFonts w:ascii="Cambria" w:hAnsi="Cambria"/>
        </w:rPr>
      </w:pPr>
      <w:r w:rsidRPr="00946249">
        <w:rPr>
          <w:rFonts w:ascii="Cambria" w:hAnsi="Cambria"/>
        </w:rPr>
        <w:t>Para la información comunicada, véase la Rec. 18-06 más abajo.</w:t>
      </w:r>
    </w:p>
    <w:p w14:paraId="00C42F0F" w14:textId="77777777" w:rsidR="004E41C9" w:rsidRPr="00946249" w:rsidRDefault="004E41C9" w:rsidP="004E41C9">
      <w:pPr>
        <w:tabs>
          <w:tab w:val="left" w:pos="1276"/>
          <w:tab w:val="left" w:pos="1418"/>
          <w:tab w:val="left" w:leader="dot" w:pos="8222"/>
          <w:tab w:val="right" w:pos="8647"/>
        </w:tabs>
        <w:ind w:firstLine="425"/>
        <w:jc w:val="both"/>
        <w:rPr>
          <w:rFonts w:ascii="Cambria" w:hAnsi="Cambria"/>
          <w:bCs/>
          <w:i/>
        </w:rPr>
      </w:pPr>
    </w:p>
    <w:p w14:paraId="014DFDB0" w14:textId="77777777" w:rsidR="004E41C9" w:rsidRPr="00946249" w:rsidRDefault="004E41C9" w:rsidP="000D664A">
      <w:pPr>
        <w:tabs>
          <w:tab w:val="left" w:pos="567"/>
          <w:tab w:val="left" w:pos="709"/>
          <w:tab w:val="left" w:leader="dot" w:pos="8222"/>
          <w:tab w:val="right" w:pos="8647"/>
        </w:tabs>
        <w:jc w:val="both"/>
        <w:rPr>
          <w:rFonts w:ascii="Cambria" w:hAnsi="Cambria"/>
          <w:bCs/>
          <w:i/>
        </w:rPr>
      </w:pPr>
      <w:r w:rsidRPr="00946249">
        <w:rPr>
          <w:rFonts w:ascii="Cambria" w:hAnsi="Cambria"/>
          <w:i/>
        </w:rPr>
        <w:t xml:space="preserve">[09-07] </w:t>
      </w:r>
      <w:r w:rsidRPr="00946249">
        <w:rPr>
          <w:rFonts w:ascii="Cambria" w:hAnsi="Cambria"/>
          <w:i/>
        </w:rPr>
        <w:tab/>
        <w:t xml:space="preserve">Recomendación de ICCAT sobre la conservación de los tiburones </w:t>
      </w:r>
      <w:proofErr w:type="gramStart"/>
      <w:r w:rsidRPr="00946249">
        <w:rPr>
          <w:rFonts w:ascii="Cambria" w:hAnsi="Cambria"/>
          <w:i/>
        </w:rPr>
        <w:t>zorro capturados</w:t>
      </w:r>
      <w:proofErr w:type="gramEnd"/>
      <w:r w:rsidRPr="00946249">
        <w:rPr>
          <w:rFonts w:ascii="Cambria" w:hAnsi="Cambria"/>
          <w:i/>
        </w:rPr>
        <w:t xml:space="preserve"> en asociación con las pesquerías en la zona del Convenio ICCAT</w:t>
      </w:r>
    </w:p>
    <w:p w14:paraId="2809F500" w14:textId="77777777" w:rsidR="004E41C9" w:rsidRPr="00946249" w:rsidRDefault="004E41C9" w:rsidP="004E41C9">
      <w:pPr>
        <w:tabs>
          <w:tab w:val="left" w:pos="1276"/>
          <w:tab w:val="left" w:pos="1418"/>
          <w:tab w:val="left" w:leader="dot" w:pos="8222"/>
          <w:tab w:val="right" w:pos="8647"/>
        </w:tabs>
        <w:ind w:firstLine="425"/>
        <w:rPr>
          <w:rFonts w:ascii="Cambria" w:hAnsi="Cambria"/>
          <w:bCs/>
          <w:i/>
          <w:iCs/>
        </w:rPr>
      </w:pPr>
    </w:p>
    <w:p w14:paraId="2108B87C" w14:textId="77777777" w:rsidR="004E41C9" w:rsidRPr="00946249" w:rsidRDefault="004E41C9" w:rsidP="004E41C9">
      <w:pPr>
        <w:tabs>
          <w:tab w:val="left" w:pos="1276"/>
          <w:tab w:val="left" w:pos="1418"/>
          <w:tab w:val="left" w:leader="dot" w:pos="8222"/>
          <w:tab w:val="right" w:pos="8647"/>
        </w:tabs>
        <w:jc w:val="both"/>
        <w:rPr>
          <w:rFonts w:ascii="Cambria" w:hAnsi="Cambria"/>
        </w:rPr>
      </w:pPr>
      <w:r w:rsidRPr="00946249">
        <w:rPr>
          <w:rFonts w:ascii="Cambria" w:hAnsi="Cambria"/>
        </w:rPr>
        <w:t xml:space="preserve">Para la información comunicada, véase la Rec. 18-06 más abajo. </w:t>
      </w:r>
    </w:p>
    <w:p w14:paraId="669A3011" w14:textId="77777777" w:rsidR="004E41C9" w:rsidRPr="00946249" w:rsidRDefault="004E41C9" w:rsidP="004E41C9">
      <w:pPr>
        <w:tabs>
          <w:tab w:val="left" w:pos="1276"/>
          <w:tab w:val="left" w:pos="1418"/>
          <w:tab w:val="left" w:leader="dot" w:pos="8222"/>
          <w:tab w:val="right" w:pos="8647"/>
        </w:tabs>
        <w:ind w:firstLine="425"/>
        <w:rPr>
          <w:rFonts w:ascii="Cambria" w:hAnsi="Cambria"/>
          <w:bCs/>
          <w:i/>
          <w:iCs/>
        </w:rPr>
      </w:pPr>
    </w:p>
    <w:p w14:paraId="18426BEB" w14:textId="77777777" w:rsidR="004E41C9" w:rsidRPr="00946249" w:rsidRDefault="004E41C9" w:rsidP="000D664A">
      <w:pPr>
        <w:tabs>
          <w:tab w:val="left" w:pos="709"/>
          <w:tab w:val="left" w:pos="1276"/>
          <w:tab w:val="left" w:leader="dot" w:pos="8222"/>
          <w:tab w:val="right" w:pos="8647"/>
        </w:tabs>
        <w:jc w:val="both"/>
        <w:rPr>
          <w:rFonts w:ascii="Cambria" w:hAnsi="Cambria"/>
          <w:bCs/>
          <w:i/>
          <w:iCs/>
        </w:rPr>
      </w:pPr>
      <w:r w:rsidRPr="00946249">
        <w:rPr>
          <w:rFonts w:ascii="Cambria" w:hAnsi="Cambria"/>
          <w:i/>
        </w:rPr>
        <w:t>[10-07]</w:t>
      </w:r>
      <w:r w:rsidRPr="00946249">
        <w:rPr>
          <w:rFonts w:ascii="Cambria" w:hAnsi="Cambria"/>
          <w:i/>
        </w:rPr>
        <w:tab/>
        <w:t>Recomendación de ICCAT sobre la conservación de los tiburones oceánicos capturados en asociación con las pesquerías en la zona del Convenio de ICCAT</w:t>
      </w:r>
    </w:p>
    <w:p w14:paraId="4732D3BD" w14:textId="77777777" w:rsidR="004E41C9" w:rsidRPr="00946249" w:rsidRDefault="004E41C9" w:rsidP="004E41C9">
      <w:pPr>
        <w:tabs>
          <w:tab w:val="left" w:pos="1276"/>
          <w:tab w:val="left" w:pos="1418"/>
          <w:tab w:val="left" w:leader="dot" w:pos="8222"/>
          <w:tab w:val="right" w:pos="8647"/>
        </w:tabs>
        <w:ind w:firstLine="425"/>
        <w:rPr>
          <w:rFonts w:ascii="Cambria" w:hAnsi="Cambria"/>
          <w:bCs/>
          <w:i/>
          <w:iCs/>
        </w:rPr>
      </w:pPr>
    </w:p>
    <w:p w14:paraId="03F1CA70" w14:textId="12F83CEC" w:rsidR="004E41C9" w:rsidRPr="00946249" w:rsidRDefault="004E41C9" w:rsidP="004E41C9">
      <w:pPr>
        <w:tabs>
          <w:tab w:val="left" w:pos="1276"/>
          <w:tab w:val="left" w:pos="1418"/>
          <w:tab w:val="left" w:leader="dot" w:pos="8222"/>
          <w:tab w:val="right" w:pos="8647"/>
        </w:tabs>
        <w:jc w:val="both"/>
        <w:rPr>
          <w:rFonts w:ascii="Cambria" w:hAnsi="Cambria"/>
        </w:rPr>
      </w:pPr>
      <w:r w:rsidRPr="00946249">
        <w:rPr>
          <w:rFonts w:ascii="Cambria" w:hAnsi="Cambria"/>
        </w:rPr>
        <w:t xml:space="preserve">Para la información comunicada, véase la Rec. 18-06 más abajo. </w:t>
      </w:r>
    </w:p>
    <w:p w14:paraId="6DEFD6D1" w14:textId="77777777" w:rsidR="004E41C9" w:rsidRPr="00946249" w:rsidRDefault="004E41C9" w:rsidP="004E41C9">
      <w:pPr>
        <w:tabs>
          <w:tab w:val="left" w:pos="1276"/>
          <w:tab w:val="left" w:pos="1418"/>
          <w:tab w:val="left" w:leader="dot" w:pos="8222"/>
          <w:tab w:val="right" w:pos="8647"/>
        </w:tabs>
        <w:ind w:firstLine="425"/>
        <w:rPr>
          <w:rFonts w:ascii="Cambria" w:hAnsi="Cambria"/>
          <w:bCs/>
          <w:i/>
          <w:iCs/>
        </w:rPr>
      </w:pPr>
    </w:p>
    <w:p w14:paraId="25110F9B" w14:textId="77777777" w:rsidR="004E41C9" w:rsidRPr="00946249" w:rsidRDefault="004E41C9" w:rsidP="004E41C9">
      <w:pPr>
        <w:tabs>
          <w:tab w:val="left" w:pos="1276"/>
          <w:tab w:val="left" w:leader="dot" w:pos="8222"/>
          <w:tab w:val="right" w:pos="8647"/>
        </w:tabs>
        <w:jc w:val="both"/>
        <w:rPr>
          <w:rFonts w:ascii="Cambria" w:hAnsi="Cambria"/>
          <w:bCs/>
          <w:i/>
          <w:iCs/>
        </w:rPr>
      </w:pPr>
      <w:r w:rsidRPr="00946249">
        <w:rPr>
          <w:rFonts w:ascii="Cambria" w:hAnsi="Cambria"/>
          <w:i/>
        </w:rPr>
        <w:t xml:space="preserve">[10-08] Recomendación de ICCAT sobre peces martillo (familia </w:t>
      </w:r>
      <w:proofErr w:type="spellStart"/>
      <w:r w:rsidRPr="00946249">
        <w:rPr>
          <w:rFonts w:ascii="Cambria" w:hAnsi="Cambria"/>
          <w:i/>
        </w:rPr>
        <w:t>Sphyrnidae</w:t>
      </w:r>
      <w:proofErr w:type="spellEnd"/>
      <w:r w:rsidRPr="00946249">
        <w:rPr>
          <w:rFonts w:ascii="Cambria" w:hAnsi="Cambria"/>
          <w:i/>
        </w:rPr>
        <w:t>) capturados en asociación con las pesquerías gestionadas por ICCAT</w:t>
      </w:r>
    </w:p>
    <w:p w14:paraId="1A907491" w14:textId="77777777" w:rsidR="004E41C9" w:rsidRPr="00946249" w:rsidRDefault="004E41C9" w:rsidP="004E41C9">
      <w:pPr>
        <w:tabs>
          <w:tab w:val="left" w:pos="1276"/>
          <w:tab w:val="left" w:pos="1418"/>
          <w:tab w:val="left" w:leader="dot" w:pos="8222"/>
          <w:tab w:val="right" w:pos="8647"/>
        </w:tabs>
        <w:ind w:firstLine="425"/>
        <w:rPr>
          <w:rFonts w:ascii="Cambria" w:hAnsi="Cambria"/>
          <w:bCs/>
          <w:i/>
          <w:iCs/>
        </w:rPr>
      </w:pPr>
    </w:p>
    <w:p w14:paraId="32D4AE8D" w14:textId="5845E8E6" w:rsidR="004E41C9" w:rsidRPr="00946249" w:rsidRDefault="004E41C9" w:rsidP="004E41C9">
      <w:pPr>
        <w:tabs>
          <w:tab w:val="left" w:pos="1276"/>
          <w:tab w:val="left" w:pos="1418"/>
          <w:tab w:val="left" w:leader="dot" w:pos="8222"/>
          <w:tab w:val="right" w:pos="8647"/>
        </w:tabs>
        <w:jc w:val="both"/>
        <w:rPr>
          <w:rFonts w:ascii="Cambria" w:hAnsi="Cambria"/>
        </w:rPr>
      </w:pPr>
      <w:r w:rsidRPr="00946249">
        <w:rPr>
          <w:rFonts w:ascii="Cambria" w:hAnsi="Cambria"/>
        </w:rPr>
        <w:t xml:space="preserve">Para la información comunicada, véase la Rec. 18-06 más abajo. </w:t>
      </w:r>
    </w:p>
    <w:p w14:paraId="243922D4" w14:textId="77777777" w:rsidR="004E41C9" w:rsidRPr="00946249" w:rsidRDefault="004E41C9" w:rsidP="004E41C9">
      <w:pPr>
        <w:tabs>
          <w:tab w:val="left" w:pos="1276"/>
          <w:tab w:val="left" w:pos="1418"/>
          <w:tab w:val="left" w:leader="dot" w:pos="8222"/>
          <w:tab w:val="right" w:pos="8647"/>
        </w:tabs>
        <w:ind w:firstLine="425"/>
        <w:rPr>
          <w:rFonts w:ascii="Cambria" w:hAnsi="Cambria"/>
          <w:bCs/>
          <w:iCs/>
        </w:rPr>
      </w:pPr>
    </w:p>
    <w:p w14:paraId="496C1617" w14:textId="11854D7B" w:rsidR="004E41C9" w:rsidRPr="00946249" w:rsidRDefault="004E41C9" w:rsidP="00207538">
      <w:pPr>
        <w:tabs>
          <w:tab w:val="left" w:pos="1276"/>
          <w:tab w:val="left" w:pos="1418"/>
          <w:tab w:val="left" w:leader="dot" w:pos="8222"/>
          <w:tab w:val="right" w:pos="8647"/>
        </w:tabs>
        <w:jc w:val="both"/>
        <w:rPr>
          <w:rFonts w:ascii="Cambria" w:hAnsi="Cambria"/>
          <w:i/>
          <w:iCs/>
        </w:rPr>
      </w:pPr>
      <w:r w:rsidRPr="00946249">
        <w:rPr>
          <w:rFonts w:ascii="Cambria" w:hAnsi="Cambria"/>
          <w:i/>
        </w:rPr>
        <w:t>[11-08] Recomendación de ICCAT sobre la conservación del tiburón jaquetón capturado en asociación con las pesquerías de ICCAT</w:t>
      </w:r>
    </w:p>
    <w:p w14:paraId="52984BFE" w14:textId="77777777" w:rsidR="004E41C9" w:rsidRPr="00946249" w:rsidRDefault="004E41C9" w:rsidP="004E41C9">
      <w:pPr>
        <w:tabs>
          <w:tab w:val="left" w:pos="1276"/>
          <w:tab w:val="left" w:leader="dot" w:pos="8222"/>
          <w:tab w:val="right" w:pos="8647"/>
        </w:tabs>
        <w:ind w:left="709" w:hanging="709"/>
        <w:jc w:val="both"/>
        <w:rPr>
          <w:rFonts w:ascii="Cambria" w:hAnsi="Cambria"/>
          <w:iCs/>
        </w:rPr>
      </w:pPr>
    </w:p>
    <w:p w14:paraId="008AC359" w14:textId="7624FD11" w:rsidR="004E41C9" w:rsidRPr="00946249" w:rsidRDefault="004E41C9" w:rsidP="00207538">
      <w:pPr>
        <w:tabs>
          <w:tab w:val="left" w:pos="1276"/>
          <w:tab w:val="left" w:pos="1418"/>
          <w:tab w:val="left" w:leader="dot" w:pos="8222"/>
          <w:tab w:val="right" w:pos="8647"/>
        </w:tabs>
        <w:rPr>
          <w:rFonts w:ascii="Cambria" w:hAnsi="Cambria"/>
        </w:rPr>
      </w:pPr>
      <w:r w:rsidRPr="00946249">
        <w:rPr>
          <w:rFonts w:ascii="Cambria" w:hAnsi="Cambria"/>
        </w:rPr>
        <w:t>Para la información comunicada, véase la Rec. 18-06 más abajo.</w:t>
      </w:r>
    </w:p>
    <w:p w14:paraId="1CB26BEA" w14:textId="77777777" w:rsidR="004E41C9" w:rsidRPr="00946249" w:rsidRDefault="004E41C9" w:rsidP="00D5335E">
      <w:pPr>
        <w:tabs>
          <w:tab w:val="left" w:pos="1276"/>
          <w:tab w:val="left" w:pos="1418"/>
          <w:tab w:val="left" w:leader="dot" w:pos="8222"/>
          <w:tab w:val="right" w:pos="8647"/>
        </w:tabs>
        <w:rPr>
          <w:rFonts w:ascii="Cambria" w:hAnsi="Cambria"/>
          <w:bCs/>
          <w:lang w:eastAsia="en-GB"/>
        </w:rPr>
      </w:pPr>
    </w:p>
    <w:p w14:paraId="03E2AE47" w14:textId="77777777" w:rsidR="004E41C9" w:rsidRPr="00946249" w:rsidRDefault="004E41C9" w:rsidP="000D664A">
      <w:pPr>
        <w:tabs>
          <w:tab w:val="left" w:pos="851"/>
          <w:tab w:val="left" w:pos="1134"/>
          <w:tab w:val="left" w:pos="1418"/>
          <w:tab w:val="left" w:leader="dot" w:pos="8222"/>
          <w:tab w:val="right" w:pos="8647"/>
        </w:tabs>
        <w:rPr>
          <w:rFonts w:ascii="Cambria" w:hAnsi="Cambria"/>
          <w:bCs/>
          <w:i/>
        </w:rPr>
      </w:pPr>
      <w:r w:rsidRPr="00946249">
        <w:rPr>
          <w:rFonts w:ascii="Cambria" w:hAnsi="Cambria"/>
          <w:i/>
        </w:rPr>
        <w:t>[15-06]</w:t>
      </w:r>
      <w:r w:rsidRPr="00946249">
        <w:rPr>
          <w:rFonts w:ascii="Cambria" w:hAnsi="Cambria"/>
          <w:i/>
        </w:rPr>
        <w:tab/>
        <w:t xml:space="preserve">Recomendación de ICCAT sobre marrajo </w:t>
      </w:r>
      <w:proofErr w:type="spellStart"/>
      <w:r w:rsidRPr="00946249">
        <w:rPr>
          <w:rFonts w:ascii="Cambria" w:hAnsi="Cambria"/>
          <w:i/>
        </w:rPr>
        <w:t>dientuso</w:t>
      </w:r>
      <w:proofErr w:type="spellEnd"/>
      <w:r w:rsidRPr="00946249">
        <w:rPr>
          <w:rFonts w:ascii="Cambria" w:hAnsi="Cambria"/>
          <w:i/>
        </w:rPr>
        <w:t xml:space="preserve"> del Atlántico capturado en asociación con pesquerías de ICCAT</w:t>
      </w:r>
    </w:p>
    <w:p w14:paraId="2A448B19" w14:textId="77777777" w:rsidR="004E41C9" w:rsidRPr="00946249" w:rsidRDefault="004E41C9" w:rsidP="004E41C9">
      <w:pPr>
        <w:tabs>
          <w:tab w:val="left" w:pos="1276"/>
          <w:tab w:val="left" w:leader="dot" w:pos="8222"/>
          <w:tab w:val="right" w:pos="8647"/>
        </w:tabs>
        <w:ind w:left="1417" w:hanging="992"/>
        <w:rPr>
          <w:rFonts w:ascii="Cambria" w:hAnsi="Cambria"/>
        </w:rPr>
      </w:pPr>
    </w:p>
    <w:p w14:paraId="2299057E" w14:textId="040D7263" w:rsidR="004E41C9" w:rsidRPr="00946249" w:rsidRDefault="004E41C9" w:rsidP="004E41C9">
      <w:pPr>
        <w:tabs>
          <w:tab w:val="left" w:pos="1276"/>
          <w:tab w:val="left" w:leader="dot" w:pos="8222"/>
          <w:tab w:val="right" w:pos="8647"/>
        </w:tabs>
        <w:jc w:val="both"/>
        <w:rPr>
          <w:rFonts w:ascii="Cambria" w:hAnsi="Cambria"/>
        </w:rPr>
      </w:pPr>
      <w:r w:rsidRPr="00946249">
        <w:rPr>
          <w:rFonts w:ascii="Cambria" w:hAnsi="Cambria"/>
        </w:rPr>
        <w:t xml:space="preserve">Para la información comunicada, véase la Rec. 18-06 más abajo. </w:t>
      </w:r>
    </w:p>
    <w:p w14:paraId="63746A38" w14:textId="77777777" w:rsidR="004E41C9" w:rsidRPr="00946249" w:rsidRDefault="004E41C9" w:rsidP="004E41C9">
      <w:pPr>
        <w:tabs>
          <w:tab w:val="left" w:pos="1276"/>
          <w:tab w:val="left" w:pos="1418"/>
          <w:tab w:val="left" w:leader="dot" w:pos="8222"/>
          <w:tab w:val="right" w:pos="8647"/>
        </w:tabs>
        <w:ind w:left="1276" w:hanging="992"/>
        <w:rPr>
          <w:rFonts w:ascii="Cambria" w:hAnsi="Cambria"/>
          <w:bCs/>
          <w:lang w:eastAsia="en-GB"/>
        </w:rPr>
      </w:pPr>
    </w:p>
    <w:p w14:paraId="45987639" w14:textId="71963819" w:rsidR="0044546A" w:rsidRPr="00946249" w:rsidRDefault="0044546A" w:rsidP="0044546A">
      <w:pPr>
        <w:tabs>
          <w:tab w:val="left" w:pos="1276"/>
          <w:tab w:val="left" w:pos="1418"/>
          <w:tab w:val="left" w:leader="dot" w:pos="8222"/>
          <w:tab w:val="right" w:pos="8647"/>
        </w:tabs>
        <w:jc w:val="both"/>
        <w:rPr>
          <w:rFonts w:ascii="Cambria" w:hAnsi="Cambria"/>
          <w:iCs/>
        </w:rPr>
      </w:pPr>
      <w:r w:rsidRPr="00946249">
        <w:rPr>
          <w:rFonts w:ascii="Cambria" w:hAnsi="Cambria"/>
          <w:i/>
        </w:rPr>
        <w:t>[23-10] Recomendación de ICCAT que reemplaza la Recomendación 19-07 sobre medidas de ordenación para la conservación del tiburón azul del Atlántico norte capturado en asociación con las pesquerías de ICCAT</w:t>
      </w:r>
    </w:p>
    <w:p w14:paraId="549822FE" w14:textId="77777777" w:rsidR="009167F1" w:rsidRPr="00946249" w:rsidRDefault="009167F1" w:rsidP="004E41C9">
      <w:pPr>
        <w:widowControl/>
        <w:autoSpaceDE/>
        <w:autoSpaceDN/>
        <w:adjustRightInd/>
        <w:jc w:val="both"/>
        <w:rPr>
          <w:rFonts w:ascii="Cambria" w:hAnsi="Cambria"/>
          <w:bCs/>
          <w:i/>
          <w:lang w:eastAsia="en-GB"/>
        </w:rPr>
      </w:pPr>
    </w:p>
    <w:p w14:paraId="712BEF1F" w14:textId="3B10042C" w:rsidR="005949C4" w:rsidRPr="00946249" w:rsidRDefault="005949C4" w:rsidP="005949C4">
      <w:pPr>
        <w:jc w:val="both"/>
        <w:rPr>
          <w:rFonts w:ascii="Cambria" w:hAnsi="Cambria"/>
        </w:rPr>
      </w:pPr>
      <w:r w:rsidRPr="00946249">
        <w:rPr>
          <w:rFonts w:ascii="Cambria" w:hAnsi="Cambria"/>
        </w:rPr>
        <w:t>La Comisión estableció en la 28ª Reunión ordinaria de ICCAT un total admisible de capturas (TAC) anual para el tiburón azul del Atlántico norte de 30.000 t a partir de 2024.</w:t>
      </w:r>
    </w:p>
    <w:p w14:paraId="67458693" w14:textId="77777777" w:rsidR="00701334" w:rsidRPr="00946249" w:rsidRDefault="00701334" w:rsidP="005949C4">
      <w:pPr>
        <w:jc w:val="both"/>
        <w:rPr>
          <w:rFonts w:ascii="Cambria" w:hAnsi="Cambria"/>
        </w:rPr>
      </w:pPr>
    </w:p>
    <w:p w14:paraId="3D817F0F" w14:textId="40AA438D" w:rsidR="005949C4" w:rsidRPr="00946249" w:rsidRDefault="005949C4" w:rsidP="005949C4">
      <w:pPr>
        <w:jc w:val="both"/>
        <w:rPr>
          <w:rFonts w:ascii="Cambria" w:hAnsi="Cambria"/>
        </w:rPr>
      </w:pPr>
      <w:r w:rsidRPr="00946249">
        <w:rPr>
          <w:rFonts w:ascii="Cambria" w:hAnsi="Cambria"/>
        </w:rPr>
        <w:t>Si en un año cualquiera las capturas totales de tiburón azul del Atlántico norte superan el TAC, la Comisión revisará la implementación de estas medidas.</w:t>
      </w:r>
    </w:p>
    <w:p w14:paraId="173E5674" w14:textId="77777777" w:rsidR="00073F57" w:rsidRPr="00946249" w:rsidRDefault="00073F57" w:rsidP="005949C4">
      <w:pPr>
        <w:jc w:val="both"/>
        <w:rPr>
          <w:rFonts w:ascii="Cambria" w:hAnsi="Cambria"/>
        </w:rPr>
      </w:pPr>
    </w:p>
    <w:p w14:paraId="1E6889A9" w14:textId="47A58B0B" w:rsidR="005949C4" w:rsidRPr="00946249" w:rsidRDefault="005949C4" w:rsidP="005949C4">
      <w:pPr>
        <w:jc w:val="both"/>
        <w:rPr>
          <w:rFonts w:ascii="Cambria" w:hAnsi="Cambria"/>
        </w:rPr>
      </w:pP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muestran las capturas totales, de las que se desprende que el stock no ha </w:t>
      </w:r>
      <w:r w:rsidR="00864E4B" w:rsidRPr="00946249">
        <w:rPr>
          <w:rFonts w:ascii="Cambria" w:hAnsi="Cambria"/>
        </w:rPr>
        <w:t xml:space="preserve">sido objeto de exceso de captura </w:t>
      </w:r>
      <w:r w:rsidRPr="00946249">
        <w:rPr>
          <w:rFonts w:ascii="Cambria" w:hAnsi="Cambria"/>
        </w:rPr>
        <w:t xml:space="preserve">en 2024: </w:t>
      </w:r>
    </w:p>
    <w:p w14:paraId="2B75E187" w14:textId="77777777" w:rsidR="005949C4" w:rsidRPr="00946249" w:rsidRDefault="005949C4" w:rsidP="006D1DE6">
      <w:pPr>
        <w:rPr>
          <w:rFonts w:ascii="Cambria" w:hAnsi="Cambria"/>
        </w:rPr>
      </w:pPr>
    </w:p>
    <w:p w14:paraId="6459B64E" w14:textId="77777777" w:rsidR="005949C4" w:rsidRPr="00946249" w:rsidRDefault="005949C4" w:rsidP="005949C4">
      <w:pPr>
        <w:rPr>
          <w:rFonts w:ascii="Cambria" w:hAnsi="Cambria"/>
        </w:rPr>
      </w:pPr>
      <w:r w:rsidRPr="00946249">
        <w:rPr>
          <w:rFonts w:ascii="Cambria" w:hAnsi="Cambria"/>
        </w:rPr>
        <w:t>Datos de Tarea 1 (solo datos comunicados):</w:t>
      </w:r>
    </w:p>
    <w:p w14:paraId="60B3CC5D" w14:textId="77777777" w:rsidR="005949C4" w:rsidRPr="00946249" w:rsidRDefault="005949C4" w:rsidP="006D1DE6">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75"/>
        <w:gridCol w:w="1320"/>
        <w:gridCol w:w="1318"/>
        <w:gridCol w:w="1318"/>
        <w:gridCol w:w="1318"/>
        <w:gridCol w:w="1316"/>
      </w:tblGrid>
      <w:tr w:rsidR="00A84054" w:rsidRPr="00946249" w14:paraId="098A8F3F" w14:textId="1E3D99EB" w:rsidTr="00AA5ADC">
        <w:tc>
          <w:tcPr>
            <w:tcW w:w="1365" w:type="pct"/>
            <w:shd w:val="clear" w:color="auto" w:fill="FFFFFF"/>
            <w:vAlign w:val="center"/>
            <w:hideMark/>
          </w:tcPr>
          <w:p w14:paraId="6CB3F98D" w14:textId="77777777" w:rsidR="00A84054" w:rsidRPr="00946249" w:rsidRDefault="00A84054" w:rsidP="00761E12">
            <w:pPr>
              <w:widowControl/>
              <w:autoSpaceDE/>
              <w:autoSpaceDN/>
              <w:adjustRightInd/>
              <w:jc w:val="center"/>
              <w:rPr>
                <w:rFonts w:ascii="Cambria" w:hAnsi="Cambria"/>
                <w:i/>
                <w:iCs/>
              </w:rPr>
            </w:pPr>
            <w:r w:rsidRPr="00946249">
              <w:rPr>
                <w:rFonts w:ascii="Cambria" w:hAnsi="Cambria"/>
                <w:i/>
              </w:rPr>
              <w:t>Tiburón azul</w:t>
            </w:r>
          </w:p>
        </w:tc>
        <w:tc>
          <w:tcPr>
            <w:tcW w:w="728" w:type="pct"/>
            <w:shd w:val="clear" w:color="auto" w:fill="FFFFFF"/>
            <w:vAlign w:val="center"/>
            <w:hideMark/>
          </w:tcPr>
          <w:p w14:paraId="4F799A65" w14:textId="77777777" w:rsidR="00A84054" w:rsidRPr="00946249" w:rsidRDefault="00A84054" w:rsidP="00761E12">
            <w:pPr>
              <w:widowControl/>
              <w:autoSpaceDE/>
              <w:autoSpaceDN/>
              <w:adjustRightInd/>
              <w:jc w:val="center"/>
              <w:rPr>
                <w:rFonts w:ascii="Cambria" w:hAnsi="Cambria"/>
                <w:i/>
                <w:iCs/>
              </w:rPr>
            </w:pPr>
            <w:r w:rsidRPr="00946249">
              <w:rPr>
                <w:rFonts w:ascii="Cambria" w:hAnsi="Cambria"/>
                <w:i/>
              </w:rPr>
              <w:t>2020</w:t>
            </w:r>
          </w:p>
        </w:tc>
        <w:tc>
          <w:tcPr>
            <w:tcW w:w="727" w:type="pct"/>
            <w:shd w:val="clear" w:color="auto" w:fill="FFFFFF"/>
          </w:tcPr>
          <w:p w14:paraId="0724FE6B" w14:textId="77777777" w:rsidR="00A84054" w:rsidRPr="00946249" w:rsidRDefault="00A84054" w:rsidP="00761E12">
            <w:pPr>
              <w:widowControl/>
              <w:autoSpaceDE/>
              <w:autoSpaceDN/>
              <w:adjustRightInd/>
              <w:jc w:val="center"/>
              <w:rPr>
                <w:rFonts w:ascii="Cambria" w:hAnsi="Cambria"/>
                <w:i/>
                <w:iCs/>
              </w:rPr>
            </w:pPr>
            <w:r w:rsidRPr="00946249">
              <w:rPr>
                <w:rFonts w:ascii="Cambria" w:hAnsi="Cambria"/>
                <w:i/>
              </w:rPr>
              <w:t>2021</w:t>
            </w:r>
          </w:p>
        </w:tc>
        <w:tc>
          <w:tcPr>
            <w:tcW w:w="727" w:type="pct"/>
            <w:shd w:val="clear" w:color="auto" w:fill="FFFFFF"/>
          </w:tcPr>
          <w:p w14:paraId="31410DAA" w14:textId="77777777" w:rsidR="00A84054" w:rsidRPr="00946249" w:rsidRDefault="00A84054" w:rsidP="00761E12">
            <w:pPr>
              <w:widowControl/>
              <w:autoSpaceDE/>
              <w:autoSpaceDN/>
              <w:adjustRightInd/>
              <w:jc w:val="center"/>
              <w:rPr>
                <w:rFonts w:ascii="Cambria" w:hAnsi="Cambria"/>
                <w:i/>
                <w:iCs/>
              </w:rPr>
            </w:pPr>
            <w:r w:rsidRPr="00946249">
              <w:rPr>
                <w:rFonts w:ascii="Cambria" w:hAnsi="Cambria"/>
                <w:i/>
              </w:rPr>
              <w:t>2022</w:t>
            </w:r>
          </w:p>
        </w:tc>
        <w:tc>
          <w:tcPr>
            <w:tcW w:w="727" w:type="pct"/>
            <w:shd w:val="clear" w:color="auto" w:fill="FFFFFF"/>
          </w:tcPr>
          <w:p w14:paraId="27B5EE7A" w14:textId="77777777" w:rsidR="00A84054" w:rsidRPr="00946249" w:rsidRDefault="00A84054" w:rsidP="00761E12">
            <w:pPr>
              <w:widowControl/>
              <w:autoSpaceDE/>
              <w:autoSpaceDN/>
              <w:adjustRightInd/>
              <w:jc w:val="center"/>
              <w:rPr>
                <w:rFonts w:ascii="Cambria" w:hAnsi="Cambria"/>
                <w:i/>
                <w:iCs/>
              </w:rPr>
            </w:pPr>
            <w:r w:rsidRPr="00946249">
              <w:rPr>
                <w:rFonts w:ascii="Cambria" w:hAnsi="Cambria"/>
                <w:i/>
              </w:rPr>
              <w:t>2023</w:t>
            </w:r>
          </w:p>
        </w:tc>
        <w:tc>
          <w:tcPr>
            <w:tcW w:w="726" w:type="pct"/>
            <w:shd w:val="clear" w:color="auto" w:fill="FFFFFF"/>
          </w:tcPr>
          <w:p w14:paraId="3C467E80" w14:textId="7C8D5D31" w:rsidR="00A84054" w:rsidRPr="00946249" w:rsidRDefault="00A84054" w:rsidP="00761E12">
            <w:pPr>
              <w:widowControl/>
              <w:autoSpaceDE/>
              <w:autoSpaceDN/>
              <w:adjustRightInd/>
              <w:jc w:val="center"/>
              <w:rPr>
                <w:rFonts w:ascii="Cambria" w:hAnsi="Cambria"/>
                <w:i/>
                <w:iCs/>
              </w:rPr>
            </w:pPr>
            <w:r w:rsidRPr="00946249">
              <w:rPr>
                <w:rFonts w:ascii="Cambria" w:hAnsi="Cambria"/>
                <w:i/>
              </w:rPr>
              <w:t>2024</w:t>
            </w:r>
          </w:p>
        </w:tc>
      </w:tr>
      <w:tr w:rsidR="00227D7B" w:rsidRPr="00946249" w14:paraId="38A4E1DF" w14:textId="776FBBD4" w:rsidTr="00AA5ADC">
        <w:tc>
          <w:tcPr>
            <w:tcW w:w="1365" w:type="pct"/>
            <w:shd w:val="clear" w:color="auto" w:fill="FFFFFF"/>
            <w:vAlign w:val="center"/>
            <w:hideMark/>
          </w:tcPr>
          <w:p w14:paraId="23A61DF5" w14:textId="2B12810C" w:rsidR="00227D7B" w:rsidRPr="00946249" w:rsidRDefault="00227D7B" w:rsidP="00227D7B">
            <w:pPr>
              <w:widowControl/>
              <w:autoSpaceDE/>
              <w:autoSpaceDN/>
              <w:adjustRightInd/>
              <w:jc w:val="center"/>
              <w:rPr>
                <w:rFonts w:ascii="Cambria" w:hAnsi="Cambria"/>
                <w:color w:val="000000"/>
              </w:rPr>
            </w:pPr>
            <w:r w:rsidRPr="00946249">
              <w:rPr>
                <w:rFonts w:ascii="Cambria" w:hAnsi="Cambria"/>
                <w:color w:val="000000"/>
              </w:rPr>
              <w:t>ATN</w:t>
            </w:r>
          </w:p>
        </w:tc>
        <w:tc>
          <w:tcPr>
            <w:tcW w:w="728" w:type="pct"/>
            <w:shd w:val="clear" w:color="auto" w:fill="FFFFFF"/>
            <w:hideMark/>
          </w:tcPr>
          <w:p w14:paraId="36D81114" w14:textId="0390AF60" w:rsidR="00227D7B" w:rsidRPr="00946249" w:rsidRDefault="00227D7B" w:rsidP="00227D7B">
            <w:pPr>
              <w:widowControl/>
              <w:autoSpaceDE/>
              <w:autoSpaceDN/>
              <w:adjustRightInd/>
              <w:jc w:val="center"/>
              <w:rPr>
                <w:rFonts w:ascii="Cambria" w:hAnsi="Cambria"/>
              </w:rPr>
            </w:pPr>
            <w:r w:rsidRPr="00946249">
              <w:rPr>
                <w:rFonts w:ascii="Cambria" w:hAnsi="Cambria"/>
              </w:rPr>
              <w:t>20</w:t>
            </w:r>
            <w:r w:rsidR="008F0312" w:rsidRPr="00946249">
              <w:rPr>
                <w:rFonts w:ascii="Cambria" w:hAnsi="Cambria"/>
              </w:rPr>
              <w:t>.</w:t>
            </w:r>
            <w:r w:rsidRPr="00946249">
              <w:rPr>
                <w:rFonts w:ascii="Cambria" w:hAnsi="Cambria"/>
              </w:rPr>
              <w:t>949</w:t>
            </w:r>
          </w:p>
        </w:tc>
        <w:tc>
          <w:tcPr>
            <w:tcW w:w="727" w:type="pct"/>
            <w:shd w:val="clear" w:color="auto" w:fill="FFFFFF"/>
          </w:tcPr>
          <w:p w14:paraId="1A13F446" w14:textId="60A499B0" w:rsidR="00227D7B" w:rsidRPr="00946249" w:rsidRDefault="00227D7B" w:rsidP="00227D7B">
            <w:pPr>
              <w:widowControl/>
              <w:autoSpaceDE/>
              <w:autoSpaceDN/>
              <w:adjustRightInd/>
              <w:jc w:val="center"/>
              <w:rPr>
                <w:rFonts w:ascii="Cambria" w:hAnsi="Cambria"/>
              </w:rPr>
            </w:pPr>
            <w:r w:rsidRPr="00946249">
              <w:rPr>
                <w:rFonts w:ascii="Cambria" w:hAnsi="Cambria"/>
              </w:rPr>
              <w:t>21</w:t>
            </w:r>
            <w:r w:rsidR="008F0312" w:rsidRPr="00946249">
              <w:rPr>
                <w:rFonts w:ascii="Cambria" w:hAnsi="Cambria"/>
              </w:rPr>
              <w:t>.</w:t>
            </w:r>
            <w:r w:rsidRPr="00946249">
              <w:rPr>
                <w:rFonts w:ascii="Cambria" w:hAnsi="Cambria"/>
              </w:rPr>
              <w:t>631</w:t>
            </w:r>
          </w:p>
        </w:tc>
        <w:tc>
          <w:tcPr>
            <w:tcW w:w="727" w:type="pct"/>
            <w:shd w:val="clear" w:color="auto" w:fill="FFFFFF"/>
          </w:tcPr>
          <w:p w14:paraId="0A8EEA43" w14:textId="25A8EE66" w:rsidR="00227D7B" w:rsidRPr="00946249" w:rsidRDefault="00227D7B" w:rsidP="00227D7B">
            <w:pPr>
              <w:widowControl/>
              <w:autoSpaceDE/>
              <w:autoSpaceDN/>
              <w:adjustRightInd/>
              <w:jc w:val="center"/>
              <w:rPr>
                <w:rFonts w:ascii="Cambria" w:hAnsi="Cambria"/>
              </w:rPr>
            </w:pPr>
            <w:r w:rsidRPr="00946249">
              <w:rPr>
                <w:rFonts w:ascii="Cambria" w:hAnsi="Cambria"/>
              </w:rPr>
              <w:t>21</w:t>
            </w:r>
            <w:r w:rsidR="008F0312" w:rsidRPr="00946249">
              <w:rPr>
                <w:rFonts w:ascii="Cambria" w:hAnsi="Cambria"/>
              </w:rPr>
              <w:t>.</w:t>
            </w:r>
            <w:r w:rsidRPr="00946249">
              <w:rPr>
                <w:rFonts w:ascii="Cambria" w:hAnsi="Cambria"/>
              </w:rPr>
              <w:t>846</w:t>
            </w:r>
          </w:p>
        </w:tc>
        <w:tc>
          <w:tcPr>
            <w:tcW w:w="727" w:type="pct"/>
            <w:shd w:val="clear" w:color="auto" w:fill="FFFFFF"/>
          </w:tcPr>
          <w:p w14:paraId="27BDD519" w14:textId="5CCE8363" w:rsidR="00227D7B" w:rsidRPr="00946249" w:rsidRDefault="00227D7B" w:rsidP="00227D7B">
            <w:pPr>
              <w:widowControl/>
              <w:autoSpaceDE/>
              <w:autoSpaceDN/>
              <w:adjustRightInd/>
              <w:jc w:val="center"/>
              <w:rPr>
                <w:rFonts w:ascii="Cambria" w:hAnsi="Cambria"/>
                <w:color w:val="FF0000"/>
              </w:rPr>
            </w:pPr>
            <w:r w:rsidRPr="00946249">
              <w:rPr>
                <w:rFonts w:ascii="Cambria" w:hAnsi="Cambria"/>
              </w:rPr>
              <w:t>23</w:t>
            </w:r>
            <w:r w:rsidR="008F0312" w:rsidRPr="00946249">
              <w:rPr>
                <w:rFonts w:ascii="Cambria" w:hAnsi="Cambria"/>
              </w:rPr>
              <w:t>.</w:t>
            </w:r>
            <w:r w:rsidRPr="00946249">
              <w:rPr>
                <w:rFonts w:ascii="Cambria" w:hAnsi="Cambria"/>
              </w:rPr>
              <w:t>780</w:t>
            </w:r>
          </w:p>
        </w:tc>
        <w:tc>
          <w:tcPr>
            <w:tcW w:w="726" w:type="pct"/>
            <w:shd w:val="clear" w:color="auto" w:fill="FFFFFF"/>
          </w:tcPr>
          <w:p w14:paraId="1485B139" w14:textId="79935FFA" w:rsidR="00227D7B" w:rsidRPr="00946249" w:rsidRDefault="00227D7B" w:rsidP="00227D7B">
            <w:pPr>
              <w:widowControl/>
              <w:autoSpaceDE/>
              <w:autoSpaceDN/>
              <w:adjustRightInd/>
              <w:jc w:val="center"/>
              <w:rPr>
                <w:rFonts w:ascii="Cambria" w:hAnsi="Cambria"/>
              </w:rPr>
            </w:pPr>
            <w:r w:rsidRPr="00946249">
              <w:rPr>
                <w:rFonts w:ascii="Cambria" w:hAnsi="Cambria"/>
              </w:rPr>
              <w:t>24</w:t>
            </w:r>
            <w:r w:rsidR="008F0312" w:rsidRPr="00946249">
              <w:rPr>
                <w:rFonts w:ascii="Cambria" w:hAnsi="Cambria"/>
              </w:rPr>
              <w:t>.</w:t>
            </w:r>
            <w:r w:rsidRPr="00946249">
              <w:rPr>
                <w:rFonts w:ascii="Cambria" w:hAnsi="Cambria"/>
              </w:rPr>
              <w:t>522</w:t>
            </w:r>
          </w:p>
        </w:tc>
      </w:tr>
    </w:tbl>
    <w:p w14:paraId="2879EDEC" w14:textId="77777777" w:rsidR="005949C4" w:rsidRPr="00946249" w:rsidRDefault="005949C4" w:rsidP="005949C4">
      <w:pPr>
        <w:jc w:val="both"/>
        <w:rPr>
          <w:rFonts w:ascii="Cambria" w:hAnsi="Cambria"/>
          <w:lang w:val="en-GB"/>
        </w:rPr>
      </w:pPr>
    </w:p>
    <w:p w14:paraId="68A93C44" w14:textId="77777777" w:rsidR="005949C4" w:rsidRPr="00946249" w:rsidRDefault="005949C4" w:rsidP="005949C4">
      <w:pPr>
        <w:jc w:val="both"/>
        <w:rPr>
          <w:rFonts w:ascii="Cambria" w:hAnsi="Cambria"/>
          <w:color w:val="000000" w:themeColor="text1"/>
        </w:rPr>
      </w:pPr>
      <w:r w:rsidRPr="00946249">
        <w:rPr>
          <w:rFonts w:ascii="Cambria" w:hAnsi="Cambria"/>
          <w:color w:val="000000" w:themeColor="text1"/>
        </w:rPr>
        <w:t xml:space="preserve">Las obligaciones de comunicación de Tarea 1 se revisan en virtud de la Rec. 11-15. La Recomendación requiere que desde 2020 las CPC describan en sus informes anuales sus programas de recopilación de datos y lo pasos dados para implementar esta Recomendación. Estos informes están incluidos en la hoja de comprobación de tiburones (véase la Rec. 18-06 más abajo). </w:t>
      </w:r>
    </w:p>
    <w:p w14:paraId="308ECBC4" w14:textId="77777777" w:rsidR="005949C4" w:rsidRPr="00946249" w:rsidRDefault="005949C4" w:rsidP="006D1DE6">
      <w:pPr>
        <w:widowControl/>
        <w:autoSpaceDE/>
        <w:autoSpaceDN/>
        <w:adjustRightInd/>
        <w:jc w:val="both"/>
        <w:rPr>
          <w:rFonts w:ascii="Cambria" w:hAnsi="Cambria"/>
          <w:bCs/>
          <w:i/>
          <w:lang w:eastAsia="en-GB"/>
        </w:rPr>
      </w:pPr>
    </w:p>
    <w:p w14:paraId="765B37D2" w14:textId="7DF819A6" w:rsidR="0064289F" w:rsidRPr="00946249" w:rsidRDefault="004E41C9" w:rsidP="0064289F">
      <w:pPr>
        <w:tabs>
          <w:tab w:val="left" w:pos="1276"/>
          <w:tab w:val="left" w:pos="1418"/>
          <w:tab w:val="left" w:leader="dot" w:pos="8222"/>
          <w:tab w:val="right" w:pos="8647"/>
        </w:tabs>
        <w:jc w:val="both"/>
        <w:rPr>
          <w:rFonts w:ascii="Cambria" w:hAnsi="Cambria"/>
        </w:rPr>
      </w:pPr>
      <w:r w:rsidRPr="00946249">
        <w:rPr>
          <w:rFonts w:ascii="Cambria" w:hAnsi="Cambria"/>
          <w:b/>
          <w:bCs/>
          <w:i/>
          <w:iCs/>
        </w:rPr>
        <w:t>Cumplimiento de las cuotas/límites de captura:</w:t>
      </w:r>
      <w:r w:rsidRPr="00946249">
        <w:rPr>
          <w:rFonts w:ascii="Cambria" w:hAnsi="Cambria"/>
        </w:rPr>
        <w:t xml:space="preserve"> Véase el documento "Tablas de cumplimiento de 2024 recibidas en 2025" [COC_304/2025].</w:t>
      </w:r>
    </w:p>
    <w:p w14:paraId="6ECC1F81" w14:textId="77777777" w:rsidR="004E41C9" w:rsidRPr="00946249" w:rsidRDefault="004E41C9" w:rsidP="004E41C9">
      <w:pPr>
        <w:widowControl/>
        <w:autoSpaceDE/>
        <w:autoSpaceDN/>
        <w:adjustRightInd/>
        <w:jc w:val="both"/>
        <w:rPr>
          <w:rFonts w:ascii="Cambria" w:hAnsi="Cambria"/>
          <w:bCs/>
          <w:i/>
          <w:lang w:eastAsia="en-GB"/>
        </w:rPr>
      </w:pPr>
    </w:p>
    <w:p w14:paraId="27E1784C" w14:textId="2ECD49D8" w:rsidR="004E41C9" w:rsidRPr="00946249" w:rsidRDefault="004E41C9" w:rsidP="004E41C9">
      <w:pPr>
        <w:widowControl/>
        <w:autoSpaceDE/>
        <w:autoSpaceDN/>
        <w:adjustRightInd/>
        <w:jc w:val="both"/>
        <w:rPr>
          <w:rFonts w:ascii="Cambria" w:hAnsi="Cambria"/>
        </w:rPr>
      </w:pPr>
      <w:r w:rsidRPr="00946249">
        <w:rPr>
          <w:rFonts w:ascii="Cambria" w:hAnsi="Cambria"/>
        </w:rPr>
        <w:t xml:space="preserve">Para la aplicación de estas medidas, véanse las "Hojas de comprobación de tiburones recibidas de acuerdo con la Rec. 18-06" [COC_314/2025]. </w:t>
      </w:r>
    </w:p>
    <w:p w14:paraId="0FD0CCC3" w14:textId="77777777" w:rsidR="004E41C9" w:rsidRPr="00946249" w:rsidRDefault="004E41C9" w:rsidP="004E41C9">
      <w:pPr>
        <w:widowControl/>
        <w:autoSpaceDE/>
        <w:autoSpaceDN/>
        <w:adjustRightInd/>
        <w:rPr>
          <w:rFonts w:ascii="Cambria" w:hAnsi="Cambria"/>
        </w:rPr>
      </w:pPr>
    </w:p>
    <w:p w14:paraId="4C3DAF8C" w14:textId="56FA9FE3" w:rsidR="0044546A" w:rsidRPr="00946249" w:rsidRDefault="0044546A" w:rsidP="0044546A">
      <w:pPr>
        <w:tabs>
          <w:tab w:val="left" w:pos="1276"/>
          <w:tab w:val="left" w:pos="1418"/>
          <w:tab w:val="left" w:leader="dot" w:pos="8222"/>
          <w:tab w:val="right" w:pos="8647"/>
        </w:tabs>
        <w:jc w:val="both"/>
        <w:rPr>
          <w:rFonts w:ascii="Cambria" w:hAnsi="Cambria"/>
          <w:iCs/>
        </w:rPr>
      </w:pPr>
      <w:r w:rsidRPr="00946249">
        <w:rPr>
          <w:rFonts w:ascii="Cambria" w:hAnsi="Cambria"/>
          <w:i/>
        </w:rPr>
        <w:t>[23-11] Recomendación de ICCAT que reemplaza la Recomendación 19-08 sobre medidas de ordenación para la conservación del tiburón azul del Atlántico sur capturado en asociación con las pesquerías de ICCAT</w:t>
      </w:r>
    </w:p>
    <w:p w14:paraId="5745B352" w14:textId="3DE66EFB" w:rsidR="004E41C9" w:rsidRPr="00946249" w:rsidRDefault="004E41C9" w:rsidP="009A22E5">
      <w:pPr>
        <w:jc w:val="both"/>
        <w:rPr>
          <w:rFonts w:ascii="Cambria" w:hAnsi="Cambria"/>
        </w:rPr>
      </w:pPr>
      <w:r w:rsidRPr="00946249">
        <w:rPr>
          <w:rFonts w:ascii="Cambria" w:hAnsi="Cambria"/>
        </w:rPr>
        <w:lastRenderedPageBreak/>
        <w:t>La Comisión estableció en la 28ª Reunión ordinaria de ICCAT un total admisible de capturas (TAC) anual de 27.711 t a partir de 2024.</w:t>
      </w:r>
    </w:p>
    <w:p w14:paraId="3E0638E8" w14:textId="77777777" w:rsidR="00701334" w:rsidRPr="00946249" w:rsidRDefault="00701334" w:rsidP="009A22E5">
      <w:pPr>
        <w:jc w:val="both"/>
        <w:rPr>
          <w:rFonts w:ascii="Cambria" w:hAnsi="Cambria"/>
        </w:rPr>
      </w:pPr>
    </w:p>
    <w:p w14:paraId="16723ADA" w14:textId="77777777" w:rsidR="009170D2" w:rsidRPr="00946249" w:rsidRDefault="009170D2" w:rsidP="009170D2">
      <w:pPr>
        <w:jc w:val="both"/>
        <w:rPr>
          <w:rFonts w:ascii="Cambria" w:hAnsi="Cambria"/>
        </w:rPr>
      </w:pPr>
      <w:r w:rsidRPr="00946249">
        <w:rPr>
          <w:rFonts w:ascii="Cambria" w:hAnsi="Cambria"/>
        </w:rPr>
        <w:t>Esta Recomendación se revisará teniendo en cuenta los resultados de la próxima evaluación de stock de</w:t>
      </w:r>
    </w:p>
    <w:p w14:paraId="3FF23122" w14:textId="089770FD" w:rsidR="00F6554D" w:rsidRPr="00946249" w:rsidRDefault="009170D2" w:rsidP="009170D2">
      <w:pPr>
        <w:jc w:val="both"/>
        <w:rPr>
          <w:rFonts w:ascii="Cambria" w:hAnsi="Cambria"/>
        </w:rPr>
      </w:pPr>
      <w:r w:rsidRPr="00946249">
        <w:rPr>
          <w:rFonts w:ascii="Cambria" w:hAnsi="Cambria"/>
        </w:rPr>
        <w:t>tiburón azul del Atlántico sur por parte del SCRS.</w:t>
      </w:r>
    </w:p>
    <w:p w14:paraId="27FD3E90" w14:textId="77777777" w:rsidR="004E41C9" w:rsidRPr="00946249" w:rsidRDefault="004E41C9" w:rsidP="004E41C9">
      <w:pPr>
        <w:jc w:val="both"/>
        <w:rPr>
          <w:rFonts w:ascii="Cambria" w:hAnsi="Cambria"/>
        </w:rPr>
      </w:pPr>
    </w:p>
    <w:p w14:paraId="3955D1C3" w14:textId="50940101" w:rsidR="004E41C9" w:rsidRPr="00946249" w:rsidRDefault="004E41C9" w:rsidP="004E41C9">
      <w:pPr>
        <w:jc w:val="both"/>
        <w:rPr>
          <w:rFonts w:ascii="Cambria" w:hAnsi="Cambria"/>
        </w:rPr>
      </w:pP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muestran las capturas totales, de las que se desprende que el stock no </w:t>
      </w:r>
      <w:r w:rsidR="006B4A52" w:rsidRPr="00946249">
        <w:rPr>
          <w:rFonts w:ascii="Cambria" w:hAnsi="Cambria"/>
        </w:rPr>
        <w:t xml:space="preserve">sido objeto de exceso de captura </w:t>
      </w:r>
      <w:r w:rsidRPr="00946249">
        <w:rPr>
          <w:rFonts w:ascii="Cambria" w:hAnsi="Cambria"/>
        </w:rPr>
        <w:t xml:space="preserve">en 2024: </w:t>
      </w:r>
    </w:p>
    <w:p w14:paraId="2C5CE934" w14:textId="77777777" w:rsidR="004E41C9" w:rsidRPr="00946249" w:rsidRDefault="004E41C9" w:rsidP="004E41C9">
      <w:pPr>
        <w:rPr>
          <w:rFonts w:ascii="Cambria" w:hAnsi="Cambria"/>
        </w:rPr>
      </w:pPr>
    </w:p>
    <w:p w14:paraId="036B2EAF" w14:textId="77777777" w:rsidR="004E41C9" w:rsidRPr="00946249" w:rsidRDefault="004E41C9" w:rsidP="004E41C9">
      <w:pPr>
        <w:rPr>
          <w:rFonts w:ascii="Cambria" w:hAnsi="Cambria"/>
        </w:rPr>
      </w:pPr>
      <w:r w:rsidRPr="00946249">
        <w:rPr>
          <w:rFonts w:ascii="Cambria" w:hAnsi="Cambria"/>
        </w:rPr>
        <w:t>Datos de Tarea 1 (solo datos comunicados):</w:t>
      </w:r>
    </w:p>
    <w:p w14:paraId="41EAAB4B" w14:textId="77777777" w:rsidR="004E41C9" w:rsidRPr="00946249" w:rsidRDefault="004E41C9" w:rsidP="004E41C9">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75"/>
        <w:gridCol w:w="1320"/>
        <w:gridCol w:w="1318"/>
        <w:gridCol w:w="1318"/>
        <w:gridCol w:w="1318"/>
        <w:gridCol w:w="1316"/>
      </w:tblGrid>
      <w:tr w:rsidR="008124D0" w:rsidRPr="00946249" w14:paraId="6F1933BF" w14:textId="7D888D8D" w:rsidTr="00AA5ADC">
        <w:tc>
          <w:tcPr>
            <w:tcW w:w="1365" w:type="pct"/>
            <w:shd w:val="clear" w:color="auto" w:fill="FFFFFF"/>
            <w:vAlign w:val="center"/>
            <w:hideMark/>
          </w:tcPr>
          <w:p w14:paraId="62BA2D2B" w14:textId="77777777" w:rsidR="009170D2" w:rsidRPr="00946249" w:rsidRDefault="009170D2" w:rsidP="000C1506">
            <w:pPr>
              <w:widowControl/>
              <w:autoSpaceDE/>
              <w:autoSpaceDN/>
              <w:adjustRightInd/>
              <w:jc w:val="center"/>
              <w:rPr>
                <w:rFonts w:ascii="Cambria" w:hAnsi="Cambria"/>
                <w:i/>
                <w:iCs/>
              </w:rPr>
            </w:pPr>
            <w:r w:rsidRPr="00946249">
              <w:rPr>
                <w:rFonts w:ascii="Cambria" w:hAnsi="Cambria"/>
                <w:i/>
              </w:rPr>
              <w:t>Tiburón azul</w:t>
            </w:r>
          </w:p>
        </w:tc>
        <w:tc>
          <w:tcPr>
            <w:tcW w:w="728" w:type="pct"/>
            <w:shd w:val="clear" w:color="auto" w:fill="FFFFFF"/>
            <w:vAlign w:val="center"/>
            <w:hideMark/>
          </w:tcPr>
          <w:p w14:paraId="1B63AB0E" w14:textId="77777777" w:rsidR="009170D2" w:rsidRPr="00946249" w:rsidRDefault="009170D2" w:rsidP="000C1506">
            <w:pPr>
              <w:widowControl/>
              <w:autoSpaceDE/>
              <w:autoSpaceDN/>
              <w:adjustRightInd/>
              <w:jc w:val="center"/>
              <w:rPr>
                <w:rFonts w:ascii="Cambria" w:hAnsi="Cambria"/>
                <w:i/>
                <w:iCs/>
              </w:rPr>
            </w:pPr>
            <w:r w:rsidRPr="00946249">
              <w:rPr>
                <w:rFonts w:ascii="Cambria" w:hAnsi="Cambria"/>
                <w:i/>
              </w:rPr>
              <w:t>2020</w:t>
            </w:r>
          </w:p>
        </w:tc>
        <w:tc>
          <w:tcPr>
            <w:tcW w:w="727" w:type="pct"/>
            <w:shd w:val="clear" w:color="auto" w:fill="FFFFFF"/>
          </w:tcPr>
          <w:p w14:paraId="59A60928" w14:textId="77777777" w:rsidR="009170D2" w:rsidRPr="00946249" w:rsidRDefault="009170D2" w:rsidP="000C1506">
            <w:pPr>
              <w:widowControl/>
              <w:autoSpaceDE/>
              <w:autoSpaceDN/>
              <w:adjustRightInd/>
              <w:jc w:val="center"/>
              <w:rPr>
                <w:rFonts w:ascii="Cambria" w:hAnsi="Cambria"/>
                <w:i/>
                <w:iCs/>
              </w:rPr>
            </w:pPr>
            <w:r w:rsidRPr="00946249">
              <w:rPr>
                <w:rFonts w:ascii="Cambria" w:hAnsi="Cambria"/>
                <w:i/>
              </w:rPr>
              <w:t>2021</w:t>
            </w:r>
          </w:p>
        </w:tc>
        <w:tc>
          <w:tcPr>
            <w:tcW w:w="727" w:type="pct"/>
            <w:shd w:val="clear" w:color="auto" w:fill="FFFFFF"/>
          </w:tcPr>
          <w:p w14:paraId="51BA31E6" w14:textId="77777777" w:rsidR="009170D2" w:rsidRPr="00946249" w:rsidRDefault="009170D2" w:rsidP="000C1506">
            <w:pPr>
              <w:widowControl/>
              <w:autoSpaceDE/>
              <w:autoSpaceDN/>
              <w:adjustRightInd/>
              <w:jc w:val="center"/>
              <w:rPr>
                <w:rFonts w:ascii="Cambria" w:hAnsi="Cambria"/>
                <w:i/>
                <w:iCs/>
              </w:rPr>
            </w:pPr>
            <w:r w:rsidRPr="00946249">
              <w:rPr>
                <w:rFonts w:ascii="Cambria" w:hAnsi="Cambria"/>
                <w:i/>
              </w:rPr>
              <w:t>2022</w:t>
            </w:r>
          </w:p>
        </w:tc>
        <w:tc>
          <w:tcPr>
            <w:tcW w:w="727" w:type="pct"/>
            <w:shd w:val="clear" w:color="auto" w:fill="FFFFFF"/>
          </w:tcPr>
          <w:p w14:paraId="7D52A2DD" w14:textId="3F9DBEC6" w:rsidR="009170D2" w:rsidRPr="00946249" w:rsidRDefault="009170D2" w:rsidP="009167F1">
            <w:pPr>
              <w:widowControl/>
              <w:autoSpaceDE/>
              <w:autoSpaceDN/>
              <w:adjustRightInd/>
              <w:jc w:val="center"/>
              <w:rPr>
                <w:rFonts w:ascii="Cambria" w:hAnsi="Cambria"/>
                <w:i/>
                <w:iCs/>
              </w:rPr>
            </w:pPr>
            <w:r w:rsidRPr="00946249">
              <w:rPr>
                <w:rFonts w:ascii="Cambria" w:hAnsi="Cambria"/>
                <w:i/>
              </w:rPr>
              <w:t>2023</w:t>
            </w:r>
          </w:p>
        </w:tc>
        <w:tc>
          <w:tcPr>
            <w:tcW w:w="726" w:type="pct"/>
            <w:shd w:val="clear" w:color="auto" w:fill="FFFFFF"/>
          </w:tcPr>
          <w:p w14:paraId="7AAB4AC3" w14:textId="3C74F588" w:rsidR="009170D2" w:rsidRPr="00946249" w:rsidRDefault="009170D2" w:rsidP="009167F1">
            <w:pPr>
              <w:widowControl/>
              <w:autoSpaceDE/>
              <w:autoSpaceDN/>
              <w:adjustRightInd/>
              <w:jc w:val="center"/>
              <w:rPr>
                <w:rFonts w:ascii="Cambria" w:hAnsi="Cambria"/>
                <w:i/>
                <w:iCs/>
              </w:rPr>
            </w:pPr>
            <w:r w:rsidRPr="00946249">
              <w:rPr>
                <w:rFonts w:ascii="Cambria" w:hAnsi="Cambria"/>
                <w:i/>
              </w:rPr>
              <w:t>2024</w:t>
            </w:r>
          </w:p>
        </w:tc>
      </w:tr>
      <w:tr w:rsidR="008124D0" w:rsidRPr="00946249" w14:paraId="14BA110D" w14:textId="18601474" w:rsidTr="00AA5ADC">
        <w:tc>
          <w:tcPr>
            <w:tcW w:w="1365" w:type="pct"/>
            <w:shd w:val="clear" w:color="auto" w:fill="FFFFFF"/>
            <w:vAlign w:val="center"/>
            <w:hideMark/>
          </w:tcPr>
          <w:p w14:paraId="34E31582" w14:textId="2CD88AC7" w:rsidR="00227D7B" w:rsidRPr="00946249" w:rsidRDefault="00227D7B" w:rsidP="00227D7B">
            <w:pPr>
              <w:widowControl/>
              <w:autoSpaceDE/>
              <w:autoSpaceDN/>
              <w:adjustRightInd/>
              <w:jc w:val="center"/>
              <w:rPr>
                <w:rFonts w:ascii="Cambria" w:hAnsi="Cambria"/>
                <w:color w:val="000000"/>
              </w:rPr>
            </w:pPr>
            <w:r w:rsidRPr="00946249">
              <w:rPr>
                <w:rFonts w:ascii="Cambria" w:hAnsi="Cambria"/>
                <w:color w:val="000000"/>
              </w:rPr>
              <w:t>ATS</w:t>
            </w:r>
          </w:p>
        </w:tc>
        <w:tc>
          <w:tcPr>
            <w:tcW w:w="728" w:type="pct"/>
            <w:shd w:val="clear" w:color="auto" w:fill="FFFFFF"/>
            <w:hideMark/>
          </w:tcPr>
          <w:p w14:paraId="06BCDE18" w14:textId="5C3EE9FC" w:rsidR="00227D7B" w:rsidRPr="00946249" w:rsidRDefault="00227D7B" w:rsidP="00227D7B">
            <w:pPr>
              <w:widowControl/>
              <w:autoSpaceDE/>
              <w:autoSpaceDN/>
              <w:adjustRightInd/>
              <w:jc w:val="center"/>
              <w:rPr>
                <w:rFonts w:ascii="Cambria" w:hAnsi="Cambria"/>
              </w:rPr>
            </w:pPr>
            <w:r w:rsidRPr="00946249">
              <w:rPr>
                <w:rFonts w:ascii="Cambria" w:hAnsi="Cambria"/>
              </w:rPr>
              <w:t>33</w:t>
            </w:r>
            <w:r w:rsidR="00632FCC" w:rsidRPr="00946249">
              <w:rPr>
                <w:rFonts w:ascii="Cambria" w:hAnsi="Cambria"/>
              </w:rPr>
              <w:t>.</w:t>
            </w:r>
            <w:r w:rsidRPr="00946249">
              <w:rPr>
                <w:rFonts w:ascii="Cambria" w:hAnsi="Cambria"/>
              </w:rPr>
              <w:t>688</w:t>
            </w:r>
          </w:p>
        </w:tc>
        <w:tc>
          <w:tcPr>
            <w:tcW w:w="727" w:type="pct"/>
            <w:shd w:val="clear" w:color="auto" w:fill="FFFFFF"/>
          </w:tcPr>
          <w:p w14:paraId="16A0E53C" w14:textId="74A35AE2" w:rsidR="00227D7B" w:rsidRPr="00946249" w:rsidRDefault="00227D7B" w:rsidP="00227D7B">
            <w:pPr>
              <w:widowControl/>
              <w:autoSpaceDE/>
              <w:autoSpaceDN/>
              <w:adjustRightInd/>
              <w:jc w:val="center"/>
              <w:rPr>
                <w:rFonts w:ascii="Cambria" w:hAnsi="Cambria"/>
              </w:rPr>
            </w:pPr>
            <w:r w:rsidRPr="00946249">
              <w:rPr>
                <w:rFonts w:ascii="Cambria" w:hAnsi="Cambria"/>
              </w:rPr>
              <w:t>33</w:t>
            </w:r>
            <w:r w:rsidR="00632FCC" w:rsidRPr="00946249">
              <w:rPr>
                <w:rFonts w:ascii="Cambria" w:hAnsi="Cambria"/>
              </w:rPr>
              <w:t>.</w:t>
            </w:r>
            <w:r w:rsidRPr="00946249">
              <w:rPr>
                <w:rFonts w:ascii="Cambria" w:hAnsi="Cambria"/>
              </w:rPr>
              <w:t>365</w:t>
            </w:r>
          </w:p>
        </w:tc>
        <w:tc>
          <w:tcPr>
            <w:tcW w:w="727" w:type="pct"/>
            <w:shd w:val="clear" w:color="auto" w:fill="FFFFFF"/>
          </w:tcPr>
          <w:p w14:paraId="3586F036" w14:textId="39E29759" w:rsidR="00227D7B" w:rsidRPr="00946249" w:rsidRDefault="00227D7B" w:rsidP="00227D7B">
            <w:pPr>
              <w:widowControl/>
              <w:autoSpaceDE/>
              <w:autoSpaceDN/>
              <w:adjustRightInd/>
              <w:jc w:val="center"/>
              <w:rPr>
                <w:rFonts w:ascii="Cambria" w:hAnsi="Cambria"/>
              </w:rPr>
            </w:pPr>
            <w:r w:rsidRPr="00946249">
              <w:rPr>
                <w:rFonts w:ascii="Cambria" w:hAnsi="Cambria"/>
              </w:rPr>
              <w:t>31</w:t>
            </w:r>
            <w:r w:rsidR="00632FCC" w:rsidRPr="00946249">
              <w:rPr>
                <w:rFonts w:ascii="Cambria" w:hAnsi="Cambria"/>
              </w:rPr>
              <w:t>.</w:t>
            </w:r>
            <w:r w:rsidRPr="00946249">
              <w:rPr>
                <w:rFonts w:ascii="Cambria" w:hAnsi="Cambria"/>
              </w:rPr>
              <w:t>629</w:t>
            </w:r>
          </w:p>
        </w:tc>
        <w:tc>
          <w:tcPr>
            <w:tcW w:w="727" w:type="pct"/>
            <w:shd w:val="clear" w:color="auto" w:fill="FFFFFF"/>
          </w:tcPr>
          <w:p w14:paraId="19DDD901" w14:textId="44D505ED" w:rsidR="00227D7B" w:rsidRPr="00946249" w:rsidRDefault="00227D7B" w:rsidP="00227D7B">
            <w:pPr>
              <w:widowControl/>
              <w:autoSpaceDE/>
              <w:autoSpaceDN/>
              <w:adjustRightInd/>
              <w:jc w:val="center"/>
              <w:rPr>
                <w:rFonts w:ascii="Cambria" w:hAnsi="Cambria"/>
                <w:color w:val="FF0000"/>
              </w:rPr>
            </w:pPr>
            <w:r w:rsidRPr="00946249">
              <w:rPr>
                <w:rFonts w:ascii="Cambria" w:hAnsi="Cambria"/>
              </w:rPr>
              <w:t>30</w:t>
            </w:r>
            <w:r w:rsidR="00632FCC" w:rsidRPr="00946249">
              <w:rPr>
                <w:rFonts w:ascii="Cambria" w:hAnsi="Cambria"/>
              </w:rPr>
              <w:t>.</w:t>
            </w:r>
            <w:r w:rsidRPr="00946249">
              <w:rPr>
                <w:rFonts w:ascii="Cambria" w:hAnsi="Cambria"/>
              </w:rPr>
              <w:t>472</w:t>
            </w:r>
          </w:p>
        </w:tc>
        <w:tc>
          <w:tcPr>
            <w:tcW w:w="726" w:type="pct"/>
            <w:shd w:val="clear" w:color="auto" w:fill="FFFFFF"/>
          </w:tcPr>
          <w:p w14:paraId="38FD5220" w14:textId="3B5131B6" w:rsidR="00227D7B" w:rsidRPr="00946249" w:rsidRDefault="00227D7B" w:rsidP="00227D7B">
            <w:pPr>
              <w:widowControl/>
              <w:autoSpaceDE/>
              <w:autoSpaceDN/>
              <w:adjustRightInd/>
              <w:jc w:val="center"/>
              <w:rPr>
                <w:rFonts w:ascii="Cambria" w:hAnsi="Cambria"/>
              </w:rPr>
            </w:pPr>
            <w:r w:rsidRPr="00946249">
              <w:rPr>
                <w:rFonts w:ascii="Cambria" w:hAnsi="Cambria"/>
              </w:rPr>
              <w:t>24</w:t>
            </w:r>
            <w:r w:rsidR="00632FCC" w:rsidRPr="00946249">
              <w:rPr>
                <w:rFonts w:ascii="Cambria" w:hAnsi="Cambria"/>
              </w:rPr>
              <w:t>.</w:t>
            </w:r>
            <w:r w:rsidRPr="00946249">
              <w:rPr>
                <w:rFonts w:ascii="Cambria" w:hAnsi="Cambria"/>
              </w:rPr>
              <w:t>912</w:t>
            </w:r>
          </w:p>
        </w:tc>
      </w:tr>
    </w:tbl>
    <w:p w14:paraId="412CD380" w14:textId="77777777" w:rsidR="004E41C9" w:rsidRPr="00946249" w:rsidRDefault="004E41C9" w:rsidP="004E41C9">
      <w:pPr>
        <w:jc w:val="both"/>
        <w:rPr>
          <w:rFonts w:ascii="Cambria" w:hAnsi="Cambria"/>
          <w:lang w:val="en-GB"/>
        </w:rPr>
      </w:pPr>
    </w:p>
    <w:p w14:paraId="6FBA9CAE" w14:textId="77777777" w:rsidR="004E41C9" w:rsidRPr="00946249" w:rsidRDefault="004E41C9" w:rsidP="004E41C9">
      <w:pPr>
        <w:jc w:val="both"/>
        <w:rPr>
          <w:rFonts w:ascii="Cambria" w:hAnsi="Cambria"/>
          <w:color w:val="000000" w:themeColor="text1"/>
        </w:rPr>
      </w:pPr>
      <w:r w:rsidRPr="00946249">
        <w:rPr>
          <w:rFonts w:ascii="Cambria" w:hAnsi="Cambria"/>
          <w:color w:val="000000" w:themeColor="text1"/>
        </w:rPr>
        <w:t xml:space="preserve">Las obligaciones de comunicación de Tarea 1 se revisan en virtud de la Rec. 11-15. La Recomendación requiere que desde 2020 las CPC describan en sus informes anuales sus programas de recopilación de datos y lo pasos dados para implementar esta Recomendación. Estos informes están incluidos en la hoja de comprobación de tiburones (véase la Rec. 18-06 más abajo). </w:t>
      </w:r>
    </w:p>
    <w:p w14:paraId="0BE96DA0" w14:textId="77777777" w:rsidR="006B5B0F" w:rsidRPr="00946249" w:rsidRDefault="006B5B0F" w:rsidP="006D1DE6">
      <w:pPr>
        <w:tabs>
          <w:tab w:val="left" w:pos="709"/>
          <w:tab w:val="left" w:pos="1276"/>
          <w:tab w:val="left" w:pos="1418"/>
          <w:tab w:val="left" w:leader="dot" w:pos="8222"/>
          <w:tab w:val="right" w:pos="8647"/>
        </w:tabs>
        <w:jc w:val="both"/>
        <w:rPr>
          <w:rFonts w:ascii="Cambria" w:hAnsi="Cambria"/>
          <w:bCs/>
          <w:i/>
        </w:rPr>
      </w:pPr>
    </w:p>
    <w:p w14:paraId="7D5CAEA1" w14:textId="381705B9" w:rsidR="004E41C9" w:rsidRPr="00946249" w:rsidRDefault="004E41C9" w:rsidP="004E41C9">
      <w:pPr>
        <w:tabs>
          <w:tab w:val="left" w:pos="709"/>
          <w:tab w:val="left" w:pos="1276"/>
          <w:tab w:val="left" w:pos="1418"/>
          <w:tab w:val="left" w:leader="dot" w:pos="8222"/>
          <w:tab w:val="right" w:pos="8647"/>
        </w:tabs>
        <w:jc w:val="both"/>
        <w:rPr>
          <w:rFonts w:ascii="Cambria" w:hAnsi="Cambria"/>
          <w:bCs/>
          <w:i/>
        </w:rPr>
      </w:pPr>
      <w:r w:rsidRPr="00946249">
        <w:rPr>
          <w:rFonts w:ascii="Cambria" w:hAnsi="Cambria"/>
          <w:i/>
        </w:rPr>
        <w:t xml:space="preserve">[21-09] Recomendación de ICCAT sobre la conservación del stock de marrajo </w:t>
      </w:r>
      <w:proofErr w:type="spellStart"/>
      <w:r w:rsidRPr="00946249">
        <w:rPr>
          <w:rFonts w:ascii="Cambria" w:hAnsi="Cambria"/>
          <w:i/>
        </w:rPr>
        <w:t>dientuso</w:t>
      </w:r>
      <w:proofErr w:type="spellEnd"/>
      <w:r w:rsidRPr="00946249">
        <w:rPr>
          <w:rFonts w:ascii="Cambria" w:hAnsi="Cambria"/>
          <w:i/>
        </w:rPr>
        <w:t xml:space="preserve"> del Atlántico norte capturado en asociación con pesquerías de ICCAT</w:t>
      </w:r>
    </w:p>
    <w:p w14:paraId="066D23F6" w14:textId="77777777" w:rsidR="004F6619" w:rsidRPr="00946249" w:rsidRDefault="004F6619" w:rsidP="004E41C9">
      <w:pPr>
        <w:tabs>
          <w:tab w:val="left" w:pos="709"/>
          <w:tab w:val="left" w:pos="1276"/>
          <w:tab w:val="left" w:pos="1418"/>
          <w:tab w:val="left" w:leader="dot" w:pos="8222"/>
          <w:tab w:val="right" w:pos="8647"/>
        </w:tabs>
        <w:jc w:val="both"/>
        <w:rPr>
          <w:rFonts w:ascii="Cambria" w:hAnsi="Cambria"/>
          <w:bCs/>
          <w:i/>
        </w:rPr>
      </w:pPr>
    </w:p>
    <w:p w14:paraId="1DF77471" w14:textId="77777777" w:rsidR="004F6619" w:rsidRPr="00946249" w:rsidRDefault="004F6619" w:rsidP="004F6619">
      <w:pPr>
        <w:tabs>
          <w:tab w:val="left" w:pos="1276"/>
          <w:tab w:val="left" w:pos="1418"/>
          <w:tab w:val="left" w:leader="dot" w:pos="8222"/>
          <w:tab w:val="right" w:pos="8647"/>
        </w:tabs>
        <w:jc w:val="both"/>
        <w:rPr>
          <w:rFonts w:ascii="Cambria" w:hAnsi="Cambria"/>
          <w:bCs/>
        </w:rPr>
      </w:pPr>
      <w:r w:rsidRPr="00946249">
        <w:rPr>
          <w:rFonts w:ascii="Cambria" w:hAnsi="Cambria"/>
        </w:rPr>
        <w:t xml:space="preserve">La mortalidad por pesca total del marrajo </w:t>
      </w:r>
      <w:proofErr w:type="spellStart"/>
      <w:r w:rsidRPr="00946249">
        <w:rPr>
          <w:rFonts w:ascii="Cambria" w:hAnsi="Cambria"/>
        </w:rPr>
        <w:t>dientuso</w:t>
      </w:r>
      <w:proofErr w:type="spellEnd"/>
      <w:r w:rsidRPr="00946249">
        <w:rPr>
          <w:rFonts w:ascii="Cambria" w:hAnsi="Cambria"/>
        </w:rPr>
        <w:t xml:space="preserve"> del Atlántico norte no superará las 250 t hasta que la Comisión reciba un nuevo asesoramiento del SCRS.</w:t>
      </w:r>
    </w:p>
    <w:p w14:paraId="6C7F8CA2" w14:textId="77777777" w:rsidR="006B5B0F" w:rsidRPr="00946249" w:rsidRDefault="006B5B0F" w:rsidP="004F6619">
      <w:pPr>
        <w:tabs>
          <w:tab w:val="left" w:pos="1276"/>
          <w:tab w:val="left" w:pos="1418"/>
          <w:tab w:val="left" w:leader="dot" w:pos="8222"/>
          <w:tab w:val="right" w:pos="8647"/>
        </w:tabs>
        <w:jc w:val="both"/>
        <w:rPr>
          <w:rFonts w:ascii="Cambria" w:hAnsi="Cambria"/>
          <w:bCs/>
        </w:rPr>
      </w:pPr>
    </w:p>
    <w:p w14:paraId="1FB69105" w14:textId="1F6B5FB8" w:rsidR="004F6619" w:rsidRPr="00946249" w:rsidRDefault="004F6619" w:rsidP="004F6619">
      <w:pPr>
        <w:tabs>
          <w:tab w:val="left" w:pos="1276"/>
          <w:tab w:val="left" w:pos="1418"/>
          <w:tab w:val="left" w:leader="dot" w:pos="8222"/>
          <w:tab w:val="right" w:pos="8647"/>
        </w:tabs>
        <w:jc w:val="both"/>
        <w:rPr>
          <w:rFonts w:ascii="Cambria" w:hAnsi="Cambria"/>
        </w:rPr>
      </w:pPr>
      <w:r w:rsidRPr="00946249">
        <w:rPr>
          <w:rFonts w:ascii="Cambria" w:hAnsi="Cambria"/>
          <w:b/>
          <w:i/>
        </w:rPr>
        <w:t xml:space="preserve">Informes mensuales: </w:t>
      </w: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 la cantidad total de los informes mensuales recibidos de las CPC para 2024, junto con los totales de la Tarea 1, de los que se desprende que el stock </w:t>
      </w:r>
      <w:r w:rsidR="006B4A52" w:rsidRPr="00946249">
        <w:rPr>
          <w:rFonts w:ascii="Cambria" w:hAnsi="Cambria"/>
        </w:rPr>
        <w:t xml:space="preserve">ha sido objeto de exceso de captura </w:t>
      </w:r>
      <w:r w:rsidRPr="00946249">
        <w:rPr>
          <w:rFonts w:ascii="Cambria" w:hAnsi="Cambria"/>
        </w:rPr>
        <w:t xml:space="preserve">en 2024. Existe una diferencia sustancial entre la cantidad notificada mensualmente y en la Tarea 1, ya que sólo dos CPC presentaron estos informes mensuales en 2024. </w:t>
      </w:r>
    </w:p>
    <w:p w14:paraId="23883D28" w14:textId="77777777" w:rsidR="001E5CEC" w:rsidRPr="00946249" w:rsidRDefault="001E5CEC" w:rsidP="004F6619">
      <w:pPr>
        <w:tabs>
          <w:tab w:val="left" w:pos="1276"/>
          <w:tab w:val="left" w:pos="1418"/>
          <w:tab w:val="left" w:leader="dot" w:pos="8222"/>
          <w:tab w:val="right" w:pos="8647"/>
        </w:tabs>
        <w:jc w:val="both"/>
        <w:rPr>
          <w:rFonts w:ascii="Cambria" w:hAnsi="Cambria"/>
        </w:rPr>
      </w:pPr>
    </w:p>
    <w:tbl>
      <w:tblPr>
        <w:tblW w:w="5000" w:type="pct"/>
        <w:tblLook w:val="04A0" w:firstRow="1" w:lastRow="0" w:firstColumn="1" w:lastColumn="0" w:noHBand="0" w:noVBand="1"/>
      </w:tblPr>
      <w:tblGrid>
        <w:gridCol w:w="1658"/>
        <w:gridCol w:w="2858"/>
        <w:gridCol w:w="2892"/>
        <w:gridCol w:w="1657"/>
      </w:tblGrid>
      <w:tr w:rsidR="004F6619" w:rsidRPr="00946249" w14:paraId="0F1DC8B7" w14:textId="77777777" w:rsidTr="006B5B0F">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4C0D1372" w14:textId="77777777" w:rsidR="004F6619" w:rsidRPr="00946249" w:rsidRDefault="004F6619" w:rsidP="00761E12">
            <w:pPr>
              <w:widowControl/>
              <w:autoSpaceDE/>
              <w:autoSpaceDN/>
              <w:adjustRightInd/>
              <w:rPr>
                <w:rFonts w:ascii="Cambria" w:hAnsi="Cambria"/>
                <w:i/>
                <w:iCs/>
                <w:color w:val="000000"/>
              </w:rPr>
            </w:pPr>
            <w:r w:rsidRPr="00946249">
              <w:rPr>
                <w:rFonts w:ascii="Cambria" w:hAnsi="Cambria"/>
                <w:i/>
                <w:color w:val="000000"/>
              </w:rPr>
              <w:t xml:space="preserve">Marrajo </w:t>
            </w:r>
            <w:proofErr w:type="spellStart"/>
            <w:r w:rsidRPr="00946249">
              <w:rPr>
                <w:rFonts w:ascii="Cambria" w:hAnsi="Cambria"/>
                <w:i/>
                <w:color w:val="000000"/>
              </w:rPr>
              <w:t>dientuso</w:t>
            </w:r>
            <w:proofErr w:type="spellEnd"/>
          </w:p>
        </w:tc>
        <w:tc>
          <w:tcPr>
            <w:tcW w:w="1600" w:type="pct"/>
            <w:tcBorders>
              <w:top w:val="single" w:sz="4" w:space="0" w:color="auto"/>
              <w:left w:val="nil"/>
              <w:bottom w:val="single" w:sz="4" w:space="0" w:color="auto"/>
              <w:right w:val="single" w:sz="4" w:space="0" w:color="auto"/>
            </w:tcBorders>
            <w:vAlign w:val="center"/>
            <w:hideMark/>
          </w:tcPr>
          <w:p w14:paraId="57CF55BB" w14:textId="77777777" w:rsidR="004050E1" w:rsidRPr="00946249" w:rsidRDefault="004F6619" w:rsidP="00761E12">
            <w:pPr>
              <w:widowControl/>
              <w:autoSpaceDE/>
              <w:autoSpaceDN/>
              <w:adjustRightInd/>
              <w:jc w:val="center"/>
              <w:rPr>
                <w:rFonts w:ascii="Cambria" w:hAnsi="Cambria"/>
                <w:i/>
                <w:color w:val="000000"/>
              </w:rPr>
            </w:pPr>
            <w:r w:rsidRPr="00946249">
              <w:rPr>
                <w:rFonts w:ascii="Cambria" w:hAnsi="Cambria"/>
                <w:i/>
                <w:color w:val="000000"/>
              </w:rPr>
              <w:t>Mortalidad total por pesca</w:t>
            </w:r>
          </w:p>
          <w:p w14:paraId="2CAFCC97" w14:textId="157F82F3" w:rsidR="004F6619" w:rsidRPr="00946249" w:rsidRDefault="004F6619" w:rsidP="00761E12">
            <w:pPr>
              <w:widowControl/>
              <w:autoSpaceDE/>
              <w:autoSpaceDN/>
              <w:adjustRightInd/>
              <w:jc w:val="center"/>
              <w:rPr>
                <w:rFonts w:ascii="Cambria" w:hAnsi="Cambria" w:cs="Calibri"/>
                <w:i/>
                <w:iCs/>
                <w:color w:val="000000"/>
              </w:rPr>
            </w:pPr>
            <w:r w:rsidRPr="00946249">
              <w:rPr>
                <w:rFonts w:ascii="Cambria" w:hAnsi="Cambria"/>
                <w:i/>
                <w:color w:val="000000"/>
              </w:rPr>
              <w:t xml:space="preserve"> en 2024 (t)</w:t>
            </w:r>
          </w:p>
        </w:tc>
        <w:tc>
          <w:tcPr>
            <w:tcW w:w="1619" w:type="pct"/>
            <w:tcBorders>
              <w:top w:val="single" w:sz="4" w:space="0" w:color="auto"/>
              <w:left w:val="nil"/>
              <w:bottom w:val="single" w:sz="4" w:space="0" w:color="auto"/>
              <w:right w:val="single" w:sz="4" w:space="0" w:color="auto"/>
            </w:tcBorders>
            <w:vAlign w:val="center"/>
            <w:hideMark/>
          </w:tcPr>
          <w:p w14:paraId="76B2B122" w14:textId="3FF9F1AE" w:rsidR="00CA431D" w:rsidRPr="00946249" w:rsidRDefault="004F6619" w:rsidP="00761E12">
            <w:pPr>
              <w:widowControl/>
              <w:autoSpaceDE/>
              <w:autoSpaceDN/>
              <w:adjustRightInd/>
              <w:jc w:val="center"/>
              <w:rPr>
                <w:rFonts w:ascii="Cambria" w:hAnsi="Cambria" w:cs="Calibri"/>
                <w:i/>
                <w:iCs/>
                <w:color w:val="000000"/>
              </w:rPr>
            </w:pPr>
            <w:r w:rsidRPr="00946249">
              <w:rPr>
                <w:rFonts w:ascii="Cambria" w:hAnsi="Cambria"/>
                <w:i/>
                <w:color w:val="000000"/>
              </w:rPr>
              <w:t xml:space="preserve">Capturas totales de 2024 </w:t>
            </w:r>
          </w:p>
          <w:p w14:paraId="6F487DF7" w14:textId="62B5E22D" w:rsidR="004F6619" w:rsidRPr="00946249" w:rsidRDefault="004F6619" w:rsidP="00761E12">
            <w:pPr>
              <w:widowControl/>
              <w:autoSpaceDE/>
              <w:autoSpaceDN/>
              <w:adjustRightInd/>
              <w:jc w:val="center"/>
              <w:rPr>
                <w:rFonts w:ascii="Cambria" w:hAnsi="Cambria" w:cs="Calibri"/>
                <w:i/>
                <w:iCs/>
                <w:color w:val="000000"/>
              </w:rPr>
            </w:pPr>
            <w:r w:rsidRPr="00946249">
              <w:rPr>
                <w:rFonts w:ascii="Cambria" w:hAnsi="Cambria"/>
                <w:i/>
                <w:color w:val="000000"/>
              </w:rPr>
              <w:t>comunicadas mensualmente (t)</w:t>
            </w:r>
          </w:p>
        </w:tc>
        <w:tc>
          <w:tcPr>
            <w:tcW w:w="937" w:type="pct"/>
            <w:tcBorders>
              <w:top w:val="single" w:sz="4" w:space="0" w:color="auto"/>
              <w:left w:val="nil"/>
              <w:bottom w:val="single" w:sz="4" w:space="0" w:color="auto"/>
              <w:right w:val="single" w:sz="4" w:space="0" w:color="auto"/>
            </w:tcBorders>
            <w:vAlign w:val="center"/>
            <w:hideMark/>
          </w:tcPr>
          <w:p w14:paraId="4B156703" w14:textId="504159C2" w:rsidR="004F6619" w:rsidRPr="00946249" w:rsidRDefault="004F6619" w:rsidP="00761E12">
            <w:pPr>
              <w:widowControl/>
              <w:autoSpaceDE/>
              <w:autoSpaceDN/>
              <w:adjustRightInd/>
              <w:jc w:val="center"/>
              <w:rPr>
                <w:rFonts w:ascii="Cambria" w:hAnsi="Cambria" w:cs="Calibri"/>
                <w:i/>
                <w:iCs/>
                <w:color w:val="000000"/>
              </w:rPr>
            </w:pPr>
            <w:r w:rsidRPr="00946249">
              <w:rPr>
                <w:rFonts w:ascii="Cambria" w:hAnsi="Cambria"/>
                <w:i/>
                <w:color w:val="000000"/>
              </w:rPr>
              <w:t>Tarea 1 de 2024 (t)</w:t>
            </w:r>
          </w:p>
        </w:tc>
      </w:tr>
      <w:tr w:rsidR="004F6619" w:rsidRPr="00946249" w14:paraId="7A30A662" w14:textId="77777777" w:rsidTr="006B5B0F">
        <w:trPr>
          <w:trHeight w:val="300"/>
        </w:trPr>
        <w:tc>
          <w:tcPr>
            <w:tcW w:w="843" w:type="pct"/>
            <w:tcBorders>
              <w:top w:val="nil"/>
              <w:left w:val="single" w:sz="4" w:space="0" w:color="auto"/>
              <w:bottom w:val="single" w:sz="4" w:space="0" w:color="auto"/>
              <w:right w:val="single" w:sz="4" w:space="0" w:color="auto"/>
            </w:tcBorders>
            <w:noWrap/>
            <w:vAlign w:val="center"/>
            <w:hideMark/>
          </w:tcPr>
          <w:p w14:paraId="04A9DA2B" w14:textId="77777777" w:rsidR="004F6619" w:rsidRPr="00946249" w:rsidRDefault="004F6619" w:rsidP="00761E12">
            <w:pPr>
              <w:widowControl/>
              <w:autoSpaceDE/>
              <w:autoSpaceDN/>
              <w:adjustRightInd/>
              <w:jc w:val="center"/>
              <w:rPr>
                <w:rFonts w:ascii="Cambria" w:hAnsi="Cambria"/>
                <w:color w:val="000000"/>
              </w:rPr>
            </w:pPr>
            <w:r w:rsidRPr="00946249">
              <w:rPr>
                <w:rFonts w:ascii="Cambria" w:hAnsi="Cambria"/>
                <w:color w:val="000000"/>
              </w:rPr>
              <w:t>ATN</w:t>
            </w:r>
          </w:p>
        </w:tc>
        <w:tc>
          <w:tcPr>
            <w:tcW w:w="1600" w:type="pct"/>
            <w:tcBorders>
              <w:top w:val="nil"/>
              <w:left w:val="nil"/>
              <w:bottom w:val="single" w:sz="4" w:space="0" w:color="auto"/>
              <w:right w:val="single" w:sz="4" w:space="0" w:color="auto"/>
            </w:tcBorders>
            <w:vAlign w:val="center"/>
            <w:hideMark/>
          </w:tcPr>
          <w:p w14:paraId="03235441" w14:textId="77777777" w:rsidR="004F6619" w:rsidRPr="00946249" w:rsidRDefault="004F6619" w:rsidP="00761E12">
            <w:pPr>
              <w:widowControl/>
              <w:autoSpaceDE/>
              <w:autoSpaceDN/>
              <w:adjustRightInd/>
              <w:jc w:val="center"/>
              <w:rPr>
                <w:rFonts w:ascii="Cambria" w:hAnsi="Cambria"/>
                <w:color w:val="000000"/>
              </w:rPr>
            </w:pPr>
            <w:r w:rsidRPr="00946249">
              <w:rPr>
                <w:rFonts w:ascii="Cambria" w:hAnsi="Cambria"/>
                <w:color w:val="000000"/>
              </w:rPr>
              <w:t>250</w:t>
            </w:r>
          </w:p>
        </w:tc>
        <w:tc>
          <w:tcPr>
            <w:tcW w:w="1619" w:type="pct"/>
            <w:tcBorders>
              <w:top w:val="nil"/>
              <w:left w:val="nil"/>
              <w:bottom w:val="single" w:sz="4" w:space="0" w:color="auto"/>
              <w:right w:val="single" w:sz="4" w:space="0" w:color="auto"/>
            </w:tcBorders>
            <w:vAlign w:val="center"/>
            <w:hideMark/>
          </w:tcPr>
          <w:p w14:paraId="7D63F0AA" w14:textId="77FBC55C" w:rsidR="004F6619" w:rsidRPr="00946249" w:rsidRDefault="004F6619" w:rsidP="00761E12">
            <w:pPr>
              <w:widowControl/>
              <w:autoSpaceDE/>
              <w:autoSpaceDN/>
              <w:adjustRightInd/>
              <w:jc w:val="center"/>
              <w:rPr>
                <w:rFonts w:ascii="Cambria" w:hAnsi="Cambria"/>
                <w:color w:val="000000"/>
              </w:rPr>
            </w:pPr>
            <w:r w:rsidRPr="00946249">
              <w:rPr>
                <w:rFonts w:ascii="Cambria" w:hAnsi="Cambria"/>
                <w:color w:val="000000"/>
              </w:rPr>
              <w:t>0</w:t>
            </w:r>
            <w:r w:rsidR="004050E1" w:rsidRPr="00946249">
              <w:rPr>
                <w:rFonts w:ascii="Cambria" w:hAnsi="Cambria"/>
                <w:color w:val="000000"/>
              </w:rPr>
              <w:t>,</w:t>
            </w:r>
            <w:r w:rsidRPr="00946249">
              <w:rPr>
                <w:rFonts w:ascii="Cambria" w:hAnsi="Cambria"/>
                <w:color w:val="000000"/>
              </w:rPr>
              <w:t>0</w:t>
            </w:r>
          </w:p>
        </w:tc>
        <w:tc>
          <w:tcPr>
            <w:tcW w:w="937" w:type="pct"/>
            <w:tcBorders>
              <w:top w:val="nil"/>
              <w:left w:val="nil"/>
              <w:bottom w:val="single" w:sz="4" w:space="0" w:color="auto"/>
              <w:right w:val="single" w:sz="4" w:space="0" w:color="auto"/>
            </w:tcBorders>
            <w:vAlign w:val="center"/>
            <w:hideMark/>
          </w:tcPr>
          <w:p w14:paraId="7E14ACA8" w14:textId="3DA64EDE" w:rsidR="004F6619" w:rsidRPr="00946249" w:rsidRDefault="00227D7B" w:rsidP="00761E12">
            <w:pPr>
              <w:widowControl/>
              <w:autoSpaceDE/>
              <w:autoSpaceDN/>
              <w:adjustRightInd/>
              <w:jc w:val="center"/>
              <w:rPr>
                <w:rFonts w:ascii="Cambria" w:hAnsi="Cambria"/>
                <w:color w:val="000000"/>
              </w:rPr>
            </w:pPr>
            <w:r w:rsidRPr="00946249">
              <w:rPr>
                <w:rFonts w:ascii="Cambria" w:hAnsi="Cambria"/>
              </w:rPr>
              <w:t>938,2</w:t>
            </w:r>
          </w:p>
        </w:tc>
      </w:tr>
    </w:tbl>
    <w:p w14:paraId="376BF975" w14:textId="77777777" w:rsidR="004F6619" w:rsidRPr="00946249" w:rsidRDefault="004F6619" w:rsidP="004F6619">
      <w:pPr>
        <w:tabs>
          <w:tab w:val="left" w:pos="1276"/>
          <w:tab w:val="left" w:pos="1418"/>
          <w:tab w:val="left" w:leader="dot" w:pos="8222"/>
          <w:tab w:val="right" w:pos="8647"/>
        </w:tabs>
        <w:rPr>
          <w:rFonts w:ascii="Cambria" w:hAnsi="Cambria"/>
          <w:bCs/>
          <w:lang w:val="en-GB"/>
        </w:rPr>
      </w:pPr>
    </w:p>
    <w:p w14:paraId="444DE115" w14:textId="57F2BB4C" w:rsidR="004F6619" w:rsidRPr="00946249" w:rsidRDefault="00AA0D0C" w:rsidP="004F6619">
      <w:pPr>
        <w:jc w:val="both"/>
        <w:rPr>
          <w:rFonts w:ascii="Cambria" w:hAnsi="Cambria"/>
          <w:color w:val="000000" w:themeColor="text1"/>
        </w:rPr>
      </w:pPr>
      <w:r w:rsidRPr="00946249">
        <w:rPr>
          <w:rFonts w:ascii="Cambria" w:hAnsi="Cambria"/>
          <w:color w:val="000000" w:themeColor="text1"/>
        </w:rPr>
        <w:t xml:space="preserve">Cabe señalar que se excluyen los descartes vivos (DL) y que los datos de Tarea 1 del ST02 excluyen los traspasos. Las obligaciones de comunicación de Tarea 1 se revisan en virtud de la Rec. 11-15. La Recomendación exige a las CPC que, a partir de 2020, faciliten información en sus informes anuales sobre cómo se está aplicando esta Recomendación.  Estos informes están incluidos en la hoja de comprobación de tiburones (véase la Rec. 18-06 más abajo). </w:t>
      </w:r>
    </w:p>
    <w:p w14:paraId="139A3532" w14:textId="77777777" w:rsidR="004F6619" w:rsidRPr="00946249" w:rsidRDefault="004F6619" w:rsidP="004E41C9">
      <w:pPr>
        <w:tabs>
          <w:tab w:val="left" w:pos="709"/>
          <w:tab w:val="left" w:pos="1276"/>
          <w:tab w:val="left" w:pos="1418"/>
          <w:tab w:val="left" w:leader="dot" w:pos="8222"/>
          <w:tab w:val="right" w:pos="8647"/>
        </w:tabs>
        <w:jc w:val="both"/>
        <w:rPr>
          <w:rFonts w:ascii="Cambria" w:hAnsi="Cambria"/>
          <w:bCs/>
          <w:i/>
        </w:rPr>
      </w:pPr>
    </w:p>
    <w:p w14:paraId="28B82954" w14:textId="26F5948C" w:rsidR="004E41C9" w:rsidRPr="00946249" w:rsidRDefault="00F8728F" w:rsidP="004E41C9">
      <w:pPr>
        <w:tabs>
          <w:tab w:val="left" w:pos="709"/>
          <w:tab w:val="left" w:pos="1276"/>
          <w:tab w:val="left" w:pos="1418"/>
          <w:tab w:val="left" w:leader="dot" w:pos="8222"/>
          <w:tab w:val="right" w:pos="8647"/>
        </w:tabs>
        <w:jc w:val="both"/>
        <w:rPr>
          <w:rFonts w:ascii="Cambria" w:hAnsi="Cambria"/>
          <w:bCs/>
          <w:i/>
        </w:rPr>
      </w:pPr>
      <w:r w:rsidRPr="00946249">
        <w:rPr>
          <w:rFonts w:ascii="Cambria" w:hAnsi="Cambria"/>
          <w:i/>
        </w:rPr>
        <w:t xml:space="preserve">[22-11] </w:t>
      </w:r>
      <w:hyperlink r:id="rId23" w:tgtFrame="_blank" w:history="1">
        <w:r w:rsidRPr="00946249">
          <w:rPr>
            <w:rFonts w:ascii="Cambria" w:hAnsi="Cambria"/>
            <w:i/>
          </w:rPr>
          <w:t xml:space="preserve">Recomendación de ICCAT sobre la conservación del stock de marrajo </w:t>
        </w:r>
        <w:proofErr w:type="spellStart"/>
        <w:r w:rsidRPr="00946249">
          <w:rPr>
            <w:rFonts w:ascii="Cambria" w:hAnsi="Cambria"/>
            <w:i/>
          </w:rPr>
          <w:t>dientuso</w:t>
        </w:r>
        <w:proofErr w:type="spellEnd"/>
        <w:r w:rsidRPr="00946249">
          <w:rPr>
            <w:rFonts w:ascii="Cambria" w:hAnsi="Cambria"/>
            <w:i/>
          </w:rPr>
          <w:t xml:space="preserve"> del Atlántico sur capturado en asociación con pesquerías de ICCAT</w:t>
        </w:r>
      </w:hyperlink>
    </w:p>
    <w:p w14:paraId="3C16507C" w14:textId="77777777" w:rsidR="004E41C9" w:rsidRPr="00946249" w:rsidRDefault="004E41C9" w:rsidP="004E41C9">
      <w:pPr>
        <w:tabs>
          <w:tab w:val="left" w:pos="709"/>
          <w:tab w:val="left" w:pos="1276"/>
          <w:tab w:val="left" w:pos="1418"/>
          <w:tab w:val="left" w:leader="dot" w:pos="8222"/>
          <w:tab w:val="right" w:pos="8647"/>
        </w:tabs>
        <w:jc w:val="both"/>
        <w:rPr>
          <w:rFonts w:ascii="Cambria" w:hAnsi="Cambria"/>
          <w:bCs/>
          <w:i/>
        </w:rPr>
      </w:pPr>
    </w:p>
    <w:p w14:paraId="7665DD6D" w14:textId="6CEF667A" w:rsidR="004E41C9" w:rsidRPr="00946249" w:rsidRDefault="00914DFF" w:rsidP="009170D2">
      <w:pPr>
        <w:jc w:val="both"/>
        <w:rPr>
          <w:rFonts w:ascii="Cambria" w:hAnsi="Cambria"/>
        </w:rPr>
      </w:pPr>
      <w:r w:rsidRPr="00946249">
        <w:rPr>
          <w:rFonts w:ascii="Cambria" w:hAnsi="Cambria"/>
        </w:rPr>
        <w:t xml:space="preserve">Se estableció una tolerancia de retención total de 1.295 t para el marrajo </w:t>
      </w:r>
      <w:proofErr w:type="spellStart"/>
      <w:r w:rsidRPr="00946249">
        <w:rPr>
          <w:rFonts w:ascii="Cambria" w:hAnsi="Cambria"/>
        </w:rPr>
        <w:t>dientuso</w:t>
      </w:r>
      <w:proofErr w:type="spellEnd"/>
      <w:r w:rsidRPr="00946249">
        <w:rPr>
          <w:rFonts w:ascii="Cambria" w:hAnsi="Cambria"/>
        </w:rPr>
        <w:t xml:space="preserve"> del Atlántico sur para 2023 y 2024. El objetivo es que esta tolerancia de retención, combinada con la suma de los descartes muertos y la mortalidad posterior a la liberación estimados, dé como resultado una mortalidad total inferior a la recomendada por el SCRS. La Comisión revisará esta medida, a más tardar en la reunión anual de 2025, para considerar medidas adicionales para reducir la mortalidad por pesca total.</w:t>
      </w:r>
    </w:p>
    <w:p w14:paraId="5B39881B" w14:textId="77777777" w:rsidR="00E46C95" w:rsidRPr="00946249" w:rsidRDefault="00E46C95" w:rsidP="00E46C95">
      <w:pPr>
        <w:jc w:val="both"/>
        <w:rPr>
          <w:rFonts w:ascii="Cambria" w:hAnsi="Cambria"/>
          <w:bCs/>
        </w:rPr>
      </w:pPr>
    </w:p>
    <w:p w14:paraId="3CECA133" w14:textId="7D05EE8E" w:rsidR="004E41C9" w:rsidRPr="00946249" w:rsidRDefault="004E41C9" w:rsidP="004E41C9">
      <w:pPr>
        <w:tabs>
          <w:tab w:val="left" w:pos="1276"/>
          <w:tab w:val="left" w:pos="1418"/>
          <w:tab w:val="left" w:leader="dot" w:pos="8222"/>
          <w:tab w:val="right" w:pos="8647"/>
        </w:tabs>
        <w:jc w:val="both"/>
        <w:rPr>
          <w:rFonts w:ascii="Cambria" w:hAnsi="Cambria"/>
        </w:rPr>
      </w:pPr>
      <w:r w:rsidRPr="00946249">
        <w:rPr>
          <w:rFonts w:ascii="Cambria" w:hAnsi="Cambria"/>
          <w:b/>
          <w:i/>
        </w:rPr>
        <w:t xml:space="preserve">Informes mensuales: </w:t>
      </w: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 la cantidad total de los informes mensuales recibidos de las CPC para 2024, junto con los totales de Tarea 1, de los que se desprende que el stock no </w:t>
      </w:r>
      <w:r w:rsidR="006B4A52" w:rsidRPr="00946249">
        <w:rPr>
          <w:rFonts w:ascii="Cambria" w:hAnsi="Cambria"/>
        </w:rPr>
        <w:t xml:space="preserve">ha sido objeto de exceso de captura </w:t>
      </w:r>
      <w:r w:rsidRPr="00946249">
        <w:rPr>
          <w:rFonts w:ascii="Cambria" w:hAnsi="Cambria"/>
        </w:rPr>
        <w:t xml:space="preserve">en 2024. Existe una diferencia sustancial entre la cantidad notificada mensualmente y en la Tarea 1, ya que sólo cuatro CPC presentaron estos informes mensuales en 2024. </w:t>
      </w:r>
    </w:p>
    <w:p w14:paraId="5CF0EC14" w14:textId="77777777" w:rsidR="004E41C9" w:rsidRPr="00946249" w:rsidRDefault="004E41C9" w:rsidP="004E41C9">
      <w:pPr>
        <w:tabs>
          <w:tab w:val="left" w:pos="1276"/>
          <w:tab w:val="left" w:pos="1418"/>
          <w:tab w:val="left" w:leader="dot" w:pos="8222"/>
          <w:tab w:val="right" w:pos="8647"/>
        </w:tabs>
        <w:jc w:val="both"/>
        <w:rPr>
          <w:rFonts w:ascii="Cambria" w:hAnsi="Cambria"/>
        </w:rPr>
      </w:pPr>
    </w:p>
    <w:tbl>
      <w:tblPr>
        <w:tblW w:w="5000" w:type="pct"/>
        <w:tblLook w:val="04A0" w:firstRow="1" w:lastRow="0" w:firstColumn="1" w:lastColumn="0" w:noHBand="0" w:noVBand="1"/>
      </w:tblPr>
      <w:tblGrid>
        <w:gridCol w:w="1658"/>
        <w:gridCol w:w="2817"/>
        <w:gridCol w:w="2934"/>
        <w:gridCol w:w="1656"/>
      </w:tblGrid>
      <w:tr w:rsidR="004E41C9" w:rsidRPr="00946249" w14:paraId="6774621D" w14:textId="77777777" w:rsidTr="00620BD8">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219DB134" w14:textId="77777777" w:rsidR="004E41C9" w:rsidRPr="00946249" w:rsidRDefault="004E41C9" w:rsidP="000C1506">
            <w:pPr>
              <w:widowControl/>
              <w:autoSpaceDE/>
              <w:autoSpaceDN/>
              <w:adjustRightInd/>
              <w:rPr>
                <w:rFonts w:ascii="Cambria" w:hAnsi="Cambria"/>
                <w:i/>
                <w:iCs/>
                <w:color w:val="000000"/>
              </w:rPr>
            </w:pPr>
            <w:r w:rsidRPr="00946249">
              <w:rPr>
                <w:rFonts w:ascii="Cambria" w:hAnsi="Cambria"/>
                <w:i/>
                <w:color w:val="000000"/>
              </w:rPr>
              <w:t xml:space="preserve">Marrajo </w:t>
            </w:r>
            <w:proofErr w:type="spellStart"/>
            <w:r w:rsidRPr="00946249">
              <w:rPr>
                <w:rFonts w:ascii="Cambria" w:hAnsi="Cambria"/>
                <w:i/>
                <w:color w:val="000000"/>
              </w:rPr>
              <w:t>dientuso</w:t>
            </w:r>
            <w:proofErr w:type="spellEnd"/>
          </w:p>
        </w:tc>
        <w:tc>
          <w:tcPr>
            <w:tcW w:w="1578" w:type="pct"/>
            <w:tcBorders>
              <w:top w:val="single" w:sz="4" w:space="0" w:color="auto"/>
              <w:left w:val="nil"/>
              <w:bottom w:val="single" w:sz="4" w:space="0" w:color="auto"/>
              <w:right w:val="single" w:sz="4" w:space="0" w:color="auto"/>
            </w:tcBorders>
            <w:vAlign w:val="center"/>
            <w:hideMark/>
          </w:tcPr>
          <w:p w14:paraId="29C64930" w14:textId="42FC20F9" w:rsidR="00620BD8" w:rsidRPr="00946249" w:rsidRDefault="00620BD8" w:rsidP="000C1506">
            <w:pPr>
              <w:widowControl/>
              <w:autoSpaceDE/>
              <w:autoSpaceDN/>
              <w:adjustRightInd/>
              <w:jc w:val="center"/>
              <w:rPr>
                <w:rFonts w:ascii="Cambria" w:hAnsi="Cambria" w:cs="Calibri"/>
                <w:i/>
                <w:iCs/>
                <w:color w:val="000000"/>
              </w:rPr>
            </w:pPr>
            <w:r w:rsidRPr="00946249">
              <w:rPr>
                <w:rFonts w:ascii="Cambria" w:hAnsi="Cambria"/>
                <w:i/>
                <w:color w:val="000000"/>
              </w:rPr>
              <w:t xml:space="preserve">Total 2024 </w:t>
            </w:r>
          </w:p>
          <w:p w14:paraId="39A3EDFC" w14:textId="79F792C3" w:rsidR="004E41C9" w:rsidRPr="00946249" w:rsidRDefault="00E46C95" w:rsidP="000C1506">
            <w:pPr>
              <w:widowControl/>
              <w:autoSpaceDE/>
              <w:autoSpaceDN/>
              <w:adjustRightInd/>
              <w:jc w:val="center"/>
              <w:rPr>
                <w:rFonts w:ascii="Cambria" w:hAnsi="Cambria" w:cs="Calibri"/>
                <w:i/>
                <w:iCs/>
                <w:color w:val="000000"/>
              </w:rPr>
            </w:pPr>
            <w:r w:rsidRPr="00946249">
              <w:rPr>
                <w:rFonts w:ascii="Cambria" w:hAnsi="Cambria"/>
                <w:i/>
                <w:color w:val="000000"/>
              </w:rPr>
              <w:t>tolerancia de retención (t)</w:t>
            </w:r>
          </w:p>
        </w:tc>
        <w:tc>
          <w:tcPr>
            <w:tcW w:w="1642" w:type="pct"/>
            <w:tcBorders>
              <w:top w:val="single" w:sz="4" w:space="0" w:color="auto"/>
              <w:left w:val="nil"/>
              <w:bottom w:val="single" w:sz="4" w:space="0" w:color="auto"/>
              <w:right w:val="single" w:sz="4" w:space="0" w:color="auto"/>
            </w:tcBorders>
            <w:vAlign w:val="center"/>
            <w:hideMark/>
          </w:tcPr>
          <w:p w14:paraId="3243D3B3" w14:textId="0B8FA6DC" w:rsidR="00CA431D" w:rsidRPr="00946249" w:rsidRDefault="004E41C9" w:rsidP="00CA431D">
            <w:pPr>
              <w:widowControl/>
              <w:autoSpaceDE/>
              <w:autoSpaceDN/>
              <w:adjustRightInd/>
              <w:jc w:val="center"/>
              <w:rPr>
                <w:rFonts w:ascii="Cambria" w:hAnsi="Cambria" w:cs="Calibri"/>
                <w:i/>
                <w:iCs/>
                <w:color w:val="000000"/>
              </w:rPr>
            </w:pPr>
            <w:r w:rsidRPr="00946249">
              <w:rPr>
                <w:rFonts w:ascii="Cambria" w:hAnsi="Cambria"/>
                <w:i/>
                <w:color w:val="000000"/>
              </w:rPr>
              <w:t xml:space="preserve">Capturas totales de 2024 </w:t>
            </w:r>
          </w:p>
          <w:p w14:paraId="60EDAB12" w14:textId="4FA61A17" w:rsidR="004E41C9" w:rsidRPr="00946249" w:rsidRDefault="004E41C9" w:rsidP="00CA431D">
            <w:pPr>
              <w:widowControl/>
              <w:autoSpaceDE/>
              <w:autoSpaceDN/>
              <w:adjustRightInd/>
              <w:jc w:val="center"/>
              <w:rPr>
                <w:rFonts w:ascii="Cambria" w:hAnsi="Cambria" w:cs="Calibri"/>
                <w:i/>
                <w:iCs/>
                <w:color w:val="000000"/>
              </w:rPr>
            </w:pPr>
            <w:r w:rsidRPr="00946249">
              <w:rPr>
                <w:rFonts w:ascii="Cambria" w:hAnsi="Cambria"/>
                <w:i/>
                <w:color w:val="000000"/>
              </w:rPr>
              <w:t>comunicadas mensualmente (t)</w:t>
            </w:r>
          </w:p>
        </w:tc>
        <w:tc>
          <w:tcPr>
            <w:tcW w:w="937" w:type="pct"/>
            <w:tcBorders>
              <w:top w:val="single" w:sz="4" w:space="0" w:color="auto"/>
              <w:left w:val="nil"/>
              <w:bottom w:val="single" w:sz="4" w:space="0" w:color="auto"/>
              <w:right w:val="single" w:sz="4" w:space="0" w:color="auto"/>
            </w:tcBorders>
            <w:vAlign w:val="center"/>
            <w:hideMark/>
          </w:tcPr>
          <w:p w14:paraId="18C8B92B" w14:textId="3F6958D6" w:rsidR="004E41C9" w:rsidRPr="00946249" w:rsidRDefault="004E41C9" w:rsidP="000C1506">
            <w:pPr>
              <w:widowControl/>
              <w:autoSpaceDE/>
              <w:autoSpaceDN/>
              <w:adjustRightInd/>
              <w:jc w:val="center"/>
              <w:rPr>
                <w:rFonts w:ascii="Cambria" w:hAnsi="Cambria" w:cs="Calibri"/>
                <w:i/>
                <w:iCs/>
                <w:color w:val="000000"/>
              </w:rPr>
            </w:pPr>
            <w:r w:rsidRPr="00946249">
              <w:rPr>
                <w:rFonts w:ascii="Cambria" w:hAnsi="Cambria"/>
                <w:i/>
                <w:color w:val="000000"/>
              </w:rPr>
              <w:t>Tarea 1 de 2024 (t)</w:t>
            </w:r>
          </w:p>
        </w:tc>
      </w:tr>
      <w:tr w:rsidR="004E41C9" w:rsidRPr="00946249" w14:paraId="6EF9B123" w14:textId="77777777" w:rsidTr="00620BD8">
        <w:trPr>
          <w:trHeight w:val="300"/>
        </w:trPr>
        <w:tc>
          <w:tcPr>
            <w:tcW w:w="843" w:type="pct"/>
            <w:tcBorders>
              <w:top w:val="nil"/>
              <w:left w:val="single" w:sz="4" w:space="0" w:color="auto"/>
              <w:bottom w:val="single" w:sz="4" w:space="0" w:color="auto"/>
              <w:right w:val="single" w:sz="4" w:space="0" w:color="auto"/>
            </w:tcBorders>
            <w:noWrap/>
            <w:vAlign w:val="center"/>
            <w:hideMark/>
          </w:tcPr>
          <w:p w14:paraId="76E4D4EA" w14:textId="78667708" w:rsidR="004E41C9" w:rsidRPr="00946249" w:rsidRDefault="004E41C9" w:rsidP="000C1506">
            <w:pPr>
              <w:widowControl/>
              <w:autoSpaceDE/>
              <w:autoSpaceDN/>
              <w:adjustRightInd/>
              <w:jc w:val="center"/>
              <w:rPr>
                <w:rFonts w:ascii="Cambria" w:hAnsi="Cambria"/>
                <w:color w:val="000000"/>
              </w:rPr>
            </w:pPr>
            <w:r w:rsidRPr="00946249">
              <w:rPr>
                <w:rFonts w:ascii="Cambria" w:hAnsi="Cambria"/>
                <w:color w:val="000000"/>
              </w:rPr>
              <w:t>ATS</w:t>
            </w:r>
          </w:p>
        </w:tc>
        <w:tc>
          <w:tcPr>
            <w:tcW w:w="1578" w:type="pct"/>
            <w:tcBorders>
              <w:top w:val="nil"/>
              <w:left w:val="nil"/>
              <w:bottom w:val="single" w:sz="4" w:space="0" w:color="auto"/>
              <w:right w:val="single" w:sz="4" w:space="0" w:color="auto"/>
            </w:tcBorders>
            <w:vAlign w:val="center"/>
            <w:hideMark/>
          </w:tcPr>
          <w:p w14:paraId="43C901CE" w14:textId="68148727" w:rsidR="004E41C9" w:rsidRPr="00946249" w:rsidRDefault="00E46C95" w:rsidP="000C1506">
            <w:pPr>
              <w:widowControl/>
              <w:autoSpaceDE/>
              <w:autoSpaceDN/>
              <w:adjustRightInd/>
              <w:jc w:val="center"/>
              <w:rPr>
                <w:rFonts w:ascii="Cambria" w:hAnsi="Cambria"/>
                <w:color w:val="000000"/>
              </w:rPr>
            </w:pPr>
            <w:r w:rsidRPr="00946249">
              <w:rPr>
                <w:rFonts w:ascii="Cambria" w:hAnsi="Cambria"/>
                <w:color w:val="000000"/>
              </w:rPr>
              <w:t>1.295</w:t>
            </w:r>
          </w:p>
        </w:tc>
        <w:tc>
          <w:tcPr>
            <w:tcW w:w="1642" w:type="pct"/>
            <w:tcBorders>
              <w:top w:val="nil"/>
              <w:left w:val="nil"/>
              <w:bottom w:val="single" w:sz="4" w:space="0" w:color="auto"/>
              <w:right w:val="single" w:sz="4" w:space="0" w:color="auto"/>
            </w:tcBorders>
            <w:vAlign w:val="center"/>
            <w:hideMark/>
          </w:tcPr>
          <w:p w14:paraId="11570BCA" w14:textId="4781E29B" w:rsidR="004E41C9" w:rsidRPr="00946249" w:rsidRDefault="00363963" w:rsidP="000C1506">
            <w:pPr>
              <w:widowControl/>
              <w:autoSpaceDE/>
              <w:autoSpaceDN/>
              <w:adjustRightInd/>
              <w:jc w:val="center"/>
              <w:rPr>
                <w:rFonts w:ascii="Cambria" w:hAnsi="Cambria"/>
                <w:color w:val="000000"/>
              </w:rPr>
            </w:pPr>
            <w:r w:rsidRPr="00946249">
              <w:rPr>
                <w:rFonts w:ascii="Cambria" w:hAnsi="Cambria"/>
                <w:color w:val="000000"/>
              </w:rPr>
              <w:t>148</w:t>
            </w:r>
          </w:p>
        </w:tc>
        <w:tc>
          <w:tcPr>
            <w:tcW w:w="937" w:type="pct"/>
            <w:tcBorders>
              <w:top w:val="nil"/>
              <w:left w:val="nil"/>
              <w:bottom w:val="single" w:sz="4" w:space="0" w:color="auto"/>
              <w:right w:val="single" w:sz="4" w:space="0" w:color="auto"/>
            </w:tcBorders>
            <w:vAlign w:val="center"/>
            <w:hideMark/>
          </w:tcPr>
          <w:p w14:paraId="536BF097" w14:textId="2505D1E8" w:rsidR="004E41C9" w:rsidRPr="00946249" w:rsidRDefault="00363963" w:rsidP="000C1506">
            <w:pPr>
              <w:widowControl/>
              <w:autoSpaceDE/>
              <w:autoSpaceDN/>
              <w:adjustRightInd/>
              <w:jc w:val="center"/>
              <w:rPr>
                <w:rFonts w:ascii="Cambria" w:hAnsi="Cambria"/>
                <w:color w:val="000000"/>
              </w:rPr>
            </w:pPr>
            <w:r w:rsidRPr="00946249">
              <w:rPr>
                <w:rFonts w:ascii="Cambria" w:hAnsi="Cambria"/>
              </w:rPr>
              <w:t>730</w:t>
            </w:r>
            <w:r w:rsidR="00087576" w:rsidRPr="00946249">
              <w:rPr>
                <w:rFonts w:ascii="Cambria" w:hAnsi="Cambria"/>
              </w:rPr>
              <w:t>,</w:t>
            </w:r>
            <w:r w:rsidRPr="00946249">
              <w:rPr>
                <w:rFonts w:ascii="Cambria" w:hAnsi="Cambria"/>
              </w:rPr>
              <w:t>7</w:t>
            </w:r>
          </w:p>
        </w:tc>
      </w:tr>
    </w:tbl>
    <w:p w14:paraId="2B568F3B" w14:textId="61CDD349" w:rsidR="004E41C9" w:rsidRPr="00946249" w:rsidRDefault="00AA0D0C" w:rsidP="004E41C9">
      <w:pPr>
        <w:jc w:val="both"/>
        <w:rPr>
          <w:rFonts w:ascii="Cambria" w:hAnsi="Cambria"/>
          <w:color w:val="000000" w:themeColor="text1"/>
        </w:rPr>
      </w:pPr>
      <w:r w:rsidRPr="00946249">
        <w:rPr>
          <w:rFonts w:ascii="Cambria" w:hAnsi="Cambria"/>
          <w:color w:val="000000" w:themeColor="text1"/>
        </w:rPr>
        <w:lastRenderedPageBreak/>
        <w:t xml:space="preserve">Cabe señalar que se excluyen los descartes vivos (DL) y que los datos de Tarea 1 del ST02 excluyen los traspasos. Las obligaciones de comunicación de Tarea 1 se revisan en virtud de la Rec. 11-15. La Recomendación exige a las CPC que, a partir de 2020, faciliten información en sus informes anuales sobre cómo se está aplicando esta Recomendación.  Estos informes están incluidos en la hoja de comprobación de tiburones (véase la Rec. 18-06 más abajo). </w:t>
      </w:r>
    </w:p>
    <w:p w14:paraId="32C19297" w14:textId="77777777" w:rsidR="004E41C9" w:rsidRPr="00946249" w:rsidRDefault="004E41C9" w:rsidP="004E41C9">
      <w:pPr>
        <w:tabs>
          <w:tab w:val="left" w:pos="1276"/>
          <w:tab w:val="left" w:pos="1418"/>
          <w:tab w:val="left" w:leader="dot" w:pos="8222"/>
          <w:tab w:val="right" w:pos="8647"/>
        </w:tabs>
        <w:ind w:left="1276" w:hanging="851"/>
        <w:rPr>
          <w:rFonts w:ascii="Cambria" w:hAnsi="Cambria"/>
          <w:bCs/>
        </w:rPr>
      </w:pPr>
    </w:p>
    <w:p w14:paraId="4721819F" w14:textId="36509314" w:rsidR="004E41C9" w:rsidRPr="00946249" w:rsidRDefault="004E41C9" w:rsidP="004E41C9">
      <w:pPr>
        <w:tabs>
          <w:tab w:val="left" w:pos="709"/>
          <w:tab w:val="left" w:pos="1418"/>
          <w:tab w:val="left" w:leader="dot" w:pos="8222"/>
          <w:tab w:val="right" w:pos="8647"/>
        </w:tabs>
        <w:jc w:val="both"/>
        <w:rPr>
          <w:rFonts w:ascii="Cambria" w:hAnsi="Cambria"/>
          <w:bCs/>
          <w:i/>
        </w:rPr>
      </w:pPr>
      <w:r w:rsidRPr="00946249">
        <w:rPr>
          <w:rFonts w:ascii="Cambria" w:hAnsi="Cambria"/>
          <w:i/>
        </w:rPr>
        <w:t xml:space="preserve">[18-06] </w:t>
      </w:r>
      <w:hyperlink r:id="rId24" w:tgtFrame="_blank" w:history="1">
        <w:r w:rsidRPr="00946249">
          <w:rPr>
            <w:rFonts w:ascii="Cambria" w:hAnsi="Cambria"/>
            <w:i/>
          </w:rPr>
          <w:t>Recomendación de ICCAT que sustituye a la Recomendación 16-13 para mejorar la revisión del cumplimiento de las medidas de conservación y ordenación relacionadas con los tiburones capturados en asociación con las pesquerías de ICCAT</w:t>
        </w:r>
      </w:hyperlink>
      <w:r w:rsidRPr="00946249">
        <w:rPr>
          <w:rFonts w:ascii="Cambria" w:hAnsi="Cambria"/>
          <w:i/>
        </w:rPr>
        <w:t xml:space="preserve"> </w:t>
      </w:r>
    </w:p>
    <w:p w14:paraId="6B7697A3" w14:textId="77777777" w:rsidR="004E41C9" w:rsidRPr="00946249" w:rsidRDefault="004E41C9" w:rsidP="004E41C9">
      <w:pPr>
        <w:tabs>
          <w:tab w:val="left" w:pos="1276"/>
          <w:tab w:val="left" w:pos="1418"/>
          <w:tab w:val="left" w:leader="dot" w:pos="8222"/>
          <w:tab w:val="right" w:pos="8647"/>
        </w:tabs>
        <w:ind w:left="1135" w:hanging="851"/>
        <w:rPr>
          <w:rFonts w:ascii="Cambria" w:hAnsi="Cambria"/>
          <w:bCs/>
        </w:rPr>
      </w:pPr>
    </w:p>
    <w:p w14:paraId="6CF41C5D" w14:textId="4D4A6996" w:rsidR="00701334" w:rsidRPr="00946249" w:rsidRDefault="00701334" w:rsidP="00701334">
      <w:pPr>
        <w:jc w:val="both"/>
        <w:rPr>
          <w:rFonts w:ascii="Cambria" w:hAnsi="Cambria"/>
          <w:iCs/>
        </w:rPr>
      </w:pPr>
      <w:r w:rsidRPr="00946249">
        <w:rPr>
          <w:rFonts w:ascii="Cambria" w:hAnsi="Cambria"/>
        </w:rPr>
        <w:t xml:space="preserve">Este año se han recibido hojas de comprobación de tiburones revisadas/actualizadas de 45 CPC, nueve de ellas fuera de plazo. Seis (6) CPC no han enviado ninguna actualización de las versiones anteriores del año pasado (2024) (Guatemala, Libia, Sierra Leona, República Árabe de Siria, Trinidad y Tobago y Guyana). Siete (7) CPC no han presentado nunca hojas de comprobación de tiburones (Gambia, Granada, Guinea Ecuatorial, Guinea-Bissau, Mauritania, São Tomé e </w:t>
      </w:r>
      <w:proofErr w:type="spellStart"/>
      <w:r w:rsidRPr="00946249">
        <w:rPr>
          <w:rFonts w:ascii="Cambria" w:hAnsi="Cambria"/>
        </w:rPr>
        <w:t>Principe</w:t>
      </w:r>
      <w:proofErr w:type="spellEnd"/>
      <w:r w:rsidRPr="00946249">
        <w:rPr>
          <w:rFonts w:ascii="Cambria" w:hAnsi="Cambria"/>
        </w:rPr>
        <w:t xml:space="preserve"> y Cuba). Éstas figuran en las "Hojas de comprobación de tiburones recibidas de conformidad con la Rec. 18-06" [COC_314/2025]. El contenido de estas hojas de comprobación de tiburones se resume en el Anexo 1 del documento COC_314/2025.</w:t>
      </w:r>
    </w:p>
    <w:p w14:paraId="49F8F38C" w14:textId="77777777" w:rsidR="00701334" w:rsidRPr="00946249" w:rsidRDefault="00701334" w:rsidP="004E41C9">
      <w:pPr>
        <w:jc w:val="both"/>
        <w:rPr>
          <w:rFonts w:ascii="Cambria" w:hAnsi="Cambria"/>
        </w:rPr>
      </w:pPr>
    </w:p>
    <w:p w14:paraId="57ED8C5A" w14:textId="55F6A2E9" w:rsidR="006B5B0F" w:rsidRPr="00946249" w:rsidRDefault="006B5B0F">
      <w:pPr>
        <w:widowControl/>
        <w:autoSpaceDE/>
        <w:autoSpaceDN/>
        <w:adjustRightInd/>
        <w:rPr>
          <w:rFonts w:ascii="Cambria" w:hAnsi="Cambria"/>
          <w:b/>
        </w:rPr>
      </w:pPr>
    </w:p>
    <w:p w14:paraId="0D471F85" w14:textId="3C2C3FF1" w:rsidR="00F225F3" w:rsidRPr="00946249" w:rsidRDefault="00AE0476" w:rsidP="00820485">
      <w:pPr>
        <w:tabs>
          <w:tab w:val="left" w:pos="1276"/>
          <w:tab w:val="left" w:pos="1418"/>
          <w:tab w:val="left" w:leader="dot" w:pos="8222"/>
          <w:tab w:val="right" w:pos="8647"/>
        </w:tabs>
        <w:rPr>
          <w:rFonts w:ascii="Cambria" w:hAnsi="Cambria"/>
          <w:b/>
        </w:rPr>
      </w:pPr>
      <w:r w:rsidRPr="00946249">
        <w:rPr>
          <w:rFonts w:ascii="Cambria" w:hAnsi="Cambria"/>
          <w:b/>
        </w:rPr>
        <w:t>BYC - ESPECIES DE CAPTURA FORTUITA</w:t>
      </w:r>
    </w:p>
    <w:p w14:paraId="7C90F0A1" w14:textId="77777777" w:rsidR="00F225F3" w:rsidRPr="00946249" w:rsidRDefault="00F225F3" w:rsidP="00820485">
      <w:pPr>
        <w:tabs>
          <w:tab w:val="left" w:pos="1276"/>
          <w:tab w:val="left" w:pos="1418"/>
          <w:tab w:val="left" w:leader="dot" w:pos="8222"/>
          <w:tab w:val="right" w:pos="8647"/>
        </w:tabs>
        <w:ind w:firstLine="425"/>
        <w:rPr>
          <w:rFonts w:ascii="Cambria" w:hAnsi="Cambria"/>
        </w:rPr>
      </w:pPr>
    </w:p>
    <w:p w14:paraId="4A57C6E9" w14:textId="4C274666" w:rsidR="007668FE" w:rsidRPr="00946249" w:rsidRDefault="007668FE" w:rsidP="00820485">
      <w:pPr>
        <w:tabs>
          <w:tab w:val="left" w:pos="1276"/>
          <w:tab w:val="left" w:leader="dot" w:pos="8222"/>
          <w:tab w:val="right" w:pos="8647"/>
        </w:tabs>
        <w:ind w:left="709" w:hanging="709"/>
        <w:jc w:val="both"/>
        <w:rPr>
          <w:rFonts w:ascii="Cambria" w:hAnsi="Cambria"/>
          <w:bCs/>
          <w:i/>
        </w:rPr>
      </w:pPr>
      <w:r w:rsidRPr="00946249">
        <w:rPr>
          <w:rFonts w:ascii="Cambria" w:hAnsi="Cambria"/>
          <w:i/>
        </w:rPr>
        <w:t>[07-07] Recomendación de ICCAT para reducir la captura fortuita incidental de aves marinas en las pesquerías de palangre</w:t>
      </w:r>
    </w:p>
    <w:p w14:paraId="2476C212" w14:textId="77777777" w:rsidR="00956609" w:rsidRPr="00946249" w:rsidRDefault="00956609" w:rsidP="00820485">
      <w:pPr>
        <w:tabs>
          <w:tab w:val="left" w:pos="1276"/>
          <w:tab w:val="left" w:pos="1418"/>
          <w:tab w:val="left" w:leader="dot" w:pos="8222"/>
          <w:tab w:val="right" w:pos="8647"/>
        </w:tabs>
        <w:ind w:firstLine="425"/>
        <w:rPr>
          <w:rFonts w:ascii="Cambria" w:hAnsi="Cambria"/>
          <w:bCs/>
          <w:i/>
        </w:rPr>
      </w:pPr>
    </w:p>
    <w:p w14:paraId="4AB8620D" w14:textId="0AE27248" w:rsidR="00426C05" w:rsidRPr="00946249" w:rsidRDefault="00956609" w:rsidP="00AA5ADC">
      <w:pPr>
        <w:tabs>
          <w:tab w:val="left" w:pos="1276"/>
          <w:tab w:val="left" w:pos="1418"/>
          <w:tab w:val="left" w:leader="dot" w:pos="8222"/>
          <w:tab w:val="right" w:pos="8647"/>
        </w:tabs>
        <w:jc w:val="both"/>
        <w:rPr>
          <w:rFonts w:ascii="Cambria" w:hAnsi="Cambria"/>
          <w:bCs/>
          <w:iCs/>
        </w:rPr>
      </w:pPr>
      <w:r w:rsidRPr="00946249">
        <w:rPr>
          <w:rFonts w:ascii="Cambria" w:hAnsi="Cambria"/>
        </w:rPr>
        <w:t xml:space="preserve">Véase la Rec. 11-09 más abajo. La Secretaría de ICCAT reitera su sugerencia de que se combinen estas dos Recomendaciones. </w:t>
      </w:r>
    </w:p>
    <w:p w14:paraId="659A3EF9" w14:textId="77777777" w:rsidR="002A17A1" w:rsidRPr="00946249" w:rsidRDefault="002A17A1" w:rsidP="00FB05AF">
      <w:pPr>
        <w:tabs>
          <w:tab w:val="left" w:pos="1276"/>
          <w:tab w:val="left" w:pos="1418"/>
          <w:tab w:val="left" w:leader="dot" w:pos="8222"/>
          <w:tab w:val="right" w:pos="8647"/>
        </w:tabs>
        <w:rPr>
          <w:rFonts w:ascii="Cambria" w:hAnsi="Cambria"/>
        </w:rPr>
      </w:pPr>
    </w:p>
    <w:p w14:paraId="418EADFC" w14:textId="19C4929F" w:rsidR="00E01A0F" w:rsidRPr="00946249" w:rsidRDefault="00E01A0F" w:rsidP="00820485">
      <w:pPr>
        <w:tabs>
          <w:tab w:val="left" w:pos="1276"/>
          <w:tab w:val="left" w:leader="dot" w:pos="8222"/>
          <w:tab w:val="right" w:pos="8647"/>
        </w:tabs>
        <w:jc w:val="both"/>
        <w:rPr>
          <w:rFonts w:ascii="Cambria" w:hAnsi="Cambria"/>
          <w:i/>
          <w:iCs/>
        </w:rPr>
      </w:pPr>
      <w:r w:rsidRPr="00946249">
        <w:rPr>
          <w:rFonts w:ascii="Cambria" w:hAnsi="Cambria"/>
          <w:i/>
        </w:rPr>
        <w:t>[11-09] Recomendación suplementaria de ICCAT para reducir la captura fortuita incidental de aves marinas en las pesquerías de palangre</w:t>
      </w:r>
    </w:p>
    <w:p w14:paraId="346B7E11" w14:textId="77777777" w:rsidR="005C1EE7" w:rsidRPr="00946249" w:rsidRDefault="005C1EE7" w:rsidP="00820485">
      <w:pPr>
        <w:tabs>
          <w:tab w:val="left" w:pos="1276"/>
          <w:tab w:val="left" w:leader="dot" w:pos="8222"/>
          <w:tab w:val="right" w:pos="8647"/>
        </w:tabs>
        <w:ind w:firstLine="425"/>
        <w:rPr>
          <w:rFonts w:ascii="Cambria" w:hAnsi="Cambria"/>
          <w:bCs/>
        </w:rPr>
        <w:sectPr w:rsidR="005C1EE7" w:rsidRPr="00946249" w:rsidSect="007677B9">
          <w:headerReference w:type="default" r:id="rId25"/>
          <w:footerReference w:type="default" r:id="rId26"/>
          <w:endnotePr>
            <w:numFmt w:val="decimal"/>
          </w:endnotePr>
          <w:type w:val="continuous"/>
          <w:pgSz w:w="11911" w:h="16832" w:code="9"/>
          <w:pgMar w:top="1418" w:right="1418" w:bottom="1418" w:left="1418" w:header="851" w:footer="1134" w:gutter="0"/>
          <w:pgNumType w:start="1"/>
          <w:cols w:space="720"/>
          <w:noEndnote/>
          <w:docGrid w:linePitch="360"/>
        </w:sectPr>
      </w:pPr>
    </w:p>
    <w:p w14:paraId="6046B440" w14:textId="7426063B" w:rsidR="00A33055" w:rsidRPr="00946249" w:rsidRDefault="00A33055" w:rsidP="00820485">
      <w:pPr>
        <w:tabs>
          <w:tab w:val="left" w:pos="1276"/>
          <w:tab w:val="left" w:pos="1418"/>
          <w:tab w:val="left" w:leader="dot" w:pos="8222"/>
          <w:tab w:val="right" w:pos="8647"/>
        </w:tabs>
        <w:jc w:val="both"/>
        <w:rPr>
          <w:rFonts w:ascii="Cambria" w:hAnsi="Cambria"/>
          <w:bCs/>
        </w:rPr>
      </w:pPr>
      <w:bookmarkStart w:id="21" w:name="_Hlk52808660"/>
      <w:r w:rsidRPr="00946249">
        <w:rPr>
          <w:rFonts w:ascii="Cambria" w:hAnsi="Cambria"/>
        </w:rPr>
        <w:lastRenderedPageBreak/>
        <w:t xml:space="preserve">La captura fortuita de aves marinas se incluye en el "Informe de la Secretaría de ICCAT sobre investigación y estadísticas de 2025" [PLE_105/2025]. A </w:t>
      </w:r>
      <w:proofErr w:type="gramStart"/>
      <w:r w:rsidRPr="00946249">
        <w:rPr>
          <w:rFonts w:ascii="Cambria" w:hAnsi="Cambria"/>
        </w:rPr>
        <w:t>continuación</w:t>
      </w:r>
      <w:proofErr w:type="gramEnd"/>
      <w:r w:rsidRPr="00946249">
        <w:rPr>
          <w:rFonts w:ascii="Cambria" w:hAnsi="Cambria"/>
        </w:rPr>
        <w:t xml:space="preserve"> se resumen las medidas de mitigación y otras acciones comunicadas por las CPC para 2024 mediante el formulario CP44 en 2025: </w:t>
      </w:r>
    </w:p>
    <w:p w14:paraId="7199E23F" w14:textId="77777777" w:rsidR="00281FD1" w:rsidRPr="00946249" w:rsidRDefault="00281FD1" w:rsidP="00820485">
      <w:pPr>
        <w:tabs>
          <w:tab w:val="left" w:pos="1276"/>
          <w:tab w:val="left" w:pos="1418"/>
          <w:tab w:val="left" w:leader="dot" w:pos="8222"/>
          <w:tab w:val="right" w:pos="8647"/>
        </w:tabs>
        <w:jc w:val="both"/>
        <w:rPr>
          <w:rFonts w:ascii="Cambria" w:hAnsi="Cambria"/>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60"/>
        <w:gridCol w:w="1626"/>
        <w:gridCol w:w="1460"/>
        <w:gridCol w:w="4784"/>
        <w:gridCol w:w="3381"/>
      </w:tblGrid>
      <w:tr w:rsidR="008124D0" w:rsidRPr="00946249" w14:paraId="4E5FB8E0" w14:textId="77777777" w:rsidTr="000F1832">
        <w:trPr>
          <w:trHeight w:val="19"/>
          <w:tblHeader/>
          <w:jc w:val="center"/>
        </w:trPr>
        <w:tc>
          <w:tcPr>
            <w:tcW w:w="417" w:type="pct"/>
            <w:vAlign w:val="center"/>
            <w:hideMark/>
          </w:tcPr>
          <w:p w14:paraId="047885B8" w14:textId="77777777" w:rsidR="00281FD1" w:rsidRPr="00946249" w:rsidRDefault="00281FD1" w:rsidP="006D1DE6">
            <w:pPr>
              <w:jc w:val="center"/>
              <w:rPr>
                <w:rFonts w:ascii="Cambria" w:hAnsi="Cambria"/>
                <w:b/>
                <w:i/>
                <w:color w:val="000000"/>
              </w:rPr>
            </w:pPr>
            <w:r w:rsidRPr="00946249">
              <w:rPr>
                <w:rFonts w:ascii="Cambria" w:hAnsi="Cambria"/>
                <w:b/>
                <w:i/>
                <w:color w:val="000000"/>
              </w:rPr>
              <w:t>CPC</w:t>
            </w:r>
          </w:p>
        </w:tc>
        <w:tc>
          <w:tcPr>
            <w:tcW w:w="564" w:type="pct"/>
            <w:vAlign w:val="center"/>
            <w:hideMark/>
          </w:tcPr>
          <w:p w14:paraId="1EAE868A" w14:textId="77777777" w:rsidR="00281FD1" w:rsidRPr="00946249" w:rsidRDefault="00281FD1" w:rsidP="006D1DE6">
            <w:pPr>
              <w:jc w:val="center"/>
              <w:rPr>
                <w:rFonts w:ascii="Cambria" w:hAnsi="Cambria"/>
                <w:b/>
                <w:i/>
                <w:color w:val="000000"/>
              </w:rPr>
            </w:pPr>
            <w:r w:rsidRPr="00946249">
              <w:rPr>
                <w:rFonts w:ascii="Cambria" w:hAnsi="Cambria"/>
                <w:b/>
                <w:i/>
                <w:color w:val="000000"/>
              </w:rPr>
              <w:t>Calado nocturno con la mínima iluminación en cubierta</w:t>
            </w:r>
          </w:p>
        </w:tc>
        <w:tc>
          <w:tcPr>
            <w:tcW w:w="584" w:type="pct"/>
            <w:vAlign w:val="center"/>
            <w:hideMark/>
          </w:tcPr>
          <w:p w14:paraId="2D418795" w14:textId="77777777" w:rsidR="0071048D" w:rsidRPr="00946249" w:rsidRDefault="00281FD1" w:rsidP="006D1DE6">
            <w:pPr>
              <w:jc w:val="center"/>
              <w:rPr>
                <w:rFonts w:ascii="Cambria" w:hAnsi="Cambria"/>
                <w:b/>
                <w:i/>
                <w:color w:val="000000"/>
              </w:rPr>
            </w:pPr>
            <w:r w:rsidRPr="00946249">
              <w:rPr>
                <w:rFonts w:ascii="Cambria" w:hAnsi="Cambria"/>
                <w:b/>
                <w:i/>
                <w:color w:val="000000"/>
              </w:rPr>
              <w:t xml:space="preserve">Líneas espantapájaros </w:t>
            </w:r>
          </w:p>
          <w:p w14:paraId="286C136F" w14:textId="40F5B585" w:rsidR="00281FD1" w:rsidRPr="00946249" w:rsidRDefault="00281FD1" w:rsidP="006D1DE6">
            <w:pPr>
              <w:jc w:val="center"/>
              <w:rPr>
                <w:rFonts w:ascii="Cambria" w:hAnsi="Cambria"/>
                <w:b/>
                <w:i/>
                <w:color w:val="000000"/>
              </w:rPr>
            </w:pPr>
          </w:p>
        </w:tc>
        <w:tc>
          <w:tcPr>
            <w:tcW w:w="584" w:type="pct"/>
            <w:vAlign w:val="center"/>
            <w:hideMark/>
          </w:tcPr>
          <w:p w14:paraId="55323EBF" w14:textId="77777777" w:rsidR="00281FD1" w:rsidRPr="00946249" w:rsidRDefault="00281FD1" w:rsidP="006D1DE6">
            <w:pPr>
              <w:jc w:val="center"/>
              <w:rPr>
                <w:rFonts w:ascii="Cambria" w:hAnsi="Cambria"/>
                <w:b/>
                <w:i/>
                <w:color w:val="000000"/>
              </w:rPr>
            </w:pPr>
            <w:r w:rsidRPr="00946249">
              <w:rPr>
                <w:rFonts w:ascii="Cambria" w:hAnsi="Cambria"/>
                <w:b/>
                <w:i/>
                <w:color w:val="000000"/>
              </w:rPr>
              <w:t>Lastrado de línea</w:t>
            </w:r>
          </w:p>
        </w:tc>
        <w:tc>
          <w:tcPr>
            <w:tcW w:w="1498" w:type="pct"/>
            <w:vAlign w:val="center"/>
            <w:hideMark/>
          </w:tcPr>
          <w:p w14:paraId="039E12C9" w14:textId="77777777" w:rsidR="00281FD1" w:rsidRPr="00946249" w:rsidRDefault="00281FD1" w:rsidP="000F1832">
            <w:pPr>
              <w:jc w:val="center"/>
              <w:rPr>
                <w:rFonts w:ascii="Cambria" w:hAnsi="Cambria"/>
                <w:b/>
                <w:i/>
                <w:color w:val="000000"/>
              </w:rPr>
            </w:pPr>
            <w:r w:rsidRPr="00946249">
              <w:rPr>
                <w:rFonts w:ascii="Cambria" w:hAnsi="Cambria"/>
                <w:b/>
                <w:i/>
                <w:color w:val="000000"/>
              </w:rPr>
              <w:t>Estado del NPOA para las aves marinas</w:t>
            </w:r>
          </w:p>
        </w:tc>
        <w:tc>
          <w:tcPr>
            <w:tcW w:w="1353" w:type="pct"/>
            <w:vAlign w:val="center"/>
            <w:hideMark/>
          </w:tcPr>
          <w:p w14:paraId="624363FD" w14:textId="77777777" w:rsidR="00281FD1" w:rsidRPr="00946249" w:rsidRDefault="00281FD1" w:rsidP="0040351F">
            <w:pPr>
              <w:jc w:val="center"/>
              <w:rPr>
                <w:rFonts w:ascii="Cambria" w:hAnsi="Cambria"/>
                <w:b/>
                <w:i/>
                <w:color w:val="000000"/>
              </w:rPr>
            </w:pPr>
            <w:r w:rsidRPr="00946249">
              <w:rPr>
                <w:rFonts w:ascii="Cambria" w:hAnsi="Cambria"/>
                <w:b/>
                <w:i/>
                <w:color w:val="000000"/>
              </w:rPr>
              <w:t>Comentarios</w:t>
            </w:r>
          </w:p>
        </w:tc>
      </w:tr>
      <w:tr w:rsidR="00BE1E41" w:rsidRPr="00946249" w14:paraId="2E27726F" w14:textId="77777777" w:rsidTr="000F1832">
        <w:trPr>
          <w:trHeight w:val="19"/>
          <w:jc w:val="center"/>
        </w:trPr>
        <w:tc>
          <w:tcPr>
            <w:tcW w:w="417" w:type="pct"/>
            <w:vAlign w:val="center"/>
          </w:tcPr>
          <w:p w14:paraId="49444CA8" w14:textId="77777777" w:rsidR="00281FD1" w:rsidRPr="00946249" w:rsidRDefault="00281FD1" w:rsidP="00CF0196">
            <w:pPr>
              <w:rPr>
                <w:rFonts w:ascii="Cambria" w:hAnsi="Cambria" w:cs="Calibri"/>
                <w:b/>
                <w:bCs/>
                <w:color w:val="000000"/>
              </w:rPr>
            </w:pPr>
            <w:r w:rsidRPr="00946249">
              <w:rPr>
                <w:rFonts w:ascii="Cambria" w:hAnsi="Cambria"/>
                <w:b/>
                <w:color w:val="000000"/>
              </w:rPr>
              <w:t>Belice</w:t>
            </w:r>
          </w:p>
        </w:tc>
        <w:tc>
          <w:tcPr>
            <w:tcW w:w="564" w:type="pct"/>
            <w:vAlign w:val="center"/>
          </w:tcPr>
          <w:p w14:paraId="5C3D965B"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41BE0C48"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32E9FD39"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1498" w:type="pct"/>
            <w:vAlign w:val="center"/>
          </w:tcPr>
          <w:p w14:paraId="55A45018" w14:textId="4F4C60CB" w:rsidR="00281FD1" w:rsidRPr="00946249" w:rsidRDefault="00281FD1" w:rsidP="000F1832">
            <w:pPr>
              <w:jc w:val="both"/>
              <w:rPr>
                <w:rFonts w:ascii="Cambria" w:hAnsi="Cambria" w:cstheme="minorHAnsi"/>
                <w:color w:val="000000"/>
              </w:rPr>
            </w:pPr>
            <w:r w:rsidRPr="00946249">
              <w:rPr>
                <w:rFonts w:ascii="Cambria" w:hAnsi="Cambria"/>
              </w:rPr>
              <w:t>El NPOA para las aves marinas fue adoptado en 2016</w:t>
            </w:r>
            <w:r w:rsidR="0040351F" w:rsidRPr="00946249">
              <w:rPr>
                <w:rFonts w:ascii="Cambria" w:hAnsi="Cambria"/>
              </w:rPr>
              <w:t>.</w:t>
            </w:r>
          </w:p>
        </w:tc>
        <w:tc>
          <w:tcPr>
            <w:tcW w:w="1353" w:type="pct"/>
          </w:tcPr>
          <w:p w14:paraId="1BA18123" w14:textId="10C0D6ED" w:rsidR="00281FD1" w:rsidRPr="00946249" w:rsidRDefault="00281FD1" w:rsidP="0040351F">
            <w:pPr>
              <w:jc w:val="both"/>
              <w:rPr>
                <w:rFonts w:ascii="Cambria" w:hAnsi="Cambria"/>
              </w:rPr>
            </w:pPr>
            <w:r w:rsidRPr="00946249">
              <w:rPr>
                <w:rFonts w:ascii="Cambria" w:hAnsi="Cambria"/>
              </w:rPr>
              <w:t>Se emitió una circular legalmente vinculante de acuerdo con este requisito.  Se deben utilizar una o varias de estas tres medidas a bordo de sus buques.</w:t>
            </w:r>
            <w:r w:rsidR="0040351F" w:rsidRPr="00946249">
              <w:rPr>
                <w:rFonts w:ascii="Cambria" w:hAnsi="Cambria"/>
              </w:rPr>
              <w:t xml:space="preserve"> </w:t>
            </w:r>
            <w:r w:rsidRPr="00946249">
              <w:rPr>
                <w:rFonts w:ascii="Cambria" w:hAnsi="Cambria"/>
              </w:rPr>
              <w:t>Estos requisitos también se recogen en nuestro NPOA para las aves marinas</w:t>
            </w:r>
            <w:r w:rsidR="0040351F" w:rsidRPr="00946249">
              <w:rPr>
                <w:rFonts w:ascii="Cambria" w:hAnsi="Cambria"/>
              </w:rPr>
              <w:t>.</w:t>
            </w:r>
            <w:r w:rsidRPr="00946249">
              <w:rPr>
                <w:rFonts w:ascii="Cambria" w:hAnsi="Cambria"/>
              </w:rPr>
              <w:t xml:space="preserve"> </w:t>
            </w:r>
          </w:p>
          <w:p w14:paraId="1DE3DC15" w14:textId="77777777" w:rsidR="00281FD1" w:rsidRPr="00946249" w:rsidRDefault="00281FD1" w:rsidP="0040351F">
            <w:pPr>
              <w:jc w:val="both"/>
              <w:rPr>
                <w:rFonts w:ascii="Cambria" w:hAnsi="Cambria"/>
              </w:rPr>
            </w:pPr>
          </w:p>
          <w:p w14:paraId="497EC63A" w14:textId="77777777" w:rsidR="00281FD1" w:rsidRPr="00946249" w:rsidRDefault="00281FD1" w:rsidP="0040351F">
            <w:pPr>
              <w:jc w:val="both"/>
              <w:rPr>
                <w:rFonts w:ascii="Cambria" w:hAnsi="Cambria"/>
              </w:rPr>
            </w:pPr>
            <w:r w:rsidRPr="00946249">
              <w:rPr>
                <w:rFonts w:ascii="Cambria" w:hAnsi="Cambria"/>
              </w:rPr>
              <w:t>Área: FAO 31 y 34</w:t>
            </w:r>
          </w:p>
          <w:p w14:paraId="1F878C8B" w14:textId="77777777" w:rsidR="00281FD1" w:rsidRPr="00946249" w:rsidRDefault="00281FD1" w:rsidP="0040351F">
            <w:pPr>
              <w:jc w:val="both"/>
              <w:rPr>
                <w:rFonts w:ascii="Cambria" w:hAnsi="Cambria" w:cstheme="minorHAnsi"/>
                <w:color w:val="000000"/>
                <w:lang w:val="en-US" w:eastAsia="en-GB"/>
              </w:rPr>
            </w:pPr>
          </w:p>
        </w:tc>
      </w:tr>
      <w:tr w:rsidR="00BE1E41" w:rsidRPr="00946249" w14:paraId="48B99BCB" w14:textId="77777777" w:rsidTr="000F1832">
        <w:trPr>
          <w:trHeight w:val="19"/>
          <w:jc w:val="center"/>
        </w:trPr>
        <w:tc>
          <w:tcPr>
            <w:tcW w:w="417" w:type="pct"/>
            <w:vAlign w:val="center"/>
          </w:tcPr>
          <w:p w14:paraId="3A5DE02B" w14:textId="77777777" w:rsidR="00281FD1" w:rsidRPr="00946249" w:rsidRDefault="00281FD1" w:rsidP="00CF0196">
            <w:pPr>
              <w:rPr>
                <w:rFonts w:ascii="Cambria" w:hAnsi="Cambria" w:cs="Calibri"/>
                <w:b/>
                <w:bCs/>
                <w:color w:val="000000"/>
              </w:rPr>
            </w:pPr>
            <w:proofErr w:type="spellStart"/>
            <w:r w:rsidRPr="00946249">
              <w:rPr>
                <w:rFonts w:ascii="Cambria" w:hAnsi="Cambria"/>
                <w:b/>
                <w:color w:val="000000"/>
              </w:rPr>
              <w:t>Taipei</w:t>
            </w:r>
            <w:proofErr w:type="spellEnd"/>
            <w:r w:rsidRPr="00946249">
              <w:rPr>
                <w:rFonts w:ascii="Cambria" w:hAnsi="Cambria"/>
                <w:b/>
                <w:color w:val="000000"/>
              </w:rPr>
              <w:t xml:space="preserve"> </w:t>
            </w:r>
            <w:proofErr w:type="gramStart"/>
            <w:r w:rsidRPr="00946249">
              <w:rPr>
                <w:rFonts w:ascii="Cambria" w:hAnsi="Cambria"/>
                <w:b/>
                <w:color w:val="000000"/>
              </w:rPr>
              <w:t>Chino</w:t>
            </w:r>
            <w:proofErr w:type="gramEnd"/>
          </w:p>
        </w:tc>
        <w:tc>
          <w:tcPr>
            <w:tcW w:w="564" w:type="pct"/>
            <w:vAlign w:val="center"/>
          </w:tcPr>
          <w:p w14:paraId="3E6DB547"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11D02E9A"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7A987A32"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1498" w:type="pct"/>
            <w:vAlign w:val="center"/>
          </w:tcPr>
          <w:p w14:paraId="4694CF78" w14:textId="77777777" w:rsidR="00281FD1" w:rsidRPr="00946249" w:rsidRDefault="00281FD1" w:rsidP="000F1832">
            <w:pPr>
              <w:snapToGrid w:val="0"/>
              <w:spacing w:after="120"/>
              <w:jc w:val="both"/>
              <w:rPr>
                <w:rFonts w:ascii="Cambria" w:eastAsiaTheme="minorEastAsia" w:hAnsi="Cambria"/>
              </w:rPr>
            </w:pPr>
            <w:r w:rsidRPr="00946249">
              <w:rPr>
                <w:rFonts w:ascii="Cambria" w:hAnsi="Cambria"/>
              </w:rPr>
              <w:t xml:space="preserve">En 2006, adoptamos la primera edición del NPOA para las aves marinas, dentro del cual se incluyeron las tres medidas de mitigación (calado nocturno, líneas espantapájaros y lastrado de línea) exigidas por ICCAT. </w:t>
            </w:r>
          </w:p>
          <w:p w14:paraId="55E7F972" w14:textId="77777777" w:rsidR="00281FD1" w:rsidRPr="00946249" w:rsidRDefault="00281FD1" w:rsidP="000F1832">
            <w:pPr>
              <w:jc w:val="both"/>
              <w:rPr>
                <w:rFonts w:ascii="Cambria" w:hAnsi="Cambria" w:cstheme="minorHAnsi"/>
                <w:color w:val="000000"/>
              </w:rPr>
            </w:pPr>
            <w:r w:rsidRPr="00946249">
              <w:rPr>
                <w:rFonts w:ascii="Cambria" w:hAnsi="Cambria"/>
              </w:rPr>
              <w:t>En 2014, revisamos de nuevo el NPOA para las aves marinas para cumplir el objetivo de reducir la captura incidental de aves marinas en las pesquerías de palangre.</w:t>
            </w:r>
          </w:p>
        </w:tc>
        <w:tc>
          <w:tcPr>
            <w:tcW w:w="1353" w:type="pct"/>
          </w:tcPr>
          <w:p w14:paraId="3F5975DD" w14:textId="2F471E0E" w:rsidR="00281FD1" w:rsidRPr="00946249" w:rsidRDefault="00281FD1" w:rsidP="0040351F">
            <w:pPr>
              <w:jc w:val="both"/>
              <w:rPr>
                <w:rFonts w:ascii="Cambria" w:eastAsiaTheme="minorEastAsia" w:hAnsi="Cambria"/>
              </w:rPr>
            </w:pPr>
            <w:r w:rsidRPr="00946249">
              <w:rPr>
                <w:rFonts w:ascii="Cambria" w:hAnsi="Cambria"/>
              </w:rPr>
              <w:t xml:space="preserve">Animamos a nuestros buques pesqueros que </w:t>
            </w:r>
            <w:r w:rsidR="0040351F" w:rsidRPr="00946249">
              <w:rPr>
                <w:rFonts w:ascii="Cambria" w:hAnsi="Cambria"/>
              </w:rPr>
              <w:t>operan</w:t>
            </w:r>
            <w:r w:rsidRPr="00946249">
              <w:rPr>
                <w:rFonts w:ascii="Cambria" w:hAnsi="Cambria"/>
              </w:rPr>
              <w:t xml:space="preserve"> en la zona al sur de los 20°S a adoptar la medida de calado nocturno con iluminación mínima en cubierta.</w:t>
            </w:r>
          </w:p>
          <w:p w14:paraId="660B64E4" w14:textId="77777777" w:rsidR="00281FD1" w:rsidRPr="00946249" w:rsidRDefault="00281FD1" w:rsidP="0040351F">
            <w:pPr>
              <w:jc w:val="both"/>
              <w:rPr>
                <w:rFonts w:ascii="Cambria" w:eastAsiaTheme="minorEastAsia" w:hAnsi="Cambria"/>
                <w:lang w:eastAsia="zh-TW"/>
              </w:rPr>
            </w:pPr>
          </w:p>
          <w:p w14:paraId="5E2A7537" w14:textId="101D56EB" w:rsidR="00281FD1" w:rsidRPr="00946249" w:rsidRDefault="00281FD1" w:rsidP="0040351F">
            <w:pPr>
              <w:jc w:val="both"/>
              <w:rPr>
                <w:rFonts w:ascii="Cambria" w:hAnsi="Cambria" w:cstheme="minorHAnsi"/>
                <w:color w:val="000000"/>
              </w:rPr>
            </w:pPr>
            <w:r w:rsidRPr="00946249">
              <w:rPr>
                <w:rFonts w:ascii="Cambria" w:hAnsi="Cambria"/>
                <w:color w:val="000000"/>
              </w:rPr>
              <w:t xml:space="preserve">Todo buque pesquero que </w:t>
            </w:r>
            <w:r w:rsidR="0040351F" w:rsidRPr="00946249">
              <w:rPr>
                <w:rFonts w:ascii="Cambria" w:hAnsi="Cambria"/>
                <w:color w:val="000000"/>
              </w:rPr>
              <w:t>opere</w:t>
            </w:r>
            <w:r w:rsidRPr="00946249">
              <w:rPr>
                <w:rFonts w:ascii="Cambria" w:hAnsi="Cambria"/>
                <w:color w:val="000000"/>
              </w:rPr>
              <w:t xml:space="preserve"> en la zona situada al sur de 20°S está obligado a utilizar líneas espantapájaros durante la pesca y a llevar a bordo al menos un juego de repuesto.</w:t>
            </w:r>
          </w:p>
          <w:p w14:paraId="1DDF9886" w14:textId="77777777" w:rsidR="00281FD1" w:rsidRPr="00946249" w:rsidRDefault="00281FD1" w:rsidP="0040351F">
            <w:pPr>
              <w:jc w:val="both"/>
              <w:rPr>
                <w:rFonts w:ascii="Cambria" w:hAnsi="Cambria" w:cstheme="minorHAnsi"/>
                <w:color w:val="000000"/>
                <w:lang w:eastAsia="en-GB"/>
              </w:rPr>
            </w:pPr>
          </w:p>
          <w:p w14:paraId="25EB027B" w14:textId="6E1AD8E1" w:rsidR="00281FD1" w:rsidRPr="00946249" w:rsidRDefault="00281FD1" w:rsidP="0040351F">
            <w:pPr>
              <w:jc w:val="both"/>
              <w:rPr>
                <w:rFonts w:ascii="Cambria" w:hAnsi="Cambria" w:cstheme="minorHAnsi"/>
                <w:color w:val="000000"/>
              </w:rPr>
            </w:pPr>
            <w:r w:rsidRPr="00946249">
              <w:rPr>
                <w:rFonts w:ascii="Cambria" w:hAnsi="Cambria"/>
                <w:color w:val="000000"/>
              </w:rPr>
              <w:t xml:space="preserve">Todo buque pesquero que </w:t>
            </w:r>
            <w:r w:rsidR="0040351F" w:rsidRPr="00946249">
              <w:rPr>
                <w:rFonts w:ascii="Cambria" w:hAnsi="Cambria"/>
                <w:color w:val="000000"/>
              </w:rPr>
              <w:t xml:space="preserve">opere </w:t>
            </w:r>
            <w:r w:rsidRPr="00946249">
              <w:rPr>
                <w:rFonts w:ascii="Cambria" w:hAnsi="Cambria"/>
                <w:color w:val="000000"/>
              </w:rPr>
              <w:t xml:space="preserve">en la zona situada al sur de 25°S está obligado a utilizar, además de las líneas espantapájaros, pesos en la </w:t>
            </w:r>
            <w:proofErr w:type="spellStart"/>
            <w:r w:rsidRPr="00946249">
              <w:rPr>
                <w:rFonts w:ascii="Cambria" w:hAnsi="Cambria"/>
                <w:color w:val="000000"/>
              </w:rPr>
              <w:t>brazolada</w:t>
            </w:r>
            <w:proofErr w:type="spellEnd"/>
            <w:r w:rsidRPr="00946249">
              <w:rPr>
                <w:rFonts w:ascii="Cambria" w:hAnsi="Cambria"/>
                <w:color w:val="000000"/>
              </w:rPr>
              <w:t xml:space="preserve"> durante la pesca.</w:t>
            </w:r>
          </w:p>
          <w:p w14:paraId="43CAEC32" w14:textId="77777777" w:rsidR="00281FD1" w:rsidRPr="00946249" w:rsidRDefault="00281FD1" w:rsidP="0040351F">
            <w:pPr>
              <w:jc w:val="both"/>
              <w:rPr>
                <w:rFonts w:ascii="Cambria" w:hAnsi="Cambria" w:cstheme="minorHAnsi"/>
                <w:color w:val="000000"/>
                <w:lang w:eastAsia="en-GB"/>
              </w:rPr>
            </w:pPr>
          </w:p>
          <w:p w14:paraId="5AD406E4" w14:textId="77777777" w:rsidR="00281FD1" w:rsidRPr="00946249" w:rsidRDefault="00281FD1" w:rsidP="0040351F">
            <w:pPr>
              <w:jc w:val="both"/>
              <w:rPr>
                <w:rFonts w:ascii="Cambria" w:hAnsi="Cambria" w:cstheme="minorHAnsi"/>
                <w:color w:val="000000"/>
              </w:rPr>
            </w:pPr>
            <w:r w:rsidRPr="00946249">
              <w:rPr>
                <w:rFonts w:ascii="Cambria" w:hAnsi="Cambria"/>
                <w:color w:val="000000"/>
              </w:rPr>
              <w:t xml:space="preserve">Como se muestra en el apéndice de </w:t>
            </w:r>
            <w:r w:rsidRPr="00946249">
              <w:rPr>
                <w:rFonts w:ascii="Cambria" w:hAnsi="Cambria"/>
                <w:color w:val="000000"/>
              </w:rPr>
              <w:lastRenderedPageBreak/>
              <w:t xml:space="preserve">nuestra normativa interna, especificamos los requisitos para las líneas espantapájaros y los pesos en la </w:t>
            </w:r>
            <w:proofErr w:type="spellStart"/>
            <w:r w:rsidRPr="00946249">
              <w:rPr>
                <w:rFonts w:ascii="Cambria" w:hAnsi="Cambria"/>
                <w:color w:val="000000"/>
              </w:rPr>
              <w:t>brazolada</w:t>
            </w:r>
            <w:proofErr w:type="spellEnd"/>
            <w:r w:rsidRPr="00946249">
              <w:rPr>
                <w:rFonts w:ascii="Cambria" w:hAnsi="Cambria"/>
                <w:color w:val="000000"/>
              </w:rPr>
              <w:t xml:space="preserve"> de acuerdo con las normas técnicas mínimas de ICCAT.</w:t>
            </w:r>
          </w:p>
          <w:p w14:paraId="131932AC" w14:textId="77777777" w:rsidR="00281FD1" w:rsidRPr="00946249" w:rsidRDefault="00281FD1" w:rsidP="0040351F">
            <w:pPr>
              <w:jc w:val="both"/>
              <w:rPr>
                <w:rFonts w:ascii="Cambria" w:hAnsi="Cambria" w:cstheme="minorHAnsi"/>
                <w:color w:val="000000"/>
                <w:lang w:eastAsia="en-GB"/>
              </w:rPr>
            </w:pPr>
          </w:p>
        </w:tc>
      </w:tr>
      <w:tr w:rsidR="00BE1E41" w:rsidRPr="00946249" w14:paraId="6F9963F8" w14:textId="77777777" w:rsidTr="00A0658D">
        <w:trPr>
          <w:trHeight w:val="19"/>
          <w:jc w:val="center"/>
        </w:trPr>
        <w:tc>
          <w:tcPr>
            <w:tcW w:w="417" w:type="pct"/>
            <w:vAlign w:val="center"/>
          </w:tcPr>
          <w:p w14:paraId="139A9423" w14:textId="77777777" w:rsidR="00281FD1" w:rsidRPr="00946249" w:rsidRDefault="00281FD1" w:rsidP="00CF0196">
            <w:pPr>
              <w:rPr>
                <w:rFonts w:ascii="Cambria" w:hAnsi="Cambria" w:cs="Calibri"/>
                <w:b/>
                <w:bCs/>
                <w:color w:val="000000"/>
              </w:rPr>
            </w:pPr>
            <w:r w:rsidRPr="00946249">
              <w:rPr>
                <w:rFonts w:ascii="Cambria" w:hAnsi="Cambria"/>
                <w:b/>
                <w:color w:val="000000"/>
              </w:rPr>
              <w:lastRenderedPageBreak/>
              <w:t>Costa Rica</w:t>
            </w:r>
          </w:p>
        </w:tc>
        <w:tc>
          <w:tcPr>
            <w:tcW w:w="564" w:type="pct"/>
            <w:vAlign w:val="center"/>
          </w:tcPr>
          <w:p w14:paraId="2C31D0F1" w14:textId="77777777" w:rsidR="00281FD1" w:rsidRPr="00946249" w:rsidRDefault="00281FD1" w:rsidP="00A0658D">
            <w:pPr>
              <w:jc w:val="both"/>
              <w:rPr>
                <w:rFonts w:ascii="Cambria" w:hAnsi="Cambria"/>
              </w:rPr>
            </w:pPr>
            <w:r w:rsidRPr="00946249">
              <w:rPr>
                <w:rFonts w:ascii="Cambria" w:hAnsi="Cambria"/>
              </w:rPr>
              <w:t>No aplica porque no existe en las actividades de pesca de la flota artesanal interacción con aves marinas.</w:t>
            </w:r>
          </w:p>
          <w:p w14:paraId="0E29794F" w14:textId="77777777" w:rsidR="00281FD1" w:rsidRPr="00946249" w:rsidRDefault="00281FD1" w:rsidP="00A0658D">
            <w:pPr>
              <w:jc w:val="both"/>
              <w:rPr>
                <w:rFonts w:ascii="Cambria" w:hAnsi="Cambria" w:cstheme="minorHAnsi"/>
                <w:color w:val="000000"/>
                <w:lang w:eastAsia="en-GB"/>
              </w:rPr>
            </w:pPr>
          </w:p>
        </w:tc>
        <w:tc>
          <w:tcPr>
            <w:tcW w:w="584" w:type="pct"/>
            <w:vAlign w:val="center"/>
          </w:tcPr>
          <w:p w14:paraId="681F7150" w14:textId="77777777" w:rsidR="00281FD1" w:rsidRPr="00946249" w:rsidRDefault="00281FD1" w:rsidP="00A0658D">
            <w:pPr>
              <w:jc w:val="both"/>
              <w:rPr>
                <w:rFonts w:ascii="Cambria" w:hAnsi="Cambria" w:cstheme="minorHAnsi"/>
                <w:color w:val="000000"/>
              </w:rPr>
            </w:pPr>
            <w:r w:rsidRPr="00946249">
              <w:rPr>
                <w:rFonts w:ascii="Cambria" w:hAnsi="Cambria"/>
              </w:rPr>
              <w:t>No aplica porque no existe en las actividades de pesca de la flota artesanal interacción con aves marinas.</w:t>
            </w:r>
          </w:p>
        </w:tc>
        <w:tc>
          <w:tcPr>
            <w:tcW w:w="584" w:type="pct"/>
            <w:vAlign w:val="center"/>
          </w:tcPr>
          <w:p w14:paraId="194AEAF3" w14:textId="77777777" w:rsidR="00281FD1" w:rsidRPr="00946249" w:rsidRDefault="00281FD1" w:rsidP="00A0658D">
            <w:pPr>
              <w:jc w:val="both"/>
              <w:rPr>
                <w:rFonts w:ascii="Cambria" w:hAnsi="Cambria" w:cstheme="minorHAnsi"/>
                <w:color w:val="000000"/>
              </w:rPr>
            </w:pPr>
            <w:r w:rsidRPr="00946249">
              <w:rPr>
                <w:rFonts w:ascii="Cambria" w:hAnsi="Cambria"/>
              </w:rPr>
              <w:t>No aplica porque no existe en las actividades de pesca de la flota artesanal interacción con aves marinas.</w:t>
            </w:r>
          </w:p>
        </w:tc>
        <w:tc>
          <w:tcPr>
            <w:tcW w:w="1498" w:type="pct"/>
            <w:vAlign w:val="center"/>
          </w:tcPr>
          <w:p w14:paraId="6A241A6E" w14:textId="77777777" w:rsidR="00281FD1" w:rsidRPr="00946249" w:rsidRDefault="00281FD1" w:rsidP="000F1832">
            <w:pPr>
              <w:jc w:val="both"/>
              <w:rPr>
                <w:rFonts w:ascii="Cambria" w:hAnsi="Cambria"/>
              </w:rPr>
            </w:pPr>
            <w:r w:rsidRPr="00946249">
              <w:rPr>
                <w:rFonts w:ascii="Cambria" w:hAnsi="Cambria"/>
              </w:rPr>
              <w:t>No aplica porque no existe en las actividades de pesca de la flota artesanal interacción con aves marinas.</w:t>
            </w:r>
          </w:p>
          <w:p w14:paraId="0616E9F9" w14:textId="77777777" w:rsidR="00281FD1" w:rsidRPr="00946249" w:rsidRDefault="00281FD1" w:rsidP="000F1832">
            <w:pPr>
              <w:jc w:val="both"/>
              <w:rPr>
                <w:rFonts w:ascii="Cambria" w:hAnsi="Cambria" w:cstheme="minorHAnsi"/>
                <w:color w:val="000000"/>
                <w:lang w:eastAsia="en-GB"/>
              </w:rPr>
            </w:pPr>
          </w:p>
        </w:tc>
        <w:tc>
          <w:tcPr>
            <w:tcW w:w="1353" w:type="pct"/>
          </w:tcPr>
          <w:p w14:paraId="381A9A2C" w14:textId="77777777" w:rsidR="00281FD1" w:rsidRPr="00946249" w:rsidRDefault="00281FD1" w:rsidP="0040351F">
            <w:pPr>
              <w:jc w:val="both"/>
              <w:rPr>
                <w:rFonts w:ascii="Cambria" w:hAnsi="Cambria" w:cstheme="minorHAnsi"/>
                <w:color w:val="000000"/>
                <w:lang w:eastAsia="en-GB"/>
              </w:rPr>
            </w:pPr>
          </w:p>
        </w:tc>
      </w:tr>
      <w:tr w:rsidR="00BE1E41" w:rsidRPr="00946249" w14:paraId="3DE0BCC5" w14:textId="77777777" w:rsidTr="000F1832">
        <w:trPr>
          <w:trHeight w:val="19"/>
          <w:jc w:val="center"/>
        </w:trPr>
        <w:tc>
          <w:tcPr>
            <w:tcW w:w="417" w:type="pct"/>
            <w:vAlign w:val="center"/>
          </w:tcPr>
          <w:p w14:paraId="6A9D2710" w14:textId="77777777" w:rsidR="00281FD1" w:rsidRPr="00946249" w:rsidRDefault="00281FD1" w:rsidP="00CF0196">
            <w:pPr>
              <w:rPr>
                <w:rFonts w:ascii="Cambria" w:hAnsi="Cambria" w:cs="Calibri"/>
                <w:b/>
                <w:bCs/>
                <w:color w:val="000000"/>
              </w:rPr>
            </w:pPr>
            <w:proofErr w:type="spellStart"/>
            <w:r w:rsidRPr="00946249">
              <w:rPr>
                <w:rFonts w:ascii="Cambria" w:hAnsi="Cambria"/>
                <w:b/>
                <w:color w:val="000000"/>
              </w:rPr>
              <w:t>Côte</w:t>
            </w:r>
            <w:proofErr w:type="spellEnd"/>
            <w:r w:rsidRPr="00946249">
              <w:rPr>
                <w:rFonts w:ascii="Cambria" w:hAnsi="Cambria"/>
                <w:b/>
                <w:color w:val="000000"/>
              </w:rPr>
              <w:t xml:space="preserve"> </w:t>
            </w:r>
            <w:proofErr w:type="spellStart"/>
            <w:r w:rsidRPr="00946249">
              <w:rPr>
                <w:rFonts w:ascii="Cambria" w:hAnsi="Cambria"/>
                <w:b/>
                <w:color w:val="000000"/>
              </w:rPr>
              <w:t>d’Ivoire</w:t>
            </w:r>
            <w:proofErr w:type="spellEnd"/>
          </w:p>
        </w:tc>
        <w:tc>
          <w:tcPr>
            <w:tcW w:w="564" w:type="pct"/>
            <w:vAlign w:val="center"/>
          </w:tcPr>
          <w:p w14:paraId="29F08853" w14:textId="77777777" w:rsidR="00281FD1" w:rsidRPr="00946249" w:rsidRDefault="00281FD1" w:rsidP="00AA5ADC">
            <w:pPr>
              <w:jc w:val="center"/>
              <w:rPr>
                <w:rFonts w:ascii="Cambria" w:hAnsi="Cambria"/>
              </w:rPr>
            </w:pPr>
            <w:r w:rsidRPr="00946249">
              <w:rPr>
                <w:rFonts w:ascii="Cambria" w:hAnsi="Cambria"/>
              </w:rPr>
              <w:t>Sí</w:t>
            </w:r>
          </w:p>
        </w:tc>
        <w:tc>
          <w:tcPr>
            <w:tcW w:w="584" w:type="pct"/>
            <w:vAlign w:val="center"/>
          </w:tcPr>
          <w:p w14:paraId="0BAAA721" w14:textId="77777777" w:rsidR="00281FD1" w:rsidRPr="00946249" w:rsidRDefault="00281FD1" w:rsidP="00BE1E41">
            <w:pPr>
              <w:jc w:val="both"/>
              <w:rPr>
                <w:rFonts w:ascii="Cambria" w:hAnsi="Cambria"/>
              </w:rPr>
            </w:pPr>
            <w:r w:rsidRPr="00946249">
              <w:rPr>
                <w:rFonts w:ascii="Cambria" w:hAnsi="Cambria"/>
              </w:rPr>
              <w:t>No aplicable</w:t>
            </w:r>
          </w:p>
        </w:tc>
        <w:tc>
          <w:tcPr>
            <w:tcW w:w="584" w:type="pct"/>
            <w:vAlign w:val="center"/>
          </w:tcPr>
          <w:p w14:paraId="2CDA61B3" w14:textId="77777777" w:rsidR="00281FD1" w:rsidRPr="00946249" w:rsidRDefault="00281FD1" w:rsidP="00AA5ADC">
            <w:pPr>
              <w:jc w:val="center"/>
              <w:rPr>
                <w:rFonts w:ascii="Cambria" w:hAnsi="Cambria"/>
              </w:rPr>
            </w:pPr>
            <w:r w:rsidRPr="00946249">
              <w:rPr>
                <w:rFonts w:ascii="Cambria" w:hAnsi="Cambria"/>
              </w:rPr>
              <w:t>Sí</w:t>
            </w:r>
          </w:p>
        </w:tc>
        <w:tc>
          <w:tcPr>
            <w:tcW w:w="1498" w:type="pct"/>
            <w:vAlign w:val="center"/>
          </w:tcPr>
          <w:p w14:paraId="50E2D928" w14:textId="77777777" w:rsidR="00281FD1" w:rsidRPr="00946249" w:rsidRDefault="00281FD1" w:rsidP="000F1832">
            <w:pPr>
              <w:jc w:val="both"/>
              <w:rPr>
                <w:rFonts w:ascii="Cambria" w:hAnsi="Cambria"/>
              </w:rPr>
            </w:pPr>
            <w:r w:rsidRPr="00946249">
              <w:rPr>
                <w:rFonts w:ascii="Cambria" w:hAnsi="Cambria"/>
              </w:rPr>
              <w:t>Actualmente no existe ningún plan de acción nacional.</w:t>
            </w:r>
          </w:p>
        </w:tc>
        <w:tc>
          <w:tcPr>
            <w:tcW w:w="1353" w:type="pct"/>
            <w:vAlign w:val="center"/>
          </w:tcPr>
          <w:p w14:paraId="29B1B829" w14:textId="7C479429" w:rsidR="00281FD1" w:rsidRPr="00946249" w:rsidRDefault="00281FD1" w:rsidP="0040351F">
            <w:pPr>
              <w:pStyle w:val="ListParagraph"/>
              <w:widowControl/>
              <w:numPr>
                <w:ilvl w:val="0"/>
                <w:numId w:val="15"/>
              </w:numPr>
              <w:autoSpaceDE/>
              <w:autoSpaceDN/>
              <w:adjustRightInd/>
              <w:contextualSpacing w:val="0"/>
              <w:jc w:val="both"/>
              <w:rPr>
                <w:rFonts w:ascii="Cambria" w:eastAsiaTheme="minorEastAsia" w:hAnsi="Cambria"/>
              </w:rPr>
            </w:pPr>
            <w:r w:rsidRPr="00946249">
              <w:rPr>
                <w:rFonts w:ascii="Cambria" w:hAnsi="Cambria"/>
              </w:rPr>
              <w:t xml:space="preserve">Trabajo nocturno y en la </w:t>
            </w:r>
            <w:r w:rsidR="00946249">
              <w:rPr>
                <w:rFonts w:ascii="Cambria" w:hAnsi="Cambria"/>
              </w:rPr>
              <w:t xml:space="preserve">popa </w:t>
            </w:r>
            <w:r w:rsidRPr="00946249">
              <w:rPr>
                <w:rFonts w:ascii="Cambria" w:hAnsi="Cambria"/>
              </w:rPr>
              <w:t>con iluminación mínima (zona donde se lanza el cebo)</w:t>
            </w:r>
          </w:p>
          <w:p w14:paraId="21F2D490" w14:textId="77777777" w:rsidR="00281FD1" w:rsidRPr="00946249" w:rsidRDefault="00281FD1" w:rsidP="0040351F">
            <w:pPr>
              <w:pStyle w:val="ListParagraph"/>
              <w:ind w:left="360"/>
              <w:jc w:val="both"/>
              <w:rPr>
                <w:rFonts w:ascii="Cambria" w:eastAsiaTheme="minorEastAsia" w:hAnsi="Cambria"/>
              </w:rPr>
            </w:pPr>
            <w:proofErr w:type="gramStart"/>
            <w:r w:rsidRPr="00946249">
              <w:rPr>
                <w:rFonts w:ascii="Cambria" w:hAnsi="Cambria"/>
              </w:rPr>
              <w:t>La captura fortuita de aves marinas por los palangreros de superficie son extremadamente</w:t>
            </w:r>
            <w:proofErr w:type="gramEnd"/>
            <w:r w:rsidRPr="00946249">
              <w:rPr>
                <w:rFonts w:ascii="Cambria" w:hAnsi="Cambria"/>
              </w:rPr>
              <w:t xml:space="preserve"> bajas.</w:t>
            </w:r>
          </w:p>
          <w:p w14:paraId="7BD15FB7" w14:textId="77777777" w:rsidR="00281FD1" w:rsidRPr="00946249" w:rsidRDefault="00281FD1" w:rsidP="0040351F">
            <w:pPr>
              <w:pStyle w:val="ListParagraph"/>
              <w:ind w:left="360"/>
              <w:jc w:val="both"/>
              <w:rPr>
                <w:rFonts w:ascii="Cambria" w:eastAsiaTheme="minorEastAsia" w:hAnsi="Cambria"/>
                <w:lang w:eastAsia="zh-TW"/>
              </w:rPr>
            </w:pPr>
          </w:p>
          <w:p w14:paraId="2A51F3A8" w14:textId="77777777" w:rsidR="00281FD1" w:rsidRPr="00946249" w:rsidRDefault="00281FD1" w:rsidP="0040351F">
            <w:pPr>
              <w:pStyle w:val="ListParagraph"/>
              <w:widowControl/>
              <w:numPr>
                <w:ilvl w:val="0"/>
                <w:numId w:val="15"/>
              </w:numPr>
              <w:autoSpaceDE/>
              <w:autoSpaceDN/>
              <w:adjustRightInd/>
              <w:contextualSpacing w:val="0"/>
              <w:jc w:val="both"/>
              <w:rPr>
                <w:rFonts w:ascii="Cambria" w:eastAsiaTheme="minorEastAsia" w:hAnsi="Cambria"/>
              </w:rPr>
            </w:pPr>
            <w:r w:rsidRPr="00946249">
              <w:rPr>
                <w:rFonts w:ascii="Cambria" w:hAnsi="Cambria"/>
              </w:rPr>
              <w:t xml:space="preserve">No aplicable </w:t>
            </w:r>
          </w:p>
          <w:p w14:paraId="24FD3765" w14:textId="77777777" w:rsidR="00281FD1" w:rsidRPr="00946249" w:rsidRDefault="00281FD1" w:rsidP="0040351F">
            <w:pPr>
              <w:pStyle w:val="ListParagraph"/>
              <w:ind w:left="360"/>
              <w:jc w:val="both"/>
              <w:rPr>
                <w:rFonts w:ascii="Cambria" w:eastAsiaTheme="minorEastAsia" w:hAnsi="Cambria"/>
              </w:rPr>
            </w:pPr>
            <w:proofErr w:type="gramStart"/>
            <w:r w:rsidRPr="00946249">
              <w:rPr>
                <w:rFonts w:ascii="Cambria" w:hAnsi="Cambria"/>
              </w:rPr>
              <w:t>La captura fortuita de aves marinas por los palangreros de superficie son extremadamente</w:t>
            </w:r>
            <w:proofErr w:type="gramEnd"/>
            <w:r w:rsidRPr="00946249">
              <w:rPr>
                <w:rFonts w:ascii="Cambria" w:hAnsi="Cambria"/>
              </w:rPr>
              <w:t xml:space="preserve"> bajas.</w:t>
            </w:r>
          </w:p>
          <w:p w14:paraId="2142DC7C" w14:textId="77777777" w:rsidR="00281FD1" w:rsidRPr="00946249" w:rsidRDefault="00281FD1" w:rsidP="0040351F">
            <w:pPr>
              <w:pStyle w:val="ListParagraph"/>
              <w:ind w:left="360"/>
              <w:jc w:val="both"/>
              <w:rPr>
                <w:rFonts w:ascii="Cambria" w:eastAsiaTheme="minorEastAsia" w:hAnsi="Cambria"/>
                <w:lang w:eastAsia="zh-TW"/>
              </w:rPr>
            </w:pPr>
          </w:p>
          <w:p w14:paraId="1D113CC4" w14:textId="77777777" w:rsidR="00281FD1" w:rsidRPr="00946249" w:rsidRDefault="00281FD1" w:rsidP="0040351F">
            <w:pPr>
              <w:pStyle w:val="ListParagraph"/>
              <w:widowControl/>
              <w:numPr>
                <w:ilvl w:val="0"/>
                <w:numId w:val="15"/>
              </w:numPr>
              <w:autoSpaceDE/>
              <w:autoSpaceDN/>
              <w:adjustRightInd/>
              <w:snapToGrid w:val="0"/>
              <w:spacing w:after="120"/>
              <w:contextualSpacing w:val="0"/>
              <w:jc w:val="both"/>
              <w:rPr>
                <w:rFonts w:ascii="Cambria" w:eastAsiaTheme="minorEastAsia" w:hAnsi="Cambria"/>
              </w:rPr>
            </w:pPr>
            <w:r w:rsidRPr="00946249">
              <w:rPr>
                <w:rFonts w:ascii="Cambria" w:hAnsi="Cambria"/>
              </w:rPr>
              <w:t xml:space="preserve">Aumentar la velocidad de inmersión de los anzuelos cebados y reducir su tiempo de </w:t>
            </w:r>
            <w:r w:rsidRPr="00946249">
              <w:rPr>
                <w:rFonts w:ascii="Cambria" w:hAnsi="Cambria"/>
              </w:rPr>
              <w:lastRenderedPageBreak/>
              <w:t>exposición a las aves marinas utilizando un lanzador automático de cebos y aumentar el peso de las líneas secundarias.</w:t>
            </w:r>
          </w:p>
          <w:p w14:paraId="3954FC20" w14:textId="77777777" w:rsidR="00281FD1" w:rsidRPr="00946249" w:rsidRDefault="00281FD1" w:rsidP="0040351F">
            <w:pPr>
              <w:pStyle w:val="ListParagraph"/>
              <w:ind w:left="360"/>
              <w:jc w:val="both"/>
              <w:rPr>
                <w:rFonts w:ascii="Cambria" w:eastAsiaTheme="minorEastAsia" w:hAnsi="Cambria"/>
              </w:rPr>
            </w:pPr>
            <w:proofErr w:type="gramStart"/>
            <w:r w:rsidRPr="00946249">
              <w:rPr>
                <w:rFonts w:ascii="Cambria" w:hAnsi="Cambria"/>
              </w:rPr>
              <w:t>La captura fortuita de aves marinas por los palangreros de superficie son extremadamente</w:t>
            </w:r>
            <w:proofErr w:type="gramEnd"/>
            <w:r w:rsidRPr="00946249">
              <w:rPr>
                <w:rFonts w:ascii="Cambria" w:hAnsi="Cambria"/>
              </w:rPr>
              <w:t xml:space="preserve"> bajas.</w:t>
            </w:r>
          </w:p>
          <w:p w14:paraId="0C593810" w14:textId="77777777" w:rsidR="00281FD1" w:rsidRPr="00946249" w:rsidRDefault="00281FD1" w:rsidP="0040351F">
            <w:pPr>
              <w:jc w:val="both"/>
              <w:rPr>
                <w:rFonts w:ascii="Cambria" w:eastAsiaTheme="minorEastAsia" w:hAnsi="Cambria"/>
                <w:lang w:eastAsia="zh-TW"/>
              </w:rPr>
            </w:pPr>
          </w:p>
          <w:p w14:paraId="045EA4B1" w14:textId="791137E8" w:rsidR="00281FD1" w:rsidRPr="00946249" w:rsidRDefault="00281FD1" w:rsidP="0040351F">
            <w:pPr>
              <w:jc w:val="both"/>
              <w:rPr>
                <w:rFonts w:ascii="Cambria" w:hAnsi="Cambria" w:cstheme="minorHAnsi"/>
                <w:color w:val="000000"/>
              </w:rPr>
            </w:pPr>
            <w:r w:rsidRPr="00946249">
              <w:rPr>
                <w:rFonts w:ascii="Cambria" w:hAnsi="Cambria"/>
              </w:rPr>
              <w:t>Área: Atlántico norte</w:t>
            </w:r>
          </w:p>
        </w:tc>
      </w:tr>
      <w:tr w:rsidR="00BE1E41" w:rsidRPr="00946249" w14:paraId="374DA128" w14:textId="77777777" w:rsidTr="00A0658D">
        <w:trPr>
          <w:trHeight w:val="19"/>
          <w:jc w:val="center"/>
        </w:trPr>
        <w:tc>
          <w:tcPr>
            <w:tcW w:w="417" w:type="pct"/>
            <w:vAlign w:val="center"/>
          </w:tcPr>
          <w:p w14:paraId="71B69A52" w14:textId="77777777" w:rsidR="00281FD1" w:rsidRPr="00946249" w:rsidRDefault="00281FD1" w:rsidP="00CF0196">
            <w:pPr>
              <w:rPr>
                <w:rFonts w:ascii="Cambria" w:hAnsi="Cambria" w:cs="Calibri"/>
                <w:b/>
                <w:bCs/>
                <w:color w:val="000000"/>
              </w:rPr>
            </w:pPr>
            <w:r w:rsidRPr="00946249">
              <w:rPr>
                <w:rFonts w:ascii="Cambria" w:hAnsi="Cambria"/>
                <w:b/>
                <w:color w:val="000000"/>
              </w:rPr>
              <w:lastRenderedPageBreak/>
              <w:t>UE</w:t>
            </w:r>
          </w:p>
        </w:tc>
        <w:tc>
          <w:tcPr>
            <w:tcW w:w="564" w:type="pct"/>
            <w:vAlign w:val="center"/>
          </w:tcPr>
          <w:p w14:paraId="054B23F1" w14:textId="77777777" w:rsidR="00281FD1" w:rsidRPr="00946249" w:rsidRDefault="00281FD1" w:rsidP="00A0658D">
            <w:pPr>
              <w:jc w:val="both"/>
              <w:rPr>
                <w:rFonts w:ascii="Cambria" w:hAnsi="Cambria"/>
              </w:rPr>
            </w:pPr>
            <w:r w:rsidRPr="00946249">
              <w:rPr>
                <w:rFonts w:ascii="Cambria" w:hAnsi="Cambria"/>
              </w:rPr>
              <w:t>Los lances nocturnos no suelen realizarse en general en la mayor parte de las operaciones de palangre de superficie y palangre de fondo.</w:t>
            </w:r>
          </w:p>
        </w:tc>
        <w:tc>
          <w:tcPr>
            <w:tcW w:w="584" w:type="pct"/>
            <w:vAlign w:val="center"/>
          </w:tcPr>
          <w:p w14:paraId="2EAE9A9C" w14:textId="77777777" w:rsidR="00281FD1" w:rsidRPr="00946249" w:rsidRDefault="00281FD1" w:rsidP="00A0658D">
            <w:pPr>
              <w:jc w:val="both"/>
              <w:rPr>
                <w:rFonts w:ascii="Cambria" w:hAnsi="Cambria"/>
              </w:rPr>
            </w:pPr>
            <w:r w:rsidRPr="00946249">
              <w:rPr>
                <w:rFonts w:ascii="Cambria" w:hAnsi="Cambria"/>
              </w:rPr>
              <w:t>No aplicable</w:t>
            </w:r>
          </w:p>
        </w:tc>
        <w:tc>
          <w:tcPr>
            <w:tcW w:w="584" w:type="pct"/>
            <w:vAlign w:val="center"/>
          </w:tcPr>
          <w:p w14:paraId="7B6E2624" w14:textId="77777777" w:rsidR="00281FD1" w:rsidRPr="00946249" w:rsidRDefault="00281FD1" w:rsidP="00A0658D">
            <w:pPr>
              <w:jc w:val="both"/>
              <w:rPr>
                <w:rFonts w:ascii="Cambria" w:hAnsi="Cambria"/>
              </w:rPr>
            </w:pPr>
            <w:r w:rsidRPr="00946249">
              <w:rPr>
                <w:rFonts w:ascii="Cambria" w:hAnsi="Cambria"/>
              </w:rPr>
              <w:t xml:space="preserve">El peso en las líneas se utiliza en los palangres de </w:t>
            </w:r>
            <w:proofErr w:type="gramStart"/>
            <w:r w:rsidRPr="00946249">
              <w:rPr>
                <w:rFonts w:ascii="Cambria" w:hAnsi="Cambria"/>
              </w:rPr>
              <w:t>fondo</w:t>
            </w:r>
            <w:proofErr w:type="gramEnd"/>
            <w:r w:rsidRPr="00946249">
              <w:rPr>
                <w:rFonts w:ascii="Cambria" w:hAnsi="Cambria"/>
              </w:rPr>
              <w:t xml:space="preserve"> pero generalmente no en el palangre de superficie.</w:t>
            </w:r>
          </w:p>
        </w:tc>
        <w:tc>
          <w:tcPr>
            <w:tcW w:w="1498" w:type="pct"/>
            <w:vAlign w:val="center"/>
          </w:tcPr>
          <w:p w14:paraId="4BBA1A41" w14:textId="77777777" w:rsidR="00281FD1" w:rsidRPr="00946249" w:rsidRDefault="00281FD1" w:rsidP="000F1832">
            <w:pPr>
              <w:jc w:val="both"/>
              <w:rPr>
                <w:rFonts w:ascii="Cambria" w:hAnsi="Cambria"/>
              </w:rPr>
            </w:pPr>
            <w:r w:rsidRPr="00946249">
              <w:rPr>
                <w:rFonts w:ascii="Cambria" w:hAnsi="Cambria"/>
              </w:rPr>
              <w:t>Actualmente no hay en vigor un plan de acción nacional</w:t>
            </w:r>
          </w:p>
        </w:tc>
        <w:tc>
          <w:tcPr>
            <w:tcW w:w="1353" w:type="pct"/>
          </w:tcPr>
          <w:p w14:paraId="3D8E0E19" w14:textId="77777777" w:rsidR="00281FD1" w:rsidRPr="00946249" w:rsidRDefault="00281FD1" w:rsidP="0040351F">
            <w:pPr>
              <w:pStyle w:val="ListParagraph"/>
              <w:widowControl/>
              <w:numPr>
                <w:ilvl w:val="0"/>
                <w:numId w:val="11"/>
              </w:numPr>
              <w:jc w:val="both"/>
              <w:rPr>
                <w:rFonts w:ascii="Cambria" w:hAnsi="Cambria"/>
                <w:color w:val="1C283D"/>
              </w:rPr>
            </w:pPr>
            <w:r w:rsidRPr="00946249">
              <w:rPr>
                <w:rFonts w:ascii="Cambria" w:hAnsi="Cambria"/>
                <w:color w:val="1C283D"/>
              </w:rPr>
              <w:t>Aunque por lo general no se aplica el calado nocturno con la mínima iluminación en cubierta, la captura fortuita de aves marinas con palangre de superficie y de fondo son extremadamente bajas.</w:t>
            </w:r>
          </w:p>
          <w:p w14:paraId="0DBFB0CC" w14:textId="77777777" w:rsidR="00281FD1" w:rsidRPr="00946249" w:rsidRDefault="00281FD1" w:rsidP="0040351F">
            <w:pPr>
              <w:pStyle w:val="ListParagraph"/>
              <w:widowControl/>
              <w:numPr>
                <w:ilvl w:val="0"/>
                <w:numId w:val="11"/>
              </w:numPr>
              <w:jc w:val="both"/>
              <w:rPr>
                <w:rFonts w:ascii="Cambria" w:hAnsi="Cambria"/>
                <w:color w:val="1C283D"/>
              </w:rPr>
            </w:pPr>
            <w:r w:rsidRPr="00946249">
              <w:rPr>
                <w:rFonts w:ascii="Cambria" w:hAnsi="Cambria"/>
                <w:color w:val="1C283D"/>
              </w:rPr>
              <w:t>Aunque no se aplican líneas espantapájaros, la captura fortuita de aves marinas con palangre de superficie y de fondo son extremadamente bajas.</w:t>
            </w:r>
          </w:p>
          <w:p w14:paraId="0DEE422D" w14:textId="77777777" w:rsidR="00281FD1" w:rsidRPr="00946249" w:rsidRDefault="00281FD1" w:rsidP="0040351F">
            <w:pPr>
              <w:pStyle w:val="ListParagraph"/>
              <w:widowControl/>
              <w:numPr>
                <w:ilvl w:val="0"/>
                <w:numId w:val="11"/>
              </w:numPr>
              <w:jc w:val="both"/>
              <w:rPr>
                <w:rFonts w:ascii="Cambria" w:hAnsi="Cambria"/>
                <w:color w:val="1C283D"/>
              </w:rPr>
            </w:pPr>
            <w:r w:rsidRPr="00946249">
              <w:rPr>
                <w:rFonts w:ascii="Cambria" w:hAnsi="Cambria"/>
                <w:color w:val="1C283D"/>
              </w:rPr>
              <w:t>Lastrado de línea aplicado en todas las operaciones de palangre de fondo. Por lo general, no se aplica el lastrado de línea en las operaciones de palangre de superficie. La captura fortuita de aves marinas con palangre de superficie y de fondo es extremadamente baja.</w:t>
            </w:r>
          </w:p>
          <w:p w14:paraId="086D7771" w14:textId="77777777" w:rsidR="00281FD1" w:rsidRPr="00946249" w:rsidRDefault="00281FD1" w:rsidP="0040351F">
            <w:pPr>
              <w:jc w:val="both"/>
              <w:rPr>
                <w:rFonts w:ascii="Cambria" w:hAnsi="Cambria"/>
                <w:color w:val="1C283D"/>
                <w:lang w:eastAsia="en-GB"/>
              </w:rPr>
            </w:pPr>
          </w:p>
          <w:p w14:paraId="3EAABE27" w14:textId="601BE09B" w:rsidR="00281FD1" w:rsidRPr="00946249" w:rsidRDefault="00281FD1" w:rsidP="0040351F">
            <w:pPr>
              <w:jc w:val="both"/>
              <w:rPr>
                <w:rFonts w:ascii="Cambria" w:hAnsi="Cambria"/>
                <w:color w:val="1C283D"/>
              </w:rPr>
            </w:pPr>
            <w:r w:rsidRPr="00946249">
              <w:rPr>
                <w:rFonts w:ascii="Cambria" w:hAnsi="Cambria"/>
                <w:color w:val="1C283D"/>
              </w:rPr>
              <w:t>Área: Mediterráneo central</w:t>
            </w:r>
          </w:p>
        </w:tc>
      </w:tr>
      <w:tr w:rsidR="00BE1E41" w:rsidRPr="00946249" w14:paraId="03B65ECB" w14:textId="77777777" w:rsidTr="00A0658D">
        <w:trPr>
          <w:trHeight w:val="19"/>
          <w:jc w:val="center"/>
        </w:trPr>
        <w:tc>
          <w:tcPr>
            <w:tcW w:w="417" w:type="pct"/>
            <w:vAlign w:val="center"/>
          </w:tcPr>
          <w:p w14:paraId="382C3DD8" w14:textId="77777777" w:rsidR="00281FD1" w:rsidRPr="00946249" w:rsidRDefault="00281FD1" w:rsidP="00CF0196">
            <w:pPr>
              <w:rPr>
                <w:rFonts w:ascii="Cambria" w:hAnsi="Cambria" w:cs="Calibri"/>
                <w:b/>
                <w:bCs/>
                <w:color w:val="000000"/>
              </w:rPr>
            </w:pPr>
            <w:r w:rsidRPr="00946249">
              <w:rPr>
                <w:rFonts w:ascii="Cambria" w:hAnsi="Cambria"/>
                <w:b/>
                <w:color w:val="000000"/>
              </w:rPr>
              <w:lastRenderedPageBreak/>
              <w:t>Japón</w:t>
            </w:r>
          </w:p>
        </w:tc>
        <w:tc>
          <w:tcPr>
            <w:tcW w:w="564" w:type="pct"/>
            <w:vAlign w:val="center"/>
          </w:tcPr>
          <w:p w14:paraId="144D57CB" w14:textId="77777777" w:rsidR="00281FD1" w:rsidRPr="00946249" w:rsidRDefault="00281FD1" w:rsidP="00A0658D">
            <w:pPr>
              <w:jc w:val="center"/>
              <w:rPr>
                <w:rFonts w:ascii="Cambria" w:hAnsi="Cambria" w:cstheme="minorHAnsi"/>
                <w:color w:val="000000"/>
              </w:rPr>
            </w:pPr>
            <w:r w:rsidRPr="00946249">
              <w:rPr>
                <w:rFonts w:ascii="Cambria" w:hAnsi="Cambria"/>
                <w:color w:val="000000"/>
              </w:rPr>
              <w:t>Sí</w:t>
            </w:r>
          </w:p>
        </w:tc>
        <w:tc>
          <w:tcPr>
            <w:tcW w:w="584" w:type="pct"/>
            <w:vAlign w:val="center"/>
          </w:tcPr>
          <w:p w14:paraId="762DD5CB" w14:textId="77777777" w:rsidR="00281FD1" w:rsidRPr="00946249" w:rsidRDefault="00281FD1" w:rsidP="00A0658D">
            <w:pPr>
              <w:jc w:val="center"/>
              <w:rPr>
                <w:rFonts w:ascii="Cambria" w:hAnsi="Cambria" w:cstheme="minorHAnsi"/>
                <w:color w:val="000000"/>
              </w:rPr>
            </w:pPr>
            <w:r w:rsidRPr="00946249">
              <w:rPr>
                <w:rFonts w:ascii="Cambria" w:hAnsi="Cambria"/>
                <w:color w:val="000000"/>
              </w:rPr>
              <w:t>Sí</w:t>
            </w:r>
          </w:p>
        </w:tc>
        <w:tc>
          <w:tcPr>
            <w:tcW w:w="584" w:type="pct"/>
            <w:vAlign w:val="center"/>
          </w:tcPr>
          <w:p w14:paraId="576FBEC9" w14:textId="77777777" w:rsidR="00281FD1" w:rsidRPr="00946249" w:rsidRDefault="00281FD1" w:rsidP="00A0658D">
            <w:pPr>
              <w:jc w:val="center"/>
              <w:rPr>
                <w:rFonts w:ascii="Cambria" w:hAnsi="Cambria" w:cstheme="minorHAnsi"/>
                <w:color w:val="000000"/>
              </w:rPr>
            </w:pPr>
            <w:r w:rsidRPr="00946249">
              <w:rPr>
                <w:rFonts w:ascii="Cambria" w:hAnsi="Cambria"/>
                <w:color w:val="000000"/>
              </w:rPr>
              <w:t>Sí</w:t>
            </w:r>
          </w:p>
        </w:tc>
        <w:tc>
          <w:tcPr>
            <w:tcW w:w="1498" w:type="pct"/>
            <w:vAlign w:val="center"/>
          </w:tcPr>
          <w:p w14:paraId="74F7108A" w14:textId="77777777" w:rsidR="00281FD1" w:rsidRPr="00946249" w:rsidRDefault="00281FD1" w:rsidP="000F1832">
            <w:pPr>
              <w:jc w:val="both"/>
              <w:rPr>
                <w:rFonts w:ascii="Cambria" w:hAnsi="Cambria" w:cstheme="minorHAnsi"/>
                <w:color w:val="000000"/>
              </w:rPr>
            </w:pPr>
            <w:r w:rsidRPr="00946249">
              <w:rPr>
                <w:rFonts w:ascii="Cambria" w:hAnsi="Cambria"/>
                <w:color w:val="000000"/>
              </w:rPr>
              <w:t xml:space="preserve">Véase el </w:t>
            </w:r>
            <w:r w:rsidRPr="00946249">
              <w:rPr>
                <w:rFonts w:ascii="Cambria" w:hAnsi="Cambria"/>
                <w:b/>
                <w:bCs/>
                <w:color w:val="000000"/>
              </w:rPr>
              <w:t xml:space="preserve">Anexo 10 </w:t>
            </w:r>
            <w:r w:rsidRPr="00946249">
              <w:rPr>
                <w:rFonts w:ascii="Cambria" w:hAnsi="Cambria"/>
                <w:color w:val="000000"/>
              </w:rPr>
              <w:t>del COC-303.</w:t>
            </w:r>
          </w:p>
        </w:tc>
        <w:tc>
          <w:tcPr>
            <w:tcW w:w="1353" w:type="pct"/>
          </w:tcPr>
          <w:p w14:paraId="45427113" w14:textId="77777777" w:rsidR="00281FD1" w:rsidRPr="00946249" w:rsidRDefault="00281FD1" w:rsidP="0040351F">
            <w:pPr>
              <w:jc w:val="both"/>
              <w:rPr>
                <w:rFonts w:ascii="Cambria" w:eastAsiaTheme="minorEastAsia" w:hAnsi="Cambria"/>
              </w:rPr>
            </w:pPr>
            <w:r w:rsidRPr="00946249">
              <w:rPr>
                <w:rFonts w:ascii="Cambria" w:hAnsi="Cambria"/>
              </w:rPr>
              <w:t>Requerido por Orden ministerial n.º 57.</w:t>
            </w:r>
          </w:p>
          <w:p w14:paraId="20F8B1F5" w14:textId="77777777" w:rsidR="00281FD1" w:rsidRPr="00946249" w:rsidRDefault="00281FD1" w:rsidP="0040351F">
            <w:pPr>
              <w:jc w:val="both"/>
              <w:rPr>
                <w:rFonts w:ascii="Cambria" w:eastAsiaTheme="minorEastAsia" w:hAnsi="Cambria"/>
                <w:lang w:eastAsia="ja-JP"/>
              </w:rPr>
            </w:pPr>
          </w:p>
          <w:p w14:paraId="6395C513" w14:textId="7310FE2A" w:rsidR="00281FD1" w:rsidRPr="00946249" w:rsidRDefault="00281FD1" w:rsidP="0040351F">
            <w:pPr>
              <w:jc w:val="both"/>
              <w:rPr>
                <w:rFonts w:ascii="Cambria" w:hAnsi="Cambria" w:cstheme="minorHAnsi"/>
                <w:color w:val="000000"/>
              </w:rPr>
            </w:pPr>
            <w:r w:rsidRPr="00946249">
              <w:rPr>
                <w:rFonts w:ascii="Cambria" w:hAnsi="Cambria"/>
              </w:rPr>
              <w:t xml:space="preserve">Área: </w:t>
            </w:r>
            <w:r w:rsidRPr="00946249">
              <w:rPr>
                <w:rFonts w:ascii="Cambria" w:hAnsi="Cambria"/>
                <w:color w:val="000000"/>
              </w:rPr>
              <w:t xml:space="preserve">Al sur de 25°S, se requiere utilizar al menos dos de las tres medidas de mitigación que se enumeran </w:t>
            </w:r>
            <w:r w:rsidR="00A0658D" w:rsidRPr="00946249">
              <w:rPr>
                <w:rFonts w:ascii="Cambria" w:hAnsi="Cambria"/>
                <w:color w:val="000000"/>
              </w:rPr>
              <w:t xml:space="preserve">aquí </w:t>
            </w:r>
            <w:r w:rsidRPr="00946249">
              <w:rPr>
                <w:rFonts w:ascii="Cambria" w:hAnsi="Cambria"/>
                <w:color w:val="000000"/>
              </w:rPr>
              <w:t>(de conformidad con la Rec. 11-09). En la zona al sur de 20°S y al norte de 25°S, es obligatorio utilizar líneas espantapájaros (de conformidad con la Rec. 07-07).</w:t>
            </w:r>
          </w:p>
        </w:tc>
      </w:tr>
      <w:tr w:rsidR="00BE1E41" w:rsidRPr="00946249" w14:paraId="3D8BC85A" w14:textId="77777777" w:rsidTr="000F1832">
        <w:trPr>
          <w:trHeight w:val="19"/>
          <w:jc w:val="center"/>
        </w:trPr>
        <w:tc>
          <w:tcPr>
            <w:tcW w:w="417" w:type="pct"/>
            <w:vAlign w:val="center"/>
          </w:tcPr>
          <w:p w14:paraId="065F5303" w14:textId="77777777" w:rsidR="00281FD1" w:rsidRPr="00946249" w:rsidRDefault="00281FD1" w:rsidP="00CF0196">
            <w:pPr>
              <w:rPr>
                <w:rFonts w:ascii="Cambria" w:hAnsi="Cambria" w:cs="Calibri"/>
                <w:b/>
                <w:bCs/>
                <w:color w:val="000000"/>
              </w:rPr>
            </w:pPr>
            <w:r w:rsidRPr="00946249">
              <w:rPr>
                <w:rFonts w:ascii="Cambria" w:hAnsi="Cambria"/>
                <w:b/>
                <w:color w:val="000000"/>
              </w:rPr>
              <w:t>Corea</w:t>
            </w:r>
          </w:p>
        </w:tc>
        <w:tc>
          <w:tcPr>
            <w:tcW w:w="564" w:type="pct"/>
            <w:vAlign w:val="center"/>
          </w:tcPr>
          <w:p w14:paraId="12005596"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31E01783"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7CF2C305"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1498" w:type="pct"/>
            <w:vAlign w:val="center"/>
          </w:tcPr>
          <w:p w14:paraId="6B8BF8B0" w14:textId="6DF38B8A" w:rsidR="00922C17" w:rsidRPr="00946249" w:rsidRDefault="00281FD1" w:rsidP="000F1832">
            <w:pPr>
              <w:jc w:val="both"/>
              <w:rPr>
                <w:rFonts w:ascii="Cambria" w:hAnsi="Cambria"/>
              </w:rPr>
            </w:pPr>
            <w:r w:rsidRPr="00946249">
              <w:rPr>
                <w:rFonts w:ascii="Cambria" w:hAnsi="Cambria"/>
              </w:rPr>
              <w:t>La República de Corea elaboró su Plan de acción nacional para reducir las capturas incidentales de aves marinas en la pesca con palangre (NPOA-Aves marinas) en 2014 y vela por que los palangreros con pabellón coreano cumplan el NPOA-Aves marinas. El NPOA puede consultarse en el sitio web de la FAO:</w:t>
            </w:r>
          </w:p>
          <w:p w14:paraId="49A2FDA2" w14:textId="39497DC0" w:rsidR="00281FD1" w:rsidRPr="00946249" w:rsidRDefault="00281FD1" w:rsidP="000F1832">
            <w:pPr>
              <w:jc w:val="both"/>
              <w:rPr>
                <w:rFonts w:ascii="Cambria" w:hAnsi="Cambria" w:cstheme="minorHAnsi"/>
                <w:color w:val="000000"/>
              </w:rPr>
            </w:pPr>
            <w:hyperlink r:id="rId27" w:history="1">
              <w:r w:rsidRPr="00946249">
                <w:rPr>
                  <w:rStyle w:val="Hyperlink"/>
                  <w:rFonts w:ascii="Cambria" w:hAnsi="Cambria"/>
                  <w:u w:val="none"/>
                </w:rPr>
                <w:t>https://www.fao.org/fishery/es/publications/92760</w:t>
              </w:r>
            </w:hyperlink>
          </w:p>
        </w:tc>
        <w:tc>
          <w:tcPr>
            <w:tcW w:w="1353" w:type="pct"/>
          </w:tcPr>
          <w:p w14:paraId="0CE9171B" w14:textId="77777777" w:rsidR="00281FD1" w:rsidRPr="00946249" w:rsidRDefault="00281FD1" w:rsidP="0040351F">
            <w:pPr>
              <w:jc w:val="both"/>
              <w:rPr>
                <w:rFonts w:ascii="Cambria" w:eastAsiaTheme="minorEastAsia" w:hAnsi="Cambria"/>
              </w:rPr>
            </w:pPr>
            <w:r w:rsidRPr="00946249">
              <w:rPr>
                <w:rFonts w:ascii="Cambria" w:hAnsi="Cambria"/>
              </w:rPr>
              <w:t>De acuerdo con los requisitos de la Tabla 1 de la Rec. 11-09, los palangreros coreanos utilizan lastrado de línea y líneas espantapájaros o calado nocturno.</w:t>
            </w:r>
          </w:p>
          <w:p w14:paraId="652825D2" w14:textId="77777777" w:rsidR="00281FD1" w:rsidRPr="00946249" w:rsidRDefault="00281FD1" w:rsidP="0040351F">
            <w:pPr>
              <w:jc w:val="both"/>
              <w:rPr>
                <w:rFonts w:ascii="Cambria" w:eastAsiaTheme="minorEastAsia" w:hAnsi="Cambria"/>
                <w:lang w:eastAsia="ko-KR"/>
              </w:rPr>
            </w:pPr>
          </w:p>
          <w:p w14:paraId="503FE046" w14:textId="77777777" w:rsidR="00281FD1" w:rsidRPr="00946249" w:rsidRDefault="00281FD1" w:rsidP="0040351F">
            <w:pPr>
              <w:jc w:val="both"/>
              <w:rPr>
                <w:rFonts w:ascii="Cambria" w:hAnsi="Cambria" w:cstheme="minorHAnsi"/>
                <w:color w:val="000000"/>
              </w:rPr>
            </w:pPr>
            <w:r w:rsidRPr="00946249">
              <w:rPr>
                <w:rFonts w:ascii="Cambria" w:hAnsi="Cambria"/>
              </w:rPr>
              <w:t xml:space="preserve">Área: </w:t>
            </w:r>
            <w:r w:rsidRPr="00946249">
              <w:rPr>
                <w:rFonts w:ascii="Cambria" w:hAnsi="Cambria"/>
                <w:color w:val="000000"/>
              </w:rPr>
              <w:t>Toda la zona de ICCAT</w:t>
            </w:r>
          </w:p>
        </w:tc>
      </w:tr>
      <w:tr w:rsidR="00BE1E41" w:rsidRPr="00946249" w14:paraId="7BB0F8EC" w14:textId="77777777" w:rsidTr="00A0658D">
        <w:trPr>
          <w:trHeight w:val="19"/>
          <w:jc w:val="center"/>
        </w:trPr>
        <w:tc>
          <w:tcPr>
            <w:tcW w:w="417" w:type="pct"/>
            <w:vAlign w:val="center"/>
          </w:tcPr>
          <w:p w14:paraId="36920641" w14:textId="77777777" w:rsidR="00281FD1" w:rsidRPr="00946249" w:rsidRDefault="00281FD1" w:rsidP="00CF0196">
            <w:pPr>
              <w:rPr>
                <w:rFonts w:ascii="Cambria" w:hAnsi="Cambria" w:cs="Calibri"/>
                <w:b/>
                <w:bCs/>
                <w:color w:val="000000"/>
              </w:rPr>
            </w:pPr>
            <w:r w:rsidRPr="00946249">
              <w:rPr>
                <w:rFonts w:ascii="Cambria" w:hAnsi="Cambria"/>
                <w:b/>
                <w:color w:val="000000"/>
              </w:rPr>
              <w:t xml:space="preserve">San Vicente y las </w:t>
            </w:r>
            <w:proofErr w:type="gramStart"/>
            <w:r w:rsidRPr="00946249">
              <w:rPr>
                <w:rFonts w:ascii="Cambria" w:hAnsi="Cambria"/>
                <w:b/>
                <w:color w:val="000000"/>
              </w:rPr>
              <w:t>Granadinas</w:t>
            </w:r>
            <w:proofErr w:type="gramEnd"/>
          </w:p>
        </w:tc>
        <w:tc>
          <w:tcPr>
            <w:tcW w:w="564" w:type="pct"/>
            <w:vAlign w:val="center"/>
          </w:tcPr>
          <w:p w14:paraId="1B06B220" w14:textId="77777777" w:rsidR="00281FD1" w:rsidRPr="00946249" w:rsidRDefault="00281FD1" w:rsidP="00A0658D">
            <w:pPr>
              <w:rPr>
                <w:rFonts w:ascii="Cambria" w:hAnsi="Cambria" w:cstheme="minorHAnsi"/>
                <w:color w:val="000000"/>
              </w:rPr>
            </w:pPr>
            <w:r w:rsidRPr="00946249">
              <w:rPr>
                <w:rFonts w:ascii="Cambria" w:hAnsi="Cambria"/>
              </w:rPr>
              <w:t>Aún no implementado</w:t>
            </w:r>
          </w:p>
        </w:tc>
        <w:tc>
          <w:tcPr>
            <w:tcW w:w="584" w:type="pct"/>
            <w:vAlign w:val="center"/>
          </w:tcPr>
          <w:p w14:paraId="6AEC262D" w14:textId="77777777" w:rsidR="00281FD1" w:rsidRPr="00946249" w:rsidRDefault="00281FD1" w:rsidP="00A0658D">
            <w:pPr>
              <w:rPr>
                <w:rFonts w:ascii="Cambria" w:hAnsi="Cambria" w:cstheme="minorHAnsi"/>
                <w:color w:val="000000"/>
              </w:rPr>
            </w:pPr>
            <w:r w:rsidRPr="00946249">
              <w:rPr>
                <w:rFonts w:ascii="Cambria" w:hAnsi="Cambria"/>
              </w:rPr>
              <w:t>Aún no implementado</w:t>
            </w:r>
          </w:p>
        </w:tc>
        <w:tc>
          <w:tcPr>
            <w:tcW w:w="584" w:type="pct"/>
            <w:vAlign w:val="center"/>
          </w:tcPr>
          <w:p w14:paraId="0081812A" w14:textId="77777777" w:rsidR="00281FD1" w:rsidRPr="00946249" w:rsidRDefault="00281FD1" w:rsidP="00A0658D">
            <w:pPr>
              <w:rPr>
                <w:rFonts w:ascii="Cambria" w:hAnsi="Cambria" w:cstheme="minorHAnsi"/>
                <w:color w:val="000000"/>
              </w:rPr>
            </w:pPr>
            <w:r w:rsidRPr="00946249">
              <w:rPr>
                <w:rFonts w:ascii="Cambria" w:hAnsi="Cambria"/>
              </w:rPr>
              <w:t>Aún no implementado</w:t>
            </w:r>
          </w:p>
        </w:tc>
        <w:tc>
          <w:tcPr>
            <w:tcW w:w="1498" w:type="pct"/>
            <w:vAlign w:val="center"/>
          </w:tcPr>
          <w:p w14:paraId="0344E2A2" w14:textId="77777777" w:rsidR="00281FD1" w:rsidRPr="00946249" w:rsidRDefault="00281FD1" w:rsidP="000F1832">
            <w:pPr>
              <w:jc w:val="both"/>
              <w:rPr>
                <w:rFonts w:ascii="Cambria" w:hAnsi="Cambria" w:cstheme="minorHAnsi"/>
                <w:color w:val="000000"/>
              </w:rPr>
            </w:pPr>
            <w:r w:rsidRPr="00946249">
              <w:rPr>
                <w:rFonts w:ascii="Cambria" w:hAnsi="Cambria"/>
                <w:color w:val="000000"/>
              </w:rPr>
              <w:t>Se han realizado esfuerzos a nivel nacional para la conservación y protección de las aves marinas, pero actualmente no existe un plan de acción nacional.</w:t>
            </w:r>
          </w:p>
        </w:tc>
        <w:tc>
          <w:tcPr>
            <w:tcW w:w="1353" w:type="pct"/>
          </w:tcPr>
          <w:p w14:paraId="04B70113" w14:textId="77777777" w:rsidR="00281FD1" w:rsidRPr="00946249" w:rsidRDefault="00281FD1" w:rsidP="0040351F">
            <w:pPr>
              <w:jc w:val="both"/>
              <w:rPr>
                <w:rFonts w:ascii="Cambria" w:hAnsi="Cambria"/>
              </w:rPr>
            </w:pPr>
          </w:p>
        </w:tc>
      </w:tr>
      <w:tr w:rsidR="00BE1E41" w:rsidRPr="00946249" w14:paraId="7F7FD5B5" w14:textId="77777777" w:rsidTr="000F1832">
        <w:trPr>
          <w:trHeight w:val="19"/>
          <w:jc w:val="center"/>
        </w:trPr>
        <w:tc>
          <w:tcPr>
            <w:tcW w:w="417" w:type="pct"/>
            <w:vAlign w:val="center"/>
          </w:tcPr>
          <w:p w14:paraId="4F4A5E15" w14:textId="77777777" w:rsidR="00281FD1" w:rsidRPr="00946249" w:rsidRDefault="00281FD1" w:rsidP="00CF0196">
            <w:pPr>
              <w:rPr>
                <w:rFonts w:ascii="Cambria" w:hAnsi="Cambria" w:cs="Calibri"/>
                <w:b/>
                <w:bCs/>
                <w:color w:val="000000"/>
              </w:rPr>
            </w:pPr>
            <w:r w:rsidRPr="00946249">
              <w:rPr>
                <w:rFonts w:ascii="Cambria" w:hAnsi="Cambria"/>
                <w:b/>
                <w:color w:val="000000"/>
              </w:rPr>
              <w:t>Sudáfrica</w:t>
            </w:r>
          </w:p>
        </w:tc>
        <w:tc>
          <w:tcPr>
            <w:tcW w:w="564" w:type="pct"/>
            <w:vAlign w:val="center"/>
          </w:tcPr>
          <w:p w14:paraId="73081F2C"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19A0C922"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584" w:type="pct"/>
            <w:vAlign w:val="center"/>
          </w:tcPr>
          <w:p w14:paraId="4850D16D" w14:textId="77777777" w:rsidR="00281FD1" w:rsidRPr="00946249" w:rsidRDefault="00281FD1" w:rsidP="00CF0196">
            <w:pPr>
              <w:jc w:val="center"/>
              <w:rPr>
                <w:rFonts w:ascii="Cambria" w:hAnsi="Cambria" w:cstheme="minorHAnsi"/>
                <w:color w:val="000000"/>
              </w:rPr>
            </w:pPr>
            <w:r w:rsidRPr="00946249">
              <w:rPr>
                <w:rFonts w:ascii="Cambria" w:hAnsi="Cambria"/>
                <w:color w:val="000000"/>
              </w:rPr>
              <w:t>Sí</w:t>
            </w:r>
          </w:p>
        </w:tc>
        <w:tc>
          <w:tcPr>
            <w:tcW w:w="1498" w:type="pct"/>
            <w:vAlign w:val="center"/>
          </w:tcPr>
          <w:p w14:paraId="5F7F25A7" w14:textId="180AFBAD" w:rsidR="00281FD1" w:rsidRPr="00946249" w:rsidRDefault="00281FD1" w:rsidP="000F1832">
            <w:pPr>
              <w:jc w:val="both"/>
              <w:rPr>
                <w:rFonts w:ascii="Cambria" w:hAnsi="Cambria"/>
                <w:color w:val="000000"/>
              </w:rPr>
            </w:pPr>
            <w:r w:rsidRPr="00946249">
              <w:rPr>
                <w:rFonts w:ascii="Cambria" w:hAnsi="Cambria"/>
                <w:color w:val="000000"/>
              </w:rPr>
              <w:t>Publicado en 2008 y actualmente en revisión</w:t>
            </w:r>
            <w:r w:rsidR="00A0658D" w:rsidRPr="00946249">
              <w:rPr>
                <w:rFonts w:ascii="Cambria" w:hAnsi="Cambria"/>
                <w:color w:val="000000"/>
              </w:rPr>
              <w:t>.</w:t>
            </w:r>
          </w:p>
        </w:tc>
        <w:tc>
          <w:tcPr>
            <w:tcW w:w="1353" w:type="pct"/>
          </w:tcPr>
          <w:p w14:paraId="2BD45674" w14:textId="77777777" w:rsidR="00281FD1" w:rsidRPr="00946249" w:rsidRDefault="00281FD1" w:rsidP="0040351F">
            <w:pPr>
              <w:jc w:val="both"/>
              <w:rPr>
                <w:rFonts w:ascii="Cambria" w:hAnsi="Cambria"/>
              </w:rPr>
            </w:pPr>
            <w:r w:rsidRPr="00946249">
              <w:rPr>
                <w:rFonts w:ascii="Cambria" w:hAnsi="Cambria"/>
              </w:rPr>
              <w:t>Parte de las condiciones del permiso (sección 22.2)</w:t>
            </w:r>
          </w:p>
          <w:p w14:paraId="0C05715E" w14:textId="77777777" w:rsidR="00281FD1" w:rsidRPr="00946249" w:rsidRDefault="00281FD1" w:rsidP="0040351F">
            <w:pPr>
              <w:jc w:val="both"/>
              <w:rPr>
                <w:rFonts w:ascii="Cambria" w:hAnsi="Cambria"/>
                <w:color w:val="000000"/>
              </w:rPr>
            </w:pPr>
          </w:p>
          <w:p w14:paraId="47DAD2BA" w14:textId="77777777" w:rsidR="00281FD1" w:rsidRPr="00946249" w:rsidRDefault="00281FD1" w:rsidP="0040351F">
            <w:pPr>
              <w:jc w:val="both"/>
              <w:rPr>
                <w:rFonts w:ascii="Cambria" w:hAnsi="Cambria"/>
                <w:color w:val="000000"/>
              </w:rPr>
            </w:pPr>
            <w:r w:rsidRPr="00946249">
              <w:rPr>
                <w:rFonts w:ascii="Cambria" w:hAnsi="Cambria"/>
                <w:color w:val="000000"/>
              </w:rPr>
              <w:t>Área:</w:t>
            </w:r>
          </w:p>
          <w:p w14:paraId="2C2DAE30" w14:textId="0DFA1890" w:rsidR="00281FD1" w:rsidRPr="00946249" w:rsidRDefault="00281FD1" w:rsidP="00906A02">
            <w:pPr>
              <w:pStyle w:val="ListParagraph"/>
              <w:widowControl/>
              <w:numPr>
                <w:ilvl w:val="0"/>
                <w:numId w:val="13"/>
              </w:numPr>
              <w:autoSpaceDE/>
              <w:autoSpaceDN/>
              <w:adjustRightInd/>
              <w:contextualSpacing w:val="0"/>
              <w:jc w:val="both"/>
              <w:rPr>
                <w:rFonts w:ascii="Cambria" w:hAnsi="Cambria"/>
                <w:color w:val="000000"/>
              </w:rPr>
            </w:pPr>
            <w:r w:rsidRPr="00946249">
              <w:rPr>
                <w:rFonts w:ascii="Cambria" w:hAnsi="Cambria"/>
                <w:color w:val="000000"/>
              </w:rPr>
              <w:t>Calado nocturno con la mínima iluminación en cubierta</w:t>
            </w:r>
            <w:r w:rsidR="00A0658D" w:rsidRPr="00946249">
              <w:rPr>
                <w:rFonts w:ascii="Cambria" w:hAnsi="Cambria"/>
                <w:color w:val="000000"/>
              </w:rPr>
              <w:t xml:space="preserve"> </w:t>
            </w:r>
            <w:r w:rsidRPr="00946249">
              <w:rPr>
                <w:rFonts w:ascii="Cambria" w:hAnsi="Cambria"/>
                <w:color w:val="000000"/>
              </w:rPr>
              <w:t xml:space="preserve">(ZEE) </w:t>
            </w:r>
          </w:p>
          <w:p w14:paraId="6F80222E" w14:textId="77777777" w:rsidR="00281FD1" w:rsidRPr="00946249" w:rsidRDefault="00281FD1" w:rsidP="0040351F">
            <w:pPr>
              <w:pStyle w:val="ListParagraph"/>
              <w:widowControl/>
              <w:numPr>
                <w:ilvl w:val="0"/>
                <w:numId w:val="13"/>
              </w:numPr>
              <w:autoSpaceDE/>
              <w:autoSpaceDN/>
              <w:adjustRightInd/>
              <w:contextualSpacing w:val="0"/>
              <w:jc w:val="both"/>
              <w:rPr>
                <w:rFonts w:ascii="Cambria" w:hAnsi="Cambria"/>
                <w:color w:val="000000"/>
              </w:rPr>
            </w:pPr>
            <w:r w:rsidRPr="00946249">
              <w:rPr>
                <w:rFonts w:ascii="Cambria" w:hAnsi="Cambria"/>
                <w:color w:val="000000"/>
              </w:rPr>
              <w:t>Líneas espantapájaros (ZEE y alta mar)</w:t>
            </w:r>
          </w:p>
          <w:p w14:paraId="21AC2823" w14:textId="77777777" w:rsidR="00281FD1" w:rsidRPr="00946249" w:rsidRDefault="00281FD1" w:rsidP="0040351F">
            <w:pPr>
              <w:pStyle w:val="ListParagraph"/>
              <w:widowControl/>
              <w:numPr>
                <w:ilvl w:val="0"/>
                <w:numId w:val="13"/>
              </w:numPr>
              <w:autoSpaceDE/>
              <w:autoSpaceDN/>
              <w:adjustRightInd/>
              <w:contextualSpacing w:val="0"/>
              <w:jc w:val="both"/>
              <w:rPr>
                <w:rFonts w:ascii="Cambria" w:hAnsi="Cambria"/>
                <w:color w:val="000000"/>
              </w:rPr>
            </w:pPr>
            <w:r w:rsidRPr="00946249">
              <w:rPr>
                <w:rFonts w:ascii="Cambria" w:hAnsi="Cambria"/>
                <w:color w:val="000000"/>
              </w:rPr>
              <w:t>Lastrado de línea (ZEE y alta mar)</w:t>
            </w:r>
          </w:p>
          <w:p w14:paraId="648C9011" w14:textId="77777777" w:rsidR="00281FD1" w:rsidRPr="00946249" w:rsidRDefault="00281FD1" w:rsidP="0040351F">
            <w:pPr>
              <w:pStyle w:val="ListParagraph"/>
              <w:ind w:left="360"/>
              <w:jc w:val="both"/>
              <w:rPr>
                <w:rFonts w:ascii="Cambria" w:hAnsi="Cambria"/>
                <w:color w:val="000000"/>
              </w:rPr>
            </w:pPr>
          </w:p>
        </w:tc>
      </w:tr>
      <w:tr w:rsidR="00BE1E41" w:rsidRPr="00C7012F" w14:paraId="20BFB09A" w14:textId="77777777" w:rsidTr="00A0658D">
        <w:trPr>
          <w:trHeight w:val="19"/>
          <w:jc w:val="center"/>
        </w:trPr>
        <w:tc>
          <w:tcPr>
            <w:tcW w:w="417" w:type="pct"/>
            <w:vAlign w:val="center"/>
          </w:tcPr>
          <w:p w14:paraId="6636726B" w14:textId="77777777" w:rsidR="00281FD1" w:rsidRPr="00946249" w:rsidRDefault="00281FD1" w:rsidP="00CF0196">
            <w:pPr>
              <w:rPr>
                <w:rFonts w:ascii="Cambria" w:hAnsi="Cambria" w:cs="Calibri"/>
                <w:b/>
                <w:bCs/>
                <w:color w:val="000000"/>
              </w:rPr>
            </w:pPr>
            <w:proofErr w:type="spellStart"/>
            <w:r w:rsidRPr="00946249">
              <w:rPr>
                <w:rFonts w:ascii="Cambria" w:hAnsi="Cambria"/>
                <w:b/>
                <w:color w:val="000000"/>
              </w:rPr>
              <w:lastRenderedPageBreak/>
              <w:t>Türkiye</w:t>
            </w:r>
            <w:proofErr w:type="spellEnd"/>
          </w:p>
        </w:tc>
        <w:tc>
          <w:tcPr>
            <w:tcW w:w="564" w:type="pct"/>
            <w:vAlign w:val="center"/>
          </w:tcPr>
          <w:p w14:paraId="51D061D7" w14:textId="77777777" w:rsidR="00281FD1" w:rsidRPr="00946249" w:rsidRDefault="00281FD1" w:rsidP="00A0658D">
            <w:pPr>
              <w:rPr>
                <w:rFonts w:ascii="Cambria" w:hAnsi="Cambria" w:cstheme="minorHAnsi"/>
                <w:color w:val="000000"/>
              </w:rPr>
            </w:pPr>
            <w:r w:rsidRPr="00946249">
              <w:rPr>
                <w:rFonts w:ascii="Cambria" w:hAnsi="Cambria"/>
                <w:color w:val="000000"/>
              </w:rPr>
              <w:t>Parcialmente implementado</w:t>
            </w:r>
          </w:p>
        </w:tc>
        <w:tc>
          <w:tcPr>
            <w:tcW w:w="584" w:type="pct"/>
            <w:vAlign w:val="center"/>
          </w:tcPr>
          <w:p w14:paraId="42464F52" w14:textId="77777777" w:rsidR="00281FD1" w:rsidRPr="00946249" w:rsidRDefault="00281FD1" w:rsidP="00A0658D">
            <w:pPr>
              <w:rPr>
                <w:rFonts w:ascii="Cambria" w:hAnsi="Cambria"/>
                <w:color w:val="000000"/>
              </w:rPr>
            </w:pPr>
            <w:r w:rsidRPr="00946249">
              <w:rPr>
                <w:rFonts w:ascii="Cambria" w:hAnsi="Cambria"/>
                <w:color w:val="000000"/>
              </w:rPr>
              <w:t xml:space="preserve">No existe una obligación legal, se implementa a título voluntario.  </w:t>
            </w:r>
          </w:p>
        </w:tc>
        <w:tc>
          <w:tcPr>
            <w:tcW w:w="584" w:type="pct"/>
            <w:vAlign w:val="center"/>
          </w:tcPr>
          <w:p w14:paraId="1E5DCAF1" w14:textId="77777777" w:rsidR="00281FD1" w:rsidRPr="00946249" w:rsidRDefault="00281FD1" w:rsidP="00A0658D">
            <w:pPr>
              <w:rPr>
                <w:rFonts w:ascii="Cambria" w:hAnsi="Cambria"/>
                <w:color w:val="000000"/>
              </w:rPr>
            </w:pPr>
            <w:r w:rsidRPr="00946249">
              <w:rPr>
                <w:rFonts w:ascii="Cambria" w:hAnsi="Cambria"/>
                <w:color w:val="000000"/>
              </w:rPr>
              <w:t xml:space="preserve">No existe una obligación legal, se implementa a título voluntario.  </w:t>
            </w:r>
          </w:p>
        </w:tc>
        <w:tc>
          <w:tcPr>
            <w:tcW w:w="1498" w:type="pct"/>
            <w:vAlign w:val="center"/>
          </w:tcPr>
          <w:p w14:paraId="0F3F4457" w14:textId="77777777" w:rsidR="00281FD1" w:rsidRPr="00946249" w:rsidRDefault="00281FD1" w:rsidP="000F1832">
            <w:pPr>
              <w:pStyle w:val="ListParagraph"/>
              <w:widowControl/>
              <w:numPr>
                <w:ilvl w:val="0"/>
                <w:numId w:val="14"/>
              </w:numPr>
              <w:autoSpaceDE/>
              <w:autoSpaceDN/>
              <w:adjustRightInd/>
              <w:contextualSpacing w:val="0"/>
              <w:jc w:val="both"/>
              <w:rPr>
                <w:rFonts w:ascii="Cambria" w:hAnsi="Cambria"/>
                <w:color w:val="000000"/>
              </w:rPr>
            </w:pPr>
            <w:r w:rsidRPr="00946249">
              <w:rPr>
                <w:rFonts w:ascii="Cambria" w:hAnsi="Cambria"/>
                <w:color w:val="000000"/>
              </w:rPr>
              <w:t xml:space="preserve">Existen iniciativas de proyectos emprendidos por diversos organismos que pretenden crear la base de un inventario de Áreas importantes para las aves marinas (IBA) y formar al personal y a los voluntarios en métodos de investigación y conservación de las aves marinas. </w:t>
            </w:r>
          </w:p>
          <w:p w14:paraId="092D6758" w14:textId="1143A54F" w:rsidR="00281FD1" w:rsidRPr="00946249" w:rsidRDefault="00281FD1" w:rsidP="000F1832">
            <w:pPr>
              <w:pStyle w:val="ListParagraph"/>
              <w:widowControl/>
              <w:numPr>
                <w:ilvl w:val="0"/>
                <w:numId w:val="14"/>
              </w:numPr>
              <w:autoSpaceDE/>
              <w:autoSpaceDN/>
              <w:adjustRightInd/>
              <w:contextualSpacing w:val="0"/>
              <w:jc w:val="both"/>
              <w:rPr>
                <w:rFonts w:ascii="Cambria" w:hAnsi="Cambria"/>
                <w:color w:val="000000"/>
              </w:rPr>
            </w:pPr>
            <w:r w:rsidRPr="00946249">
              <w:rPr>
                <w:rFonts w:ascii="Cambria" w:hAnsi="Cambria"/>
                <w:color w:val="000000"/>
              </w:rPr>
              <w:t>El Ministerio de agricultura y silvicultura (Dirección General de Pesca y Acuicultura) ha iniciado un programa de gran alcance para retirar las "</w:t>
            </w:r>
            <w:proofErr w:type="gramStart"/>
            <w:r w:rsidRPr="00946249">
              <w:rPr>
                <w:rFonts w:ascii="Cambria" w:hAnsi="Cambria"/>
                <w:color w:val="000000"/>
              </w:rPr>
              <w:t>redes fantasma</w:t>
            </w:r>
            <w:proofErr w:type="gramEnd"/>
            <w:r w:rsidRPr="00946249">
              <w:rPr>
                <w:rFonts w:ascii="Cambria" w:hAnsi="Cambria"/>
                <w:color w:val="000000"/>
              </w:rPr>
              <w:t xml:space="preserve">" y la pesca fantasma en los principales sitios de aguas costeras de </w:t>
            </w:r>
            <w:proofErr w:type="spellStart"/>
            <w:r w:rsidRPr="00946249">
              <w:rPr>
                <w:rFonts w:ascii="Cambria" w:hAnsi="Cambria"/>
                <w:color w:val="000000"/>
              </w:rPr>
              <w:t>Türkiye</w:t>
            </w:r>
            <w:proofErr w:type="spellEnd"/>
            <w:r w:rsidRPr="00946249">
              <w:rPr>
                <w:rFonts w:ascii="Cambria" w:hAnsi="Cambria"/>
                <w:color w:val="000000"/>
              </w:rPr>
              <w:t>.</w:t>
            </w:r>
          </w:p>
          <w:p w14:paraId="2DE2551D" w14:textId="6B2987FC" w:rsidR="00281FD1" w:rsidRPr="00946249" w:rsidRDefault="00281FD1" w:rsidP="000F1832">
            <w:pPr>
              <w:pStyle w:val="ListParagraph"/>
              <w:widowControl/>
              <w:numPr>
                <w:ilvl w:val="0"/>
                <w:numId w:val="14"/>
              </w:numPr>
              <w:autoSpaceDE/>
              <w:autoSpaceDN/>
              <w:adjustRightInd/>
              <w:contextualSpacing w:val="0"/>
              <w:jc w:val="both"/>
              <w:rPr>
                <w:rFonts w:ascii="Cambria" w:hAnsi="Cambria"/>
                <w:color w:val="000000"/>
              </w:rPr>
            </w:pPr>
            <w:r w:rsidRPr="00946249">
              <w:rPr>
                <w:rFonts w:ascii="Cambria" w:hAnsi="Cambria"/>
                <w:color w:val="000000"/>
              </w:rPr>
              <w:t>Durante la fase de implementación del proyecto de "Limpieza de los mares de las redes de pesca abandonadas", se han dragado 801 millones de m</w:t>
            </w:r>
            <w:r w:rsidRPr="00946249">
              <w:rPr>
                <w:rFonts w:ascii="Cambria" w:hAnsi="Cambria"/>
                <w:color w:val="000000"/>
                <w:vertAlign w:val="superscript"/>
              </w:rPr>
              <w:t>2</w:t>
            </w:r>
            <w:r w:rsidRPr="00946249">
              <w:rPr>
                <w:rFonts w:ascii="Cambria" w:hAnsi="Cambria"/>
                <w:color w:val="000000"/>
              </w:rPr>
              <w:t xml:space="preserve"> de aguas interiores y zonas marinas y se han extraído un total de 2.885.000 m</w:t>
            </w:r>
            <w:r w:rsidRPr="00946249">
              <w:rPr>
                <w:rFonts w:ascii="Cambria" w:hAnsi="Cambria"/>
                <w:color w:val="000000"/>
                <w:vertAlign w:val="superscript"/>
              </w:rPr>
              <w:t>2</w:t>
            </w:r>
            <w:r w:rsidRPr="00946249">
              <w:rPr>
                <w:rFonts w:ascii="Cambria" w:hAnsi="Cambria"/>
                <w:color w:val="000000"/>
              </w:rPr>
              <w:t xml:space="preserve"> de redes de pesca y 103.551 piezas de nasas y artes de pesca similares de las aguas interiores y zonas marinas en el periodo 2014-2025.</w:t>
            </w:r>
            <w:r w:rsidR="00A0658D" w:rsidRPr="00946249">
              <w:rPr>
                <w:rFonts w:ascii="Cambria" w:hAnsi="Cambria"/>
                <w:color w:val="000000"/>
              </w:rPr>
              <w:t xml:space="preserve"> </w:t>
            </w:r>
            <w:r w:rsidRPr="00946249">
              <w:rPr>
                <w:rFonts w:ascii="Cambria" w:hAnsi="Cambria"/>
                <w:color w:val="000000"/>
              </w:rPr>
              <w:t>La extracción de redes fantasma y artes de pesca de los entornos acuáticos ha evitado la pérdida de unos 9,6 millones de organismos acuáticos.</w:t>
            </w:r>
          </w:p>
          <w:p w14:paraId="5EE81193" w14:textId="59D6734F" w:rsidR="00281FD1" w:rsidRPr="00946249" w:rsidRDefault="00281FD1" w:rsidP="000F1832">
            <w:pPr>
              <w:pStyle w:val="ListParagraph"/>
              <w:widowControl/>
              <w:numPr>
                <w:ilvl w:val="0"/>
                <w:numId w:val="14"/>
              </w:numPr>
              <w:autoSpaceDE/>
              <w:autoSpaceDN/>
              <w:adjustRightInd/>
              <w:contextualSpacing w:val="0"/>
              <w:jc w:val="both"/>
              <w:rPr>
                <w:rFonts w:ascii="Cambria" w:hAnsi="Cambria"/>
                <w:color w:val="000000"/>
              </w:rPr>
            </w:pPr>
            <w:r w:rsidRPr="00946249">
              <w:rPr>
                <w:rFonts w:ascii="Cambria" w:hAnsi="Cambria"/>
                <w:color w:val="000000"/>
              </w:rPr>
              <w:t xml:space="preserve">El proyecto denominado </w:t>
            </w:r>
            <w:r w:rsidR="00A0658D" w:rsidRPr="00946249">
              <w:rPr>
                <w:rFonts w:ascii="Cambria" w:hAnsi="Cambria"/>
                <w:color w:val="000000"/>
              </w:rPr>
              <w:t>“</w:t>
            </w:r>
            <w:proofErr w:type="spellStart"/>
            <w:r w:rsidRPr="00946249">
              <w:rPr>
                <w:rFonts w:ascii="Cambria" w:hAnsi="Cambria"/>
                <w:color w:val="000000"/>
              </w:rPr>
              <w:t>Understanding</w:t>
            </w:r>
            <w:proofErr w:type="spellEnd"/>
            <w:r w:rsidRPr="00946249">
              <w:rPr>
                <w:rFonts w:ascii="Cambria" w:hAnsi="Cambria"/>
                <w:color w:val="000000"/>
              </w:rPr>
              <w:t xml:space="preserve"> </w:t>
            </w:r>
            <w:proofErr w:type="spellStart"/>
            <w:r w:rsidRPr="00946249">
              <w:rPr>
                <w:rFonts w:ascii="Cambria" w:hAnsi="Cambria"/>
                <w:color w:val="000000"/>
              </w:rPr>
              <w:t>multi-taxa</w:t>
            </w:r>
            <w:proofErr w:type="spellEnd"/>
            <w:r w:rsidRPr="00946249">
              <w:rPr>
                <w:rFonts w:ascii="Cambria" w:hAnsi="Cambria"/>
                <w:color w:val="000000"/>
              </w:rPr>
              <w:t xml:space="preserve"> '</w:t>
            </w:r>
            <w:proofErr w:type="spellStart"/>
            <w:r w:rsidRPr="00946249">
              <w:rPr>
                <w:rFonts w:ascii="Cambria" w:hAnsi="Cambria"/>
                <w:color w:val="000000"/>
              </w:rPr>
              <w:t>bycatch</w:t>
            </w:r>
            <w:proofErr w:type="spellEnd"/>
            <w:r w:rsidRPr="00946249">
              <w:rPr>
                <w:rFonts w:ascii="Cambria" w:hAnsi="Cambria"/>
                <w:color w:val="000000"/>
              </w:rPr>
              <w:t xml:space="preserve">' </w:t>
            </w:r>
            <w:proofErr w:type="spellStart"/>
            <w:r w:rsidRPr="00946249">
              <w:rPr>
                <w:rFonts w:ascii="Cambria" w:hAnsi="Cambria"/>
                <w:color w:val="000000"/>
              </w:rPr>
              <w:t>of</w:t>
            </w:r>
            <w:proofErr w:type="spellEnd"/>
            <w:r w:rsidRPr="00946249">
              <w:rPr>
                <w:rFonts w:ascii="Cambria" w:hAnsi="Cambria"/>
                <w:color w:val="000000"/>
              </w:rPr>
              <w:t xml:space="preserve"> vulnerable </w:t>
            </w:r>
            <w:proofErr w:type="spellStart"/>
            <w:r w:rsidRPr="00946249">
              <w:rPr>
                <w:rFonts w:ascii="Cambria" w:hAnsi="Cambria"/>
                <w:color w:val="000000"/>
              </w:rPr>
              <w:t>species</w:t>
            </w:r>
            <w:proofErr w:type="spellEnd"/>
            <w:r w:rsidRPr="00946249">
              <w:rPr>
                <w:rFonts w:ascii="Cambria" w:hAnsi="Cambria"/>
                <w:color w:val="000000"/>
              </w:rPr>
              <w:t xml:space="preserve"> and </w:t>
            </w:r>
            <w:proofErr w:type="spellStart"/>
            <w:r w:rsidRPr="00946249">
              <w:rPr>
                <w:rFonts w:ascii="Cambria" w:hAnsi="Cambria"/>
                <w:color w:val="000000"/>
              </w:rPr>
              <w:t>testing</w:t>
            </w:r>
            <w:proofErr w:type="spellEnd"/>
            <w:r w:rsidRPr="00946249">
              <w:rPr>
                <w:rFonts w:ascii="Cambria" w:hAnsi="Cambria"/>
                <w:color w:val="000000"/>
              </w:rPr>
              <w:t xml:space="preserve"> </w:t>
            </w:r>
            <w:proofErr w:type="spellStart"/>
            <w:r w:rsidRPr="00946249">
              <w:rPr>
                <w:rFonts w:ascii="Cambria" w:hAnsi="Cambria"/>
                <w:color w:val="000000"/>
              </w:rPr>
              <w:t>mitigation</w:t>
            </w:r>
            <w:proofErr w:type="spellEnd"/>
            <w:r w:rsidRPr="00946249">
              <w:rPr>
                <w:rFonts w:ascii="Cambria" w:hAnsi="Cambria"/>
                <w:color w:val="000000"/>
              </w:rPr>
              <w:t xml:space="preserve"> - A </w:t>
            </w:r>
            <w:proofErr w:type="spellStart"/>
            <w:r w:rsidRPr="00946249">
              <w:rPr>
                <w:rFonts w:ascii="Cambria" w:hAnsi="Cambria"/>
                <w:color w:val="000000"/>
              </w:rPr>
              <w:t>collaborative</w:t>
            </w:r>
            <w:proofErr w:type="spellEnd"/>
            <w:r w:rsidRPr="00946249">
              <w:rPr>
                <w:rFonts w:ascii="Cambria" w:hAnsi="Cambria"/>
                <w:color w:val="000000"/>
              </w:rPr>
              <w:t xml:space="preserve"> </w:t>
            </w:r>
            <w:proofErr w:type="spellStart"/>
            <w:r w:rsidRPr="00946249">
              <w:rPr>
                <w:rFonts w:ascii="Cambria" w:hAnsi="Cambria"/>
                <w:color w:val="000000"/>
              </w:rPr>
              <w:t>approach</w:t>
            </w:r>
            <w:proofErr w:type="spellEnd"/>
            <w:r w:rsidR="00A0658D" w:rsidRPr="00946249">
              <w:rPr>
                <w:rFonts w:ascii="Cambria" w:hAnsi="Cambria"/>
                <w:color w:val="000000"/>
              </w:rPr>
              <w:t>”</w:t>
            </w:r>
            <w:r w:rsidRPr="00946249">
              <w:rPr>
                <w:rFonts w:ascii="Cambria" w:hAnsi="Cambria"/>
                <w:color w:val="000000"/>
              </w:rPr>
              <w:t xml:space="preserve"> (Entender las "capturas fortuitas" de especies vulnerables en el Mediterráneo y probar la mitigación - Un enfoque colaborativo) se ha llevado a cabo con los socios del proyecto ACCOBAMS, GFCM, IUCN </w:t>
            </w:r>
            <w:proofErr w:type="spellStart"/>
            <w:r w:rsidRPr="00946249">
              <w:rPr>
                <w:rFonts w:ascii="Cambria" w:hAnsi="Cambria"/>
                <w:color w:val="000000"/>
              </w:rPr>
              <w:t>Med</w:t>
            </w:r>
            <w:proofErr w:type="spellEnd"/>
            <w:r w:rsidRPr="00946249">
              <w:rPr>
                <w:rFonts w:ascii="Cambria" w:hAnsi="Cambria"/>
                <w:color w:val="000000"/>
              </w:rPr>
              <w:t>, MEDASSET, RAC/SPA en la cuenca mediterránea. La duración del proyecto es de septiembre de 2017 a octubre de 2022.</w:t>
            </w:r>
          </w:p>
          <w:p w14:paraId="07F71EA8" w14:textId="77777777" w:rsidR="00281FD1" w:rsidRPr="00946249" w:rsidRDefault="00281FD1" w:rsidP="000F1832">
            <w:pPr>
              <w:pStyle w:val="ListParagraph"/>
              <w:ind w:left="400"/>
              <w:jc w:val="both"/>
              <w:rPr>
                <w:rFonts w:ascii="Cambria" w:hAnsi="Cambria"/>
                <w:color w:val="000000"/>
              </w:rPr>
            </w:pPr>
          </w:p>
          <w:p w14:paraId="2E5FB5E0" w14:textId="77777777" w:rsidR="00281FD1" w:rsidRPr="00946249" w:rsidRDefault="00281FD1" w:rsidP="000F1832">
            <w:pPr>
              <w:ind w:left="360"/>
              <w:jc w:val="both"/>
              <w:rPr>
                <w:rFonts w:ascii="Cambria" w:hAnsi="Cambria"/>
                <w:color w:val="000000"/>
              </w:rPr>
            </w:pPr>
            <w:r w:rsidRPr="00946249">
              <w:rPr>
                <w:rFonts w:ascii="Cambria" w:hAnsi="Cambria"/>
                <w:color w:val="000000"/>
              </w:rPr>
              <w:lastRenderedPageBreak/>
              <w:t xml:space="preserve">Los objetivos del proyecto son desarrollar un método estándar de recopilación de datos para determinar las tasas de captura de especies no objetivo por parte de los artes de pesca más utilizados (arrastre </w:t>
            </w:r>
            <w:proofErr w:type="spellStart"/>
            <w:r w:rsidRPr="00946249">
              <w:rPr>
                <w:rFonts w:ascii="Cambria" w:hAnsi="Cambria"/>
                <w:color w:val="000000"/>
              </w:rPr>
              <w:t>demersal</w:t>
            </w:r>
            <w:proofErr w:type="spellEnd"/>
            <w:r w:rsidRPr="00946249">
              <w:rPr>
                <w:rFonts w:ascii="Cambria" w:hAnsi="Cambria"/>
                <w:color w:val="000000"/>
              </w:rPr>
              <w:t xml:space="preserve">, redes de enmalle, palangres) en la cuenca mediterránea; contribuir al desarrollo de ejemplos de buenas prácticas que reduzcan las tasas de captura fortuita de mamíferos marinos, aves marinas, tortugas marinas y peces cartilaginosos con la participación de todas las partes interesadas. </w:t>
            </w:r>
          </w:p>
          <w:p w14:paraId="37B3D3BF" w14:textId="77777777" w:rsidR="008175EC" w:rsidRPr="00946249" w:rsidRDefault="008175EC" w:rsidP="000F1832">
            <w:pPr>
              <w:pStyle w:val="ListParagraph"/>
              <w:ind w:left="760"/>
              <w:jc w:val="both"/>
              <w:rPr>
                <w:rFonts w:ascii="Cambria" w:hAnsi="Cambria"/>
                <w:color w:val="000000"/>
              </w:rPr>
            </w:pPr>
          </w:p>
          <w:p w14:paraId="78838F37" w14:textId="77777777" w:rsidR="00281FD1" w:rsidRPr="00946249" w:rsidRDefault="00281FD1" w:rsidP="000F1832">
            <w:pPr>
              <w:ind w:left="360"/>
              <w:jc w:val="both"/>
              <w:rPr>
                <w:rFonts w:ascii="Cambria" w:hAnsi="Cambria"/>
                <w:color w:val="000000"/>
              </w:rPr>
            </w:pPr>
            <w:r w:rsidRPr="00946249">
              <w:rPr>
                <w:rFonts w:ascii="Cambria" w:hAnsi="Cambria"/>
                <w:color w:val="000000"/>
              </w:rPr>
              <w:t>En el ámbito del proyecto se han realizado estudios de recogida de datos de captura fortuita de especies sensibles y estudios de prueba de métodos de mitigación de la captura fortuita. Además, se ha preparado una guía de buenas prácticas para la manipulación de aves marinas y una guía para la identificación de especies vulnerables capturadas incidentalmente en el Mediterráneo para los pescadores y los funcionarios de inspección.</w:t>
            </w:r>
          </w:p>
          <w:p w14:paraId="6A1A1F1F" w14:textId="77777777" w:rsidR="00281FD1" w:rsidRPr="00946249" w:rsidRDefault="00281FD1" w:rsidP="000F1832">
            <w:pPr>
              <w:pStyle w:val="ListParagraph"/>
              <w:ind w:left="760"/>
              <w:jc w:val="both"/>
              <w:rPr>
                <w:rFonts w:ascii="Cambria" w:hAnsi="Cambria"/>
                <w:color w:val="000000"/>
              </w:rPr>
            </w:pPr>
          </w:p>
          <w:p w14:paraId="0728E911" w14:textId="77777777" w:rsidR="00281FD1" w:rsidRPr="00946249" w:rsidRDefault="00281FD1" w:rsidP="000F1832">
            <w:pPr>
              <w:ind w:left="360"/>
              <w:jc w:val="both"/>
              <w:rPr>
                <w:rFonts w:ascii="Cambria" w:hAnsi="Cambria"/>
                <w:color w:val="000000"/>
              </w:rPr>
            </w:pPr>
            <w:r w:rsidRPr="00946249">
              <w:rPr>
                <w:rFonts w:ascii="Cambria" w:hAnsi="Cambria"/>
                <w:color w:val="000000"/>
              </w:rPr>
              <w:t>El estudio "Efectos de los emisores de ultrasonidos PAL para reducir la captura fortuita de mamíferos marinos (cetáceos) en las redes de enmalle de rodaballo en el mar Negro" se completó en junio de 2022.  Se observó que los dispositivos PAL redujeron la cantidad de capturas del colimbo ártico (</w:t>
            </w:r>
            <w:r w:rsidRPr="00946249">
              <w:rPr>
                <w:rFonts w:ascii="Cambria" w:hAnsi="Cambria"/>
                <w:i/>
                <w:iCs/>
                <w:color w:val="000000"/>
              </w:rPr>
              <w:t xml:space="preserve">Gavia </w:t>
            </w:r>
            <w:proofErr w:type="spellStart"/>
            <w:r w:rsidRPr="00946249">
              <w:rPr>
                <w:rFonts w:ascii="Cambria" w:hAnsi="Cambria"/>
                <w:i/>
                <w:iCs/>
                <w:color w:val="000000"/>
              </w:rPr>
              <w:t>arctica</w:t>
            </w:r>
            <w:proofErr w:type="spellEnd"/>
            <w:r w:rsidRPr="00946249">
              <w:rPr>
                <w:rFonts w:ascii="Cambria" w:hAnsi="Cambria"/>
                <w:color w:val="000000"/>
              </w:rPr>
              <w:t>) en un 89,2 % en comparación con el grupo de control.</w:t>
            </w:r>
          </w:p>
          <w:p w14:paraId="4781EDDE" w14:textId="77777777" w:rsidR="00281FD1" w:rsidRPr="00946249" w:rsidRDefault="00281FD1" w:rsidP="000F1832">
            <w:pPr>
              <w:pStyle w:val="ListParagraph"/>
              <w:ind w:left="760"/>
              <w:jc w:val="both"/>
              <w:rPr>
                <w:rFonts w:ascii="Cambria" w:hAnsi="Cambria"/>
                <w:color w:val="000000"/>
              </w:rPr>
            </w:pPr>
          </w:p>
          <w:p w14:paraId="5E8F3C6E" w14:textId="77777777" w:rsidR="00281FD1" w:rsidRPr="00946249" w:rsidRDefault="00281FD1" w:rsidP="000F1832">
            <w:pPr>
              <w:ind w:left="360"/>
              <w:jc w:val="both"/>
              <w:rPr>
                <w:rFonts w:ascii="Cambria" w:hAnsi="Cambria"/>
                <w:color w:val="000000"/>
              </w:rPr>
            </w:pPr>
            <w:r w:rsidRPr="00946249">
              <w:rPr>
                <w:rFonts w:ascii="Cambria" w:hAnsi="Cambria"/>
                <w:color w:val="000000"/>
              </w:rPr>
              <w:t xml:space="preserve">El artículo 18 de la Notificación Ministerial que </w:t>
            </w:r>
            <w:r w:rsidRPr="00946249">
              <w:rPr>
                <w:rFonts w:ascii="Cambria" w:hAnsi="Cambria"/>
                <w:color w:val="000000"/>
              </w:rPr>
              <w:lastRenderedPageBreak/>
              <w:t xml:space="preserve">regula la pesca comercial (n.º 2024/20), que entró en vigor el 11 de agosto de 2024 y abarca el periodo 2024-2028, exige que en caso de que cualquier especie prohibida y aves marinas sean capturadas incidentalmente durante las operaciones de pesca comercial, será obligatorio que estas especies sean devueltas al agua vivas e ilesas. </w:t>
            </w:r>
          </w:p>
          <w:p w14:paraId="380E3F8C" w14:textId="77777777" w:rsidR="00281FD1" w:rsidRPr="00946249" w:rsidRDefault="00281FD1" w:rsidP="000F1832">
            <w:pPr>
              <w:pStyle w:val="ListParagraph"/>
              <w:ind w:left="760"/>
              <w:jc w:val="both"/>
              <w:rPr>
                <w:rFonts w:ascii="Cambria" w:hAnsi="Cambria"/>
                <w:color w:val="000000"/>
              </w:rPr>
            </w:pPr>
          </w:p>
          <w:p w14:paraId="15A8B3CE" w14:textId="77777777" w:rsidR="00281FD1" w:rsidRPr="00946249" w:rsidRDefault="00281FD1" w:rsidP="000F1832">
            <w:pPr>
              <w:ind w:left="360"/>
              <w:jc w:val="both"/>
              <w:rPr>
                <w:rFonts w:ascii="Cambria" w:hAnsi="Cambria"/>
                <w:color w:val="000000"/>
              </w:rPr>
            </w:pPr>
            <w:r w:rsidRPr="00946249">
              <w:rPr>
                <w:rFonts w:ascii="Cambria" w:hAnsi="Cambria"/>
                <w:color w:val="000000"/>
              </w:rPr>
              <w:t xml:space="preserve">La manipulación, el tratamiento y la liberación de especies capturadas incidentalmente en este ámbito se realizarán de conformidad con las "Directrices de protección de especies vulnerables" publicadas por la Dirección General de Pesca y Acuicultura del Ministerio de Agricultura y Silvicultura. </w:t>
            </w:r>
          </w:p>
          <w:p w14:paraId="0406A66E" w14:textId="77777777" w:rsidR="00281FD1" w:rsidRPr="00946249" w:rsidRDefault="00281FD1" w:rsidP="000F1832">
            <w:pPr>
              <w:pStyle w:val="ListParagraph"/>
              <w:ind w:left="760"/>
              <w:jc w:val="both"/>
              <w:rPr>
                <w:rFonts w:ascii="Cambria" w:hAnsi="Cambria"/>
                <w:color w:val="000000"/>
              </w:rPr>
            </w:pPr>
          </w:p>
          <w:p w14:paraId="0E2B6D1B" w14:textId="77777777" w:rsidR="00281FD1" w:rsidRPr="00946249" w:rsidRDefault="00281FD1" w:rsidP="000F1832">
            <w:pPr>
              <w:ind w:left="360"/>
              <w:jc w:val="both"/>
              <w:rPr>
                <w:rFonts w:ascii="Cambria" w:hAnsi="Cambria"/>
                <w:color w:val="000000"/>
              </w:rPr>
            </w:pPr>
            <w:r w:rsidRPr="00946249">
              <w:rPr>
                <w:rFonts w:ascii="Cambria" w:hAnsi="Cambria"/>
                <w:color w:val="000000"/>
              </w:rPr>
              <w:t>Las directrices mencionadas sobre la implementación práctica para la manipulación, liberación y protección de especies vulnerables en caso de captura fortuita se han preparado y puesto en práctica basándose en las directrices pertinentes de la FAO, los resultados del Proyecto sobre capturas fortuitas en el Mediterráneo y las recomendaciones conexas de ICCAT.</w:t>
            </w:r>
          </w:p>
        </w:tc>
        <w:tc>
          <w:tcPr>
            <w:tcW w:w="1353" w:type="pct"/>
          </w:tcPr>
          <w:p w14:paraId="33055F8E" w14:textId="6AC8B083" w:rsidR="00281FD1" w:rsidRPr="00946249" w:rsidRDefault="00281FD1" w:rsidP="0040351F">
            <w:pPr>
              <w:jc w:val="both"/>
              <w:rPr>
                <w:rFonts w:ascii="Cambria" w:hAnsi="Cambria"/>
                <w:color w:val="1C283D"/>
              </w:rPr>
            </w:pPr>
            <w:r w:rsidRPr="00946249">
              <w:rPr>
                <w:rFonts w:ascii="Cambria" w:hAnsi="Cambria"/>
                <w:color w:val="1C283D"/>
              </w:rPr>
              <w:lastRenderedPageBreak/>
              <w:t>De conformidad con el artículo 14 y el artículo 15 de la Notificación n.º 6/1 que regula la pesca comercial (2024-2028), los palangres, las redes de enmalle y las redes de enredo que se calen (anclen) en el mar deberán marcarse con una bandera/flotador de señalización durante el día y con una boya iluminada durante la noche.</w:t>
            </w:r>
          </w:p>
          <w:p w14:paraId="702F8DA5" w14:textId="77777777" w:rsidR="00281FD1" w:rsidRPr="00946249" w:rsidRDefault="00281FD1" w:rsidP="0040351F">
            <w:pPr>
              <w:jc w:val="both"/>
              <w:rPr>
                <w:rFonts w:ascii="Cambria" w:hAnsi="Cambria"/>
                <w:color w:val="1C283D"/>
              </w:rPr>
            </w:pPr>
          </w:p>
          <w:p w14:paraId="6B59E295" w14:textId="77777777" w:rsidR="00281FD1" w:rsidRPr="00946249" w:rsidRDefault="00281FD1" w:rsidP="0040351F">
            <w:pPr>
              <w:jc w:val="both"/>
              <w:rPr>
                <w:rFonts w:ascii="Cambria" w:hAnsi="Cambria"/>
                <w:color w:val="000000"/>
              </w:rPr>
            </w:pPr>
            <w:r w:rsidRPr="00946249">
              <w:rPr>
                <w:rFonts w:ascii="Cambria" w:hAnsi="Cambria"/>
                <w:color w:val="000000"/>
              </w:rPr>
              <w:t>Área:</w:t>
            </w:r>
          </w:p>
          <w:p w14:paraId="725660D7" w14:textId="77777777" w:rsidR="00281FD1" w:rsidRPr="00946249" w:rsidRDefault="00281FD1" w:rsidP="0040351F">
            <w:pPr>
              <w:pStyle w:val="ListParagraph"/>
              <w:widowControl/>
              <w:numPr>
                <w:ilvl w:val="0"/>
                <w:numId w:val="13"/>
              </w:numPr>
              <w:autoSpaceDE/>
              <w:autoSpaceDN/>
              <w:adjustRightInd/>
              <w:contextualSpacing w:val="0"/>
              <w:jc w:val="both"/>
              <w:rPr>
                <w:rFonts w:ascii="Cambria" w:hAnsi="Cambria"/>
                <w:color w:val="000000"/>
              </w:rPr>
            </w:pPr>
            <w:r w:rsidRPr="00946249">
              <w:rPr>
                <w:rFonts w:ascii="Cambria" w:hAnsi="Cambria"/>
                <w:color w:val="000000"/>
              </w:rPr>
              <w:t>Calado nocturno con la mínima iluminación en cubierta</w:t>
            </w:r>
          </w:p>
          <w:p w14:paraId="76CE1BE7" w14:textId="77777777" w:rsidR="00281FD1" w:rsidRPr="00C7012F" w:rsidRDefault="00281FD1" w:rsidP="0040351F">
            <w:pPr>
              <w:pStyle w:val="ListParagraph"/>
              <w:ind w:left="360"/>
              <w:jc w:val="both"/>
              <w:rPr>
                <w:rFonts w:ascii="Cambria" w:hAnsi="Cambria"/>
                <w:color w:val="000000"/>
                <w:lang w:val="pt-PT"/>
              </w:rPr>
            </w:pPr>
            <w:r w:rsidRPr="00C7012F">
              <w:rPr>
                <w:rFonts w:ascii="Cambria" w:hAnsi="Cambria"/>
                <w:color w:val="000000"/>
                <w:lang w:val="pt-PT"/>
              </w:rPr>
              <w:t xml:space="preserve">(Todas las zonas de pesca) </w:t>
            </w:r>
          </w:p>
          <w:p w14:paraId="5C115A3D" w14:textId="77777777" w:rsidR="00281FD1" w:rsidRPr="00C7012F" w:rsidRDefault="00281FD1" w:rsidP="0040351F">
            <w:pPr>
              <w:jc w:val="both"/>
              <w:rPr>
                <w:rFonts w:ascii="Cambria" w:hAnsi="Cambria"/>
                <w:color w:val="000000"/>
                <w:lang w:val="pt-PT"/>
              </w:rPr>
            </w:pPr>
          </w:p>
        </w:tc>
      </w:tr>
    </w:tbl>
    <w:p w14:paraId="4D3E213E" w14:textId="77777777" w:rsidR="00281FD1" w:rsidRPr="00C7012F" w:rsidRDefault="00281FD1" w:rsidP="00C121BC">
      <w:pPr>
        <w:jc w:val="both"/>
        <w:rPr>
          <w:rFonts w:ascii="Cambria" w:hAnsi="Cambria"/>
          <w:bCs/>
          <w:lang w:val="pt-PT"/>
        </w:rPr>
      </w:pPr>
    </w:p>
    <w:p w14:paraId="336BB4A2" w14:textId="77777777" w:rsidR="00BE1E41" w:rsidRPr="00946249" w:rsidRDefault="00BE1E41" w:rsidP="00BE1E41">
      <w:pPr>
        <w:widowControl/>
        <w:autoSpaceDE/>
        <w:autoSpaceDN/>
        <w:adjustRightInd/>
        <w:jc w:val="both"/>
        <w:rPr>
          <w:rFonts w:ascii="Cambria" w:hAnsi="Cambria"/>
        </w:rPr>
      </w:pPr>
      <w:r w:rsidRPr="00946249">
        <w:rPr>
          <w:rFonts w:ascii="Cambria" w:hAnsi="Cambria"/>
        </w:rPr>
        <w:t>Además, algunas CPC que no faenan al sur de 20º S o en el Mediterráneo han indicado en sus Informes anuales que existe un NPOA para las aves marinas.</w:t>
      </w:r>
    </w:p>
    <w:p w14:paraId="70979C03" w14:textId="77777777" w:rsidR="00281FD1" w:rsidRPr="00946249" w:rsidRDefault="00281FD1" w:rsidP="00C121BC">
      <w:pPr>
        <w:jc w:val="both"/>
        <w:rPr>
          <w:rFonts w:ascii="Cambria" w:hAnsi="Cambria"/>
        </w:rPr>
      </w:pPr>
    </w:p>
    <w:p w14:paraId="41A1B147" w14:textId="77777777" w:rsidR="00281FD1" w:rsidRPr="00946249" w:rsidRDefault="00281FD1" w:rsidP="00C121BC">
      <w:pPr>
        <w:jc w:val="both"/>
        <w:rPr>
          <w:rFonts w:ascii="Cambria" w:hAnsi="Cambria"/>
          <w:bCs/>
        </w:rPr>
      </w:pPr>
    </w:p>
    <w:p w14:paraId="6C2DB175" w14:textId="77777777" w:rsidR="00281FD1" w:rsidRPr="00946249" w:rsidRDefault="00281FD1" w:rsidP="00C121BC">
      <w:pPr>
        <w:jc w:val="both"/>
        <w:rPr>
          <w:rFonts w:ascii="Cambria" w:hAnsi="Cambria"/>
          <w:bCs/>
        </w:rPr>
      </w:pPr>
    </w:p>
    <w:p w14:paraId="7503212F" w14:textId="77777777" w:rsidR="00281FD1" w:rsidRPr="00946249" w:rsidRDefault="00281FD1" w:rsidP="00C121BC">
      <w:pPr>
        <w:jc w:val="both"/>
        <w:rPr>
          <w:rFonts w:ascii="Cambria" w:hAnsi="Cambria"/>
          <w:bCs/>
        </w:rPr>
      </w:pPr>
    </w:p>
    <w:p w14:paraId="36F8E9E8" w14:textId="77777777" w:rsidR="00281FD1" w:rsidRPr="00946249" w:rsidRDefault="00281FD1" w:rsidP="00C121BC">
      <w:pPr>
        <w:jc w:val="both"/>
        <w:rPr>
          <w:rFonts w:ascii="Cambria" w:hAnsi="Cambria"/>
          <w:bCs/>
        </w:rPr>
      </w:pPr>
    </w:p>
    <w:p w14:paraId="7C62FFB5" w14:textId="77777777" w:rsidR="00281FD1" w:rsidRPr="00946249" w:rsidRDefault="00281FD1" w:rsidP="00C121BC">
      <w:pPr>
        <w:jc w:val="both"/>
        <w:rPr>
          <w:rFonts w:ascii="Cambria" w:hAnsi="Cambria"/>
          <w:bCs/>
        </w:rPr>
      </w:pPr>
    </w:p>
    <w:p w14:paraId="005CE53F" w14:textId="77777777" w:rsidR="005C1EE7" w:rsidRPr="00946249" w:rsidRDefault="005C1EE7">
      <w:pPr>
        <w:widowControl/>
        <w:autoSpaceDE/>
        <w:autoSpaceDN/>
        <w:adjustRightInd/>
        <w:rPr>
          <w:rFonts w:ascii="Cambria" w:hAnsi="Cambria"/>
          <w:bCs/>
        </w:rPr>
        <w:sectPr w:rsidR="005C1EE7" w:rsidRPr="00946249" w:rsidSect="00336BA9">
          <w:endnotePr>
            <w:numFmt w:val="decimal"/>
          </w:endnotePr>
          <w:pgSz w:w="16832" w:h="11911" w:orient="landscape" w:code="9"/>
          <w:pgMar w:top="1418" w:right="1418" w:bottom="1418" w:left="1418" w:header="851" w:footer="1134" w:gutter="0"/>
          <w:cols w:space="720"/>
          <w:noEndnote/>
          <w:docGrid w:linePitch="360"/>
        </w:sectPr>
      </w:pPr>
    </w:p>
    <w:bookmarkEnd w:id="21"/>
    <w:p w14:paraId="649A12FF" w14:textId="7E919ECC" w:rsidR="00E01A0F" w:rsidRPr="00946249" w:rsidRDefault="00E01A0F" w:rsidP="005C1EE7">
      <w:pPr>
        <w:tabs>
          <w:tab w:val="left" w:pos="1276"/>
          <w:tab w:val="left" w:leader="dot" w:pos="8222"/>
          <w:tab w:val="right" w:pos="8647"/>
        </w:tabs>
        <w:jc w:val="both"/>
        <w:rPr>
          <w:rFonts w:ascii="Cambria" w:hAnsi="Cambria"/>
          <w:i/>
          <w:iCs/>
        </w:rPr>
      </w:pPr>
      <w:r w:rsidRPr="00946249">
        <w:rPr>
          <w:rFonts w:ascii="Cambria" w:hAnsi="Cambria"/>
          <w:i/>
        </w:rPr>
        <w:lastRenderedPageBreak/>
        <w:t>[11-10] Recomendación de ICCAT sobre recopilación de información y armonización de datos sobre captura fortuita y descartes en las pesquerías de ICCAT</w:t>
      </w:r>
    </w:p>
    <w:p w14:paraId="05D7BBE6" w14:textId="77777777" w:rsidR="0072170F" w:rsidRPr="00946249" w:rsidRDefault="0072170F" w:rsidP="005C1EE7">
      <w:pPr>
        <w:tabs>
          <w:tab w:val="left" w:pos="1276"/>
          <w:tab w:val="left" w:leader="dot" w:pos="8222"/>
          <w:tab w:val="right" w:pos="8647"/>
        </w:tabs>
        <w:ind w:firstLine="425"/>
        <w:jc w:val="both"/>
        <w:rPr>
          <w:rFonts w:ascii="Cambria" w:hAnsi="Cambria"/>
          <w:i/>
          <w:iCs/>
        </w:rPr>
      </w:pPr>
    </w:p>
    <w:p w14:paraId="40501250" w14:textId="29866536" w:rsidR="0072170F" w:rsidRPr="00946249" w:rsidRDefault="0072170F" w:rsidP="005C1EE7">
      <w:pPr>
        <w:tabs>
          <w:tab w:val="left" w:pos="1276"/>
          <w:tab w:val="left" w:leader="dot" w:pos="8222"/>
          <w:tab w:val="right" w:pos="8647"/>
        </w:tabs>
        <w:jc w:val="both"/>
        <w:rPr>
          <w:rFonts w:ascii="Cambria" w:hAnsi="Cambria"/>
        </w:rPr>
      </w:pPr>
      <w:r w:rsidRPr="00946249">
        <w:rPr>
          <w:rFonts w:ascii="Cambria" w:hAnsi="Cambria"/>
        </w:rPr>
        <w:t>Para obtener información relacionada con esta Recomendación, véase la Rec. 16-14 y el "Informe de la Secretaría de ICCAT sobre investigación y estadísticas de 2025" [PLE_105/2025].</w:t>
      </w:r>
    </w:p>
    <w:p w14:paraId="5ADB63E6" w14:textId="77777777" w:rsidR="00426C05" w:rsidRPr="00946249" w:rsidRDefault="00426C05" w:rsidP="005C1EE7">
      <w:pPr>
        <w:tabs>
          <w:tab w:val="left" w:pos="1276"/>
          <w:tab w:val="left" w:pos="1418"/>
          <w:tab w:val="left" w:leader="dot" w:pos="8222"/>
          <w:tab w:val="right" w:pos="8647"/>
        </w:tabs>
        <w:ind w:left="1276" w:hanging="851"/>
        <w:jc w:val="both"/>
        <w:rPr>
          <w:rFonts w:ascii="Cambria" w:hAnsi="Cambria"/>
        </w:rPr>
      </w:pPr>
    </w:p>
    <w:p w14:paraId="29EE0929" w14:textId="2125D32D" w:rsidR="00EB20C5" w:rsidRPr="00946249" w:rsidRDefault="00EB20C5" w:rsidP="00EB20C5">
      <w:pPr>
        <w:tabs>
          <w:tab w:val="left" w:pos="1276"/>
          <w:tab w:val="left" w:pos="1418"/>
          <w:tab w:val="left" w:leader="dot" w:pos="8222"/>
          <w:tab w:val="right" w:pos="8647"/>
        </w:tabs>
        <w:jc w:val="both"/>
        <w:rPr>
          <w:rFonts w:ascii="Cambria" w:hAnsi="Cambria"/>
        </w:rPr>
      </w:pPr>
      <w:r w:rsidRPr="00946249">
        <w:rPr>
          <w:rFonts w:ascii="Cambria" w:hAnsi="Cambria"/>
          <w:i/>
          <w:iCs/>
        </w:rPr>
        <w:t>[22-12] Recomendación de ICCAT sobre tortugas marinas capturadas de forma fortuita en asociación con las pesquerías de ICCAT (combina, simplifica y enmienda las Recomendaciones 10-09 y 13-11)</w:t>
      </w:r>
      <w:r w:rsidR="00182D70" w:rsidRPr="00946249">
        <w:rPr>
          <w:rFonts w:ascii="Cambria" w:hAnsi="Cambria"/>
        </w:rPr>
        <w:t>,</w:t>
      </w:r>
      <w:r w:rsidRPr="00946249">
        <w:rPr>
          <w:rFonts w:ascii="Cambria" w:hAnsi="Cambria"/>
        </w:rPr>
        <w:t xml:space="preserve"> enmendada por la </w:t>
      </w:r>
      <w:r w:rsidRPr="00946249">
        <w:rPr>
          <w:rFonts w:ascii="Cambria" w:hAnsi="Cambria"/>
          <w:i/>
          <w:iCs/>
        </w:rPr>
        <w:t>[23-13]</w:t>
      </w:r>
      <w:r w:rsidR="00182D70" w:rsidRPr="00946249">
        <w:rPr>
          <w:rFonts w:ascii="Cambria" w:hAnsi="Cambria"/>
        </w:rPr>
        <w:t xml:space="preserve"> </w:t>
      </w:r>
      <w:r w:rsidRPr="00946249">
        <w:rPr>
          <w:rFonts w:ascii="Cambria" w:hAnsi="Cambria"/>
          <w:i/>
          <w:iCs/>
        </w:rPr>
        <w:t>Recomendación suplementaria de ICCAT que enmienda la Recomendación 22-12 sobre captura fortuita de tortugas marinas capturadas en asociación con las pesquerías de ICCAT</w:t>
      </w:r>
    </w:p>
    <w:p w14:paraId="2BE220E5" w14:textId="77777777" w:rsidR="00EB20C5" w:rsidRPr="00946249" w:rsidRDefault="00EB20C5" w:rsidP="00EB20C5">
      <w:pPr>
        <w:tabs>
          <w:tab w:val="left" w:pos="1276"/>
          <w:tab w:val="left" w:leader="dot" w:pos="8222"/>
          <w:tab w:val="right" w:pos="8647"/>
        </w:tabs>
        <w:jc w:val="both"/>
        <w:rPr>
          <w:rFonts w:ascii="Cambria" w:hAnsi="Cambria"/>
          <w:bCs/>
          <w:i/>
          <w:iCs/>
        </w:rPr>
      </w:pPr>
      <w:bookmarkStart w:id="22" w:name="_Hlk86071566"/>
    </w:p>
    <w:bookmarkEnd w:id="22"/>
    <w:p w14:paraId="1D14B11C" w14:textId="77777777" w:rsidR="00EB20C5" w:rsidRPr="00946249" w:rsidRDefault="00EB20C5" w:rsidP="00EB20C5">
      <w:pPr>
        <w:tabs>
          <w:tab w:val="left" w:pos="1276"/>
          <w:tab w:val="left" w:leader="dot" w:pos="8222"/>
          <w:tab w:val="right" w:pos="8647"/>
        </w:tabs>
        <w:jc w:val="both"/>
        <w:rPr>
          <w:rFonts w:ascii="Cambria" w:hAnsi="Cambria"/>
          <w:bCs/>
        </w:rPr>
      </w:pPr>
      <w:r w:rsidRPr="00946249">
        <w:rPr>
          <w:rFonts w:ascii="Cambria" w:hAnsi="Cambria"/>
        </w:rPr>
        <w:t xml:space="preserve">En 2021, la Secretaría de ICCAT recomendó a las CPC que citaran su legislación en los informes anuales, dado que señaló que la aplicabilidad de los requisitos relacionados con la maximización de la supervivencia de las tortugas marinas no depende del alcance de las interacciones, es decir, debería ser implementado por todos aquellos con pesquerías de cerco y/o palangre. Algunas CPC, pero no todas, han seguido esta Recomendación. </w:t>
      </w:r>
      <w:bookmarkStart w:id="23" w:name="_Hlk147757496"/>
      <w:r w:rsidRPr="00946249">
        <w:rPr>
          <w:rFonts w:ascii="Cambria" w:hAnsi="Cambria"/>
        </w:rPr>
        <w:t xml:space="preserve">El extracto completo de las respuestas introducidas en el sistema integrado de gestión en línea (IOMS) de ICCAT para M: BYC01 está disponible como </w:t>
      </w:r>
      <w:r w:rsidRPr="00946249">
        <w:rPr>
          <w:rFonts w:ascii="Cambria" w:hAnsi="Cambria"/>
          <w:b/>
        </w:rPr>
        <w:t>Anexo 9.</w:t>
      </w:r>
    </w:p>
    <w:bookmarkEnd w:id="23"/>
    <w:p w14:paraId="1C3E79BC" w14:textId="77777777" w:rsidR="00DC5C13" w:rsidRPr="00946249" w:rsidRDefault="00DC5C13" w:rsidP="006D1DE6">
      <w:pPr>
        <w:tabs>
          <w:tab w:val="left" w:pos="1276"/>
          <w:tab w:val="left" w:pos="1418"/>
          <w:tab w:val="left" w:leader="dot" w:pos="8222"/>
          <w:tab w:val="right" w:pos="8647"/>
        </w:tabs>
        <w:jc w:val="both"/>
        <w:rPr>
          <w:rFonts w:ascii="Cambria" w:hAnsi="Cambria"/>
          <w:iCs/>
        </w:rPr>
      </w:pPr>
    </w:p>
    <w:p w14:paraId="29229501" w14:textId="43231A52" w:rsidR="00DC5C13" w:rsidRPr="00946249" w:rsidRDefault="00DC5C13" w:rsidP="005C1EE7">
      <w:pPr>
        <w:tabs>
          <w:tab w:val="left" w:pos="1276"/>
          <w:tab w:val="left" w:pos="1418"/>
          <w:tab w:val="left" w:leader="dot" w:pos="8222"/>
          <w:tab w:val="right" w:pos="8647"/>
        </w:tabs>
        <w:jc w:val="both"/>
        <w:rPr>
          <w:rFonts w:ascii="Cambria" w:hAnsi="Cambria"/>
          <w:i/>
        </w:rPr>
      </w:pPr>
      <w:r w:rsidRPr="00946249">
        <w:rPr>
          <w:rFonts w:ascii="Cambria" w:hAnsi="Cambria"/>
        </w:rPr>
        <w:t>([</w:t>
      </w:r>
      <w:r w:rsidRPr="00946249">
        <w:rPr>
          <w:rFonts w:ascii="Cambria" w:hAnsi="Cambria"/>
          <w:i/>
        </w:rPr>
        <w:t xml:space="preserve">24-12] Recomendación de ICCAT que reemplaza la Recomendación 23-14 sobre rayas </w:t>
      </w:r>
      <w:proofErr w:type="spellStart"/>
      <w:r w:rsidRPr="00946249">
        <w:rPr>
          <w:rFonts w:ascii="Cambria" w:hAnsi="Cambria"/>
          <w:i/>
        </w:rPr>
        <w:t>mobúlidas</w:t>
      </w:r>
      <w:proofErr w:type="spellEnd"/>
      <w:r w:rsidRPr="00946249">
        <w:rPr>
          <w:rFonts w:ascii="Cambria" w:hAnsi="Cambria"/>
          <w:i/>
        </w:rPr>
        <w:t xml:space="preserve"> (familia </w:t>
      </w:r>
      <w:proofErr w:type="spellStart"/>
      <w:r w:rsidRPr="00946249">
        <w:rPr>
          <w:rFonts w:ascii="Cambria" w:hAnsi="Cambria"/>
          <w:i/>
        </w:rPr>
        <w:t>Mobulidae</w:t>
      </w:r>
      <w:proofErr w:type="spellEnd"/>
      <w:r w:rsidRPr="00946249">
        <w:rPr>
          <w:rFonts w:ascii="Cambria" w:hAnsi="Cambria"/>
          <w:i/>
        </w:rPr>
        <w:t>) capturadas en asociación con las pesquerías de ICCAT</w:t>
      </w:r>
    </w:p>
    <w:p w14:paraId="3E326EEB" w14:textId="77777777" w:rsidR="00DC5C13" w:rsidRPr="00946249" w:rsidRDefault="00DC5C13" w:rsidP="005C1EE7">
      <w:pPr>
        <w:tabs>
          <w:tab w:val="left" w:pos="1276"/>
          <w:tab w:val="left" w:pos="1418"/>
          <w:tab w:val="left" w:leader="dot" w:pos="8222"/>
          <w:tab w:val="right" w:pos="8647"/>
        </w:tabs>
        <w:jc w:val="both"/>
        <w:rPr>
          <w:rFonts w:ascii="Cambria" w:hAnsi="Cambria"/>
          <w:i/>
        </w:rPr>
      </w:pPr>
    </w:p>
    <w:p w14:paraId="7587CF83" w14:textId="78329749" w:rsidR="00DC5C13" w:rsidRPr="00946249" w:rsidRDefault="004C55EE" w:rsidP="005C1EE7">
      <w:pPr>
        <w:tabs>
          <w:tab w:val="left" w:pos="1276"/>
          <w:tab w:val="left" w:pos="1418"/>
          <w:tab w:val="left" w:leader="dot" w:pos="8222"/>
          <w:tab w:val="right" w:pos="8647"/>
        </w:tabs>
        <w:jc w:val="both"/>
        <w:rPr>
          <w:rFonts w:ascii="Cambria" w:hAnsi="Cambria"/>
          <w:iCs/>
        </w:rPr>
      </w:pPr>
      <w:r w:rsidRPr="00946249">
        <w:rPr>
          <w:rFonts w:ascii="Cambria" w:hAnsi="Cambria"/>
        </w:rPr>
        <w:t xml:space="preserve">La captura fortuita incidental de rayas </w:t>
      </w:r>
      <w:proofErr w:type="spellStart"/>
      <w:r w:rsidRPr="00946249">
        <w:rPr>
          <w:rFonts w:ascii="Cambria" w:hAnsi="Cambria"/>
        </w:rPr>
        <w:t>mobúlidas</w:t>
      </w:r>
      <w:proofErr w:type="spellEnd"/>
      <w:r w:rsidRPr="00946249">
        <w:rPr>
          <w:rFonts w:ascii="Cambria" w:hAnsi="Cambria"/>
        </w:rPr>
        <w:t xml:space="preserve"> (familia </w:t>
      </w:r>
      <w:proofErr w:type="spellStart"/>
      <w:r w:rsidRPr="00946249">
        <w:rPr>
          <w:rFonts w:ascii="Cambria" w:hAnsi="Cambria"/>
        </w:rPr>
        <w:t>Mobulidae</w:t>
      </w:r>
      <w:proofErr w:type="spellEnd"/>
      <w:r w:rsidRPr="00946249">
        <w:rPr>
          <w:rFonts w:ascii="Cambria" w:hAnsi="Cambria"/>
        </w:rPr>
        <w:t>), si la</w:t>
      </w:r>
      <w:r w:rsidR="00923613" w:rsidRPr="00946249">
        <w:rPr>
          <w:rFonts w:ascii="Cambria" w:hAnsi="Cambria"/>
        </w:rPr>
        <w:t xml:space="preserve"> </w:t>
      </w:r>
      <w:r w:rsidRPr="00946249">
        <w:rPr>
          <w:rFonts w:ascii="Cambria" w:hAnsi="Cambria"/>
        </w:rPr>
        <w:t>hubiera, se incluirá en futuras versiones del Informe de la Secretaría de ICCAT sobre investigación y estadísticas.</w:t>
      </w:r>
      <w:r w:rsidR="00923613" w:rsidRPr="00946249">
        <w:rPr>
          <w:rFonts w:ascii="Cambria" w:hAnsi="Cambria"/>
        </w:rPr>
        <w:t>)</w:t>
      </w:r>
    </w:p>
    <w:p w14:paraId="56BED7A5" w14:textId="6526CEE3" w:rsidR="00B05931" w:rsidRPr="00946249" w:rsidRDefault="00B05931" w:rsidP="00820485">
      <w:pPr>
        <w:tabs>
          <w:tab w:val="left" w:pos="1276"/>
          <w:tab w:val="left" w:pos="1418"/>
          <w:tab w:val="left" w:leader="dot" w:pos="8222"/>
          <w:tab w:val="right" w:pos="8647"/>
        </w:tabs>
        <w:jc w:val="both"/>
        <w:rPr>
          <w:rFonts w:ascii="Cambria" w:hAnsi="Cambria"/>
        </w:rPr>
      </w:pPr>
    </w:p>
    <w:p w14:paraId="22603614" w14:textId="77777777" w:rsidR="00B150F5" w:rsidRPr="00946249" w:rsidRDefault="00B150F5" w:rsidP="00820485">
      <w:pPr>
        <w:jc w:val="both"/>
        <w:rPr>
          <w:rFonts w:ascii="Cambria" w:hAnsi="Cambria"/>
          <w:b/>
        </w:rPr>
      </w:pPr>
    </w:p>
    <w:p w14:paraId="6CF1245F" w14:textId="0720AE22" w:rsidR="00F225F3" w:rsidRPr="00946249" w:rsidRDefault="00366E9B" w:rsidP="00820485">
      <w:pPr>
        <w:pStyle w:val="Default"/>
        <w:rPr>
          <w:rFonts w:ascii="Cambria" w:hAnsi="Cambria"/>
          <w:b/>
          <w:sz w:val="20"/>
          <w:szCs w:val="20"/>
        </w:rPr>
      </w:pPr>
      <w:r w:rsidRPr="00946249">
        <w:rPr>
          <w:rFonts w:ascii="Cambria" w:hAnsi="Cambria"/>
          <w:b/>
          <w:sz w:val="20"/>
          <w:szCs w:val="20"/>
        </w:rPr>
        <w:t>SEGUIMIENTO Y CUMPLIMIENTO</w:t>
      </w:r>
    </w:p>
    <w:p w14:paraId="7A0D4193" w14:textId="77777777" w:rsidR="00F225F3" w:rsidRPr="00946249" w:rsidRDefault="00F225F3" w:rsidP="00820485">
      <w:pPr>
        <w:tabs>
          <w:tab w:val="left" w:pos="1276"/>
          <w:tab w:val="left" w:pos="1418"/>
          <w:tab w:val="left" w:leader="dot" w:pos="8222"/>
          <w:tab w:val="right" w:pos="8647"/>
        </w:tabs>
        <w:rPr>
          <w:rFonts w:ascii="Cambria" w:hAnsi="Cambria"/>
          <w:b/>
          <w:bCs/>
        </w:rPr>
      </w:pPr>
    </w:p>
    <w:p w14:paraId="6999A859" w14:textId="77777777" w:rsidR="00F225F3" w:rsidRPr="00946249" w:rsidRDefault="00F225F3" w:rsidP="00820485">
      <w:pPr>
        <w:pStyle w:val="Heading7"/>
        <w:ind w:firstLine="0"/>
        <w:rPr>
          <w:rFonts w:ascii="Cambria" w:hAnsi="Cambria"/>
        </w:rPr>
      </w:pPr>
      <w:r w:rsidRPr="00946249">
        <w:rPr>
          <w:rFonts w:ascii="Cambria" w:hAnsi="Cambria"/>
        </w:rPr>
        <w:t xml:space="preserve">GEN </w:t>
      </w:r>
      <w:proofErr w:type="gramStart"/>
      <w:r w:rsidRPr="00946249">
        <w:rPr>
          <w:rFonts w:ascii="Cambria" w:hAnsi="Cambria"/>
        </w:rPr>
        <w:t>-  TEMAS</w:t>
      </w:r>
      <w:proofErr w:type="gramEnd"/>
      <w:r w:rsidRPr="00946249">
        <w:rPr>
          <w:rFonts w:ascii="Cambria" w:hAnsi="Cambria"/>
        </w:rPr>
        <w:t xml:space="preserve"> GENERALES</w:t>
      </w:r>
    </w:p>
    <w:p w14:paraId="5C6F1557" w14:textId="77777777" w:rsidR="004A03A2" w:rsidRPr="00946249" w:rsidRDefault="004A03A2" w:rsidP="00820485">
      <w:pPr>
        <w:tabs>
          <w:tab w:val="left" w:pos="1276"/>
          <w:tab w:val="left" w:pos="1418"/>
          <w:tab w:val="left" w:leader="dot" w:pos="8222"/>
          <w:tab w:val="right" w:pos="8647"/>
        </w:tabs>
        <w:rPr>
          <w:rFonts w:ascii="Cambria" w:hAnsi="Cambria"/>
        </w:rPr>
      </w:pPr>
    </w:p>
    <w:p w14:paraId="2C9295C1" w14:textId="7D667DA2" w:rsidR="004470EF" w:rsidRPr="00946249" w:rsidRDefault="00F225F3" w:rsidP="00820485">
      <w:pPr>
        <w:tabs>
          <w:tab w:val="left" w:pos="851"/>
          <w:tab w:val="left" w:pos="1276"/>
          <w:tab w:val="left" w:pos="1418"/>
          <w:tab w:val="left" w:leader="dot" w:pos="8222"/>
          <w:tab w:val="right" w:pos="8647"/>
        </w:tabs>
        <w:jc w:val="both"/>
        <w:rPr>
          <w:rFonts w:ascii="Cambria" w:hAnsi="Cambria"/>
          <w:i/>
        </w:rPr>
      </w:pPr>
      <w:r w:rsidRPr="00946249">
        <w:rPr>
          <w:rFonts w:ascii="Cambria" w:hAnsi="Cambria"/>
          <w:i/>
        </w:rPr>
        <w:t>[96-14] Recomendación de ICCAT sobre el cumplimiento en las pesquerías de atún rojo y pesquerías de pez espada del Atlántico norte</w:t>
      </w:r>
    </w:p>
    <w:p w14:paraId="0E87DD37" w14:textId="77777777" w:rsidR="004470EF" w:rsidRPr="00946249" w:rsidRDefault="004470EF" w:rsidP="00820485">
      <w:pPr>
        <w:tabs>
          <w:tab w:val="left" w:pos="1276"/>
          <w:tab w:val="left" w:pos="1418"/>
          <w:tab w:val="left" w:leader="dot" w:pos="8222"/>
          <w:tab w:val="right" w:pos="8647"/>
        </w:tabs>
        <w:jc w:val="both"/>
        <w:rPr>
          <w:rFonts w:ascii="Cambria" w:hAnsi="Cambria"/>
          <w:u w:val="single"/>
        </w:rPr>
      </w:pPr>
    </w:p>
    <w:p w14:paraId="33C50147" w14:textId="4709E322" w:rsidR="0064289F" w:rsidRPr="00946249" w:rsidRDefault="004470EF" w:rsidP="0064289F">
      <w:pPr>
        <w:tabs>
          <w:tab w:val="left" w:pos="1276"/>
          <w:tab w:val="left" w:pos="1418"/>
          <w:tab w:val="left" w:leader="dot" w:pos="8222"/>
          <w:tab w:val="right" w:pos="8647"/>
        </w:tabs>
        <w:jc w:val="both"/>
        <w:rPr>
          <w:rFonts w:ascii="Cambria" w:hAnsi="Cambria"/>
        </w:rPr>
      </w:pPr>
      <w:r w:rsidRPr="00946249">
        <w:rPr>
          <w:rFonts w:ascii="Cambria" w:hAnsi="Cambria"/>
        </w:rPr>
        <w:t>La información sobre el cumplimiento de las regulaciones sobre talla mínima se comunica en las "Tablas de cumplimiento de 2024 recibidas en 2025" [COC_304/2025].</w:t>
      </w:r>
    </w:p>
    <w:p w14:paraId="1A499906" w14:textId="27CEC641" w:rsidR="005F4C25" w:rsidRPr="00946249" w:rsidRDefault="005F4C25" w:rsidP="00820485">
      <w:pPr>
        <w:tabs>
          <w:tab w:val="left" w:pos="1276"/>
          <w:tab w:val="left" w:pos="1418"/>
          <w:tab w:val="left" w:leader="dot" w:pos="8222"/>
          <w:tab w:val="right" w:pos="8647"/>
        </w:tabs>
        <w:jc w:val="both"/>
        <w:rPr>
          <w:rFonts w:ascii="Cambria" w:hAnsi="Cambria"/>
        </w:rPr>
      </w:pPr>
    </w:p>
    <w:p w14:paraId="699EA401" w14:textId="09023CA3" w:rsidR="00842AE5" w:rsidRPr="00946249" w:rsidRDefault="00F225F3" w:rsidP="00820485">
      <w:pPr>
        <w:tabs>
          <w:tab w:val="left" w:pos="1276"/>
          <w:tab w:val="left" w:pos="1418"/>
          <w:tab w:val="left" w:leader="dot" w:pos="8222"/>
          <w:tab w:val="right" w:pos="8647"/>
        </w:tabs>
        <w:jc w:val="both"/>
        <w:rPr>
          <w:rFonts w:ascii="Cambria" w:hAnsi="Cambria"/>
        </w:rPr>
      </w:pPr>
      <w:r w:rsidRPr="00946249">
        <w:rPr>
          <w:rFonts w:ascii="Cambria" w:hAnsi="Cambria"/>
          <w:i/>
        </w:rPr>
        <w:t>[96-15] Resolución de ICCAT sobre la pesca a gran escala con redes pelágicas de enmalle a la deriva</w:t>
      </w:r>
    </w:p>
    <w:p w14:paraId="0606A9EF" w14:textId="77777777" w:rsidR="00C16329" w:rsidRPr="00946249" w:rsidRDefault="00C16329" w:rsidP="00820485">
      <w:pPr>
        <w:tabs>
          <w:tab w:val="left" w:pos="1276"/>
          <w:tab w:val="left" w:pos="1418"/>
          <w:tab w:val="left" w:leader="dot" w:pos="8222"/>
          <w:tab w:val="right" w:pos="8647"/>
        </w:tabs>
        <w:ind w:firstLine="426"/>
        <w:rPr>
          <w:rFonts w:ascii="Cambria" w:hAnsi="Cambria"/>
        </w:rPr>
      </w:pPr>
    </w:p>
    <w:p w14:paraId="48B1FB0F" w14:textId="64288AB4" w:rsidR="004A03A2" w:rsidRPr="00946249" w:rsidRDefault="001E51D4" w:rsidP="00820485">
      <w:pPr>
        <w:tabs>
          <w:tab w:val="left" w:pos="1276"/>
          <w:tab w:val="left" w:pos="1418"/>
          <w:tab w:val="left" w:leader="dot" w:pos="8222"/>
          <w:tab w:val="right" w:pos="8647"/>
        </w:tabs>
        <w:rPr>
          <w:rFonts w:ascii="Cambria" w:hAnsi="Cambria"/>
        </w:rPr>
      </w:pPr>
      <w:r w:rsidRPr="00946249">
        <w:rPr>
          <w:rFonts w:ascii="Cambria" w:hAnsi="Cambria"/>
        </w:rPr>
        <w:t xml:space="preserve">Véase la Rec. 08-09 para más información. </w:t>
      </w:r>
    </w:p>
    <w:p w14:paraId="6EF941FE" w14:textId="77777777" w:rsidR="004A03A2" w:rsidRPr="00946249" w:rsidRDefault="004A03A2" w:rsidP="00820485">
      <w:pPr>
        <w:tabs>
          <w:tab w:val="left" w:pos="1276"/>
          <w:tab w:val="left" w:pos="1418"/>
          <w:tab w:val="left" w:leader="dot" w:pos="8222"/>
          <w:tab w:val="right" w:pos="8647"/>
        </w:tabs>
        <w:ind w:firstLine="426"/>
        <w:rPr>
          <w:rFonts w:ascii="Cambria" w:hAnsi="Cambria"/>
        </w:rPr>
      </w:pPr>
    </w:p>
    <w:p w14:paraId="6B659B6A" w14:textId="35DCF3E2" w:rsidR="00F225F3" w:rsidRPr="00946249" w:rsidRDefault="00F225F3" w:rsidP="00820485">
      <w:pPr>
        <w:tabs>
          <w:tab w:val="left" w:pos="1276"/>
          <w:tab w:val="left" w:pos="1418"/>
          <w:tab w:val="left" w:leader="dot" w:pos="8222"/>
          <w:tab w:val="right" w:pos="8647"/>
        </w:tabs>
        <w:rPr>
          <w:rFonts w:ascii="Cambria" w:hAnsi="Cambria"/>
          <w:i/>
        </w:rPr>
      </w:pPr>
      <w:r w:rsidRPr="00946249">
        <w:rPr>
          <w:rFonts w:ascii="Cambria" w:hAnsi="Cambria"/>
          <w:i/>
        </w:rPr>
        <w:t>[97-01] Recomendación de ICCAT para incrementar el cumplimiento de regulaciones de talla mínima</w:t>
      </w:r>
    </w:p>
    <w:p w14:paraId="34083250" w14:textId="77777777" w:rsidR="00C16329" w:rsidRPr="00946249" w:rsidRDefault="00C16329" w:rsidP="00820485">
      <w:pPr>
        <w:tabs>
          <w:tab w:val="left" w:pos="709"/>
          <w:tab w:val="left" w:pos="1276"/>
          <w:tab w:val="left" w:pos="1418"/>
          <w:tab w:val="left" w:leader="dot" w:pos="8222"/>
          <w:tab w:val="right" w:pos="8647"/>
        </w:tabs>
        <w:ind w:firstLine="426"/>
        <w:rPr>
          <w:rFonts w:ascii="Cambria" w:hAnsi="Cambria"/>
        </w:rPr>
      </w:pPr>
    </w:p>
    <w:p w14:paraId="220950F1" w14:textId="58FC178E" w:rsidR="0064289F" w:rsidRPr="00946249" w:rsidRDefault="00C16329" w:rsidP="0064289F">
      <w:pPr>
        <w:tabs>
          <w:tab w:val="left" w:pos="1276"/>
          <w:tab w:val="left" w:pos="1418"/>
          <w:tab w:val="left" w:leader="dot" w:pos="8222"/>
          <w:tab w:val="right" w:pos="8647"/>
        </w:tabs>
        <w:jc w:val="both"/>
        <w:rPr>
          <w:rFonts w:ascii="Cambria" w:hAnsi="Cambria"/>
        </w:rPr>
      </w:pPr>
      <w:r w:rsidRPr="00946249">
        <w:rPr>
          <w:rFonts w:ascii="Cambria" w:hAnsi="Cambria"/>
        </w:rPr>
        <w:t>La información sobre el cumplimiento de las regulaciones sobre talla mínima se comunica en las "Tablas de cumplimiento de 2024 recibidas en 2025" [COC_304/2025].</w:t>
      </w:r>
    </w:p>
    <w:p w14:paraId="5A730105" w14:textId="77777777" w:rsidR="0064289F" w:rsidRPr="00946249" w:rsidRDefault="0064289F" w:rsidP="0064289F">
      <w:pPr>
        <w:tabs>
          <w:tab w:val="left" w:pos="1276"/>
          <w:tab w:val="left" w:pos="1418"/>
          <w:tab w:val="left" w:leader="dot" w:pos="8222"/>
          <w:tab w:val="right" w:pos="8647"/>
        </w:tabs>
        <w:jc w:val="both"/>
        <w:rPr>
          <w:rFonts w:ascii="Cambria" w:hAnsi="Cambria"/>
        </w:rPr>
      </w:pPr>
    </w:p>
    <w:p w14:paraId="4AD74FAB" w14:textId="7885078E" w:rsidR="00F225F3" w:rsidRPr="00946249" w:rsidRDefault="00F225F3" w:rsidP="00820485">
      <w:pPr>
        <w:tabs>
          <w:tab w:val="left" w:pos="1276"/>
          <w:tab w:val="left" w:pos="1418"/>
          <w:tab w:val="left" w:leader="dot" w:pos="8222"/>
          <w:tab w:val="right" w:pos="8647"/>
        </w:tabs>
        <w:rPr>
          <w:rFonts w:ascii="Cambria" w:hAnsi="Cambria"/>
          <w:i/>
        </w:rPr>
      </w:pPr>
      <w:r w:rsidRPr="00946249">
        <w:rPr>
          <w:rFonts w:ascii="Cambria" w:hAnsi="Cambria"/>
          <w:i/>
        </w:rPr>
        <w:t>[97-08] Recomendación de ICCAT respecto a cumplimiento en la pesquería de pez espada del Atlántico sur</w:t>
      </w:r>
    </w:p>
    <w:p w14:paraId="41182970" w14:textId="77777777" w:rsidR="004A03A2" w:rsidRPr="00946249" w:rsidRDefault="004A03A2" w:rsidP="00820485">
      <w:pPr>
        <w:tabs>
          <w:tab w:val="left" w:pos="1276"/>
          <w:tab w:val="left" w:pos="1418"/>
          <w:tab w:val="left" w:leader="dot" w:pos="8222"/>
          <w:tab w:val="right" w:pos="8647"/>
        </w:tabs>
        <w:ind w:firstLine="426"/>
        <w:rPr>
          <w:rFonts w:ascii="Cambria" w:hAnsi="Cambria"/>
        </w:rPr>
      </w:pPr>
    </w:p>
    <w:p w14:paraId="56FA911E" w14:textId="05178822" w:rsidR="004A03A2" w:rsidRPr="00946249" w:rsidRDefault="004A03A2" w:rsidP="00820485">
      <w:pPr>
        <w:tabs>
          <w:tab w:val="left" w:pos="1276"/>
          <w:tab w:val="left" w:pos="1418"/>
          <w:tab w:val="left" w:leader="dot" w:pos="8222"/>
          <w:tab w:val="right" w:pos="8647"/>
        </w:tabs>
        <w:rPr>
          <w:rFonts w:ascii="Cambria" w:hAnsi="Cambria"/>
        </w:rPr>
      </w:pPr>
      <w:r w:rsidRPr="00946249">
        <w:rPr>
          <w:rFonts w:ascii="Cambria" w:hAnsi="Cambria"/>
        </w:rPr>
        <w:t>La Secretaría de ICCAT no tiene nada que comunicar en este momento.</w:t>
      </w:r>
    </w:p>
    <w:p w14:paraId="7E53BBBC" w14:textId="77777777" w:rsidR="005F4C25" w:rsidRPr="00946249" w:rsidRDefault="005F4C25" w:rsidP="00820485">
      <w:pPr>
        <w:tabs>
          <w:tab w:val="left" w:pos="1276"/>
          <w:tab w:val="left" w:pos="1418"/>
          <w:tab w:val="left" w:leader="dot" w:pos="8222"/>
          <w:tab w:val="right" w:pos="8647"/>
        </w:tabs>
        <w:rPr>
          <w:rFonts w:ascii="Cambria" w:hAnsi="Cambria"/>
          <w:i/>
        </w:rPr>
      </w:pPr>
    </w:p>
    <w:p w14:paraId="1C2FF426" w14:textId="227FC65A" w:rsidR="00F225F3" w:rsidRPr="00946249" w:rsidRDefault="00F225F3" w:rsidP="00820485">
      <w:pPr>
        <w:tabs>
          <w:tab w:val="left" w:pos="1276"/>
          <w:tab w:val="left" w:pos="1418"/>
          <w:tab w:val="left" w:leader="dot" w:pos="8222"/>
          <w:tab w:val="right" w:pos="8647"/>
        </w:tabs>
        <w:jc w:val="both"/>
        <w:rPr>
          <w:rFonts w:ascii="Cambria" w:hAnsi="Cambria"/>
          <w:i/>
        </w:rPr>
      </w:pPr>
      <w:r w:rsidRPr="00946249">
        <w:rPr>
          <w:rFonts w:ascii="Cambria" w:hAnsi="Cambria"/>
          <w:i/>
        </w:rPr>
        <w:t>[98-11] Recomendación de ICCAT respecto a la prohibición sobre desembarques y transbordos de barcos de Partes no contratantes que hayan cometido una grave infracción</w:t>
      </w:r>
    </w:p>
    <w:p w14:paraId="76B60515" w14:textId="77777777" w:rsidR="002728CE" w:rsidRPr="00946249" w:rsidRDefault="002728CE" w:rsidP="00820485">
      <w:pPr>
        <w:tabs>
          <w:tab w:val="left" w:pos="1276"/>
          <w:tab w:val="left" w:pos="1418"/>
          <w:tab w:val="left" w:leader="dot" w:pos="8222"/>
          <w:tab w:val="right" w:pos="8647"/>
        </w:tabs>
        <w:ind w:firstLine="426"/>
        <w:rPr>
          <w:rFonts w:ascii="Cambria" w:hAnsi="Cambria"/>
        </w:rPr>
      </w:pPr>
    </w:p>
    <w:p w14:paraId="3FEDE812" w14:textId="6E72DD7C" w:rsidR="002728CE" w:rsidRPr="00946249" w:rsidRDefault="002728CE" w:rsidP="00820485">
      <w:pPr>
        <w:tabs>
          <w:tab w:val="left" w:pos="284"/>
          <w:tab w:val="left" w:pos="1276"/>
          <w:tab w:val="left" w:pos="1418"/>
          <w:tab w:val="left" w:leader="dot" w:pos="8222"/>
          <w:tab w:val="right" w:pos="8647"/>
        </w:tabs>
        <w:rPr>
          <w:rFonts w:ascii="Cambria" w:hAnsi="Cambria"/>
        </w:rPr>
      </w:pPr>
      <w:r w:rsidRPr="00946249">
        <w:rPr>
          <w:rFonts w:ascii="Cambria" w:hAnsi="Cambria"/>
        </w:rPr>
        <w:t>La Secretaría de ICCAT no tiene nada que comunicar en este momento.</w:t>
      </w:r>
    </w:p>
    <w:p w14:paraId="505DD99A" w14:textId="77777777" w:rsidR="004916DC" w:rsidRPr="00946249" w:rsidRDefault="004916DC" w:rsidP="00820485">
      <w:pPr>
        <w:tabs>
          <w:tab w:val="left" w:pos="284"/>
          <w:tab w:val="left" w:pos="1276"/>
          <w:tab w:val="left" w:pos="1418"/>
          <w:tab w:val="left" w:leader="dot" w:pos="8222"/>
          <w:tab w:val="right" w:pos="8647"/>
        </w:tabs>
        <w:rPr>
          <w:rFonts w:ascii="Cambria" w:hAnsi="Cambria"/>
        </w:rPr>
      </w:pPr>
    </w:p>
    <w:p w14:paraId="2CA7DE65" w14:textId="5EA291C6" w:rsidR="00F225F3" w:rsidRPr="00946249" w:rsidRDefault="00F225F3" w:rsidP="00820485">
      <w:pPr>
        <w:tabs>
          <w:tab w:val="left" w:pos="709"/>
          <w:tab w:val="left" w:pos="1276"/>
          <w:tab w:val="left" w:pos="1418"/>
          <w:tab w:val="left" w:leader="dot" w:pos="8222"/>
          <w:tab w:val="right" w:pos="8647"/>
        </w:tabs>
        <w:jc w:val="both"/>
        <w:rPr>
          <w:rFonts w:ascii="Cambria" w:hAnsi="Cambria"/>
          <w:i/>
        </w:rPr>
      </w:pPr>
      <w:r w:rsidRPr="00946249">
        <w:rPr>
          <w:rFonts w:ascii="Cambria" w:hAnsi="Cambria"/>
          <w:i/>
        </w:rPr>
        <w:t>[00-14] Recomendación de ICCAT sobre cumplimiento en relación con las medidas de ordenación que definen las cuotas y/o límites de captura</w:t>
      </w:r>
    </w:p>
    <w:p w14:paraId="3F0B9199" w14:textId="77777777" w:rsidR="00DA6BCC" w:rsidRPr="00946249" w:rsidRDefault="00DA6BCC" w:rsidP="00820485">
      <w:pPr>
        <w:tabs>
          <w:tab w:val="left" w:pos="1276"/>
          <w:tab w:val="left" w:pos="1418"/>
          <w:tab w:val="left" w:leader="dot" w:pos="8222"/>
          <w:tab w:val="right" w:pos="8647"/>
        </w:tabs>
        <w:ind w:firstLine="426"/>
        <w:rPr>
          <w:rFonts w:ascii="Cambria" w:hAnsi="Cambria"/>
        </w:rPr>
      </w:pPr>
    </w:p>
    <w:p w14:paraId="3AD8E380" w14:textId="75248D78" w:rsidR="0064289F" w:rsidRPr="00946249" w:rsidRDefault="00DA6BCC" w:rsidP="0064289F">
      <w:pPr>
        <w:tabs>
          <w:tab w:val="left" w:pos="1276"/>
          <w:tab w:val="left" w:pos="1418"/>
          <w:tab w:val="left" w:leader="dot" w:pos="8222"/>
          <w:tab w:val="right" w:pos="8647"/>
        </w:tabs>
        <w:jc w:val="both"/>
        <w:rPr>
          <w:rFonts w:ascii="Cambria" w:hAnsi="Cambria"/>
        </w:rPr>
      </w:pPr>
      <w:r w:rsidRPr="00946249">
        <w:rPr>
          <w:rFonts w:ascii="Cambria" w:hAnsi="Cambria"/>
        </w:rPr>
        <w:t xml:space="preserve">Las CPC han implementado las disposiciones de la Rec. 00-14 y han comunicado mediante el formulario CP13 sus remanentes/excesos de captura para las especies sujetas a una ordenación de cuota/límite de captura. Esto se presenta en el documento "Tablas de cumplimiento de 2024 recibidas en 2025" </w:t>
      </w:r>
      <w:r w:rsidRPr="00946249">
        <w:rPr>
          <w:rFonts w:ascii="Cambria" w:hAnsi="Cambria"/>
        </w:rPr>
        <w:lastRenderedPageBreak/>
        <w:t>[COC_304/2025].</w:t>
      </w:r>
    </w:p>
    <w:p w14:paraId="237F9847" w14:textId="77777777" w:rsidR="00CA355F" w:rsidRPr="00946249" w:rsidRDefault="00CA355F" w:rsidP="0064289F">
      <w:pPr>
        <w:tabs>
          <w:tab w:val="left" w:pos="1276"/>
          <w:tab w:val="left" w:pos="1418"/>
          <w:tab w:val="left" w:leader="dot" w:pos="8222"/>
          <w:tab w:val="right" w:pos="8647"/>
        </w:tabs>
        <w:jc w:val="both"/>
        <w:rPr>
          <w:rFonts w:ascii="Cambria" w:hAnsi="Cambria"/>
        </w:rPr>
      </w:pPr>
    </w:p>
    <w:p w14:paraId="151ADA6F" w14:textId="47BCD121" w:rsidR="00F225F3" w:rsidRPr="00946249" w:rsidRDefault="00F225F3" w:rsidP="00820485">
      <w:pPr>
        <w:tabs>
          <w:tab w:val="left" w:pos="284"/>
          <w:tab w:val="left" w:pos="1276"/>
          <w:tab w:val="left" w:pos="1418"/>
          <w:tab w:val="left" w:leader="dot" w:pos="8222"/>
          <w:tab w:val="right" w:pos="8647"/>
        </w:tabs>
        <w:rPr>
          <w:rFonts w:ascii="Cambria" w:hAnsi="Cambria"/>
          <w:i/>
        </w:rPr>
      </w:pPr>
      <w:r w:rsidRPr="00946249">
        <w:rPr>
          <w:rFonts w:ascii="Cambria" w:hAnsi="Cambria"/>
          <w:i/>
        </w:rPr>
        <w:t>[01-12] Recomendación de ICCAT relativa al ajuste temporal de cuotas</w:t>
      </w:r>
    </w:p>
    <w:p w14:paraId="423A967C" w14:textId="77777777" w:rsidR="00590B72" w:rsidRPr="00946249" w:rsidRDefault="00590B72" w:rsidP="00820485">
      <w:pPr>
        <w:tabs>
          <w:tab w:val="left" w:pos="1276"/>
          <w:tab w:val="left" w:pos="1418"/>
          <w:tab w:val="left" w:leader="dot" w:pos="8222"/>
          <w:tab w:val="right" w:pos="8647"/>
        </w:tabs>
        <w:jc w:val="both"/>
        <w:rPr>
          <w:rFonts w:ascii="Cambria" w:hAnsi="Cambria"/>
        </w:rPr>
      </w:pPr>
    </w:p>
    <w:p w14:paraId="487C676A" w14:textId="01498DFE" w:rsidR="0064289F" w:rsidRPr="00946249" w:rsidRDefault="00590B72" w:rsidP="0064289F">
      <w:pPr>
        <w:tabs>
          <w:tab w:val="left" w:pos="1276"/>
          <w:tab w:val="left" w:pos="1418"/>
          <w:tab w:val="left" w:leader="dot" w:pos="8222"/>
          <w:tab w:val="right" w:pos="8647"/>
        </w:tabs>
        <w:jc w:val="both"/>
        <w:rPr>
          <w:rFonts w:ascii="Cambria" w:hAnsi="Cambria"/>
        </w:rPr>
      </w:pPr>
      <w:r w:rsidRPr="00946249">
        <w:rPr>
          <w:rFonts w:ascii="Cambria" w:hAnsi="Cambria"/>
        </w:rPr>
        <w:t>Los ajustes autorizados se recogen en diferentes Recomendaciones y se reflejan en las "Tablas de cumplimiento de 2024 recibidas en 2025" [COC_304/2025]</w:t>
      </w:r>
      <w:r w:rsidRPr="00946249">
        <w:rPr>
          <w:rFonts w:ascii="Cambria" w:hAnsi="Cambria"/>
          <w:b/>
          <w:bCs/>
        </w:rPr>
        <w:t>.</w:t>
      </w:r>
    </w:p>
    <w:p w14:paraId="679837FB" w14:textId="77777777" w:rsidR="0064289F" w:rsidRPr="00946249" w:rsidRDefault="0064289F" w:rsidP="0064289F">
      <w:pPr>
        <w:tabs>
          <w:tab w:val="left" w:pos="1276"/>
          <w:tab w:val="left" w:pos="1418"/>
          <w:tab w:val="left" w:leader="dot" w:pos="8222"/>
          <w:tab w:val="right" w:pos="8647"/>
        </w:tabs>
        <w:jc w:val="both"/>
        <w:rPr>
          <w:rFonts w:ascii="Cambria" w:hAnsi="Cambria"/>
        </w:rPr>
      </w:pPr>
    </w:p>
    <w:p w14:paraId="117BBA71" w14:textId="427773CF" w:rsidR="005F4C25" w:rsidRPr="00946249" w:rsidRDefault="00F225F3" w:rsidP="00BD44E6">
      <w:pPr>
        <w:tabs>
          <w:tab w:val="left" w:pos="709"/>
          <w:tab w:val="left" w:pos="1418"/>
          <w:tab w:val="left" w:leader="dot" w:pos="8222"/>
          <w:tab w:val="right" w:pos="8647"/>
        </w:tabs>
        <w:jc w:val="both"/>
        <w:rPr>
          <w:rFonts w:ascii="Cambria" w:hAnsi="Cambria"/>
          <w:i/>
        </w:rPr>
      </w:pPr>
      <w:r w:rsidRPr="00946249">
        <w:rPr>
          <w:rFonts w:ascii="Cambria" w:hAnsi="Cambria"/>
          <w:i/>
        </w:rPr>
        <w:t xml:space="preserve">[01-18] Resolución de ICCAT precisando acerca del alcance de la pesca IUU </w:t>
      </w:r>
    </w:p>
    <w:p w14:paraId="31DB4290" w14:textId="77777777" w:rsidR="005F4C25" w:rsidRPr="00946249" w:rsidRDefault="005F4C25" w:rsidP="00820485">
      <w:pPr>
        <w:tabs>
          <w:tab w:val="left" w:pos="709"/>
          <w:tab w:val="left" w:pos="1276"/>
          <w:tab w:val="left" w:pos="1418"/>
          <w:tab w:val="left" w:leader="dot" w:pos="8222"/>
          <w:tab w:val="right" w:pos="8647"/>
        </w:tabs>
        <w:rPr>
          <w:rFonts w:ascii="Cambria" w:hAnsi="Cambria"/>
          <w:i/>
        </w:rPr>
      </w:pPr>
    </w:p>
    <w:p w14:paraId="51B968FE" w14:textId="15A8CBD6" w:rsidR="005F4C25" w:rsidRPr="00946249" w:rsidRDefault="002942B7" w:rsidP="00F03878">
      <w:pPr>
        <w:tabs>
          <w:tab w:val="left" w:pos="709"/>
          <w:tab w:val="left" w:pos="1276"/>
          <w:tab w:val="left" w:pos="1418"/>
          <w:tab w:val="left" w:leader="dot" w:pos="8222"/>
          <w:tab w:val="right" w:pos="8647"/>
        </w:tabs>
        <w:jc w:val="both"/>
        <w:rPr>
          <w:rFonts w:ascii="Cambria" w:hAnsi="Cambria"/>
        </w:rPr>
      </w:pPr>
      <w:r w:rsidRPr="00946249">
        <w:rPr>
          <w:rFonts w:ascii="Cambria" w:hAnsi="Cambria"/>
        </w:rPr>
        <w:t>Véase el "Proyecto de lista de 2025 de buques supuestamente implicados en actividades de pesca IUU" [PWG_405/2025].</w:t>
      </w:r>
    </w:p>
    <w:p w14:paraId="140593BD" w14:textId="77777777" w:rsidR="00BD44E6" w:rsidRPr="00946249" w:rsidRDefault="00BD44E6" w:rsidP="00F03878">
      <w:pPr>
        <w:tabs>
          <w:tab w:val="left" w:pos="709"/>
          <w:tab w:val="left" w:pos="1276"/>
          <w:tab w:val="left" w:pos="1418"/>
          <w:tab w:val="left" w:leader="dot" w:pos="8222"/>
          <w:tab w:val="right" w:pos="8647"/>
        </w:tabs>
        <w:jc w:val="both"/>
        <w:rPr>
          <w:rFonts w:ascii="Cambria" w:hAnsi="Cambria"/>
          <w:i/>
        </w:rPr>
      </w:pPr>
    </w:p>
    <w:p w14:paraId="5747D969" w14:textId="3BE14390" w:rsidR="00F225F3" w:rsidRPr="00946249" w:rsidRDefault="00F225F3" w:rsidP="00820485">
      <w:pPr>
        <w:tabs>
          <w:tab w:val="left" w:pos="709"/>
          <w:tab w:val="left" w:pos="1276"/>
          <w:tab w:val="left" w:pos="1418"/>
          <w:tab w:val="left" w:leader="dot" w:pos="8222"/>
          <w:tab w:val="right" w:pos="8647"/>
        </w:tabs>
        <w:jc w:val="both"/>
        <w:rPr>
          <w:rFonts w:ascii="Cambria" w:hAnsi="Cambria"/>
          <w:i/>
        </w:rPr>
      </w:pPr>
      <w:r w:rsidRPr="00946249">
        <w:rPr>
          <w:rFonts w:ascii="Cambria" w:hAnsi="Cambria"/>
          <w:i/>
        </w:rPr>
        <w:t xml:space="preserve">[03-12] Recomendación de ICCAT respecto a los deberes de las Partes contratantes, y Partes, Entidades o Entidades pesqueras no contratantes colaboradoras en relación con sus barcos que pescan en la zona del Convenio ICCAT </w:t>
      </w:r>
    </w:p>
    <w:p w14:paraId="7A6C6330" w14:textId="77777777" w:rsidR="002728CE" w:rsidRPr="00946249" w:rsidRDefault="002728CE" w:rsidP="00820485">
      <w:pPr>
        <w:tabs>
          <w:tab w:val="left" w:pos="1276"/>
          <w:tab w:val="left" w:pos="1418"/>
          <w:tab w:val="left" w:leader="dot" w:pos="8222"/>
          <w:tab w:val="right" w:pos="8647"/>
        </w:tabs>
        <w:ind w:firstLine="426"/>
        <w:rPr>
          <w:rFonts w:ascii="Cambria" w:hAnsi="Cambria"/>
        </w:rPr>
      </w:pPr>
    </w:p>
    <w:p w14:paraId="2B2624AC" w14:textId="09AAC12E" w:rsidR="002728CE" w:rsidRPr="00946249" w:rsidRDefault="002728CE" w:rsidP="00820485">
      <w:pPr>
        <w:tabs>
          <w:tab w:val="left" w:pos="709"/>
          <w:tab w:val="left" w:pos="1276"/>
          <w:tab w:val="left" w:pos="1418"/>
          <w:tab w:val="left" w:leader="dot" w:pos="8222"/>
          <w:tab w:val="right" w:pos="8647"/>
        </w:tabs>
        <w:rPr>
          <w:rFonts w:ascii="Cambria" w:hAnsi="Cambria"/>
        </w:rPr>
      </w:pPr>
      <w:r w:rsidRPr="00946249">
        <w:rPr>
          <w:rFonts w:ascii="Cambria" w:hAnsi="Cambria"/>
        </w:rPr>
        <w:t>La Secretaría de ICCAT no tiene nada que comunicar en este momento.</w:t>
      </w:r>
    </w:p>
    <w:p w14:paraId="71599440" w14:textId="77777777" w:rsidR="00426C05" w:rsidRPr="00946249" w:rsidRDefault="00426C05" w:rsidP="00820485">
      <w:pPr>
        <w:tabs>
          <w:tab w:val="left" w:pos="1276"/>
          <w:tab w:val="left" w:pos="1418"/>
          <w:tab w:val="left" w:leader="dot" w:pos="8222"/>
          <w:tab w:val="right" w:pos="8647"/>
        </w:tabs>
        <w:ind w:firstLine="426"/>
        <w:rPr>
          <w:rFonts w:ascii="Cambria" w:hAnsi="Cambria"/>
        </w:rPr>
      </w:pPr>
    </w:p>
    <w:p w14:paraId="7804BCC6" w14:textId="4BE9CBF8" w:rsidR="005F4C25" w:rsidRPr="00946249" w:rsidRDefault="00F225F3" w:rsidP="00820485">
      <w:pPr>
        <w:tabs>
          <w:tab w:val="left" w:pos="1276"/>
          <w:tab w:val="left" w:pos="1418"/>
          <w:tab w:val="left" w:leader="dot" w:pos="8222"/>
          <w:tab w:val="right" w:pos="8647"/>
        </w:tabs>
        <w:jc w:val="both"/>
        <w:rPr>
          <w:rFonts w:ascii="Cambria" w:hAnsi="Cambria"/>
          <w:i/>
        </w:rPr>
      </w:pPr>
      <w:r w:rsidRPr="00946249">
        <w:rPr>
          <w:rFonts w:ascii="Cambria" w:hAnsi="Cambria"/>
          <w:i/>
        </w:rPr>
        <w:t>[03-13] Recomendación de ICCAT sobre el registro de capturas realizadas por barcos en la zona del Convenio ICCAT</w:t>
      </w:r>
    </w:p>
    <w:p w14:paraId="65F44B24" w14:textId="77777777" w:rsidR="002942B7" w:rsidRPr="00946249" w:rsidRDefault="002942B7" w:rsidP="00820485">
      <w:pPr>
        <w:tabs>
          <w:tab w:val="left" w:pos="709"/>
          <w:tab w:val="left" w:pos="1276"/>
          <w:tab w:val="left" w:pos="1418"/>
          <w:tab w:val="left" w:leader="dot" w:pos="8222"/>
          <w:tab w:val="right" w:pos="8647"/>
        </w:tabs>
        <w:rPr>
          <w:rFonts w:ascii="Cambria" w:hAnsi="Cambria"/>
        </w:rPr>
      </w:pPr>
    </w:p>
    <w:p w14:paraId="3ACFA13A" w14:textId="7F736E10" w:rsidR="001175C9" w:rsidRPr="00946249" w:rsidRDefault="001175C9" w:rsidP="00820485">
      <w:pPr>
        <w:tabs>
          <w:tab w:val="left" w:pos="709"/>
          <w:tab w:val="left" w:pos="1276"/>
          <w:tab w:val="left" w:pos="1418"/>
          <w:tab w:val="left" w:leader="dot" w:pos="8222"/>
          <w:tab w:val="right" w:pos="8647"/>
        </w:tabs>
        <w:rPr>
          <w:rFonts w:ascii="Cambria" w:hAnsi="Cambria"/>
        </w:rPr>
      </w:pPr>
      <w:r w:rsidRPr="00946249">
        <w:rPr>
          <w:rFonts w:ascii="Cambria" w:hAnsi="Cambria"/>
        </w:rPr>
        <w:t xml:space="preserve">La Secretaría de ICCAT no tiene nada que comunicar en este momento. </w:t>
      </w:r>
    </w:p>
    <w:p w14:paraId="55DD7C95" w14:textId="77777777" w:rsidR="001175C9" w:rsidRPr="00946249" w:rsidRDefault="001175C9" w:rsidP="00820485">
      <w:pPr>
        <w:tabs>
          <w:tab w:val="left" w:pos="1276"/>
          <w:tab w:val="left" w:pos="1418"/>
          <w:tab w:val="left" w:leader="dot" w:pos="8222"/>
          <w:tab w:val="right" w:pos="8647"/>
        </w:tabs>
        <w:jc w:val="both"/>
        <w:rPr>
          <w:rFonts w:ascii="Cambria" w:hAnsi="Cambria"/>
          <w:i/>
        </w:rPr>
      </w:pPr>
    </w:p>
    <w:p w14:paraId="10F112B4" w14:textId="6342CF12" w:rsidR="005F4C25" w:rsidRPr="00946249" w:rsidRDefault="00F225F3" w:rsidP="00820485">
      <w:pPr>
        <w:tabs>
          <w:tab w:val="left" w:pos="1276"/>
          <w:tab w:val="left" w:pos="1418"/>
          <w:tab w:val="left" w:leader="dot" w:pos="8222"/>
          <w:tab w:val="right" w:pos="8647"/>
        </w:tabs>
        <w:jc w:val="both"/>
        <w:rPr>
          <w:rFonts w:ascii="Cambria" w:hAnsi="Cambria"/>
          <w:i/>
        </w:rPr>
      </w:pPr>
      <w:r w:rsidRPr="00946249">
        <w:rPr>
          <w:rFonts w:ascii="Cambria" w:hAnsi="Cambria"/>
          <w:i/>
        </w:rPr>
        <w:t xml:space="preserve">[03-16] Recomendación de ICCAT para adoptar medidas adicionales contra la pesca ilegal, no declarada y no reglamentada (IUU) </w:t>
      </w:r>
    </w:p>
    <w:p w14:paraId="157C489C" w14:textId="0826DC0D" w:rsidR="005F4C25" w:rsidRPr="00946249" w:rsidRDefault="005F4C25" w:rsidP="00820485">
      <w:pPr>
        <w:tabs>
          <w:tab w:val="left" w:pos="1276"/>
          <w:tab w:val="left" w:pos="1418"/>
          <w:tab w:val="left" w:leader="dot" w:pos="8222"/>
          <w:tab w:val="right" w:pos="8647"/>
        </w:tabs>
        <w:jc w:val="both"/>
        <w:rPr>
          <w:rFonts w:ascii="Cambria" w:hAnsi="Cambria"/>
          <w:i/>
        </w:rPr>
      </w:pPr>
    </w:p>
    <w:p w14:paraId="57F674D1" w14:textId="162205E0" w:rsidR="001175C9" w:rsidRPr="00946249" w:rsidRDefault="001175C9" w:rsidP="00820485">
      <w:pPr>
        <w:tabs>
          <w:tab w:val="left" w:pos="709"/>
          <w:tab w:val="left" w:pos="1276"/>
          <w:tab w:val="left" w:pos="1418"/>
          <w:tab w:val="left" w:leader="dot" w:pos="8222"/>
          <w:tab w:val="right" w:pos="8647"/>
        </w:tabs>
        <w:rPr>
          <w:rFonts w:ascii="Cambria" w:hAnsi="Cambria"/>
        </w:rPr>
      </w:pPr>
      <w:r w:rsidRPr="00946249">
        <w:rPr>
          <w:rFonts w:ascii="Cambria" w:hAnsi="Cambria"/>
        </w:rPr>
        <w:t>La Secretaría de ICCAT no tiene nada que comunicar en este momento.</w:t>
      </w:r>
    </w:p>
    <w:p w14:paraId="29619DB0" w14:textId="77777777" w:rsidR="00B71DB5" w:rsidRPr="00946249" w:rsidRDefault="00B71DB5" w:rsidP="00820485">
      <w:pPr>
        <w:tabs>
          <w:tab w:val="left" w:pos="709"/>
          <w:tab w:val="left" w:pos="1276"/>
          <w:tab w:val="left" w:pos="1418"/>
          <w:tab w:val="left" w:leader="dot" w:pos="8222"/>
          <w:tab w:val="right" w:pos="8647"/>
        </w:tabs>
        <w:rPr>
          <w:rFonts w:ascii="Cambria" w:hAnsi="Cambria"/>
        </w:rPr>
      </w:pPr>
    </w:p>
    <w:p w14:paraId="53C8B84B" w14:textId="150EC78C" w:rsidR="00B71DB5" w:rsidRPr="00946249" w:rsidRDefault="00B71DB5" w:rsidP="00820485">
      <w:pPr>
        <w:tabs>
          <w:tab w:val="left" w:pos="1276"/>
          <w:tab w:val="left" w:pos="1418"/>
          <w:tab w:val="left" w:leader="dot" w:pos="8222"/>
          <w:tab w:val="right" w:pos="8647"/>
        </w:tabs>
        <w:jc w:val="both"/>
        <w:rPr>
          <w:rFonts w:ascii="Cambria" w:hAnsi="Cambria"/>
          <w:i/>
          <w:iCs/>
        </w:rPr>
      </w:pPr>
      <w:r w:rsidRPr="00946249">
        <w:rPr>
          <w:rFonts w:ascii="Cambria" w:hAnsi="Cambria"/>
          <w:i/>
          <w:iCs/>
        </w:rPr>
        <w:t>[04-12] Recomendación de ICCAT para adoptar medidas respecto a las actividades de pesca deportiva y de recreo en el Mediterráneo</w:t>
      </w:r>
    </w:p>
    <w:p w14:paraId="39F874A5" w14:textId="77777777" w:rsidR="00C651B8" w:rsidRPr="00946249" w:rsidRDefault="00C651B8" w:rsidP="00820485">
      <w:pPr>
        <w:tabs>
          <w:tab w:val="left" w:pos="1276"/>
          <w:tab w:val="left" w:pos="1418"/>
          <w:tab w:val="left" w:leader="dot" w:pos="8222"/>
          <w:tab w:val="right" w:pos="8647"/>
        </w:tabs>
        <w:jc w:val="both"/>
        <w:rPr>
          <w:rFonts w:ascii="Cambria" w:hAnsi="Cambria"/>
          <w:i/>
          <w:iCs/>
        </w:rPr>
      </w:pPr>
    </w:p>
    <w:p w14:paraId="60CFA007" w14:textId="346585A0" w:rsidR="00B71DB5" w:rsidRPr="00946249" w:rsidRDefault="00B71DB5" w:rsidP="00EF0947">
      <w:pPr>
        <w:tabs>
          <w:tab w:val="left" w:pos="1276"/>
          <w:tab w:val="left" w:pos="1418"/>
          <w:tab w:val="left" w:leader="dot" w:pos="8222"/>
          <w:tab w:val="right" w:pos="8647"/>
        </w:tabs>
        <w:jc w:val="both"/>
        <w:rPr>
          <w:rFonts w:ascii="Cambria" w:hAnsi="Cambria"/>
        </w:rPr>
      </w:pPr>
      <w:r w:rsidRPr="00946249">
        <w:rPr>
          <w:rFonts w:ascii="Cambria" w:hAnsi="Cambria"/>
        </w:rPr>
        <w:t xml:space="preserve">Las CPC adoptarán las medidas necesarias para que los datos de las capturas procedentes de la pesca deportiva y de recreo sean recopilados y transmitidos al SCRS. </w:t>
      </w:r>
    </w:p>
    <w:p w14:paraId="55D498CB" w14:textId="77777777" w:rsidR="001175C9" w:rsidRPr="00946249" w:rsidRDefault="001175C9" w:rsidP="00820485">
      <w:pPr>
        <w:tabs>
          <w:tab w:val="left" w:pos="1276"/>
          <w:tab w:val="left" w:pos="1418"/>
          <w:tab w:val="left" w:leader="dot" w:pos="8222"/>
          <w:tab w:val="right" w:pos="8647"/>
        </w:tabs>
        <w:jc w:val="both"/>
        <w:rPr>
          <w:rFonts w:ascii="Cambria" w:hAnsi="Cambria"/>
          <w:i/>
        </w:rPr>
      </w:pPr>
    </w:p>
    <w:p w14:paraId="4CDF9E4B" w14:textId="730A0FD0" w:rsidR="0082215A" w:rsidRPr="00946249" w:rsidRDefault="00BF05F4" w:rsidP="00820485">
      <w:pPr>
        <w:tabs>
          <w:tab w:val="left" w:pos="1276"/>
          <w:tab w:val="left" w:pos="1418"/>
          <w:tab w:val="left" w:leader="dot" w:pos="8222"/>
          <w:tab w:val="right" w:pos="8647"/>
        </w:tabs>
        <w:jc w:val="both"/>
        <w:rPr>
          <w:rFonts w:ascii="Cambria" w:hAnsi="Cambria"/>
          <w:i/>
        </w:rPr>
      </w:pPr>
      <w:r w:rsidRPr="00946249">
        <w:rPr>
          <w:rFonts w:ascii="Cambria" w:hAnsi="Cambria"/>
          <w:i/>
        </w:rPr>
        <w:t>[06-13] Recomendación de ICCAT sobre medidas comerciales</w:t>
      </w:r>
    </w:p>
    <w:p w14:paraId="39C880FB" w14:textId="77777777" w:rsidR="005A6C3F" w:rsidRPr="00946249" w:rsidRDefault="005A6C3F" w:rsidP="00820485">
      <w:pPr>
        <w:tabs>
          <w:tab w:val="left" w:pos="1276"/>
          <w:tab w:val="left" w:pos="1418"/>
          <w:tab w:val="left" w:leader="dot" w:pos="8222"/>
          <w:tab w:val="right" w:pos="8647"/>
        </w:tabs>
        <w:ind w:left="1276" w:hanging="851"/>
        <w:rPr>
          <w:rFonts w:ascii="Cambria" w:hAnsi="Cambria"/>
        </w:rPr>
      </w:pPr>
    </w:p>
    <w:p w14:paraId="5C08FFF0" w14:textId="07A09C6C" w:rsidR="00F96839" w:rsidRPr="00946249" w:rsidRDefault="004A4E59" w:rsidP="00820485">
      <w:pPr>
        <w:tabs>
          <w:tab w:val="left" w:pos="1276"/>
          <w:tab w:val="left" w:pos="1418"/>
          <w:tab w:val="left" w:leader="dot" w:pos="8222"/>
          <w:tab w:val="right" w:pos="8647"/>
        </w:tabs>
        <w:jc w:val="both"/>
        <w:rPr>
          <w:rFonts w:ascii="Cambria" w:hAnsi="Cambria"/>
          <w:color w:val="000000" w:themeColor="text1"/>
        </w:rPr>
      </w:pPr>
      <w:r w:rsidRPr="00946249">
        <w:rPr>
          <w:rFonts w:ascii="Cambria" w:hAnsi="Cambria"/>
        </w:rPr>
        <w:t xml:space="preserve">De conformidad con esta medida, China, Corea (Rep.), El Salvador, Japón, Reino Unido, San Vicente y Las Granadinas, </w:t>
      </w:r>
      <w:proofErr w:type="spellStart"/>
      <w:r w:rsidRPr="00946249">
        <w:rPr>
          <w:rFonts w:ascii="Cambria" w:hAnsi="Cambria"/>
        </w:rPr>
        <w:t>Taipei</w:t>
      </w:r>
      <w:proofErr w:type="spellEnd"/>
      <w:r w:rsidRPr="00946249">
        <w:rPr>
          <w:rFonts w:ascii="Cambria" w:hAnsi="Cambria"/>
        </w:rPr>
        <w:t xml:space="preserve"> </w:t>
      </w:r>
      <w:proofErr w:type="gramStart"/>
      <w:r w:rsidRPr="00946249">
        <w:rPr>
          <w:rFonts w:ascii="Cambria" w:hAnsi="Cambria"/>
        </w:rPr>
        <w:t>Chino</w:t>
      </w:r>
      <w:proofErr w:type="gramEnd"/>
      <w:r w:rsidRPr="00946249">
        <w:rPr>
          <w:rFonts w:ascii="Cambria" w:hAnsi="Cambria"/>
        </w:rPr>
        <w:t xml:space="preserve">, Trinidad y Tobago, </w:t>
      </w:r>
      <w:proofErr w:type="spellStart"/>
      <w:r w:rsidRPr="00946249">
        <w:rPr>
          <w:rFonts w:ascii="Cambria" w:hAnsi="Cambria"/>
        </w:rPr>
        <w:t>Türkiye</w:t>
      </w:r>
      <w:proofErr w:type="spellEnd"/>
      <w:r w:rsidRPr="00946249">
        <w:rPr>
          <w:rFonts w:ascii="Cambria" w:hAnsi="Cambria"/>
        </w:rPr>
        <w:t xml:space="preserve"> y la Unión Europea presentaron dentro del plazo los formularios cumplimentados con información sobre importaciones y desembarques. La información presentada por las CPC se incluye en el </w:t>
      </w:r>
      <w:r w:rsidRPr="00946249">
        <w:rPr>
          <w:rFonts w:ascii="Cambria" w:hAnsi="Cambria"/>
          <w:b/>
          <w:bCs/>
        </w:rPr>
        <w:t>Anexo 1</w:t>
      </w:r>
      <w:r w:rsidRPr="00946249">
        <w:rPr>
          <w:rFonts w:ascii="Cambria" w:hAnsi="Cambria"/>
        </w:rPr>
        <w:t>.</w:t>
      </w:r>
    </w:p>
    <w:p w14:paraId="604F8376" w14:textId="77777777" w:rsidR="00F96839" w:rsidRPr="00946249" w:rsidRDefault="00F96839" w:rsidP="00820485">
      <w:pPr>
        <w:tabs>
          <w:tab w:val="left" w:pos="1276"/>
          <w:tab w:val="left" w:pos="1418"/>
          <w:tab w:val="left" w:leader="dot" w:pos="8222"/>
          <w:tab w:val="right" w:pos="8647"/>
        </w:tabs>
        <w:ind w:left="1276" w:hanging="851"/>
        <w:rPr>
          <w:rFonts w:ascii="Cambria" w:hAnsi="Cambria"/>
        </w:rPr>
      </w:pPr>
    </w:p>
    <w:p w14:paraId="7CE1352E" w14:textId="640D831D" w:rsidR="00824C78" w:rsidRPr="00946249" w:rsidRDefault="00824C78" w:rsidP="00820485">
      <w:pPr>
        <w:ind w:right="3"/>
        <w:jc w:val="both"/>
        <w:rPr>
          <w:rFonts w:ascii="Cambria" w:hAnsi="Cambria"/>
          <w:iCs/>
        </w:rPr>
      </w:pPr>
      <w:r w:rsidRPr="00946249">
        <w:rPr>
          <w:rFonts w:ascii="Cambria" w:hAnsi="Cambria"/>
        </w:rPr>
        <w:t xml:space="preserve"> </w:t>
      </w:r>
      <w:r w:rsidRPr="00946249">
        <w:rPr>
          <w:rFonts w:ascii="Cambria" w:hAnsi="Cambria"/>
          <w:i/>
        </w:rPr>
        <w:t>[22-14] Recomendación de ICCAT que reemplaza la Rec. 06-14 para fomentar el cumplimiento de las medidas de conservación y ordenación de ICCAT por parte de los nacionales de Partes contratantes y Partes, Entidades o Entidades pesqueras no contratantes colaboradoras</w:t>
      </w:r>
    </w:p>
    <w:p w14:paraId="0DC206DA" w14:textId="77777777" w:rsidR="002728CE" w:rsidRPr="00946249" w:rsidRDefault="002728CE" w:rsidP="00820485">
      <w:pPr>
        <w:tabs>
          <w:tab w:val="left" w:pos="1276"/>
        </w:tabs>
        <w:ind w:left="432" w:right="432"/>
        <w:rPr>
          <w:rFonts w:ascii="Cambria" w:hAnsi="Cambria"/>
          <w:i/>
        </w:rPr>
      </w:pPr>
    </w:p>
    <w:p w14:paraId="678D8181" w14:textId="11308CBE" w:rsidR="002728CE" w:rsidRPr="00946249" w:rsidRDefault="002728CE" w:rsidP="00820485">
      <w:pPr>
        <w:tabs>
          <w:tab w:val="left" w:pos="1276"/>
          <w:tab w:val="left" w:pos="1418"/>
          <w:tab w:val="left" w:leader="dot" w:pos="8222"/>
          <w:tab w:val="right" w:pos="8647"/>
        </w:tabs>
        <w:rPr>
          <w:rFonts w:ascii="Cambria" w:hAnsi="Cambria"/>
        </w:rPr>
      </w:pPr>
      <w:r w:rsidRPr="00946249">
        <w:rPr>
          <w:rFonts w:ascii="Cambria" w:hAnsi="Cambria"/>
        </w:rPr>
        <w:t>La Secretaría de ICCAT no tiene nada que comunicar en este momento.</w:t>
      </w:r>
    </w:p>
    <w:p w14:paraId="3AAE276D" w14:textId="77777777" w:rsidR="006278F6" w:rsidRPr="00946249" w:rsidRDefault="006278F6" w:rsidP="00820485">
      <w:pPr>
        <w:tabs>
          <w:tab w:val="left" w:pos="1276"/>
        </w:tabs>
        <w:ind w:left="432" w:right="432"/>
        <w:rPr>
          <w:rFonts w:ascii="Cambria" w:hAnsi="Cambria"/>
          <w:i/>
        </w:rPr>
      </w:pPr>
    </w:p>
    <w:p w14:paraId="753BDA18" w14:textId="756BE6BE" w:rsidR="00824C78" w:rsidRPr="00946249" w:rsidRDefault="00824C78" w:rsidP="00820485">
      <w:pPr>
        <w:ind w:right="3"/>
        <w:jc w:val="both"/>
        <w:rPr>
          <w:rFonts w:ascii="Cambria" w:hAnsi="Cambria"/>
          <w:i/>
        </w:rPr>
      </w:pPr>
      <w:r w:rsidRPr="00946249">
        <w:rPr>
          <w:rFonts w:ascii="Cambria" w:hAnsi="Cambria"/>
          <w:i/>
        </w:rPr>
        <w:t>[21-16] Recomendación de ICCAT que enmienda la Recomendación 07-08 respecto al formato y protocolo de intercambio de datos en relación con el sistema de seguimiento de buques (VMS) para la pesca del atún rojo en la zona del Convenio ICCAT</w:t>
      </w:r>
    </w:p>
    <w:p w14:paraId="0830ACC0" w14:textId="77777777" w:rsidR="006278F6" w:rsidRPr="00946249" w:rsidRDefault="006278F6" w:rsidP="00820485">
      <w:pPr>
        <w:tabs>
          <w:tab w:val="left" w:pos="1276"/>
        </w:tabs>
        <w:ind w:left="1272" w:right="432" w:hanging="840"/>
        <w:jc w:val="both"/>
        <w:rPr>
          <w:rFonts w:ascii="Cambria" w:hAnsi="Cambria"/>
          <w:i/>
        </w:rPr>
      </w:pPr>
    </w:p>
    <w:p w14:paraId="4E600124" w14:textId="620DF18A" w:rsidR="002728CE" w:rsidRPr="00946249" w:rsidRDefault="002728CE" w:rsidP="00820485">
      <w:pPr>
        <w:tabs>
          <w:tab w:val="left" w:pos="1276"/>
          <w:tab w:val="left" w:pos="1418"/>
          <w:tab w:val="left" w:leader="dot" w:pos="8222"/>
          <w:tab w:val="right" w:pos="8647"/>
        </w:tabs>
        <w:jc w:val="both"/>
        <w:rPr>
          <w:rFonts w:ascii="Cambria" w:hAnsi="Cambria"/>
        </w:rPr>
      </w:pPr>
      <w:r w:rsidRPr="00946249">
        <w:rPr>
          <w:rFonts w:ascii="Cambria" w:hAnsi="Cambria"/>
        </w:rPr>
        <w:t>La Secretaría de ICCAT no tiene nada que comunicar en este momento.</w:t>
      </w:r>
    </w:p>
    <w:p w14:paraId="54188F2E" w14:textId="77777777" w:rsidR="002728CE" w:rsidRPr="00946249" w:rsidRDefault="002728CE" w:rsidP="00820485">
      <w:pPr>
        <w:tabs>
          <w:tab w:val="left" w:pos="1276"/>
        </w:tabs>
        <w:ind w:left="1272" w:right="432" w:hanging="840"/>
        <w:jc w:val="both"/>
        <w:rPr>
          <w:rFonts w:ascii="Cambria" w:hAnsi="Cambria"/>
          <w:i/>
        </w:rPr>
      </w:pPr>
    </w:p>
    <w:p w14:paraId="4D39AE07" w14:textId="478006DA" w:rsidR="00FB02A1" w:rsidRPr="00946249" w:rsidRDefault="00FB02A1" w:rsidP="00820485">
      <w:pPr>
        <w:ind w:right="3"/>
        <w:jc w:val="both"/>
        <w:rPr>
          <w:rFonts w:ascii="Cambria" w:hAnsi="Cambria"/>
          <w:bCs/>
          <w:i/>
        </w:rPr>
      </w:pPr>
      <w:r w:rsidRPr="00946249">
        <w:rPr>
          <w:rFonts w:ascii="Cambria" w:hAnsi="Cambria"/>
          <w:i/>
        </w:rPr>
        <w:t>[08-09] Recomendación de ICCAT para establecer un proceso para revisar y comunicar la información sobre cumplimiento</w:t>
      </w:r>
    </w:p>
    <w:p w14:paraId="38D625F9" w14:textId="77777777" w:rsidR="00AC10BA" w:rsidRPr="00946249" w:rsidRDefault="00AC10BA" w:rsidP="00820485">
      <w:pPr>
        <w:tabs>
          <w:tab w:val="left" w:pos="1276"/>
        </w:tabs>
        <w:ind w:left="1272" w:right="432" w:hanging="840"/>
        <w:jc w:val="both"/>
        <w:rPr>
          <w:rFonts w:ascii="Cambria" w:hAnsi="Cambria"/>
          <w:bCs/>
          <w:i/>
        </w:rPr>
      </w:pPr>
    </w:p>
    <w:p w14:paraId="0D96337F" w14:textId="270CC230" w:rsidR="005F4C25" w:rsidRPr="00946249" w:rsidRDefault="00EB756D" w:rsidP="00820485">
      <w:pPr>
        <w:tabs>
          <w:tab w:val="left" w:pos="1276"/>
          <w:tab w:val="left" w:pos="1418"/>
          <w:tab w:val="left" w:leader="dot" w:pos="8222"/>
          <w:tab w:val="right" w:pos="8647"/>
        </w:tabs>
        <w:jc w:val="both"/>
        <w:rPr>
          <w:rFonts w:ascii="Cambria" w:hAnsi="Cambria"/>
        </w:rPr>
      </w:pPr>
      <w:r w:rsidRPr="00946249">
        <w:rPr>
          <w:rFonts w:ascii="Cambria" w:hAnsi="Cambria"/>
        </w:rPr>
        <w:t>La información presentada por las CPC y las organizaciones no gubernamentales (ONG), junto con las respuestas recibidas hasta la fecha, figura en el documento COC_312/2025.</w:t>
      </w:r>
    </w:p>
    <w:p w14:paraId="5AD69D81" w14:textId="76654124" w:rsidR="00021E3E" w:rsidRPr="00946249" w:rsidRDefault="00021E3E" w:rsidP="00820485">
      <w:pPr>
        <w:tabs>
          <w:tab w:val="left" w:pos="1276"/>
          <w:tab w:val="left" w:pos="1418"/>
          <w:tab w:val="left" w:leader="dot" w:pos="8222"/>
          <w:tab w:val="right" w:pos="8647"/>
        </w:tabs>
        <w:rPr>
          <w:rFonts w:ascii="Cambria" w:hAnsi="Cambria"/>
          <w:i/>
          <w:iCs/>
        </w:rPr>
      </w:pPr>
    </w:p>
    <w:p w14:paraId="5B767378" w14:textId="1593AE8B" w:rsidR="00E01A0F" w:rsidRPr="00946249" w:rsidRDefault="00E01A0F" w:rsidP="00820485">
      <w:pPr>
        <w:tabs>
          <w:tab w:val="left" w:pos="1276"/>
          <w:tab w:val="left" w:pos="1418"/>
          <w:tab w:val="left" w:leader="dot" w:pos="8222"/>
          <w:tab w:val="right" w:pos="8647"/>
        </w:tabs>
        <w:jc w:val="both"/>
        <w:rPr>
          <w:rFonts w:ascii="Cambria" w:hAnsi="Cambria"/>
          <w:b/>
          <w:bCs/>
        </w:rPr>
      </w:pPr>
      <w:r w:rsidRPr="00946249">
        <w:rPr>
          <w:rFonts w:ascii="Cambria" w:hAnsi="Cambria"/>
          <w:i/>
        </w:rPr>
        <w:lastRenderedPageBreak/>
        <w:t>[11-11] Recomendación de ICCAT para aclarar la aplicación de las Recomendaciones de cumplimiento y para el desarrollo del Anexo de cumplimiento</w:t>
      </w:r>
    </w:p>
    <w:p w14:paraId="6A3897EF" w14:textId="77777777" w:rsidR="002728CE" w:rsidRPr="00946249" w:rsidRDefault="002728CE" w:rsidP="00820485">
      <w:pPr>
        <w:tabs>
          <w:tab w:val="left" w:pos="1276"/>
          <w:tab w:val="left" w:pos="1418"/>
          <w:tab w:val="left" w:leader="dot" w:pos="8222"/>
          <w:tab w:val="right" w:pos="8647"/>
        </w:tabs>
        <w:ind w:firstLine="425"/>
        <w:rPr>
          <w:rFonts w:ascii="Cambria" w:hAnsi="Cambria"/>
          <w:iCs/>
        </w:rPr>
      </w:pPr>
    </w:p>
    <w:p w14:paraId="40548995" w14:textId="38ABB964" w:rsidR="0064289F" w:rsidRPr="00946249" w:rsidRDefault="002728CE" w:rsidP="0064289F">
      <w:pPr>
        <w:tabs>
          <w:tab w:val="left" w:pos="1276"/>
          <w:tab w:val="left" w:pos="1418"/>
          <w:tab w:val="left" w:leader="dot" w:pos="8222"/>
          <w:tab w:val="right" w:pos="8647"/>
        </w:tabs>
        <w:jc w:val="both"/>
        <w:rPr>
          <w:rFonts w:ascii="Cambria" w:hAnsi="Cambria"/>
        </w:rPr>
      </w:pPr>
      <w:r w:rsidRPr="00946249">
        <w:rPr>
          <w:rFonts w:ascii="Cambria" w:hAnsi="Cambria"/>
        </w:rPr>
        <w:t>Esto se presenta en el documento "Tablas de cumplimiento de 202</w:t>
      </w:r>
      <w:r w:rsidR="00CA355F" w:rsidRPr="00946249">
        <w:rPr>
          <w:rFonts w:ascii="Cambria" w:hAnsi="Cambria"/>
        </w:rPr>
        <w:t>4</w:t>
      </w:r>
      <w:r w:rsidRPr="00946249">
        <w:rPr>
          <w:rFonts w:ascii="Cambria" w:hAnsi="Cambria"/>
        </w:rPr>
        <w:t xml:space="preserve"> recibidas en </w:t>
      </w:r>
      <w:r w:rsidR="00CA355F" w:rsidRPr="00946249">
        <w:rPr>
          <w:rFonts w:ascii="Cambria" w:hAnsi="Cambria"/>
        </w:rPr>
        <w:t>2025</w:t>
      </w:r>
      <w:r w:rsidRPr="00946249">
        <w:rPr>
          <w:rFonts w:ascii="Cambria" w:hAnsi="Cambria"/>
        </w:rPr>
        <w:t>" [COC_304/</w:t>
      </w:r>
      <w:r w:rsidR="00CA355F" w:rsidRPr="00946249">
        <w:rPr>
          <w:rFonts w:ascii="Cambria" w:hAnsi="Cambria"/>
        </w:rPr>
        <w:t>2025</w:t>
      </w:r>
      <w:r w:rsidRPr="00946249">
        <w:rPr>
          <w:rFonts w:ascii="Cambria" w:hAnsi="Cambria"/>
        </w:rPr>
        <w:t>].</w:t>
      </w:r>
    </w:p>
    <w:p w14:paraId="66B95B04" w14:textId="77777777" w:rsidR="00CA355F" w:rsidRPr="00946249" w:rsidRDefault="00CA355F" w:rsidP="0064289F">
      <w:pPr>
        <w:tabs>
          <w:tab w:val="left" w:pos="1276"/>
          <w:tab w:val="left" w:pos="1418"/>
          <w:tab w:val="left" w:leader="dot" w:pos="8222"/>
          <w:tab w:val="right" w:pos="8647"/>
        </w:tabs>
        <w:jc w:val="both"/>
        <w:rPr>
          <w:rFonts w:ascii="Cambria" w:hAnsi="Cambria"/>
        </w:rPr>
      </w:pPr>
    </w:p>
    <w:p w14:paraId="0119359B" w14:textId="5D9BB9B3" w:rsidR="00B61C58" w:rsidRPr="00946249" w:rsidRDefault="00B61C58" w:rsidP="00820485">
      <w:pPr>
        <w:tabs>
          <w:tab w:val="left" w:pos="1276"/>
          <w:tab w:val="left" w:pos="1418"/>
          <w:tab w:val="left" w:leader="dot" w:pos="9072"/>
        </w:tabs>
        <w:jc w:val="both"/>
        <w:rPr>
          <w:rFonts w:ascii="Cambria" w:hAnsi="Cambria"/>
          <w:i/>
          <w:iCs/>
        </w:rPr>
      </w:pPr>
      <w:r w:rsidRPr="00946249">
        <w:rPr>
          <w:rFonts w:ascii="Cambria" w:hAnsi="Cambria"/>
          <w:i/>
        </w:rPr>
        <w:t>[11-15] Recomendación de ICCAT sobre las penalizaciones aplicables en caso de incumplimiento de las obligaciones en materia de comunicación</w:t>
      </w:r>
    </w:p>
    <w:p w14:paraId="3F2A342E" w14:textId="77777777" w:rsidR="00AC10BA" w:rsidRPr="00946249" w:rsidRDefault="00AC10BA" w:rsidP="00820485">
      <w:pPr>
        <w:tabs>
          <w:tab w:val="left" w:pos="1276"/>
          <w:tab w:val="left" w:pos="1418"/>
          <w:tab w:val="left" w:leader="dot" w:pos="8222"/>
          <w:tab w:val="right" w:pos="8647"/>
        </w:tabs>
        <w:ind w:firstLine="425"/>
        <w:rPr>
          <w:rFonts w:ascii="Cambria" w:hAnsi="Cambria"/>
          <w:iCs/>
        </w:rPr>
      </w:pPr>
    </w:p>
    <w:p w14:paraId="7B813BA5" w14:textId="37288E48" w:rsidR="00E0125F" w:rsidRPr="00946249" w:rsidRDefault="00E0125F" w:rsidP="00820485">
      <w:pPr>
        <w:tabs>
          <w:tab w:val="left" w:pos="1276"/>
          <w:tab w:val="left" w:pos="1418"/>
          <w:tab w:val="left" w:leader="dot" w:pos="8222"/>
          <w:tab w:val="right" w:pos="8647"/>
        </w:tabs>
        <w:jc w:val="both"/>
        <w:rPr>
          <w:rFonts w:ascii="Cambria" w:hAnsi="Cambria"/>
          <w:iCs/>
        </w:rPr>
      </w:pPr>
      <w:r w:rsidRPr="00946249">
        <w:rPr>
          <w:rFonts w:ascii="Cambria" w:hAnsi="Cambria"/>
        </w:rPr>
        <w:t>Tras la reunión de la Comisión de 2024, se impuso una prohibición a Guinea-Bissau y Nigeria. La Secretaría de ICCAT se complace en informar de que desde entonces se ha levantado la prohibición a ambas CPC, ya que han presentado los datos que faltaban en 2025.</w:t>
      </w:r>
    </w:p>
    <w:p w14:paraId="27A5B1EE" w14:textId="77777777" w:rsidR="00066188" w:rsidRPr="00946249" w:rsidRDefault="00066188" w:rsidP="00820485">
      <w:pPr>
        <w:tabs>
          <w:tab w:val="left" w:pos="1276"/>
          <w:tab w:val="left" w:pos="1418"/>
          <w:tab w:val="left" w:leader="dot" w:pos="8222"/>
          <w:tab w:val="right" w:pos="8647"/>
        </w:tabs>
        <w:jc w:val="both"/>
        <w:rPr>
          <w:rFonts w:ascii="Cambria" w:hAnsi="Cambria"/>
          <w:iCs/>
        </w:rPr>
      </w:pPr>
    </w:p>
    <w:p w14:paraId="4EFE5087" w14:textId="2AF5CD26" w:rsidR="00881FCA" w:rsidRPr="00946249" w:rsidRDefault="0023206B" w:rsidP="0023206B">
      <w:pPr>
        <w:tabs>
          <w:tab w:val="left" w:pos="1276"/>
          <w:tab w:val="left" w:pos="1418"/>
          <w:tab w:val="left" w:leader="dot" w:pos="8222"/>
          <w:tab w:val="right" w:pos="8647"/>
        </w:tabs>
        <w:jc w:val="both"/>
        <w:rPr>
          <w:rFonts w:ascii="Cambria" w:hAnsi="Cambria"/>
          <w:iCs/>
          <w:u w:val="single"/>
        </w:rPr>
      </w:pPr>
      <w:r w:rsidRPr="00946249">
        <w:rPr>
          <w:rFonts w:ascii="Cambria" w:hAnsi="Cambria"/>
        </w:rPr>
        <w:t xml:space="preserve">A fecha de 17 de octubre de 2025, no se habían recibido estadísticas de Tarea 1 para 2024 de Cuba, Gabón, Guinea Ecuatorial, Guyana, Reino Unido (RU - Islas Vírgenes Británicas) o Sierra Leona, tal y como se muestra en el </w:t>
      </w:r>
      <w:r w:rsidRPr="00946249">
        <w:rPr>
          <w:rFonts w:ascii="Cambria" w:hAnsi="Cambria"/>
          <w:b/>
          <w:bCs/>
        </w:rPr>
        <w:t>Apéndice 3</w:t>
      </w:r>
      <w:r w:rsidRPr="00946249">
        <w:rPr>
          <w:rFonts w:ascii="Cambria" w:hAnsi="Cambria"/>
        </w:rPr>
        <w:t xml:space="preserve">. Además, faltan algunos datos o confirmación de capturas cero (celdas en blanco en el </w:t>
      </w:r>
      <w:r w:rsidRPr="00946249">
        <w:rPr>
          <w:rFonts w:ascii="Cambria" w:hAnsi="Cambria"/>
          <w:b/>
          <w:bCs/>
        </w:rPr>
        <w:t>Apéndice 3</w:t>
      </w:r>
      <w:r w:rsidRPr="00946249">
        <w:rPr>
          <w:rFonts w:ascii="Cambria" w:hAnsi="Cambria"/>
        </w:rPr>
        <w:t>) de Corea, Granada, Liberia, Rusia y la Unión Europea (UE-Países Bajos).</w:t>
      </w:r>
    </w:p>
    <w:p w14:paraId="05893BB7" w14:textId="79A39AE5" w:rsidR="002728CE" w:rsidRPr="00946249" w:rsidRDefault="002728CE" w:rsidP="00820485">
      <w:pPr>
        <w:tabs>
          <w:tab w:val="left" w:pos="1276"/>
          <w:tab w:val="left" w:pos="1418"/>
          <w:tab w:val="left" w:leader="dot" w:pos="8222"/>
          <w:tab w:val="right" w:pos="8647"/>
        </w:tabs>
        <w:ind w:firstLine="425"/>
        <w:jc w:val="both"/>
        <w:rPr>
          <w:rFonts w:ascii="Cambria" w:hAnsi="Cambria"/>
          <w:iCs/>
        </w:rPr>
      </w:pPr>
    </w:p>
    <w:p w14:paraId="147A4E7C" w14:textId="392F189B" w:rsidR="00D857ED" w:rsidRPr="00946249" w:rsidRDefault="00D857ED" w:rsidP="00820485">
      <w:pPr>
        <w:tabs>
          <w:tab w:val="left" w:pos="1276"/>
          <w:tab w:val="left" w:pos="1418"/>
          <w:tab w:val="left" w:leader="dot" w:pos="8222"/>
          <w:tab w:val="right" w:pos="8647"/>
        </w:tabs>
        <w:jc w:val="both"/>
        <w:rPr>
          <w:rFonts w:ascii="Cambria" w:hAnsi="Cambria"/>
          <w:iCs/>
        </w:rPr>
      </w:pPr>
      <w:r w:rsidRPr="00946249">
        <w:rPr>
          <w:rFonts w:ascii="Cambria" w:hAnsi="Cambria"/>
        </w:rPr>
        <w:t xml:space="preserve">El </w:t>
      </w:r>
      <w:r w:rsidRPr="00946249">
        <w:rPr>
          <w:rFonts w:ascii="Cambria" w:hAnsi="Cambria"/>
          <w:b/>
          <w:bCs/>
        </w:rPr>
        <w:t>Anexo 8</w:t>
      </w:r>
      <w:r w:rsidRPr="00946249">
        <w:rPr>
          <w:rFonts w:ascii="Cambria" w:hAnsi="Cambria"/>
        </w:rPr>
        <w:t xml:space="preserve"> incluye un histórico de prohibiciones aplicadas. </w:t>
      </w:r>
    </w:p>
    <w:p w14:paraId="42D9B407" w14:textId="77777777" w:rsidR="00274AD4" w:rsidRPr="00946249" w:rsidRDefault="00274AD4" w:rsidP="00820485">
      <w:pPr>
        <w:tabs>
          <w:tab w:val="left" w:pos="1276"/>
          <w:tab w:val="left" w:pos="1418"/>
          <w:tab w:val="left" w:leader="dot" w:pos="8222"/>
          <w:tab w:val="right" w:pos="8647"/>
        </w:tabs>
        <w:jc w:val="both"/>
        <w:rPr>
          <w:rFonts w:ascii="Cambria" w:hAnsi="Cambria"/>
          <w:iCs/>
        </w:rPr>
      </w:pPr>
    </w:p>
    <w:p w14:paraId="39C3800F" w14:textId="1A34274A" w:rsidR="007C7401" w:rsidRPr="00946249" w:rsidRDefault="007C7401" w:rsidP="007C7401">
      <w:pPr>
        <w:tabs>
          <w:tab w:val="left" w:pos="1276"/>
          <w:tab w:val="left" w:pos="1418"/>
          <w:tab w:val="left" w:leader="dot" w:pos="8222"/>
          <w:tab w:val="right" w:pos="8647"/>
        </w:tabs>
        <w:jc w:val="both"/>
        <w:rPr>
          <w:rFonts w:ascii="Cambria" w:hAnsi="Cambria"/>
          <w:iCs/>
        </w:rPr>
      </w:pPr>
      <w:r w:rsidRPr="00946249">
        <w:rPr>
          <w:rFonts w:ascii="Cambria" w:hAnsi="Cambria"/>
          <w:i/>
        </w:rPr>
        <w:t>[23-16] Recomendación de ICCAT que enmienda la Recomendación 21-13 para establecer una lista de buques supuestamente implicados en actividades de pesca ilegal, no declarada y no reglamentada</w:t>
      </w:r>
    </w:p>
    <w:p w14:paraId="57CE3107" w14:textId="77777777" w:rsidR="007C7401" w:rsidRPr="00946249" w:rsidRDefault="007C7401" w:rsidP="00820485">
      <w:pPr>
        <w:tabs>
          <w:tab w:val="left" w:pos="1276"/>
          <w:tab w:val="left" w:pos="1418"/>
          <w:tab w:val="left" w:leader="dot" w:pos="8222"/>
          <w:tab w:val="right" w:pos="8647"/>
        </w:tabs>
        <w:jc w:val="both"/>
        <w:rPr>
          <w:rFonts w:ascii="Cambria" w:hAnsi="Cambria"/>
          <w:iCs/>
        </w:rPr>
      </w:pPr>
    </w:p>
    <w:p w14:paraId="2D187AB6" w14:textId="4C947695" w:rsidR="00FF0BB8" w:rsidRPr="00946249" w:rsidRDefault="00FF0BB8" w:rsidP="00820485">
      <w:pPr>
        <w:tabs>
          <w:tab w:val="left" w:pos="1276"/>
          <w:tab w:val="left" w:pos="1418"/>
          <w:tab w:val="left" w:leader="dot" w:pos="8222"/>
          <w:tab w:val="right" w:pos="8647"/>
        </w:tabs>
        <w:jc w:val="both"/>
        <w:rPr>
          <w:rFonts w:ascii="Cambria" w:hAnsi="Cambria"/>
          <w:iCs/>
        </w:rPr>
      </w:pPr>
      <w:r w:rsidRPr="00946249">
        <w:rPr>
          <w:rFonts w:ascii="Cambria" w:hAnsi="Cambria"/>
        </w:rPr>
        <w:t xml:space="preserve">La información recopilada por la Secretaría de ICCAT desde la reunión de la Comisión de 2024 se presenta en el documento "Proyecto de lista de 2025 de buques supuestamente implicados en actividades de pesca IUU" [PWG_405/2025]. Cabría señalar que el actual sistema de cruces de listas plantea algunos desafíos serios para garantizar la precisión de la información, ya que no hay una presentación estándar para la información entre las OROP implicadas. </w:t>
      </w:r>
    </w:p>
    <w:p w14:paraId="1F286898" w14:textId="25C1C66D" w:rsidR="00FF0BB8" w:rsidRPr="00946249" w:rsidRDefault="00FF0BB8" w:rsidP="00820485">
      <w:pPr>
        <w:tabs>
          <w:tab w:val="left" w:pos="1276"/>
          <w:tab w:val="left" w:pos="1418"/>
          <w:tab w:val="left" w:leader="dot" w:pos="8222"/>
          <w:tab w:val="right" w:pos="8647"/>
        </w:tabs>
        <w:ind w:firstLine="425"/>
        <w:rPr>
          <w:rFonts w:ascii="Cambria" w:hAnsi="Cambria"/>
          <w:iCs/>
        </w:rPr>
      </w:pPr>
    </w:p>
    <w:p w14:paraId="32C996D1" w14:textId="0A3BD571" w:rsidR="007C7401" w:rsidRPr="00946249" w:rsidRDefault="007C7401" w:rsidP="007C7401">
      <w:pPr>
        <w:tabs>
          <w:tab w:val="left" w:pos="1276"/>
          <w:tab w:val="left" w:pos="1418"/>
          <w:tab w:val="left" w:leader="dot" w:pos="8222"/>
          <w:tab w:val="right" w:pos="8647"/>
        </w:tabs>
        <w:jc w:val="both"/>
        <w:rPr>
          <w:rFonts w:ascii="Cambria" w:hAnsi="Cambria"/>
          <w:iCs/>
        </w:rPr>
      </w:pPr>
      <w:r w:rsidRPr="00946249">
        <w:rPr>
          <w:rFonts w:ascii="Cambria" w:hAnsi="Cambria"/>
          <w:i/>
        </w:rPr>
        <w:t>[23-17] Recomendación de ICCAT que modifica la Recomendación 18-09 sobre medidas del Estado rector del puerto para prevenir, desalentar y eliminar la pesca ilegal, no declarada y no reglamentada</w:t>
      </w:r>
    </w:p>
    <w:p w14:paraId="6B276A26" w14:textId="77777777" w:rsidR="007C7401" w:rsidRPr="00946249" w:rsidRDefault="007C7401" w:rsidP="00820485">
      <w:pPr>
        <w:tabs>
          <w:tab w:val="left" w:pos="1276"/>
          <w:tab w:val="left" w:pos="1418"/>
          <w:tab w:val="left" w:leader="dot" w:pos="8222"/>
          <w:tab w:val="right" w:pos="8647"/>
        </w:tabs>
        <w:jc w:val="both"/>
        <w:rPr>
          <w:rFonts w:ascii="Cambria" w:hAnsi="Cambria"/>
          <w:i/>
          <w:iCs/>
        </w:rPr>
      </w:pPr>
    </w:p>
    <w:p w14:paraId="57AAB40A" w14:textId="0E16787E" w:rsidR="00882FCC" w:rsidRPr="00946249" w:rsidRDefault="00882FCC" w:rsidP="00820485">
      <w:pPr>
        <w:tabs>
          <w:tab w:val="left" w:pos="1276"/>
          <w:tab w:val="left" w:pos="1418"/>
          <w:tab w:val="left" w:leader="dot" w:pos="8222"/>
          <w:tab w:val="right" w:pos="8647"/>
        </w:tabs>
        <w:jc w:val="both"/>
        <w:rPr>
          <w:rFonts w:ascii="Cambria" w:hAnsi="Cambria"/>
          <w:iCs/>
        </w:rPr>
      </w:pPr>
      <w:r w:rsidRPr="00946249">
        <w:rPr>
          <w:rFonts w:ascii="Cambria" w:hAnsi="Cambria"/>
        </w:rPr>
        <w:t xml:space="preserve">La información sobre los puntos de contacto para AREP y los informes recibidos se han publicado en el </w:t>
      </w:r>
      <w:hyperlink r:id="rId28" w:history="1">
        <w:r w:rsidRPr="00946249">
          <w:rPr>
            <w:rStyle w:val="Hyperlink"/>
            <w:rFonts w:ascii="Cambria" w:hAnsi="Cambria"/>
            <w:u w:val="none"/>
          </w:rPr>
          <w:t>sitio web de ICCAT</w:t>
        </w:r>
      </w:hyperlink>
      <w:r w:rsidRPr="00946249">
        <w:rPr>
          <w:rFonts w:ascii="Cambria" w:hAnsi="Cambria"/>
        </w:rPr>
        <w:t>, en la parte protegida con contraseña, así como cualquier infracción comunicada y las acciones emprendidas al respecto. En algunos casos, no está claro en los informes si las infracciones han tenido lugar y si/cuando las infracciones están relacionadas con los requisitos de ICCAT:</w:t>
      </w:r>
    </w:p>
    <w:p w14:paraId="6AFA3638" w14:textId="77777777" w:rsidR="00274AD4" w:rsidRPr="00946249" w:rsidRDefault="00274AD4" w:rsidP="00EC5C41">
      <w:pPr>
        <w:tabs>
          <w:tab w:val="left" w:pos="1276"/>
          <w:tab w:val="left" w:pos="1418"/>
          <w:tab w:val="left" w:leader="dot" w:pos="8222"/>
          <w:tab w:val="right" w:pos="8647"/>
        </w:tabs>
        <w:jc w:val="both"/>
        <w:rPr>
          <w:rFonts w:ascii="Cambria" w:hAnsi="Cambria"/>
        </w:rPr>
      </w:pPr>
      <w:bookmarkStart w:id="24" w:name="_Hlk149727171"/>
    </w:p>
    <w:p w14:paraId="5AAE2B25" w14:textId="76814CDF" w:rsidR="00D8795E" w:rsidRPr="00946249" w:rsidRDefault="00123A81" w:rsidP="00EC5C41">
      <w:pPr>
        <w:tabs>
          <w:tab w:val="left" w:pos="1276"/>
          <w:tab w:val="left" w:pos="1418"/>
          <w:tab w:val="left" w:leader="dot" w:pos="8222"/>
          <w:tab w:val="right" w:pos="8647"/>
        </w:tabs>
        <w:jc w:val="both"/>
        <w:rPr>
          <w:rFonts w:ascii="Cambria" w:hAnsi="Cambria"/>
        </w:rPr>
      </w:pPr>
      <w:r w:rsidRPr="00946249">
        <w:rPr>
          <w:rFonts w:ascii="Cambria" w:hAnsi="Cambria"/>
        </w:rPr>
        <w:t>Desde noviembre de 2024 se han presentado a la Secretaría de ICCAT dos informes de inspección en puerto que contienen infracciones.</w:t>
      </w:r>
    </w:p>
    <w:bookmarkEnd w:id="24"/>
    <w:p w14:paraId="0E4D12C3" w14:textId="77777777" w:rsidR="00EC5C41" w:rsidRPr="00946249" w:rsidRDefault="00EC5C41" w:rsidP="00EC5C41">
      <w:pPr>
        <w:tabs>
          <w:tab w:val="left" w:pos="1276"/>
          <w:tab w:val="left" w:pos="1418"/>
          <w:tab w:val="left" w:leader="dot" w:pos="8222"/>
          <w:tab w:val="right" w:pos="8647"/>
        </w:tabs>
        <w:jc w:val="both"/>
        <w:rPr>
          <w:rFonts w:ascii="Cambria" w:hAnsi="Cambria"/>
        </w:rPr>
      </w:pPr>
    </w:p>
    <w:p w14:paraId="04A45F8E" w14:textId="1160D2BB" w:rsidR="00235B3C" w:rsidRPr="00946249" w:rsidRDefault="00235B3C"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La Rec. 23-17 establece que la presentación de informes de inspección en los que no se han hallado infracciones es voluntaria. En la </w:t>
      </w:r>
      <w:r w:rsidRPr="00946249">
        <w:rPr>
          <w:rFonts w:ascii="Cambria" w:hAnsi="Cambria"/>
          <w:b/>
          <w:bCs/>
        </w:rPr>
        <w:t>Tabla 3</w:t>
      </w:r>
      <w:r w:rsidRPr="00946249">
        <w:rPr>
          <w:rFonts w:ascii="Cambria" w:hAnsi="Cambria"/>
        </w:rPr>
        <w:t xml:space="preserve"> se presenta un resumen de los informes recibidos.</w:t>
      </w:r>
      <w:r w:rsidRPr="00946249">
        <w:rPr>
          <w:rFonts w:ascii="Cambria" w:hAnsi="Cambria"/>
          <w:b/>
        </w:rPr>
        <w:t xml:space="preserve">  </w:t>
      </w:r>
      <w:r w:rsidRPr="00946249">
        <w:rPr>
          <w:rFonts w:ascii="Cambria" w:hAnsi="Cambria"/>
        </w:rPr>
        <w:t xml:space="preserve">En muchos casos, los informes se reciben con retraso, y la Secretaría de ICCAT ha observado que no en todos los casos se han facilitado copias de los informes a los Estados del pabellón. </w:t>
      </w:r>
    </w:p>
    <w:p w14:paraId="7533A555" w14:textId="77777777" w:rsidR="00235B3C" w:rsidRPr="00946249" w:rsidRDefault="00235B3C" w:rsidP="00820485">
      <w:pPr>
        <w:jc w:val="both"/>
        <w:rPr>
          <w:rFonts w:ascii="Cambria" w:hAnsi="Cambria"/>
        </w:rPr>
      </w:pPr>
    </w:p>
    <w:p w14:paraId="507B9A07" w14:textId="53B735F1" w:rsidR="00882FCC" w:rsidRPr="00946249" w:rsidRDefault="00235B3C" w:rsidP="00820485">
      <w:pPr>
        <w:jc w:val="both"/>
        <w:rPr>
          <w:rFonts w:ascii="Cambria" w:hAnsi="Cambria"/>
        </w:rPr>
      </w:pPr>
      <w:r w:rsidRPr="00946249">
        <w:rPr>
          <w:rFonts w:ascii="Cambria" w:hAnsi="Cambria"/>
          <w:b/>
          <w:i/>
        </w:rPr>
        <w:t>Comunicación de puertos designados en el marco de la Rec. 23-17:</w:t>
      </w:r>
      <w:r w:rsidRPr="00946249">
        <w:rPr>
          <w:rFonts w:ascii="Cambria" w:hAnsi="Cambria"/>
          <w:b/>
        </w:rPr>
        <w:t xml:space="preserve"> </w:t>
      </w:r>
      <w:r w:rsidRPr="00946249">
        <w:rPr>
          <w:rFonts w:ascii="Cambria" w:hAnsi="Cambria"/>
        </w:rPr>
        <w:t xml:space="preserve">El Registro ICCAT de puertos en los que podrían entrar los buques extranjeros se ha publicado en el </w:t>
      </w:r>
      <w:hyperlink r:id="rId29" w:history="1">
        <w:r w:rsidRPr="00946249">
          <w:rPr>
            <w:rStyle w:val="Hyperlink"/>
            <w:rFonts w:ascii="Cambria" w:hAnsi="Cambria"/>
            <w:u w:val="none"/>
          </w:rPr>
          <w:t>sitio web de ICCAT</w:t>
        </w:r>
      </w:hyperlink>
      <w:r w:rsidR="009E23A8" w:rsidRPr="00946249">
        <w:fldChar w:fldCharType="begin"/>
      </w:r>
      <w:r w:rsidR="009E23A8" w:rsidRPr="00946249">
        <w:rPr>
          <w:rFonts w:ascii="Cambria" w:hAnsi="Cambria"/>
        </w:rPr>
        <w:instrText xml:space="preserve"> "http://www.iccat.int/en/Ports.asp" </w:instrText>
      </w:r>
      <w:r w:rsidR="009E23A8" w:rsidRPr="00946249">
        <w:fldChar w:fldCharType="separate"/>
      </w:r>
      <w:r w:rsidR="009E6DCD" w:rsidRPr="00946249">
        <w:rPr>
          <w:rStyle w:val="Hyperlink"/>
          <w:rFonts w:ascii="Cambria" w:hAnsi="Cambria"/>
          <w:u w:val="none"/>
        </w:rPr>
        <w:t>www.iccat.int/en/Ports.asp</w:t>
      </w:r>
      <w:r w:rsidR="009E23A8" w:rsidRPr="00946249">
        <w:rPr>
          <w:rStyle w:val="Hyperlink"/>
          <w:rFonts w:ascii="Cambria" w:hAnsi="Cambria"/>
          <w:u w:val="none"/>
        </w:rPr>
        <w:fldChar w:fldCharType="end"/>
      </w:r>
      <w:r w:rsidRPr="00946249">
        <w:rPr>
          <w:rFonts w:ascii="Cambria" w:hAnsi="Cambria"/>
        </w:rPr>
        <w:t xml:space="preserve">. </w:t>
      </w:r>
    </w:p>
    <w:p w14:paraId="30D0E14D" w14:textId="77777777" w:rsidR="00690EE8" w:rsidRPr="00946249" w:rsidRDefault="00690EE8" w:rsidP="00820485">
      <w:pPr>
        <w:jc w:val="both"/>
        <w:rPr>
          <w:rFonts w:ascii="Cambria" w:hAnsi="Cambria"/>
        </w:rPr>
      </w:pPr>
    </w:p>
    <w:p w14:paraId="62240F27" w14:textId="5C76F69C" w:rsidR="00962791" w:rsidRPr="00946249" w:rsidRDefault="00040DC9" w:rsidP="00820485">
      <w:pPr>
        <w:tabs>
          <w:tab w:val="left" w:pos="1276"/>
          <w:tab w:val="left" w:pos="1418"/>
          <w:tab w:val="left" w:leader="dot" w:pos="8222"/>
          <w:tab w:val="right" w:pos="8647"/>
        </w:tabs>
        <w:jc w:val="both"/>
        <w:rPr>
          <w:rFonts w:ascii="Cambria" w:hAnsi="Cambria"/>
          <w:i/>
        </w:rPr>
      </w:pPr>
      <w:r w:rsidRPr="00946249">
        <w:rPr>
          <w:rFonts w:ascii="Cambria" w:hAnsi="Cambria"/>
          <w:i/>
        </w:rPr>
        <w:t>[21-14] Recomendación de ICCAT que enmienda la Recomendación 13-13 sobre el establecimiento de un registro ICCAT de buques con una eslora total de 20 metros o superior con autorización para operar en la zona del Convenio</w:t>
      </w:r>
    </w:p>
    <w:p w14:paraId="21CE1A4E" w14:textId="77777777" w:rsidR="00472FC9" w:rsidRPr="00946249" w:rsidRDefault="00472FC9" w:rsidP="00820485">
      <w:pPr>
        <w:tabs>
          <w:tab w:val="left" w:pos="1276"/>
          <w:tab w:val="left" w:pos="1418"/>
          <w:tab w:val="left" w:leader="dot" w:pos="8222"/>
          <w:tab w:val="right" w:pos="8647"/>
        </w:tabs>
        <w:jc w:val="both"/>
        <w:rPr>
          <w:rFonts w:ascii="Cambria" w:hAnsi="Cambria"/>
        </w:rPr>
      </w:pPr>
    </w:p>
    <w:p w14:paraId="2CE649ED" w14:textId="23556464" w:rsidR="00F66261" w:rsidRPr="00946249" w:rsidRDefault="00F66261" w:rsidP="00820485">
      <w:pPr>
        <w:jc w:val="both"/>
        <w:rPr>
          <w:rFonts w:ascii="Cambria" w:hAnsi="Cambria"/>
        </w:rPr>
      </w:pPr>
      <w:r w:rsidRPr="00946249">
        <w:rPr>
          <w:rFonts w:ascii="Cambria" w:hAnsi="Cambria"/>
        </w:rPr>
        <w:t>Tras consultar con el presidente del Comité de Cumplimiento de las Medidas de Conservación y Ordenación, la Secretaría desactivó un buque con pabellón de Cabo Verde y otro con pabellón de Argelia, ambos de 20</w:t>
      </w:r>
      <w:r w:rsidR="007C1334" w:rsidRPr="00946249">
        <w:rPr>
          <w:rFonts w:ascii="Cambria" w:hAnsi="Cambria"/>
        </w:rPr>
        <w:t> </w:t>
      </w:r>
      <w:r w:rsidRPr="00946249">
        <w:rPr>
          <w:rFonts w:ascii="Cambria" w:hAnsi="Cambria"/>
        </w:rPr>
        <w:t>m o más, cuyos números OMI no figuraban, excluidos los buques exentos (por ejemplo, los buques de madera o no comerciales).</w:t>
      </w:r>
    </w:p>
    <w:p w14:paraId="1A9476A1" w14:textId="77777777" w:rsidR="00690EE8" w:rsidRPr="00946249" w:rsidRDefault="00690EE8" w:rsidP="00820485">
      <w:pPr>
        <w:tabs>
          <w:tab w:val="left" w:pos="1276"/>
          <w:tab w:val="left" w:pos="1418"/>
          <w:tab w:val="left" w:leader="dot" w:pos="8222"/>
          <w:tab w:val="right" w:pos="8647"/>
        </w:tabs>
        <w:jc w:val="both"/>
        <w:rPr>
          <w:rFonts w:ascii="Cambria" w:hAnsi="Cambria"/>
        </w:rPr>
      </w:pPr>
    </w:p>
    <w:p w14:paraId="4C97AB72" w14:textId="3F9CA731" w:rsidR="00AA7E5B" w:rsidRPr="00946249" w:rsidRDefault="00690EE8"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Se han recibido de Belice actualizaciones de los informes sobre acciones internas presentados en el formulario CP10 u otro formato. Estas se incluyen en el </w:t>
      </w:r>
      <w:r w:rsidRPr="00946249">
        <w:rPr>
          <w:rFonts w:ascii="Cambria" w:hAnsi="Cambria"/>
          <w:b/>
          <w:bCs/>
        </w:rPr>
        <w:t>Anexo 2</w:t>
      </w:r>
      <w:r w:rsidRPr="00946249">
        <w:rPr>
          <w:rFonts w:ascii="Cambria" w:hAnsi="Cambria"/>
        </w:rPr>
        <w:t>.</w:t>
      </w:r>
      <w:r w:rsidRPr="00946249">
        <w:rPr>
          <w:rFonts w:ascii="Cambria" w:hAnsi="Cambria"/>
          <w:b/>
        </w:rPr>
        <w:t xml:space="preserve"> </w:t>
      </w:r>
    </w:p>
    <w:p w14:paraId="25E96DC7" w14:textId="77777777" w:rsidR="00E70A7D" w:rsidRPr="00946249" w:rsidRDefault="00E70A7D" w:rsidP="00820485">
      <w:pPr>
        <w:tabs>
          <w:tab w:val="left" w:pos="1276"/>
          <w:tab w:val="left" w:pos="1418"/>
          <w:tab w:val="left" w:leader="dot" w:pos="8222"/>
          <w:tab w:val="right" w:pos="8647"/>
        </w:tabs>
        <w:rPr>
          <w:rFonts w:ascii="Cambria" w:hAnsi="Cambria"/>
          <w:i/>
          <w:iCs/>
        </w:rPr>
      </w:pPr>
      <w:bookmarkStart w:id="25" w:name="_Hlk147930313"/>
    </w:p>
    <w:p w14:paraId="17ADA653" w14:textId="07252717" w:rsidR="00CE1AD3" w:rsidRPr="00946249" w:rsidRDefault="004D2328" w:rsidP="00820485">
      <w:pPr>
        <w:tabs>
          <w:tab w:val="left" w:pos="1276"/>
          <w:tab w:val="left" w:pos="1418"/>
          <w:tab w:val="left" w:leader="dot" w:pos="8222"/>
          <w:tab w:val="right" w:pos="8647"/>
        </w:tabs>
        <w:rPr>
          <w:rFonts w:ascii="Cambria" w:hAnsi="Cambria"/>
          <w:i/>
          <w:color w:val="000000"/>
        </w:rPr>
      </w:pPr>
      <w:r w:rsidRPr="00946249">
        <w:rPr>
          <w:rFonts w:ascii="Cambria" w:hAnsi="Cambria"/>
          <w:i/>
        </w:rPr>
        <w:lastRenderedPageBreak/>
        <w:t>[13-14] Recomendación de ICCAT sobre fletamento de barcos de pesca</w:t>
      </w:r>
    </w:p>
    <w:p w14:paraId="7BD26BEE" w14:textId="77777777" w:rsidR="00073703" w:rsidRPr="00946249" w:rsidRDefault="00073703" w:rsidP="00820485">
      <w:pPr>
        <w:tabs>
          <w:tab w:val="left" w:pos="1276"/>
          <w:tab w:val="left" w:pos="1418"/>
          <w:tab w:val="left" w:leader="dot" w:pos="8222"/>
          <w:tab w:val="right" w:pos="8647"/>
        </w:tabs>
        <w:ind w:firstLine="425"/>
        <w:rPr>
          <w:rFonts w:ascii="Cambria" w:hAnsi="Cambria"/>
          <w:i/>
          <w:color w:val="000000"/>
        </w:rPr>
      </w:pPr>
    </w:p>
    <w:p w14:paraId="528388FD" w14:textId="249ADF47" w:rsidR="00073703" w:rsidRPr="00946249" w:rsidRDefault="000D7FA3" w:rsidP="00820485">
      <w:pPr>
        <w:tabs>
          <w:tab w:val="left" w:pos="1276"/>
          <w:tab w:val="left" w:pos="1418"/>
          <w:tab w:val="left" w:leader="dot" w:pos="8222"/>
          <w:tab w:val="right" w:pos="8647"/>
        </w:tabs>
        <w:jc w:val="both"/>
        <w:rPr>
          <w:rFonts w:ascii="Cambria" w:hAnsi="Cambria"/>
          <w:color w:val="000000"/>
        </w:rPr>
      </w:pPr>
      <w:r w:rsidRPr="00946249">
        <w:rPr>
          <w:rFonts w:ascii="Cambria" w:hAnsi="Cambria"/>
          <w:color w:val="000000"/>
        </w:rPr>
        <w:t xml:space="preserve">Los informes resumidos de fletamento están incluidos en el </w:t>
      </w:r>
      <w:r w:rsidRPr="00946249">
        <w:rPr>
          <w:rFonts w:ascii="Cambria" w:hAnsi="Cambria"/>
          <w:b/>
          <w:bCs/>
          <w:color w:val="000000"/>
        </w:rPr>
        <w:t>Apéndice 2</w:t>
      </w:r>
      <w:r w:rsidRPr="00946249">
        <w:rPr>
          <w:rFonts w:ascii="Cambria" w:hAnsi="Cambria"/>
          <w:color w:val="000000"/>
        </w:rPr>
        <w:t xml:space="preserve"> (fletados únicamente por Namibia para el año 2024), y en la </w:t>
      </w:r>
      <w:r w:rsidRPr="00946249">
        <w:rPr>
          <w:rFonts w:ascii="Cambria" w:hAnsi="Cambria"/>
          <w:b/>
          <w:bCs/>
          <w:color w:val="000000"/>
        </w:rPr>
        <w:t>Tabla 10</w:t>
      </w:r>
      <w:r w:rsidRPr="00946249">
        <w:rPr>
          <w:rFonts w:ascii="Cambria" w:hAnsi="Cambria"/>
          <w:color w:val="000000"/>
        </w:rPr>
        <w:t xml:space="preserve"> se resumen los acuerdos de fletamento comunicados. Aunque el formulario CP53 introducido en 2021 ha sido correctamente integrado por las partes implicadas en los acuerdos de fletamento mejorando la coordinación y el tratamiento de los datos, siguen existiendo algunas dificultades en cuanto a los plazos para recibir la información de forma oportuna</w:t>
      </w:r>
      <w:bookmarkStart w:id="26" w:name="_Hlk118104939"/>
      <w:r w:rsidRPr="00946249">
        <w:rPr>
          <w:rFonts w:ascii="Cambria" w:hAnsi="Cambria"/>
          <w:color w:val="000000"/>
        </w:rPr>
        <w:t>.</w:t>
      </w:r>
    </w:p>
    <w:p w14:paraId="79DF3048" w14:textId="77777777" w:rsidR="007C1334" w:rsidRPr="00946249" w:rsidRDefault="007C1334" w:rsidP="007A07B7">
      <w:pPr>
        <w:rPr>
          <w:rFonts w:ascii="Cambria" w:hAnsi="Cambria"/>
        </w:rPr>
      </w:pPr>
    </w:p>
    <w:p w14:paraId="54DDB450" w14:textId="1DF923CD" w:rsidR="007A07B7" w:rsidRPr="00946249" w:rsidRDefault="007A07B7" w:rsidP="007A07B7">
      <w:pPr>
        <w:rPr>
          <w:rFonts w:ascii="Cambria" w:hAnsi="Cambria"/>
        </w:rPr>
      </w:pP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muestran extractos de los informes anuales (IOMS) de otras CPC en relación con los acuerdos de fletamento.</w:t>
      </w:r>
    </w:p>
    <w:p w14:paraId="326CFD09" w14:textId="77777777" w:rsidR="007A07B7" w:rsidRPr="00946249" w:rsidRDefault="007A07B7" w:rsidP="00820485">
      <w:pPr>
        <w:tabs>
          <w:tab w:val="left" w:pos="1276"/>
          <w:tab w:val="left" w:pos="1418"/>
          <w:tab w:val="left" w:leader="dot" w:pos="8222"/>
          <w:tab w:val="right" w:pos="8647"/>
        </w:tabs>
        <w:jc w:val="both"/>
        <w:rPr>
          <w:rFonts w:ascii="Cambria" w:hAnsi="Cambria"/>
          <w:color w:val="000000"/>
          <w:lang w:eastAsia="es-ES"/>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771"/>
      </w:tblGrid>
      <w:tr w:rsidR="007A07B7" w:rsidRPr="00946249" w14:paraId="3B548C04" w14:textId="77777777" w:rsidTr="00DC7886">
        <w:trPr>
          <w:trHeight w:val="295"/>
        </w:trPr>
        <w:tc>
          <w:tcPr>
            <w:tcW w:w="2389" w:type="dxa"/>
            <w:noWrap/>
            <w:hideMark/>
          </w:tcPr>
          <w:p w14:paraId="35235A13" w14:textId="77777777" w:rsidR="007A07B7" w:rsidRPr="00946249" w:rsidRDefault="007A07B7" w:rsidP="00DC7886">
            <w:pPr>
              <w:rPr>
                <w:rFonts w:ascii="Cambria" w:hAnsi="Cambria" w:cs="Calibri"/>
                <w:i/>
                <w:iCs/>
                <w:color w:val="000000"/>
              </w:rPr>
            </w:pPr>
            <w:r w:rsidRPr="00946249">
              <w:rPr>
                <w:rFonts w:ascii="Cambria" w:hAnsi="Cambria"/>
                <w:i/>
                <w:color w:val="000000"/>
              </w:rPr>
              <w:t>CPC</w:t>
            </w:r>
          </w:p>
        </w:tc>
        <w:tc>
          <w:tcPr>
            <w:tcW w:w="6771" w:type="dxa"/>
            <w:hideMark/>
          </w:tcPr>
          <w:p w14:paraId="28435D07" w14:textId="77777777" w:rsidR="007A07B7" w:rsidRPr="00946249" w:rsidRDefault="007A07B7" w:rsidP="00DC7886">
            <w:pPr>
              <w:rPr>
                <w:rFonts w:ascii="Cambria" w:hAnsi="Cambria" w:cs="Calibri"/>
                <w:i/>
                <w:iCs/>
                <w:color w:val="000000"/>
              </w:rPr>
            </w:pPr>
            <w:r w:rsidRPr="00946249">
              <w:rPr>
                <w:rFonts w:ascii="Cambria" w:hAnsi="Cambria"/>
                <w:i/>
                <w:color w:val="000000"/>
              </w:rPr>
              <w:t>Respuesta</w:t>
            </w:r>
          </w:p>
        </w:tc>
      </w:tr>
      <w:tr w:rsidR="007A07B7" w:rsidRPr="00946249" w14:paraId="37BAD58A" w14:textId="77777777" w:rsidTr="00DC7886">
        <w:trPr>
          <w:trHeight w:val="311"/>
        </w:trPr>
        <w:tc>
          <w:tcPr>
            <w:tcW w:w="2389" w:type="dxa"/>
            <w:noWrap/>
            <w:hideMark/>
          </w:tcPr>
          <w:p w14:paraId="358C5151" w14:textId="622A7DED" w:rsidR="007A07B7" w:rsidRPr="00946249" w:rsidRDefault="007A07B7" w:rsidP="00DC7886">
            <w:pPr>
              <w:rPr>
                <w:rFonts w:ascii="Cambria" w:hAnsi="Cambria" w:cs="Calibri"/>
                <w:color w:val="000000"/>
              </w:rPr>
            </w:pPr>
            <w:r w:rsidRPr="00946249">
              <w:rPr>
                <w:rFonts w:ascii="Cambria" w:hAnsi="Cambria"/>
                <w:color w:val="000000"/>
              </w:rPr>
              <w:t>Namibia</w:t>
            </w:r>
          </w:p>
        </w:tc>
        <w:tc>
          <w:tcPr>
            <w:tcW w:w="6771" w:type="dxa"/>
            <w:hideMark/>
          </w:tcPr>
          <w:p w14:paraId="63185E6D" w14:textId="0CCA2211" w:rsidR="007A07B7" w:rsidRPr="00946249" w:rsidRDefault="007A07B7" w:rsidP="00DC7886">
            <w:pPr>
              <w:widowControl/>
              <w:autoSpaceDE/>
              <w:autoSpaceDN/>
              <w:adjustRightInd/>
              <w:jc w:val="both"/>
              <w:rPr>
                <w:rFonts w:ascii="Cambria" w:hAnsi="Cambria" w:cs="Calibri"/>
              </w:rPr>
            </w:pPr>
            <w:r w:rsidRPr="00946249">
              <w:rPr>
                <w:rFonts w:ascii="Cambria" w:hAnsi="Cambria"/>
              </w:rPr>
              <w:t>Varias fechas de presentación de informes</w:t>
            </w:r>
          </w:p>
          <w:p w14:paraId="38EB58CF" w14:textId="77777777" w:rsidR="007A07B7" w:rsidRPr="00946249" w:rsidRDefault="007A07B7" w:rsidP="00DC7886">
            <w:pPr>
              <w:jc w:val="both"/>
              <w:rPr>
                <w:rFonts w:ascii="Cambria" w:hAnsi="Cambria" w:cs="Calibri"/>
                <w:color w:val="000000"/>
              </w:rPr>
            </w:pPr>
          </w:p>
        </w:tc>
      </w:tr>
    </w:tbl>
    <w:p w14:paraId="46D981EF" w14:textId="77777777" w:rsidR="00F03878" w:rsidRPr="00946249" w:rsidRDefault="00F03878" w:rsidP="00820485">
      <w:pPr>
        <w:tabs>
          <w:tab w:val="left" w:pos="1276"/>
          <w:tab w:val="left" w:pos="1418"/>
          <w:tab w:val="left" w:leader="dot" w:pos="8222"/>
          <w:tab w:val="right" w:pos="8647"/>
        </w:tabs>
        <w:jc w:val="both"/>
        <w:rPr>
          <w:rFonts w:ascii="Cambria" w:hAnsi="Cambria"/>
          <w:color w:val="000000"/>
          <w:lang w:eastAsia="es-ES"/>
        </w:rPr>
      </w:pPr>
    </w:p>
    <w:p w14:paraId="5AE20BA2" w14:textId="46AA657A" w:rsidR="007F1A8E" w:rsidRPr="00946249" w:rsidRDefault="0067630B" w:rsidP="00820485">
      <w:pPr>
        <w:tabs>
          <w:tab w:val="left" w:pos="1276"/>
          <w:tab w:val="left" w:pos="1418"/>
          <w:tab w:val="left" w:leader="dot" w:pos="8222"/>
          <w:tab w:val="right" w:pos="8647"/>
        </w:tabs>
        <w:rPr>
          <w:rFonts w:ascii="Cambria" w:hAnsi="Cambria"/>
          <w:i/>
          <w:iCs/>
        </w:rPr>
      </w:pPr>
      <w:bookmarkStart w:id="27" w:name="_Hlk180407505"/>
      <w:bookmarkStart w:id="28" w:name="_Hlk23162797"/>
      <w:bookmarkStart w:id="29" w:name="_Hlk147932149"/>
      <w:bookmarkEnd w:id="25"/>
      <w:bookmarkEnd w:id="26"/>
      <w:r w:rsidRPr="00946249">
        <w:rPr>
          <w:rFonts w:ascii="Cambria" w:hAnsi="Cambria"/>
          <w:i/>
        </w:rPr>
        <w:t xml:space="preserve">[14-07] Recomendación de ICCAT sobre acuerdos de acceso </w:t>
      </w:r>
    </w:p>
    <w:bookmarkEnd w:id="27"/>
    <w:p w14:paraId="70113789" w14:textId="77777777" w:rsidR="007F1A8E" w:rsidRPr="00946249" w:rsidRDefault="007F1A8E" w:rsidP="00820485">
      <w:pPr>
        <w:tabs>
          <w:tab w:val="left" w:pos="1276"/>
          <w:tab w:val="left" w:pos="1418"/>
          <w:tab w:val="left" w:leader="dot" w:pos="8222"/>
          <w:tab w:val="right" w:pos="8647"/>
        </w:tabs>
        <w:rPr>
          <w:rFonts w:ascii="Cambria" w:hAnsi="Cambria"/>
          <w:i/>
          <w:iCs/>
        </w:rPr>
      </w:pPr>
    </w:p>
    <w:p w14:paraId="27379B78" w14:textId="178E3C42" w:rsidR="00311B9B" w:rsidRPr="00946249" w:rsidRDefault="0085609E" w:rsidP="00E903E3">
      <w:pPr>
        <w:tabs>
          <w:tab w:val="left" w:pos="1276"/>
          <w:tab w:val="left" w:pos="1418"/>
          <w:tab w:val="left" w:leader="dot" w:pos="8222"/>
          <w:tab w:val="right" w:pos="8647"/>
        </w:tabs>
        <w:jc w:val="both"/>
        <w:rPr>
          <w:rFonts w:ascii="Cambria" w:hAnsi="Cambria"/>
          <w:iCs/>
        </w:rPr>
      </w:pPr>
      <w:r w:rsidRPr="00946249">
        <w:rPr>
          <w:rFonts w:ascii="Cambria" w:hAnsi="Cambria"/>
        </w:rPr>
        <w:t xml:space="preserve">Desde la última reunión de la Comisión, </w:t>
      </w:r>
      <w:proofErr w:type="spellStart"/>
      <w:r w:rsidRPr="00946249">
        <w:rPr>
          <w:rFonts w:ascii="Cambria" w:hAnsi="Cambria"/>
        </w:rPr>
        <w:t>Côte</w:t>
      </w:r>
      <w:proofErr w:type="spellEnd"/>
      <w:r w:rsidRPr="00946249">
        <w:rPr>
          <w:rFonts w:ascii="Cambria" w:hAnsi="Cambria"/>
        </w:rPr>
        <w:t xml:space="preserve"> </w:t>
      </w:r>
      <w:proofErr w:type="spellStart"/>
      <w:r w:rsidRPr="00946249">
        <w:rPr>
          <w:rFonts w:ascii="Cambria" w:hAnsi="Cambria"/>
        </w:rPr>
        <w:t>d’Ivoire</w:t>
      </w:r>
      <w:proofErr w:type="spellEnd"/>
      <w:r w:rsidRPr="00946249">
        <w:rPr>
          <w:rFonts w:ascii="Cambria" w:hAnsi="Cambria"/>
        </w:rPr>
        <w:t xml:space="preserve">, Marruecos, el Reino Unido y la Unión Europea han facilitado información actualizada sobre los acuerdos de acceso en curso. Algunos de los acuerdos comunicados en años anteriores eran plurianuales y todavía están vigentes. La lista completa de los acuerdos de acceso figura en el </w:t>
      </w:r>
      <w:r w:rsidRPr="00946249">
        <w:rPr>
          <w:rFonts w:ascii="Cambria" w:hAnsi="Cambria"/>
          <w:b/>
          <w:bCs/>
        </w:rPr>
        <w:t>Anexo 6</w:t>
      </w:r>
      <w:r w:rsidRPr="00946249">
        <w:rPr>
          <w:rFonts w:ascii="Cambria" w:hAnsi="Cambria"/>
        </w:rPr>
        <w:t>.</w:t>
      </w:r>
    </w:p>
    <w:p w14:paraId="5152CE5B" w14:textId="77777777" w:rsidR="00345418" w:rsidRPr="00946249" w:rsidRDefault="00345418" w:rsidP="00820485">
      <w:pPr>
        <w:tabs>
          <w:tab w:val="left" w:pos="1276"/>
          <w:tab w:val="left" w:pos="1418"/>
          <w:tab w:val="left" w:leader="dot" w:pos="8222"/>
          <w:tab w:val="right" w:pos="8647"/>
        </w:tabs>
        <w:jc w:val="both"/>
        <w:rPr>
          <w:rFonts w:ascii="Cambria" w:hAnsi="Cambria"/>
          <w:i/>
          <w:iCs/>
        </w:rPr>
      </w:pPr>
    </w:p>
    <w:bookmarkEnd w:id="28"/>
    <w:p w14:paraId="48B0A691" w14:textId="1700ECEE" w:rsidR="001D5647" w:rsidRPr="00946249" w:rsidRDefault="00B4105E" w:rsidP="00820485">
      <w:pPr>
        <w:rPr>
          <w:rFonts w:ascii="Cambria" w:hAnsi="Cambria"/>
          <w:color w:val="000000"/>
        </w:rPr>
      </w:pPr>
      <w:r w:rsidRPr="00946249">
        <w:rPr>
          <w:rFonts w:ascii="Cambria" w:hAnsi="Cambria"/>
          <w:color w:val="000000"/>
        </w:rPr>
        <w:t>Para evitar cualquier confusión con la comunicación de datos de Tarea 1, la Secretaría de ICCAT publicó un formulario revisado para presentar información sobre los Acuerdos de acceso; tanto para el propio Acuerdo como para las capturas realizadas en el marco de dicho acuerdo (véase CP39) en 2020, pero esta sección sobre la notificación de capturas no está siendo utilizada actualmente por las CPC</w:t>
      </w:r>
      <w:bookmarkEnd w:id="29"/>
      <w:r w:rsidRPr="00946249">
        <w:rPr>
          <w:rFonts w:ascii="Cambria" w:hAnsi="Cambria"/>
          <w:color w:val="000000"/>
        </w:rPr>
        <w:t xml:space="preserve">. </w:t>
      </w:r>
    </w:p>
    <w:p w14:paraId="6925C536" w14:textId="77777777" w:rsidR="004D4B55" w:rsidRPr="00946249" w:rsidRDefault="004D4B55" w:rsidP="00820485">
      <w:pPr>
        <w:rPr>
          <w:rFonts w:ascii="Cambria" w:hAnsi="Cambria"/>
        </w:rPr>
      </w:pPr>
    </w:p>
    <w:p w14:paraId="35EA470F" w14:textId="77300490" w:rsidR="001D5647" w:rsidRPr="00946249" w:rsidRDefault="001D5647" w:rsidP="00820485">
      <w:pPr>
        <w:rPr>
          <w:rFonts w:ascii="Cambria" w:hAnsi="Cambria"/>
        </w:rPr>
      </w:pPr>
      <w:r w:rsidRPr="00946249">
        <w:rPr>
          <w:rFonts w:ascii="Cambria" w:hAnsi="Cambria"/>
        </w:rPr>
        <w:t xml:space="preserve">A </w:t>
      </w:r>
      <w:proofErr w:type="gramStart"/>
      <w:r w:rsidRPr="00946249">
        <w:rPr>
          <w:rFonts w:ascii="Cambria" w:hAnsi="Cambria"/>
        </w:rPr>
        <w:t>continuación</w:t>
      </w:r>
      <w:proofErr w:type="gramEnd"/>
      <w:r w:rsidRPr="00946249">
        <w:rPr>
          <w:rFonts w:ascii="Cambria" w:hAnsi="Cambria"/>
        </w:rPr>
        <w:t xml:space="preserve"> se muestran extractos de los informes anuales (IOMS) de otras CPC en relación con los acuerdos de acceso.</w:t>
      </w:r>
    </w:p>
    <w:p w14:paraId="099153ED" w14:textId="77777777" w:rsidR="001D5647" w:rsidRPr="00946249" w:rsidRDefault="001D5647" w:rsidP="00820485">
      <w:pPr>
        <w:rPr>
          <w:rFonts w:ascii="Cambria" w:hAnsi="Cambri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7"/>
      </w:tblGrid>
      <w:tr w:rsidR="001D5647" w:rsidRPr="00946249" w14:paraId="5FFA4FFF" w14:textId="77777777" w:rsidTr="00200E00">
        <w:trPr>
          <w:trHeight w:val="295"/>
        </w:trPr>
        <w:tc>
          <w:tcPr>
            <w:tcW w:w="1413" w:type="dxa"/>
            <w:noWrap/>
            <w:hideMark/>
          </w:tcPr>
          <w:p w14:paraId="77B4D8AC" w14:textId="77777777" w:rsidR="001D5647" w:rsidRPr="00946249" w:rsidRDefault="001D5647" w:rsidP="00820485">
            <w:pPr>
              <w:rPr>
                <w:rFonts w:ascii="Cambria" w:hAnsi="Cambria" w:cs="Calibri"/>
                <w:i/>
                <w:iCs/>
                <w:color w:val="000000"/>
              </w:rPr>
            </w:pPr>
            <w:r w:rsidRPr="00946249">
              <w:rPr>
                <w:rFonts w:ascii="Cambria" w:hAnsi="Cambria"/>
                <w:i/>
                <w:color w:val="000000"/>
              </w:rPr>
              <w:t>CPC</w:t>
            </w:r>
          </w:p>
        </w:tc>
        <w:tc>
          <w:tcPr>
            <w:tcW w:w="7747" w:type="dxa"/>
            <w:hideMark/>
          </w:tcPr>
          <w:p w14:paraId="6FE93099" w14:textId="77777777" w:rsidR="001D5647" w:rsidRPr="00946249" w:rsidRDefault="001D5647" w:rsidP="00820485">
            <w:pPr>
              <w:rPr>
                <w:rFonts w:ascii="Cambria" w:hAnsi="Cambria" w:cs="Calibri"/>
                <w:i/>
                <w:iCs/>
                <w:color w:val="000000"/>
              </w:rPr>
            </w:pPr>
            <w:r w:rsidRPr="00946249">
              <w:rPr>
                <w:rFonts w:ascii="Cambria" w:hAnsi="Cambria"/>
                <w:i/>
                <w:color w:val="000000"/>
              </w:rPr>
              <w:t>Respuesta</w:t>
            </w:r>
          </w:p>
        </w:tc>
      </w:tr>
      <w:tr w:rsidR="000527BD" w:rsidRPr="00946249" w14:paraId="176DDD1C" w14:textId="77777777" w:rsidTr="00200E00">
        <w:trPr>
          <w:trHeight w:val="311"/>
        </w:trPr>
        <w:tc>
          <w:tcPr>
            <w:tcW w:w="1413" w:type="dxa"/>
            <w:noWrap/>
            <w:hideMark/>
          </w:tcPr>
          <w:p w14:paraId="20DBD191" w14:textId="730F5190" w:rsidR="000527BD" w:rsidRPr="00946249" w:rsidRDefault="007A07B7" w:rsidP="00154EAF">
            <w:pPr>
              <w:rPr>
                <w:rFonts w:ascii="Cambria" w:hAnsi="Cambria" w:cs="Calibri"/>
                <w:color w:val="000000"/>
              </w:rPr>
            </w:pPr>
            <w:r w:rsidRPr="00946249">
              <w:rPr>
                <w:rFonts w:ascii="Cambria" w:hAnsi="Cambria"/>
                <w:color w:val="000000"/>
              </w:rPr>
              <w:t>Cabo Verde</w:t>
            </w:r>
          </w:p>
        </w:tc>
        <w:tc>
          <w:tcPr>
            <w:tcW w:w="7747" w:type="dxa"/>
            <w:hideMark/>
          </w:tcPr>
          <w:p w14:paraId="115921CC" w14:textId="77777777" w:rsidR="004053F9" w:rsidRPr="00946249" w:rsidRDefault="007A07B7" w:rsidP="007A07B7">
            <w:pPr>
              <w:widowControl/>
              <w:autoSpaceDE/>
              <w:autoSpaceDN/>
              <w:adjustRightInd/>
              <w:jc w:val="both"/>
              <w:rPr>
                <w:rFonts w:ascii="Cambria" w:hAnsi="Cambria"/>
              </w:rPr>
            </w:pPr>
            <w:r w:rsidRPr="00946249">
              <w:rPr>
                <w:rFonts w:ascii="Cambria" w:hAnsi="Cambria"/>
              </w:rPr>
              <w:t>En virtud de los acuerdos de acceso a la pesca entre Cabo Verde y terceros países, las siguientes entidades están autorizadas a operar en la zona económica exclusiva (ZEE) de Cabo Verde:</w:t>
            </w:r>
          </w:p>
          <w:p w14:paraId="156FF276" w14:textId="44C8B3ED" w:rsidR="007A07B7" w:rsidRPr="00946249" w:rsidRDefault="007A07B7" w:rsidP="007A07B7">
            <w:pPr>
              <w:widowControl/>
              <w:autoSpaceDE/>
              <w:autoSpaceDN/>
              <w:adjustRightInd/>
              <w:jc w:val="both"/>
              <w:rPr>
                <w:rFonts w:ascii="Cambria" w:hAnsi="Cambria" w:cs="Calibri"/>
              </w:rPr>
            </w:pPr>
            <w:r w:rsidRPr="00946249">
              <w:rPr>
                <w:rFonts w:ascii="Cambria" w:hAnsi="Cambria"/>
              </w:rPr>
              <w:t>a) Unión Europea</w:t>
            </w:r>
            <w:r w:rsidR="004053F9" w:rsidRPr="00946249">
              <w:rPr>
                <w:rFonts w:ascii="Cambria" w:hAnsi="Cambria"/>
              </w:rPr>
              <w:t xml:space="preserve"> –</w:t>
            </w:r>
            <w:r w:rsidRPr="00946249">
              <w:rPr>
                <w:rFonts w:ascii="Cambria" w:hAnsi="Cambria"/>
              </w:rPr>
              <w:t xml:space="preserve"> 56 licencias de pesca</w:t>
            </w:r>
            <w:r w:rsidR="004053F9" w:rsidRPr="00946249">
              <w:rPr>
                <w:rFonts w:ascii="Cambria" w:hAnsi="Cambria"/>
              </w:rPr>
              <w:t>:</w:t>
            </w:r>
            <w:r w:rsidRPr="00946249">
              <w:rPr>
                <w:rFonts w:ascii="Cambria" w:hAnsi="Cambria"/>
              </w:rPr>
              <w:t xml:space="preserve"> 24 para atuneros cerqueros, 10 para atuneros cañeros y 22 para palangreros. Este acuerdo es válido de 2024 a 2029.</w:t>
            </w:r>
            <w:r w:rsidRPr="00946249">
              <w:rPr>
                <w:rFonts w:ascii="Cambria" w:hAnsi="Cambria"/>
              </w:rPr>
              <w:br/>
              <w:t>b) Senegal – 8 licencias de pesca: 1 para un atunero cañero y 7 para atuneros cerqueros.</w:t>
            </w:r>
            <w:r w:rsidRPr="00946249">
              <w:rPr>
                <w:rFonts w:ascii="Cambria" w:hAnsi="Cambria"/>
              </w:rPr>
              <w:br/>
              <w:t xml:space="preserve">c) </w:t>
            </w:r>
            <w:r w:rsidR="004053F9" w:rsidRPr="00946249">
              <w:rPr>
                <w:rFonts w:ascii="Cambria" w:hAnsi="Cambria"/>
              </w:rPr>
              <w:t>Japón</w:t>
            </w:r>
            <w:r w:rsidRPr="00946249">
              <w:rPr>
                <w:rFonts w:ascii="Cambria" w:hAnsi="Cambria"/>
              </w:rPr>
              <w:t xml:space="preserve"> – 42 </w:t>
            </w:r>
            <w:r w:rsidR="004053F9" w:rsidRPr="00946249">
              <w:rPr>
                <w:rFonts w:ascii="Cambria" w:hAnsi="Cambria"/>
              </w:rPr>
              <w:t>licencias de pesca para palangreros.</w:t>
            </w:r>
          </w:p>
          <w:p w14:paraId="2C0358AE" w14:textId="5BE55D78" w:rsidR="000527BD" w:rsidRPr="00946249" w:rsidRDefault="000527BD" w:rsidP="009605F2">
            <w:pPr>
              <w:jc w:val="both"/>
              <w:rPr>
                <w:rFonts w:ascii="Cambria" w:hAnsi="Cambria" w:cs="Calibri"/>
                <w:color w:val="000000"/>
              </w:rPr>
            </w:pPr>
          </w:p>
        </w:tc>
      </w:tr>
      <w:tr w:rsidR="007A07B7" w:rsidRPr="00946249" w14:paraId="0E01E167" w14:textId="77777777" w:rsidTr="00200E00">
        <w:trPr>
          <w:trHeight w:val="257"/>
        </w:trPr>
        <w:tc>
          <w:tcPr>
            <w:tcW w:w="1413" w:type="dxa"/>
            <w:noWrap/>
          </w:tcPr>
          <w:p w14:paraId="13E51F3B" w14:textId="36A1AFC9" w:rsidR="007A07B7" w:rsidRPr="00946249" w:rsidRDefault="007A07B7" w:rsidP="00154EAF">
            <w:pPr>
              <w:rPr>
                <w:rFonts w:ascii="Cambria" w:hAnsi="Cambria" w:cs="Calibri"/>
                <w:color w:val="000000"/>
              </w:rPr>
            </w:pPr>
            <w:proofErr w:type="spellStart"/>
            <w:r w:rsidRPr="00946249">
              <w:rPr>
                <w:rFonts w:ascii="Cambria" w:hAnsi="Cambria"/>
                <w:color w:val="000000"/>
              </w:rPr>
              <w:t>Côte</w:t>
            </w:r>
            <w:proofErr w:type="spellEnd"/>
            <w:r w:rsidRPr="00946249">
              <w:rPr>
                <w:rFonts w:ascii="Cambria" w:hAnsi="Cambria"/>
                <w:color w:val="000000"/>
              </w:rPr>
              <w:t xml:space="preserve"> </w:t>
            </w:r>
            <w:proofErr w:type="spellStart"/>
            <w:r w:rsidRPr="00946249">
              <w:rPr>
                <w:rFonts w:ascii="Cambria" w:hAnsi="Cambria"/>
                <w:color w:val="000000"/>
              </w:rPr>
              <w:t>d’Ivoire</w:t>
            </w:r>
            <w:proofErr w:type="spellEnd"/>
          </w:p>
        </w:tc>
        <w:tc>
          <w:tcPr>
            <w:tcW w:w="7747" w:type="dxa"/>
          </w:tcPr>
          <w:p w14:paraId="57EBD972" w14:textId="79497DC5" w:rsidR="007A07B7" w:rsidRPr="00946249" w:rsidRDefault="007A07B7" w:rsidP="009605F2">
            <w:pPr>
              <w:jc w:val="both"/>
              <w:rPr>
                <w:rFonts w:ascii="Cambria" w:hAnsi="Cambria" w:cs="Calibri"/>
                <w:color w:val="000000"/>
              </w:rPr>
            </w:pPr>
            <w:r w:rsidRPr="00946249">
              <w:rPr>
                <w:rFonts w:ascii="Cambria" w:hAnsi="Cambria"/>
                <w:color w:val="000000"/>
              </w:rPr>
              <w:t>Resumen enviado el 15 de septiembre de 2025.</w:t>
            </w:r>
          </w:p>
        </w:tc>
      </w:tr>
      <w:tr w:rsidR="007A07B7" w:rsidRPr="00946249" w14:paraId="2E62A770" w14:textId="77777777" w:rsidTr="00200E00">
        <w:trPr>
          <w:trHeight w:val="257"/>
        </w:trPr>
        <w:tc>
          <w:tcPr>
            <w:tcW w:w="1413" w:type="dxa"/>
            <w:noWrap/>
            <w:hideMark/>
          </w:tcPr>
          <w:p w14:paraId="6CC8431A" w14:textId="2BC34681" w:rsidR="007A07B7" w:rsidRPr="00946249" w:rsidRDefault="0086709D" w:rsidP="007A07B7">
            <w:pPr>
              <w:rPr>
                <w:rFonts w:ascii="Cambria" w:hAnsi="Cambria" w:cs="Calibri"/>
                <w:color w:val="000000"/>
              </w:rPr>
            </w:pPr>
            <w:r w:rsidRPr="00946249">
              <w:rPr>
                <w:rFonts w:ascii="Cambria" w:hAnsi="Cambria"/>
                <w:color w:val="000000"/>
              </w:rPr>
              <w:t>UE</w:t>
            </w:r>
          </w:p>
        </w:tc>
        <w:tc>
          <w:tcPr>
            <w:tcW w:w="7747" w:type="dxa"/>
            <w:hideMark/>
          </w:tcPr>
          <w:p w14:paraId="59C324AB" w14:textId="5D08CB12" w:rsidR="007A07B7" w:rsidRPr="00946249" w:rsidRDefault="007A07B7" w:rsidP="006D1DE6">
            <w:pPr>
              <w:jc w:val="both"/>
              <w:rPr>
                <w:rFonts w:ascii="Cambria" w:hAnsi="Cambria"/>
                <w:color w:val="000000"/>
              </w:rPr>
            </w:pPr>
            <w:r w:rsidRPr="00946249">
              <w:rPr>
                <w:rFonts w:ascii="Cambria" w:hAnsi="Cambria"/>
                <w:color w:val="000000"/>
              </w:rPr>
              <w:t>Resumen enviado el 25 de julio de 2025.</w:t>
            </w:r>
          </w:p>
        </w:tc>
      </w:tr>
      <w:tr w:rsidR="007A07B7" w:rsidRPr="00946249" w14:paraId="7BE8E375" w14:textId="77777777" w:rsidTr="0086709D">
        <w:trPr>
          <w:trHeight w:val="255"/>
        </w:trPr>
        <w:tc>
          <w:tcPr>
            <w:tcW w:w="1413" w:type="dxa"/>
            <w:noWrap/>
          </w:tcPr>
          <w:p w14:paraId="73E419F9" w14:textId="356366A7" w:rsidR="007A07B7" w:rsidRPr="00946249" w:rsidRDefault="007A07B7" w:rsidP="007A07B7">
            <w:pPr>
              <w:rPr>
                <w:rFonts w:ascii="Cambria" w:hAnsi="Cambria" w:cs="Calibri"/>
                <w:color w:val="000000"/>
              </w:rPr>
            </w:pPr>
            <w:r w:rsidRPr="00946249">
              <w:rPr>
                <w:rFonts w:ascii="Cambria" w:hAnsi="Cambria"/>
                <w:color w:val="000000"/>
              </w:rPr>
              <w:t>Marruecos</w:t>
            </w:r>
          </w:p>
        </w:tc>
        <w:tc>
          <w:tcPr>
            <w:tcW w:w="7747" w:type="dxa"/>
          </w:tcPr>
          <w:p w14:paraId="10C54B5D" w14:textId="7DEEE93B" w:rsidR="007A07B7" w:rsidRPr="00946249" w:rsidRDefault="007A07B7" w:rsidP="007A07B7">
            <w:pPr>
              <w:jc w:val="both"/>
              <w:rPr>
                <w:rFonts w:ascii="Cambria" w:hAnsi="Cambria"/>
                <w:color w:val="000000"/>
              </w:rPr>
            </w:pPr>
            <w:r w:rsidRPr="00946249">
              <w:rPr>
                <w:rFonts w:ascii="Cambria" w:hAnsi="Cambria"/>
                <w:color w:val="000000"/>
              </w:rPr>
              <w:t xml:space="preserve">Resumen enviado el 4 de julio de 2025. </w:t>
            </w:r>
          </w:p>
        </w:tc>
      </w:tr>
      <w:tr w:rsidR="007A07B7" w:rsidRPr="00946249" w14:paraId="0727F9CA" w14:textId="77777777" w:rsidTr="00FC3F68">
        <w:trPr>
          <w:trHeight w:val="684"/>
        </w:trPr>
        <w:tc>
          <w:tcPr>
            <w:tcW w:w="1413" w:type="dxa"/>
            <w:noWrap/>
            <w:hideMark/>
          </w:tcPr>
          <w:p w14:paraId="3D4637FE" w14:textId="49B3FC08" w:rsidR="007A07B7" w:rsidRPr="00946249" w:rsidRDefault="007A07B7" w:rsidP="007A07B7">
            <w:pPr>
              <w:rPr>
                <w:rFonts w:ascii="Cambria" w:hAnsi="Cambria" w:cs="Calibri"/>
                <w:color w:val="000000"/>
              </w:rPr>
            </w:pPr>
            <w:r w:rsidRPr="00946249">
              <w:rPr>
                <w:rFonts w:ascii="Cambria" w:hAnsi="Cambria"/>
                <w:color w:val="000000"/>
              </w:rPr>
              <w:t>Reino Unido</w:t>
            </w:r>
          </w:p>
        </w:tc>
        <w:tc>
          <w:tcPr>
            <w:tcW w:w="7747" w:type="dxa"/>
            <w:hideMark/>
          </w:tcPr>
          <w:p w14:paraId="32660A16" w14:textId="295288DB" w:rsidR="007A07B7" w:rsidRPr="00946249" w:rsidRDefault="007A07B7" w:rsidP="006D1DE6">
            <w:pPr>
              <w:widowControl/>
              <w:autoSpaceDE/>
              <w:autoSpaceDN/>
              <w:adjustRightInd/>
              <w:jc w:val="both"/>
              <w:rPr>
                <w:rFonts w:ascii="Cambria" w:hAnsi="Cambria"/>
              </w:rPr>
            </w:pPr>
            <w:r w:rsidRPr="00946249">
              <w:rPr>
                <w:rFonts w:ascii="Cambria" w:hAnsi="Cambria"/>
              </w:rPr>
              <w:t xml:space="preserve">El </w:t>
            </w:r>
            <w:r w:rsidR="00E47F05" w:rsidRPr="00946249">
              <w:rPr>
                <w:rFonts w:ascii="Cambria" w:hAnsi="Cambria"/>
              </w:rPr>
              <w:t>2</w:t>
            </w:r>
            <w:r w:rsidRPr="00946249">
              <w:rPr>
                <w:rFonts w:ascii="Cambria" w:hAnsi="Cambria"/>
              </w:rPr>
              <w:t xml:space="preserve">5 de julio de 2025, RU </w:t>
            </w:r>
            <w:proofErr w:type="spellStart"/>
            <w:r w:rsidRPr="00946249">
              <w:rPr>
                <w:rFonts w:ascii="Cambria" w:hAnsi="Cambria"/>
              </w:rPr>
              <w:t>Met</w:t>
            </w:r>
            <w:proofErr w:type="spellEnd"/>
            <w:r w:rsidRPr="00946249">
              <w:rPr>
                <w:rFonts w:ascii="Cambria" w:hAnsi="Cambria"/>
              </w:rPr>
              <w:t>. presentó el CP39-AccAgr (Formulario B) que contiene el resumen de actividades y capturas para el acuerdo de acceso recíproco de 2024 para el atún blanco del Atlántico norte con la Unión Europea (UE).</w:t>
            </w:r>
          </w:p>
          <w:p w14:paraId="49DEE5F0" w14:textId="5884D6DB" w:rsidR="007A07B7" w:rsidRPr="00946249" w:rsidRDefault="007A07B7" w:rsidP="007A07B7">
            <w:pPr>
              <w:jc w:val="both"/>
              <w:rPr>
                <w:rFonts w:ascii="Cambria" w:hAnsi="Cambria" w:cs="Calibri"/>
                <w:color w:val="000000"/>
              </w:rPr>
            </w:pPr>
          </w:p>
        </w:tc>
      </w:tr>
    </w:tbl>
    <w:p w14:paraId="4FBE9B2A" w14:textId="77777777" w:rsidR="00297109" w:rsidRPr="00946249" w:rsidRDefault="00297109" w:rsidP="00820485">
      <w:pPr>
        <w:tabs>
          <w:tab w:val="left" w:pos="1276"/>
          <w:tab w:val="left" w:pos="1418"/>
          <w:tab w:val="left" w:leader="dot" w:pos="8222"/>
          <w:tab w:val="right" w:pos="8647"/>
        </w:tabs>
        <w:jc w:val="both"/>
        <w:rPr>
          <w:rFonts w:ascii="Cambria" w:hAnsi="Cambria"/>
          <w:i/>
          <w:iCs/>
        </w:rPr>
      </w:pPr>
    </w:p>
    <w:p w14:paraId="7BE10E00" w14:textId="5478F13D" w:rsidR="002C5323" w:rsidRPr="00946249" w:rsidRDefault="00311AF6" w:rsidP="00820485">
      <w:pPr>
        <w:tabs>
          <w:tab w:val="left" w:pos="1276"/>
          <w:tab w:val="left" w:pos="1418"/>
          <w:tab w:val="left" w:leader="dot" w:pos="8222"/>
          <w:tab w:val="right" w:pos="8647"/>
        </w:tabs>
        <w:jc w:val="both"/>
        <w:rPr>
          <w:rFonts w:ascii="Cambria" w:hAnsi="Cambria"/>
          <w:i/>
        </w:rPr>
      </w:pPr>
      <w:r w:rsidRPr="00946249">
        <w:rPr>
          <w:rFonts w:ascii="Cambria" w:hAnsi="Cambria"/>
          <w:i/>
        </w:rPr>
        <w:t>[18-10]</w:t>
      </w:r>
      <w:r w:rsidRPr="00946249">
        <w:rPr>
          <w:rFonts w:ascii="Cambria" w:hAnsi="Cambria"/>
        </w:rPr>
        <w:t xml:space="preserve"> </w:t>
      </w:r>
      <w:hyperlink r:id="rId30" w:tgtFrame="_blank" w:history="1">
        <w:r w:rsidRPr="00946249">
          <w:rPr>
            <w:rFonts w:ascii="Cambria" w:hAnsi="Cambria"/>
            <w:i/>
          </w:rPr>
          <w:t>Recomendación de ICCAT sobre normas mínimas para el establecimiento de sistemas de seguimiento de buques en la zona del Convenio de ICCAT</w:t>
        </w:r>
      </w:hyperlink>
    </w:p>
    <w:p w14:paraId="03E31801" w14:textId="77777777" w:rsidR="00073703" w:rsidRPr="00946249" w:rsidRDefault="00073703" w:rsidP="00820485">
      <w:pPr>
        <w:tabs>
          <w:tab w:val="left" w:pos="1276"/>
          <w:tab w:val="left" w:pos="1418"/>
          <w:tab w:val="left" w:leader="dot" w:pos="8222"/>
          <w:tab w:val="right" w:pos="8647"/>
        </w:tabs>
        <w:ind w:firstLine="426"/>
        <w:rPr>
          <w:rFonts w:ascii="Cambria" w:hAnsi="Cambria"/>
        </w:rPr>
      </w:pPr>
    </w:p>
    <w:p w14:paraId="0D88DC4A" w14:textId="634C05BE" w:rsidR="005B61BE" w:rsidRPr="00946249" w:rsidRDefault="006F533F"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La Recomendación actual no contiene ningún requisito de comunicación directo. Para problemas de cumplimiento con la implementación del VMS, consultar la Rec. 24-05. </w:t>
      </w:r>
    </w:p>
    <w:p w14:paraId="1911AA92" w14:textId="77777777" w:rsidR="0001572E" w:rsidRPr="00946249" w:rsidRDefault="0001572E" w:rsidP="00820485">
      <w:pPr>
        <w:tabs>
          <w:tab w:val="left" w:pos="1276"/>
          <w:tab w:val="left" w:pos="1418"/>
          <w:tab w:val="left" w:leader="dot" w:pos="8222"/>
          <w:tab w:val="right" w:pos="8647"/>
        </w:tabs>
        <w:ind w:firstLine="426"/>
        <w:rPr>
          <w:rFonts w:ascii="Cambria" w:hAnsi="Cambria"/>
        </w:rPr>
      </w:pPr>
    </w:p>
    <w:p w14:paraId="55C9602E" w14:textId="72570AC1" w:rsidR="002C5323" w:rsidRPr="00946249" w:rsidRDefault="00691097" w:rsidP="00820485">
      <w:pPr>
        <w:tabs>
          <w:tab w:val="left" w:pos="1276"/>
          <w:tab w:val="left" w:pos="1418"/>
          <w:tab w:val="left" w:leader="dot" w:pos="8222"/>
          <w:tab w:val="right" w:pos="8647"/>
        </w:tabs>
        <w:jc w:val="both"/>
        <w:rPr>
          <w:rFonts w:ascii="Cambria" w:hAnsi="Cambria"/>
          <w:i/>
        </w:rPr>
      </w:pPr>
      <w:r w:rsidRPr="00946249">
        <w:rPr>
          <w:rFonts w:ascii="Cambria" w:hAnsi="Cambria"/>
          <w:i/>
        </w:rPr>
        <w:t>[15-09] Resolución de ICCAT que establece las directrices para la implementación de la Recomendación 11-15 de ICCAT sobre penalizaciones aplicables en caso de incumplimiento de las obligaciones en materia de comunicación</w:t>
      </w:r>
    </w:p>
    <w:p w14:paraId="297BA6F2" w14:textId="77777777" w:rsidR="006F533F" w:rsidRPr="00946249" w:rsidRDefault="006F533F" w:rsidP="00820485">
      <w:pPr>
        <w:tabs>
          <w:tab w:val="left" w:pos="1276"/>
          <w:tab w:val="left" w:pos="1418"/>
          <w:tab w:val="left" w:leader="dot" w:pos="8222"/>
          <w:tab w:val="right" w:pos="8647"/>
        </w:tabs>
        <w:ind w:firstLine="426"/>
        <w:rPr>
          <w:rFonts w:ascii="Cambria" w:hAnsi="Cambria"/>
        </w:rPr>
      </w:pPr>
    </w:p>
    <w:p w14:paraId="07C04A6A" w14:textId="7002AE34" w:rsidR="006F533F" w:rsidRPr="00946249" w:rsidRDefault="006F533F" w:rsidP="00820485">
      <w:pPr>
        <w:tabs>
          <w:tab w:val="left" w:pos="1276"/>
          <w:tab w:val="left" w:pos="1418"/>
          <w:tab w:val="left" w:leader="dot" w:pos="8222"/>
          <w:tab w:val="right" w:pos="8647"/>
        </w:tabs>
        <w:jc w:val="both"/>
        <w:rPr>
          <w:rFonts w:ascii="Cambria" w:hAnsi="Cambria"/>
        </w:rPr>
      </w:pPr>
      <w:r w:rsidRPr="00946249">
        <w:rPr>
          <w:rFonts w:ascii="Cambria" w:hAnsi="Cambria"/>
        </w:rPr>
        <w:t>Véase la Rec. 11-15 más arriba.</w:t>
      </w:r>
    </w:p>
    <w:p w14:paraId="491C71FE" w14:textId="77777777" w:rsidR="00C90AE3" w:rsidRPr="00946249" w:rsidRDefault="00C90AE3" w:rsidP="00820485">
      <w:pPr>
        <w:tabs>
          <w:tab w:val="left" w:pos="1276"/>
          <w:tab w:val="left" w:pos="1418"/>
          <w:tab w:val="left" w:leader="dot" w:pos="8222"/>
          <w:tab w:val="right" w:pos="8647"/>
        </w:tabs>
        <w:ind w:firstLine="426"/>
        <w:rPr>
          <w:rFonts w:ascii="Cambria" w:hAnsi="Cambria"/>
        </w:rPr>
      </w:pPr>
    </w:p>
    <w:p w14:paraId="57D406A4" w14:textId="77777777" w:rsidR="00575E4A" w:rsidRPr="00946249" w:rsidRDefault="00575E4A" w:rsidP="00820485">
      <w:pPr>
        <w:tabs>
          <w:tab w:val="left" w:pos="1276"/>
          <w:tab w:val="left" w:pos="1418"/>
          <w:tab w:val="left" w:leader="dot" w:pos="8222"/>
          <w:tab w:val="right" w:pos="8647"/>
        </w:tabs>
        <w:jc w:val="both"/>
        <w:rPr>
          <w:rFonts w:ascii="Cambria" w:hAnsi="Cambria"/>
          <w:i/>
        </w:rPr>
      </w:pPr>
    </w:p>
    <w:p w14:paraId="0150C0F0" w14:textId="77777777" w:rsidR="00575E4A" w:rsidRPr="00946249" w:rsidRDefault="00575E4A" w:rsidP="00820485">
      <w:pPr>
        <w:tabs>
          <w:tab w:val="left" w:pos="1276"/>
          <w:tab w:val="left" w:pos="1418"/>
          <w:tab w:val="left" w:leader="dot" w:pos="8222"/>
          <w:tab w:val="right" w:pos="8647"/>
        </w:tabs>
        <w:jc w:val="both"/>
        <w:rPr>
          <w:rFonts w:ascii="Cambria" w:hAnsi="Cambria"/>
          <w:i/>
        </w:rPr>
      </w:pPr>
    </w:p>
    <w:p w14:paraId="750F9310" w14:textId="7C0FB2F1" w:rsidR="002C5323" w:rsidRPr="00946249" w:rsidRDefault="00305BFC" w:rsidP="00820485">
      <w:pPr>
        <w:tabs>
          <w:tab w:val="left" w:pos="1276"/>
          <w:tab w:val="left" w:pos="1418"/>
          <w:tab w:val="left" w:leader="dot" w:pos="8222"/>
          <w:tab w:val="right" w:pos="8647"/>
        </w:tabs>
        <w:jc w:val="both"/>
        <w:rPr>
          <w:rFonts w:ascii="Cambria" w:hAnsi="Cambria"/>
          <w:i/>
        </w:rPr>
      </w:pPr>
      <w:r w:rsidRPr="00946249">
        <w:rPr>
          <w:rFonts w:ascii="Cambria" w:hAnsi="Cambria"/>
          <w:i/>
        </w:rPr>
        <w:lastRenderedPageBreak/>
        <w:t>[16-14] Recomendación de ICCAT para establecer unas normas mínimas para programas de observadores científicos en buques pesqueros</w:t>
      </w:r>
    </w:p>
    <w:p w14:paraId="7189B423" w14:textId="77777777" w:rsidR="00956609" w:rsidRPr="00946249" w:rsidRDefault="00956609" w:rsidP="00820485">
      <w:pPr>
        <w:tabs>
          <w:tab w:val="left" w:pos="1276"/>
          <w:tab w:val="left" w:pos="1418"/>
          <w:tab w:val="left" w:leader="dot" w:pos="8222"/>
          <w:tab w:val="right" w:pos="8647"/>
        </w:tabs>
        <w:ind w:firstLine="426"/>
        <w:rPr>
          <w:rFonts w:ascii="Cambria" w:hAnsi="Cambria"/>
        </w:rPr>
      </w:pPr>
    </w:p>
    <w:p w14:paraId="07A6A320" w14:textId="7CF05741" w:rsidR="0001572E" w:rsidRPr="00946249" w:rsidRDefault="00956609" w:rsidP="00820485">
      <w:pPr>
        <w:jc w:val="both"/>
        <w:rPr>
          <w:rFonts w:ascii="Cambria" w:hAnsi="Cambria"/>
          <w:bCs/>
          <w:iCs/>
        </w:rPr>
      </w:pPr>
      <w:r w:rsidRPr="00946249">
        <w:rPr>
          <w:rFonts w:ascii="Cambria" w:hAnsi="Cambria"/>
        </w:rPr>
        <w:t>Varias CPC han indicado dificultades a la hora de implementar el programa de observadores científicos. En los documentos "Informe de la Secretaría de ICCAT sobre investigación y estadísticas de 2025</w:t>
      </w:r>
      <w:bookmarkStart w:id="30" w:name="_Hlk46402389"/>
      <w:r w:rsidRPr="00946249">
        <w:rPr>
          <w:rFonts w:ascii="Cambria" w:hAnsi="Cambria"/>
        </w:rPr>
        <w:t>"</w:t>
      </w:r>
      <w:bookmarkEnd w:id="30"/>
      <w:r w:rsidRPr="00946249">
        <w:rPr>
          <w:rFonts w:ascii="Cambria" w:hAnsi="Cambria"/>
        </w:rPr>
        <w:t xml:space="preserve"> [PLE_105/2025] e "Información sobre la aplicación de los programas de observadores científicos tal y como ha sido comunicada por las CPC" [COC_318/2025] se incluye un resumen de los programas de observadores de las CPC.</w:t>
      </w:r>
    </w:p>
    <w:p w14:paraId="6699FE62" w14:textId="77777777" w:rsidR="00750FDA" w:rsidRPr="00946249" w:rsidRDefault="00750FDA" w:rsidP="00820485">
      <w:pPr>
        <w:jc w:val="both"/>
        <w:rPr>
          <w:rFonts w:ascii="Cambria" w:hAnsi="Cambria"/>
          <w:bCs/>
          <w:iCs/>
        </w:rPr>
      </w:pPr>
    </w:p>
    <w:p w14:paraId="4B61FB50" w14:textId="2F87DD05" w:rsidR="00040DC9" w:rsidRPr="00946249" w:rsidRDefault="00040DC9" w:rsidP="00820485">
      <w:pPr>
        <w:tabs>
          <w:tab w:val="left" w:pos="1276"/>
          <w:tab w:val="left" w:pos="1418"/>
          <w:tab w:val="left" w:leader="dot" w:pos="8222"/>
          <w:tab w:val="right" w:pos="8647"/>
        </w:tabs>
        <w:rPr>
          <w:rFonts w:ascii="Cambria" w:hAnsi="Cambria"/>
          <w:i/>
        </w:rPr>
      </w:pPr>
      <w:r w:rsidRPr="00946249">
        <w:rPr>
          <w:rFonts w:ascii="Cambria" w:hAnsi="Cambria"/>
          <w:i/>
        </w:rPr>
        <w:t>[21-15] Recomendación de ICCAT sobre transbordo</w:t>
      </w:r>
    </w:p>
    <w:p w14:paraId="09CCE947" w14:textId="77777777" w:rsidR="006937ED" w:rsidRPr="00946249" w:rsidRDefault="006937ED" w:rsidP="006D1DE6">
      <w:pPr>
        <w:tabs>
          <w:tab w:val="left" w:pos="1276"/>
          <w:tab w:val="left" w:pos="1418"/>
          <w:tab w:val="left" w:leader="dot" w:pos="8222"/>
          <w:tab w:val="right" w:pos="8647"/>
        </w:tabs>
        <w:rPr>
          <w:rFonts w:ascii="Cambria" w:hAnsi="Cambria"/>
          <w:i/>
        </w:rPr>
      </w:pPr>
    </w:p>
    <w:p w14:paraId="459FA4EF" w14:textId="157A0651" w:rsidR="006937ED" w:rsidRPr="00946249" w:rsidRDefault="006937ED" w:rsidP="006937ED">
      <w:pPr>
        <w:tabs>
          <w:tab w:val="left" w:pos="1276"/>
          <w:tab w:val="left" w:pos="1418"/>
          <w:tab w:val="left" w:leader="dot" w:pos="8222"/>
          <w:tab w:val="right" w:pos="8647"/>
        </w:tabs>
        <w:jc w:val="both"/>
        <w:rPr>
          <w:rFonts w:ascii="Cambria" w:hAnsi="Cambria"/>
          <w:bCs/>
        </w:rPr>
      </w:pPr>
      <w:r w:rsidRPr="00946249">
        <w:rPr>
          <w:rFonts w:ascii="Cambria" w:hAnsi="Cambria"/>
        </w:rPr>
        <w:t xml:space="preserve">(reemplazada por la </w:t>
      </w:r>
      <w:r w:rsidRPr="00946249">
        <w:rPr>
          <w:rFonts w:ascii="Cambria" w:hAnsi="Cambria"/>
          <w:i/>
        </w:rPr>
        <w:t xml:space="preserve">[24-15] </w:t>
      </w:r>
      <w:r w:rsidRPr="00946249">
        <w:rPr>
          <w:rFonts w:ascii="Cambria" w:hAnsi="Cambria"/>
          <w:i/>
          <w:color w:val="000000"/>
        </w:rPr>
        <w:t>Recomendación de ICCAT que enmienda la Recomendación 21-15 sobre transbordo)</w:t>
      </w:r>
    </w:p>
    <w:p w14:paraId="0179C9E5" w14:textId="77777777" w:rsidR="00ED04E9" w:rsidRPr="00946249" w:rsidRDefault="00ED04E9" w:rsidP="00820485">
      <w:pPr>
        <w:tabs>
          <w:tab w:val="left" w:pos="1276"/>
          <w:tab w:val="left" w:pos="1418"/>
          <w:tab w:val="left" w:leader="dot" w:pos="8222"/>
          <w:tab w:val="right" w:pos="8647"/>
        </w:tabs>
        <w:jc w:val="both"/>
        <w:rPr>
          <w:rFonts w:ascii="Cambria" w:hAnsi="Cambria"/>
        </w:rPr>
      </w:pPr>
    </w:p>
    <w:p w14:paraId="1C0D34A2" w14:textId="58065192" w:rsidR="006F533F" w:rsidRPr="00946249" w:rsidRDefault="006F533F" w:rsidP="0042078C">
      <w:pPr>
        <w:tabs>
          <w:tab w:val="left" w:pos="1276"/>
          <w:tab w:val="left" w:pos="1418"/>
          <w:tab w:val="left" w:leader="dot" w:pos="8222"/>
          <w:tab w:val="right" w:pos="8647"/>
        </w:tabs>
        <w:jc w:val="both"/>
        <w:rPr>
          <w:rFonts w:ascii="Cambria" w:hAnsi="Cambria"/>
        </w:rPr>
      </w:pPr>
      <w:r w:rsidRPr="00946249">
        <w:rPr>
          <w:rFonts w:ascii="Cambria" w:hAnsi="Cambria"/>
        </w:rPr>
        <w:t xml:space="preserve">En el sitio web de ICCAT, en el </w:t>
      </w:r>
      <w:hyperlink r:id="rId31" w:history="1">
        <w:r w:rsidRPr="00946249">
          <w:rPr>
            <w:rStyle w:val="Hyperlink"/>
            <w:rFonts w:ascii="Cambria" w:hAnsi="Cambria"/>
            <w:u w:val="none"/>
          </w:rPr>
          <w:t>Registro ICCAT de buques</w:t>
        </w:r>
      </w:hyperlink>
      <w:r w:rsidRPr="00946249">
        <w:rPr>
          <w:rFonts w:ascii="Cambria" w:hAnsi="Cambria"/>
        </w:rPr>
        <w:t xml:space="preserve">, se publican los buques de transporte y los LPLV asociados. </w:t>
      </w:r>
    </w:p>
    <w:p w14:paraId="17C8FB68" w14:textId="77777777" w:rsidR="009E61C4" w:rsidRPr="00946249" w:rsidRDefault="009E61C4" w:rsidP="0042078C">
      <w:pPr>
        <w:tabs>
          <w:tab w:val="left" w:pos="1276"/>
          <w:tab w:val="left" w:pos="1418"/>
          <w:tab w:val="left" w:leader="dot" w:pos="8222"/>
          <w:tab w:val="right" w:pos="8647"/>
        </w:tabs>
        <w:jc w:val="both"/>
        <w:rPr>
          <w:rFonts w:ascii="Cambria" w:hAnsi="Cambria"/>
        </w:rPr>
      </w:pPr>
    </w:p>
    <w:p w14:paraId="073A63E3" w14:textId="56C008BC" w:rsidR="0036435B" w:rsidRPr="00946249" w:rsidRDefault="0064289F" w:rsidP="0042078C">
      <w:pPr>
        <w:tabs>
          <w:tab w:val="left" w:pos="1276"/>
          <w:tab w:val="left" w:pos="1418"/>
          <w:tab w:val="left" w:leader="dot" w:pos="8222"/>
          <w:tab w:val="right" w:pos="8647"/>
        </w:tabs>
        <w:jc w:val="both"/>
        <w:rPr>
          <w:rFonts w:ascii="Cambria" w:hAnsi="Cambria"/>
        </w:rPr>
      </w:pPr>
      <w:r w:rsidRPr="00946249">
        <w:rPr>
          <w:rFonts w:ascii="Cambria" w:hAnsi="Cambria"/>
        </w:rPr>
        <w:t>El “Informe sobre la implementación del Programa regional de observadores de ICCAT (ROP) para</w:t>
      </w:r>
      <w:r w:rsidR="009E61C4" w:rsidRPr="00946249">
        <w:rPr>
          <w:rFonts w:ascii="Cambria" w:hAnsi="Cambria"/>
        </w:rPr>
        <w:t xml:space="preserve"> </w:t>
      </w:r>
      <w:r w:rsidRPr="00946249">
        <w:rPr>
          <w:rFonts w:ascii="Cambria" w:hAnsi="Cambria"/>
        </w:rPr>
        <w:t>el transbordo 2024/2025” [PWG_402/2025] contiene más información. Los casos de posibles incumplimientos comunicados por los observadores, junto con las respuestas de las CPC, están incluidos en el documento "Cuestiones de posible incumplimiento derivadas de los Programas regionales de observadores de ICCAT y respuestas" [COC_305/2025].</w:t>
      </w:r>
      <w:r w:rsidRPr="00946249">
        <w:rPr>
          <w:rFonts w:ascii="Cambria" w:hAnsi="Cambria"/>
          <w:b/>
        </w:rPr>
        <w:t xml:space="preserve"> </w:t>
      </w:r>
      <w:r w:rsidRPr="00946249">
        <w:rPr>
          <w:rFonts w:ascii="Cambria" w:hAnsi="Cambria"/>
        </w:rPr>
        <w:t xml:space="preserve">Los informes de los observadores se han publicado en el </w:t>
      </w:r>
      <w:hyperlink r:id="rId32" w:history="1">
        <w:r w:rsidRPr="00946249">
          <w:rPr>
            <w:rStyle w:val="Hyperlink"/>
            <w:rFonts w:ascii="Cambria" w:hAnsi="Cambria"/>
            <w:u w:val="none"/>
          </w:rPr>
          <w:t>sitio web de ICCAT</w:t>
        </w:r>
      </w:hyperlink>
      <w:r w:rsidRPr="00946249">
        <w:rPr>
          <w:rFonts w:ascii="Cambria" w:hAnsi="Cambria"/>
        </w:rPr>
        <w:t xml:space="preserve"> tal y como requiere la Recomendación.  </w:t>
      </w:r>
    </w:p>
    <w:p w14:paraId="6B10013C" w14:textId="77777777" w:rsidR="0042078C" w:rsidRPr="00946249" w:rsidRDefault="0042078C" w:rsidP="0042078C">
      <w:pPr>
        <w:tabs>
          <w:tab w:val="left" w:pos="1276"/>
          <w:tab w:val="left" w:pos="1418"/>
          <w:tab w:val="left" w:leader="dot" w:pos="8222"/>
          <w:tab w:val="right" w:pos="8647"/>
        </w:tabs>
        <w:jc w:val="both"/>
        <w:rPr>
          <w:rFonts w:ascii="Cambria" w:hAnsi="Cambria"/>
        </w:rPr>
      </w:pPr>
    </w:p>
    <w:p w14:paraId="11A58007" w14:textId="2758E95F" w:rsidR="000330F3" w:rsidRPr="00946249" w:rsidRDefault="000330F3" w:rsidP="0042078C">
      <w:pPr>
        <w:jc w:val="both"/>
        <w:rPr>
          <w:rFonts w:ascii="Cambria" w:hAnsi="Cambria"/>
        </w:rPr>
      </w:pPr>
      <w:r w:rsidRPr="00946249">
        <w:rPr>
          <w:rFonts w:ascii="Cambria" w:hAnsi="Cambria"/>
        </w:rPr>
        <w:t>En los últimos años, se han presentado varias declaraciones de transbordo sin ajustarse a un requisito específico. Esto ha supuesto un gran reto para la Secretaría de ICCAT a la hora de determinar qué documentos se ajustan a las Recomendaciones de ICCAT. El problema se ve agravado por el hecho de que algunas CPC siguen enviando información no obligatoria, lo que supone una carga adicional significativa para la Secretaría de ICCAT en cuanto al registro y la revisión de envíos irrelevantes. Esto también impide seriamente el procesamiento adecuado de la información relevante. A menudo, esto se debe a que la Secretaría de ICCAT recibe copias innecesarias de este tipo de comunicaciones, lo que claramente podría evitarse.</w:t>
      </w:r>
    </w:p>
    <w:p w14:paraId="3599B71F" w14:textId="77777777" w:rsidR="0088151D" w:rsidRPr="00946249" w:rsidRDefault="0088151D" w:rsidP="00820485">
      <w:pPr>
        <w:rPr>
          <w:rFonts w:ascii="Cambria" w:hAnsi="Cambria"/>
        </w:rPr>
      </w:pPr>
    </w:p>
    <w:p w14:paraId="58DCD17D" w14:textId="55128B05" w:rsidR="009B1C06" w:rsidRPr="00946249" w:rsidRDefault="009B1C06" w:rsidP="000371A1">
      <w:pPr>
        <w:pBdr>
          <w:top w:val="single" w:sz="4" w:space="1" w:color="auto"/>
          <w:left w:val="single" w:sz="4" w:space="0" w:color="auto"/>
          <w:bottom w:val="single" w:sz="4" w:space="1" w:color="auto"/>
          <w:right w:val="single" w:sz="4" w:space="4" w:color="auto"/>
        </w:pBdr>
        <w:jc w:val="both"/>
        <w:rPr>
          <w:rFonts w:ascii="Cambria" w:hAnsi="Cambria"/>
        </w:rPr>
      </w:pPr>
      <w:bookmarkStart w:id="31" w:name="_Hlk173150431"/>
      <w:r w:rsidRPr="00946249">
        <w:rPr>
          <w:rFonts w:ascii="Cambria" w:hAnsi="Cambria"/>
          <w:b/>
        </w:rPr>
        <w:t>Solicitud de la Secretaría de ICCAT</w:t>
      </w:r>
      <w:r w:rsidRPr="00946249">
        <w:rPr>
          <w:rFonts w:ascii="Cambria" w:hAnsi="Cambria"/>
        </w:rPr>
        <w:t xml:space="preserve">: Las CPC se limitarán a presentar a la Secretaría de ICCAT únicamente la documentación requerida por la Recomendación, y utilizarán los formatos aprobados por ICCAT cuando proceda. </w:t>
      </w:r>
    </w:p>
    <w:bookmarkEnd w:id="31"/>
    <w:p w14:paraId="27604E8B" w14:textId="77777777" w:rsidR="009B1C06" w:rsidRPr="00946249" w:rsidRDefault="009B1C06" w:rsidP="00820485">
      <w:pPr>
        <w:tabs>
          <w:tab w:val="left" w:pos="1276"/>
          <w:tab w:val="left" w:pos="1418"/>
          <w:tab w:val="left" w:leader="dot" w:pos="8222"/>
          <w:tab w:val="right" w:pos="8647"/>
        </w:tabs>
        <w:jc w:val="both"/>
        <w:rPr>
          <w:rFonts w:ascii="Cambria" w:hAnsi="Cambria"/>
        </w:rPr>
      </w:pPr>
    </w:p>
    <w:p w14:paraId="005DDFF6" w14:textId="3E3625E2" w:rsidR="00606492" w:rsidRPr="00946249" w:rsidRDefault="00040DC9" w:rsidP="00B66704">
      <w:pPr>
        <w:jc w:val="both"/>
        <w:rPr>
          <w:rFonts w:ascii="Cambria" w:hAnsi="Cambria"/>
          <w:i/>
        </w:rPr>
      </w:pPr>
      <w:r w:rsidRPr="00946249">
        <w:rPr>
          <w:rFonts w:ascii="Cambria" w:hAnsi="Cambria"/>
          <w:i/>
          <w:iCs/>
        </w:rPr>
        <w:t>[19-17] Resolución de ICCAT que enmienda la Resolución 18-11 de ICCAT que establece un programa piloto para el intercambio voluntario de personal de inspección en las pesquerías gestionadas por ICCAT</w:t>
      </w:r>
    </w:p>
    <w:p w14:paraId="3F1D597B" w14:textId="63FEA90F" w:rsidR="002B3117" w:rsidRPr="00946249" w:rsidRDefault="002B3117" w:rsidP="00B66704">
      <w:pPr>
        <w:jc w:val="both"/>
        <w:rPr>
          <w:rFonts w:ascii="Cambria" w:hAnsi="Cambria"/>
          <w:i/>
        </w:rPr>
      </w:pPr>
    </w:p>
    <w:p w14:paraId="3BA89B70" w14:textId="26CEBB2D" w:rsidR="002B3117" w:rsidRPr="00946249" w:rsidRDefault="002B3117" w:rsidP="00B66704">
      <w:pPr>
        <w:jc w:val="both"/>
        <w:rPr>
          <w:rStyle w:val="Hyperlink"/>
          <w:rFonts w:ascii="Cambria" w:hAnsi="Cambria"/>
          <w:iCs/>
          <w:u w:val="none"/>
        </w:rPr>
      </w:pPr>
      <w:r w:rsidRPr="00946249">
        <w:rPr>
          <w:rFonts w:ascii="Cambria" w:hAnsi="Cambria"/>
        </w:rPr>
        <w:t xml:space="preserve">En el </w:t>
      </w:r>
      <w:hyperlink r:id="rId33" w:history="1">
        <w:r w:rsidRPr="00946249">
          <w:rPr>
            <w:rStyle w:val="Hyperlink"/>
            <w:rFonts w:ascii="Cambria" w:hAnsi="Cambria"/>
            <w:u w:val="none"/>
          </w:rPr>
          <w:t xml:space="preserve">sitio web de ICCAT </w:t>
        </w:r>
      </w:hyperlink>
      <w:r w:rsidRPr="00946249">
        <w:rPr>
          <w:rFonts w:ascii="Cambria" w:hAnsi="Cambria"/>
        </w:rPr>
        <w:t xml:space="preserve">se han publicado los puntos de contacto. </w:t>
      </w:r>
    </w:p>
    <w:p w14:paraId="0AE1958A" w14:textId="7CF8DC0E" w:rsidR="002942B7" w:rsidRPr="00946249" w:rsidRDefault="002942B7" w:rsidP="00B66704">
      <w:pPr>
        <w:jc w:val="both"/>
        <w:rPr>
          <w:rFonts w:ascii="Cambria" w:hAnsi="Cambria"/>
        </w:rPr>
      </w:pPr>
    </w:p>
    <w:p w14:paraId="4A063896" w14:textId="57C2B8C0" w:rsidR="002942B7" w:rsidRPr="00946249" w:rsidRDefault="002942B7" w:rsidP="00B66704">
      <w:pPr>
        <w:tabs>
          <w:tab w:val="left" w:pos="1276"/>
          <w:tab w:val="left" w:pos="1418"/>
          <w:tab w:val="left" w:leader="dot" w:pos="8222"/>
          <w:tab w:val="right" w:pos="8647"/>
        </w:tabs>
        <w:jc w:val="both"/>
        <w:rPr>
          <w:rFonts w:ascii="Cambria" w:hAnsi="Cambria"/>
          <w:iCs/>
        </w:rPr>
      </w:pPr>
      <w:r w:rsidRPr="00946249">
        <w:rPr>
          <w:rFonts w:ascii="Cambria" w:hAnsi="Cambria"/>
          <w:i/>
        </w:rPr>
        <w:t>[19-09] Recomendación de ICCAT sobre avistamientos de buques</w:t>
      </w:r>
    </w:p>
    <w:p w14:paraId="6BB5C01C" w14:textId="77777777" w:rsidR="002942B7" w:rsidRPr="00946249" w:rsidRDefault="002942B7" w:rsidP="00B66704">
      <w:pPr>
        <w:tabs>
          <w:tab w:val="left" w:pos="1276"/>
          <w:tab w:val="left" w:pos="1418"/>
          <w:tab w:val="left" w:leader="dot" w:pos="8222"/>
          <w:tab w:val="right" w:pos="8647"/>
        </w:tabs>
        <w:jc w:val="both"/>
        <w:rPr>
          <w:rFonts w:ascii="Cambria" w:hAnsi="Cambria"/>
          <w:i/>
        </w:rPr>
      </w:pPr>
    </w:p>
    <w:p w14:paraId="63A5A460" w14:textId="7BC19A91" w:rsidR="00073AE6" w:rsidRPr="00946249" w:rsidRDefault="005D3001" w:rsidP="00B66704">
      <w:pPr>
        <w:tabs>
          <w:tab w:val="left" w:pos="1276"/>
          <w:tab w:val="left" w:pos="1418"/>
          <w:tab w:val="left" w:leader="dot" w:pos="8222"/>
          <w:tab w:val="right" w:pos="8647"/>
        </w:tabs>
        <w:jc w:val="both"/>
        <w:rPr>
          <w:rStyle w:val="Strong"/>
          <w:rFonts w:ascii="Cambria" w:hAnsi="Cambria"/>
          <w:b w:val="0"/>
          <w:bCs w:val="0"/>
        </w:rPr>
      </w:pPr>
      <w:r w:rsidRPr="00946249">
        <w:rPr>
          <w:rStyle w:val="ui-provider"/>
          <w:rFonts w:ascii="Cambria" w:hAnsi="Cambria"/>
        </w:rPr>
        <w:t xml:space="preserve">Se notificaron diecisiete (17) avistamientos de buques por parte de la Unión Europea con pabellón de Albania (3), Marruecos (4) y Senegal (1), y por parte de Argelia con pabellón de Argelia (6), UE-Italia (2) y UE-Malta (1). Esta información, junto con sus respuestas cuando corresponda, se encuentra en el </w:t>
      </w:r>
      <w:r w:rsidRPr="00946249">
        <w:rPr>
          <w:rStyle w:val="Strong"/>
          <w:rFonts w:ascii="Cambria" w:hAnsi="Cambria"/>
        </w:rPr>
        <w:t>Apéndice 5</w:t>
      </w:r>
      <w:r w:rsidRPr="00946249">
        <w:rPr>
          <w:rStyle w:val="Strong"/>
          <w:rFonts w:ascii="Cambria" w:hAnsi="Cambria"/>
          <w:b w:val="0"/>
        </w:rPr>
        <w:t xml:space="preserve">. </w:t>
      </w:r>
    </w:p>
    <w:p w14:paraId="1C82F605" w14:textId="77777777" w:rsidR="0050673F" w:rsidRPr="00946249" w:rsidRDefault="0050673F" w:rsidP="00B66704">
      <w:pPr>
        <w:jc w:val="both"/>
        <w:rPr>
          <w:rFonts w:ascii="Cambria" w:hAnsi="Cambria"/>
        </w:rPr>
      </w:pPr>
    </w:p>
    <w:p w14:paraId="4E77701D" w14:textId="3E58172F" w:rsidR="000C3FE0" w:rsidRPr="00946249" w:rsidRDefault="000C3FE0" w:rsidP="00B66704">
      <w:pPr>
        <w:jc w:val="both"/>
        <w:rPr>
          <w:rFonts w:ascii="Cambria" w:hAnsi="Cambria"/>
          <w:iCs/>
        </w:rPr>
      </w:pPr>
      <w:r w:rsidRPr="00946249">
        <w:rPr>
          <w:rFonts w:ascii="Cambria" w:hAnsi="Cambria"/>
          <w:i/>
          <w:iCs/>
        </w:rPr>
        <w:t>[19-10]</w:t>
      </w:r>
      <w:r w:rsidRPr="00946249">
        <w:rPr>
          <w:rFonts w:ascii="Cambria" w:hAnsi="Cambria"/>
        </w:rPr>
        <w:t xml:space="preserve"> </w:t>
      </w:r>
      <w:hyperlink r:id="rId34" w:tgtFrame="_blank" w:history="1">
        <w:r w:rsidRPr="00946249">
          <w:rPr>
            <w:rFonts w:ascii="Cambria" w:hAnsi="Cambria"/>
            <w:i/>
          </w:rPr>
          <w:t>Recomendación de ICCAT para proteger la salud y la seguridad de los observadores en los programas regionales de observadores de ICCAT</w:t>
        </w:r>
      </w:hyperlink>
      <w:r w:rsidRPr="00946249">
        <w:rPr>
          <w:rFonts w:ascii="Cambria" w:hAnsi="Cambria"/>
          <w:i/>
        </w:rPr>
        <w:t xml:space="preserve"> </w:t>
      </w:r>
    </w:p>
    <w:p w14:paraId="5714DF27" w14:textId="77777777" w:rsidR="000C3FE0" w:rsidRPr="00946249" w:rsidRDefault="000C3FE0" w:rsidP="00B66704">
      <w:pPr>
        <w:jc w:val="both"/>
        <w:rPr>
          <w:rFonts w:ascii="Cambria" w:hAnsi="Cambria"/>
          <w:iCs/>
        </w:rPr>
      </w:pPr>
    </w:p>
    <w:p w14:paraId="602760F3" w14:textId="1D1F10DE" w:rsidR="000C3FE0" w:rsidRPr="00946249" w:rsidRDefault="004B0190" w:rsidP="00B66704">
      <w:pPr>
        <w:jc w:val="both"/>
        <w:rPr>
          <w:rFonts w:ascii="Cambria" w:hAnsi="Cambria"/>
        </w:rPr>
      </w:pPr>
      <w:r w:rsidRPr="00946249">
        <w:rPr>
          <w:rFonts w:ascii="Cambria" w:hAnsi="Cambria"/>
        </w:rPr>
        <w:t xml:space="preserve">Hasta la fecha se han recibido </w:t>
      </w:r>
      <w:hyperlink r:id="rId35" w:history="1">
        <w:r w:rsidRPr="00946249">
          <w:rPr>
            <w:rStyle w:val="Hyperlink"/>
            <w:rFonts w:ascii="Cambria" w:hAnsi="Cambria"/>
            <w:u w:val="none"/>
          </w:rPr>
          <w:t>18 Planes de acción de emergencia</w:t>
        </w:r>
      </w:hyperlink>
      <w:r w:rsidRPr="00946249">
        <w:rPr>
          <w:rFonts w:ascii="Cambria" w:hAnsi="Cambria"/>
        </w:rPr>
        <w:t>.</w:t>
      </w:r>
    </w:p>
    <w:p w14:paraId="42241013" w14:textId="77777777" w:rsidR="004B0190" w:rsidRPr="00946249" w:rsidRDefault="004B0190" w:rsidP="00820485">
      <w:pPr>
        <w:jc w:val="both"/>
        <w:rPr>
          <w:rFonts w:ascii="Cambria" w:hAnsi="Cambria"/>
          <w:iCs/>
        </w:rPr>
      </w:pPr>
    </w:p>
    <w:p w14:paraId="61BF2EC1" w14:textId="547E35DF" w:rsidR="000C3FE0" w:rsidRPr="00946249" w:rsidRDefault="000C3FE0" w:rsidP="00820485">
      <w:pPr>
        <w:jc w:val="both"/>
        <w:rPr>
          <w:rFonts w:ascii="Cambria" w:hAnsi="Cambria"/>
          <w:i/>
        </w:rPr>
      </w:pPr>
      <w:r w:rsidRPr="00946249">
        <w:rPr>
          <w:rFonts w:ascii="Cambria" w:hAnsi="Cambria"/>
          <w:i/>
          <w:iCs/>
        </w:rPr>
        <w:t>[19-11]</w:t>
      </w:r>
      <w:r w:rsidRPr="00946249">
        <w:rPr>
          <w:rFonts w:ascii="Cambria" w:hAnsi="Cambria"/>
        </w:rPr>
        <w:t xml:space="preserve"> </w:t>
      </w:r>
      <w:hyperlink r:id="rId36" w:tgtFrame="_blank" w:history="1">
        <w:r w:rsidRPr="00946249">
          <w:rPr>
            <w:rFonts w:ascii="Cambria" w:hAnsi="Cambria"/>
            <w:i/>
          </w:rPr>
          <w:t>Recomendación de ICCAT sobre artes de pesca abandonados, perdidos o descartados de algún otro modo</w:t>
        </w:r>
      </w:hyperlink>
    </w:p>
    <w:p w14:paraId="7E719234" w14:textId="77777777" w:rsidR="000C3FE0" w:rsidRPr="00946249" w:rsidRDefault="000C3FE0" w:rsidP="00820485">
      <w:pPr>
        <w:jc w:val="both"/>
        <w:rPr>
          <w:rFonts w:ascii="Cambria" w:hAnsi="Cambria"/>
          <w:i/>
        </w:rPr>
      </w:pPr>
    </w:p>
    <w:p w14:paraId="6602CAE7" w14:textId="0A229586" w:rsidR="000C3FE0" w:rsidRPr="00946249" w:rsidRDefault="000C3FE0" w:rsidP="00820485">
      <w:pPr>
        <w:jc w:val="both"/>
        <w:rPr>
          <w:rFonts w:ascii="Cambria" w:hAnsi="Cambria"/>
          <w:iCs/>
        </w:rPr>
      </w:pPr>
      <w:r w:rsidRPr="00946249">
        <w:rPr>
          <w:rFonts w:ascii="Cambria" w:hAnsi="Cambria"/>
        </w:rPr>
        <w:t>Hasta la fecha no se ha comunicado información a la Secretaría.</w:t>
      </w:r>
    </w:p>
    <w:p w14:paraId="283BE022" w14:textId="77777777" w:rsidR="00D64450" w:rsidRPr="00946249" w:rsidRDefault="00D64450" w:rsidP="00820485">
      <w:pPr>
        <w:jc w:val="both"/>
        <w:rPr>
          <w:rFonts w:ascii="Cambria" w:hAnsi="Cambria"/>
          <w:iCs/>
        </w:rPr>
      </w:pPr>
    </w:p>
    <w:p w14:paraId="3C99285E" w14:textId="08E59703" w:rsidR="00D64450" w:rsidRPr="00946249" w:rsidRDefault="00D64450" w:rsidP="00D64450">
      <w:pPr>
        <w:jc w:val="both"/>
        <w:rPr>
          <w:rFonts w:ascii="Cambria" w:hAnsi="Cambria"/>
          <w:i/>
          <w:iCs/>
        </w:rPr>
      </w:pPr>
      <w:r w:rsidRPr="00946249">
        <w:rPr>
          <w:rFonts w:ascii="Cambria" w:hAnsi="Cambria"/>
          <w:i/>
        </w:rPr>
        <w:lastRenderedPageBreak/>
        <w:t xml:space="preserve">[23-18] </w:t>
      </w:r>
      <w:r w:rsidRPr="00946249">
        <w:rPr>
          <w:rFonts w:ascii="Cambria" w:hAnsi="Cambria"/>
          <w:i/>
          <w:iCs/>
        </w:rPr>
        <w:t>Recomendación de ICCAT que establece normas mínimas y requisitos de programa para el uso de Sistemas de seguimiento electrónico (EMS) en las pesquerías de ICCAT</w:t>
      </w:r>
    </w:p>
    <w:p w14:paraId="4C29BD2C" w14:textId="77777777" w:rsidR="00D64450" w:rsidRPr="00946249" w:rsidRDefault="00D64450" w:rsidP="00D64450">
      <w:pPr>
        <w:jc w:val="both"/>
        <w:rPr>
          <w:rFonts w:ascii="Cambria" w:hAnsi="Cambria"/>
          <w:i/>
        </w:rPr>
      </w:pPr>
    </w:p>
    <w:p w14:paraId="5AAE6375" w14:textId="384F31BF" w:rsidR="00D64450" w:rsidRPr="00946249" w:rsidRDefault="00D64450" w:rsidP="00D64450">
      <w:pPr>
        <w:jc w:val="both"/>
        <w:rPr>
          <w:rFonts w:ascii="Cambria" w:hAnsi="Cambria"/>
          <w:iCs/>
        </w:rPr>
      </w:pPr>
      <w:r w:rsidRPr="00946249">
        <w:rPr>
          <w:rFonts w:ascii="Cambria" w:hAnsi="Cambria"/>
        </w:rPr>
        <w:t>Hasta la fecha no se ha comunicado información a la Secretaría.</w:t>
      </w:r>
    </w:p>
    <w:p w14:paraId="0DA87763" w14:textId="77777777" w:rsidR="00D64450" w:rsidRPr="00946249" w:rsidRDefault="00D64450" w:rsidP="00820485">
      <w:pPr>
        <w:jc w:val="both"/>
        <w:rPr>
          <w:rFonts w:ascii="Cambria" w:hAnsi="Cambria"/>
          <w:iCs/>
        </w:rPr>
      </w:pPr>
    </w:p>
    <w:p w14:paraId="74518297" w14:textId="77777777" w:rsidR="00D84401" w:rsidRPr="00946249" w:rsidRDefault="00D84401" w:rsidP="00820485">
      <w:pPr>
        <w:rPr>
          <w:rFonts w:ascii="Cambria" w:hAnsi="Cambria"/>
        </w:rPr>
      </w:pPr>
    </w:p>
    <w:p w14:paraId="0DA69D91" w14:textId="77777777" w:rsidR="00F225F3" w:rsidRPr="00946249" w:rsidRDefault="00F225F3" w:rsidP="00820485">
      <w:pPr>
        <w:pStyle w:val="Heading7"/>
        <w:ind w:firstLine="0"/>
        <w:rPr>
          <w:rFonts w:ascii="Cambria" w:hAnsi="Cambria"/>
        </w:rPr>
      </w:pPr>
      <w:r w:rsidRPr="00946249">
        <w:rPr>
          <w:rFonts w:ascii="Cambria" w:hAnsi="Cambria"/>
        </w:rPr>
        <w:t xml:space="preserve">SANC </w:t>
      </w:r>
      <w:proofErr w:type="gramStart"/>
      <w:r w:rsidRPr="00946249">
        <w:rPr>
          <w:rFonts w:ascii="Cambria" w:hAnsi="Cambria"/>
        </w:rPr>
        <w:t>-  SANCIONES</w:t>
      </w:r>
      <w:proofErr w:type="gramEnd"/>
      <w:r w:rsidRPr="00946249">
        <w:rPr>
          <w:rFonts w:ascii="Cambria" w:hAnsi="Cambria"/>
        </w:rPr>
        <w:t>, MEDIDAS RELACIONADAS CON EL COMERCIO</w:t>
      </w:r>
    </w:p>
    <w:p w14:paraId="4BF77A39" w14:textId="77777777" w:rsidR="00F225F3" w:rsidRPr="00946249" w:rsidRDefault="00F225F3" w:rsidP="00820485">
      <w:pPr>
        <w:tabs>
          <w:tab w:val="left" w:pos="1276"/>
          <w:tab w:val="left" w:pos="1418"/>
          <w:tab w:val="left" w:leader="dot" w:pos="8222"/>
          <w:tab w:val="right" w:pos="8647"/>
        </w:tabs>
        <w:ind w:firstLine="425"/>
        <w:rPr>
          <w:rFonts w:ascii="Cambria" w:hAnsi="Cambria"/>
          <w:strike/>
        </w:rPr>
      </w:pPr>
    </w:p>
    <w:p w14:paraId="7018BF89" w14:textId="75233B92" w:rsidR="00F225F3" w:rsidRPr="00946249" w:rsidRDefault="006F1327" w:rsidP="00820485">
      <w:pPr>
        <w:tabs>
          <w:tab w:val="left" w:pos="1276"/>
          <w:tab w:val="left" w:pos="1418"/>
          <w:tab w:val="left" w:leader="dot" w:pos="8222"/>
          <w:tab w:val="right" w:pos="8647"/>
        </w:tabs>
        <w:rPr>
          <w:rFonts w:ascii="Cambria" w:hAnsi="Cambria"/>
        </w:rPr>
      </w:pPr>
      <w:r w:rsidRPr="00946249">
        <w:rPr>
          <w:rFonts w:ascii="Cambria" w:hAnsi="Cambria"/>
        </w:rPr>
        <w:t>No hay medidas activas actualmente.</w:t>
      </w:r>
    </w:p>
    <w:p w14:paraId="0078DB04" w14:textId="77777777" w:rsidR="00CE1AD3" w:rsidRPr="00946249" w:rsidRDefault="00CE1AD3" w:rsidP="00820485">
      <w:pPr>
        <w:tabs>
          <w:tab w:val="left" w:pos="1276"/>
          <w:tab w:val="left" w:pos="1418"/>
          <w:tab w:val="left" w:leader="dot" w:pos="8222"/>
          <w:tab w:val="right" w:pos="8647"/>
        </w:tabs>
        <w:ind w:firstLine="425"/>
        <w:rPr>
          <w:rFonts w:ascii="Cambria" w:hAnsi="Cambria"/>
        </w:rPr>
      </w:pPr>
    </w:p>
    <w:p w14:paraId="08DA932A" w14:textId="77777777" w:rsidR="000371A1" w:rsidRPr="00946249" w:rsidRDefault="000371A1" w:rsidP="00820485">
      <w:pPr>
        <w:tabs>
          <w:tab w:val="left" w:pos="1276"/>
          <w:tab w:val="left" w:pos="1418"/>
          <w:tab w:val="left" w:leader="dot" w:pos="8222"/>
          <w:tab w:val="right" w:pos="8647"/>
        </w:tabs>
        <w:ind w:firstLine="425"/>
        <w:rPr>
          <w:rFonts w:ascii="Cambria" w:hAnsi="Cambria"/>
        </w:rPr>
      </w:pPr>
    </w:p>
    <w:p w14:paraId="3776DFD3" w14:textId="77777777" w:rsidR="00F225F3" w:rsidRPr="00946249" w:rsidRDefault="00F225F3" w:rsidP="00820485">
      <w:pPr>
        <w:pStyle w:val="Heading7"/>
        <w:ind w:firstLine="0"/>
        <w:rPr>
          <w:rFonts w:ascii="Cambria" w:hAnsi="Cambria"/>
        </w:rPr>
      </w:pPr>
      <w:r w:rsidRPr="00946249">
        <w:rPr>
          <w:rFonts w:ascii="Cambria" w:hAnsi="Cambria"/>
        </w:rPr>
        <w:t xml:space="preserve">SDP - PROGRAMAS DE DOCUMENTO ESTADÍSTICO </w:t>
      </w:r>
    </w:p>
    <w:p w14:paraId="66758468" w14:textId="77777777" w:rsidR="00F225F3" w:rsidRPr="00946249" w:rsidRDefault="00F225F3" w:rsidP="00820485">
      <w:pPr>
        <w:tabs>
          <w:tab w:val="left" w:pos="1276"/>
          <w:tab w:val="left" w:pos="1418"/>
          <w:tab w:val="left" w:leader="dot" w:pos="8222"/>
          <w:tab w:val="right" w:pos="8647"/>
        </w:tabs>
        <w:ind w:firstLine="425"/>
        <w:rPr>
          <w:rFonts w:ascii="Cambria" w:hAnsi="Cambria"/>
        </w:rPr>
      </w:pPr>
    </w:p>
    <w:p w14:paraId="45657E85" w14:textId="6ADF1040" w:rsidR="00F225F3" w:rsidRPr="00946249" w:rsidRDefault="00F225F3" w:rsidP="00820485">
      <w:pPr>
        <w:tabs>
          <w:tab w:val="left" w:pos="1276"/>
          <w:tab w:val="left" w:pos="1418"/>
          <w:tab w:val="left" w:leader="dot" w:pos="8222"/>
          <w:tab w:val="right" w:pos="8647"/>
        </w:tabs>
        <w:rPr>
          <w:rFonts w:ascii="Cambria" w:hAnsi="Cambria"/>
          <w:i/>
        </w:rPr>
      </w:pPr>
      <w:r w:rsidRPr="00946249">
        <w:rPr>
          <w:rFonts w:ascii="Cambria" w:hAnsi="Cambria"/>
          <w:i/>
        </w:rPr>
        <w:t xml:space="preserve">[01-21] Recomendación de ICCAT sobre el Programa de documento estadístico ICCAT para el patudo </w:t>
      </w:r>
    </w:p>
    <w:p w14:paraId="61B38E01" w14:textId="77777777" w:rsidR="00882FCC" w:rsidRPr="00946249" w:rsidRDefault="00882FCC" w:rsidP="00820485">
      <w:pPr>
        <w:tabs>
          <w:tab w:val="left" w:pos="1276"/>
          <w:tab w:val="left" w:pos="1418"/>
          <w:tab w:val="left" w:leader="dot" w:pos="8222"/>
          <w:tab w:val="right" w:pos="8647"/>
        </w:tabs>
        <w:ind w:firstLine="426"/>
        <w:rPr>
          <w:rFonts w:ascii="Cambria" w:hAnsi="Cambria"/>
          <w:i/>
        </w:rPr>
      </w:pPr>
    </w:p>
    <w:p w14:paraId="405BA676" w14:textId="6DE204A4" w:rsidR="00882FCC" w:rsidRPr="00946249" w:rsidRDefault="00882FCC" w:rsidP="000371A1">
      <w:pPr>
        <w:tabs>
          <w:tab w:val="left" w:pos="1276"/>
          <w:tab w:val="left" w:pos="1418"/>
          <w:tab w:val="left" w:leader="dot" w:pos="8222"/>
          <w:tab w:val="right" w:pos="8647"/>
        </w:tabs>
        <w:jc w:val="both"/>
        <w:rPr>
          <w:rFonts w:ascii="Cambria" w:hAnsi="Cambria"/>
        </w:rPr>
      </w:pPr>
      <w:r w:rsidRPr="00946249">
        <w:rPr>
          <w:rFonts w:ascii="Cambria" w:hAnsi="Cambria"/>
        </w:rPr>
        <w:t xml:space="preserve">Puede consultarse la información en el “Informe de la Secretaría al Grupo de trabajo permanente para la mejora de las estadísticas de ICCAT y de sus medidas de conservación (GTP)” [PWG_401/2025] y en el “Informe de la Secretaría de ICCAT sobre investigación y estadísticas de 2025” [PLE_105/2025]. </w:t>
      </w:r>
    </w:p>
    <w:p w14:paraId="7A03F80A" w14:textId="77777777" w:rsidR="0086709D" w:rsidRPr="00946249" w:rsidRDefault="0086709D" w:rsidP="00820485">
      <w:pPr>
        <w:tabs>
          <w:tab w:val="left" w:pos="1276"/>
          <w:tab w:val="left" w:pos="1418"/>
          <w:tab w:val="left" w:leader="dot" w:pos="8222"/>
          <w:tab w:val="right" w:pos="8647"/>
        </w:tabs>
        <w:ind w:firstLine="426"/>
        <w:rPr>
          <w:rFonts w:ascii="Cambria" w:hAnsi="Cambria"/>
        </w:rPr>
      </w:pPr>
    </w:p>
    <w:p w14:paraId="0A1DA1FB" w14:textId="0A7F5001" w:rsidR="00F225F3" w:rsidRPr="00946249" w:rsidRDefault="00F225F3" w:rsidP="00820485">
      <w:pPr>
        <w:tabs>
          <w:tab w:val="left" w:pos="1276"/>
          <w:tab w:val="left" w:pos="1418"/>
          <w:tab w:val="left" w:leader="dot" w:pos="8222"/>
          <w:tab w:val="right" w:pos="8647"/>
        </w:tabs>
        <w:rPr>
          <w:rFonts w:ascii="Cambria" w:hAnsi="Cambria"/>
          <w:i/>
        </w:rPr>
      </w:pPr>
      <w:r w:rsidRPr="00946249">
        <w:rPr>
          <w:rFonts w:ascii="Cambria" w:hAnsi="Cambria"/>
          <w:i/>
        </w:rPr>
        <w:t>[01-22] Recomendación de ICCAT respecto a establecer un Programa de documento estadístico ICCAT para el pez espada</w:t>
      </w:r>
    </w:p>
    <w:p w14:paraId="2DDBC69E" w14:textId="77777777" w:rsidR="009E23A8" w:rsidRPr="00946249" w:rsidRDefault="009E23A8" w:rsidP="00820485">
      <w:pPr>
        <w:tabs>
          <w:tab w:val="left" w:pos="1276"/>
          <w:tab w:val="left" w:pos="1418"/>
          <w:tab w:val="left" w:leader="dot" w:pos="8222"/>
          <w:tab w:val="right" w:pos="8647"/>
        </w:tabs>
        <w:ind w:firstLine="426"/>
        <w:rPr>
          <w:rFonts w:ascii="Cambria" w:hAnsi="Cambria"/>
          <w:i/>
        </w:rPr>
      </w:pPr>
    </w:p>
    <w:p w14:paraId="635F6A39" w14:textId="099CB0F2" w:rsidR="00BB0F5B" w:rsidRPr="00946249" w:rsidRDefault="004B0CAA" w:rsidP="00820485">
      <w:pPr>
        <w:tabs>
          <w:tab w:val="left" w:pos="300"/>
          <w:tab w:val="left" w:pos="700"/>
        </w:tabs>
        <w:jc w:val="both"/>
        <w:rPr>
          <w:rFonts w:ascii="Cambria" w:hAnsi="Cambria"/>
          <w:i/>
        </w:rPr>
      </w:pPr>
      <w:r w:rsidRPr="00946249">
        <w:rPr>
          <w:rFonts w:ascii="Cambria" w:hAnsi="Cambria"/>
        </w:rPr>
        <w:t xml:space="preserve">Algunas CPC siguen comunicando importaciones y reexportaciones tanto de patudo como de pez espada de pabellón desconocido y/o zona desconocida. </w:t>
      </w:r>
    </w:p>
    <w:p w14:paraId="5E7AE9D7" w14:textId="77777777" w:rsidR="0001572E" w:rsidRPr="00946249" w:rsidRDefault="0001572E" w:rsidP="00820485">
      <w:pPr>
        <w:tabs>
          <w:tab w:val="left" w:pos="1276"/>
          <w:tab w:val="left" w:pos="1418"/>
          <w:tab w:val="left" w:leader="dot" w:pos="8222"/>
          <w:tab w:val="right" w:pos="8647"/>
        </w:tabs>
        <w:ind w:firstLine="426"/>
        <w:rPr>
          <w:rFonts w:ascii="Cambria" w:hAnsi="Cambria"/>
        </w:rPr>
      </w:pPr>
    </w:p>
    <w:p w14:paraId="2C69D4D8" w14:textId="3D17B7D4" w:rsidR="009E23A8" w:rsidRPr="00946249" w:rsidRDefault="009E23A8" w:rsidP="006720E6">
      <w:pPr>
        <w:tabs>
          <w:tab w:val="left" w:pos="1276"/>
          <w:tab w:val="left" w:pos="1418"/>
          <w:tab w:val="left" w:leader="dot" w:pos="8222"/>
          <w:tab w:val="right" w:pos="8647"/>
        </w:tabs>
        <w:jc w:val="both"/>
        <w:rPr>
          <w:rFonts w:ascii="Cambria" w:hAnsi="Cambria"/>
        </w:rPr>
      </w:pPr>
      <w:r w:rsidRPr="00946249">
        <w:rPr>
          <w:rFonts w:ascii="Cambria" w:hAnsi="Cambria"/>
        </w:rPr>
        <w:t xml:space="preserve">Puede consultarse más información en el “Informe de la Secretaría al Grupo de trabajo permanente para la mejora de las estadísticas de ICCAT y de sus medidas de conservación (GTP)” [PWG_401/2025] y en el “Informe de la Secretaría de ICCAT sobre investigación y estadísticas de 2025” [PLE_105/2025]. </w:t>
      </w:r>
    </w:p>
    <w:p w14:paraId="2E0CE474" w14:textId="77777777" w:rsidR="00921BFC" w:rsidRPr="00946249" w:rsidRDefault="00921BFC" w:rsidP="00820485">
      <w:pPr>
        <w:tabs>
          <w:tab w:val="left" w:pos="1276"/>
          <w:tab w:val="left" w:pos="1418"/>
          <w:tab w:val="left" w:leader="dot" w:pos="8222"/>
          <w:tab w:val="right" w:pos="8647"/>
        </w:tabs>
        <w:jc w:val="both"/>
        <w:rPr>
          <w:rFonts w:ascii="Cambria" w:hAnsi="Cambria"/>
        </w:rPr>
      </w:pPr>
    </w:p>
    <w:p w14:paraId="56631E50" w14:textId="2F50F07B" w:rsidR="000A08DF" w:rsidRPr="00946249" w:rsidRDefault="000A08DF" w:rsidP="000A08DF">
      <w:pPr>
        <w:tabs>
          <w:tab w:val="left" w:pos="1276"/>
          <w:tab w:val="left" w:pos="1418"/>
          <w:tab w:val="left" w:leader="dot" w:pos="8222"/>
          <w:tab w:val="right" w:pos="8647"/>
        </w:tabs>
        <w:jc w:val="both"/>
        <w:rPr>
          <w:rFonts w:ascii="Cambria" w:hAnsi="Cambria"/>
          <w:i/>
        </w:rPr>
      </w:pPr>
      <w:r w:rsidRPr="00946249">
        <w:rPr>
          <w:rFonts w:ascii="Cambria" w:hAnsi="Cambria"/>
          <w:i/>
        </w:rPr>
        <w:t>[23-21] Recomendación de ICCAT que enmienda y reemplaza la Recomendación 18-13 sobre el programa ICCAT de documentación de capturas de atún rojo</w:t>
      </w:r>
    </w:p>
    <w:p w14:paraId="7E9D6D63" w14:textId="77777777" w:rsidR="000A08DF" w:rsidRPr="00946249" w:rsidRDefault="000A08DF" w:rsidP="00820485">
      <w:pPr>
        <w:tabs>
          <w:tab w:val="left" w:pos="1276"/>
          <w:tab w:val="left" w:pos="1418"/>
          <w:tab w:val="left" w:leader="dot" w:pos="8222"/>
          <w:tab w:val="right" w:pos="8647"/>
        </w:tabs>
        <w:jc w:val="both"/>
        <w:rPr>
          <w:rFonts w:ascii="Cambria" w:hAnsi="Cambria"/>
          <w:i/>
        </w:rPr>
      </w:pPr>
    </w:p>
    <w:p w14:paraId="3F7252B7" w14:textId="56CDEF86" w:rsidR="00CB3F15" w:rsidRPr="00946249" w:rsidRDefault="00823FCE" w:rsidP="00820485">
      <w:pPr>
        <w:jc w:val="both"/>
        <w:rPr>
          <w:rFonts w:ascii="Cambria" w:hAnsi="Cambria"/>
        </w:rPr>
      </w:pPr>
      <w:r w:rsidRPr="00946249">
        <w:rPr>
          <w:rFonts w:ascii="Cambria" w:hAnsi="Cambria"/>
        </w:rPr>
        <w:t>Véase el “Informe de la Secretaría al Grupo de trabajo permanente para la mejora de las estadísticas de ICCAT y de sus medidas de conservación (GTP)” [PWG_401/2025] para obtener información sobre la implementación de la Rec. 23-21 en el marco del sistema eBCD. Véase también la Rec. 22-16 más abajo.</w:t>
      </w:r>
    </w:p>
    <w:p w14:paraId="5B871EF7" w14:textId="1A9528E4" w:rsidR="009E61C4" w:rsidRPr="00946249" w:rsidRDefault="009E61C4" w:rsidP="00820485">
      <w:pPr>
        <w:jc w:val="both"/>
        <w:rPr>
          <w:rFonts w:ascii="Cambria" w:hAnsi="Cambria"/>
        </w:rPr>
      </w:pPr>
      <w:r w:rsidRPr="00946249">
        <w:rPr>
          <w:rFonts w:ascii="Cambria" w:hAnsi="Cambria"/>
          <w:noProof/>
          <w:lang w:val="en-US"/>
        </w:rPr>
        <mc:AlternateContent>
          <mc:Choice Requires="wps">
            <w:drawing>
              <wp:anchor distT="45720" distB="45720" distL="114300" distR="114300" simplePos="0" relativeHeight="251661312" behindDoc="0" locked="0" layoutInCell="1" allowOverlap="1" wp14:anchorId="674E85C6" wp14:editId="4A6ED9B1">
                <wp:simplePos x="0" y="0"/>
                <wp:positionH relativeFrom="margin">
                  <wp:posOffset>0</wp:posOffset>
                </wp:positionH>
                <wp:positionV relativeFrom="paragraph">
                  <wp:posOffset>195580</wp:posOffset>
                </wp:positionV>
                <wp:extent cx="5734050" cy="1404620"/>
                <wp:effectExtent l="0" t="0" r="19050" b="26670"/>
                <wp:wrapTopAndBottom/>
                <wp:docPr id="134913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6F47EEDE" w14:textId="7C974873" w:rsidR="009E61C4" w:rsidRDefault="009E61C4" w:rsidP="009E61C4">
                            <w:pPr>
                              <w:jc w:val="both"/>
                              <w:rPr>
                                <w:rFonts w:asciiTheme="majorHAnsi" w:hAnsiTheme="majorHAnsi"/>
                              </w:rPr>
                            </w:pPr>
                            <w:r w:rsidRPr="009E61C4">
                              <w:rPr>
                                <w:rFonts w:asciiTheme="majorHAnsi" w:hAnsiTheme="majorHAnsi"/>
                                <w:b/>
                                <w:bCs/>
                              </w:rPr>
                              <w:t>Solicitudes de la Secretaría de ICCAT:</w:t>
                            </w:r>
                            <w:r>
                              <w:rPr>
                                <w:rFonts w:asciiTheme="majorHAnsi" w:hAnsiTheme="majorHAnsi"/>
                                <w:b/>
                                <w:bCs/>
                              </w:rPr>
                              <w:t xml:space="preserve"> </w:t>
                            </w:r>
                            <w:r w:rsidRPr="009E61C4">
                              <w:rPr>
                                <w:rFonts w:asciiTheme="majorHAnsi" w:hAnsiTheme="majorHAnsi"/>
                              </w:rPr>
                              <w:t>Las CPC se limitarán a presentar a la Secretaría de ICCAT la información sobre los sellos de validación y las firmas para los programas ICCAT de documento estadístico de patudo/pez espada y de documentación de capturas de atún rojo, utilizando los formatos aprobados por ICCAT.</w:t>
                            </w:r>
                          </w:p>
                          <w:p w14:paraId="3C7E7E6B" w14:textId="77777777" w:rsidR="009E61C4" w:rsidRPr="009E61C4" w:rsidRDefault="009E61C4" w:rsidP="009E61C4">
                            <w:pPr>
                              <w:jc w:val="both"/>
                              <w:rPr>
                                <w:rFonts w:asciiTheme="majorHAnsi" w:hAnsiTheme="majorHAnsi"/>
                              </w:rPr>
                            </w:pPr>
                          </w:p>
                          <w:p w14:paraId="617E3A65" w14:textId="47D64682" w:rsidR="009E61C4" w:rsidRDefault="009E61C4" w:rsidP="009E61C4">
                            <w:pPr>
                              <w:jc w:val="both"/>
                              <w:rPr>
                                <w:rFonts w:asciiTheme="majorHAnsi" w:hAnsiTheme="majorHAnsi"/>
                              </w:rPr>
                            </w:pPr>
                            <w:r w:rsidRPr="009E61C4">
                              <w:rPr>
                                <w:rFonts w:asciiTheme="majorHAnsi" w:hAnsiTheme="majorHAnsi"/>
                              </w:rPr>
                              <w:t>En 2025, se contactó con la Secretaría en relación con cuestiones relativas a los envíos de atún blanco del Atlántico sur capturado por buques pesqueros con pabellón de CPC de ICCAT.</w:t>
                            </w:r>
                            <w:r>
                              <w:rPr>
                                <w:rFonts w:asciiTheme="majorHAnsi" w:hAnsiTheme="majorHAnsi"/>
                              </w:rPr>
                              <w:t xml:space="preserve"> </w:t>
                            </w:r>
                            <w:r w:rsidRPr="009E61C4">
                              <w:rPr>
                                <w:rFonts w:asciiTheme="majorHAnsi" w:hAnsiTheme="majorHAnsi"/>
                              </w:rPr>
                              <w:t>Estos envíos iban acompañados de documentos estadísticos etiquetados como "Documento estadístico de ICCAT sobre atún blanco".</w:t>
                            </w:r>
                          </w:p>
                          <w:p w14:paraId="17B5B990" w14:textId="77777777" w:rsidR="009E61C4" w:rsidRPr="009E61C4" w:rsidRDefault="009E61C4" w:rsidP="009E61C4">
                            <w:pPr>
                              <w:jc w:val="both"/>
                              <w:rPr>
                                <w:rFonts w:asciiTheme="majorHAnsi" w:hAnsiTheme="majorHAnsi"/>
                              </w:rPr>
                            </w:pPr>
                          </w:p>
                          <w:p w14:paraId="2025579F" w14:textId="7045A3C7" w:rsidR="009E61C4" w:rsidRDefault="009E61C4" w:rsidP="009E61C4">
                            <w:pPr>
                              <w:jc w:val="both"/>
                              <w:rPr>
                                <w:rFonts w:asciiTheme="majorHAnsi" w:hAnsiTheme="majorHAnsi"/>
                              </w:rPr>
                            </w:pPr>
                            <w:r w:rsidRPr="009E61C4">
                              <w:rPr>
                                <w:rFonts w:asciiTheme="majorHAnsi" w:hAnsiTheme="majorHAnsi"/>
                              </w:rPr>
                              <w:t>El Programa de documento estadístico (SDP) de ICCAT, en vigor desde 2002, solo abarca el patudo (BET), de conformidad con lo dispuesto en la Rec. 01-21, y el pez espada (SWO), de conformidad con la Rec. 01-22.</w:t>
                            </w:r>
                            <w:r>
                              <w:rPr>
                                <w:rFonts w:asciiTheme="majorHAnsi" w:hAnsiTheme="majorHAnsi"/>
                              </w:rPr>
                              <w:t xml:space="preserve"> </w:t>
                            </w:r>
                            <w:r w:rsidRPr="009E61C4">
                              <w:rPr>
                                <w:rFonts w:asciiTheme="majorHAnsi" w:hAnsiTheme="majorHAnsi"/>
                              </w:rPr>
                              <w:t>El SDP de ICCAT no cubre ninguna otra especie de túnidos de ICCAT, incluid</w:t>
                            </w:r>
                            <w:r>
                              <w:rPr>
                                <w:rFonts w:asciiTheme="majorHAnsi" w:hAnsiTheme="majorHAnsi"/>
                              </w:rPr>
                              <w:t>o</w:t>
                            </w:r>
                            <w:r w:rsidRPr="009E61C4">
                              <w:rPr>
                                <w:rFonts w:asciiTheme="majorHAnsi" w:hAnsiTheme="majorHAnsi"/>
                              </w:rPr>
                              <w:t xml:space="preserve"> el atún blanco.</w:t>
                            </w:r>
                          </w:p>
                          <w:p w14:paraId="6EF739DB" w14:textId="77777777" w:rsidR="009E61C4" w:rsidRPr="009E61C4" w:rsidRDefault="009E61C4" w:rsidP="009E61C4">
                            <w:pPr>
                              <w:jc w:val="both"/>
                              <w:rPr>
                                <w:rFonts w:asciiTheme="majorHAnsi" w:hAnsiTheme="majorHAnsi"/>
                              </w:rPr>
                            </w:pPr>
                          </w:p>
                          <w:p w14:paraId="69BBD6AD" w14:textId="539F34E5" w:rsidR="009E61C4" w:rsidRPr="009E61C4" w:rsidRDefault="009E61C4" w:rsidP="009E61C4">
                            <w:pPr>
                              <w:jc w:val="both"/>
                              <w:rPr>
                                <w:rFonts w:asciiTheme="majorHAnsi" w:hAnsiTheme="majorHAnsi"/>
                              </w:rPr>
                            </w:pPr>
                            <w:r w:rsidRPr="009E61C4">
                              <w:rPr>
                                <w:rFonts w:asciiTheme="majorHAnsi" w:hAnsiTheme="majorHAnsi"/>
                              </w:rPr>
                              <w:t>La Secretaría solicita amablemente a las CPC que se abstengan de expedir certificados que contengan alguna referencia a ICCAT, ya que esto podría llevar a los destinatarios a malinterpretar la validez de los documentos.</w:t>
                            </w:r>
                          </w:p>
                          <w:p w14:paraId="03C53DFE" w14:textId="2E282A46" w:rsidR="009E61C4" w:rsidRPr="009E61C4" w:rsidRDefault="009E61C4" w:rsidP="009E61C4">
                            <w:pPr>
                              <w:jc w:val="both"/>
                              <w:rPr>
                                <w:rFonts w:asciiTheme="majorHAnsi" w:hAnsiTheme="maj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4E85C6" id="Text Box 2" o:spid="_x0000_s1027" type="#_x0000_t202" style="position:absolute;left:0;text-align:left;margin-left:0;margin-top:15.4pt;width:451.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Ab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">
                <v:textbox style="mso-fit-shape-to-text:t">
                  <w:txbxContent>
                    <w:p w14:paraId="6F47EEDE" w14:textId="7C974873" w:rsidR="009E61C4" w:rsidRDefault="009E61C4" w:rsidP="009E61C4">
                      <w:pPr>
                        <w:jc w:val="both"/>
                        <w:rPr>
                          <w:rFonts w:asciiTheme="majorHAnsi" w:hAnsiTheme="majorHAnsi"/>
                        </w:rPr>
                      </w:pPr>
                      <w:r w:rsidRPr="009E61C4">
                        <w:rPr>
                          <w:rFonts w:asciiTheme="majorHAnsi" w:hAnsiTheme="majorHAnsi"/>
                          <w:b/>
                          <w:bCs/>
                        </w:rPr>
                        <w:t>Solicitudes de la Secretaría de ICCAT:</w:t>
                      </w:r>
                      <w:r>
                        <w:rPr>
                          <w:rFonts w:asciiTheme="majorHAnsi" w:hAnsiTheme="majorHAnsi"/>
                          <w:b/>
                          <w:bCs/>
                        </w:rPr>
                        <w:t xml:space="preserve"> </w:t>
                      </w:r>
                      <w:r w:rsidRPr="009E61C4">
                        <w:rPr>
                          <w:rFonts w:asciiTheme="majorHAnsi" w:hAnsiTheme="majorHAnsi"/>
                        </w:rPr>
                        <w:t>Las CPC se limitarán a presentar a la Secretaría de ICCAT la información sobre los sellos de validación y las firmas para los programas ICCAT de documento estadístico de patudo/pez espada y de documentación de capturas de atún rojo, utilizando los formatos aprobados por ICCAT.</w:t>
                      </w:r>
                    </w:p>
                    <w:p w14:paraId="3C7E7E6B" w14:textId="77777777" w:rsidR="009E61C4" w:rsidRPr="009E61C4" w:rsidRDefault="009E61C4" w:rsidP="009E61C4">
                      <w:pPr>
                        <w:jc w:val="both"/>
                        <w:rPr>
                          <w:rFonts w:asciiTheme="majorHAnsi" w:hAnsiTheme="majorHAnsi"/>
                        </w:rPr>
                      </w:pPr>
                    </w:p>
                    <w:p w14:paraId="617E3A65" w14:textId="47D64682" w:rsidR="009E61C4" w:rsidRDefault="009E61C4" w:rsidP="009E61C4">
                      <w:pPr>
                        <w:jc w:val="both"/>
                        <w:rPr>
                          <w:rFonts w:asciiTheme="majorHAnsi" w:hAnsiTheme="majorHAnsi"/>
                        </w:rPr>
                      </w:pPr>
                      <w:r w:rsidRPr="009E61C4">
                        <w:rPr>
                          <w:rFonts w:asciiTheme="majorHAnsi" w:hAnsiTheme="majorHAnsi"/>
                        </w:rPr>
                        <w:t>En 2025, se contactó con la Secretaría en relación con cuestiones relativas a los envíos de atún blanco del Atlántico sur capturado por buques pesqueros con pabellón de CPC de ICCAT.</w:t>
                      </w:r>
                      <w:r>
                        <w:rPr>
                          <w:rFonts w:asciiTheme="majorHAnsi" w:hAnsiTheme="majorHAnsi"/>
                        </w:rPr>
                        <w:t xml:space="preserve"> </w:t>
                      </w:r>
                      <w:r w:rsidRPr="009E61C4">
                        <w:rPr>
                          <w:rFonts w:asciiTheme="majorHAnsi" w:hAnsiTheme="majorHAnsi"/>
                        </w:rPr>
                        <w:t>Estos envíos iban acompañados de documentos estadísticos etiquetados como "Documento estadístico de ICCAT sobre atún blanco".</w:t>
                      </w:r>
                    </w:p>
                    <w:p w14:paraId="17B5B990" w14:textId="77777777" w:rsidR="009E61C4" w:rsidRPr="009E61C4" w:rsidRDefault="009E61C4" w:rsidP="009E61C4">
                      <w:pPr>
                        <w:jc w:val="both"/>
                        <w:rPr>
                          <w:rFonts w:asciiTheme="majorHAnsi" w:hAnsiTheme="majorHAnsi"/>
                        </w:rPr>
                      </w:pPr>
                    </w:p>
                    <w:p w14:paraId="2025579F" w14:textId="7045A3C7" w:rsidR="009E61C4" w:rsidRDefault="009E61C4" w:rsidP="009E61C4">
                      <w:pPr>
                        <w:jc w:val="both"/>
                        <w:rPr>
                          <w:rFonts w:asciiTheme="majorHAnsi" w:hAnsiTheme="majorHAnsi"/>
                        </w:rPr>
                      </w:pPr>
                      <w:r w:rsidRPr="009E61C4">
                        <w:rPr>
                          <w:rFonts w:asciiTheme="majorHAnsi" w:hAnsiTheme="majorHAnsi"/>
                        </w:rPr>
                        <w:t>El Programa de documento estadístico (SDP) de ICCAT, en vigor desde 2002, solo abarca el patudo (BET), de conformidad con lo dispuesto en la Rec. 01-21, y el pez espada (SWO), de conformidad con la Rec. 01-22.</w:t>
                      </w:r>
                      <w:r>
                        <w:rPr>
                          <w:rFonts w:asciiTheme="majorHAnsi" w:hAnsiTheme="majorHAnsi"/>
                        </w:rPr>
                        <w:t xml:space="preserve"> </w:t>
                      </w:r>
                      <w:r w:rsidRPr="009E61C4">
                        <w:rPr>
                          <w:rFonts w:asciiTheme="majorHAnsi" w:hAnsiTheme="majorHAnsi"/>
                        </w:rPr>
                        <w:t>El SDP de ICCAT no cubre ninguna otra especie de túnidos de ICCAT, incluid</w:t>
                      </w:r>
                      <w:r>
                        <w:rPr>
                          <w:rFonts w:asciiTheme="majorHAnsi" w:hAnsiTheme="majorHAnsi"/>
                        </w:rPr>
                        <w:t>o</w:t>
                      </w:r>
                      <w:r w:rsidRPr="009E61C4">
                        <w:rPr>
                          <w:rFonts w:asciiTheme="majorHAnsi" w:hAnsiTheme="majorHAnsi"/>
                        </w:rPr>
                        <w:t xml:space="preserve"> el atún blanco.</w:t>
                      </w:r>
                    </w:p>
                    <w:p w14:paraId="6EF739DB" w14:textId="77777777" w:rsidR="009E61C4" w:rsidRPr="009E61C4" w:rsidRDefault="009E61C4" w:rsidP="009E61C4">
                      <w:pPr>
                        <w:jc w:val="both"/>
                        <w:rPr>
                          <w:rFonts w:asciiTheme="majorHAnsi" w:hAnsiTheme="majorHAnsi"/>
                        </w:rPr>
                      </w:pPr>
                    </w:p>
                    <w:p w14:paraId="69BBD6AD" w14:textId="539F34E5" w:rsidR="009E61C4" w:rsidRPr="009E61C4" w:rsidRDefault="009E61C4" w:rsidP="009E61C4">
                      <w:pPr>
                        <w:jc w:val="both"/>
                        <w:rPr>
                          <w:rFonts w:asciiTheme="majorHAnsi" w:hAnsiTheme="majorHAnsi"/>
                        </w:rPr>
                      </w:pPr>
                      <w:r w:rsidRPr="009E61C4">
                        <w:rPr>
                          <w:rFonts w:asciiTheme="majorHAnsi" w:hAnsiTheme="majorHAnsi"/>
                        </w:rPr>
                        <w:t>La Secretaría solicita amablemente a las CPC que se abstengan de expedir certificados que contengan alguna referencia a ICCAT, ya que esto podría llevar a los destinatarios a malinterpretar la validez de los documentos.</w:t>
                      </w:r>
                    </w:p>
                    <w:p w14:paraId="03C53DFE" w14:textId="2E282A46" w:rsidR="009E61C4" w:rsidRPr="009E61C4" w:rsidRDefault="009E61C4" w:rsidP="009E61C4">
                      <w:pPr>
                        <w:jc w:val="both"/>
                        <w:rPr>
                          <w:rFonts w:asciiTheme="majorHAnsi" w:hAnsiTheme="majorHAnsi"/>
                        </w:rPr>
                      </w:pPr>
                    </w:p>
                  </w:txbxContent>
                </v:textbox>
                <w10:wrap type="topAndBottom" anchorx="margin"/>
              </v:shape>
            </w:pict>
          </mc:Fallback>
        </mc:AlternateContent>
      </w:r>
    </w:p>
    <w:p w14:paraId="0225FB94" w14:textId="77777777" w:rsidR="009E61C4" w:rsidRPr="00946249" w:rsidRDefault="009E61C4">
      <w:pPr>
        <w:widowControl/>
        <w:autoSpaceDE/>
        <w:autoSpaceDN/>
        <w:adjustRightInd/>
        <w:rPr>
          <w:rFonts w:ascii="Cambria" w:hAnsi="Cambria"/>
          <w:i/>
        </w:rPr>
      </w:pPr>
      <w:r w:rsidRPr="00946249">
        <w:rPr>
          <w:rFonts w:ascii="Cambria" w:hAnsi="Cambria"/>
          <w:i/>
        </w:rPr>
        <w:br w:type="page"/>
      </w:r>
    </w:p>
    <w:p w14:paraId="6FCF2BF3" w14:textId="3AA90B5E" w:rsidR="003E0403" w:rsidRPr="00946249" w:rsidRDefault="0045100B" w:rsidP="00823FCE">
      <w:pPr>
        <w:jc w:val="both"/>
        <w:rPr>
          <w:rFonts w:ascii="Cambria" w:hAnsi="Cambria"/>
          <w:i/>
        </w:rPr>
      </w:pPr>
      <w:r w:rsidRPr="00946249">
        <w:rPr>
          <w:rFonts w:ascii="Cambria" w:hAnsi="Cambria"/>
          <w:i/>
        </w:rPr>
        <w:lastRenderedPageBreak/>
        <w:t>[22-16] Recomendación de ICCAT que enmienda la Recomendación 21-18 sobre la aplicación del sistema eBCD</w:t>
      </w:r>
    </w:p>
    <w:p w14:paraId="0E1C67B5" w14:textId="77777777" w:rsidR="0030656A" w:rsidRPr="00946249" w:rsidRDefault="0030656A" w:rsidP="006D1DE6">
      <w:pPr>
        <w:jc w:val="both"/>
        <w:rPr>
          <w:rFonts w:ascii="Cambria" w:hAnsi="Cambria"/>
          <w:i/>
        </w:rPr>
      </w:pPr>
    </w:p>
    <w:p w14:paraId="2C53D273" w14:textId="2E165280" w:rsidR="0030656A" w:rsidRPr="00946249" w:rsidRDefault="0030656A" w:rsidP="0030656A">
      <w:pPr>
        <w:tabs>
          <w:tab w:val="left" w:pos="1276"/>
          <w:tab w:val="left" w:pos="1418"/>
          <w:tab w:val="left" w:leader="dot" w:pos="8222"/>
          <w:tab w:val="right" w:pos="8647"/>
        </w:tabs>
        <w:jc w:val="both"/>
        <w:rPr>
          <w:rFonts w:ascii="Cambria" w:hAnsi="Cambria"/>
          <w:bCs/>
        </w:rPr>
      </w:pPr>
      <w:r w:rsidRPr="00946249">
        <w:rPr>
          <w:rFonts w:ascii="Cambria" w:hAnsi="Cambria"/>
          <w:color w:val="000000"/>
        </w:rPr>
        <w:t xml:space="preserve">(reemplazada por la </w:t>
      </w:r>
      <w:r w:rsidRPr="00946249">
        <w:rPr>
          <w:rFonts w:ascii="Cambria" w:hAnsi="Cambria"/>
          <w:i/>
          <w:iCs/>
          <w:color w:val="000000"/>
        </w:rPr>
        <w:t>[24-16] Recomendación de ICCAT que enmienda la Recomendación 22-16 que enmienda la Recomendación 21-18 sobre la aplicación del sistema eBCD</w:t>
      </w:r>
      <w:r w:rsidRPr="00946249">
        <w:rPr>
          <w:rFonts w:ascii="Cambria" w:hAnsi="Cambria"/>
          <w:color w:val="000000"/>
        </w:rPr>
        <w:t>)</w:t>
      </w:r>
    </w:p>
    <w:p w14:paraId="0E627315" w14:textId="588E004F" w:rsidR="00A8171F" w:rsidRPr="00946249" w:rsidRDefault="00A8171F" w:rsidP="00820485">
      <w:pPr>
        <w:rPr>
          <w:rFonts w:ascii="Cambria" w:hAnsi="Cambria"/>
          <w:i/>
        </w:rPr>
      </w:pPr>
    </w:p>
    <w:p w14:paraId="2F5F2911" w14:textId="471452C8" w:rsidR="000A49E1" w:rsidRPr="00946249" w:rsidRDefault="00EB5A53" w:rsidP="005E2BDD">
      <w:pPr>
        <w:widowControl/>
        <w:autoSpaceDE/>
        <w:autoSpaceDN/>
        <w:adjustRightInd/>
        <w:jc w:val="both"/>
        <w:rPr>
          <w:rFonts w:ascii="Cambria" w:hAnsi="Cambria"/>
          <w:bCs/>
        </w:rPr>
      </w:pPr>
      <w:r w:rsidRPr="00946249">
        <w:rPr>
          <w:rFonts w:ascii="Cambria" w:hAnsi="Cambria"/>
        </w:rPr>
        <w:t xml:space="preserve">De conformidad con el Anexo 3 de la Rec. 22-16, fuera del horario de oficina de la Secretaría de ICCAT y del horario de asistencia técnica contratado con el consorcio, cualquier CPC puede registrar un incidente en la </w:t>
      </w:r>
      <w:hyperlink r:id="rId37" w:history="1">
        <w:r w:rsidRPr="00946249">
          <w:rPr>
            <w:rStyle w:val="Hyperlink"/>
            <w:rFonts w:ascii="Cambria" w:hAnsi="Cambria"/>
            <w:u w:val="none"/>
          </w:rPr>
          <w:t xml:space="preserve">página web del ICCAT </w:t>
        </w:r>
      </w:hyperlink>
      <w:r w:rsidRPr="00946249">
        <w:rPr>
          <w:rFonts w:ascii="Cambria" w:hAnsi="Cambria"/>
        </w:rPr>
        <w:t>para informar a todas las CPC de su uso temporal del eBCD en papel. Puede consultarse información adicional sobre los sistemas eBCD en el “Informe de la Secretaría al Grupo de trabajo permanente para la mejora de las estadísticas de ICCAT y de sus medidas de conservación (GTP)” [PWG_401/2025] y en el “Informe de la Primera reunión del CDS WG” [PWG_403/2025].</w:t>
      </w:r>
    </w:p>
    <w:p w14:paraId="475C69EB" w14:textId="3F58396F" w:rsidR="000F6192" w:rsidRPr="00946249" w:rsidRDefault="000F6192" w:rsidP="00820485">
      <w:pPr>
        <w:tabs>
          <w:tab w:val="left" w:pos="1276"/>
          <w:tab w:val="left" w:pos="1418"/>
          <w:tab w:val="left" w:leader="dot" w:pos="8222"/>
          <w:tab w:val="right" w:pos="8647"/>
        </w:tabs>
        <w:jc w:val="both"/>
        <w:rPr>
          <w:rFonts w:ascii="Cambria" w:hAnsi="Cambria"/>
          <w:bCs/>
        </w:rPr>
      </w:pPr>
    </w:p>
    <w:p w14:paraId="36A021BB" w14:textId="76AD1B6C" w:rsidR="000F6192" w:rsidRPr="00946249" w:rsidRDefault="000F6192" w:rsidP="00FC15C7">
      <w:pPr>
        <w:jc w:val="both"/>
        <w:rPr>
          <w:rFonts w:ascii="Cambria" w:hAnsi="Cambria"/>
        </w:rPr>
      </w:pPr>
      <w:bookmarkStart w:id="32" w:name="_Hlk181179624"/>
      <w:r w:rsidRPr="00946249">
        <w:rPr>
          <w:rFonts w:ascii="Cambria" w:hAnsi="Cambria"/>
        </w:rPr>
        <w:t>El informe sobre la derogación establecida en el párrafo 5b) está disponible como documento "Informe sobre la implementación de la derogación para la validación de los BCD para el comercio de atún rojo entre los Estados miembros de la UE en 2024 (párrafo 5b de la Recomendación 24-16 de ICCAT)" [PWG_410/2025].</w:t>
      </w:r>
    </w:p>
    <w:bookmarkEnd w:id="32"/>
    <w:p w14:paraId="73A00A01" w14:textId="77777777" w:rsidR="00182215" w:rsidRPr="00946249" w:rsidRDefault="00182215" w:rsidP="00820485">
      <w:pPr>
        <w:tabs>
          <w:tab w:val="left" w:pos="1276"/>
          <w:tab w:val="left" w:pos="1418"/>
          <w:tab w:val="left" w:leader="dot" w:pos="8222"/>
          <w:tab w:val="right" w:pos="8647"/>
        </w:tabs>
        <w:jc w:val="both"/>
        <w:rPr>
          <w:rFonts w:ascii="Cambria" w:hAnsi="Cambria"/>
          <w:b/>
          <w:bCs/>
        </w:rPr>
      </w:pPr>
    </w:p>
    <w:p w14:paraId="1E6E58D3" w14:textId="77777777" w:rsidR="005E2BDD" w:rsidRPr="00946249" w:rsidRDefault="005E2BDD" w:rsidP="00820485">
      <w:pPr>
        <w:tabs>
          <w:tab w:val="left" w:pos="1276"/>
          <w:tab w:val="left" w:pos="1418"/>
          <w:tab w:val="left" w:leader="dot" w:pos="8222"/>
          <w:tab w:val="right" w:pos="8647"/>
        </w:tabs>
        <w:jc w:val="both"/>
        <w:rPr>
          <w:rFonts w:ascii="Cambria" w:hAnsi="Cambria"/>
          <w:b/>
          <w:bCs/>
        </w:rPr>
      </w:pPr>
    </w:p>
    <w:p w14:paraId="0397E024" w14:textId="5407CDFB" w:rsidR="00F225F3" w:rsidRPr="00946249" w:rsidRDefault="00F225F3" w:rsidP="00820485">
      <w:pPr>
        <w:tabs>
          <w:tab w:val="left" w:pos="1276"/>
          <w:tab w:val="left" w:pos="1418"/>
          <w:tab w:val="left" w:leader="dot" w:pos="8222"/>
          <w:tab w:val="right" w:pos="8647"/>
        </w:tabs>
        <w:jc w:val="both"/>
        <w:rPr>
          <w:rFonts w:ascii="Cambria" w:hAnsi="Cambria"/>
          <w:b/>
          <w:bCs/>
        </w:rPr>
      </w:pPr>
      <w:r w:rsidRPr="00946249">
        <w:rPr>
          <w:rFonts w:ascii="Cambria" w:hAnsi="Cambria"/>
          <w:b/>
        </w:rPr>
        <w:t>TOR - TÉRMINOS DE REFERENCIA</w:t>
      </w:r>
    </w:p>
    <w:p w14:paraId="747E81D8" w14:textId="77777777" w:rsidR="00C04611" w:rsidRPr="00946249" w:rsidRDefault="00C04611" w:rsidP="00820485">
      <w:pPr>
        <w:tabs>
          <w:tab w:val="left" w:pos="1276"/>
          <w:tab w:val="left" w:pos="1418"/>
          <w:tab w:val="left" w:leader="dot" w:pos="8222"/>
          <w:tab w:val="right" w:pos="8647"/>
        </w:tabs>
        <w:ind w:firstLine="425"/>
        <w:rPr>
          <w:rFonts w:ascii="Cambria" w:hAnsi="Cambria"/>
        </w:rPr>
      </w:pPr>
    </w:p>
    <w:p w14:paraId="34482139" w14:textId="0D041944" w:rsidR="00B15954" w:rsidRPr="00946249" w:rsidRDefault="00305BFC" w:rsidP="00820485">
      <w:pPr>
        <w:tabs>
          <w:tab w:val="left" w:pos="1276"/>
          <w:tab w:val="left" w:pos="1418"/>
          <w:tab w:val="left" w:leader="dot" w:pos="8222"/>
          <w:tab w:val="right" w:pos="8647"/>
        </w:tabs>
        <w:rPr>
          <w:rFonts w:ascii="Cambria" w:hAnsi="Cambria"/>
          <w:i/>
          <w:iCs/>
        </w:rPr>
      </w:pPr>
      <w:r w:rsidRPr="00946249">
        <w:rPr>
          <w:rFonts w:ascii="Cambria" w:hAnsi="Cambria"/>
          <w:i/>
          <w:iCs/>
        </w:rPr>
        <w:t>[16-19] Recomendación de ICCAT para el desarrollo de un sistema de comunicación en línea</w:t>
      </w:r>
    </w:p>
    <w:p w14:paraId="4E2F54F5" w14:textId="77777777" w:rsidR="002933EB" w:rsidRPr="00946249" w:rsidRDefault="002933EB" w:rsidP="00820485">
      <w:pPr>
        <w:tabs>
          <w:tab w:val="left" w:pos="1276"/>
          <w:tab w:val="left" w:pos="1418"/>
          <w:tab w:val="left" w:leader="dot" w:pos="8222"/>
          <w:tab w:val="right" w:pos="8647"/>
        </w:tabs>
        <w:ind w:firstLine="425"/>
        <w:rPr>
          <w:rFonts w:ascii="Cambria" w:hAnsi="Cambria"/>
        </w:rPr>
      </w:pPr>
    </w:p>
    <w:p w14:paraId="08DB1F43" w14:textId="6132984B" w:rsidR="002933EB" w:rsidRPr="00946249" w:rsidRDefault="002933EB" w:rsidP="006D3B4D">
      <w:pPr>
        <w:widowControl/>
        <w:autoSpaceDE/>
        <w:autoSpaceDN/>
        <w:adjustRightInd/>
        <w:jc w:val="both"/>
        <w:rPr>
          <w:rFonts w:ascii="Cambria" w:hAnsi="Cambria"/>
          <w:bCs/>
        </w:rPr>
      </w:pPr>
      <w:r w:rsidRPr="00946249">
        <w:rPr>
          <w:rFonts w:ascii="Cambria" w:hAnsi="Cambria"/>
        </w:rPr>
        <w:t xml:space="preserve">La información sobre los progresos hasta la fecha puede consultarse en el documento "Informe de la reunión del Grupo de trabajo sobre tecnología de comunicación en línea (WG-ORT)" [COC_302/2025] y en la Ref. 23-24 más abajo. </w:t>
      </w:r>
    </w:p>
    <w:p w14:paraId="0C3B2F1E" w14:textId="77777777" w:rsidR="007E6579" w:rsidRPr="00946249" w:rsidRDefault="007E6579" w:rsidP="00820485">
      <w:pPr>
        <w:rPr>
          <w:rFonts w:ascii="Cambria" w:hAnsi="Cambria"/>
        </w:rPr>
      </w:pPr>
    </w:p>
    <w:p w14:paraId="3CE39727" w14:textId="77777777" w:rsidR="00EA555F" w:rsidRPr="00946249" w:rsidRDefault="00EA555F" w:rsidP="00820485">
      <w:pPr>
        <w:rPr>
          <w:rFonts w:ascii="Cambria" w:hAnsi="Cambria"/>
        </w:rPr>
      </w:pPr>
    </w:p>
    <w:p w14:paraId="2D9EE145" w14:textId="77777777" w:rsidR="00F225F3" w:rsidRPr="00946249" w:rsidRDefault="00F225F3" w:rsidP="00820485">
      <w:pPr>
        <w:pStyle w:val="Heading7"/>
        <w:ind w:firstLine="0"/>
        <w:rPr>
          <w:rFonts w:ascii="Cambria" w:hAnsi="Cambria"/>
        </w:rPr>
      </w:pPr>
      <w:r w:rsidRPr="00946249">
        <w:rPr>
          <w:rFonts w:ascii="Cambria" w:hAnsi="Cambria"/>
        </w:rPr>
        <w:t>MISC - MISCELÁNEA</w:t>
      </w:r>
    </w:p>
    <w:p w14:paraId="4334F001" w14:textId="77777777" w:rsidR="0077358A" w:rsidRPr="00946249" w:rsidRDefault="0077358A" w:rsidP="00820485">
      <w:pPr>
        <w:rPr>
          <w:rFonts w:ascii="Cambria" w:hAnsi="Cambria"/>
        </w:rPr>
      </w:pPr>
    </w:p>
    <w:p w14:paraId="60E82B55" w14:textId="00D41A92" w:rsidR="00F225F3" w:rsidRPr="00946249" w:rsidRDefault="00F225F3" w:rsidP="00820485">
      <w:pPr>
        <w:tabs>
          <w:tab w:val="left" w:pos="1276"/>
          <w:tab w:val="left" w:pos="1418"/>
          <w:tab w:val="left" w:leader="dot" w:pos="8222"/>
          <w:tab w:val="right" w:pos="8647"/>
        </w:tabs>
        <w:rPr>
          <w:rFonts w:ascii="Cambria" w:hAnsi="Cambria"/>
          <w:i/>
        </w:rPr>
      </w:pPr>
      <w:r w:rsidRPr="00946249">
        <w:rPr>
          <w:rFonts w:ascii="Cambria" w:hAnsi="Cambria"/>
          <w:i/>
        </w:rPr>
        <w:t>[99-07] Resolución de ICCAT sobre la mejora de las estadísticas de las pesquerías de recreo</w:t>
      </w:r>
    </w:p>
    <w:p w14:paraId="0985BFF6" w14:textId="77777777" w:rsidR="0066284E" w:rsidRPr="00946249" w:rsidRDefault="0066284E" w:rsidP="00820485">
      <w:pPr>
        <w:tabs>
          <w:tab w:val="left" w:pos="1276"/>
          <w:tab w:val="left" w:pos="1418"/>
          <w:tab w:val="left" w:leader="dot" w:pos="8222"/>
          <w:tab w:val="right" w:pos="8647"/>
        </w:tabs>
        <w:rPr>
          <w:rFonts w:ascii="Cambria" w:hAnsi="Cambria"/>
          <w:i/>
        </w:rPr>
      </w:pPr>
    </w:p>
    <w:p w14:paraId="74DA6F6F" w14:textId="25067827" w:rsidR="00255483" w:rsidRPr="00946249" w:rsidRDefault="002C6937" w:rsidP="00820485">
      <w:pPr>
        <w:tabs>
          <w:tab w:val="left" w:pos="1276"/>
          <w:tab w:val="left" w:pos="1418"/>
          <w:tab w:val="left" w:leader="dot" w:pos="8222"/>
          <w:tab w:val="right" w:pos="8647"/>
        </w:tabs>
        <w:jc w:val="both"/>
        <w:rPr>
          <w:rFonts w:ascii="Cambria" w:hAnsi="Cambria"/>
        </w:rPr>
      </w:pPr>
      <w:r w:rsidRPr="00946249">
        <w:rPr>
          <w:rFonts w:ascii="Cambria" w:hAnsi="Cambria"/>
        </w:rPr>
        <w:t>La información se incluye en los informes anuales de las CPC [COC_301/2025] y en las estadísticas de Tarea</w:t>
      </w:r>
      <w:r w:rsidR="009E61C4" w:rsidRPr="00946249">
        <w:rPr>
          <w:rFonts w:ascii="Cambria" w:hAnsi="Cambria"/>
        </w:rPr>
        <w:t> </w:t>
      </w:r>
      <w:r w:rsidRPr="00946249">
        <w:rPr>
          <w:rFonts w:ascii="Cambria" w:hAnsi="Cambria"/>
        </w:rPr>
        <w:t>1. Dado que el texto de la Resolución es vago (cada CPC suministrará al SCRS datos específicos que permitan a la Comisión determinar por separado la magnitud de las pesquerías de recreo de cada especie de túnidos y especies afines del Atlántico), la Comisión podría querer definir mejor la información requerida.</w:t>
      </w:r>
    </w:p>
    <w:p w14:paraId="7AF1E62A" w14:textId="2880381E" w:rsidR="007A2433" w:rsidRPr="00946249" w:rsidRDefault="007A2433" w:rsidP="00820485">
      <w:pPr>
        <w:tabs>
          <w:tab w:val="left" w:pos="1276"/>
          <w:tab w:val="left" w:pos="1418"/>
          <w:tab w:val="left" w:leader="dot" w:pos="8222"/>
          <w:tab w:val="right" w:pos="8647"/>
        </w:tabs>
        <w:ind w:firstLine="425"/>
        <w:jc w:val="both"/>
        <w:rPr>
          <w:rFonts w:ascii="Cambria" w:hAnsi="Cambria"/>
        </w:rPr>
      </w:pPr>
    </w:p>
    <w:p w14:paraId="78C29418" w14:textId="640C0B4F" w:rsidR="002F6ED0" w:rsidRPr="00946249" w:rsidRDefault="002F6ED0" w:rsidP="00820485">
      <w:pPr>
        <w:jc w:val="both"/>
        <w:rPr>
          <w:rFonts w:ascii="Cambria" w:hAnsi="Cambria"/>
          <w:iCs/>
        </w:rPr>
      </w:pPr>
      <w:r w:rsidRPr="00946249">
        <w:rPr>
          <w:rFonts w:ascii="Cambria" w:hAnsi="Cambria"/>
          <w:i/>
        </w:rPr>
        <w:t>[21-24] Recomendación de ICCAT para reemplazar la Recomendación 03-20 sobre criterios para acceder al estatus de Parte, Entidad o Entidad pesquera no contratante colaboradora en ICCAT</w:t>
      </w:r>
    </w:p>
    <w:p w14:paraId="1C19A691" w14:textId="77777777" w:rsidR="00F225F3" w:rsidRPr="00946249" w:rsidRDefault="00F225F3" w:rsidP="00820485">
      <w:pPr>
        <w:tabs>
          <w:tab w:val="left" w:pos="1276"/>
          <w:tab w:val="left" w:pos="1418"/>
          <w:tab w:val="left" w:leader="dot" w:pos="8222"/>
          <w:tab w:val="right" w:pos="8647"/>
        </w:tabs>
        <w:ind w:firstLine="425"/>
        <w:jc w:val="both"/>
        <w:rPr>
          <w:rFonts w:ascii="Cambria" w:hAnsi="Cambria"/>
        </w:rPr>
      </w:pPr>
    </w:p>
    <w:p w14:paraId="6EC18C54" w14:textId="5B252B68" w:rsidR="00F978E7" w:rsidRPr="00946249" w:rsidRDefault="005C5AFA" w:rsidP="00820485">
      <w:pPr>
        <w:tabs>
          <w:tab w:val="left" w:pos="1276"/>
          <w:tab w:val="left" w:pos="1418"/>
          <w:tab w:val="left" w:leader="dot" w:pos="8222"/>
          <w:tab w:val="right" w:pos="8647"/>
        </w:tabs>
        <w:jc w:val="both"/>
        <w:rPr>
          <w:rFonts w:ascii="Cambria" w:hAnsi="Cambria"/>
        </w:rPr>
      </w:pPr>
      <w:r w:rsidRPr="00946249">
        <w:rPr>
          <w:rFonts w:ascii="Cambria" w:hAnsi="Cambria"/>
        </w:rPr>
        <w:t xml:space="preserve">Bolivia, </w:t>
      </w:r>
      <w:proofErr w:type="spellStart"/>
      <w:r w:rsidRPr="00946249">
        <w:rPr>
          <w:rFonts w:ascii="Cambria" w:hAnsi="Cambria"/>
        </w:rPr>
        <w:t>Taipei</w:t>
      </w:r>
      <w:proofErr w:type="spellEnd"/>
      <w:r w:rsidRPr="00946249">
        <w:rPr>
          <w:rFonts w:ascii="Cambria" w:hAnsi="Cambria"/>
        </w:rPr>
        <w:t xml:space="preserve"> </w:t>
      </w:r>
      <w:proofErr w:type="gramStart"/>
      <w:r w:rsidRPr="00946249">
        <w:rPr>
          <w:rFonts w:ascii="Cambria" w:hAnsi="Cambria"/>
        </w:rPr>
        <w:t>Chino</w:t>
      </w:r>
      <w:proofErr w:type="gramEnd"/>
      <w:r w:rsidRPr="00946249">
        <w:rPr>
          <w:rFonts w:ascii="Cambria" w:hAnsi="Cambria"/>
        </w:rPr>
        <w:t xml:space="preserve">, Guyana y Surinam tienen actualmente el estatus de colaborador. La revisión del cumplimiento de las Partes, Entidades o Entidades pesqueras no contratantes colaboradas puede consultarse en el "Proyecto de tablas resumen de cumplimiento" [COC_308/2025]. </w:t>
      </w:r>
    </w:p>
    <w:p w14:paraId="1FB5D4C1" w14:textId="77777777" w:rsidR="00D84401" w:rsidRPr="00946249" w:rsidRDefault="00D84401" w:rsidP="00820485">
      <w:pPr>
        <w:tabs>
          <w:tab w:val="left" w:pos="1276"/>
          <w:tab w:val="left" w:pos="1418"/>
          <w:tab w:val="left" w:leader="dot" w:pos="8222"/>
          <w:tab w:val="right" w:pos="8647"/>
        </w:tabs>
        <w:jc w:val="both"/>
        <w:rPr>
          <w:rFonts w:ascii="Cambria" w:hAnsi="Cambria"/>
          <w:bCs/>
        </w:rPr>
      </w:pPr>
    </w:p>
    <w:p w14:paraId="20104476" w14:textId="3D1ABF5A" w:rsidR="00035FB8" w:rsidRPr="00946249" w:rsidRDefault="007F3459" w:rsidP="00820485">
      <w:pPr>
        <w:tabs>
          <w:tab w:val="left" w:pos="1276"/>
          <w:tab w:val="left" w:pos="1418"/>
          <w:tab w:val="left" w:leader="dot" w:pos="8222"/>
          <w:tab w:val="right" w:pos="8647"/>
        </w:tabs>
        <w:jc w:val="both"/>
        <w:rPr>
          <w:rFonts w:ascii="Cambria" w:hAnsi="Cambria"/>
          <w:bCs/>
        </w:rPr>
      </w:pPr>
      <w:r w:rsidRPr="00946249">
        <w:rPr>
          <w:rFonts w:ascii="Cambria" w:hAnsi="Cambria"/>
          <w:i/>
        </w:rPr>
        <w:t xml:space="preserve">[05-09] Recomendación de ICCAT sobre cumplimiento de las obligaciones de comunicar las estadísticas </w:t>
      </w:r>
    </w:p>
    <w:p w14:paraId="52E6C8E7" w14:textId="77777777" w:rsidR="00F978E7" w:rsidRPr="00946249" w:rsidRDefault="00F978E7" w:rsidP="00820485">
      <w:pPr>
        <w:tabs>
          <w:tab w:val="left" w:pos="1276"/>
          <w:tab w:val="left" w:pos="1418"/>
          <w:tab w:val="left" w:leader="dot" w:pos="8222"/>
          <w:tab w:val="right" w:pos="8647"/>
        </w:tabs>
        <w:jc w:val="both"/>
        <w:rPr>
          <w:rFonts w:ascii="Cambria" w:hAnsi="Cambria"/>
        </w:rPr>
      </w:pPr>
    </w:p>
    <w:p w14:paraId="16ADE3B3" w14:textId="204E6A17" w:rsidR="00B05931" w:rsidRPr="00946249" w:rsidRDefault="00237D4D" w:rsidP="009E61C4">
      <w:pPr>
        <w:widowControl/>
        <w:autoSpaceDE/>
        <w:autoSpaceDN/>
        <w:adjustRightInd/>
        <w:jc w:val="both"/>
        <w:rPr>
          <w:rFonts w:ascii="Cambria" w:hAnsi="Cambria"/>
        </w:rPr>
      </w:pPr>
      <w:r w:rsidRPr="00946249">
        <w:rPr>
          <w:rFonts w:ascii="Cambria" w:hAnsi="Cambria"/>
        </w:rPr>
        <w:t>Puede consultarse el "Informe de la Secretaría sobre investigación y estadísticas de 2025” [PLE_105/2025] para más detalles sobre comunicación de estadísticas, así como la Rec. 11-15 mencionada más arriba. Las siguientes Partes no contratantes han facilitado datos este año: Dominica, Gibraltar y Jamaica.</w:t>
      </w:r>
    </w:p>
    <w:p w14:paraId="21C4B6C5" w14:textId="514899AE" w:rsidR="00F978E7" w:rsidRPr="00946249" w:rsidRDefault="00F978E7" w:rsidP="00820485">
      <w:pPr>
        <w:tabs>
          <w:tab w:val="left" w:pos="1276"/>
          <w:tab w:val="left" w:pos="1418"/>
          <w:tab w:val="left" w:leader="dot" w:pos="8222"/>
          <w:tab w:val="right" w:pos="8647"/>
        </w:tabs>
        <w:jc w:val="both"/>
        <w:rPr>
          <w:rFonts w:ascii="Cambria" w:hAnsi="Cambria"/>
          <w:i/>
        </w:rPr>
      </w:pPr>
    </w:p>
    <w:p w14:paraId="179B307B" w14:textId="278FDD5A" w:rsidR="003847AD" w:rsidRPr="00946249" w:rsidRDefault="003847AD" w:rsidP="00820485">
      <w:pPr>
        <w:tabs>
          <w:tab w:val="left" w:pos="1276"/>
          <w:tab w:val="left" w:pos="1418"/>
          <w:tab w:val="left" w:leader="dot" w:pos="8222"/>
          <w:tab w:val="right" w:pos="8647"/>
        </w:tabs>
        <w:jc w:val="both"/>
        <w:rPr>
          <w:rFonts w:ascii="Cambria" w:hAnsi="Cambria"/>
        </w:rPr>
      </w:pPr>
      <w:bookmarkStart w:id="33" w:name="_Hlk180407301"/>
      <w:r w:rsidRPr="00946249">
        <w:rPr>
          <w:rFonts w:ascii="Cambria" w:hAnsi="Cambria"/>
          <w:i/>
        </w:rPr>
        <w:t xml:space="preserve">[05-11] Resolución de ICCAT sobre </w:t>
      </w:r>
      <w:proofErr w:type="spellStart"/>
      <w:r w:rsidRPr="00946249">
        <w:rPr>
          <w:rFonts w:ascii="Cambria" w:hAnsi="Cambria"/>
          <w:i/>
        </w:rPr>
        <w:t>Sargassum</w:t>
      </w:r>
      <w:proofErr w:type="spellEnd"/>
      <w:r w:rsidRPr="00946249">
        <w:rPr>
          <w:rFonts w:ascii="Cambria" w:hAnsi="Cambria"/>
          <w:i/>
        </w:rPr>
        <w:t xml:space="preserve"> pelágico</w:t>
      </w:r>
    </w:p>
    <w:p w14:paraId="62025FD1" w14:textId="77777777" w:rsidR="00F978E7" w:rsidRPr="00946249" w:rsidRDefault="00F978E7" w:rsidP="00820485">
      <w:pPr>
        <w:tabs>
          <w:tab w:val="left" w:pos="1276"/>
          <w:tab w:val="left" w:pos="1418"/>
          <w:tab w:val="left" w:leader="dot" w:pos="8222"/>
          <w:tab w:val="right" w:pos="8647"/>
        </w:tabs>
        <w:jc w:val="both"/>
        <w:rPr>
          <w:rFonts w:ascii="Cambria" w:hAnsi="Cambria"/>
        </w:rPr>
      </w:pPr>
    </w:p>
    <w:p w14:paraId="0B3D0820" w14:textId="4B912FF7" w:rsidR="003F74E6" w:rsidRPr="00946249" w:rsidRDefault="00F634F3" w:rsidP="00820485">
      <w:pPr>
        <w:pStyle w:val="Default"/>
        <w:jc w:val="both"/>
        <w:rPr>
          <w:rFonts w:ascii="Cambria" w:hAnsi="Cambria" w:cstheme="minorHAnsi"/>
          <w:sz w:val="20"/>
          <w:szCs w:val="20"/>
        </w:rPr>
      </w:pPr>
      <w:r w:rsidRPr="00946249">
        <w:rPr>
          <w:rFonts w:ascii="Cambria" w:hAnsi="Cambria"/>
          <w:sz w:val="20"/>
          <w:szCs w:val="20"/>
        </w:rPr>
        <w:t>Actualmente, la Secretaría de ICCAT no tiene nada que comunicar. Barbados ha incluido información en sus Informes anuales.</w:t>
      </w:r>
    </w:p>
    <w:bookmarkEnd w:id="33"/>
    <w:p w14:paraId="3984069F" w14:textId="77777777" w:rsidR="00F978E7" w:rsidRPr="00946249" w:rsidRDefault="00F978E7" w:rsidP="00820485">
      <w:pPr>
        <w:tabs>
          <w:tab w:val="left" w:pos="1276"/>
          <w:tab w:val="left" w:pos="1418"/>
          <w:tab w:val="left" w:leader="dot" w:pos="8222"/>
          <w:tab w:val="right" w:pos="8647"/>
        </w:tabs>
        <w:jc w:val="both"/>
        <w:rPr>
          <w:rFonts w:ascii="Cambria" w:hAnsi="Cambria"/>
        </w:rPr>
      </w:pPr>
    </w:p>
    <w:p w14:paraId="2524B178" w14:textId="33F8AA00" w:rsidR="00E936FF" w:rsidRPr="00946249" w:rsidRDefault="00A32D9A" w:rsidP="00820485">
      <w:pPr>
        <w:tabs>
          <w:tab w:val="left" w:pos="1276"/>
          <w:tab w:val="left" w:pos="1418"/>
          <w:tab w:val="left" w:leader="dot" w:pos="8222"/>
          <w:tab w:val="right" w:pos="8647"/>
        </w:tabs>
        <w:jc w:val="both"/>
        <w:rPr>
          <w:rFonts w:ascii="Cambria" w:hAnsi="Cambria"/>
          <w:i/>
        </w:rPr>
      </w:pPr>
      <w:bookmarkStart w:id="34" w:name="_Hlk180407383"/>
      <w:r w:rsidRPr="00946249">
        <w:rPr>
          <w:rFonts w:ascii="Cambria" w:hAnsi="Cambria"/>
          <w:i/>
        </w:rPr>
        <w:t>[23-24] Directrices revisadas para la preparación de los Informes anuales</w:t>
      </w:r>
    </w:p>
    <w:bookmarkEnd w:id="34"/>
    <w:p w14:paraId="4B000A40" w14:textId="77777777" w:rsidR="00F978E7" w:rsidRPr="00946249" w:rsidRDefault="00F978E7" w:rsidP="00820485">
      <w:pPr>
        <w:jc w:val="both"/>
        <w:rPr>
          <w:rFonts w:ascii="Cambria" w:hAnsi="Cambria"/>
        </w:rPr>
      </w:pPr>
    </w:p>
    <w:p w14:paraId="612E294B" w14:textId="3ECEEA4F" w:rsidR="00966057" w:rsidRPr="00946249" w:rsidRDefault="00F634F3" w:rsidP="00966057">
      <w:pPr>
        <w:tabs>
          <w:tab w:val="left" w:pos="1276"/>
          <w:tab w:val="left" w:pos="1418"/>
          <w:tab w:val="left" w:leader="dot" w:pos="8222"/>
          <w:tab w:val="right" w:pos="8647"/>
        </w:tabs>
        <w:jc w:val="both"/>
        <w:rPr>
          <w:rFonts w:ascii="Cambria" w:hAnsi="Cambria"/>
          <w:bCs/>
        </w:rPr>
      </w:pPr>
      <w:r w:rsidRPr="00946249">
        <w:rPr>
          <w:rFonts w:ascii="Cambria" w:hAnsi="Cambria"/>
        </w:rPr>
        <w:t xml:space="preserve">Un problema recurrente desde hace varios años es que </w:t>
      </w:r>
      <w:proofErr w:type="gramStart"/>
      <w:r w:rsidRPr="00946249">
        <w:rPr>
          <w:rFonts w:ascii="Cambria" w:hAnsi="Cambria"/>
        </w:rPr>
        <w:t>numerosas CPC</w:t>
      </w:r>
      <w:proofErr w:type="gramEnd"/>
      <w:r w:rsidRPr="00946249">
        <w:rPr>
          <w:rFonts w:ascii="Cambria" w:hAnsi="Cambria"/>
        </w:rPr>
        <w:t xml:space="preserve"> envían los segmentos de Microsoft Word y la información en el IOMS sin leer detenidamente las preguntas y los requisitos. Además, muchas </w:t>
      </w:r>
      <w:r w:rsidRPr="00946249">
        <w:rPr>
          <w:rFonts w:ascii="Cambria" w:hAnsi="Cambria"/>
        </w:rPr>
        <w:lastRenderedPageBreak/>
        <w:t>CPC presentan respuestas que no responden a los requisitos solicitados en las Recomendaciones originales. Las CPC deberían remitirse siempre a la página "</w:t>
      </w:r>
      <w:hyperlink r:id="rId38" w:history="1">
        <w:r w:rsidRPr="00946249">
          <w:rPr>
            <w:rStyle w:val="Hyperlink"/>
            <w:rFonts w:ascii="Cambria" w:hAnsi="Cambria"/>
            <w:u w:val="none"/>
          </w:rPr>
          <w:t>Presentación de información</w:t>
        </w:r>
      </w:hyperlink>
      <w:r w:rsidRPr="00946249">
        <w:rPr>
          <w:rFonts w:ascii="Cambria" w:hAnsi="Cambria"/>
        </w:rPr>
        <w:t>" de Cumplimiento en el sitio web de ICCAT.  Aquí, las CPC pueden hacer referencia a los requisitos aplicables, los correspondientes números de recomendación y de párrafo, y los plazos de presentación. Esta página es también la fuente para descargar las versiones más recientes de todos los formularios de presentación de información sobre cumplimiento.</w:t>
      </w:r>
    </w:p>
    <w:p w14:paraId="05C13C2C" w14:textId="77777777" w:rsidR="00966057" w:rsidRPr="00946249" w:rsidRDefault="00966057" w:rsidP="00820485">
      <w:pPr>
        <w:jc w:val="both"/>
        <w:rPr>
          <w:rFonts w:ascii="Cambria" w:hAnsi="Cambria"/>
        </w:rPr>
      </w:pPr>
    </w:p>
    <w:p w14:paraId="7CFC12CE" w14:textId="5BA5346B" w:rsidR="00917B29" w:rsidRPr="00946249" w:rsidRDefault="00917B29" w:rsidP="00917B29">
      <w:pPr>
        <w:tabs>
          <w:tab w:val="left" w:pos="1276"/>
          <w:tab w:val="left" w:pos="1418"/>
          <w:tab w:val="left" w:leader="dot" w:pos="8222"/>
          <w:tab w:val="right" w:pos="8647"/>
        </w:tabs>
        <w:jc w:val="both"/>
        <w:rPr>
          <w:rFonts w:ascii="Cambria" w:hAnsi="Cambria"/>
          <w:bCs/>
        </w:rPr>
      </w:pPr>
      <w:r w:rsidRPr="00946249">
        <w:rPr>
          <w:rFonts w:ascii="Cambria" w:hAnsi="Cambria"/>
        </w:rPr>
        <w:t xml:space="preserve">Desde 2023, las CPC deben introducir directamente en el IOMS la información contenida en las tablas correspondientes a los requisitos científicos y los requisitos de ordenación. Como resultado de varias directivas e información administrativa (Ref. 23-24, Circulares n.º 00758/2025, n.º 05721/2025 de ICCAT, las </w:t>
      </w:r>
      <w:hyperlink r:id="rId39" w:history="1">
        <w:r w:rsidRPr="00946249">
          <w:rPr>
            <w:rStyle w:val="Hyperlink"/>
            <w:rFonts w:ascii="Cambria" w:hAnsi="Cambria"/>
            <w:u w:val="none"/>
          </w:rPr>
          <w:t>Directrices</w:t>
        </w:r>
      </w:hyperlink>
      <w:r w:rsidRPr="00946249">
        <w:rPr>
          <w:rFonts w:ascii="Cambria" w:hAnsi="Cambria"/>
        </w:rPr>
        <w:t xml:space="preserve"> y la página web de ICCAT) proporcionadas a las CPC, se observa una notable mejora en la comprensión y presentación de los informes anuales a través del IOMS. A pesar de este notable avance, sigue siendo necesario realizar importantes progresos para alcanzar una tasa de presentación de datos del 100 % por parte de todas las CPC.</w:t>
      </w:r>
    </w:p>
    <w:p w14:paraId="3127F1A2" w14:textId="77777777" w:rsidR="00610E13" w:rsidRPr="00946249" w:rsidRDefault="00610E13" w:rsidP="00917B29">
      <w:pPr>
        <w:tabs>
          <w:tab w:val="left" w:pos="1276"/>
          <w:tab w:val="left" w:pos="1418"/>
          <w:tab w:val="left" w:leader="dot" w:pos="8222"/>
          <w:tab w:val="right" w:pos="8647"/>
        </w:tabs>
        <w:jc w:val="both"/>
        <w:rPr>
          <w:rFonts w:ascii="Cambria" w:hAnsi="Cambria"/>
        </w:rPr>
      </w:pPr>
    </w:p>
    <w:p w14:paraId="6F707553" w14:textId="6D9AB141" w:rsidR="00410DFB" w:rsidRPr="00946249" w:rsidRDefault="00D72552" w:rsidP="00820485">
      <w:pPr>
        <w:jc w:val="both"/>
        <w:rPr>
          <w:rFonts w:ascii="Cambria" w:hAnsi="Cambria"/>
          <w:bCs/>
        </w:rPr>
      </w:pPr>
      <w:r w:rsidRPr="00946249">
        <w:rPr>
          <w:rFonts w:ascii="Cambria" w:hAnsi="Cambria"/>
        </w:rPr>
        <w:t>Los siguientes ejemplos ponen de relieve las respuestas incorrectas que se repiten con frecuencia en los informes anuales y que se consideran insuficientes:</w:t>
      </w:r>
    </w:p>
    <w:p w14:paraId="2D28C882" w14:textId="77777777" w:rsidR="00D72552" w:rsidRPr="00946249" w:rsidRDefault="00D72552" w:rsidP="00D72552">
      <w:pPr>
        <w:jc w:val="both"/>
        <w:rPr>
          <w:rFonts w:ascii="Cambria" w:hAnsi="Cambria"/>
        </w:rPr>
      </w:pPr>
    </w:p>
    <w:p w14:paraId="12F7256B" w14:textId="069B7A95" w:rsidR="00D72552" w:rsidRPr="00946249" w:rsidRDefault="00D72552" w:rsidP="00D72552">
      <w:pPr>
        <w:jc w:val="both"/>
        <w:rPr>
          <w:rFonts w:ascii="Cambria" w:hAnsi="Cambria"/>
          <w:i/>
          <w:iCs/>
        </w:rPr>
      </w:pPr>
      <w:r w:rsidRPr="00946249">
        <w:rPr>
          <w:rFonts w:ascii="Cambria" w:hAnsi="Cambria"/>
          <w:i/>
        </w:rPr>
        <w:t xml:space="preserve">Ejemplo 1: </w:t>
      </w:r>
    </w:p>
    <w:p w14:paraId="0DB762A8" w14:textId="77777777" w:rsidR="00EA555F" w:rsidRPr="00946249" w:rsidRDefault="00EA555F" w:rsidP="00D72552">
      <w:pPr>
        <w:jc w:val="both"/>
        <w:rPr>
          <w:rFonts w:ascii="Cambria" w:hAnsi="Cambria"/>
          <w:i/>
          <w:iCs/>
        </w:rPr>
      </w:pPr>
    </w:p>
    <w:p w14:paraId="4CBD7313" w14:textId="1878C347" w:rsidR="00D72552" w:rsidRPr="00946249" w:rsidRDefault="00D72552" w:rsidP="005E2BDD">
      <w:pPr>
        <w:ind w:left="1020" w:hanging="1020"/>
        <w:jc w:val="both"/>
        <w:rPr>
          <w:rFonts w:ascii="Cambria" w:hAnsi="Cambria"/>
        </w:rPr>
      </w:pPr>
      <w:proofErr w:type="gramStart"/>
      <w:r w:rsidRPr="00946249">
        <w:rPr>
          <w:rFonts w:ascii="Cambria" w:hAnsi="Cambria"/>
        </w:rPr>
        <w:t>M:SHK</w:t>
      </w:r>
      <w:proofErr w:type="gramEnd"/>
      <w:r w:rsidRPr="00946249">
        <w:rPr>
          <w:rFonts w:ascii="Cambria" w:hAnsi="Cambria"/>
        </w:rPr>
        <w:t xml:space="preserve">05 </w:t>
      </w:r>
      <w:r w:rsidRPr="00946249">
        <w:rPr>
          <w:rFonts w:ascii="Cambria" w:hAnsi="Cambria"/>
        </w:rPr>
        <w:tab/>
        <w:t>Información detallada sobre la implementación y el cumplimiento de las medidas de conservación y ordenación de ICCAT relacionadas con los tiburones</w:t>
      </w:r>
    </w:p>
    <w:p w14:paraId="47A26373" w14:textId="77777777" w:rsidR="005E2BDD" w:rsidRPr="00946249" w:rsidRDefault="005E2BDD" w:rsidP="00D72552">
      <w:pPr>
        <w:jc w:val="both"/>
        <w:rPr>
          <w:rFonts w:ascii="Cambria" w:hAnsi="Cambria"/>
          <w:i/>
          <w:iCs/>
        </w:rPr>
      </w:pPr>
    </w:p>
    <w:p w14:paraId="1D063A4C" w14:textId="6BE83E14" w:rsidR="00D72552" w:rsidRPr="00946249" w:rsidRDefault="00D72552" w:rsidP="00D72552">
      <w:pPr>
        <w:jc w:val="both"/>
        <w:rPr>
          <w:rFonts w:ascii="Cambria" w:hAnsi="Cambria"/>
          <w:i/>
          <w:iCs/>
        </w:rPr>
      </w:pPr>
      <w:r w:rsidRPr="00946249">
        <w:rPr>
          <w:rFonts w:ascii="Cambria" w:hAnsi="Cambria"/>
          <w:i/>
        </w:rPr>
        <w:t>Cabe destacar que este requisito es obligatorio para todas las CPC</w:t>
      </w:r>
    </w:p>
    <w:p w14:paraId="0892CF8A" w14:textId="77777777" w:rsidR="005E2BDD" w:rsidRPr="00946249" w:rsidRDefault="005E2BDD" w:rsidP="00D72552">
      <w:pPr>
        <w:jc w:val="both"/>
        <w:rPr>
          <w:rFonts w:ascii="Cambria" w:hAnsi="Cambria"/>
          <w:b/>
          <w:bCs/>
          <w:i/>
          <w:iCs/>
        </w:rPr>
      </w:pPr>
    </w:p>
    <w:p w14:paraId="5ED033CB" w14:textId="628F0CC3" w:rsidR="00307B96" w:rsidRPr="00946249" w:rsidRDefault="00A345E2" w:rsidP="00307B96">
      <w:pPr>
        <w:jc w:val="both"/>
        <w:rPr>
          <w:rFonts w:ascii="Cambria" w:hAnsi="Cambria" w:cs="Noto Sans"/>
        </w:rPr>
      </w:pPr>
      <w:r w:rsidRPr="00946249">
        <w:rPr>
          <w:rFonts w:ascii="Cambria" w:hAnsi="Cambria"/>
        </w:rPr>
        <w:t>Las respuestas proporcionadas no pueden ser:</w:t>
      </w:r>
    </w:p>
    <w:p w14:paraId="5F6FA844" w14:textId="77777777" w:rsidR="00EA555F" w:rsidRPr="00946249" w:rsidRDefault="00EA555F" w:rsidP="00307B96">
      <w:pPr>
        <w:jc w:val="both"/>
        <w:rPr>
          <w:rFonts w:ascii="Cambria" w:hAnsi="Cambria" w:cs="Noto Sans"/>
        </w:rPr>
      </w:pPr>
    </w:p>
    <w:p w14:paraId="7C696549" w14:textId="7E7F2D8E" w:rsidR="00307B96" w:rsidRPr="00946249" w:rsidRDefault="00307B96" w:rsidP="00307B96">
      <w:pPr>
        <w:numPr>
          <w:ilvl w:val="0"/>
          <w:numId w:val="12"/>
        </w:numPr>
        <w:jc w:val="both"/>
        <w:rPr>
          <w:rFonts w:ascii="Cambria" w:hAnsi="Cambria" w:cs="Noto Sans"/>
        </w:rPr>
      </w:pPr>
      <w:r w:rsidRPr="00946249">
        <w:rPr>
          <w:rFonts w:ascii="Cambria" w:hAnsi="Cambria"/>
        </w:rPr>
        <w:t>XXX no tiene capturas de tiburones</w:t>
      </w:r>
    </w:p>
    <w:p w14:paraId="14C603A0" w14:textId="77777777" w:rsidR="00EA555F" w:rsidRPr="00946249" w:rsidRDefault="00EA555F" w:rsidP="00D72552">
      <w:pPr>
        <w:jc w:val="both"/>
        <w:rPr>
          <w:rFonts w:ascii="Cambria" w:hAnsi="Cambria"/>
          <w:i/>
          <w:iCs/>
        </w:rPr>
      </w:pPr>
    </w:p>
    <w:p w14:paraId="464A5F55" w14:textId="599719CF" w:rsidR="00D72552" w:rsidRPr="00946249" w:rsidRDefault="00410DFB" w:rsidP="00D72552">
      <w:pPr>
        <w:jc w:val="both"/>
        <w:rPr>
          <w:rFonts w:ascii="Cambria" w:hAnsi="Cambria"/>
          <w:i/>
          <w:iCs/>
        </w:rPr>
      </w:pPr>
      <w:r w:rsidRPr="00946249">
        <w:rPr>
          <w:rFonts w:ascii="Cambria" w:hAnsi="Cambria"/>
          <w:i/>
        </w:rPr>
        <w:t xml:space="preserve">Ejemplo 2: </w:t>
      </w:r>
    </w:p>
    <w:p w14:paraId="291893FC" w14:textId="77777777" w:rsidR="00EA555F" w:rsidRPr="00946249" w:rsidRDefault="00EA555F" w:rsidP="00D72552">
      <w:pPr>
        <w:jc w:val="both"/>
        <w:rPr>
          <w:rFonts w:ascii="Cambria" w:hAnsi="Cambria"/>
          <w:i/>
          <w:iCs/>
        </w:rPr>
      </w:pPr>
    </w:p>
    <w:p w14:paraId="2EAE6ACD" w14:textId="4CC764F4" w:rsidR="00D72552" w:rsidRPr="00946249" w:rsidRDefault="00D72552" w:rsidP="00D72552">
      <w:pPr>
        <w:jc w:val="both"/>
        <w:rPr>
          <w:rFonts w:ascii="Cambria" w:hAnsi="Cambria" w:cs="Noto Sans"/>
        </w:rPr>
      </w:pPr>
      <w:proofErr w:type="gramStart"/>
      <w:r w:rsidRPr="00946249">
        <w:rPr>
          <w:rFonts w:ascii="Cambria" w:hAnsi="Cambria"/>
        </w:rPr>
        <w:t>M:SWO</w:t>
      </w:r>
      <w:proofErr w:type="gramEnd"/>
      <w:r w:rsidRPr="00946249">
        <w:rPr>
          <w:rFonts w:ascii="Cambria" w:hAnsi="Cambria"/>
        </w:rPr>
        <w:t xml:space="preserve">17 </w:t>
      </w:r>
      <w:r w:rsidRPr="00946249">
        <w:rPr>
          <w:rFonts w:ascii="Cambria" w:hAnsi="Cambria"/>
        </w:rPr>
        <w:tab/>
        <w:t xml:space="preserve">Límite máximo de captura fortuita de pez espada del norte a bordo [Rec. 17-02; párr. 14]: </w:t>
      </w:r>
    </w:p>
    <w:p w14:paraId="4198A43C" w14:textId="77777777" w:rsidR="005E2BDD" w:rsidRPr="00946249" w:rsidRDefault="005E2BDD" w:rsidP="00D72552">
      <w:pPr>
        <w:jc w:val="both"/>
        <w:rPr>
          <w:rFonts w:ascii="Cambria" w:hAnsi="Cambria" w:cs="Noto Sans"/>
        </w:rPr>
      </w:pPr>
    </w:p>
    <w:p w14:paraId="37E3B940" w14:textId="6D4A0C51" w:rsidR="00D72552" w:rsidRPr="00946249" w:rsidRDefault="00D72552" w:rsidP="00D72552">
      <w:pPr>
        <w:jc w:val="both"/>
        <w:rPr>
          <w:rFonts w:ascii="Cambria" w:hAnsi="Cambria" w:cs="Noto Sans"/>
        </w:rPr>
      </w:pPr>
      <w:r w:rsidRPr="00946249">
        <w:rPr>
          <w:rFonts w:ascii="Cambria" w:hAnsi="Cambria"/>
          <w:i/>
        </w:rPr>
        <w:t>Cabe destacar que este requisito es aplicable al pez espada del norte</w:t>
      </w:r>
    </w:p>
    <w:p w14:paraId="6CA4059A" w14:textId="77777777" w:rsidR="005E2BDD" w:rsidRPr="00946249" w:rsidRDefault="005E2BDD" w:rsidP="00D72552">
      <w:pPr>
        <w:jc w:val="both"/>
        <w:rPr>
          <w:rFonts w:ascii="Cambria" w:hAnsi="Cambria" w:cs="Noto Sans"/>
        </w:rPr>
      </w:pPr>
    </w:p>
    <w:p w14:paraId="3646AF28" w14:textId="2D38F900" w:rsidR="00D72552" w:rsidRPr="00946249" w:rsidRDefault="00A345E2" w:rsidP="00D72552">
      <w:pPr>
        <w:jc w:val="both"/>
        <w:rPr>
          <w:rFonts w:ascii="Cambria" w:hAnsi="Cambria"/>
        </w:rPr>
      </w:pPr>
      <w:r w:rsidRPr="00946249">
        <w:rPr>
          <w:rFonts w:ascii="Cambria" w:hAnsi="Cambria"/>
        </w:rPr>
        <w:t>Las respuestas proporcionadas no pueden ser:</w:t>
      </w:r>
    </w:p>
    <w:p w14:paraId="6A7A5134" w14:textId="77777777" w:rsidR="00E8466B" w:rsidRPr="00946249" w:rsidRDefault="00E8466B" w:rsidP="00D72552">
      <w:pPr>
        <w:jc w:val="both"/>
        <w:rPr>
          <w:rFonts w:ascii="Cambria" w:hAnsi="Cambria" w:cs="Noto Sans"/>
        </w:rPr>
      </w:pPr>
    </w:p>
    <w:p w14:paraId="50BA6261" w14:textId="3267F885" w:rsidR="00D72552" w:rsidRPr="00946249" w:rsidRDefault="00D72552" w:rsidP="00D72552">
      <w:pPr>
        <w:numPr>
          <w:ilvl w:val="0"/>
          <w:numId w:val="12"/>
        </w:numPr>
        <w:jc w:val="both"/>
        <w:rPr>
          <w:rFonts w:ascii="Cambria" w:hAnsi="Cambria" w:cs="Noto Sans"/>
        </w:rPr>
      </w:pPr>
      <w:r w:rsidRPr="00946249">
        <w:rPr>
          <w:rFonts w:ascii="Cambria" w:hAnsi="Cambria"/>
        </w:rPr>
        <w:t>XXX no pesca SWO-</w:t>
      </w:r>
      <w:proofErr w:type="spellStart"/>
      <w:r w:rsidRPr="00946249">
        <w:rPr>
          <w:rFonts w:ascii="Cambria" w:hAnsi="Cambria"/>
        </w:rPr>
        <w:t>Med</w:t>
      </w:r>
      <w:proofErr w:type="spellEnd"/>
    </w:p>
    <w:p w14:paraId="195CFCB5" w14:textId="007BB864" w:rsidR="00D72552" w:rsidRPr="00946249" w:rsidRDefault="00D72552" w:rsidP="00D72552">
      <w:pPr>
        <w:numPr>
          <w:ilvl w:val="0"/>
          <w:numId w:val="12"/>
        </w:numPr>
        <w:jc w:val="both"/>
        <w:rPr>
          <w:rFonts w:ascii="Cambria" w:hAnsi="Cambria" w:cs="Noto Sans"/>
        </w:rPr>
      </w:pPr>
      <w:r w:rsidRPr="00946249">
        <w:rPr>
          <w:rFonts w:ascii="Cambria" w:hAnsi="Cambria"/>
        </w:rPr>
        <w:t>XXX no tiene buques dirigidos a SWO-</w:t>
      </w:r>
      <w:proofErr w:type="spellStart"/>
      <w:r w:rsidRPr="00946249">
        <w:rPr>
          <w:rFonts w:ascii="Cambria" w:hAnsi="Cambria"/>
        </w:rPr>
        <w:t>Med</w:t>
      </w:r>
      <w:proofErr w:type="spellEnd"/>
    </w:p>
    <w:p w14:paraId="1F575A96" w14:textId="77777777" w:rsidR="00D72552" w:rsidRPr="00946249" w:rsidRDefault="00D72552" w:rsidP="00D72552">
      <w:pPr>
        <w:numPr>
          <w:ilvl w:val="0"/>
          <w:numId w:val="12"/>
        </w:numPr>
        <w:jc w:val="both"/>
        <w:rPr>
          <w:rFonts w:ascii="Cambria" w:hAnsi="Cambria" w:cs="Noto Sans"/>
        </w:rPr>
      </w:pPr>
      <w:r w:rsidRPr="00946249">
        <w:rPr>
          <w:rFonts w:ascii="Cambria" w:hAnsi="Cambria"/>
        </w:rPr>
        <w:t>Todos los buques XXX autorizados a operar en la zona del Convenio están autorizados a capturar y retener SWO-S.</w:t>
      </w:r>
    </w:p>
    <w:p w14:paraId="1EDD7D09" w14:textId="753AF41F" w:rsidR="009B7F81" w:rsidRPr="00946249" w:rsidRDefault="009B7F81" w:rsidP="00D72552">
      <w:pPr>
        <w:jc w:val="both"/>
        <w:rPr>
          <w:rFonts w:ascii="Cambria" w:hAnsi="Cambria"/>
        </w:rPr>
      </w:pPr>
    </w:p>
    <w:p w14:paraId="67ECBBD4" w14:textId="3F2AE65F" w:rsidR="00D101FE" w:rsidRPr="00946249" w:rsidRDefault="00D101FE" w:rsidP="00D101FE">
      <w:pPr>
        <w:jc w:val="both"/>
        <w:rPr>
          <w:rFonts w:ascii="Cambria" w:hAnsi="Cambria"/>
          <w:i/>
          <w:iCs/>
        </w:rPr>
      </w:pPr>
      <w:r w:rsidRPr="00946249">
        <w:rPr>
          <w:rFonts w:ascii="Cambria" w:hAnsi="Cambria"/>
          <w:i/>
        </w:rPr>
        <w:t>Ejemplo 3: Columna/casilla Aplicable</w:t>
      </w:r>
    </w:p>
    <w:p w14:paraId="1763107F" w14:textId="77777777" w:rsidR="004E395A" w:rsidRPr="00946249" w:rsidRDefault="004E395A" w:rsidP="00D72552">
      <w:pPr>
        <w:jc w:val="both"/>
        <w:rPr>
          <w:rFonts w:ascii="Cambria" w:hAnsi="Cambria"/>
        </w:rPr>
      </w:pPr>
    </w:p>
    <w:p w14:paraId="36053285" w14:textId="69D8B1A4" w:rsidR="004E395A" w:rsidRPr="00946249" w:rsidRDefault="004E395A" w:rsidP="004E395A">
      <w:pPr>
        <w:jc w:val="both"/>
        <w:rPr>
          <w:rFonts w:ascii="Cambria" w:hAnsi="Cambria" w:cs="Noto Sans"/>
        </w:rPr>
      </w:pPr>
      <w:r w:rsidRPr="00946249">
        <w:rPr>
          <w:rFonts w:ascii="Cambria" w:hAnsi="Cambria"/>
          <w:i/>
        </w:rPr>
        <w:t>Cabe destacar que este requisito no es aplicable a la CPC</w:t>
      </w:r>
    </w:p>
    <w:p w14:paraId="0AB6F14C" w14:textId="77777777" w:rsidR="004E395A" w:rsidRPr="00946249" w:rsidRDefault="004E395A" w:rsidP="00D72552">
      <w:pPr>
        <w:jc w:val="both"/>
        <w:rPr>
          <w:rFonts w:ascii="Cambria" w:hAnsi="Cambria"/>
        </w:rPr>
      </w:pPr>
    </w:p>
    <w:p w14:paraId="118EF74E" w14:textId="73DD0D4A" w:rsidR="00D101FE" w:rsidRPr="00946249" w:rsidRDefault="004E395A" w:rsidP="00D72552">
      <w:pPr>
        <w:jc w:val="both"/>
        <w:rPr>
          <w:rFonts w:ascii="Cambria" w:hAnsi="Cambria"/>
        </w:rPr>
      </w:pPr>
      <w:r w:rsidRPr="00946249">
        <w:rPr>
          <w:rFonts w:ascii="Cambria" w:hAnsi="Cambria"/>
        </w:rPr>
        <w:t>La casilla "Aplicable" permanece marcada, pero la columna/campo de las respuestas/motivo de No aplicable es "no aplicable a nuestra CPC": se trata de una inconsistencia entre el campo aplicable y la respuesta proporcionada. La casilla debería estar desmarcada si no es aplicable a la CPC.</w:t>
      </w:r>
    </w:p>
    <w:p w14:paraId="4006F302" w14:textId="77777777" w:rsidR="00B44DFB" w:rsidRPr="00946249" w:rsidRDefault="00B44DFB" w:rsidP="00D72552">
      <w:pPr>
        <w:jc w:val="both"/>
        <w:rPr>
          <w:rFonts w:ascii="Cambria" w:hAnsi="Cambria"/>
        </w:rPr>
      </w:pPr>
    </w:p>
    <w:p w14:paraId="4CF08919" w14:textId="77777777" w:rsidR="00966057" w:rsidRPr="00946249" w:rsidRDefault="00966057" w:rsidP="00966057">
      <w:pPr>
        <w:jc w:val="both"/>
        <w:rPr>
          <w:rFonts w:ascii="Cambria" w:hAnsi="Cambria"/>
        </w:rPr>
      </w:pPr>
      <w:r w:rsidRPr="00946249">
        <w:rPr>
          <w:rFonts w:ascii="Cambria" w:hAnsi="Cambria"/>
        </w:rPr>
        <w:t>Para proporcionar al Comité de Cumplimiento información precisa y específica sobre cada requisito, el IOMS está diseñado para extraer todas las respuestas dadas en respuesta a un requisito específico. Por ello, se requiere una respuesta completa a cada pregunta para extraer información coherente y clara.</w:t>
      </w:r>
    </w:p>
    <w:p w14:paraId="4DBE5F7F" w14:textId="77777777" w:rsidR="00B04CDC" w:rsidRPr="00946249" w:rsidRDefault="00B04CDC" w:rsidP="00966057">
      <w:pPr>
        <w:jc w:val="both"/>
        <w:rPr>
          <w:rFonts w:ascii="Cambria" w:hAnsi="Cambria"/>
        </w:rPr>
      </w:pPr>
    </w:p>
    <w:p w14:paraId="48708F21" w14:textId="42CD62DA" w:rsidR="00B04CDC" w:rsidRPr="00946249" w:rsidRDefault="00B04CDC" w:rsidP="00966057">
      <w:pPr>
        <w:jc w:val="both"/>
        <w:rPr>
          <w:rFonts w:ascii="Cambria" w:hAnsi="Cambria"/>
        </w:rPr>
      </w:pPr>
      <w:r w:rsidRPr="00946249">
        <w:rPr>
          <w:rFonts w:ascii="Cambria" w:hAnsi="Cambria"/>
        </w:rPr>
        <w:t xml:space="preserve">Como recordatorio: </w:t>
      </w:r>
    </w:p>
    <w:p w14:paraId="670207A7" w14:textId="77777777" w:rsidR="00262DF0" w:rsidRPr="00946249" w:rsidRDefault="00262DF0" w:rsidP="00966057">
      <w:pPr>
        <w:jc w:val="both"/>
        <w:rPr>
          <w:rFonts w:ascii="Cambria" w:hAnsi="Cambria"/>
        </w:rPr>
      </w:pPr>
    </w:p>
    <w:p w14:paraId="182580C0" w14:textId="35F9BA65" w:rsidR="00B04CDC" w:rsidRPr="00946249" w:rsidRDefault="00B04CDC" w:rsidP="00966057">
      <w:pPr>
        <w:jc w:val="both"/>
        <w:rPr>
          <w:rFonts w:ascii="Cambria" w:hAnsi="Cambria"/>
        </w:rPr>
      </w:pPr>
      <w:r w:rsidRPr="00946249">
        <w:rPr>
          <w:rFonts w:ascii="Cambria" w:hAnsi="Cambria"/>
        </w:rPr>
        <w:t>Las CPC deberían abstenerse de responder en el IOMS con respuestas simples que carezcan de información explicativa, tales como "Véase más arriba", "Véase el informe anual", "Igual que el año pasado", "Sin cambios", etc.</w:t>
      </w:r>
    </w:p>
    <w:p w14:paraId="3E5FFBE2" w14:textId="77777777" w:rsidR="008D2B0B" w:rsidRPr="00946249" w:rsidRDefault="008D2B0B" w:rsidP="008D2B0B">
      <w:pPr>
        <w:jc w:val="both"/>
        <w:rPr>
          <w:rFonts w:ascii="Cambria" w:hAnsi="Cambria"/>
        </w:rPr>
      </w:pPr>
    </w:p>
    <w:p w14:paraId="541F88EF" w14:textId="5E88EA05" w:rsidR="00966057" w:rsidRPr="00946249" w:rsidRDefault="00966057" w:rsidP="00966057">
      <w:pPr>
        <w:tabs>
          <w:tab w:val="left" w:pos="1276"/>
          <w:tab w:val="left" w:pos="1418"/>
          <w:tab w:val="left" w:leader="dot" w:pos="8222"/>
          <w:tab w:val="right" w:pos="8647"/>
        </w:tabs>
        <w:jc w:val="both"/>
        <w:rPr>
          <w:rFonts w:ascii="Cambria" w:hAnsi="Cambria"/>
        </w:rPr>
      </w:pPr>
      <w:r w:rsidRPr="00946249">
        <w:rPr>
          <w:rFonts w:ascii="Cambria" w:hAnsi="Cambria"/>
        </w:rPr>
        <w:t xml:space="preserve">Sobre un total de 58 CPC/CP, 43 completaron el IOMS al 100 %. </w:t>
      </w:r>
      <w:bookmarkStart w:id="35" w:name="_Hlk180407375"/>
      <w:r w:rsidRPr="00946249">
        <w:rPr>
          <w:rFonts w:ascii="Cambria" w:hAnsi="Cambria"/>
        </w:rPr>
        <w:t xml:space="preserve">Para las 15 CPC/CP restantes, la presentación de la información sigue pendiente: </w:t>
      </w:r>
    </w:p>
    <w:p w14:paraId="4AAFABC0" w14:textId="77777777" w:rsidR="005E2BDD" w:rsidRPr="00946249" w:rsidRDefault="005E2BDD" w:rsidP="00966057">
      <w:pPr>
        <w:tabs>
          <w:tab w:val="left" w:pos="1276"/>
          <w:tab w:val="left" w:pos="1418"/>
          <w:tab w:val="left" w:leader="dot" w:pos="8222"/>
          <w:tab w:val="right" w:pos="8647"/>
        </w:tabs>
        <w:jc w:val="both"/>
        <w:rPr>
          <w:rFonts w:ascii="Cambria" w:hAnsi="Cambria"/>
        </w:rPr>
      </w:pPr>
    </w:p>
    <w:p w14:paraId="58D510DD" w14:textId="2AE8C295" w:rsidR="00966057" w:rsidRPr="00946249" w:rsidRDefault="004E395A" w:rsidP="00966057">
      <w:pPr>
        <w:pStyle w:val="ListParagraph"/>
        <w:numPr>
          <w:ilvl w:val="0"/>
          <w:numId w:val="10"/>
        </w:numPr>
        <w:tabs>
          <w:tab w:val="left" w:pos="1276"/>
          <w:tab w:val="left" w:pos="1418"/>
          <w:tab w:val="left" w:leader="dot" w:pos="8222"/>
          <w:tab w:val="right" w:pos="8647"/>
        </w:tabs>
        <w:jc w:val="both"/>
        <w:rPr>
          <w:rFonts w:ascii="Cambria" w:hAnsi="Cambria"/>
        </w:rPr>
      </w:pPr>
      <w:r w:rsidRPr="00946249">
        <w:rPr>
          <w:rFonts w:ascii="Cambria" w:hAnsi="Cambria"/>
        </w:rPr>
        <w:t xml:space="preserve">Seis CPC/CP han presentado información parcial, pero han completado o han presentado solo uno de los dos informes requeridos a través del IOMS (ya sea el de Estadísticas o el de Cumplimiento), o solo la sección de Microsoft Word: </w:t>
      </w:r>
      <w:proofErr w:type="spellStart"/>
      <w:r w:rsidRPr="00946249">
        <w:rPr>
          <w:rFonts w:ascii="Cambria" w:hAnsi="Cambria"/>
        </w:rPr>
        <w:t>Côte</w:t>
      </w:r>
      <w:proofErr w:type="spellEnd"/>
      <w:r w:rsidRPr="00946249">
        <w:rPr>
          <w:rFonts w:ascii="Cambria" w:hAnsi="Cambria"/>
        </w:rPr>
        <w:t xml:space="preserve"> </w:t>
      </w:r>
      <w:proofErr w:type="spellStart"/>
      <w:r w:rsidRPr="00946249">
        <w:rPr>
          <w:rFonts w:ascii="Cambria" w:hAnsi="Cambria"/>
        </w:rPr>
        <w:t>d’Ivoire</w:t>
      </w:r>
      <w:proofErr w:type="spellEnd"/>
      <w:r w:rsidRPr="00946249">
        <w:rPr>
          <w:rFonts w:ascii="Cambria" w:hAnsi="Cambria"/>
        </w:rPr>
        <w:t>, Gabón, Guinea Bissau, Guyana, Libia y República de Guinea.</w:t>
      </w:r>
    </w:p>
    <w:p w14:paraId="74FC7F9A" w14:textId="77777777" w:rsidR="005E2BDD" w:rsidRPr="00946249" w:rsidRDefault="005E2BDD" w:rsidP="005E2BDD">
      <w:pPr>
        <w:pStyle w:val="ListParagraph"/>
        <w:tabs>
          <w:tab w:val="left" w:pos="1276"/>
          <w:tab w:val="left" w:pos="1418"/>
          <w:tab w:val="left" w:leader="dot" w:pos="8222"/>
          <w:tab w:val="right" w:pos="8647"/>
        </w:tabs>
        <w:jc w:val="both"/>
        <w:rPr>
          <w:rFonts w:ascii="Cambria" w:hAnsi="Cambria"/>
        </w:rPr>
      </w:pPr>
    </w:p>
    <w:p w14:paraId="00F4D88A" w14:textId="124EE60C" w:rsidR="00966057" w:rsidRPr="00946249" w:rsidRDefault="004E395A" w:rsidP="00966057">
      <w:pPr>
        <w:pStyle w:val="ListParagraph"/>
        <w:numPr>
          <w:ilvl w:val="0"/>
          <w:numId w:val="10"/>
        </w:numPr>
        <w:tabs>
          <w:tab w:val="left" w:pos="1276"/>
          <w:tab w:val="left" w:pos="1418"/>
          <w:tab w:val="left" w:leader="dot" w:pos="8222"/>
          <w:tab w:val="right" w:pos="8647"/>
        </w:tabs>
        <w:jc w:val="both"/>
        <w:rPr>
          <w:rFonts w:ascii="Cambria" w:hAnsi="Cambria"/>
        </w:rPr>
      </w:pPr>
      <w:r w:rsidRPr="00946249">
        <w:rPr>
          <w:rFonts w:ascii="Cambria" w:hAnsi="Cambria"/>
        </w:rPr>
        <w:t xml:space="preserve">Nueve CPC/CP no presentaron en 2025 ninguno de los informes a través del sistema: Cuba, Gambia, Granada, Guinea Ecuatorial, Honduras, Nigeria, São Tomé e </w:t>
      </w:r>
      <w:proofErr w:type="spellStart"/>
      <w:r w:rsidRPr="00946249">
        <w:rPr>
          <w:rFonts w:ascii="Cambria" w:hAnsi="Cambria"/>
        </w:rPr>
        <w:t>Principe</w:t>
      </w:r>
      <w:proofErr w:type="spellEnd"/>
      <w:r w:rsidRPr="00946249">
        <w:rPr>
          <w:rFonts w:ascii="Cambria" w:hAnsi="Cambria"/>
        </w:rPr>
        <w:t>, Siria, y Trinidad y Tobago.</w:t>
      </w:r>
    </w:p>
    <w:bookmarkEnd w:id="35"/>
    <w:p w14:paraId="2349BCB2" w14:textId="77777777" w:rsidR="00966057" w:rsidRPr="00946249" w:rsidRDefault="00966057" w:rsidP="008D2B0B">
      <w:pPr>
        <w:jc w:val="both"/>
        <w:rPr>
          <w:rFonts w:ascii="Cambria" w:hAnsi="Cambria"/>
        </w:rPr>
      </w:pPr>
    </w:p>
    <w:p w14:paraId="65AE2A01" w14:textId="7D176F30" w:rsidR="00966057" w:rsidRPr="00946249" w:rsidRDefault="005E2BDD" w:rsidP="00966057">
      <w:pPr>
        <w:jc w:val="both"/>
        <w:rPr>
          <w:rFonts w:ascii="Cambria" w:hAnsi="Cambria"/>
        </w:rPr>
      </w:pPr>
      <w:r w:rsidRPr="00946249">
        <w:rPr>
          <w:rFonts w:ascii="Cambria" w:hAnsi="Cambria"/>
        </w:rPr>
        <w:t>El documento "Información presentada por algunas CPC en la Sección 2 - Parte 2.2 de los Informes anuales" [COC_311/2025] contiene un resumen de la Sección 2.2 de los Informes anuales ("Dificultades encontradas en la implementación y cumplimiento de las medidas de conservación y ordenación de ICCAT") que presenta las principales dificultades que han experimentado algunas CPC. Esta sección también brinda la oportunidad de plantear la posible necesidad de asistencia técnica.</w:t>
      </w:r>
    </w:p>
    <w:p w14:paraId="02C556D5" w14:textId="77777777" w:rsidR="008D2B0B" w:rsidRPr="00946249" w:rsidRDefault="008D2B0B" w:rsidP="008D2B0B">
      <w:pPr>
        <w:jc w:val="both"/>
        <w:rPr>
          <w:rFonts w:ascii="Cambria" w:hAnsi="Cambria"/>
        </w:rPr>
      </w:pPr>
    </w:p>
    <w:p w14:paraId="14302E33" w14:textId="23177752" w:rsidR="00E21AA6" w:rsidRPr="00946249" w:rsidRDefault="006836FF" w:rsidP="005E2BDD">
      <w:pPr>
        <w:pBdr>
          <w:top w:val="single" w:sz="4" w:space="1" w:color="auto"/>
          <w:left w:val="single" w:sz="4" w:space="4" w:color="auto"/>
          <w:bottom w:val="single" w:sz="4" w:space="1" w:color="auto"/>
          <w:right w:val="single" w:sz="4" w:space="4" w:color="auto"/>
        </w:pBdr>
        <w:jc w:val="both"/>
        <w:rPr>
          <w:rFonts w:ascii="Cambria" w:hAnsi="Cambria"/>
        </w:rPr>
      </w:pPr>
      <w:r w:rsidRPr="00946249">
        <w:rPr>
          <w:rFonts w:ascii="Cambria" w:hAnsi="Cambria"/>
          <w:b/>
        </w:rPr>
        <w:t>Solicitud de la Secretaría de ICCAT: </w:t>
      </w:r>
      <w:bookmarkStart w:id="36" w:name="_Hlk180594768"/>
      <w:r w:rsidRPr="00946249">
        <w:rPr>
          <w:rFonts w:ascii="Cambria" w:hAnsi="Cambria"/>
        </w:rPr>
        <w:t>Para hacer hincapié en la importancia de dar respuestas completas y exhaustivas a los requisitos y preguntas contenidos en las presentaciones de los informes anuales, se insta a las CPC a participar en las próximas reuniones del IOMS. Además, se invita a las CPC a proporcionar comentarios y sugerir mejoras a las respuestas estándar. Esta información se utilizará para mejorar y desarrollar un conjunto de respuestas estándar que satisfagan suficientemente las necesidades de las CPC y del Comité de Cumplimiento.</w:t>
      </w:r>
    </w:p>
    <w:p w14:paraId="25996797" w14:textId="77777777" w:rsidR="005E2BDD" w:rsidRPr="00946249" w:rsidRDefault="005E2BDD" w:rsidP="005E2BDD">
      <w:pPr>
        <w:pBdr>
          <w:top w:val="single" w:sz="4" w:space="1" w:color="auto"/>
          <w:left w:val="single" w:sz="4" w:space="4" w:color="auto"/>
          <w:bottom w:val="single" w:sz="4" w:space="1" w:color="auto"/>
          <w:right w:val="single" w:sz="4" w:space="4" w:color="auto"/>
        </w:pBdr>
        <w:jc w:val="both"/>
        <w:rPr>
          <w:rFonts w:ascii="Cambria" w:hAnsi="Cambria"/>
        </w:rPr>
      </w:pPr>
    </w:p>
    <w:bookmarkEnd w:id="36"/>
    <w:p w14:paraId="46A721C4" w14:textId="631947F8" w:rsidR="00E21AA6" w:rsidRPr="00946249" w:rsidRDefault="00E21AA6" w:rsidP="005E2BDD">
      <w:pPr>
        <w:pBdr>
          <w:top w:val="single" w:sz="4" w:space="1" w:color="auto"/>
          <w:left w:val="single" w:sz="4" w:space="4" w:color="auto"/>
          <w:bottom w:val="single" w:sz="4" w:space="1" w:color="auto"/>
          <w:right w:val="single" w:sz="4" w:space="4" w:color="auto"/>
        </w:pBdr>
        <w:jc w:val="both"/>
        <w:rPr>
          <w:rFonts w:ascii="Cambria" w:hAnsi="Cambria"/>
        </w:rPr>
      </w:pPr>
      <w:r w:rsidRPr="00946249">
        <w:rPr>
          <w:rFonts w:ascii="Cambria" w:hAnsi="Cambria"/>
        </w:rPr>
        <w:t xml:space="preserve">Además, la Secretaría de ICCAT anima a todas las CPC a aprovechar al máximo la utilización de la </w:t>
      </w:r>
      <w:r w:rsidRPr="00946249">
        <w:rPr>
          <w:rFonts w:ascii="Cambria" w:hAnsi="Cambria"/>
          <w:i/>
          <w:iCs/>
        </w:rPr>
        <w:t>Sección 2.2</w:t>
      </w:r>
      <w:r w:rsidRPr="00946249">
        <w:rPr>
          <w:rFonts w:ascii="Cambria" w:hAnsi="Cambria"/>
        </w:rPr>
        <w:t xml:space="preserve"> del Informe anual para expresar sus preocupaciones y alertar a la Comisión sobre los retos encontrados a lo largo del año. Instamos también a todas las CPC a que informen de cualquier dificultad encontrada de forma continua, en lugar de hacerlo una vez al año, cuando se presentan los informes anuales. La notificación continua de los retos permitirá que se disponga de tiempo suficiente para abordar y resolver oportunamente las preocupaciones de las CPC. Por último, la </w:t>
      </w:r>
      <w:r w:rsidRPr="00946249">
        <w:rPr>
          <w:rFonts w:ascii="Cambria" w:hAnsi="Cambria"/>
          <w:i/>
          <w:iCs/>
        </w:rPr>
        <w:t>Sección 2.2</w:t>
      </w:r>
      <w:r w:rsidRPr="00946249">
        <w:rPr>
          <w:rFonts w:ascii="Cambria" w:hAnsi="Cambria"/>
        </w:rPr>
        <w:t xml:space="preserve"> debería considerarse como una oportunidad para mejorar la comunicación y como una herramienta para la resolución de problemas que sirve para informar a la Secretaría de ICCAT y permitirle trabajar de forma más proactiva y receptiva. </w:t>
      </w:r>
    </w:p>
    <w:p w14:paraId="0F7640F8" w14:textId="77777777" w:rsidR="00E21AA6" w:rsidRPr="00946249" w:rsidRDefault="00E21AA6" w:rsidP="00E21AA6">
      <w:pPr>
        <w:spacing w:after="160" w:line="259" w:lineRule="auto"/>
        <w:rPr>
          <w:rFonts w:ascii="Cambria" w:hAnsi="Cambria"/>
        </w:rPr>
      </w:pPr>
    </w:p>
    <w:p w14:paraId="2796CFA0" w14:textId="77777777" w:rsidR="00E8466B" w:rsidRPr="00946249" w:rsidRDefault="00E8466B">
      <w:pPr>
        <w:widowControl/>
        <w:autoSpaceDE/>
        <w:autoSpaceDN/>
        <w:adjustRightInd/>
        <w:rPr>
          <w:rFonts w:ascii="Cambria" w:hAnsi="Cambria"/>
          <w:b/>
          <w:color w:val="000000" w:themeColor="text1"/>
        </w:rPr>
      </w:pPr>
      <w:r w:rsidRPr="00946249">
        <w:rPr>
          <w:rFonts w:ascii="Cambria" w:hAnsi="Cambria"/>
          <w:b/>
          <w:color w:val="000000" w:themeColor="text1"/>
        </w:rPr>
        <w:br w:type="page"/>
      </w:r>
    </w:p>
    <w:p w14:paraId="170F8300" w14:textId="1BF52B9C" w:rsidR="005F3B85" w:rsidRPr="00946249" w:rsidRDefault="005F3B85" w:rsidP="00820485">
      <w:pPr>
        <w:widowControl/>
        <w:autoSpaceDE/>
        <w:autoSpaceDN/>
        <w:adjustRightInd/>
        <w:jc w:val="center"/>
        <w:rPr>
          <w:rFonts w:ascii="Cambria" w:hAnsi="Cambria"/>
          <w:b/>
          <w:color w:val="000000" w:themeColor="text1"/>
        </w:rPr>
      </w:pPr>
      <w:r w:rsidRPr="00946249">
        <w:rPr>
          <w:rFonts w:ascii="Cambria" w:hAnsi="Cambria"/>
          <w:b/>
          <w:color w:val="000000" w:themeColor="text1"/>
        </w:rPr>
        <w:lastRenderedPageBreak/>
        <w:t>Lista de tablas</w:t>
      </w:r>
    </w:p>
    <w:p w14:paraId="078C84E3" w14:textId="77777777" w:rsidR="00345418" w:rsidRPr="00946249" w:rsidRDefault="00345418" w:rsidP="00820485">
      <w:pPr>
        <w:widowControl/>
        <w:autoSpaceDE/>
        <w:autoSpaceDN/>
        <w:adjustRightInd/>
        <w:jc w:val="center"/>
        <w:rPr>
          <w:rFonts w:ascii="Cambria" w:hAnsi="Cambria"/>
          <w:b/>
          <w:color w:val="000000" w:themeColor="text1"/>
        </w:rPr>
      </w:pPr>
    </w:p>
    <w:p w14:paraId="49214CF3" w14:textId="032B08C8" w:rsidR="002E3B58" w:rsidRPr="00946249" w:rsidRDefault="004A30BE" w:rsidP="005E2BDD">
      <w:pPr>
        <w:jc w:val="both"/>
        <w:rPr>
          <w:rFonts w:ascii="Cambria" w:hAnsi="Cambria"/>
          <w:bCs/>
          <w:iCs/>
        </w:rPr>
      </w:pPr>
      <w:r w:rsidRPr="00946249">
        <w:rPr>
          <w:rFonts w:ascii="Cambria" w:hAnsi="Cambria"/>
          <w:b/>
        </w:rPr>
        <w:t>Tabla 1.</w:t>
      </w:r>
      <w:r w:rsidRPr="00946249">
        <w:rPr>
          <w:rFonts w:ascii="Cambria" w:hAnsi="Cambria"/>
          <w:b/>
        </w:rPr>
        <w:tab/>
      </w:r>
      <w:r w:rsidRPr="00946249">
        <w:rPr>
          <w:rFonts w:ascii="Cambria" w:hAnsi="Cambria"/>
        </w:rPr>
        <w:t>Capturas mensuales y trimestrales de túnidos tropicales en 2024.</w:t>
      </w:r>
    </w:p>
    <w:p w14:paraId="5E74866C" w14:textId="3755C190" w:rsidR="00FD06E4" w:rsidRPr="00946249" w:rsidRDefault="00FD06E4" w:rsidP="005E2BDD">
      <w:pPr>
        <w:jc w:val="both"/>
        <w:rPr>
          <w:rFonts w:ascii="Cambria" w:hAnsi="Cambria"/>
          <w:bCs/>
          <w:iCs/>
        </w:rPr>
      </w:pPr>
    </w:p>
    <w:p w14:paraId="6FEF9377" w14:textId="398FC8B6" w:rsidR="00FD06E4" w:rsidRPr="00946249" w:rsidRDefault="00FD06E4" w:rsidP="005E2BDD">
      <w:pPr>
        <w:jc w:val="both"/>
        <w:rPr>
          <w:rFonts w:ascii="Cambria" w:hAnsi="Cambria"/>
          <w:bCs/>
          <w:iCs/>
        </w:rPr>
      </w:pPr>
      <w:r w:rsidRPr="00946249">
        <w:rPr>
          <w:rFonts w:ascii="Cambria" w:hAnsi="Cambria"/>
          <w:b/>
        </w:rPr>
        <w:t>Tabla 2.</w:t>
      </w:r>
      <w:r w:rsidRPr="00946249">
        <w:rPr>
          <w:rFonts w:ascii="Cambria" w:hAnsi="Cambria"/>
        </w:rPr>
        <w:t xml:space="preserve"> </w:t>
      </w:r>
      <w:r w:rsidRPr="00946249">
        <w:rPr>
          <w:rFonts w:ascii="Cambria" w:hAnsi="Cambria"/>
        </w:rPr>
        <w:tab/>
        <w:t>Resumen de informes de inspección JIS recibidos.</w:t>
      </w:r>
    </w:p>
    <w:p w14:paraId="4D6756AC" w14:textId="77777777" w:rsidR="004A30BE" w:rsidRPr="00946249" w:rsidRDefault="004A30BE" w:rsidP="005E2BDD">
      <w:pPr>
        <w:jc w:val="both"/>
        <w:rPr>
          <w:rFonts w:ascii="Cambria" w:hAnsi="Cambria"/>
          <w:bCs/>
          <w:iCs/>
        </w:rPr>
      </w:pPr>
    </w:p>
    <w:p w14:paraId="1074F58E" w14:textId="371A6E82" w:rsidR="00147D27" w:rsidRPr="00946249" w:rsidRDefault="004A30BE" w:rsidP="005E2BDD">
      <w:pPr>
        <w:jc w:val="both"/>
        <w:rPr>
          <w:rFonts w:ascii="Cambria" w:hAnsi="Cambria"/>
          <w:bCs/>
          <w:iCs/>
        </w:rPr>
      </w:pPr>
      <w:r w:rsidRPr="00946249">
        <w:rPr>
          <w:rFonts w:ascii="Cambria" w:hAnsi="Cambria"/>
          <w:b/>
        </w:rPr>
        <w:t>Tabla 3.</w:t>
      </w:r>
      <w:r w:rsidRPr="00946249">
        <w:rPr>
          <w:rFonts w:ascii="Cambria" w:hAnsi="Cambria"/>
        </w:rPr>
        <w:t xml:space="preserve"> </w:t>
      </w:r>
      <w:r w:rsidRPr="00946249">
        <w:rPr>
          <w:rFonts w:ascii="Cambria" w:hAnsi="Cambria"/>
        </w:rPr>
        <w:tab/>
        <w:t>Resumen de los informes de inspección en puerto comunicados a la Secretaría de ICCAT.</w:t>
      </w:r>
    </w:p>
    <w:p w14:paraId="108A7504" w14:textId="77777777" w:rsidR="001D229D" w:rsidRPr="00946249" w:rsidRDefault="001D229D" w:rsidP="005E2BDD">
      <w:pPr>
        <w:jc w:val="both"/>
        <w:rPr>
          <w:rFonts w:ascii="Cambria" w:hAnsi="Cambria"/>
          <w:bCs/>
          <w:iCs/>
        </w:rPr>
      </w:pPr>
      <w:bookmarkStart w:id="37" w:name="_Hlk52895081"/>
      <w:bookmarkStart w:id="38" w:name="_Hlk22892381"/>
    </w:p>
    <w:p w14:paraId="11EB9D27" w14:textId="7ACE977F" w:rsidR="00C86AFF" w:rsidRPr="00946249" w:rsidRDefault="004A30BE" w:rsidP="005E2BDD">
      <w:pPr>
        <w:jc w:val="both"/>
        <w:rPr>
          <w:rFonts w:ascii="Cambria" w:hAnsi="Cambria"/>
          <w:bCs/>
          <w:iCs/>
        </w:rPr>
      </w:pPr>
      <w:r w:rsidRPr="00946249">
        <w:rPr>
          <w:rFonts w:ascii="Cambria" w:hAnsi="Cambria"/>
          <w:b/>
        </w:rPr>
        <w:t>Tabla 4.</w:t>
      </w:r>
      <w:r w:rsidRPr="00946249">
        <w:rPr>
          <w:rFonts w:ascii="Cambria" w:hAnsi="Cambria"/>
        </w:rPr>
        <w:t xml:space="preserve"> </w:t>
      </w:r>
      <w:r w:rsidRPr="00946249">
        <w:rPr>
          <w:rFonts w:ascii="Cambria" w:hAnsi="Cambria"/>
        </w:rPr>
        <w:tab/>
        <w:t xml:space="preserve">Mensajes VMS recibidos por CPC y número de buques. </w:t>
      </w:r>
    </w:p>
    <w:p w14:paraId="16F88A28" w14:textId="77777777" w:rsidR="00C86AFF" w:rsidRPr="00946249" w:rsidRDefault="00C86AFF" w:rsidP="005E2BDD">
      <w:pPr>
        <w:jc w:val="both"/>
        <w:rPr>
          <w:rFonts w:ascii="Cambria" w:hAnsi="Cambria"/>
          <w:bCs/>
          <w:iCs/>
        </w:rPr>
      </w:pPr>
    </w:p>
    <w:p w14:paraId="57D8E1B8" w14:textId="63E3539C" w:rsidR="00C86AFF" w:rsidRPr="00946249" w:rsidRDefault="00C86AFF" w:rsidP="005E2BDD">
      <w:pPr>
        <w:ind w:left="1020" w:hanging="1020"/>
        <w:jc w:val="both"/>
        <w:rPr>
          <w:rFonts w:ascii="Cambria" w:hAnsi="Cambria"/>
          <w:bCs/>
          <w:iCs/>
        </w:rPr>
      </w:pPr>
      <w:r w:rsidRPr="00946249">
        <w:rPr>
          <w:rFonts w:ascii="Cambria" w:hAnsi="Cambria"/>
          <w:b/>
          <w:bCs/>
        </w:rPr>
        <w:t>Tabla 5.</w:t>
      </w:r>
      <w:r w:rsidRPr="00946249">
        <w:rPr>
          <w:rFonts w:ascii="Cambria" w:hAnsi="Cambria"/>
        </w:rPr>
        <w:t xml:space="preserve"> </w:t>
      </w:r>
      <w:r w:rsidRPr="00946249">
        <w:rPr>
          <w:rFonts w:ascii="Cambria" w:hAnsi="Cambria"/>
        </w:rPr>
        <w:tab/>
        <w:t xml:space="preserve">Buques que durante mayo-julio de 2025 han estado inscritos en el Registro de buques de ICCAT y que durante algunas de las semanas de este período no han emitido ningún mensaje VMS. </w:t>
      </w:r>
    </w:p>
    <w:p w14:paraId="36582ABC" w14:textId="77777777" w:rsidR="00147D27" w:rsidRPr="00946249" w:rsidRDefault="00147D27" w:rsidP="005E2BDD">
      <w:pPr>
        <w:jc w:val="both"/>
        <w:rPr>
          <w:rFonts w:ascii="Cambria" w:hAnsi="Cambria"/>
          <w:bCs/>
          <w:iCs/>
        </w:rPr>
      </w:pPr>
    </w:p>
    <w:p w14:paraId="51F5FABD" w14:textId="1A206528" w:rsidR="00F978E7" w:rsidRPr="00946249" w:rsidRDefault="004A30BE" w:rsidP="005E2BDD">
      <w:pPr>
        <w:ind w:left="1020" w:hanging="1020"/>
        <w:jc w:val="both"/>
        <w:rPr>
          <w:rFonts w:ascii="Cambria" w:hAnsi="Cambria"/>
          <w:bCs/>
          <w:iCs/>
        </w:rPr>
      </w:pPr>
      <w:r w:rsidRPr="00946249">
        <w:rPr>
          <w:rFonts w:ascii="Cambria" w:hAnsi="Cambria"/>
          <w:b/>
        </w:rPr>
        <w:t>Tabla 6.</w:t>
      </w:r>
      <w:r w:rsidRPr="00946249">
        <w:rPr>
          <w:rFonts w:ascii="Cambria" w:hAnsi="Cambria"/>
        </w:rPr>
        <w:t xml:space="preserve"> </w:t>
      </w:r>
      <w:r w:rsidRPr="00946249">
        <w:rPr>
          <w:rFonts w:ascii="Cambria" w:hAnsi="Cambria"/>
        </w:rPr>
        <w:tab/>
        <w:t xml:space="preserve">Buques que durante mayo-julio de 2025 no han estado inscritos en el Registro de buques de ICCAT o cuya autorización ha expirado y que han emitido mensajes VMS durante algunas de las semanas de este período. </w:t>
      </w:r>
    </w:p>
    <w:bookmarkEnd w:id="37"/>
    <w:bookmarkEnd w:id="38"/>
    <w:p w14:paraId="01D8D4C5" w14:textId="77777777" w:rsidR="002E61FA" w:rsidRPr="00946249" w:rsidRDefault="002E61FA" w:rsidP="005E2BDD">
      <w:pPr>
        <w:jc w:val="both"/>
        <w:rPr>
          <w:rFonts w:ascii="Cambria" w:hAnsi="Cambria"/>
          <w:b/>
          <w:iCs/>
        </w:rPr>
      </w:pPr>
    </w:p>
    <w:p w14:paraId="1EAC9394" w14:textId="6E1A39A7" w:rsidR="002E61FA" w:rsidRPr="00946249" w:rsidRDefault="002E61FA" w:rsidP="005E2BDD">
      <w:pPr>
        <w:jc w:val="both"/>
        <w:rPr>
          <w:rFonts w:ascii="Cambria" w:hAnsi="Cambria"/>
          <w:bCs/>
          <w:iCs/>
        </w:rPr>
      </w:pPr>
      <w:r w:rsidRPr="00946249">
        <w:rPr>
          <w:rFonts w:ascii="Cambria" w:hAnsi="Cambria"/>
          <w:b/>
        </w:rPr>
        <w:t>Tabla 7.</w:t>
      </w:r>
      <w:r w:rsidRPr="00946249">
        <w:rPr>
          <w:rFonts w:ascii="Cambria" w:hAnsi="Cambria"/>
        </w:rPr>
        <w:t xml:space="preserve"> </w:t>
      </w:r>
      <w:r w:rsidRPr="00946249">
        <w:rPr>
          <w:rFonts w:ascii="Cambria" w:hAnsi="Cambria"/>
        </w:rPr>
        <w:tab/>
        <w:t>Resumen de los informes de capturas mensuales (BFT-W).</w:t>
      </w:r>
    </w:p>
    <w:p w14:paraId="5DA644CB" w14:textId="77777777" w:rsidR="002E61FA" w:rsidRPr="00946249" w:rsidRDefault="002E61FA" w:rsidP="005E2BDD">
      <w:pPr>
        <w:jc w:val="both"/>
        <w:rPr>
          <w:rFonts w:ascii="Cambria" w:hAnsi="Cambria"/>
          <w:bCs/>
          <w:iCs/>
        </w:rPr>
      </w:pPr>
    </w:p>
    <w:p w14:paraId="4EAA0A25" w14:textId="7F22B9C5" w:rsidR="002E61FA" w:rsidRPr="00946249" w:rsidRDefault="002E61FA" w:rsidP="005E2BDD">
      <w:pPr>
        <w:jc w:val="both"/>
        <w:rPr>
          <w:rFonts w:ascii="Cambria" w:hAnsi="Cambria"/>
          <w:bCs/>
          <w:iCs/>
        </w:rPr>
      </w:pPr>
      <w:r w:rsidRPr="00946249">
        <w:rPr>
          <w:rFonts w:ascii="Cambria" w:hAnsi="Cambria"/>
          <w:b/>
        </w:rPr>
        <w:t>Tabla 8.</w:t>
      </w:r>
      <w:r w:rsidRPr="00946249">
        <w:rPr>
          <w:rFonts w:ascii="Cambria" w:hAnsi="Cambria"/>
        </w:rPr>
        <w:t xml:space="preserve"> </w:t>
      </w:r>
      <w:r w:rsidRPr="00946249">
        <w:rPr>
          <w:rFonts w:ascii="Cambria" w:hAnsi="Cambria"/>
        </w:rPr>
        <w:tab/>
        <w:t>Resumen de los informes de capturas semanales (BFT-E).</w:t>
      </w:r>
    </w:p>
    <w:p w14:paraId="6C540495" w14:textId="77777777" w:rsidR="002E61FA" w:rsidRPr="00946249" w:rsidRDefault="002E61FA" w:rsidP="005E2BDD">
      <w:pPr>
        <w:jc w:val="both"/>
        <w:rPr>
          <w:rFonts w:ascii="Cambria" w:hAnsi="Cambria"/>
          <w:bCs/>
          <w:iCs/>
        </w:rPr>
      </w:pPr>
    </w:p>
    <w:p w14:paraId="6E40AB7B" w14:textId="723DAF60" w:rsidR="002E61FA" w:rsidRPr="00946249" w:rsidRDefault="002E61FA" w:rsidP="005E2BDD">
      <w:pPr>
        <w:jc w:val="both"/>
        <w:rPr>
          <w:rFonts w:ascii="Cambria" w:hAnsi="Cambria"/>
          <w:bCs/>
          <w:iCs/>
        </w:rPr>
      </w:pPr>
      <w:r w:rsidRPr="00946249">
        <w:rPr>
          <w:rFonts w:ascii="Cambria" w:hAnsi="Cambria"/>
          <w:b/>
        </w:rPr>
        <w:t>Tabla 9.</w:t>
      </w:r>
      <w:r w:rsidRPr="00946249">
        <w:rPr>
          <w:rFonts w:ascii="Cambria" w:hAnsi="Cambria"/>
        </w:rPr>
        <w:t xml:space="preserve"> </w:t>
      </w:r>
      <w:r w:rsidRPr="00946249">
        <w:rPr>
          <w:rFonts w:ascii="Cambria" w:hAnsi="Cambria"/>
        </w:rPr>
        <w:tab/>
        <w:t>Resumen de informes de operaciones de introducción en jaulas de BFT-E.</w:t>
      </w:r>
    </w:p>
    <w:p w14:paraId="41FF887E" w14:textId="77777777" w:rsidR="002E61FA" w:rsidRPr="00946249" w:rsidRDefault="002E61FA" w:rsidP="005E2BDD">
      <w:pPr>
        <w:jc w:val="both"/>
        <w:rPr>
          <w:rFonts w:ascii="Cambria" w:hAnsi="Cambria"/>
          <w:bCs/>
          <w:iCs/>
        </w:rPr>
      </w:pPr>
    </w:p>
    <w:p w14:paraId="34C257BC" w14:textId="437DFCF9" w:rsidR="002E61FA" w:rsidRPr="00946249" w:rsidRDefault="002E61FA" w:rsidP="005E2BDD">
      <w:pPr>
        <w:jc w:val="both"/>
        <w:rPr>
          <w:rFonts w:ascii="Cambria" w:hAnsi="Cambria"/>
          <w:bCs/>
          <w:iCs/>
        </w:rPr>
      </w:pPr>
      <w:r w:rsidRPr="00946249">
        <w:rPr>
          <w:rFonts w:ascii="Cambria" w:hAnsi="Cambria"/>
          <w:b/>
        </w:rPr>
        <w:t>Tabla 10.</w:t>
      </w:r>
      <w:r w:rsidRPr="00946249">
        <w:rPr>
          <w:rFonts w:ascii="Cambria" w:hAnsi="Cambria"/>
        </w:rPr>
        <w:t xml:space="preserve"> </w:t>
      </w:r>
      <w:r w:rsidRPr="00946249">
        <w:rPr>
          <w:rFonts w:ascii="Cambria" w:hAnsi="Cambria"/>
        </w:rPr>
        <w:tab/>
        <w:t>Resumen de acuerdos de fletamento comunicados.</w:t>
      </w:r>
    </w:p>
    <w:p w14:paraId="7227D808" w14:textId="7D978EEF" w:rsidR="00C21FE0" w:rsidRPr="00946249" w:rsidRDefault="00C21FE0" w:rsidP="005E2BDD">
      <w:pPr>
        <w:jc w:val="both"/>
        <w:rPr>
          <w:rFonts w:ascii="Cambria" w:hAnsi="Cambria"/>
          <w:bCs/>
          <w:iCs/>
        </w:rPr>
      </w:pPr>
    </w:p>
    <w:p w14:paraId="3A53538C" w14:textId="04FB5F16" w:rsidR="00C21FE0" w:rsidRPr="008A752A" w:rsidRDefault="00C21FE0" w:rsidP="005E2BDD">
      <w:pPr>
        <w:ind w:left="1020" w:hanging="1020"/>
        <w:jc w:val="both"/>
        <w:rPr>
          <w:rFonts w:ascii="Cambria" w:hAnsi="Cambria"/>
          <w:iCs/>
          <w:color w:val="000000"/>
        </w:rPr>
      </w:pPr>
      <w:r w:rsidRPr="00946249">
        <w:rPr>
          <w:rFonts w:ascii="Cambria" w:hAnsi="Cambria"/>
          <w:b/>
        </w:rPr>
        <w:t>Tabla 11.</w:t>
      </w:r>
      <w:r w:rsidRPr="00946249">
        <w:rPr>
          <w:rFonts w:ascii="Cambria" w:hAnsi="Cambria"/>
        </w:rPr>
        <w:t xml:space="preserve"> </w:t>
      </w:r>
      <w:r w:rsidRPr="00946249">
        <w:rPr>
          <w:rFonts w:ascii="Cambria" w:hAnsi="Cambria"/>
        </w:rPr>
        <w:tab/>
        <w:t>Resultados de los controles aleatorios comunicados a la Secretaría de ICCAT de acuerdo con los párrafos 215 y 218 de la Rec. 22-08 y la Rec. 24-05, respectivamente.</w:t>
      </w:r>
    </w:p>
    <w:sectPr w:rsidR="00C21FE0" w:rsidRPr="008A752A" w:rsidSect="005C1EE7">
      <w:headerReference w:type="default" r:id="rId40"/>
      <w:footerReference w:type="default" r:id="rId41"/>
      <w:endnotePr>
        <w:numFmt w:val="decimal"/>
      </w:endnotePr>
      <w:pgSz w:w="11911" w:h="16832" w:code="9"/>
      <w:pgMar w:top="1418" w:right="1418" w:bottom="1418" w:left="1418" w:header="851"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5502" w14:textId="77777777" w:rsidR="008124D0" w:rsidRDefault="008124D0">
      <w:r>
        <w:separator/>
      </w:r>
    </w:p>
  </w:endnote>
  <w:endnote w:type="continuationSeparator" w:id="0">
    <w:p w14:paraId="4C1A29EA" w14:textId="77777777" w:rsidR="008124D0" w:rsidRDefault="008124D0">
      <w:r>
        <w:continuationSeparator/>
      </w:r>
    </w:p>
  </w:endnote>
  <w:endnote w:type="continuationNotice" w:id="1">
    <w:p w14:paraId="40122A27" w14:textId="77777777" w:rsidR="008124D0" w:rsidRDefault="00812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54C7" w14:textId="696195B6" w:rsidR="003F3EC0" w:rsidRPr="00C6213D" w:rsidRDefault="00C6213D" w:rsidP="00C6213D">
    <w:pPr>
      <w:tabs>
        <w:tab w:val="center" w:pos="4535"/>
        <w:tab w:val="center" w:pos="4680"/>
        <w:tab w:val="left" w:pos="6150"/>
        <w:tab w:val="right" w:pos="9360"/>
      </w:tabs>
      <w:jc w:val="center"/>
      <w:rPr>
        <w:rFonts w:ascii="Cambria" w:eastAsia="Calibri" w:hAnsi="Cambria" w:cs="Calibri"/>
        <w:szCs w:val="22"/>
      </w:rPr>
    </w:pPr>
    <w:r w:rsidRPr="00D92816">
      <w:rPr>
        <w:rFonts w:ascii="Cambria" w:eastAsia="Calibri" w:hAnsi="Cambria" w:cs="Calibri"/>
      </w:rPr>
      <w:fldChar w:fldCharType="begin"/>
    </w:r>
    <w:r w:rsidRPr="00D92816">
      <w:rPr>
        <w:rFonts w:ascii="Cambria" w:eastAsia="Calibri" w:hAnsi="Cambria" w:cs="Calibri"/>
      </w:rPr>
      <w:instrText xml:space="preserve"> PAGE </w:instrText>
    </w:r>
    <w:r w:rsidRPr="00D92816">
      <w:rPr>
        <w:rFonts w:ascii="Cambria" w:eastAsia="Calibri" w:hAnsi="Cambria" w:cs="Calibri"/>
      </w:rPr>
      <w:fldChar w:fldCharType="separate"/>
    </w:r>
    <w:r>
      <w:rPr>
        <w:rFonts w:ascii="Cambria" w:eastAsia="Calibri" w:hAnsi="Cambria" w:cs="Calibri"/>
      </w:rPr>
      <w:t>1</w:t>
    </w:r>
    <w:r w:rsidRPr="00D92816">
      <w:rPr>
        <w:rFonts w:ascii="Cambria" w:eastAsia="Calibri" w:hAnsi="Cambria" w:cs="Calibri"/>
      </w:rPr>
      <w:fldChar w:fldCharType="end"/>
    </w:r>
    <w:r>
      <w:rPr>
        <w:rFonts w:ascii="Cambria" w:hAnsi="Cambria"/>
      </w:rPr>
      <w:t xml:space="preserve"> / </w:t>
    </w:r>
    <w:r w:rsidRPr="00D92816">
      <w:rPr>
        <w:rFonts w:ascii="Cambria" w:eastAsia="Calibri" w:hAnsi="Cambria" w:cs="Calibri"/>
      </w:rPr>
      <w:fldChar w:fldCharType="begin"/>
    </w:r>
    <w:r w:rsidRPr="00D92816">
      <w:rPr>
        <w:rFonts w:ascii="Cambria" w:eastAsia="Calibri" w:hAnsi="Cambria" w:cs="Calibri"/>
      </w:rPr>
      <w:instrText xml:space="preserve"> NUMPAGES  </w:instrText>
    </w:r>
    <w:r w:rsidRPr="00D92816">
      <w:rPr>
        <w:rFonts w:ascii="Cambria" w:eastAsia="Calibri" w:hAnsi="Cambria" w:cs="Calibri"/>
      </w:rPr>
      <w:fldChar w:fldCharType="separate"/>
    </w:r>
    <w:r>
      <w:rPr>
        <w:rFonts w:ascii="Cambria" w:eastAsia="Calibri" w:hAnsi="Cambria" w:cs="Calibri"/>
      </w:rPr>
      <w:t>8</w:t>
    </w:r>
    <w:r w:rsidRPr="00D92816">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EF7" w14:textId="77777777" w:rsidR="003F3EC0" w:rsidRPr="00C6213D" w:rsidRDefault="00C6213D" w:rsidP="00C6213D">
    <w:pPr>
      <w:tabs>
        <w:tab w:val="center" w:pos="4535"/>
        <w:tab w:val="center" w:pos="4680"/>
        <w:tab w:val="left" w:pos="6150"/>
        <w:tab w:val="right" w:pos="9360"/>
      </w:tabs>
      <w:jc w:val="center"/>
      <w:rPr>
        <w:rFonts w:ascii="Cambria" w:eastAsia="Calibri" w:hAnsi="Cambria" w:cs="Calibri"/>
        <w:szCs w:val="22"/>
      </w:rPr>
    </w:pPr>
    <w:r w:rsidRPr="00D92816">
      <w:rPr>
        <w:rFonts w:ascii="Cambria" w:eastAsia="Calibri" w:hAnsi="Cambria" w:cs="Calibri"/>
      </w:rPr>
      <w:fldChar w:fldCharType="begin"/>
    </w:r>
    <w:r w:rsidRPr="00D92816">
      <w:rPr>
        <w:rFonts w:ascii="Cambria" w:eastAsia="Calibri" w:hAnsi="Cambria" w:cs="Calibri"/>
      </w:rPr>
      <w:instrText xml:space="preserve"> PAGE </w:instrText>
    </w:r>
    <w:r w:rsidRPr="00D92816">
      <w:rPr>
        <w:rFonts w:ascii="Cambria" w:eastAsia="Calibri" w:hAnsi="Cambria" w:cs="Calibri"/>
      </w:rPr>
      <w:fldChar w:fldCharType="separate"/>
    </w:r>
    <w:r>
      <w:rPr>
        <w:rFonts w:ascii="Cambria" w:eastAsia="Calibri" w:hAnsi="Cambria" w:cs="Calibri"/>
      </w:rPr>
      <w:t>1</w:t>
    </w:r>
    <w:r w:rsidRPr="00D92816">
      <w:rPr>
        <w:rFonts w:ascii="Cambria" w:eastAsia="Calibri" w:hAnsi="Cambria" w:cs="Calibri"/>
      </w:rPr>
      <w:fldChar w:fldCharType="end"/>
    </w:r>
    <w:r>
      <w:rPr>
        <w:rFonts w:ascii="Cambria" w:hAnsi="Cambria"/>
      </w:rPr>
      <w:t xml:space="preserve"> / </w:t>
    </w:r>
    <w:r w:rsidRPr="00D92816">
      <w:rPr>
        <w:rFonts w:ascii="Cambria" w:eastAsia="Calibri" w:hAnsi="Cambria" w:cs="Calibri"/>
      </w:rPr>
      <w:fldChar w:fldCharType="begin"/>
    </w:r>
    <w:r w:rsidRPr="00D92816">
      <w:rPr>
        <w:rFonts w:ascii="Cambria" w:eastAsia="Calibri" w:hAnsi="Cambria" w:cs="Calibri"/>
      </w:rPr>
      <w:instrText xml:space="preserve"> NUMPAGES  </w:instrText>
    </w:r>
    <w:r w:rsidRPr="00D92816">
      <w:rPr>
        <w:rFonts w:ascii="Cambria" w:eastAsia="Calibri" w:hAnsi="Cambria" w:cs="Calibri"/>
      </w:rPr>
      <w:fldChar w:fldCharType="separate"/>
    </w:r>
    <w:r>
      <w:rPr>
        <w:rFonts w:ascii="Cambria" w:eastAsia="Calibri" w:hAnsi="Cambria" w:cs="Calibri"/>
      </w:rPr>
      <w:t>8</w:t>
    </w:r>
    <w:r w:rsidRPr="00D92816">
      <w:rPr>
        <w:rFonts w:ascii="Cambria" w:eastAsia="Calibri" w:hAnsi="Cambr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5FAA" w14:textId="77777777" w:rsidR="008124D0" w:rsidRDefault="008124D0">
      <w:r>
        <w:separator/>
      </w:r>
    </w:p>
  </w:footnote>
  <w:footnote w:type="continuationSeparator" w:id="0">
    <w:p w14:paraId="4F77BD92" w14:textId="77777777" w:rsidR="008124D0" w:rsidRDefault="008124D0">
      <w:r>
        <w:continuationSeparator/>
      </w:r>
    </w:p>
  </w:footnote>
  <w:footnote w:type="continuationNotice" w:id="1">
    <w:p w14:paraId="6B119622" w14:textId="77777777" w:rsidR="008124D0" w:rsidRDefault="008124D0"/>
  </w:footnote>
  <w:footnote w:id="2">
    <w:p w14:paraId="4FC68A6C" w14:textId="5C20C881" w:rsidR="0084679B" w:rsidRPr="00343CEC" w:rsidRDefault="0084679B" w:rsidP="00D45417">
      <w:pPr>
        <w:pStyle w:val="FootnoteText"/>
        <w:jc w:val="both"/>
        <w:rPr>
          <w:rFonts w:asciiTheme="majorHAnsi" w:hAnsiTheme="majorHAnsi"/>
          <w:sz w:val="16"/>
          <w:szCs w:val="16"/>
        </w:rPr>
      </w:pPr>
      <w:r w:rsidRPr="00C7012F">
        <w:rPr>
          <w:rStyle w:val="FootnoteReference"/>
          <w:rFonts w:asciiTheme="majorHAnsi" w:hAnsiTheme="majorHAnsi"/>
          <w:sz w:val="16"/>
          <w:szCs w:val="16"/>
        </w:rPr>
        <w:footnoteRef/>
      </w:r>
      <w:r w:rsidRPr="00C7012F">
        <w:rPr>
          <w:rFonts w:asciiTheme="majorHAnsi" w:hAnsiTheme="majorHAnsi"/>
          <w:sz w:val="16"/>
        </w:rPr>
        <w:t xml:space="preserve"> El formato de los planes anuales de pesca, de ordenación de la capacidad y de ordenación de los DCP para túnidos tropicales de 2025 se ha actualizado utilizando la Rec. 24-01 como única referencia. Este cambio se realizó tras consultarlo con el presidente de la Subcomisión 1, tal y como se informó en la Circular n.º 00243/2025 de ICCAT.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F85" w14:textId="4D7DDA76" w:rsidR="00B51754" w:rsidRPr="00B51754" w:rsidRDefault="00B51754" w:rsidP="00B51754">
    <w:pPr>
      <w:tabs>
        <w:tab w:val="center" w:pos="4680"/>
        <w:tab w:val="left" w:pos="6520"/>
        <w:tab w:val="right" w:pos="9360"/>
        <w:tab w:val="right" w:pos="14240"/>
      </w:tabs>
      <w:spacing w:line="240" w:lineRule="atLeast"/>
      <w:jc w:val="right"/>
      <w:rPr>
        <w:rFonts w:ascii="Cambria" w:eastAsia="Calibri" w:hAnsi="Cambria"/>
        <w:b/>
        <w:bCs/>
        <w:kern w:val="2"/>
        <w14:ligatures w14:val="standardContextual"/>
      </w:rPr>
    </w:pPr>
    <w:bookmarkStart w:id="14" w:name="_Hlk107908354"/>
    <w:bookmarkStart w:id="15" w:name="_Hlk107908355"/>
    <w:bookmarkStart w:id="16" w:name="_Hlk107908359"/>
    <w:bookmarkStart w:id="17" w:name="_Hlk107908360"/>
    <w:bookmarkStart w:id="18" w:name="_Hlk107908361"/>
    <w:bookmarkStart w:id="19" w:name="_Hlk107908362"/>
    <w:bookmarkStart w:id="20" w:name="_Hlk51237468"/>
    <w:r>
      <w:rPr>
        <w:rFonts w:ascii="Cambria" w:hAnsi="Cambria"/>
        <w:b/>
      </w:rPr>
      <w:t>COC_303/2025</w:t>
    </w:r>
  </w:p>
  <w:p w14:paraId="27606F82" w14:textId="0C87E70F" w:rsidR="00B51754" w:rsidRPr="00B51754" w:rsidRDefault="00B51754" w:rsidP="00B51754">
    <w:pPr>
      <w:widowControl/>
      <w:tabs>
        <w:tab w:val="left" w:pos="7320"/>
      </w:tabs>
      <w:autoSpaceDE/>
      <w:autoSpaceDN/>
      <w:adjustRightInd/>
      <w:spacing w:line="240" w:lineRule="atLeast"/>
      <w:jc w:val="right"/>
      <w:rPr>
        <w:rFonts w:ascii="Cambria" w:eastAsia="Yu Mincho" w:hAnsi="Cambria"/>
        <w:b/>
        <w:bCs/>
        <w:kern w:val="2"/>
        <w:sz w:val="16"/>
        <w:szCs w:val="16"/>
        <w14:ligatures w14:val="standardContextual"/>
      </w:rPr>
    </w:pPr>
    <w:r w:rsidRPr="00B51754">
      <w:rPr>
        <w:rFonts w:ascii="Cambria" w:eastAsia="Yu Mincho" w:hAnsi="Cambria"/>
        <w:b/>
        <w:sz w:val="16"/>
      </w:rPr>
      <w:fldChar w:fldCharType="begin"/>
    </w:r>
    <w:r w:rsidRPr="00B51754">
      <w:rPr>
        <w:rFonts w:ascii="Cambria" w:eastAsia="Yu Mincho" w:hAnsi="Cambria"/>
        <w:b/>
        <w:sz w:val="16"/>
      </w:rPr>
      <w:instrText xml:space="preserve"> TIME \@ "dd/MM/yyyy H:mm" </w:instrText>
    </w:r>
    <w:r w:rsidRPr="00B51754">
      <w:rPr>
        <w:rFonts w:ascii="Cambria" w:eastAsia="Yu Mincho" w:hAnsi="Cambria"/>
        <w:b/>
        <w:sz w:val="16"/>
      </w:rPr>
      <w:fldChar w:fldCharType="separate"/>
    </w:r>
    <w:r w:rsidR="00C7012F">
      <w:rPr>
        <w:rFonts w:ascii="Cambria" w:eastAsia="Yu Mincho" w:hAnsi="Cambria"/>
        <w:b/>
        <w:noProof/>
        <w:sz w:val="16"/>
      </w:rPr>
      <w:t>04/11/2025 15:48</w:t>
    </w:r>
    <w:r w:rsidRPr="00B51754">
      <w:rPr>
        <w:rFonts w:ascii="Cambria" w:eastAsia="Yu Mincho" w:hAnsi="Cambria"/>
        <w:b/>
        <w:bCs/>
        <w:kern w:val="2"/>
        <w:sz w:val="16"/>
        <w:szCs w:val="16"/>
        <w:lang w:eastAsia="ja-JP"/>
        <w14:ligatures w14:val="standardContextual"/>
      </w:rPr>
      <w:fldChar w:fldCharType="end"/>
    </w:r>
    <w:bookmarkEnd w:id="14"/>
    <w:bookmarkEnd w:id="15"/>
    <w:bookmarkEnd w:id="16"/>
    <w:bookmarkEnd w:id="17"/>
    <w:bookmarkEnd w:id="18"/>
    <w:bookmarkEnd w:id="19"/>
  </w:p>
  <w:bookmarkEnd w:id="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510A" w14:textId="2E8B4FCD" w:rsidR="00B51754" w:rsidRPr="00B51754" w:rsidRDefault="00B51754" w:rsidP="00B51754">
    <w:pPr>
      <w:tabs>
        <w:tab w:val="center" w:pos="4680"/>
        <w:tab w:val="left" w:pos="6520"/>
        <w:tab w:val="right" w:pos="9360"/>
        <w:tab w:val="right" w:pos="14240"/>
      </w:tabs>
      <w:spacing w:line="240" w:lineRule="atLeast"/>
      <w:jc w:val="right"/>
      <w:rPr>
        <w:rFonts w:ascii="Cambria" w:eastAsia="Calibri" w:hAnsi="Cambria"/>
        <w:b/>
        <w:bCs/>
        <w:kern w:val="2"/>
        <w14:ligatures w14:val="standardContextual"/>
      </w:rPr>
    </w:pPr>
    <w:r>
      <w:rPr>
        <w:rFonts w:ascii="Cambria" w:hAnsi="Cambria"/>
        <w:b/>
      </w:rPr>
      <w:t>COC_303/2025</w:t>
    </w:r>
  </w:p>
  <w:p w14:paraId="4B32D83B" w14:textId="271309F0" w:rsidR="00B51754" w:rsidRPr="00B51754" w:rsidRDefault="00B51754" w:rsidP="00B51754">
    <w:pPr>
      <w:widowControl/>
      <w:tabs>
        <w:tab w:val="left" w:pos="7320"/>
      </w:tabs>
      <w:autoSpaceDE/>
      <w:autoSpaceDN/>
      <w:adjustRightInd/>
      <w:spacing w:line="240" w:lineRule="atLeast"/>
      <w:jc w:val="right"/>
      <w:rPr>
        <w:rFonts w:ascii="Cambria" w:eastAsia="Yu Mincho" w:hAnsi="Cambria"/>
        <w:b/>
        <w:bCs/>
        <w:kern w:val="2"/>
        <w:sz w:val="16"/>
        <w:szCs w:val="16"/>
        <w14:ligatures w14:val="standardContextual"/>
      </w:rPr>
    </w:pPr>
    <w:r w:rsidRPr="00B51754">
      <w:rPr>
        <w:rFonts w:ascii="Cambria" w:eastAsia="Yu Mincho" w:hAnsi="Cambria"/>
        <w:b/>
        <w:sz w:val="16"/>
      </w:rPr>
      <w:fldChar w:fldCharType="begin"/>
    </w:r>
    <w:r w:rsidRPr="00B51754">
      <w:rPr>
        <w:rFonts w:ascii="Cambria" w:eastAsia="Yu Mincho" w:hAnsi="Cambria"/>
        <w:b/>
        <w:sz w:val="16"/>
      </w:rPr>
      <w:instrText xml:space="preserve"> TIME \@ "dd/MM/yyyy H:mm" </w:instrText>
    </w:r>
    <w:r w:rsidRPr="00B51754">
      <w:rPr>
        <w:rFonts w:ascii="Cambria" w:eastAsia="Yu Mincho" w:hAnsi="Cambria"/>
        <w:b/>
        <w:sz w:val="16"/>
      </w:rPr>
      <w:fldChar w:fldCharType="separate"/>
    </w:r>
    <w:r w:rsidR="00C7012F">
      <w:rPr>
        <w:rFonts w:ascii="Cambria" w:eastAsia="Yu Mincho" w:hAnsi="Cambria"/>
        <w:b/>
        <w:noProof/>
        <w:sz w:val="16"/>
      </w:rPr>
      <w:t>04/11/2025 15:48</w:t>
    </w:r>
    <w:r w:rsidRPr="00B51754">
      <w:rPr>
        <w:rFonts w:ascii="Cambria" w:eastAsia="Yu Mincho" w:hAnsi="Cambria"/>
        <w:b/>
        <w:bCs/>
        <w:kern w:val="2"/>
        <w:sz w:val="16"/>
        <w:szCs w:val="16"/>
        <w:lang w:eastAsia="ja-JP"/>
        <w14:ligatures w14:val="standardContextu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752"/>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B57C7"/>
    <w:multiLevelType w:val="hybridMultilevel"/>
    <w:tmpl w:val="4FFCE6EE"/>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B100D"/>
    <w:multiLevelType w:val="hybridMultilevel"/>
    <w:tmpl w:val="DD8E38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B34E78"/>
    <w:multiLevelType w:val="hybridMultilevel"/>
    <w:tmpl w:val="46FCABD0"/>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8833F6"/>
    <w:multiLevelType w:val="hybridMultilevel"/>
    <w:tmpl w:val="E1889D58"/>
    <w:lvl w:ilvl="0" w:tplc="52C23342">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B923B0"/>
    <w:multiLevelType w:val="hybridMultilevel"/>
    <w:tmpl w:val="95F6A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370FD6"/>
    <w:multiLevelType w:val="hybridMultilevel"/>
    <w:tmpl w:val="DD7C851E"/>
    <w:lvl w:ilvl="0" w:tplc="E968C7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A6037"/>
    <w:multiLevelType w:val="multilevel"/>
    <w:tmpl w:val="BE3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5023F"/>
    <w:multiLevelType w:val="hybridMultilevel"/>
    <w:tmpl w:val="C0421D8C"/>
    <w:lvl w:ilvl="0" w:tplc="3BF6B37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7334C"/>
    <w:multiLevelType w:val="hybridMultilevel"/>
    <w:tmpl w:val="407AFC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F3C1F"/>
    <w:multiLevelType w:val="hybridMultilevel"/>
    <w:tmpl w:val="441AF51A"/>
    <w:lvl w:ilvl="0" w:tplc="81923C5E">
      <w:start w:val="3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B52291"/>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1F86972"/>
    <w:multiLevelType w:val="hybridMultilevel"/>
    <w:tmpl w:val="702EEE92"/>
    <w:lvl w:ilvl="0" w:tplc="E5BCE22C">
      <w:start w:val="800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65F47BDB"/>
    <w:multiLevelType w:val="hybridMultilevel"/>
    <w:tmpl w:val="3B6C0D7C"/>
    <w:lvl w:ilvl="0" w:tplc="81923C5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90FD1"/>
    <w:multiLevelType w:val="multilevel"/>
    <w:tmpl w:val="CDD616B6"/>
    <w:lvl w:ilvl="0">
      <w:start w:val="6"/>
      <w:numFmt w:val="decimalZero"/>
      <w:lvlText w:val="%1"/>
      <w:lvlJc w:val="left"/>
      <w:pPr>
        <w:tabs>
          <w:tab w:val="num" w:pos="840"/>
        </w:tabs>
        <w:ind w:left="840" w:hanging="840"/>
      </w:pPr>
      <w:rPr>
        <w:rFonts w:hint="default"/>
      </w:rPr>
    </w:lvl>
    <w:lvl w:ilvl="1">
      <w:start w:val="10"/>
      <w:numFmt w:val="decimal"/>
      <w:lvlText w:val="%1-%2"/>
      <w:lvlJc w:val="left"/>
      <w:pPr>
        <w:tabs>
          <w:tab w:val="num" w:pos="1272"/>
        </w:tabs>
        <w:ind w:left="1272" w:hanging="840"/>
      </w:pPr>
      <w:rPr>
        <w:rFonts w:hint="default"/>
      </w:rPr>
    </w:lvl>
    <w:lvl w:ilvl="2">
      <w:start w:val="1"/>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568"/>
        </w:tabs>
        <w:ind w:left="2568" w:hanging="84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num w:numId="1" w16cid:durableId="9150172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23495">
    <w:abstractNumId w:val="6"/>
  </w:num>
  <w:num w:numId="3" w16cid:durableId="706874014">
    <w:abstractNumId w:val="8"/>
  </w:num>
  <w:num w:numId="4" w16cid:durableId="438182842">
    <w:abstractNumId w:val="14"/>
  </w:num>
  <w:num w:numId="5" w16cid:durableId="1969772511">
    <w:abstractNumId w:val="9"/>
  </w:num>
  <w:num w:numId="6" w16cid:durableId="371922932">
    <w:abstractNumId w:val="11"/>
  </w:num>
  <w:num w:numId="7" w16cid:durableId="1820265095">
    <w:abstractNumId w:val="0"/>
  </w:num>
  <w:num w:numId="8" w16cid:durableId="27923505">
    <w:abstractNumId w:val="5"/>
  </w:num>
  <w:num w:numId="9" w16cid:durableId="1699427370">
    <w:abstractNumId w:val="2"/>
  </w:num>
  <w:num w:numId="10" w16cid:durableId="244195111">
    <w:abstractNumId w:val="13"/>
  </w:num>
  <w:num w:numId="11" w16cid:durableId="1505630998">
    <w:abstractNumId w:val="12"/>
  </w:num>
  <w:num w:numId="12" w16cid:durableId="735905790">
    <w:abstractNumId w:val="7"/>
  </w:num>
  <w:num w:numId="13" w16cid:durableId="911352777">
    <w:abstractNumId w:val="10"/>
  </w:num>
  <w:num w:numId="14" w16cid:durableId="623928830">
    <w:abstractNumId w:val="1"/>
  </w:num>
  <w:num w:numId="15" w16cid:durableId="111995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14"/>
    <w:rsid w:val="000004D8"/>
    <w:rsid w:val="0000149F"/>
    <w:rsid w:val="000021FF"/>
    <w:rsid w:val="00005789"/>
    <w:rsid w:val="000062BD"/>
    <w:rsid w:val="0000673A"/>
    <w:rsid w:val="00007651"/>
    <w:rsid w:val="00007B8D"/>
    <w:rsid w:val="00010382"/>
    <w:rsid w:val="00010D82"/>
    <w:rsid w:val="0001132E"/>
    <w:rsid w:val="00011618"/>
    <w:rsid w:val="00011D93"/>
    <w:rsid w:val="00011F6B"/>
    <w:rsid w:val="00013CB5"/>
    <w:rsid w:val="00013DEE"/>
    <w:rsid w:val="00015231"/>
    <w:rsid w:val="0001525A"/>
    <w:rsid w:val="0001572E"/>
    <w:rsid w:val="00015B4B"/>
    <w:rsid w:val="0001794A"/>
    <w:rsid w:val="00017ABD"/>
    <w:rsid w:val="000203BD"/>
    <w:rsid w:val="0002043E"/>
    <w:rsid w:val="00020D0B"/>
    <w:rsid w:val="00021086"/>
    <w:rsid w:val="00021885"/>
    <w:rsid w:val="00021E3E"/>
    <w:rsid w:val="000220BD"/>
    <w:rsid w:val="00022CD5"/>
    <w:rsid w:val="0002303A"/>
    <w:rsid w:val="00023D68"/>
    <w:rsid w:val="00024820"/>
    <w:rsid w:val="00024885"/>
    <w:rsid w:val="00024942"/>
    <w:rsid w:val="00026D4B"/>
    <w:rsid w:val="00027616"/>
    <w:rsid w:val="00030F7A"/>
    <w:rsid w:val="00031AA7"/>
    <w:rsid w:val="00032092"/>
    <w:rsid w:val="00032FD3"/>
    <w:rsid w:val="000330F3"/>
    <w:rsid w:val="00035FB8"/>
    <w:rsid w:val="00036299"/>
    <w:rsid w:val="000371A1"/>
    <w:rsid w:val="0004010D"/>
    <w:rsid w:val="000404AE"/>
    <w:rsid w:val="00040713"/>
    <w:rsid w:val="00040DC9"/>
    <w:rsid w:val="000419E6"/>
    <w:rsid w:val="00041ACD"/>
    <w:rsid w:val="00041C34"/>
    <w:rsid w:val="00042CA2"/>
    <w:rsid w:val="00043444"/>
    <w:rsid w:val="0004393D"/>
    <w:rsid w:val="000455BD"/>
    <w:rsid w:val="00046C97"/>
    <w:rsid w:val="0005019E"/>
    <w:rsid w:val="00051D83"/>
    <w:rsid w:val="000523FA"/>
    <w:rsid w:val="000527BD"/>
    <w:rsid w:val="00053757"/>
    <w:rsid w:val="00053BE3"/>
    <w:rsid w:val="00054064"/>
    <w:rsid w:val="000548A3"/>
    <w:rsid w:val="00054FB8"/>
    <w:rsid w:val="0005510F"/>
    <w:rsid w:val="00055A3D"/>
    <w:rsid w:val="00055CB1"/>
    <w:rsid w:val="000561A4"/>
    <w:rsid w:val="000561C7"/>
    <w:rsid w:val="00056D0B"/>
    <w:rsid w:val="000578B4"/>
    <w:rsid w:val="000607DA"/>
    <w:rsid w:val="00061067"/>
    <w:rsid w:val="000611EC"/>
    <w:rsid w:val="0006155C"/>
    <w:rsid w:val="00061CDB"/>
    <w:rsid w:val="00062D3A"/>
    <w:rsid w:val="000637D0"/>
    <w:rsid w:val="00063B23"/>
    <w:rsid w:val="00063BFA"/>
    <w:rsid w:val="0006539A"/>
    <w:rsid w:val="000656A0"/>
    <w:rsid w:val="00065ABA"/>
    <w:rsid w:val="00066188"/>
    <w:rsid w:val="00066382"/>
    <w:rsid w:val="00066D9E"/>
    <w:rsid w:val="0006772E"/>
    <w:rsid w:val="0006786D"/>
    <w:rsid w:val="00070CCC"/>
    <w:rsid w:val="00073703"/>
    <w:rsid w:val="00073AE6"/>
    <w:rsid w:val="00073F57"/>
    <w:rsid w:val="00074223"/>
    <w:rsid w:val="0007491A"/>
    <w:rsid w:val="00075930"/>
    <w:rsid w:val="0007659B"/>
    <w:rsid w:val="0008297B"/>
    <w:rsid w:val="0008315C"/>
    <w:rsid w:val="00085199"/>
    <w:rsid w:val="000869E7"/>
    <w:rsid w:val="00086AE7"/>
    <w:rsid w:val="00087576"/>
    <w:rsid w:val="00087B69"/>
    <w:rsid w:val="00087C42"/>
    <w:rsid w:val="0009035D"/>
    <w:rsid w:val="00090625"/>
    <w:rsid w:val="0009108E"/>
    <w:rsid w:val="0009152A"/>
    <w:rsid w:val="00092C7E"/>
    <w:rsid w:val="000938E8"/>
    <w:rsid w:val="00094A57"/>
    <w:rsid w:val="00094BE1"/>
    <w:rsid w:val="00095B16"/>
    <w:rsid w:val="0009660C"/>
    <w:rsid w:val="00096C33"/>
    <w:rsid w:val="000A077E"/>
    <w:rsid w:val="000A08DF"/>
    <w:rsid w:val="000A1CBC"/>
    <w:rsid w:val="000A49E1"/>
    <w:rsid w:val="000A744A"/>
    <w:rsid w:val="000A7633"/>
    <w:rsid w:val="000B2881"/>
    <w:rsid w:val="000B3235"/>
    <w:rsid w:val="000B3A67"/>
    <w:rsid w:val="000B4D7E"/>
    <w:rsid w:val="000B5C3D"/>
    <w:rsid w:val="000B5CCD"/>
    <w:rsid w:val="000B6199"/>
    <w:rsid w:val="000B62A2"/>
    <w:rsid w:val="000B794A"/>
    <w:rsid w:val="000C079B"/>
    <w:rsid w:val="000C0C51"/>
    <w:rsid w:val="000C1217"/>
    <w:rsid w:val="000C1370"/>
    <w:rsid w:val="000C1EEB"/>
    <w:rsid w:val="000C1F3B"/>
    <w:rsid w:val="000C2DE2"/>
    <w:rsid w:val="000C3911"/>
    <w:rsid w:val="000C3FE0"/>
    <w:rsid w:val="000C45BC"/>
    <w:rsid w:val="000C4786"/>
    <w:rsid w:val="000C4F82"/>
    <w:rsid w:val="000C51B1"/>
    <w:rsid w:val="000C5EE3"/>
    <w:rsid w:val="000C622D"/>
    <w:rsid w:val="000C6C48"/>
    <w:rsid w:val="000C6D55"/>
    <w:rsid w:val="000C6E23"/>
    <w:rsid w:val="000C7D4E"/>
    <w:rsid w:val="000D0D96"/>
    <w:rsid w:val="000D1D76"/>
    <w:rsid w:val="000D28B9"/>
    <w:rsid w:val="000D2A9B"/>
    <w:rsid w:val="000D2CD3"/>
    <w:rsid w:val="000D3A23"/>
    <w:rsid w:val="000D3A2C"/>
    <w:rsid w:val="000D3C8F"/>
    <w:rsid w:val="000D4E1A"/>
    <w:rsid w:val="000D5243"/>
    <w:rsid w:val="000D664A"/>
    <w:rsid w:val="000D701C"/>
    <w:rsid w:val="000D7C30"/>
    <w:rsid w:val="000D7FA3"/>
    <w:rsid w:val="000E15A2"/>
    <w:rsid w:val="000E186E"/>
    <w:rsid w:val="000E29EC"/>
    <w:rsid w:val="000E3494"/>
    <w:rsid w:val="000E4910"/>
    <w:rsid w:val="000E59AD"/>
    <w:rsid w:val="000E64CB"/>
    <w:rsid w:val="000E6C6B"/>
    <w:rsid w:val="000E7AEC"/>
    <w:rsid w:val="000E7D72"/>
    <w:rsid w:val="000F1832"/>
    <w:rsid w:val="000F38DE"/>
    <w:rsid w:val="000F3D92"/>
    <w:rsid w:val="000F44F5"/>
    <w:rsid w:val="000F5191"/>
    <w:rsid w:val="000F5462"/>
    <w:rsid w:val="000F5F7F"/>
    <w:rsid w:val="000F6192"/>
    <w:rsid w:val="000F640A"/>
    <w:rsid w:val="000F6B45"/>
    <w:rsid w:val="000F7BE0"/>
    <w:rsid w:val="00100E6F"/>
    <w:rsid w:val="0010170D"/>
    <w:rsid w:val="001019FD"/>
    <w:rsid w:val="00106DFB"/>
    <w:rsid w:val="00106E8B"/>
    <w:rsid w:val="0010730D"/>
    <w:rsid w:val="00110319"/>
    <w:rsid w:val="001106A4"/>
    <w:rsid w:val="001114B6"/>
    <w:rsid w:val="00112595"/>
    <w:rsid w:val="001129F1"/>
    <w:rsid w:val="00113B46"/>
    <w:rsid w:val="00113D67"/>
    <w:rsid w:val="00114872"/>
    <w:rsid w:val="00115D32"/>
    <w:rsid w:val="00115EEB"/>
    <w:rsid w:val="001161F5"/>
    <w:rsid w:val="0011649F"/>
    <w:rsid w:val="00116C73"/>
    <w:rsid w:val="00116FF5"/>
    <w:rsid w:val="001170D6"/>
    <w:rsid w:val="001175C9"/>
    <w:rsid w:val="001179E0"/>
    <w:rsid w:val="00117E9E"/>
    <w:rsid w:val="00120031"/>
    <w:rsid w:val="0012084F"/>
    <w:rsid w:val="0012096B"/>
    <w:rsid w:val="00121030"/>
    <w:rsid w:val="0012118B"/>
    <w:rsid w:val="00122A9E"/>
    <w:rsid w:val="001237D4"/>
    <w:rsid w:val="00123A81"/>
    <w:rsid w:val="00124729"/>
    <w:rsid w:val="00125426"/>
    <w:rsid w:val="001267E8"/>
    <w:rsid w:val="00126A6A"/>
    <w:rsid w:val="00126BBD"/>
    <w:rsid w:val="00126F78"/>
    <w:rsid w:val="0013020D"/>
    <w:rsid w:val="001307D8"/>
    <w:rsid w:val="00131F1D"/>
    <w:rsid w:val="0013249A"/>
    <w:rsid w:val="001326E7"/>
    <w:rsid w:val="0013317E"/>
    <w:rsid w:val="00133471"/>
    <w:rsid w:val="001344EB"/>
    <w:rsid w:val="00134524"/>
    <w:rsid w:val="0013460D"/>
    <w:rsid w:val="001346F1"/>
    <w:rsid w:val="0013594B"/>
    <w:rsid w:val="00135AFA"/>
    <w:rsid w:val="001361EE"/>
    <w:rsid w:val="001372D9"/>
    <w:rsid w:val="0014006A"/>
    <w:rsid w:val="00140212"/>
    <w:rsid w:val="00140F05"/>
    <w:rsid w:val="00142247"/>
    <w:rsid w:val="001432BD"/>
    <w:rsid w:val="00143A6A"/>
    <w:rsid w:val="001443C5"/>
    <w:rsid w:val="00145308"/>
    <w:rsid w:val="00146105"/>
    <w:rsid w:val="00146141"/>
    <w:rsid w:val="001469CF"/>
    <w:rsid w:val="00147688"/>
    <w:rsid w:val="00147D27"/>
    <w:rsid w:val="00147E1B"/>
    <w:rsid w:val="00150266"/>
    <w:rsid w:val="00150B68"/>
    <w:rsid w:val="00150DB1"/>
    <w:rsid w:val="00151AEB"/>
    <w:rsid w:val="00152720"/>
    <w:rsid w:val="00153579"/>
    <w:rsid w:val="00153A5E"/>
    <w:rsid w:val="00154C1C"/>
    <w:rsid w:val="00154EAF"/>
    <w:rsid w:val="00155067"/>
    <w:rsid w:val="00156F1A"/>
    <w:rsid w:val="00160760"/>
    <w:rsid w:val="001607FC"/>
    <w:rsid w:val="00161173"/>
    <w:rsid w:val="001624E5"/>
    <w:rsid w:val="00162503"/>
    <w:rsid w:val="001631CA"/>
    <w:rsid w:val="0016407C"/>
    <w:rsid w:val="00164219"/>
    <w:rsid w:val="0016490A"/>
    <w:rsid w:val="00164B2C"/>
    <w:rsid w:val="001653E2"/>
    <w:rsid w:val="00167B29"/>
    <w:rsid w:val="00170197"/>
    <w:rsid w:val="001702CB"/>
    <w:rsid w:val="00171778"/>
    <w:rsid w:val="0017200C"/>
    <w:rsid w:val="0017294F"/>
    <w:rsid w:val="001736BD"/>
    <w:rsid w:val="00173EEF"/>
    <w:rsid w:val="001753C3"/>
    <w:rsid w:val="00175A80"/>
    <w:rsid w:val="001771E5"/>
    <w:rsid w:val="0017733A"/>
    <w:rsid w:val="001778DC"/>
    <w:rsid w:val="00177F04"/>
    <w:rsid w:val="00181DB7"/>
    <w:rsid w:val="00182215"/>
    <w:rsid w:val="00182CA8"/>
    <w:rsid w:val="00182D29"/>
    <w:rsid w:val="00182D70"/>
    <w:rsid w:val="0018461D"/>
    <w:rsid w:val="00184726"/>
    <w:rsid w:val="00184AAA"/>
    <w:rsid w:val="00184DB2"/>
    <w:rsid w:val="00184E60"/>
    <w:rsid w:val="00185AAC"/>
    <w:rsid w:val="00185B0B"/>
    <w:rsid w:val="00185E5A"/>
    <w:rsid w:val="00187AD8"/>
    <w:rsid w:val="001907AC"/>
    <w:rsid w:val="00190B05"/>
    <w:rsid w:val="001910AB"/>
    <w:rsid w:val="00192929"/>
    <w:rsid w:val="00194556"/>
    <w:rsid w:val="00195855"/>
    <w:rsid w:val="0019666E"/>
    <w:rsid w:val="00196ADB"/>
    <w:rsid w:val="0019763C"/>
    <w:rsid w:val="00197FE3"/>
    <w:rsid w:val="001A16EA"/>
    <w:rsid w:val="001A1732"/>
    <w:rsid w:val="001A18FE"/>
    <w:rsid w:val="001A3174"/>
    <w:rsid w:val="001A3242"/>
    <w:rsid w:val="001A335A"/>
    <w:rsid w:val="001A46EF"/>
    <w:rsid w:val="001A718A"/>
    <w:rsid w:val="001B025B"/>
    <w:rsid w:val="001B15C7"/>
    <w:rsid w:val="001B1E60"/>
    <w:rsid w:val="001B2822"/>
    <w:rsid w:val="001B36C0"/>
    <w:rsid w:val="001B434D"/>
    <w:rsid w:val="001B4687"/>
    <w:rsid w:val="001B4781"/>
    <w:rsid w:val="001B53F6"/>
    <w:rsid w:val="001B5AC5"/>
    <w:rsid w:val="001B63BE"/>
    <w:rsid w:val="001B6FE8"/>
    <w:rsid w:val="001B7552"/>
    <w:rsid w:val="001C1114"/>
    <w:rsid w:val="001C1C5E"/>
    <w:rsid w:val="001C2CAE"/>
    <w:rsid w:val="001C2CFE"/>
    <w:rsid w:val="001C39ED"/>
    <w:rsid w:val="001C3F8A"/>
    <w:rsid w:val="001C49F6"/>
    <w:rsid w:val="001C579E"/>
    <w:rsid w:val="001C5AA1"/>
    <w:rsid w:val="001C5C70"/>
    <w:rsid w:val="001C7442"/>
    <w:rsid w:val="001C7B64"/>
    <w:rsid w:val="001D013D"/>
    <w:rsid w:val="001D1C3A"/>
    <w:rsid w:val="001D1FF6"/>
    <w:rsid w:val="001D229D"/>
    <w:rsid w:val="001D2C4A"/>
    <w:rsid w:val="001D3F51"/>
    <w:rsid w:val="001D5647"/>
    <w:rsid w:val="001D5D7F"/>
    <w:rsid w:val="001D654B"/>
    <w:rsid w:val="001D7205"/>
    <w:rsid w:val="001D750B"/>
    <w:rsid w:val="001D7CD7"/>
    <w:rsid w:val="001E0AFF"/>
    <w:rsid w:val="001E16E6"/>
    <w:rsid w:val="001E1925"/>
    <w:rsid w:val="001E3095"/>
    <w:rsid w:val="001E4674"/>
    <w:rsid w:val="001E480D"/>
    <w:rsid w:val="001E4B90"/>
    <w:rsid w:val="001E4D25"/>
    <w:rsid w:val="001E51D4"/>
    <w:rsid w:val="001E5CEC"/>
    <w:rsid w:val="001E645F"/>
    <w:rsid w:val="001E66E0"/>
    <w:rsid w:val="001E6C0E"/>
    <w:rsid w:val="001E6FB0"/>
    <w:rsid w:val="001F0754"/>
    <w:rsid w:val="001F1099"/>
    <w:rsid w:val="001F171B"/>
    <w:rsid w:val="001F2DA6"/>
    <w:rsid w:val="001F37F8"/>
    <w:rsid w:val="001F3A0A"/>
    <w:rsid w:val="001F420E"/>
    <w:rsid w:val="001F5F45"/>
    <w:rsid w:val="001F6290"/>
    <w:rsid w:val="00200C49"/>
    <w:rsid w:val="00200E00"/>
    <w:rsid w:val="00200F90"/>
    <w:rsid w:val="00202E5E"/>
    <w:rsid w:val="00203C32"/>
    <w:rsid w:val="00204407"/>
    <w:rsid w:val="00205270"/>
    <w:rsid w:val="002063B8"/>
    <w:rsid w:val="00206E17"/>
    <w:rsid w:val="00207538"/>
    <w:rsid w:val="00207F36"/>
    <w:rsid w:val="0021040C"/>
    <w:rsid w:val="00210F2C"/>
    <w:rsid w:val="00211346"/>
    <w:rsid w:val="00212B65"/>
    <w:rsid w:val="00213426"/>
    <w:rsid w:val="0021362D"/>
    <w:rsid w:val="00213F19"/>
    <w:rsid w:val="00213F21"/>
    <w:rsid w:val="002158BD"/>
    <w:rsid w:val="00217CBF"/>
    <w:rsid w:val="00217CD0"/>
    <w:rsid w:val="00217EDF"/>
    <w:rsid w:val="00220707"/>
    <w:rsid w:val="0022088A"/>
    <w:rsid w:val="002208C9"/>
    <w:rsid w:val="00221477"/>
    <w:rsid w:val="0022696E"/>
    <w:rsid w:val="002270DC"/>
    <w:rsid w:val="00227370"/>
    <w:rsid w:val="00227D7B"/>
    <w:rsid w:val="00227F1D"/>
    <w:rsid w:val="00227F51"/>
    <w:rsid w:val="002303C0"/>
    <w:rsid w:val="00230E99"/>
    <w:rsid w:val="00231808"/>
    <w:rsid w:val="00231DE0"/>
    <w:rsid w:val="0023206B"/>
    <w:rsid w:val="0023276F"/>
    <w:rsid w:val="00232801"/>
    <w:rsid w:val="00232EEA"/>
    <w:rsid w:val="00233926"/>
    <w:rsid w:val="00233EAC"/>
    <w:rsid w:val="00234845"/>
    <w:rsid w:val="00235B3C"/>
    <w:rsid w:val="00236F2C"/>
    <w:rsid w:val="00237235"/>
    <w:rsid w:val="00237D4D"/>
    <w:rsid w:val="00240A88"/>
    <w:rsid w:val="002412C5"/>
    <w:rsid w:val="0024242A"/>
    <w:rsid w:val="002429C9"/>
    <w:rsid w:val="0024704A"/>
    <w:rsid w:val="0025086D"/>
    <w:rsid w:val="0025115C"/>
    <w:rsid w:val="00252D01"/>
    <w:rsid w:val="00252D7C"/>
    <w:rsid w:val="00254F2F"/>
    <w:rsid w:val="002551C4"/>
    <w:rsid w:val="00255483"/>
    <w:rsid w:val="0025559A"/>
    <w:rsid w:val="00255895"/>
    <w:rsid w:val="00256A79"/>
    <w:rsid w:val="00256AA3"/>
    <w:rsid w:val="00257714"/>
    <w:rsid w:val="00257963"/>
    <w:rsid w:val="00257C30"/>
    <w:rsid w:val="00257EBE"/>
    <w:rsid w:val="00260C34"/>
    <w:rsid w:val="00261931"/>
    <w:rsid w:val="00261BED"/>
    <w:rsid w:val="00262CA4"/>
    <w:rsid w:val="00262DF0"/>
    <w:rsid w:val="00263593"/>
    <w:rsid w:val="00265E27"/>
    <w:rsid w:val="0026746F"/>
    <w:rsid w:val="00270FFA"/>
    <w:rsid w:val="002728CE"/>
    <w:rsid w:val="0027310F"/>
    <w:rsid w:val="0027398A"/>
    <w:rsid w:val="002739C1"/>
    <w:rsid w:val="00274AD4"/>
    <w:rsid w:val="00274C47"/>
    <w:rsid w:val="00274C6B"/>
    <w:rsid w:val="0028088D"/>
    <w:rsid w:val="00281FD1"/>
    <w:rsid w:val="002824C9"/>
    <w:rsid w:val="00283105"/>
    <w:rsid w:val="00283414"/>
    <w:rsid w:val="0028349C"/>
    <w:rsid w:val="0028398A"/>
    <w:rsid w:val="00283B50"/>
    <w:rsid w:val="0028459A"/>
    <w:rsid w:val="00286D18"/>
    <w:rsid w:val="00287293"/>
    <w:rsid w:val="0029174A"/>
    <w:rsid w:val="0029185E"/>
    <w:rsid w:val="0029289D"/>
    <w:rsid w:val="00292D05"/>
    <w:rsid w:val="002930B6"/>
    <w:rsid w:val="002933EB"/>
    <w:rsid w:val="002942B7"/>
    <w:rsid w:val="00294B39"/>
    <w:rsid w:val="00294C58"/>
    <w:rsid w:val="00296AF2"/>
    <w:rsid w:val="00297109"/>
    <w:rsid w:val="002973B4"/>
    <w:rsid w:val="002A0352"/>
    <w:rsid w:val="002A095C"/>
    <w:rsid w:val="002A0DF9"/>
    <w:rsid w:val="002A17A1"/>
    <w:rsid w:val="002A2489"/>
    <w:rsid w:val="002A2D6F"/>
    <w:rsid w:val="002A3B3C"/>
    <w:rsid w:val="002A3EFD"/>
    <w:rsid w:val="002A4302"/>
    <w:rsid w:val="002A5042"/>
    <w:rsid w:val="002A69DE"/>
    <w:rsid w:val="002A6CD2"/>
    <w:rsid w:val="002A6F09"/>
    <w:rsid w:val="002A7966"/>
    <w:rsid w:val="002B0712"/>
    <w:rsid w:val="002B228D"/>
    <w:rsid w:val="002B2EE4"/>
    <w:rsid w:val="002B2F79"/>
    <w:rsid w:val="002B3117"/>
    <w:rsid w:val="002B4E16"/>
    <w:rsid w:val="002B6070"/>
    <w:rsid w:val="002B6827"/>
    <w:rsid w:val="002B6931"/>
    <w:rsid w:val="002B6F88"/>
    <w:rsid w:val="002B752F"/>
    <w:rsid w:val="002C30F3"/>
    <w:rsid w:val="002C3D04"/>
    <w:rsid w:val="002C5323"/>
    <w:rsid w:val="002C5720"/>
    <w:rsid w:val="002C684D"/>
    <w:rsid w:val="002C6937"/>
    <w:rsid w:val="002C6E32"/>
    <w:rsid w:val="002C7C46"/>
    <w:rsid w:val="002C7E75"/>
    <w:rsid w:val="002C7FA1"/>
    <w:rsid w:val="002D1076"/>
    <w:rsid w:val="002D1B49"/>
    <w:rsid w:val="002D49C4"/>
    <w:rsid w:val="002D4D1F"/>
    <w:rsid w:val="002D5434"/>
    <w:rsid w:val="002D5A0B"/>
    <w:rsid w:val="002D5EAD"/>
    <w:rsid w:val="002D61E1"/>
    <w:rsid w:val="002D7E0C"/>
    <w:rsid w:val="002E06EC"/>
    <w:rsid w:val="002E087F"/>
    <w:rsid w:val="002E0A4C"/>
    <w:rsid w:val="002E2AC9"/>
    <w:rsid w:val="002E2CA4"/>
    <w:rsid w:val="002E2DF7"/>
    <w:rsid w:val="002E3132"/>
    <w:rsid w:val="002E3B58"/>
    <w:rsid w:val="002E4356"/>
    <w:rsid w:val="002E454F"/>
    <w:rsid w:val="002E4668"/>
    <w:rsid w:val="002E49CA"/>
    <w:rsid w:val="002E4B15"/>
    <w:rsid w:val="002E52C0"/>
    <w:rsid w:val="002E61FA"/>
    <w:rsid w:val="002F0305"/>
    <w:rsid w:val="002F179A"/>
    <w:rsid w:val="002F1893"/>
    <w:rsid w:val="002F23EA"/>
    <w:rsid w:val="002F2E96"/>
    <w:rsid w:val="002F311E"/>
    <w:rsid w:val="002F3909"/>
    <w:rsid w:val="002F41DA"/>
    <w:rsid w:val="002F440C"/>
    <w:rsid w:val="002F5000"/>
    <w:rsid w:val="002F6ED0"/>
    <w:rsid w:val="002F7250"/>
    <w:rsid w:val="002F7361"/>
    <w:rsid w:val="003001DA"/>
    <w:rsid w:val="00301C17"/>
    <w:rsid w:val="00302E8E"/>
    <w:rsid w:val="0030437E"/>
    <w:rsid w:val="0030499F"/>
    <w:rsid w:val="00304B87"/>
    <w:rsid w:val="00305BFC"/>
    <w:rsid w:val="0030656A"/>
    <w:rsid w:val="00307419"/>
    <w:rsid w:val="00307B96"/>
    <w:rsid w:val="00310D3C"/>
    <w:rsid w:val="00311527"/>
    <w:rsid w:val="00311AF6"/>
    <w:rsid w:val="00311B9B"/>
    <w:rsid w:val="003124ED"/>
    <w:rsid w:val="003125C5"/>
    <w:rsid w:val="003135C2"/>
    <w:rsid w:val="003157F1"/>
    <w:rsid w:val="00315F92"/>
    <w:rsid w:val="0031657C"/>
    <w:rsid w:val="003168F4"/>
    <w:rsid w:val="00316F71"/>
    <w:rsid w:val="003177F0"/>
    <w:rsid w:val="003178C9"/>
    <w:rsid w:val="00317F82"/>
    <w:rsid w:val="0032105C"/>
    <w:rsid w:val="00321818"/>
    <w:rsid w:val="00321982"/>
    <w:rsid w:val="00321FC4"/>
    <w:rsid w:val="00323F38"/>
    <w:rsid w:val="0032483F"/>
    <w:rsid w:val="00324882"/>
    <w:rsid w:val="00326C92"/>
    <w:rsid w:val="00326EE7"/>
    <w:rsid w:val="00327A04"/>
    <w:rsid w:val="00330BBC"/>
    <w:rsid w:val="003328DA"/>
    <w:rsid w:val="003335AF"/>
    <w:rsid w:val="0033379F"/>
    <w:rsid w:val="003346E3"/>
    <w:rsid w:val="0033531D"/>
    <w:rsid w:val="00336BA9"/>
    <w:rsid w:val="0034152C"/>
    <w:rsid w:val="003420D3"/>
    <w:rsid w:val="00342456"/>
    <w:rsid w:val="00342782"/>
    <w:rsid w:val="00343532"/>
    <w:rsid w:val="00343BF5"/>
    <w:rsid w:val="00343C05"/>
    <w:rsid w:val="00343CEC"/>
    <w:rsid w:val="00343F16"/>
    <w:rsid w:val="003445DE"/>
    <w:rsid w:val="0034537E"/>
    <w:rsid w:val="00345418"/>
    <w:rsid w:val="00345B5C"/>
    <w:rsid w:val="00345C49"/>
    <w:rsid w:val="00345EDC"/>
    <w:rsid w:val="00347845"/>
    <w:rsid w:val="00347E6C"/>
    <w:rsid w:val="00351F1F"/>
    <w:rsid w:val="00352825"/>
    <w:rsid w:val="003534D0"/>
    <w:rsid w:val="003537B2"/>
    <w:rsid w:val="00353A47"/>
    <w:rsid w:val="00353EA1"/>
    <w:rsid w:val="003540C0"/>
    <w:rsid w:val="00354551"/>
    <w:rsid w:val="00354C9D"/>
    <w:rsid w:val="003553CB"/>
    <w:rsid w:val="00355E55"/>
    <w:rsid w:val="0035663C"/>
    <w:rsid w:val="00356DA1"/>
    <w:rsid w:val="0035777A"/>
    <w:rsid w:val="00357D9F"/>
    <w:rsid w:val="00360370"/>
    <w:rsid w:val="00360B1C"/>
    <w:rsid w:val="00362405"/>
    <w:rsid w:val="00363963"/>
    <w:rsid w:val="0036435B"/>
    <w:rsid w:val="003653EB"/>
    <w:rsid w:val="00366AA6"/>
    <w:rsid w:val="00366E9B"/>
    <w:rsid w:val="00367D40"/>
    <w:rsid w:val="003716E6"/>
    <w:rsid w:val="00372270"/>
    <w:rsid w:val="003732AE"/>
    <w:rsid w:val="00373613"/>
    <w:rsid w:val="0037378E"/>
    <w:rsid w:val="00373EC0"/>
    <w:rsid w:val="00374668"/>
    <w:rsid w:val="003767F2"/>
    <w:rsid w:val="00377D3A"/>
    <w:rsid w:val="00377F8F"/>
    <w:rsid w:val="003821CF"/>
    <w:rsid w:val="003825F4"/>
    <w:rsid w:val="00382E19"/>
    <w:rsid w:val="00383638"/>
    <w:rsid w:val="003847AD"/>
    <w:rsid w:val="00385328"/>
    <w:rsid w:val="0038693A"/>
    <w:rsid w:val="003913D1"/>
    <w:rsid w:val="00393E95"/>
    <w:rsid w:val="0039469E"/>
    <w:rsid w:val="003956B6"/>
    <w:rsid w:val="0039678E"/>
    <w:rsid w:val="003A228F"/>
    <w:rsid w:val="003A35FA"/>
    <w:rsid w:val="003A405C"/>
    <w:rsid w:val="003A555D"/>
    <w:rsid w:val="003A6D8D"/>
    <w:rsid w:val="003A72CD"/>
    <w:rsid w:val="003A767C"/>
    <w:rsid w:val="003A79C8"/>
    <w:rsid w:val="003A7B61"/>
    <w:rsid w:val="003A7F18"/>
    <w:rsid w:val="003B1817"/>
    <w:rsid w:val="003B1F0B"/>
    <w:rsid w:val="003B2A3F"/>
    <w:rsid w:val="003B3D72"/>
    <w:rsid w:val="003B43F9"/>
    <w:rsid w:val="003B54B9"/>
    <w:rsid w:val="003B5A55"/>
    <w:rsid w:val="003B5AEB"/>
    <w:rsid w:val="003B64FE"/>
    <w:rsid w:val="003B6B2D"/>
    <w:rsid w:val="003B77AA"/>
    <w:rsid w:val="003C16A6"/>
    <w:rsid w:val="003C288A"/>
    <w:rsid w:val="003C3375"/>
    <w:rsid w:val="003C3F96"/>
    <w:rsid w:val="003C480F"/>
    <w:rsid w:val="003C49E3"/>
    <w:rsid w:val="003C6104"/>
    <w:rsid w:val="003C63B7"/>
    <w:rsid w:val="003C6A53"/>
    <w:rsid w:val="003C6B78"/>
    <w:rsid w:val="003C7604"/>
    <w:rsid w:val="003C7BBF"/>
    <w:rsid w:val="003D0407"/>
    <w:rsid w:val="003D088C"/>
    <w:rsid w:val="003D0E42"/>
    <w:rsid w:val="003D0F36"/>
    <w:rsid w:val="003D0FD0"/>
    <w:rsid w:val="003D15A5"/>
    <w:rsid w:val="003D22C8"/>
    <w:rsid w:val="003D4816"/>
    <w:rsid w:val="003D4F8E"/>
    <w:rsid w:val="003D5C9C"/>
    <w:rsid w:val="003D674B"/>
    <w:rsid w:val="003D7552"/>
    <w:rsid w:val="003D7A69"/>
    <w:rsid w:val="003E01A5"/>
    <w:rsid w:val="003E0403"/>
    <w:rsid w:val="003E0D5F"/>
    <w:rsid w:val="003E1344"/>
    <w:rsid w:val="003E1B46"/>
    <w:rsid w:val="003E27FD"/>
    <w:rsid w:val="003E2D63"/>
    <w:rsid w:val="003E321F"/>
    <w:rsid w:val="003E6840"/>
    <w:rsid w:val="003E7632"/>
    <w:rsid w:val="003F019F"/>
    <w:rsid w:val="003F03A5"/>
    <w:rsid w:val="003F06FA"/>
    <w:rsid w:val="003F19C4"/>
    <w:rsid w:val="003F206F"/>
    <w:rsid w:val="003F2191"/>
    <w:rsid w:val="003F3EC0"/>
    <w:rsid w:val="003F475D"/>
    <w:rsid w:val="003F635F"/>
    <w:rsid w:val="003F6A8E"/>
    <w:rsid w:val="003F74E6"/>
    <w:rsid w:val="003F7BE7"/>
    <w:rsid w:val="0040017C"/>
    <w:rsid w:val="0040027D"/>
    <w:rsid w:val="00401142"/>
    <w:rsid w:val="0040185A"/>
    <w:rsid w:val="00402C21"/>
    <w:rsid w:val="0040351F"/>
    <w:rsid w:val="0040370B"/>
    <w:rsid w:val="00403885"/>
    <w:rsid w:val="004039A3"/>
    <w:rsid w:val="00403A5A"/>
    <w:rsid w:val="00404769"/>
    <w:rsid w:val="004050E1"/>
    <w:rsid w:val="004053F9"/>
    <w:rsid w:val="0040580E"/>
    <w:rsid w:val="00405C04"/>
    <w:rsid w:val="0040752F"/>
    <w:rsid w:val="004078B1"/>
    <w:rsid w:val="00410253"/>
    <w:rsid w:val="00410DFB"/>
    <w:rsid w:val="0041196C"/>
    <w:rsid w:val="00413B48"/>
    <w:rsid w:val="00415369"/>
    <w:rsid w:val="004165CC"/>
    <w:rsid w:val="004167CF"/>
    <w:rsid w:val="00416AFF"/>
    <w:rsid w:val="004177E8"/>
    <w:rsid w:val="00417AEF"/>
    <w:rsid w:val="00417EDA"/>
    <w:rsid w:val="00420034"/>
    <w:rsid w:val="00420139"/>
    <w:rsid w:val="0042078C"/>
    <w:rsid w:val="00421695"/>
    <w:rsid w:val="0042179D"/>
    <w:rsid w:val="00422699"/>
    <w:rsid w:val="00422D1D"/>
    <w:rsid w:val="00422DAC"/>
    <w:rsid w:val="00422E6E"/>
    <w:rsid w:val="00424548"/>
    <w:rsid w:val="00425EDB"/>
    <w:rsid w:val="00426519"/>
    <w:rsid w:val="00426A19"/>
    <w:rsid w:val="00426C05"/>
    <w:rsid w:val="00426D51"/>
    <w:rsid w:val="004279F9"/>
    <w:rsid w:val="00427C07"/>
    <w:rsid w:val="004306B0"/>
    <w:rsid w:val="004309D3"/>
    <w:rsid w:val="00430F4F"/>
    <w:rsid w:val="00431BF7"/>
    <w:rsid w:val="00431CF2"/>
    <w:rsid w:val="00431E90"/>
    <w:rsid w:val="004320DA"/>
    <w:rsid w:val="00433D4B"/>
    <w:rsid w:val="00433D94"/>
    <w:rsid w:val="004344CC"/>
    <w:rsid w:val="00434701"/>
    <w:rsid w:val="00435573"/>
    <w:rsid w:val="00436D28"/>
    <w:rsid w:val="00437289"/>
    <w:rsid w:val="0043779A"/>
    <w:rsid w:val="0043795D"/>
    <w:rsid w:val="004408C6"/>
    <w:rsid w:val="00442362"/>
    <w:rsid w:val="00443F64"/>
    <w:rsid w:val="0044467B"/>
    <w:rsid w:val="004448CA"/>
    <w:rsid w:val="004451B9"/>
    <w:rsid w:val="00445463"/>
    <w:rsid w:val="0044546A"/>
    <w:rsid w:val="0044561C"/>
    <w:rsid w:val="004460EF"/>
    <w:rsid w:val="00446BBB"/>
    <w:rsid w:val="00446EFA"/>
    <w:rsid w:val="004470EF"/>
    <w:rsid w:val="0044782A"/>
    <w:rsid w:val="004505C0"/>
    <w:rsid w:val="00450CEF"/>
    <w:rsid w:val="00450DAA"/>
    <w:rsid w:val="0045100B"/>
    <w:rsid w:val="0045258A"/>
    <w:rsid w:val="004525C1"/>
    <w:rsid w:val="004530CC"/>
    <w:rsid w:val="004575C9"/>
    <w:rsid w:val="004600A1"/>
    <w:rsid w:val="00460C35"/>
    <w:rsid w:val="0046218A"/>
    <w:rsid w:val="00462E58"/>
    <w:rsid w:val="004630BC"/>
    <w:rsid w:val="004636B6"/>
    <w:rsid w:val="00463F11"/>
    <w:rsid w:val="00464367"/>
    <w:rsid w:val="00465004"/>
    <w:rsid w:val="00465364"/>
    <w:rsid w:val="00466A33"/>
    <w:rsid w:val="00466E17"/>
    <w:rsid w:val="00467A08"/>
    <w:rsid w:val="00470F44"/>
    <w:rsid w:val="00471108"/>
    <w:rsid w:val="00471EDB"/>
    <w:rsid w:val="0047233C"/>
    <w:rsid w:val="0047252F"/>
    <w:rsid w:val="00472609"/>
    <w:rsid w:val="00472FC9"/>
    <w:rsid w:val="004736E8"/>
    <w:rsid w:val="004736F4"/>
    <w:rsid w:val="00474C9F"/>
    <w:rsid w:val="0047534E"/>
    <w:rsid w:val="00475E57"/>
    <w:rsid w:val="00475EDA"/>
    <w:rsid w:val="004764BC"/>
    <w:rsid w:val="004779DD"/>
    <w:rsid w:val="00477C0D"/>
    <w:rsid w:val="00480503"/>
    <w:rsid w:val="004841D2"/>
    <w:rsid w:val="00484382"/>
    <w:rsid w:val="00485325"/>
    <w:rsid w:val="0048587F"/>
    <w:rsid w:val="004865AA"/>
    <w:rsid w:val="0048690A"/>
    <w:rsid w:val="00487FEC"/>
    <w:rsid w:val="0049097F"/>
    <w:rsid w:val="004916DC"/>
    <w:rsid w:val="00491EEF"/>
    <w:rsid w:val="004955CB"/>
    <w:rsid w:val="004965CA"/>
    <w:rsid w:val="00496850"/>
    <w:rsid w:val="0049728F"/>
    <w:rsid w:val="00497674"/>
    <w:rsid w:val="0049796C"/>
    <w:rsid w:val="004A03A2"/>
    <w:rsid w:val="004A0A6F"/>
    <w:rsid w:val="004A1424"/>
    <w:rsid w:val="004A2744"/>
    <w:rsid w:val="004A30BE"/>
    <w:rsid w:val="004A30DA"/>
    <w:rsid w:val="004A4E59"/>
    <w:rsid w:val="004A59C5"/>
    <w:rsid w:val="004A6022"/>
    <w:rsid w:val="004A643C"/>
    <w:rsid w:val="004B0190"/>
    <w:rsid w:val="004B03B6"/>
    <w:rsid w:val="004B0CAA"/>
    <w:rsid w:val="004B189D"/>
    <w:rsid w:val="004B1F3D"/>
    <w:rsid w:val="004B3739"/>
    <w:rsid w:val="004B3807"/>
    <w:rsid w:val="004B3CEF"/>
    <w:rsid w:val="004B473F"/>
    <w:rsid w:val="004B4C69"/>
    <w:rsid w:val="004B4CF5"/>
    <w:rsid w:val="004B565E"/>
    <w:rsid w:val="004B5894"/>
    <w:rsid w:val="004B699F"/>
    <w:rsid w:val="004C02E8"/>
    <w:rsid w:val="004C120C"/>
    <w:rsid w:val="004C280C"/>
    <w:rsid w:val="004C41F7"/>
    <w:rsid w:val="004C55EE"/>
    <w:rsid w:val="004C5C93"/>
    <w:rsid w:val="004D1CA8"/>
    <w:rsid w:val="004D2328"/>
    <w:rsid w:val="004D28CC"/>
    <w:rsid w:val="004D3915"/>
    <w:rsid w:val="004D4B55"/>
    <w:rsid w:val="004D525C"/>
    <w:rsid w:val="004D5DD5"/>
    <w:rsid w:val="004E2703"/>
    <w:rsid w:val="004E2B26"/>
    <w:rsid w:val="004E2D96"/>
    <w:rsid w:val="004E30CD"/>
    <w:rsid w:val="004E33B6"/>
    <w:rsid w:val="004E362F"/>
    <w:rsid w:val="004E395A"/>
    <w:rsid w:val="004E41C9"/>
    <w:rsid w:val="004E48A9"/>
    <w:rsid w:val="004E4C95"/>
    <w:rsid w:val="004E4D99"/>
    <w:rsid w:val="004E596A"/>
    <w:rsid w:val="004E66AA"/>
    <w:rsid w:val="004E693F"/>
    <w:rsid w:val="004E7C65"/>
    <w:rsid w:val="004F1256"/>
    <w:rsid w:val="004F1642"/>
    <w:rsid w:val="004F1D37"/>
    <w:rsid w:val="004F31F9"/>
    <w:rsid w:val="004F3891"/>
    <w:rsid w:val="004F4476"/>
    <w:rsid w:val="004F4D8A"/>
    <w:rsid w:val="004F5612"/>
    <w:rsid w:val="004F6619"/>
    <w:rsid w:val="004F7DD9"/>
    <w:rsid w:val="005002FF"/>
    <w:rsid w:val="00500CE8"/>
    <w:rsid w:val="00500DD6"/>
    <w:rsid w:val="0050151A"/>
    <w:rsid w:val="00501981"/>
    <w:rsid w:val="00501E48"/>
    <w:rsid w:val="0050274D"/>
    <w:rsid w:val="00502A64"/>
    <w:rsid w:val="005037E0"/>
    <w:rsid w:val="00503BD6"/>
    <w:rsid w:val="00504C2A"/>
    <w:rsid w:val="0050673F"/>
    <w:rsid w:val="005100E5"/>
    <w:rsid w:val="00510B2A"/>
    <w:rsid w:val="005112CC"/>
    <w:rsid w:val="00511B40"/>
    <w:rsid w:val="005127E0"/>
    <w:rsid w:val="005132F1"/>
    <w:rsid w:val="0051375D"/>
    <w:rsid w:val="005138BD"/>
    <w:rsid w:val="00514833"/>
    <w:rsid w:val="005157B7"/>
    <w:rsid w:val="00516063"/>
    <w:rsid w:val="00516FA3"/>
    <w:rsid w:val="00517EB6"/>
    <w:rsid w:val="0052049E"/>
    <w:rsid w:val="00520709"/>
    <w:rsid w:val="00521F3C"/>
    <w:rsid w:val="005223B3"/>
    <w:rsid w:val="00522BA5"/>
    <w:rsid w:val="00522DEC"/>
    <w:rsid w:val="00523E7B"/>
    <w:rsid w:val="00523F5D"/>
    <w:rsid w:val="005243CB"/>
    <w:rsid w:val="00524A7B"/>
    <w:rsid w:val="00525ECE"/>
    <w:rsid w:val="005269F8"/>
    <w:rsid w:val="00530276"/>
    <w:rsid w:val="0053074B"/>
    <w:rsid w:val="00533793"/>
    <w:rsid w:val="005350C4"/>
    <w:rsid w:val="005362BC"/>
    <w:rsid w:val="005416BE"/>
    <w:rsid w:val="005428B7"/>
    <w:rsid w:val="00542974"/>
    <w:rsid w:val="005431D6"/>
    <w:rsid w:val="005433AB"/>
    <w:rsid w:val="00543686"/>
    <w:rsid w:val="0054370E"/>
    <w:rsid w:val="005437C4"/>
    <w:rsid w:val="00543C75"/>
    <w:rsid w:val="00544AB3"/>
    <w:rsid w:val="00544E03"/>
    <w:rsid w:val="00545F5C"/>
    <w:rsid w:val="00547E3D"/>
    <w:rsid w:val="00550E79"/>
    <w:rsid w:val="00551C8E"/>
    <w:rsid w:val="005520EE"/>
    <w:rsid w:val="00552FE9"/>
    <w:rsid w:val="0055331D"/>
    <w:rsid w:val="00553449"/>
    <w:rsid w:val="00554FEF"/>
    <w:rsid w:val="005550C2"/>
    <w:rsid w:val="00556266"/>
    <w:rsid w:val="00557158"/>
    <w:rsid w:val="0055790C"/>
    <w:rsid w:val="00557A7C"/>
    <w:rsid w:val="005615FA"/>
    <w:rsid w:val="00562CC4"/>
    <w:rsid w:val="00562EB1"/>
    <w:rsid w:val="00563B51"/>
    <w:rsid w:val="005658B7"/>
    <w:rsid w:val="00565EC7"/>
    <w:rsid w:val="00566498"/>
    <w:rsid w:val="00566A00"/>
    <w:rsid w:val="0056743D"/>
    <w:rsid w:val="005713E4"/>
    <w:rsid w:val="00571474"/>
    <w:rsid w:val="005718EF"/>
    <w:rsid w:val="00571E62"/>
    <w:rsid w:val="00571FEE"/>
    <w:rsid w:val="0057259D"/>
    <w:rsid w:val="00572EF9"/>
    <w:rsid w:val="00573A1F"/>
    <w:rsid w:val="00573FB8"/>
    <w:rsid w:val="0057473F"/>
    <w:rsid w:val="00575E4A"/>
    <w:rsid w:val="00576440"/>
    <w:rsid w:val="00577283"/>
    <w:rsid w:val="0058059C"/>
    <w:rsid w:val="00580E2D"/>
    <w:rsid w:val="00581A78"/>
    <w:rsid w:val="005824E1"/>
    <w:rsid w:val="0058307A"/>
    <w:rsid w:val="005841F8"/>
    <w:rsid w:val="00584D60"/>
    <w:rsid w:val="00585FBF"/>
    <w:rsid w:val="00586250"/>
    <w:rsid w:val="00586398"/>
    <w:rsid w:val="0058754B"/>
    <w:rsid w:val="0058787D"/>
    <w:rsid w:val="00587BEE"/>
    <w:rsid w:val="00587EEE"/>
    <w:rsid w:val="00590954"/>
    <w:rsid w:val="00590B72"/>
    <w:rsid w:val="00590FC0"/>
    <w:rsid w:val="005914EF"/>
    <w:rsid w:val="005926EC"/>
    <w:rsid w:val="005942A0"/>
    <w:rsid w:val="005949C4"/>
    <w:rsid w:val="005964AB"/>
    <w:rsid w:val="00596D11"/>
    <w:rsid w:val="005A0449"/>
    <w:rsid w:val="005A0C40"/>
    <w:rsid w:val="005A2A16"/>
    <w:rsid w:val="005A37B8"/>
    <w:rsid w:val="005A38AF"/>
    <w:rsid w:val="005A585B"/>
    <w:rsid w:val="005A58BF"/>
    <w:rsid w:val="005A662F"/>
    <w:rsid w:val="005A6C3F"/>
    <w:rsid w:val="005A73E4"/>
    <w:rsid w:val="005A7933"/>
    <w:rsid w:val="005B079E"/>
    <w:rsid w:val="005B0875"/>
    <w:rsid w:val="005B0D2A"/>
    <w:rsid w:val="005B1993"/>
    <w:rsid w:val="005B19EB"/>
    <w:rsid w:val="005B1AEA"/>
    <w:rsid w:val="005B2F6E"/>
    <w:rsid w:val="005B324F"/>
    <w:rsid w:val="005B37B1"/>
    <w:rsid w:val="005B41FD"/>
    <w:rsid w:val="005B5645"/>
    <w:rsid w:val="005B57F4"/>
    <w:rsid w:val="005B61BE"/>
    <w:rsid w:val="005B67CA"/>
    <w:rsid w:val="005B78C1"/>
    <w:rsid w:val="005B7D63"/>
    <w:rsid w:val="005B7FF9"/>
    <w:rsid w:val="005C0E8D"/>
    <w:rsid w:val="005C1BF0"/>
    <w:rsid w:val="005C1EE7"/>
    <w:rsid w:val="005C21FD"/>
    <w:rsid w:val="005C222D"/>
    <w:rsid w:val="005C5AFA"/>
    <w:rsid w:val="005C5D22"/>
    <w:rsid w:val="005C755B"/>
    <w:rsid w:val="005D1C2D"/>
    <w:rsid w:val="005D2EC4"/>
    <w:rsid w:val="005D3001"/>
    <w:rsid w:val="005D3F76"/>
    <w:rsid w:val="005D411E"/>
    <w:rsid w:val="005D4578"/>
    <w:rsid w:val="005D50D9"/>
    <w:rsid w:val="005D6292"/>
    <w:rsid w:val="005D65AE"/>
    <w:rsid w:val="005D689E"/>
    <w:rsid w:val="005D69CF"/>
    <w:rsid w:val="005D7330"/>
    <w:rsid w:val="005D74E8"/>
    <w:rsid w:val="005E0131"/>
    <w:rsid w:val="005E0BFB"/>
    <w:rsid w:val="005E0FDE"/>
    <w:rsid w:val="005E1CFC"/>
    <w:rsid w:val="005E1DD8"/>
    <w:rsid w:val="005E2BDD"/>
    <w:rsid w:val="005E3DCF"/>
    <w:rsid w:val="005E4DC3"/>
    <w:rsid w:val="005E4F84"/>
    <w:rsid w:val="005E55EC"/>
    <w:rsid w:val="005E7B6B"/>
    <w:rsid w:val="005F18DD"/>
    <w:rsid w:val="005F23E2"/>
    <w:rsid w:val="005F2D25"/>
    <w:rsid w:val="005F3B85"/>
    <w:rsid w:val="005F4C25"/>
    <w:rsid w:val="005F5441"/>
    <w:rsid w:val="005F5570"/>
    <w:rsid w:val="005F7832"/>
    <w:rsid w:val="006014EC"/>
    <w:rsid w:val="00601528"/>
    <w:rsid w:val="006018A6"/>
    <w:rsid w:val="00601BE7"/>
    <w:rsid w:val="00602286"/>
    <w:rsid w:val="00604310"/>
    <w:rsid w:val="00604F50"/>
    <w:rsid w:val="0060505D"/>
    <w:rsid w:val="00605431"/>
    <w:rsid w:val="0060555D"/>
    <w:rsid w:val="00605B9D"/>
    <w:rsid w:val="00606464"/>
    <w:rsid w:val="00606492"/>
    <w:rsid w:val="00606ABD"/>
    <w:rsid w:val="00606D32"/>
    <w:rsid w:val="00606DC2"/>
    <w:rsid w:val="00607492"/>
    <w:rsid w:val="00610950"/>
    <w:rsid w:val="00610E13"/>
    <w:rsid w:val="00610F58"/>
    <w:rsid w:val="0061118E"/>
    <w:rsid w:val="00611B97"/>
    <w:rsid w:val="006122EE"/>
    <w:rsid w:val="006137F9"/>
    <w:rsid w:val="00613AE5"/>
    <w:rsid w:val="00614B50"/>
    <w:rsid w:val="006150C6"/>
    <w:rsid w:val="00616061"/>
    <w:rsid w:val="00616676"/>
    <w:rsid w:val="00616E7A"/>
    <w:rsid w:val="0062071E"/>
    <w:rsid w:val="00620BD8"/>
    <w:rsid w:val="00620C84"/>
    <w:rsid w:val="00621568"/>
    <w:rsid w:val="00621DD9"/>
    <w:rsid w:val="0062339D"/>
    <w:rsid w:val="00625456"/>
    <w:rsid w:val="006267E0"/>
    <w:rsid w:val="00626FA5"/>
    <w:rsid w:val="006278F6"/>
    <w:rsid w:val="00627BD7"/>
    <w:rsid w:val="00627EA7"/>
    <w:rsid w:val="00630A1A"/>
    <w:rsid w:val="00630F65"/>
    <w:rsid w:val="00631A8A"/>
    <w:rsid w:val="00631CE1"/>
    <w:rsid w:val="00631D81"/>
    <w:rsid w:val="006321A7"/>
    <w:rsid w:val="00632FCC"/>
    <w:rsid w:val="00635940"/>
    <w:rsid w:val="00635C2E"/>
    <w:rsid w:val="0063637A"/>
    <w:rsid w:val="00636702"/>
    <w:rsid w:val="006402EA"/>
    <w:rsid w:val="0064057E"/>
    <w:rsid w:val="00641101"/>
    <w:rsid w:val="00642308"/>
    <w:rsid w:val="0064289F"/>
    <w:rsid w:val="006455FB"/>
    <w:rsid w:val="00646A5F"/>
    <w:rsid w:val="00651B2D"/>
    <w:rsid w:val="00652C5E"/>
    <w:rsid w:val="0065376B"/>
    <w:rsid w:val="00653DCA"/>
    <w:rsid w:val="00655198"/>
    <w:rsid w:val="00657DD9"/>
    <w:rsid w:val="006611CE"/>
    <w:rsid w:val="00661649"/>
    <w:rsid w:val="0066197C"/>
    <w:rsid w:val="0066284E"/>
    <w:rsid w:val="00662D1E"/>
    <w:rsid w:val="00662F9E"/>
    <w:rsid w:val="00663E3A"/>
    <w:rsid w:val="00664161"/>
    <w:rsid w:val="00664438"/>
    <w:rsid w:val="00665315"/>
    <w:rsid w:val="00666308"/>
    <w:rsid w:val="00666B79"/>
    <w:rsid w:val="00667D53"/>
    <w:rsid w:val="00667FFC"/>
    <w:rsid w:val="00670219"/>
    <w:rsid w:val="006706EE"/>
    <w:rsid w:val="00670FC2"/>
    <w:rsid w:val="00671A26"/>
    <w:rsid w:val="006720E6"/>
    <w:rsid w:val="006730CE"/>
    <w:rsid w:val="006730F3"/>
    <w:rsid w:val="00673D20"/>
    <w:rsid w:val="00674344"/>
    <w:rsid w:val="00675215"/>
    <w:rsid w:val="006752BF"/>
    <w:rsid w:val="00675A06"/>
    <w:rsid w:val="0067630B"/>
    <w:rsid w:val="00676793"/>
    <w:rsid w:val="006769C9"/>
    <w:rsid w:val="00677E2B"/>
    <w:rsid w:val="0068017B"/>
    <w:rsid w:val="006810DE"/>
    <w:rsid w:val="00682703"/>
    <w:rsid w:val="006836FF"/>
    <w:rsid w:val="00683867"/>
    <w:rsid w:val="006842D9"/>
    <w:rsid w:val="00684CB8"/>
    <w:rsid w:val="0068557A"/>
    <w:rsid w:val="00686952"/>
    <w:rsid w:val="00686DD8"/>
    <w:rsid w:val="006873D2"/>
    <w:rsid w:val="0068753A"/>
    <w:rsid w:val="006877A0"/>
    <w:rsid w:val="00687E73"/>
    <w:rsid w:val="00690EE8"/>
    <w:rsid w:val="00691097"/>
    <w:rsid w:val="00692C28"/>
    <w:rsid w:val="00692EC5"/>
    <w:rsid w:val="006932B8"/>
    <w:rsid w:val="006937ED"/>
    <w:rsid w:val="0069418C"/>
    <w:rsid w:val="00695900"/>
    <w:rsid w:val="00695C7E"/>
    <w:rsid w:val="00696DFE"/>
    <w:rsid w:val="00696ED2"/>
    <w:rsid w:val="00697767"/>
    <w:rsid w:val="00697D0C"/>
    <w:rsid w:val="006A10A1"/>
    <w:rsid w:val="006A1E3B"/>
    <w:rsid w:val="006A211F"/>
    <w:rsid w:val="006A2CCA"/>
    <w:rsid w:val="006A3072"/>
    <w:rsid w:val="006A4DFB"/>
    <w:rsid w:val="006A5B4E"/>
    <w:rsid w:val="006B0F3B"/>
    <w:rsid w:val="006B1944"/>
    <w:rsid w:val="006B2519"/>
    <w:rsid w:val="006B47EA"/>
    <w:rsid w:val="006B4A52"/>
    <w:rsid w:val="006B5B0F"/>
    <w:rsid w:val="006C044A"/>
    <w:rsid w:val="006C1CB6"/>
    <w:rsid w:val="006C28D4"/>
    <w:rsid w:val="006C449A"/>
    <w:rsid w:val="006C4F85"/>
    <w:rsid w:val="006C5E7A"/>
    <w:rsid w:val="006C5F28"/>
    <w:rsid w:val="006C66B0"/>
    <w:rsid w:val="006C6711"/>
    <w:rsid w:val="006C6D8D"/>
    <w:rsid w:val="006C72A0"/>
    <w:rsid w:val="006C75CA"/>
    <w:rsid w:val="006D0582"/>
    <w:rsid w:val="006D09AF"/>
    <w:rsid w:val="006D1BF6"/>
    <w:rsid w:val="006D1DE6"/>
    <w:rsid w:val="006D26D6"/>
    <w:rsid w:val="006D3B4D"/>
    <w:rsid w:val="006D4562"/>
    <w:rsid w:val="006D4EEE"/>
    <w:rsid w:val="006D5992"/>
    <w:rsid w:val="006D5ED1"/>
    <w:rsid w:val="006D6E35"/>
    <w:rsid w:val="006D7417"/>
    <w:rsid w:val="006D766E"/>
    <w:rsid w:val="006D7D09"/>
    <w:rsid w:val="006D7DD3"/>
    <w:rsid w:val="006E037C"/>
    <w:rsid w:val="006E04B1"/>
    <w:rsid w:val="006E14BF"/>
    <w:rsid w:val="006E1A05"/>
    <w:rsid w:val="006E30A4"/>
    <w:rsid w:val="006E3400"/>
    <w:rsid w:val="006E3CF2"/>
    <w:rsid w:val="006E3EC0"/>
    <w:rsid w:val="006E429E"/>
    <w:rsid w:val="006E545D"/>
    <w:rsid w:val="006E5B91"/>
    <w:rsid w:val="006E6BC4"/>
    <w:rsid w:val="006E732C"/>
    <w:rsid w:val="006F040D"/>
    <w:rsid w:val="006F1327"/>
    <w:rsid w:val="006F3E94"/>
    <w:rsid w:val="006F533F"/>
    <w:rsid w:val="006F6BF1"/>
    <w:rsid w:val="006F7244"/>
    <w:rsid w:val="006F7CC2"/>
    <w:rsid w:val="00701334"/>
    <w:rsid w:val="007022DD"/>
    <w:rsid w:val="0070249C"/>
    <w:rsid w:val="00702C1E"/>
    <w:rsid w:val="00704D84"/>
    <w:rsid w:val="00704DB9"/>
    <w:rsid w:val="00706FBD"/>
    <w:rsid w:val="00707172"/>
    <w:rsid w:val="007072A8"/>
    <w:rsid w:val="00707BC8"/>
    <w:rsid w:val="0071048D"/>
    <w:rsid w:val="00710DD4"/>
    <w:rsid w:val="0071242F"/>
    <w:rsid w:val="0071271E"/>
    <w:rsid w:val="007134E2"/>
    <w:rsid w:val="0071351E"/>
    <w:rsid w:val="007143C1"/>
    <w:rsid w:val="007159AB"/>
    <w:rsid w:val="007167A9"/>
    <w:rsid w:val="00716B0A"/>
    <w:rsid w:val="0072170F"/>
    <w:rsid w:val="007218D4"/>
    <w:rsid w:val="00722009"/>
    <w:rsid w:val="00722379"/>
    <w:rsid w:val="00722751"/>
    <w:rsid w:val="00722A6E"/>
    <w:rsid w:val="00722C46"/>
    <w:rsid w:val="00722D3B"/>
    <w:rsid w:val="00722D43"/>
    <w:rsid w:val="00725450"/>
    <w:rsid w:val="0072569D"/>
    <w:rsid w:val="007268DD"/>
    <w:rsid w:val="00726EFE"/>
    <w:rsid w:val="00726F17"/>
    <w:rsid w:val="0072724B"/>
    <w:rsid w:val="00730878"/>
    <w:rsid w:val="00731141"/>
    <w:rsid w:val="00731ED5"/>
    <w:rsid w:val="00733876"/>
    <w:rsid w:val="00735910"/>
    <w:rsid w:val="00735B3C"/>
    <w:rsid w:val="00735D8A"/>
    <w:rsid w:val="00737F82"/>
    <w:rsid w:val="007401D0"/>
    <w:rsid w:val="007407F5"/>
    <w:rsid w:val="00743BB6"/>
    <w:rsid w:val="00750FDA"/>
    <w:rsid w:val="00751927"/>
    <w:rsid w:val="007531D8"/>
    <w:rsid w:val="00754C89"/>
    <w:rsid w:val="00755905"/>
    <w:rsid w:val="00755FE1"/>
    <w:rsid w:val="00756040"/>
    <w:rsid w:val="00757659"/>
    <w:rsid w:val="00757ED2"/>
    <w:rsid w:val="0076018D"/>
    <w:rsid w:val="00760DAE"/>
    <w:rsid w:val="00760E91"/>
    <w:rsid w:val="007645DD"/>
    <w:rsid w:val="007647A4"/>
    <w:rsid w:val="00765203"/>
    <w:rsid w:val="00765D2A"/>
    <w:rsid w:val="00766719"/>
    <w:rsid w:val="007668FE"/>
    <w:rsid w:val="007677B9"/>
    <w:rsid w:val="0077358A"/>
    <w:rsid w:val="00773D88"/>
    <w:rsid w:val="00774153"/>
    <w:rsid w:val="007750FB"/>
    <w:rsid w:val="00775F12"/>
    <w:rsid w:val="007763AF"/>
    <w:rsid w:val="0077665B"/>
    <w:rsid w:val="0077672B"/>
    <w:rsid w:val="0077674E"/>
    <w:rsid w:val="00777000"/>
    <w:rsid w:val="0077708E"/>
    <w:rsid w:val="00777EB0"/>
    <w:rsid w:val="00777FE0"/>
    <w:rsid w:val="00780EEE"/>
    <w:rsid w:val="00781361"/>
    <w:rsid w:val="007823D7"/>
    <w:rsid w:val="00782D9D"/>
    <w:rsid w:val="00783707"/>
    <w:rsid w:val="00783713"/>
    <w:rsid w:val="00783E15"/>
    <w:rsid w:val="00784B2D"/>
    <w:rsid w:val="007904FE"/>
    <w:rsid w:val="00791477"/>
    <w:rsid w:val="00792140"/>
    <w:rsid w:val="00794A1D"/>
    <w:rsid w:val="00795BCA"/>
    <w:rsid w:val="00795BEE"/>
    <w:rsid w:val="00795FC3"/>
    <w:rsid w:val="007A041E"/>
    <w:rsid w:val="007A07B7"/>
    <w:rsid w:val="007A1471"/>
    <w:rsid w:val="007A1B6C"/>
    <w:rsid w:val="007A2139"/>
    <w:rsid w:val="007A2433"/>
    <w:rsid w:val="007A2651"/>
    <w:rsid w:val="007A2E8C"/>
    <w:rsid w:val="007A3316"/>
    <w:rsid w:val="007A48A2"/>
    <w:rsid w:val="007A494E"/>
    <w:rsid w:val="007A5325"/>
    <w:rsid w:val="007A5839"/>
    <w:rsid w:val="007A791D"/>
    <w:rsid w:val="007B03DC"/>
    <w:rsid w:val="007B092F"/>
    <w:rsid w:val="007B09BA"/>
    <w:rsid w:val="007B0DBF"/>
    <w:rsid w:val="007B2360"/>
    <w:rsid w:val="007B2C9B"/>
    <w:rsid w:val="007B3754"/>
    <w:rsid w:val="007B3CD4"/>
    <w:rsid w:val="007B3F72"/>
    <w:rsid w:val="007B4814"/>
    <w:rsid w:val="007B630E"/>
    <w:rsid w:val="007B68FD"/>
    <w:rsid w:val="007C00C8"/>
    <w:rsid w:val="007C0568"/>
    <w:rsid w:val="007C1334"/>
    <w:rsid w:val="007C17D5"/>
    <w:rsid w:val="007C2369"/>
    <w:rsid w:val="007C303D"/>
    <w:rsid w:val="007C30E9"/>
    <w:rsid w:val="007C3E26"/>
    <w:rsid w:val="007C5A82"/>
    <w:rsid w:val="007C5D15"/>
    <w:rsid w:val="007C7401"/>
    <w:rsid w:val="007C75F3"/>
    <w:rsid w:val="007D0114"/>
    <w:rsid w:val="007D0C30"/>
    <w:rsid w:val="007D0DFA"/>
    <w:rsid w:val="007D29E9"/>
    <w:rsid w:val="007D2EB1"/>
    <w:rsid w:val="007D4815"/>
    <w:rsid w:val="007D4BAD"/>
    <w:rsid w:val="007D6D4B"/>
    <w:rsid w:val="007D7A11"/>
    <w:rsid w:val="007E1635"/>
    <w:rsid w:val="007E18CA"/>
    <w:rsid w:val="007E4014"/>
    <w:rsid w:val="007E4B5F"/>
    <w:rsid w:val="007E62B0"/>
    <w:rsid w:val="007E6579"/>
    <w:rsid w:val="007F00C2"/>
    <w:rsid w:val="007F158F"/>
    <w:rsid w:val="007F1A0B"/>
    <w:rsid w:val="007F1A8E"/>
    <w:rsid w:val="007F3358"/>
    <w:rsid w:val="007F3459"/>
    <w:rsid w:val="007F4ABF"/>
    <w:rsid w:val="007F4B6B"/>
    <w:rsid w:val="007F6511"/>
    <w:rsid w:val="007F6F58"/>
    <w:rsid w:val="008031D4"/>
    <w:rsid w:val="008033D4"/>
    <w:rsid w:val="008051C6"/>
    <w:rsid w:val="00805709"/>
    <w:rsid w:val="00805BA2"/>
    <w:rsid w:val="00806418"/>
    <w:rsid w:val="008066B6"/>
    <w:rsid w:val="00806DEE"/>
    <w:rsid w:val="008070D4"/>
    <w:rsid w:val="008078E0"/>
    <w:rsid w:val="0081005A"/>
    <w:rsid w:val="00810241"/>
    <w:rsid w:val="00811CDE"/>
    <w:rsid w:val="00811E87"/>
    <w:rsid w:val="008124D0"/>
    <w:rsid w:val="008138F8"/>
    <w:rsid w:val="00814A7E"/>
    <w:rsid w:val="0081503A"/>
    <w:rsid w:val="00816368"/>
    <w:rsid w:val="00816450"/>
    <w:rsid w:val="00816785"/>
    <w:rsid w:val="00816DF4"/>
    <w:rsid w:val="008175EC"/>
    <w:rsid w:val="00820485"/>
    <w:rsid w:val="00821597"/>
    <w:rsid w:val="0082165B"/>
    <w:rsid w:val="0082215A"/>
    <w:rsid w:val="0082375E"/>
    <w:rsid w:val="00823FCE"/>
    <w:rsid w:val="008244BE"/>
    <w:rsid w:val="00824C78"/>
    <w:rsid w:val="0082575E"/>
    <w:rsid w:val="00825AC2"/>
    <w:rsid w:val="00825E35"/>
    <w:rsid w:val="008260B8"/>
    <w:rsid w:val="00827721"/>
    <w:rsid w:val="00827AC2"/>
    <w:rsid w:val="00827ACF"/>
    <w:rsid w:val="00830FA8"/>
    <w:rsid w:val="0083236D"/>
    <w:rsid w:val="0083290A"/>
    <w:rsid w:val="0083344E"/>
    <w:rsid w:val="008337A7"/>
    <w:rsid w:val="00834C87"/>
    <w:rsid w:val="00835379"/>
    <w:rsid w:val="00835391"/>
    <w:rsid w:val="008360EE"/>
    <w:rsid w:val="00837417"/>
    <w:rsid w:val="00837F40"/>
    <w:rsid w:val="0084077A"/>
    <w:rsid w:val="00841B0C"/>
    <w:rsid w:val="00842AE5"/>
    <w:rsid w:val="00845BA2"/>
    <w:rsid w:val="0084609F"/>
    <w:rsid w:val="00846680"/>
    <w:rsid w:val="0084679B"/>
    <w:rsid w:val="008558FD"/>
    <w:rsid w:val="0085595B"/>
    <w:rsid w:val="00855AE1"/>
    <w:rsid w:val="0085609E"/>
    <w:rsid w:val="0085729B"/>
    <w:rsid w:val="008578DF"/>
    <w:rsid w:val="00857AAC"/>
    <w:rsid w:val="0086281B"/>
    <w:rsid w:val="0086332A"/>
    <w:rsid w:val="0086408F"/>
    <w:rsid w:val="008642FB"/>
    <w:rsid w:val="00864A3B"/>
    <w:rsid w:val="00864E4B"/>
    <w:rsid w:val="0086545E"/>
    <w:rsid w:val="0086709D"/>
    <w:rsid w:val="00867E10"/>
    <w:rsid w:val="00872640"/>
    <w:rsid w:val="0087277C"/>
    <w:rsid w:val="00873EC4"/>
    <w:rsid w:val="0087441A"/>
    <w:rsid w:val="0087471B"/>
    <w:rsid w:val="00876084"/>
    <w:rsid w:val="00876772"/>
    <w:rsid w:val="00877F71"/>
    <w:rsid w:val="00880265"/>
    <w:rsid w:val="00880826"/>
    <w:rsid w:val="008812DB"/>
    <w:rsid w:val="0088151D"/>
    <w:rsid w:val="00881FCA"/>
    <w:rsid w:val="008823FD"/>
    <w:rsid w:val="00882FCC"/>
    <w:rsid w:val="00883199"/>
    <w:rsid w:val="00883F28"/>
    <w:rsid w:val="00884151"/>
    <w:rsid w:val="008841B6"/>
    <w:rsid w:val="008847E5"/>
    <w:rsid w:val="00886F1A"/>
    <w:rsid w:val="008874EA"/>
    <w:rsid w:val="00890BEE"/>
    <w:rsid w:val="00890CEA"/>
    <w:rsid w:val="00891633"/>
    <w:rsid w:val="00891A0E"/>
    <w:rsid w:val="0089260C"/>
    <w:rsid w:val="0089291B"/>
    <w:rsid w:val="00892E16"/>
    <w:rsid w:val="00893046"/>
    <w:rsid w:val="00893744"/>
    <w:rsid w:val="00893A26"/>
    <w:rsid w:val="008943D4"/>
    <w:rsid w:val="0089443A"/>
    <w:rsid w:val="00894DA8"/>
    <w:rsid w:val="00896FBC"/>
    <w:rsid w:val="008A0590"/>
    <w:rsid w:val="008A125E"/>
    <w:rsid w:val="008A288C"/>
    <w:rsid w:val="008A3068"/>
    <w:rsid w:val="008A4119"/>
    <w:rsid w:val="008A4638"/>
    <w:rsid w:val="008A53D8"/>
    <w:rsid w:val="008A5B5A"/>
    <w:rsid w:val="008A615A"/>
    <w:rsid w:val="008A61DF"/>
    <w:rsid w:val="008A63EE"/>
    <w:rsid w:val="008A6C14"/>
    <w:rsid w:val="008A752A"/>
    <w:rsid w:val="008A7B8A"/>
    <w:rsid w:val="008B06E4"/>
    <w:rsid w:val="008B0799"/>
    <w:rsid w:val="008B0ADB"/>
    <w:rsid w:val="008B3298"/>
    <w:rsid w:val="008B3BF8"/>
    <w:rsid w:val="008B4106"/>
    <w:rsid w:val="008B5468"/>
    <w:rsid w:val="008B559A"/>
    <w:rsid w:val="008B5C83"/>
    <w:rsid w:val="008B65E8"/>
    <w:rsid w:val="008B7394"/>
    <w:rsid w:val="008C0D80"/>
    <w:rsid w:val="008C1984"/>
    <w:rsid w:val="008C2B7E"/>
    <w:rsid w:val="008C3044"/>
    <w:rsid w:val="008C3961"/>
    <w:rsid w:val="008C5E94"/>
    <w:rsid w:val="008C7233"/>
    <w:rsid w:val="008C7956"/>
    <w:rsid w:val="008C79AD"/>
    <w:rsid w:val="008C7F3F"/>
    <w:rsid w:val="008D12FB"/>
    <w:rsid w:val="008D1540"/>
    <w:rsid w:val="008D1F7E"/>
    <w:rsid w:val="008D2325"/>
    <w:rsid w:val="008D2973"/>
    <w:rsid w:val="008D2B0B"/>
    <w:rsid w:val="008D2C15"/>
    <w:rsid w:val="008D3D27"/>
    <w:rsid w:val="008D3F48"/>
    <w:rsid w:val="008D3FBC"/>
    <w:rsid w:val="008D468C"/>
    <w:rsid w:val="008D4A0F"/>
    <w:rsid w:val="008D723B"/>
    <w:rsid w:val="008D79F4"/>
    <w:rsid w:val="008E01DA"/>
    <w:rsid w:val="008E05B3"/>
    <w:rsid w:val="008E0733"/>
    <w:rsid w:val="008E10E9"/>
    <w:rsid w:val="008E191F"/>
    <w:rsid w:val="008E3360"/>
    <w:rsid w:val="008E40E4"/>
    <w:rsid w:val="008E47F1"/>
    <w:rsid w:val="008E5C11"/>
    <w:rsid w:val="008E6992"/>
    <w:rsid w:val="008E7067"/>
    <w:rsid w:val="008E7C00"/>
    <w:rsid w:val="008E7D5A"/>
    <w:rsid w:val="008F0312"/>
    <w:rsid w:val="008F1DBE"/>
    <w:rsid w:val="008F1FF4"/>
    <w:rsid w:val="008F2215"/>
    <w:rsid w:val="008F231B"/>
    <w:rsid w:val="008F39A6"/>
    <w:rsid w:val="008F44BD"/>
    <w:rsid w:val="008F4E55"/>
    <w:rsid w:val="008F600C"/>
    <w:rsid w:val="008F64C9"/>
    <w:rsid w:val="008F686A"/>
    <w:rsid w:val="008F6872"/>
    <w:rsid w:val="008F6B17"/>
    <w:rsid w:val="008F7FE7"/>
    <w:rsid w:val="008F7FE9"/>
    <w:rsid w:val="00900387"/>
    <w:rsid w:val="00902837"/>
    <w:rsid w:val="00902C39"/>
    <w:rsid w:val="0090443D"/>
    <w:rsid w:val="00905B59"/>
    <w:rsid w:val="00905BD5"/>
    <w:rsid w:val="0090688B"/>
    <w:rsid w:val="0090773E"/>
    <w:rsid w:val="00907EA7"/>
    <w:rsid w:val="00914AA5"/>
    <w:rsid w:val="00914DFF"/>
    <w:rsid w:val="00914E3C"/>
    <w:rsid w:val="009156CD"/>
    <w:rsid w:val="00915CFE"/>
    <w:rsid w:val="009160CB"/>
    <w:rsid w:val="009161D2"/>
    <w:rsid w:val="009167F1"/>
    <w:rsid w:val="009170D2"/>
    <w:rsid w:val="00917356"/>
    <w:rsid w:val="00917B29"/>
    <w:rsid w:val="0092146B"/>
    <w:rsid w:val="00921BFC"/>
    <w:rsid w:val="00922C17"/>
    <w:rsid w:val="00922E23"/>
    <w:rsid w:val="00923613"/>
    <w:rsid w:val="00924829"/>
    <w:rsid w:val="00924A80"/>
    <w:rsid w:val="00924E39"/>
    <w:rsid w:val="00925479"/>
    <w:rsid w:val="0092721C"/>
    <w:rsid w:val="0092729F"/>
    <w:rsid w:val="00927C38"/>
    <w:rsid w:val="009313F9"/>
    <w:rsid w:val="00931A3D"/>
    <w:rsid w:val="00931B3D"/>
    <w:rsid w:val="00932125"/>
    <w:rsid w:val="00932DAE"/>
    <w:rsid w:val="00933444"/>
    <w:rsid w:val="00933529"/>
    <w:rsid w:val="00934FF4"/>
    <w:rsid w:val="0093669A"/>
    <w:rsid w:val="00941B00"/>
    <w:rsid w:val="00941BA3"/>
    <w:rsid w:val="00942B6D"/>
    <w:rsid w:val="00943C2C"/>
    <w:rsid w:val="009445AC"/>
    <w:rsid w:val="00945505"/>
    <w:rsid w:val="0094562A"/>
    <w:rsid w:val="00946249"/>
    <w:rsid w:val="00946BBF"/>
    <w:rsid w:val="009470B5"/>
    <w:rsid w:val="00947209"/>
    <w:rsid w:val="009472B3"/>
    <w:rsid w:val="00947890"/>
    <w:rsid w:val="00950EE9"/>
    <w:rsid w:val="009522B3"/>
    <w:rsid w:val="00954B46"/>
    <w:rsid w:val="00954E97"/>
    <w:rsid w:val="009556D4"/>
    <w:rsid w:val="00956046"/>
    <w:rsid w:val="00956364"/>
    <w:rsid w:val="00956609"/>
    <w:rsid w:val="0095746A"/>
    <w:rsid w:val="0096006C"/>
    <w:rsid w:val="009605F2"/>
    <w:rsid w:val="009618AF"/>
    <w:rsid w:val="009622B5"/>
    <w:rsid w:val="00962791"/>
    <w:rsid w:val="00962DC6"/>
    <w:rsid w:val="00963B8F"/>
    <w:rsid w:val="00964602"/>
    <w:rsid w:val="009648BA"/>
    <w:rsid w:val="00964FB8"/>
    <w:rsid w:val="00966057"/>
    <w:rsid w:val="00966BDA"/>
    <w:rsid w:val="009676FF"/>
    <w:rsid w:val="00967932"/>
    <w:rsid w:val="00967C42"/>
    <w:rsid w:val="00967EF8"/>
    <w:rsid w:val="009705CB"/>
    <w:rsid w:val="00970622"/>
    <w:rsid w:val="009709E0"/>
    <w:rsid w:val="009712F6"/>
    <w:rsid w:val="00971E69"/>
    <w:rsid w:val="009735F7"/>
    <w:rsid w:val="00973609"/>
    <w:rsid w:val="00973E07"/>
    <w:rsid w:val="009754DC"/>
    <w:rsid w:val="00976ADD"/>
    <w:rsid w:val="00976C7C"/>
    <w:rsid w:val="009804DB"/>
    <w:rsid w:val="009811F7"/>
    <w:rsid w:val="0098128E"/>
    <w:rsid w:val="009821AB"/>
    <w:rsid w:val="00983607"/>
    <w:rsid w:val="009837EC"/>
    <w:rsid w:val="009849C3"/>
    <w:rsid w:val="00986707"/>
    <w:rsid w:val="0099001C"/>
    <w:rsid w:val="00990C3A"/>
    <w:rsid w:val="009913A3"/>
    <w:rsid w:val="0099394E"/>
    <w:rsid w:val="009944B3"/>
    <w:rsid w:val="00995314"/>
    <w:rsid w:val="00995F6D"/>
    <w:rsid w:val="009963E4"/>
    <w:rsid w:val="00996877"/>
    <w:rsid w:val="00996AFC"/>
    <w:rsid w:val="00996E93"/>
    <w:rsid w:val="00997B64"/>
    <w:rsid w:val="009A0B6F"/>
    <w:rsid w:val="009A0D57"/>
    <w:rsid w:val="009A19F0"/>
    <w:rsid w:val="009A1D33"/>
    <w:rsid w:val="009A22E5"/>
    <w:rsid w:val="009A2AB3"/>
    <w:rsid w:val="009A3736"/>
    <w:rsid w:val="009A3FB4"/>
    <w:rsid w:val="009A5852"/>
    <w:rsid w:val="009A58D8"/>
    <w:rsid w:val="009A59DE"/>
    <w:rsid w:val="009A71C3"/>
    <w:rsid w:val="009A76BD"/>
    <w:rsid w:val="009A7A10"/>
    <w:rsid w:val="009B0463"/>
    <w:rsid w:val="009B146D"/>
    <w:rsid w:val="009B1C06"/>
    <w:rsid w:val="009B1C22"/>
    <w:rsid w:val="009B29C4"/>
    <w:rsid w:val="009B30B4"/>
    <w:rsid w:val="009B3574"/>
    <w:rsid w:val="009B38A9"/>
    <w:rsid w:val="009B47A0"/>
    <w:rsid w:val="009B47BC"/>
    <w:rsid w:val="009B4D9E"/>
    <w:rsid w:val="009B5750"/>
    <w:rsid w:val="009B7F81"/>
    <w:rsid w:val="009C00CE"/>
    <w:rsid w:val="009C0725"/>
    <w:rsid w:val="009C0742"/>
    <w:rsid w:val="009C0BA7"/>
    <w:rsid w:val="009C168D"/>
    <w:rsid w:val="009C20F3"/>
    <w:rsid w:val="009C21D2"/>
    <w:rsid w:val="009C4906"/>
    <w:rsid w:val="009C6701"/>
    <w:rsid w:val="009C6F4C"/>
    <w:rsid w:val="009C7D69"/>
    <w:rsid w:val="009C7DB7"/>
    <w:rsid w:val="009D0314"/>
    <w:rsid w:val="009D111A"/>
    <w:rsid w:val="009D1F4E"/>
    <w:rsid w:val="009D3154"/>
    <w:rsid w:val="009D38DA"/>
    <w:rsid w:val="009D3EE1"/>
    <w:rsid w:val="009D4B08"/>
    <w:rsid w:val="009D4E53"/>
    <w:rsid w:val="009D6D52"/>
    <w:rsid w:val="009D7633"/>
    <w:rsid w:val="009E0112"/>
    <w:rsid w:val="009E0657"/>
    <w:rsid w:val="009E0B0F"/>
    <w:rsid w:val="009E1329"/>
    <w:rsid w:val="009E1F8A"/>
    <w:rsid w:val="009E219C"/>
    <w:rsid w:val="009E23A8"/>
    <w:rsid w:val="009E272A"/>
    <w:rsid w:val="009E2960"/>
    <w:rsid w:val="009E2B68"/>
    <w:rsid w:val="009E61C4"/>
    <w:rsid w:val="009E6DCD"/>
    <w:rsid w:val="009F07F5"/>
    <w:rsid w:val="009F1FD9"/>
    <w:rsid w:val="009F53FD"/>
    <w:rsid w:val="009F68E1"/>
    <w:rsid w:val="009F694E"/>
    <w:rsid w:val="009F6CC3"/>
    <w:rsid w:val="00A0019E"/>
    <w:rsid w:val="00A00449"/>
    <w:rsid w:val="00A00B10"/>
    <w:rsid w:val="00A00E47"/>
    <w:rsid w:val="00A017D9"/>
    <w:rsid w:val="00A01F67"/>
    <w:rsid w:val="00A02541"/>
    <w:rsid w:val="00A03BCC"/>
    <w:rsid w:val="00A03C59"/>
    <w:rsid w:val="00A05C97"/>
    <w:rsid w:val="00A05D60"/>
    <w:rsid w:val="00A062DA"/>
    <w:rsid w:val="00A0658D"/>
    <w:rsid w:val="00A111B6"/>
    <w:rsid w:val="00A12193"/>
    <w:rsid w:val="00A13987"/>
    <w:rsid w:val="00A139B1"/>
    <w:rsid w:val="00A14DBE"/>
    <w:rsid w:val="00A1511B"/>
    <w:rsid w:val="00A157DF"/>
    <w:rsid w:val="00A160E8"/>
    <w:rsid w:val="00A16C34"/>
    <w:rsid w:val="00A17088"/>
    <w:rsid w:val="00A21896"/>
    <w:rsid w:val="00A22123"/>
    <w:rsid w:val="00A233FC"/>
    <w:rsid w:val="00A236A2"/>
    <w:rsid w:val="00A24288"/>
    <w:rsid w:val="00A24953"/>
    <w:rsid w:val="00A24C0A"/>
    <w:rsid w:val="00A24EDA"/>
    <w:rsid w:val="00A254FA"/>
    <w:rsid w:val="00A25DE7"/>
    <w:rsid w:val="00A271E0"/>
    <w:rsid w:val="00A3011B"/>
    <w:rsid w:val="00A31EA9"/>
    <w:rsid w:val="00A32D9A"/>
    <w:rsid w:val="00A33055"/>
    <w:rsid w:val="00A342FB"/>
    <w:rsid w:val="00A3439B"/>
    <w:rsid w:val="00A345E2"/>
    <w:rsid w:val="00A34A7D"/>
    <w:rsid w:val="00A365E6"/>
    <w:rsid w:val="00A37742"/>
    <w:rsid w:val="00A37E0F"/>
    <w:rsid w:val="00A42D86"/>
    <w:rsid w:val="00A4341F"/>
    <w:rsid w:val="00A44C9C"/>
    <w:rsid w:val="00A4681B"/>
    <w:rsid w:val="00A47EE5"/>
    <w:rsid w:val="00A51A72"/>
    <w:rsid w:val="00A52A55"/>
    <w:rsid w:val="00A53FA2"/>
    <w:rsid w:val="00A542B0"/>
    <w:rsid w:val="00A54399"/>
    <w:rsid w:val="00A5449B"/>
    <w:rsid w:val="00A556DB"/>
    <w:rsid w:val="00A565A7"/>
    <w:rsid w:val="00A575CB"/>
    <w:rsid w:val="00A57A23"/>
    <w:rsid w:val="00A60315"/>
    <w:rsid w:val="00A60D8C"/>
    <w:rsid w:val="00A60F1C"/>
    <w:rsid w:val="00A61389"/>
    <w:rsid w:val="00A61A36"/>
    <w:rsid w:val="00A61C2A"/>
    <w:rsid w:val="00A62016"/>
    <w:rsid w:val="00A63310"/>
    <w:rsid w:val="00A63491"/>
    <w:rsid w:val="00A640ED"/>
    <w:rsid w:val="00A644CD"/>
    <w:rsid w:val="00A64671"/>
    <w:rsid w:val="00A65A87"/>
    <w:rsid w:val="00A66363"/>
    <w:rsid w:val="00A67658"/>
    <w:rsid w:val="00A70D33"/>
    <w:rsid w:val="00A7101A"/>
    <w:rsid w:val="00A7179D"/>
    <w:rsid w:val="00A72842"/>
    <w:rsid w:val="00A73093"/>
    <w:rsid w:val="00A737A8"/>
    <w:rsid w:val="00A74FF5"/>
    <w:rsid w:val="00A75FF9"/>
    <w:rsid w:val="00A763B4"/>
    <w:rsid w:val="00A764F8"/>
    <w:rsid w:val="00A76675"/>
    <w:rsid w:val="00A772D4"/>
    <w:rsid w:val="00A77BB4"/>
    <w:rsid w:val="00A77C7B"/>
    <w:rsid w:val="00A8051E"/>
    <w:rsid w:val="00A8171F"/>
    <w:rsid w:val="00A82A9B"/>
    <w:rsid w:val="00A838B1"/>
    <w:rsid w:val="00A839A5"/>
    <w:rsid w:val="00A83EF2"/>
    <w:rsid w:val="00A84054"/>
    <w:rsid w:val="00A846FD"/>
    <w:rsid w:val="00A84A42"/>
    <w:rsid w:val="00A85DDD"/>
    <w:rsid w:val="00A86FC9"/>
    <w:rsid w:val="00A90534"/>
    <w:rsid w:val="00A917EA"/>
    <w:rsid w:val="00A9313F"/>
    <w:rsid w:val="00A935C2"/>
    <w:rsid w:val="00A950A1"/>
    <w:rsid w:val="00A9596D"/>
    <w:rsid w:val="00A970F1"/>
    <w:rsid w:val="00A9766D"/>
    <w:rsid w:val="00AA0D0C"/>
    <w:rsid w:val="00AA3750"/>
    <w:rsid w:val="00AA458B"/>
    <w:rsid w:val="00AA4E39"/>
    <w:rsid w:val="00AA5514"/>
    <w:rsid w:val="00AA571A"/>
    <w:rsid w:val="00AA5ADC"/>
    <w:rsid w:val="00AA5C48"/>
    <w:rsid w:val="00AA5E56"/>
    <w:rsid w:val="00AA6213"/>
    <w:rsid w:val="00AA697D"/>
    <w:rsid w:val="00AA6EDE"/>
    <w:rsid w:val="00AA718C"/>
    <w:rsid w:val="00AA7CA1"/>
    <w:rsid w:val="00AA7E5B"/>
    <w:rsid w:val="00AB01D6"/>
    <w:rsid w:val="00AB048D"/>
    <w:rsid w:val="00AB0A68"/>
    <w:rsid w:val="00AB10BA"/>
    <w:rsid w:val="00AB1F18"/>
    <w:rsid w:val="00AB2394"/>
    <w:rsid w:val="00AB289F"/>
    <w:rsid w:val="00AB2A7A"/>
    <w:rsid w:val="00AB55AE"/>
    <w:rsid w:val="00AB6454"/>
    <w:rsid w:val="00AC10BA"/>
    <w:rsid w:val="00AC1B96"/>
    <w:rsid w:val="00AC369D"/>
    <w:rsid w:val="00AC38F1"/>
    <w:rsid w:val="00AC4713"/>
    <w:rsid w:val="00AC4B91"/>
    <w:rsid w:val="00AC4BA8"/>
    <w:rsid w:val="00AC5F61"/>
    <w:rsid w:val="00AD0674"/>
    <w:rsid w:val="00AD1F00"/>
    <w:rsid w:val="00AD2030"/>
    <w:rsid w:val="00AD282B"/>
    <w:rsid w:val="00AD2E78"/>
    <w:rsid w:val="00AD367E"/>
    <w:rsid w:val="00AD410B"/>
    <w:rsid w:val="00AD5121"/>
    <w:rsid w:val="00AD5417"/>
    <w:rsid w:val="00AD56BD"/>
    <w:rsid w:val="00AD6262"/>
    <w:rsid w:val="00AD74E9"/>
    <w:rsid w:val="00AD7882"/>
    <w:rsid w:val="00AE00DE"/>
    <w:rsid w:val="00AE0476"/>
    <w:rsid w:val="00AE20CF"/>
    <w:rsid w:val="00AE235C"/>
    <w:rsid w:val="00AE2586"/>
    <w:rsid w:val="00AE3344"/>
    <w:rsid w:val="00AE3838"/>
    <w:rsid w:val="00AE3E05"/>
    <w:rsid w:val="00AE4A3A"/>
    <w:rsid w:val="00AE5371"/>
    <w:rsid w:val="00AE5391"/>
    <w:rsid w:val="00AE629E"/>
    <w:rsid w:val="00AE6B04"/>
    <w:rsid w:val="00AE7288"/>
    <w:rsid w:val="00AE72FE"/>
    <w:rsid w:val="00AE784D"/>
    <w:rsid w:val="00AE7E6A"/>
    <w:rsid w:val="00AF1940"/>
    <w:rsid w:val="00AF1AE8"/>
    <w:rsid w:val="00AF4AD7"/>
    <w:rsid w:val="00AF7160"/>
    <w:rsid w:val="00AF75C7"/>
    <w:rsid w:val="00B00583"/>
    <w:rsid w:val="00B0095A"/>
    <w:rsid w:val="00B0104C"/>
    <w:rsid w:val="00B0143B"/>
    <w:rsid w:val="00B0179E"/>
    <w:rsid w:val="00B02251"/>
    <w:rsid w:val="00B022EA"/>
    <w:rsid w:val="00B0383A"/>
    <w:rsid w:val="00B0489D"/>
    <w:rsid w:val="00B04CDC"/>
    <w:rsid w:val="00B051BE"/>
    <w:rsid w:val="00B05931"/>
    <w:rsid w:val="00B05F2B"/>
    <w:rsid w:val="00B06090"/>
    <w:rsid w:val="00B06BA1"/>
    <w:rsid w:val="00B1124F"/>
    <w:rsid w:val="00B1155D"/>
    <w:rsid w:val="00B11E6D"/>
    <w:rsid w:val="00B1242D"/>
    <w:rsid w:val="00B12592"/>
    <w:rsid w:val="00B1430A"/>
    <w:rsid w:val="00B14F5F"/>
    <w:rsid w:val="00B150F5"/>
    <w:rsid w:val="00B151D4"/>
    <w:rsid w:val="00B1582F"/>
    <w:rsid w:val="00B158F1"/>
    <w:rsid w:val="00B15954"/>
    <w:rsid w:val="00B160AA"/>
    <w:rsid w:val="00B17A6F"/>
    <w:rsid w:val="00B2062B"/>
    <w:rsid w:val="00B210CB"/>
    <w:rsid w:val="00B2112F"/>
    <w:rsid w:val="00B2273A"/>
    <w:rsid w:val="00B23177"/>
    <w:rsid w:val="00B25087"/>
    <w:rsid w:val="00B271B4"/>
    <w:rsid w:val="00B27D5C"/>
    <w:rsid w:val="00B32FD0"/>
    <w:rsid w:val="00B338B7"/>
    <w:rsid w:val="00B34F01"/>
    <w:rsid w:val="00B3565E"/>
    <w:rsid w:val="00B35F27"/>
    <w:rsid w:val="00B363B2"/>
    <w:rsid w:val="00B37420"/>
    <w:rsid w:val="00B40025"/>
    <w:rsid w:val="00B4038E"/>
    <w:rsid w:val="00B4060A"/>
    <w:rsid w:val="00B40F59"/>
    <w:rsid w:val="00B4105E"/>
    <w:rsid w:val="00B416FA"/>
    <w:rsid w:val="00B421D7"/>
    <w:rsid w:val="00B42A63"/>
    <w:rsid w:val="00B42CD5"/>
    <w:rsid w:val="00B42D9B"/>
    <w:rsid w:val="00B441BC"/>
    <w:rsid w:val="00B442AA"/>
    <w:rsid w:val="00B44DFB"/>
    <w:rsid w:val="00B45E7A"/>
    <w:rsid w:val="00B46027"/>
    <w:rsid w:val="00B4660A"/>
    <w:rsid w:val="00B46A3E"/>
    <w:rsid w:val="00B504B6"/>
    <w:rsid w:val="00B50B30"/>
    <w:rsid w:val="00B51754"/>
    <w:rsid w:val="00B51D19"/>
    <w:rsid w:val="00B52F67"/>
    <w:rsid w:val="00B532D5"/>
    <w:rsid w:val="00B5446D"/>
    <w:rsid w:val="00B5546B"/>
    <w:rsid w:val="00B55D7E"/>
    <w:rsid w:val="00B56329"/>
    <w:rsid w:val="00B56A79"/>
    <w:rsid w:val="00B57CDD"/>
    <w:rsid w:val="00B6161D"/>
    <w:rsid w:val="00B616B4"/>
    <w:rsid w:val="00B61C58"/>
    <w:rsid w:val="00B61C77"/>
    <w:rsid w:val="00B636C5"/>
    <w:rsid w:val="00B638F7"/>
    <w:rsid w:val="00B63BC2"/>
    <w:rsid w:val="00B64347"/>
    <w:rsid w:val="00B651BA"/>
    <w:rsid w:val="00B65A54"/>
    <w:rsid w:val="00B66141"/>
    <w:rsid w:val="00B66657"/>
    <w:rsid w:val="00B66704"/>
    <w:rsid w:val="00B66B5B"/>
    <w:rsid w:val="00B70DAD"/>
    <w:rsid w:val="00B711E7"/>
    <w:rsid w:val="00B71376"/>
    <w:rsid w:val="00B714DF"/>
    <w:rsid w:val="00B71DB5"/>
    <w:rsid w:val="00B7728F"/>
    <w:rsid w:val="00B7752A"/>
    <w:rsid w:val="00B7755D"/>
    <w:rsid w:val="00B800BA"/>
    <w:rsid w:val="00B80979"/>
    <w:rsid w:val="00B81990"/>
    <w:rsid w:val="00B81BDA"/>
    <w:rsid w:val="00B81C7C"/>
    <w:rsid w:val="00B823DB"/>
    <w:rsid w:val="00B82B7A"/>
    <w:rsid w:val="00B8446D"/>
    <w:rsid w:val="00B86002"/>
    <w:rsid w:val="00B8691D"/>
    <w:rsid w:val="00B92501"/>
    <w:rsid w:val="00B92645"/>
    <w:rsid w:val="00B926BA"/>
    <w:rsid w:val="00B9333D"/>
    <w:rsid w:val="00B9394E"/>
    <w:rsid w:val="00B939BF"/>
    <w:rsid w:val="00B93B82"/>
    <w:rsid w:val="00B94252"/>
    <w:rsid w:val="00B9498A"/>
    <w:rsid w:val="00B96BCB"/>
    <w:rsid w:val="00BA0856"/>
    <w:rsid w:val="00BA1267"/>
    <w:rsid w:val="00BA227A"/>
    <w:rsid w:val="00BA246A"/>
    <w:rsid w:val="00BA3B76"/>
    <w:rsid w:val="00BA43E3"/>
    <w:rsid w:val="00BA6483"/>
    <w:rsid w:val="00BA7212"/>
    <w:rsid w:val="00BA7874"/>
    <w:rsid w:val="00BA7EFA"/>
    <w:rsid w:val="00BB0F5B"/>
    <w:rsid w:val="00BB1AFD"/>
    <w:rsid w:val="00BB24E8"/>
    <w:rsid w:val="00BB2888"/>
    <w:rsid w:val="00BB32F1"/>
    <w:rsid w:val="00BB3BCC"/>
    <w:rsid w:val="00BB49AE"/>
    <w:rsid w:val="00BB7BA2"/>
    <w:rsid w:val="00BB7E18"/>
    <w:rsid w:val="00BC03C4"/>
    <w:rsid w:val="00BC04DC"/>
    <w:rsid w:val="00BC10C7"/>
    <w:rsid w:val="00BC1EBC"/>
    <w:rsid w:val="00BC208A"/>
    <w:rsid w:val="00BC2830"/>
    <w:rsid w:val="00BC2B7C"/>
    <w:rsid w:val="00BC2CCC"/>
    <w:rsid w:val="00BC2FA1"/>
    <w:rsid w:val="00BC3859"/>
    <w:rsid w:val="00BC3ABD"/>
    <w:rsid w:val="00BC4A56"/>
    <w:rsid w:val="00BC5FD2"/>
    <w:rsid w:val="00BC6675"/>
    <w:rsid w:val="00BD0F35"/>
    <w:rsid w:val="00BD44E6"/>
    <w:rsid w:val="00BD6478"/>
    <w:rsid w:val="00BD77E4"/>
    <w:rsid w:val="00BD78E6"/>
    <w:rsid w:val="00BE07DE"/>
    <w:rsid w:val="00BE09DF"/>
    <w:rsid w:val="00BE1BED"/>
    <w:rsid w:val="00BE1E41"/>
    <w:rsid w:val="00BE2116"/>
    <w:rsid w:val="00BE2365"/>
    <w:rsid w:val="00BE4173"/>
    <w:rsid w:val="00BE41E3"/>
    <w:rsid w:val="00BE4E24"/>
    <w:rsid w:val="00BE5BA1"/>
    <w:rsid w:val="00BE6C0E"/>
    <w:rsid w:val="00BE70F8"/>
    <w:rsid w:val="00BE7685"/>
    <w:rsid w:val="00BF0129"/>
    <w:rsid w:val="00BF03B9"/>
    <w:rsid w:val="00BF05F4"/>
    <w:rsid w:val="00BF15FF"/>
    <w:rsid w:val="00BF18FA"/>
    <w:rsid w:val="00BF1D42"/>
    <w:rsid w:val="00BF2256"/>
    <w:rsid w:val="00BF22D8"/>
    <w:rsid w:val="00BF29AC"/>
    <w:rsid w:val="00BF38E6"/>
    <w:rsid w:val="00BF3AB6"/>
    <w:rsid w:val="00BF42DB"/>
    <w:rsid w:val="00BF4361"/>
    <w:rsid w:val="00BF63DD"/>
    <w:rsid w:val="00BF686A"/>
    <w:rsid w:val="00BF7F80"/>
    <w:rsid w:val="00C0176A"/>
    <w:rsid w:val="00C01D22"/>
    <w:rsid w:val="00C020C5"/>
    <w:rsid w:val="00C025F2"/>
    <w:rsid w:val="00C02D7F"/>
    <w:rsid w:val="00C03A74"/>
    <w:rsid w:val="00C043C3"/>
    <w:rsid w:val="00C04611"/>
    <w:rsid w:val="00C0558D"/>
    <w:rsid w:val="00C06378"/>
    <w:rsid w:val="00C07B4D"/>
    <w:rsid w:val="00C10527"/>
    <w:rsid w:val="00C10C8A"/>
    <w:rsid w:val="00C11D5E"/>
    <w:rsid w:val="00C121BC"/>
    <w:rsid w:val="00C1226F"/>
    <w:rsid w:val="00C12E9E"/>
    <w:rsid w:val="00C1579A"/>
    <w:rsid w:val="00C15C52"/>
    <w:rsid w:val="00C16329"/>
    <w:rsid w:val="00C17732"/>
    <w:rsid w:val="00C21FE0"/>
    <w:rsid w:val="00C22F03"/>
    <w:rsid w:val="00C230B9"/>
    <w:rsid w:val="00C2435D"/>
    <w:rsid w:val="00C24F75"/>
    <w:rsid w:val="00C26823"/>
    <w:rsid w:val="00C27C09"/>
    <w:rsid w:val="00C30FAB"/>
    <w:rsid w:val="00C31F06"/>
    <w:rsid w:val="00C336A3"/>
    <w:rsid w:val="00C33BC9"/>
    <w:rsid w:val="00C33F8F"/>
    <w:rsid w:val="00C34A0D"/>
    <w:rsid w:val="00C35FA1"/>
    <w:rsid w:val="00C36217"/>
    <w:rsid w:val="00C3660A"/>
    <w:rsid w:val="00C37678"/>
    <w:rsid w:val="00C406DC"/>
    <w:rsid w:val="00C41330"/>
    <w:rsid w:val="00C428EA"/>
    <w:rsid w:val="00C4308E"/>
    <w:rsid w:val="00C43792"/>
    <w:rsid w:val="00C43CD5"/>
    <w:rsid w:val="00C441CE"/>
    <w:rsid w:val="00C44AE8"/>
    <w:rsid w:val="00C44FC1"/>
    <w:rsid w:val="00C45A58"/>
    <w:rsid w:val="00C47B6A"/>
    <w:rsid w:val="00C50C09"/>
    <w:rsid w:val="00C52ACE"/>
    <w:rsid w:val="00C53D98"/>
    <w:rsid w:val="00C55AF6"/>
    <w:rsid w:val="00C57434"/>
    <w:rsid w:val="00C57C1E"/>
    <w:rsid w:val="00C57C52"/>
    <w:rsid w:val="00C6021F"/>
    <w:rsid w:val="00C606B2"/>
    <w:rsid w:val="00C60C90"/>
    <w:rsid w:val="00C61BE3"/>
    <w:rsid w:val="00C6213D"/>
    <w:rsid w:val="00C628FB"/>
    <w:rsid w:val="00C62B57"/>
    <w:rsid w:val="00C62D1E"/>
    <w:rsid w:val="00C630E8"/>
    <w:rsid w:val="00C63799"/>
    <w:rsid w:val="00C646B2"/>
    <w:rsid w:val="00C64FFF"/>
    <w:rsid w:val="00C65065"/>
    <w:rsid w:val="00C651B8"/>
    <w:rsid w:val="00C653F6"/>
    <w:rsid w:val="00C663B3"/>
    <w:rsid w:val="00C7012F"/>
    <w:rsid w:val="00C72536"/>
    <w:rsid w:val="00C72719"/>
    <w:rsid w:val="00C72BAF"/>
    <w:rsid w:val="00C72BDE"/>
    <w:rsid w:val="00C733E3"/>
    <w:rsid w:val="00C74F33"/>
    <w:rsid w:val="00C75206"/>
    <w:rsid w:val="00C768AE"/>
    <w:rsid w:val="00C76E21"/>
    <w:rsid w:val="00C774CA"/>
    <w:rsid w:val="00C77659"/>
    <w:rsid w:val="00C77746"/>
    <w:rsid w:val="00C77C42"/>
    <w:rsid w:val="00C77FBA"/>
    <w:rsid w:val="00C80569"/>
    <w:rsid w:val="00C81EC4"/>
    <w:rsid w:val="00C82697"/>
    <w:rsid w:val="00C83471"/>
    <w:rsid w:val="00C86AFF"/>
    <w:rsid w:val="00C8781E"/>
    <w:rsid w:val="00C87BB2"/>
    <w:rsid w:val="00C90AE3"/>
    <w:rsid w:val="00C91472"/>
    <w:rsid w:val="00C91FC0"/>
    <w:rsid w:val="00C928F2"/>
    <w:rsid w:val="00C92AA8"/>
    <w:rsid w:val="00C92ED2"/>
    <w:rsid w:val="00C93362"/>
    <w:rsid w:val="00C93375"/>
    <w:rsid w:val="00C934D8"/>
    <w:rsid w:val="00C9386F"/>
    <w:rsid w:val="00C93B08"/>
    <w:rsid w:val="00C93EF5"/>
    <w:rsid w:val="00C940D2"/>
    <w:rsid w:val="00C94C18"/>
    <w:rsid w:val="00C968DF"/>
    <w:rsid w:val="00CA2290"/>
    <w:rsid w:val="00CA2684"/>
    <w:rsid w:val="00CA353B"/>
    <w:rsid w:val="00CA355F"/>
    <w:rsid w:val="00CA394F"/>
    <w:rsid w:val="00CA399F"/>
    <w:rsid w:val="00CA4077"/>
    <w:rsid w:val="00CA431D"/>
    <w:rsid w:val="00CA496E"/>
    <w:rsid w:val="00CA4B28"/>
    <w:rsid w:val="00CA6DFE"/>
    <w:rsid w:val="00CA7F6A"/>
    <w:rsid w:val="00CB0A5E"/>
    <w:rsid w:val="00CB0C74"/>
    <w:rsid w:val="00CB0FD4"/>
    <w:rsid w:val="00CB21E4"/>
    <w:rsid w:val="00CB3F15"/>
    <w:rsid w:val="00CB4143"/>
    <w:rsid w:val="00CB4376"/>
    <w:rsid w:val="00CB65FD"/>
    <w:rsid w:val="00CB70C6"/>
    <w:rsid w:val="00CB782D"/>
    <w:rsid w:val="00CB7854"/>
    <w:rsid w:val="00CC1053"/>
    <w:rsid w:val="00CC21EF"/>
    <w:rsid w:val="00CC26E9"/>
    <w:rsid w:val="00CC335C"/>
    <w:rsid w:val="00CC33F5"/>
    <w:rsid w:val="00CC35D5"/>
    <w:rsid w:val="00CC484A"/>
    <w:rsid w:val="00CC4933"/>
    <w:rsid w:val="00CC50EF"/>
    <w:rsid w:val="00CC5DAB"/>
    <w:rsid w:val="00CC7D39"/>
    <w:rsid w:val="00CD256B"/>
    <w:rsid w:val="00CD2B31"/>
    <w:rsid w:val="00CD39ED"/>
    <w:rsid w:val="00CD3C44"/>
    <w:rsid w:val="00CD5048"/>
    <w:rsid w:val="00CD55DE"/>
    <w:rsid w:val="00CD5953"/>
    <w:rsid w:val="00CD5D72"/>
    <w:rsid w:val="00CD67E1"/>
    <w:rsid w:val="00CD67E8"/>
    <w:rsid w:val="00CD6EF7"/>
    <w:rsid w:val="00CD777E"/>
    <w:rsid w:val="00CE114F"/>
    <w:rsid w:val="00CE14B5"/>
    <w:rsid w:val="00CE1AD3"/>
    <w:rsid w:val="00CE2852"/>
    <w:rsid w:val="00CE298E"/>
    <w:rsid w:val="00CE4DD1"/>
    <w:rsid w:val="00CE5E5E"/>
    <w:rsid w:val="00CE6577"/>
    <w:rsid w:val="00CE6B66"/>
    <w:rsid w:val="00CE6BE0"/>
    <w:rsid w:val="00CF0424"/>
    <w:rsid w:val="00CF0960"/>
    <w:rsid w:val="00CF2734"/>
    <w:rsid w:val="00CF296E"/>
    <w:rsid w:val="00CF5600"/>
    <w:rsid w:val="00CF6361"/>
    <w:rsid w:val="00CF66C5"/>
    <w:rsid w:val="00CF66C6"/>
    <w:rsid w:val="00CF70DA"/>
    <w:rsid w:val="00CF7CE2"/>
    <w:rsid w:val="00D00C39"/>
    <w:rsid w:val="00D00CA7"/>
    <w:rsid w:val="00D00D09"/>
    <w:rsid w:val="00D013A9"/>
    <w:rsid w:val="00D01BA7"/>
    <w:rsid w:val="00D03734"/>
    <w:rsid w:val="00D03810"/>
    <w:rsid w:val="00D039B4"/>
    <w:rsid w:val="00D050F2"/>
    <w:rsid w:val="00D05514"/>
    <w:rsid w:val="00D05A15"/>
    <w:rsid w:val="00D079ED"/>
    <w:rsid w:val="00D101FE"/>
    <w:rsid w:val="00D112FA"/>
    <w:rsid w:val="00D121BA"/>
    <w:rsid w:val="00D135AB"/>
    <w:rsid w:val="00D1425A"/>
    <w:rsid w:val="00D1462A"/>
    <w:rsid w:val="00D14F26"/>
    <w:rsid w:val="00D16365"/>
    <w:rsid w:val="00D167F1"/>
    <w:rsid w:val="00D2222F"/>
    <w:rsid w:val="00D22379"/>
    <w:rsid w:val="00D22F2C"/>
    <w:rsid w:val="00D2398D"/>
    <w:rsid w:val="00D252BE"/>
    <w:rsid w:val="00D26BB3"/>
    <w:rsid w:val="00D26C9B"/>
    <w:rsid w:val="00D2711F"/>
    <w:rsid w:val="00D30794"/>
    <w:rsid w:val="00D309AF"/>
    <w:rsid w:val="00D314BF"/>
    <w:rsid w:val="00D328AD"/>
    <w:rsid w:val="00D33197"/>
    <w:rsid w:val="00D342F9"/>
    <w:rsid w:val="00D34957"/>
    <w:rsid w:val="00D3536B"/>
    <w:rsid w:val="00D36240"/>
    <w:rsid w:val="00D3654C"/>
    <w:rsid w:val="00D36ACC"/>
    <w:rsid w:val="00D36C73"/>
    <w:rsid w:val="00D379B5"/>
    <w:rsid w:val="00D4058F"/>
    <w:rsid w:val="00D40924"/>
    <w:rsid w:val="00D415A6"/>
    <w:rsid w:val="00D424BD"/>
    <w:rsid w:val="00D43737"/>
    <w:rsid w:val="00D440FA"/>
    <w:rsid w:val="00D441B7"/>
    <w:rsid w:val="00D44267"/>
    <w:rsid w:val="00D44B2C"/>
    <w:rsid w:val="00D45417"/>
    <w:rsid w:val="00D458E1"/>
    <w:rsid w:val="00D46134"/>
    <w:rsid w:val="00D4656A"/>
    <w:rsid w:val="00D46A7C"/>
    <w:rsid w:val="00D46FCA"/>
    <w:rsid w:val="00D5078F"/>
    <w:rsid w:val="00D5166B"/>
    <w:rsid w:val="00D519EE"/>
    <w:rsid w:val="00D52335"/>
    <w:rsid w:val="00D5335E"/>
    <w:rsid w:val="00D538E9"/>
    <w:rsid w:val="00D56994"/>
    <w:rsid w:val="00D573A1"/>
    <w:rsid w:val="00D612C3"/>
    <w:rsid w:val="00D618C1"/>
    <w:rsid w:val="00D621E6"/>
    <w:rsid w:val="00D632D3"/>
    <w:rsid w:val="00D635A5"/>
    <w:rsid w:val="00D6371D"/>
    <w:rsid w:val="00D63849"/>
    <w:rsid w:val="00D63E3B"/>
    <w:rsid w:val="00D64450"/>
    <w:rsid w:val="00D64576"/>
    <w:rsid w:val="00D64DD9"/>
    <w:rsid w:val="00D64FBC"/>
    <w:rsid w:val="00D6521F"/>
    <w:rsid w:val="00D65DFD"/>
    <w:rsid w:val="00D66D03"/>
    <w:rsid w:val="00D705D2"/>
    <w:rsid w:val="00D713CB"/>
    <w:rsid w:val="00D715AC"/>
    <w:rsid w:val="00D71E22"/>
    <w:rsid w:val="00D72552"/>
    <w:rsid w:val="00D72F77"/>
    <w:rsid w:val="00D733C5"/>
    <w:rsid w:val="00D73472"/>
    <w:rsid w:val="00D739E9"/>
    <w:rsid w:val="00D73BBA"/>
    <w:rsid w:val="00D74EF9"/>
    <w:rsid w:val="00D74F1B"/>
    <w:rsid w:val="00D7502F"/>
    <w:rsid w:val="00D75583"/>
    <w:rsid w:val="00D805E6"/>
    <w:rsid w:val="00D80A1C"/>
    <w:rsid w:val="00D80D74"/>
    <w:rsid w:val="00D823B1"/>
    <w:rsid w:val="00D84401"/>
    <w:rsid w:val="00D845DF"/>
    <w:rsid w:val="00D8561F"/>
    <w:rsid w:val="00D857ED"/>
    <w:rsid w:val="00D85997"/>
    <w:rsid w:val="00D875CC"/>
    <w:rsid w:val="00D8795E"/>
    <w:rsid w:val="00D90141"/>
    <w:rsid w:val="00D92B45"/>
    <w:rsid w:val="00D93006"/>
    <w:rsid w:val="00D9727B"/>
    <w:rsid w:val="00D975B8"/>
    <w:rsid w:val="00D97A04"/>
    <w:rsid w:val="00DA086F"/>
    <w:rsid w:val="00DA0C5A"/>
    <w:rsid w:val="00DA1588"/>
    <w:rsid w:val="00DA2627"/>
    <w:rsid w:val="00DA290E"/>
    <w:rsid w:val="00DA39C6"/>
    <w:rsid w:val="00DA3CF8"/>
    <w:rsid w:val="00DA44A6"/>
    <w:rsid w:val="00DA4787"/>
    <w:rsid w:val="00DA59A3"/>
    <w:rsid w:val="00DA6BCC"/>
    <w:rsid w:val="00DA6E42"/>
    <w:rsid w:val="00DA7C18"/>
    <w:rsid w:val="00DB159E"/>
    <w:rsid w:val="00DB17F8"/>
    <w:rsid w:val="00DB18A7"/>
    <w:rsid w:val="00DB31FE"/>
    <w:rsid w:val="00DB44E4"/>
    <w:rsid w:val="00DB471D"/>
    <w:rsid w:val="00DB57AB"/>
    <w:rsid w:val="00DB5A8C"/>
    <w:rsid w:val="00DB5F95"/>
    <w:rsid w:val="00DB6865"/>
    <w:rsid w:val="00DB6BE3"/>
    <w:rsid w:val="00DC0214"/>
    <w:rsid w:val="00DC256B"/>
    <w:rsid w:val="00DC2BB7"/>
    <w:rsid w:val="00DC30E9"/>
    <w:rsid w:val="00DC3493"/>
    <w:rsid w:val="00DC446B"/>
    <w:rsid w:val="00DC4B2D"/>
    <w:rsid w:val="00DC541E"/>
    <w:rsid w:val="00DC5896"/>
    <w:rsid w:val="00DC5C13"/>
    <w:rsid w:val="00DD0BE4"/>
    <w:rsid w:val="00DD0FF3"/>
    <w:rsid w:val="00DD1250"/>
    <w:rsid w:val="00DD22AD"/>
    <w:rsid w:val="00DD31BC"/>
    <w:rsid w:val="00DD3AE7"/>
    <w:rsid w:val="00DD4999"/>
    <w:rsid w:val="00DD49A4"/>
    <w:rsid w:val="00DD6EF0"/>
    <w:rsid w:val="00DD7425"/>
    <w:rsid w:val="00DD780D"/>
    <w:rsid w:val="00DD7FDA"/>
    <w:rsid w:val="00DE0638"/>
    <w:rsid w:val="00DE0E68"/>
    <w:rsid w:val="00DE1188"/>
    <w:rsid w:val="00DE23E2"/>
    <w:rsid w:val="00DE31E9"/>
    <w:rsid w:val="00DE3455"/>
    <w:rsid w:val="00DE3587"/>
    <w:rsid w:val="00DE646C"/>
    <w:rsid w:val="00DE6D33"/>
    <w:rsid w:val="00DE704F"/>
    <w:rsid w:val="00DE75BB"/>
    <w:rsid w:val="00DF112A"/>
    <w:rsid w:val="00DF1C3A"/>
    <w:rsid w:val="00DF1E44"/>
    <w:rsid w:val="00DF354B"/>
    <w:rsid w:val="00DF39D1"/>
    <w:rsid w:val="00DF48B1"/>
    <w:rsid w:val="00DF5C32"/>
    <w:rsid w:val="00DF6125"/>
    <w:rsid w:val="00DF6BA1"/>
    <w:rsid w:val="00DF7E9C"/>
    <w:rsid w:val="00E0069A"/>
    <w:rsid w:val="00E0077E"/>
    <w:rsid w:val="00E0125F"/>
    <w:rsid w:val="00E01A0F"/>
    <w:rsid w:val="00E02B6F"/>
    <w:rsid w:val="00E039C4"/>
    <w:rsid w:val="00E03DA4"/>
    <w:rsid w:val="00E03E08"/>
    <w:rsid w:val="00E040F5"/>
    <w:rsid w:val="00E0447B"/>
    <w:rsid w:val="00E05C6B"/>
    <w:rsid w:val="00E06F2B"/>
    <w:rsid w:val="00E076DA"/>
    <w:rsid w:val="00E10260"/>
    <w:rsid w:val="00E11963"/>
    <w:rsid w:val="00E123EF"/>
    <w:rsid w:val="00E126FC"/>
    <w:rsid w:val="00E13086"/>
    <w:rsid w:val="00E14E69"/>
    <w:rsid w:val="00E159A5"/>
    <w:rsid w:val="00E16594"/>
    <w:rsid w:val="00E2068E"/>
    <w:rsid w:val="00E20A90"/>
    <w:rsid w:val="00E21AA6"/>
    <w:rsid w:val="00E23A5F"/>
    <w:rsid w:val="00E24ACA"/>
    <w:rsid w:val="00E25691"/>
    <w:rsid w:val="00E26378"/>
    <w:rsid w:val="00E26880"/>
    <w:rsid w:val="00E269CA"/>
    <w:rsid w:val="00E2734B"/>
    <w:rsid w:val="00E27992"/>
    <w:rsid w:val="00E30336"/>
    <w:rsid w:val="00E30670"/>
    <w:rsid w:val="00E3295C"/>
    <w:rsid w:val="00E3552B"/>
    <w:rsid w:val="00E36106"/>
    <w:rsid w:val="00E36127"/>
    <w:rsid w:val="00E37530"/>
    <w:rsid w:val="00E43416"/>
    <w:rsid w:val="00E43E10"/>
    <w:rsid w:val="00E46C95"/>
    <w:rsid w:val="00E4797D"/>
    <w:rsid w:val="00E47F05"/>
    <w:rsid w:val="00E50C7A"/>
    <w:rsid w:val="00E51856"/>
    <w:rsid w:val="00E5468E"/>
    <w:rsid w:val="00E55218"/>
    <w:rsid w:val="00E60BC3"/>
    <w:rsid w:val="00E61F3A"/>
    <w:rsid w:val="00E632BF"/>
    <w:rsid w:val="00E6433A"/>
    <w:rsid w:val="00E65E57"/>
    <w:rsid w:val="00E65F17"/>
    <w:rsid w:val="00E6731A"/>
    <w:rsid w:val="00E6781B"/>
    <w:rsid w:val="00E707B1"/>
    <w:rsid w:val="00E70A7D"/>
    <w:rsid w:val="00E710B3"/>
    <w:rsid w:val="00E71503"/>
    <w:rsid w:val="00E716CB"/>
    <w:rsid w:val="00E71723"/>
    <w:rsid w:val="00E71B35"/>
    <w:rsid w:val="00E728D6"/>
    <w:rsid w:val="00E72B1B"/>
    <w:rsid w:val="00E7302B"/>
    <w:rsid w:val="00E739B4"/>
    <w:rsid w:val="00E748C4"/>
    <w:rsid w:val="00E74AD0"/>
    <w:rsid w:val="00E74E79"/>
    <w:rsid w:val="00E75ED4"/>
    <w:rsid w:val="00E7796B"/>
    <w:rsid w:val="00E82DC7"/>
    <w:rsid w:val="00E839A5"/>
    <w:rsid w:val="00E83EB3"/>
    <w:rsid w:val="00E8466B"/>
    <w:rsid w:val="00E84B7C"/>
    <w:rsid w:val="00E8577B"/>
    <w:rsid w:val="00E85D46"/>
    <w:rsid w:val="00E8669F"/>
    <w:rsid w:val="00E87256"/>
    <w:rsid w:val="00E903E3"/>
    <w:rsid w:val="00E9052C"/>
    <w:rsid w:val="00E91805"/>
    <w:rsid w:val="00E91C35"/>
    <w:rsid w:val="00E936FF"/>
    <w:rsid w:val="00E94660"/>
    <w:rsid w:val="00E9595C"/>
    <w:rsid w:val="00E96478"/>
    <w:rsid w:val="00E9728A"/>
    <w:rsid w:val="00EA0A20"/>
    <w:rsid w:val="00EA0BA9"/>
    <w:rsid w:val="00EA118F"/>
    <w:rsid w:val="00EA13DA"/>
    <w:rsid w:val="00EA21F1"/>
    <w:rsid w:val="00EA4522"/>
    <w:rsid w:val="00EA5499"/>
    <w:rsid w:val="00EA555F"/>
    <w:rsid w:val="00EB1D7C"/>
    <w:rsid w:val="00EB20C5"/>
    <w:rsid w:val="00EB252E"/>
    <w:rsid w:val="00EB28C9"/>
    <w:rsid w:val="00EB2969"/>
    <w:rsid w:val="00EB2F92"/>
    <w:rsid w:val="00EB37E0"/>
    <w:rsid w:val="00EB4ACF"/>
    <w:rsid w:val="00EB5183"/>
    <w:rsid w:val="00EB5A53"/>
    <w:rsid w:val="00EB756D"/>
    <w:rsid w:val="00EC07FC"/>
    <w:rsid w:val="00EC113C"/>
    <w:rsid w:val="00EC1DB8"/>
    <w:rsid w:val="00EC1F05"/>
    <w:rsid w:val="00EC2448"/>
    <w:rsid w:val="00EC2B74"/>
    <w:rsid w:val="00EC3A25"/>
    <w:rsid w:val="00EC42C8"/>
    <w:rsid w:val="00EC4866"/>
    <w:rsid w:val="00EC4D10"/>
    <w:rsid w:val="00EC5C41"/>
    <w:rsid w:val="00EC5E79"/>
    <w:rsid w:val="00EC6489"/>
    <w:rsid w:val="00EC6D7F"/>
    <w:rsid w:val="00EC6F99"/>
    <w:rsid w:val="00ED04E9"/>
    <w:rsid w:val="00ED050C"/>
    <w:rsid w:val="00ED0982"/>
    <w:rsid w:val="00ED1B18"/>
    <w:rsid w:val="00ED242E"/>
    <w:rsid w:val="00ED2A21"/>
    <w:rsid w:val="00ED3D91"/>
    <w:rsid w:val="00ED3E6A"/>
    <w:rsid w:val="00ED42A1"/>
    <w:rsid w:val="00ED53BB"/>
    <w:rsid w:val="00ED721F"/>
    <w:rsid w:val="00ED79E4"/>
    <w:rsid w:val="00ED7B4D"/>
    <w:rsid w:val="00ED7C5B"/>
    <w:rsid w:val="00EE1469"/>
    <w:rsid w:val="00EE2FFC"/>
    <w:rsid w:val="00EE3D73"/>
    <w:rsid w:val="00EE58C5"/>
    <w:rsid w:val="00EE6B4B"/>
    <w:rsid w:val="00EE6CC8"/>
    <w:rsid w:val="00EE6D82"/>
    <w:rsid w:val="00EE7226"/>
    <w:rsid w:val="00EF04CF"/>
    <w:rsid w:val="00EF05EE"/>
    <w:rsid w:val="00EF0947"/>
    <w:rsid w:val="00EF0AF2"/>
    <w:rsid w:val="00EF0D8A"/>
    <w:rsid w:val="00EF1209"/>
    <w:rsid w:val="00EF1852"/>
    <w:rsid w:val="00EF278A"/>
    <w:rsid w:val="00EF38AA"/>
    <w:rsid w:val="00EF3D11"/>
    <w:rsid w:val="00EF40A7"/>
    <w:rsid w:val="00EF40E2"/>
    <w:rsid w:val="00EF4B3D"/>
    <w:rsid w:val="00EF527C"/>
    <w:rsid w:val="00EF5544"/>
    <w:rsid w:val="00EF66F2"/>
    <w:rsid w:val="00EF6DFE"/>
    <w:rsid w:val="00EF7A9F"/>
    <w:rsid w:val="00F00EFD"/>
    <w:rsid w:val="00F02F0A"/>
    <w:rsid w:val="00F032DD"/>
    <w:rsid w:val="00F0381D"/>
    <w:rsid w:val="00F03878"/>
    <w:rsid w:val="00F03AD6"/>
    <w:rsid w:val="00F03AEE"/>
    <w:rsid w:val="00F0524B"/>
    <w:rsid w:val="00F0550C"/>
    <w:rsid w:val="00F05F59"/>
    <w:rsid w:val="00F1060A"/>
    <w:rsid w:val="00F10FC7"/>
    <w:rsid w:val="00F11564"/>
    <w:rsid w:val="00F1210F"/>
    <w:rsid w:val="00F12E5A"/>
    <w:rsid w:val="00F13BD1"/>
    <w:rsid w:val="00F13CC2"/>
    <w:rsid w:val="00F14079"/>
    <w:rsid w:val="00F15E40"/>
    <w:rsid w:val="00F160D0"/>
    <w:rsid w:val="00F16ACD"/>
    <w:rsid w:val="00F16B9B"/>
    <w:rsid w:val="00F204DD"/>
    <w:rsid w:val="00F2136C"/>
    <w:rsid w:val="00F21F0D"/>
    <w:rsid w:val="00F2222C"/>
    <w:rsid w:val="00F225F3"/>
    <w:rsid w:val="00F22C08"/>
    <w:rsid w:val="00F22D74"/>
    <w:rsid w:val="00F2467B"/>
    <w:rsid w:val="00F24BDF"/>
    <w:rsid w:val="00F26739"/>
    <w:rsid w:val="00F27197"/>
    <w:rsid w:val="00F271AC"/>
    <w:rsid w:val="00F27259"/>
    <w:rsid w:val="00F33558"/>
    <w:rsid w:val="00F33A80"/>
    <w:rsid w:val="00F36BC5"/>
    <w:rsid w:val="00F3712C"/>
    <w:rsid w:val="00F37914"/>
    <w:rsid w:val="00F40249"/>
    <w:rsid w:val="00F404EB"/>
    <w:rsid w:val="00F4147F"/>
    <w:rsid w:val="00F4182E"/>
    <w:rsid w:val="00F42202"/>
    <w:rsid w:val="00F42744"/>
    <w:rsid w:val="00F43428"/>
    <w:rsid w:val="00F44761"/>
    <w:rsid w:val="00F44C4D"/>
    <w:rsid w:val="00F44CA6"/>
    <w:rsid w:val="00F45167"/>
    <w:rsid w:val="00F45E6A"/>
    <w:rsid w:val="00F45F11"/>
    <w:rsid w:val="00F46ADB"/>
    <w:rsid w:val="00F502F5"/>
    <w:rsid w:val="00F50342"/>
    <w:rsid w:val="00F50ED3"/>
    <w:rsid w:val="00F53A0A"/>
    <w:rsid w:val="00F5490D"/>
    <w:rsid w:val="00F5530C"/>
    <w:rsid w:val="00F557D5"/>
    <w:rsid w:val="00F571FA"/>
    <w:rsid w:val="00F57706"/>
    <w:rsid w:val="00F6004C"/>
    <w:rsid w:val="00F60920"/>
    <w:rsid w:val="00F60BFC"/>
    <w:rsid w:val="00F61804"/>
    <w:rsid w:val="00F61FC1"/>
    <w:rsid w:val="00F62025"/>
    <w:rsid w:val="00F6208D"/>
    <w:rsid w:val="00F62486"/>
    <w:rsid w:val="00F627F4"/>
    <w:rsid w:val="00F62877"/>
    <w:rsid w:val="00F62886"/>
    <w:rsid w:val="00F6337D"/>
    <w:rsid w:val="00F634F3"/>
    <w:rsid w:val="00F6554D"/>
    <w:rsid w:val="00F66261"/>
    <w:rsid w:val="00F66AC2"/>
    <w:rsid w:val="00F66CBA"/>
    <w:rsid w:val="00F674F3"/>
    <w:rsid w:val="00F7142C"/>
    <w:rsid w:val="00F71A08"/>
    <w:rsid w:val="00F74490"/>
    <w:rsid w:val="00F749F3"/>
    <w:rsid w:val="00F76B3B"/>
    <w:rsid w:val="00F76D5E"/>
    <w:rsid w:val="00F7709D"/>
    <w:rsid w:val="00F77251"/>
    <w:rsid w:val="00F77BED"/>
    <w:rsid w:val="00F77C97"/>
    <w:rsid w:val="00F801C1"/>
    <w:rsid w:val="00F805E7"/>
    <w:rsid w:val="00F82ADE"/>
    <w:rsid w:val="00F84805"/>
    <w:rsid w:val="00F859E3"/>
    <w:rsid w:val="00F8728F"/>
    <w:rsid w:val="00F876A4"/>
    <w:rsid w:val="00F90144"/>
    <w:rsid w:val="00F90489"/>
    <w:rsid w:val="00F91261"/>
    <w:rsid w:val="00F92CE4"/>
    <w:rsid w:val="00F92DCF"/>
    <w:rsid w:val="00F932CF"/>
    <w:rsid w:val="00F93827"/>
    <w:rsid w:val="00F9387E"/>
    <w:rsid w:val="00F93FE5"/>
    <w:rsid w:val="00F948AF"/>
    <w:rsid w:val="00F9499F"/>
    <w:rsid w:val="00F94A8B"/>
    <w:rsid w:val="00F94B1B"/>
    <w:rsid w:val="00F94E86"/>
    <w:rsid w:val="00F953E1"/>
    <w:rsid w:val="00F95DDC"/>
    <w:rsid w:val="00F95F25"/>
    <w:rsid w:val="00F961C5"/>
    <w:rsid w:val="00F96839"/>
    <w:rsid w:val="00F9707B"/>
    <w:rsid w:val="00F9710C"/>
    <w:rsid w:val="00F978E7"/>
    <w:rsid w:val="00FA2465"/>
    <w:rsid w:val="00FA2D54"/>
    <w:rsid w:val="00FA2E16"/>
    <w:rsid w:val="00FA4805"/>
    <w:rsid w:val="00FA4AAB"/>
    <w:rsid w:val="00FA4B04"/>
    <w:rsid w:val="00FA4B91"/>
    <w:rsid w:val="00FA4F32"/>
    <w:rsid w:val="00FA5ABF"/>
    <w:rsid w:val="00FB02A1"/>
    <w:rsid w:val="00FB05AF"/>
    <w:rsid w:val="00FB06B2"/>
    <w:rsid w:val="00FB1A2F"/>
    <w:rsid w:val="00FB27CF"/>
    <w:rsid w:val="00FB2A58"/>
    <w:rsid w:val="00FB2EFC"/>
    <w:rsid w:val="00FB35D9"/>
    <w:rsid w:val="00FB3876"/>
    <w:rsid w:val="00FB472E"/>
    <w:rsid w:val="00FB5C1A"/>
    <w:rsid w:val="00FB5CBC"/>
    <w:rsid w:val="00FB6602"/>
    <w:rsid w:val="00FB6C47"/>
    <w:rsid w:val="00FC0545"/>
    <w:rsid w:val="00FC15C7"/>
    <w:rsid w:val="00FC3487"/>
    <w:rsid w:val="00FC355D"/>
    <w:rsid w:val="00FC3F68"/>
    <w:rsid w:val="00FC577E"/>
    <w:rsid w:val="00FC5C4F"/>
    <w:rsid w:val="00FC5CEB"/>
    <w:rsid w:val="00FC5EB6"/>
    <w:rsid w:val="00FC5FEB"/>
    <w:rsid w:val="00FC6976"/>
    <w:rsid w:val="00FC6D25"/>
    <w:rsid w:val="00FC6DE0"/>
    <w:rsid w:val="00FC73CD"/>
    <w:rsid w:val="00FC78FF"/>
    <w:rsid w:val="00FC7C62"/>
    <w:rsid w:val="00FD029E"/>
    <w:rsid w:val="00FD06E4"/>
    <w:rsid w:val="00FD11D5"/>
    <w:rsid w:val="00FD1E36"/>
    <w:rsid w:val="00FD278B"/>
    <w:rsid w:val="00FD2CBF"/>
    <w:rsid w:val="00FD4415"/>
    <w:rsid w:val="00FD46A2"/>
    <w:rsid w:val="00FD46B9"/>
    <w:rsid w:val="00FD4C93"/>
    <w:rsid w:val="00FD63E0"/>
    <w:rsid w:val="00FD67F7"/>
    <w:rsid w:val="00FD6823"/>
    <w:rsid w:val="00FD756E"/>
    <w:rsid w:val="00FD781C"/>
    <w:rsid w:val="00FD793C"/>
    <w:rsid w:val="00FD7EC7"/>
    <w:rsid w:val="00FE0451"/>
    <w:rsid w:val="00FE496A"/>
    <w:rsid w:val="00FE4B95"/>
    <w:rsid w:val="00FE50F7"/>
    <w:rsid w:val="00FE56B2"/>
    <w:rsid w:val="00FE5B8A"/>
    <w:rsid w:val="00FE63B5"/>
    <w:rsid w:val="00FE66F8"/>
    <w:rsid w:val="00FF0BB8"/>
    <w:rsid w:val="00FF153C"/>
    <w:rsid w:val="00FF22A6"/>
    <w:rsid w:val="00FF3E66"/>
    <w:rsid w:val="00FF5155"/>
    <w:rsid w:val="00FF550A"/>
    <w:rsid w:val="00FF60E1"/>
    <w:rsid w:val="00FF798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BBA89"/>
  <w15:docId w15:val="{1D573F1D-D91C-4381-9ED0-83BB0F79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89F"/>
    <w:pPr>
      <w:widowControl w:val="0"/>
      <w:autoSpaceDE w:val="0"/>
      <w:autoSpaceDN w:val="0"/>
      <w:adjustRightInd w:val="0"/>
    </w:pPr>
    <w:rPr>
      <w:lang w:eastAsia="en-US"/>
    </w:rPr>
  </w:style>
  <w:style w:type="paragraph" w:styleId="Heading1">
    <w:name w:val="heading 1"/>
    <w:basedOn w:val="Normal"/>
    <w:next w:val="Normal"/>
    <w:qFormat/>
    <w:rsid w:val="003B6B2D"/>
    <w:pPr>
      <w:keepNext/>
      <w:widowControl/>
      <w:autoSpaceDE/>
      <w:autoSpaceDN/>
      <w:adjustRightInd/>
      <w:outlineLvl w:val="0"/>
    </w:pPr>
    <w:rPr>
      <w:rFonts w:eastAsia="Arial Unicode MS"/>
      <w:b/>
      <w:bCs/>
      <w:sz w:val="24"/>
      <w:szCs w:val="24"/>
    </w:rPr>
  </w:style>
  <w:style w:type="paragraph" w:styleId="Heading2">
    <w:name w:val="heading 2"/>
    <w:basedOn w:val="Normal"/>
    <w:next w:val="Normal"/>
    <w:qFormat/>
    <w:rsid w:val="003B6B2D"/>
    <w:pPr>
      <w:keepNext/>
      <w:widowControl/>
      <w:autoSpaceDE/>
      <w:autoSpaceDN/>
      <w:adjustRightInd/>
      <w:jc w:val="right"/>
      <w:outlineLvl w:val="1"/>
    </w:pPr>
    <w:rPr>
      <w:rFonts w:eastAsia="Arial Unicode MS"/>
      <w:b/>
      <w:bCs/>
      <w:sz w:val="24"/>
      <w:szCs w:val="24"/>
    </w:rPr>
  </w:style>
  <w:style w:type="paragraph" w:styleId="Heading3">
    <w:name w:val="heading 3"/>
    <w:basedOn w:val="Normal"/>
    <w:next w:val="Normal"/>
    <w:qFormat/>
    <w:rsid w:val="003B6B2D"/>
    <w:pPr>
      <w:keepNext/>
      <w:adjustRightInd/>
      <w:spacing w:after="108"/>
      <w:jc w:val="right"/>
      <w:outlineLvl w:val="2"/>
    </w:pPr>
    <w:rPr>
      <w:b/>
      <w:bCs/>
      <w:spacing w:val="2"/>
      <w:sz w:val="18"/>
    </w:rPr>
  </w:style>
  <w:style w:type="paragraph" w:styleId="Heading4">
    <w:name w:val="heading 4"/>
    <w:basedOn w:val="Normal"/>
    <w:next w:val="Normal"/>
    <w:qFormat/>
    <w:rsid w:val="003B6B2D"/>
    <w:pPr>
      <w:keepNext/>
      <w:widowControl/>
      <w:autoSpaceDE/>
      <w:autoSpaceDN/>
      <w:adjustRightInd/>
      <w:jc w:val="center"/>
      <w:outlineLvl w:val="3"/>
    </w:pPr>
    <w:rPr>
      <w:b/>
      <w:bCs/>
      <w:sz w:val="18"/>
      <w:szCs w:val="24"/>
    </w:rPr>
  </w:style>
  <w:style w:type="paragraph" w:styleId="Heading5">
    <w:name w:val="heading 5"/>
    <w:basedOn w:val="Normal"/>
    <w:next w:val="Normal"/>
    <w:qFormat/>
    <w:rsid w:val="003B6B2D"/>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rPr>
  </w:style>
  <w:style w:type="paragraph" w:styleId="Heading6">
    <w:name w:val="heading 6"/>
    <w:basedOn w:val="Normal"/>
    <w:next w:val="Normal"/>
    <w:qFormat/>
    <w:rsid w:val="003B6B2D"/>
    <w:pPr>
      <w:keepNext/>
      <w:outlineLvl w:val="5"/>
    </w:pPr>
    <w:rPr>
      <w:b/>
      <w:bCs/>
      <w:sz w:val="22"/>
    </w:rPr>
  </w:style>
  <w:style w:type="paragraph" w:styleId="Heading7">
    <w:name w:val="heading 7"/>
    <w:basedOn w:val="Normal"/>
    <w:next w:val="Normal"/>
    <w:qFormat/>
    <w:rsid w:val="003B6B2D"/>
    <w:pPr>
      <w:keepNext/>
      <w:tabs>
        <w:tab w:val="left" w:pos="1276"/>
        <w:tab w:val="left" w:pos="1418"/>
        <w:tab w:val="left" w:leader="dot" w:pos="8222"/>
        <w:tab w:val="right" w:pos="8647"/>
      </w:tabs>
      <w:ind w:firstLine="426"/>
      <w:outlineLvl w:val="6"/>
    </w:pPr>
    <w:rPr>
      <w:b/>
      <w:bCs/>
    </w:rPr>
  </w:style>
  <w:style w:type="paragraph" w:styleId="Heading8">
    <w:name w:val="heading 8"/>
    <w:basedOn w:val="Normal"/>
    <w:next w:val="Normal"/>
    <w:qFormat/>
    <w:rsid w:val="003B6B2D"/>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6B2D"/>
    <w:pPr>
      <w:tabs>
        <w:tab w:val="center" w:pos="4419"/>
        <w:tab w:val="right" w:pos="8838"/>
      </w:tabs>
    </w:pPr>
  </w:style>
  <w:style w:type="paragraph" w:styleId="Footer">
    <w:name w:val="footer"/>
    <w:basedOn w:val="Normal"/>
    <w:link w:val="FooterChar"/>
    <w:uiPriority w:val="99"/>
    <w:rsid w:val="003B6B2D"/>
    <w:pPr>
      <w:tabs>
        <w:tab w:val="center" w:pos="4419"/>
        <w:tab w:val="right" w:pos="8838"/>
      </w:tabs>
    </w:pPr>
  </w:style>
  <w:style w:type="paragraph" w:styleId="BodyTextIndent">
    <w:name w:val="Body Text Indent"/>
    <w:basedOn w:val="Normal"/>
    <w:rsid w:val="003B6B2D"/>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rPr>
  </w:style>
  <w:style w:type="paragraph" w:styleId="BodyText">
    <w:name w:val="Body Text"/>
    <w:basedOn w:val="Normal"/>
    <w:rsid w:val="003B6B2D"/>
    <w:pPr>
      <w:widowControl/>
      <w:autoSpaceDE/>
      <w:autoSpaceDN/>
      <w:adjustRightInd/>
      <w:spacing w:line="360" w:lineRule="auto"/>
    </w:pPr>
    <w:rPr>
      <w:szCs w:val="24"/>
    </w:rPr>
  </w:style>
  <w:style w:type="paragraph" w:customStyle="1" w:styleId="Style2">
    <w:name w:val="Style 2"/>
    <w:basedOn w:val="Normal"/>
    <w:rsid w:val="003B6B2D"/>
    <w:pPr>
      <w:adjustRightInd/>
      <w:jc w:val="center"/>
    </w:pPr>
    <w:rPr>
      <w:sz w:val="24"/>
      <w:szCs w:val="24"/>
      <w:lang w:eastAsia="es-ES"/>
    </w:rPr>
  </w:style>
  <w:style w:type="paragraph" w:styleId="BodyText2">
    <w:name w:val="Body Text 2"/>
    <w:basedOn w:val="Normal"/>
    <w:rsid w:val="003B6B2D"/>
    <w:pPr>
      <w:widowControl/>
      <w:autoSpaceDE/>
      <w:autoSpaceDN/>
      <w:adjustRightInd/>
    </w:pPr>
    <w:rPr>
      <w:b/>
      <w:bCs/>
      <w:szCs w:val="24"/>
    </w:rPr>
  </w:style>
  <w:style w:type="character" w:styleId="PageNumber">
    <w:name w:val="page number"/>
    <w:basedOn w:val="DefaultParagraphFont"/>
    <w:rsid w:val="003B6B2D"/>
  </w:style>
  <w:style w:type="paragraph" w:styleId="BodyTextIndent2">
    <w:name w:val="Body Text Indent 2"/>
    <w:basedOn w:val="Normal"/>
    <w:rsid w:val="003B6B2D"/>
    <w:pPr>
      <w:tabs>
        <w:tab w:val="left" w:pos="1276"/>
        <w:tab w:val="left" w:pos="1418"/>
        <w:tab w:val="left" w:leader="dot" w:pos="8222"/>
        <w:tab w:val="right" w:pos="8647"/>
      </w:tabs>
      <w:ind w:left="1276" w:hanging="851"/>
    </w:pPr>
  </w:style>
  <w:style w:type="paragraph" w:styleId="BodyTextIndent3">
    <w:name w:val="Body Text Indent 3"/>
    <w:basedOn w:val="Normal"/>
    <w:rsid w:val="003B6B2D"/>
    <w:pPr>
      <w:tabs>
        <w:tab w:val="left" w:pos="1276"/>
        <w:tab w:val="left" w:pos="1418"/>
        <w:tab w:val="left" w:leader="dot" w:pos="8222"/>
        <w:tab w:val="right" w:pos="8647"/>
      </w:tabs>
      <w:ind w:left="508"/>
    </w:pPr>
  </w:style>
  <w:style w:type="paragraph" w:styleId="BalloonText">
    <w:name w:val="Balloon Text"/>
    <w:basedOn w:val="Normal"/>
    <w:semiHidden/>
    <w:rsid w:val="00E3552B"/>
    <w:rPr>
      <w:rFonts w:ascii="Tahoma" w:hAnsi="Tahoma" w:cs="Tahoma"/>
      <w:sz w:val="16"/>
      <w:szCs w:val="16"/>
    </w:rPr>
  </w:style>
  <w:style w:type="paragraph" w:customStyle="1" w:styleId="Default">
    <w:name w:val="Default"/>
    <w:rsid w:val="0008315C"/>
    <w:pPr>
      <w:autoSpaceDE w:val="0"/>
      <w:autoSpaceDN w:val="0"/>
      <w:adjustRightInd w:val="0"/>
    </w:pPr>
    <w:rPr>
      <w:color w:val="000000"/>
      <w:sz w:val="24"/>
      <w:szCs w:val="24"/>
      <w:lang w:eastAsia="tr-TR"/>
    </w:rPr>
  </w:style>
  <w:style w:type="paragraph" w:customStyle="1" w:styleId="TITLEREC">
    <w:name w:val="TITLE REC"/>
    <w:basedOn w:val="Normal"/>
    <w:rsid w:val="002B6827"/>
    <w:pPr>
      <w:widowControl/>
      <w:pBdr>
        <w:top w:val="double" w:sz="6" w:space="6" w:color="auto"/>
        <w:left w:val="double" w:sz="6" w:space="0" w:color="auto"/>
        <w:bottom w:val="double" w:sz="6" w:space="6" w:color="auto"/>
        <w:right w:val="double" w:sz="6" w:space="0" w:color="auto"/>
      </w:pBdr>
      <w:tabs>
        <w:tab w:val="right" w:pos="8902"/>
      </w:tabs>
      <w:autoSpaceDE/>
      <w:autoSpaceDN/>
      <w:adjustRightInd/>
      <w:jc w:val="center"/>
    </w:pPr>
    <w:rPr>
      <w:b/>
      <w:bCs/>
      <w:szCs w:val="24"/>
    </w:rPr>
  </w:style>
  <w:style w:type="character" w:customStyle="1" w:styleId="FooterChar">
    <w:name w:val="Footer Char"/>
    <w:basedOn w:val="DefaultParagraphFont"/>
    <w:link w:val="Footer"/>
    <w:uiPriority w:val="99"/>
    <w:rsid w:val="002E2AC9"/>
    <w:rPr>
      <w:lang w:val="es-ES" w:eastAsia="en-US"/>
    </w:rPr>
  </w:style>
  <w:style w:type="character" w:styleId="CommentReference">
    <w:name w:val="annotation reference"/>
    <w:basedOn w:val="DefaultParagraphFont"/>
    <w:uiPriority w:val="99"/>
    <w:rsid w:val="00464367"/>
    <w:rPr>
      <w:sz w:val="16"/>
      <w:szCs w:val="16"/>
    </w:rPr>
  </w:style>
  <w:style w:type="paragraph" w:styleId="CommentText">
    <w:name w:val="annotation text"/>
    <w:basedOn w:val="Normal"/>
    <w:link w:val="CommentTextChar"/>
    <w:uiPriority w:val="99"/>
    <w:rsid w:val="00464367"/>
  </w:style>
  <w:style w:type="character" w:customStyle="1" w:styleId="CommentTextChar">
    <w:name w:val="Comment Text Char"/>
    <w:basedOn w:val="DefaultParagraphFont"/>
    <w:link w:val="CommentText"/>
    <w:uiPriority w:val="99"/>
    <w:rsid w:val="00464367"/>
    <w:rPr>
      <w:lang w:val="es-ES" w:eastAsia="en-US"/>
    </w:rPr>
  </w:style>
  <w:style w:type="paragraph" w:styleId="CommentSubject">
    <w:name w:val="annotation subject"/>
    <w:basedOn w:val="CommentText"/>
    <w:next w:val="CommentText"/>
    <w:link w:val="CommentSubjectChar"/>
    <w:rsid w:val="00464367"/>
    <w:rPr>
      <w:b/>
      <w:bCs/>
    </w:rPr>
  </w:style>
  <w:style w:type="character" w:customStyle="1" w:styleId="CommentSubjectChar">
    <w:name w:val="Comment Subject Char"/>
    <w:basedOn w:val="CommentTextChar"/>
    <w:link w:val="CommentSubject"/>
    <w:rsid w:val="00464367"/>
    <w:rPr>
      <w:b/>
      <w:bCs/>
      <w:lang w:val="es-ES" w:eastAsia="en-US"/>
    </w:rPr>
  </w:style>
  <w:style w:type="character" w:styleId="Hyperlink">
    <w:name w:val="Hyperlink"/>
    <w:basedOn w:val="DefaultParagraphFont"/>
    <w:uiPriority w:val="99"/>
    <w:unhideWhenUsed/>
    <w:rsid w:val="003001DA"/>
    <w:rPr>
      <w:color w:val="0000FF" w:themeColor="hyperlink"/>
      <w:u w:val="single"/>
    </w:rPr>
  </w:style>
  <w:style w:type="paragraph" w:styleId="ListParagraph">
    <w:name w:val="List Paragraph"/>
    <w:basedOn w:val="Normal"/>
    <w:uiPriority w:val="34"/>
    <w:qFormat/>
    <w:rsid w:val="00A33055"/>
    <w:pPr>
      <w:ind w:left="720"/>
      <w:contextualSpacing/>
    </w:pPr>
  </w:style>
  <w:style w:type="table" w:styleId="TableGrid">
    <w:name w:val="Table Grid"/>
    <w:basedOn w:val="TableNormal"/>
    <w:uiPriority w:val="59"/>
    <w:rsid w:val="00A330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728CE"/>
  </w:style>
  <w:style w:type="character" w:customStyle="1" w:styleId="FootnoteTextChar">
    <w:name w:val="Footnote Text Char"/>
    <w:basedOn w:val="DefaultParagraphFont"/>
    <w:link w:val="FootnoteText"/>
    <w:semiHidden/>
    <w:rsid w:val="002728CE"/>
    <w:rPr>
      <w:lang w:val="es-ES" w:eastAsia="en-US"/>
    </w:rPr>
  </w:style>
  <w:style w:type="character" w:styleId="FootnoteReference">
    <w:name w:val="footnote reference"/>
    <w:basedOn w:val="DefaultParagraphFont"/>
    <w:semiHidden/>
    <w:unhideWhenUsed/>
    <w:rsid w:val="002728CE"/>
    <w:rPr>
      <w:vertAlign w:val="superscript"/>
    </w:rPr>
  </w:style>
  <w:style w:type="character" w:customStyle="1" w:styleId="UnresolvedMention1">
    <w:name w:val="Unresolved Mention1"/>
    <w:basedOn w:val="DefaultParagraphFont"/>
    <w:uiPriority w:val="99"/>
    <w:semiHidden/>
    <w:unhideWhenUsed/>
    <w:rsid w:val="00A77BB4"/>
    <w:rPr>
      <w:color w:val="605E5C"/>
      <w:shd w:val="clear" w:color="auto" w:fill="E1DFDD"/>
    </w:rPr>
  </w:style>
  <w:style w:type="paragraph" w:customStyle="1" w:styleId="wordsection1">
    <w:name w:val="wordsection1"/>
    <w:basedOn w:val="Normal"/>
    <w:uiPriority w:val="99"/>
    <w:rsid w:val="00501E48"/>
    <w:pPr>
      <w:widowControl/>
      <w:autoSpaceDE/>
      <w:autoSpaceDN/>
      <w:adjustRightInd/>
      <w:spacing w:before="100" w:beforeAutospacing="1" w:after="100" w:afterAutospacing="1"/>
    </w:pPr>
    <w:rPr>
      <w:rFonts w:ascii="Calibri" w:eastAsiaTheme="minorHAnsi" w:hAnsi="Calibri" w:cs="Calibri"/>
      <w:sz w:val="22"/>
      <w:szCs w:val="22"/>
      <w:lang w:eastAsia="es-ES"/>
    </w:rPr>
  </w:style>
  <w:style w:type="character" w:styleId="FollowedHyperlink">
    <w:name w:val="FollowedHyperlink"/>
    <w:basedOn w:val="DefaultParagraphFont"/>
    <w:semiHidden/>
    <w:unhideWhenUsed/>
    <w:rsid w:val="0098128E"/>
    <w:rPr>
      <w:color w:val="800080" w:themeColor="followedHyperlink"/>
      <w:u w:val="single"/>
    </w:rPr>
  </w:style>
  <w:style w:type="character" w:customStyle="1" w:styleId="HeaderChar">
    <w:name w:val="Header Char"/>
    <w:basedOn w:val="DefaultParagraphFont"/>
    <w:link w:val="Header"/>
    <w:uiPriority w:val="99"/>
    <w:rsid w:val="00C043C3"/>
    <w:rPr>
      <w:lang w:val="es-ES" w:eastAsia="en-US"/>
    </w:rPr>
  </w:style>
  <w:style w:type="paragraph" w:styleId="NormalWeb">
    <w:name w:val="Normal (Web)"/>
    <w:basedOn w:val="Normal"/>
    <w:uiPriority w:val="99"/>
    <w:semiHidden/>
    <w:unhideWhenUsed/>
    <w:rsid w:val="00AB289F"/>
    <w:pPr>
      <w:widowControl/>
      <w:autoSpaceDE/>
      <w:autoSpaceDN/>
      <w:adjustRightInd/>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1D5D7F"/>
    <w:rPr>
      <w:color w:val="605E5C"/>
      <w:shd w:val="clear" w:color="auto" w:fill="E1DFDD"/>
    </w:rPr>
  </w:style>
  <w:style w:type="paragraph" w:styleId="Revision">
    <w:name w:val="Revision"/>
    <w:hidden/>
    <w:uiPriority w:val="99"/>
    <w:semiHidden/>
    <w:rsid w:val="00D26C9B"/>
    <w:rPr>
      <w:lang w:eastAsia="en-US"/>
    </w:rPr>
  </w:style>
  <w:style w:type="character" w:styleId="UnresolvedMention">
    <w:name w:val="Unresolved Mention"/>
    <w:basedOn w:val="DefaultParagraphFont"/>
    <w:uiPriority w:val="99"/>
    <w:semiHidden/>
    <w:unhideWhenUsed/>
    <w:rsid w:val="00A838B1"/>
    <w:rPr>
      <w:color w:val="605E5C"/>
      <w:shd w:val="clear" w:color="auto" w:fill="E1DFDD"/>
    </w:rPr>
  </w:style>
  <w:style w:type="character" w:customStyle="1" w:styleId="p-element">
    <w:name w:val="p-element"/>
    <w:basedOn w:val="DefaultParagraphFont"/>
    <w:rsid w:val="0092721C"/>
  </w:style>
  <w:style w:type="character" w:customStyle="1" w:styleId="ui-provider">
    <w:name w:val="ui-provider"/>
    <w:basedOn w:val="DefaultParagraphFont"/>
    <w:rsid w:val="00A935C2"/>
  </w:style>
  <w:style w:type="character" w:styleId="Strong">
    <w:name w:val="Strong"/>
    <w:basedOn w:val="DefaultParagraphFont"/>
    <w:uiPriority w:val="22"/>
    <w:qFormat/>
    <w:rsid w:val="00A93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15">
      <w:bodyDiv w:val="1"/>
      <w:marLeft w:val="0"/>
      <w:marRight w:val="0"/>
      <w:marTop w:val="0"/>
      <w:marBottom w:val="0"/>
      <w:divBdr>
        <w:top w:val="none" w:sz="0" w:space="0" w:color="auto"/>
        <w:left w:val="none" w:sz="0" w:space="0" w:color="auto"/>
        <w:bottom w:val="none" w:sz="0" w:space="0" w:color="auto"/>
        <w:right w:val="none" w:sz="0" w:space="0" w:color="auto"/>
      </w:divBdr>
    </w:div>
    <w:div w:id="16469440">
      <w:bodyDiv w:val="1"/>
      <w:marLeft w:val="0"/>
      <w:marRight w:val="0"/>
      <w:marTop w:val="0"/>
      <w:marBottom w:val="0"/>
      <w:divBdr>
        <w:top w:val="none" w:sz="0" w:space="0" w:color="auto"/>
        <w:left w:val="none" w:sz="0" w:space="0" w:color="auto"/>
        <w:bottom w:val="none" w:sz="0" w:space="0" w:color="auto"/>
        <w:right w:val="none" w:sz="0" w:space="0" w:color="auto"/>
      </w:divBdr>
    </w:div>
    <w:div w:id="26224935">
      <w:bodyDiv w:val="1"/>
      <w:marLeft w:val="0"/>
      <w:marRight w:val="0"/>
      <w:marTop w:val="0"/>
      <w:marBottom w:val="0"/>
      <w:divBdr>
        <w:top w:val="none" w:sz="0" w:space="0" w:color="auto"/>
        <w:left w:val="none" w:sz="0" w:space="0" w:color="auto"/>
        <w:bottom w:val="none" w:sz="0" w:space="0" w:color="auto"/>
        <w:right w:val="none" w:sz="0" w:space="0" w:color="auto"/>
      </w:divBdr>
    </w:div>
    <w:div w:id="47001451">
      <w:bodyDiv w:val="1"/>
      <w:marLeft w:val="0"/>
      <w:marRight w:val="0"/>
      <w:marTop w:val="0"/>
      <w:marBottom w:val="0"/>
      <w:divBdr>
        <w:top w:val="none" w:sz="0" w:space="0" w:color="auto"/>
        <w:left w:val="none" w:sz="0" w:space="0" w:color="auto"/>
        <w:bottom w:val="none" w:sz="0" w:space="0" w:color="auto"/>
        <w:right w:val="none" w:sz="0" w:space="0" w:color="auto"/>
      </w:divBdr>
    </w:div>
    <w:div w:id="48384050">
      <w:bodyDiv w:val="1"/>
      <w:marLeft w:val="0"/>
      <w:marRight w:val="0"/>
      <w:marTop w:val="0"/>
      <w:marBottom w:val="0"/>
      <w:divBdr>
        <w:top w:val="none" w:sz="0" w:space="0" w:color="auto"/>
        <w:left w:val="none" w:sz="0" w:space="0" w:color="auto"/>
        <w:bottom w:val="none" w:sz="0" w:space="0" w:color="auto"/>
        <w:right w:val="none" w:sz="0" w:space="0" w:color="auto"/>
      </w:divBdr>
    </w:div>
    <w:div w:id="55520337">
      <w:bodyDiv w:val="1"/>
      <w:marLeft w:val="0"/>
      <w:marRight w:val="0"/>
      <w:marTop w:val="0"/>
      <w:marBottom w:val="0"/>
      <w:divBdr>
        <w:top w:val="none" w:sz="0" w:space="0" w:color="auto"/>
        <w:left w:val="none" w:sz="0" w:space="0" w:color="auto"/>
        <w:bottom w:val="none" w:sz="0" w:space="0" w:color="auto"/>
        <w:right w:val="none" w:sz="0" w:space="0" w:color="auto"/>
      </w:divBdr>
    </w:div>
    <w:div w:id="58864657">
      <w:bodyDiv w:val="1"/>
      <w:marLeft w:val="0"/>
      <w:marRight w:val="0"/>
      <w:marTop w:val="0"/>
      <w:marBottom w:val="0"/>
      <w:divBdr>
        <w:top w:val="none" w:sz="0" w:space="0" w:color="auto"/>
        <w:left w:val="none" w:sz="0" w:space="0" w:color="auto"/>
        <w:bottom w:val="none" w:sz="0" w:space="0" w:color="auto"/>
        <w:right w:val="none" w:sz="0" w:space="0" w:color="auto"/>
      </w:divBdr>
    </w:div>
    <w:div w:id="64030060">
      <w:bodyDiv w:val="1"/>
      <w:marLeft w:val="0"/>
      <w:marRight w:val="0"/>
      <w:marTop w:val="0"/>
      <w:marBottom w:val="0"/>
      <w:divBdr>
        <w:top w:val="none" w:sz="0" w:space="0" w:color="auto"/>
        <w:left w:val="none" w:sz="0" w:space="0" w:color="auto"/>
        <w:bottom w:val="none" w:sz="0" w:space="0" w:color="auto"/>
        <w:right w:val="none" w:sz="0" w:space="0" w:color="auto"/>
      </w:divBdr>
    </w:div>
    <w:div w:id="70201813">
      <w:bodyDiv w:val="1"/>
      <w:marLeft w:val="0"/>
      <w:marRight w:val="0"/>
      <w:marTop w:val="0"/>
      <w:marBottom w:val="0"/>
      <w:divBdr>
        <w:top w:val="none" w:sz="0" w:space="0" w:color="auto"/>
        <w:left w:val="none" w:sz="0" w:space="0" w:color="auto"/>
        <w:bottom w:val="none" w:sz="0" w:space="0" w:color="auto"/>
        <w:right w:val="none" w:sz="0" w:space="0" w:color="auto"/>
      </w:divBdr>
    </w:div>
    <w:div w:id="78068310">
      <w:bodyDiv w:val="1"/>
      <w:marLeft w:val="0"/>
      <w:marRight w:val="0"/>
      <w:marTop w:val="0"/>
      <w:marBottom w:val="0"/>
      <w:divBdr>
        <w:top w:val="none" w:sz="0" w:space="0" w:color="auto"/>
        <w:left w:val="none" w:sz="0" w:space="0" w:color="auto"/>
        <w:bottom w:val="none" w:sz="0" w:space="0" w:color="auto"/>
        <w:right w:val="none" w:sz="0" w:space="0" w:color="auto"/>
      </w:divBdr>
    </w:div>
    <w:div w:id="92480517">
      <w:bodyDiv w:val="1"/>
      <w:marLeft w:val="0"/>
      <w:marRight w:val="0"/>
      <w:marTop w:val="0"/>
      <w:marBottom w:val="0"/>
      <w:divBdr>
        <w:top w:val="none" w:sz="0" w:space="0" w:color="auto"/>
        <w:left w:val="none" w:sz="0" w:space="0" w:color="auto"/>
        <w:bottom w:val="none" w:sz="0" w:space="0" w:color="auto"/>
        <w:right w:val="none" w:sz="0" w:space="0" w:color="auto"/>
      </w:divBdr>
    </w:div>
    <w:div w:id="121467267">
      <w:bodyDiv w:val="1"/>
      <w:marLeft w:val="0"/>
      <w:marRight w:val="0"/>
      <w:marTop w:val="0"/>
      <w:marBottom w:val="0"/>
      <w:divBdr>
        <w:top w:val="none" w:sz="0" w:space="0" w:color="auto"/>
        <w:left w:val="none" w:sz="0" w:space="0" w:color="auto"/>
        <w:bottom w:val="none" w:sz="0" w:space="0" w:color="auto"/>
        <w:right w:val="none" w:sz="0" w:space="0" w:color="auto"/>
      </w:divBdr>
    </w:div>
    <w:div w:id="129055530">
      <w:bodyDiv w:val="1"/>
      <w:marLeft w:val="0"/>
      <w:marRight w:val="0"/>
      <w:marTop w:val="0"/>
      <w:marBottom w:val="0"/>
      <w:divBdr>
        <w:top w:val="none" w:sz="0" w:space="0" w:color="auto"/>
        <w:left w:val="none" w:sz="0" w:space="0" w:color="auto"/>
        <w:bottom w:val="none" w:sz="0" w:space="0" w:color="auto"/>
        <w:right w:val="none" w:sz="0" w:space="0" w:color="auto"/>
      </w:divBdr>
    </w:div>
    <w:div w:id="141777063">
      <w:bodyDiv w:val="1"/>
      <w:marLeft w:val="0"/>
      <w:marRight w:val="0"/>
      <w:marTop w:val="0"/>
      <w:marBottom w:val="0"/>
      <w:divBdr>
        <w:top w:val="none" w:sz="0" w:space="0" w:color="auto"/>
        <w:left w:val="none" w:sz="0" w:space="0" w:color="auto"/>
        <w:bottom w:val="none" w:sz="0" w:space="0" w:color="auto"/>
        <w:right w:val="none" w:sz="0" w:space="0" w:color="auto"/>
      </w:divBdr>
    </w:div>
    <w:div w:id="150488100">
      <w:bodyDiv w:val="1"/>
      <w:marLeft w:val="0"/>
      <w:marRight w:val="0"/>
      <w:marTop w:val="0"/>
      <w:marBottom w:val="0"/>
      <w:divBdr>
        <w:top w:val="none" w:sz="0" w:space="0" w:color="auto"/>
        <w:left w:val="none" w:sz="0" w:space="0" w:color="auto"/>
        <w:bottom w:val="none" w:sz="0" w:space="0" w:color="auto"/>
        <w:right w:val="none" w:sz="0" w:space="0" w:color="auto"/>
      </w:divBdr>
    </w:div>
    <w:div w:id="150872251">
      <w:bodyDiv w:val="1"/>
      <w:marLeft w:val="0"/>
      <w:marRight w:val="0"/>
      <w:marTop w:val="0"/>
      <w:marBottom w:val="0"/>
      <w:divBdr>
        <w:top w:val="none" w:sz="0" w:space="0" w:color="auto"/>
        <w:left w:val="none" w:sz="0" w:space="0" w:color="auto"/>
        <w:bottom w:val="none" w:sz="0" w:space="0" w:color="auto"/>
        <w:right w:val="none" w:sz="0" w:space="0" w:color="auto"/>
      </w:divBdr>
    </w:div>
    <w:div w:id="151459144">
      <w:bodyDiv w:val="1"/>
      <w:marLeft w:val="0"/>
      <w:marRight w:val="0"/>
      <w:marTop w:val="0"/>
      <w:marBottom w:val="0"/>
      <w:divBdr>
        <w:top w:val="none" w:sz="0" w:space="0" w:color="auto"/>
        <w:left w:val="none" w:sz="0" w:space="0" w:color="auto"/>
        <w:bottom w:val="none" w:sz="0" w:space="0" w:color="auto"/>
        <w:right w:val="none" w:sz="0" w:space="0" w:color="auto"/>
      </w:divBdr>
    </w:div>
    <w:div w:id="158037430">
      <w:bodyDiv w:val="1"/>
      <w:marLeft w:val="0"/>
      <w:marRight w:val="0"/>
      <w:marTop w:val="0"/>
      <w:marBottom w:val="0"/>
      <w:divBdr>
        <w:top w:val="none" w:sz="0" w:space="0" w:color="auto"/>
        <w:left w:val="none" w:sz="0" w:space="0" w:color="auto"/>
        <w:bottom w:val="none" w:sz="0" w:space="0" w:color="auto"/>
        <w:right w:val="none" w:sz="0" w:space="0" w:color="auto"/>
      </w:divBdr>
    </w:div>
    <w:div w:id="195318859">
      <w:bodyDiv w:val="1"/>
      <w:marLeft w:val="0"/>
      <w:marRight w:val="0"/>
      <w:marTop w:val="0"/>
      <w:marBottom w:val="0"/>
      <w:divBdr>
        <w:top w:val="none" w:sz="0" w:space="0" w:color="auto"/>
        <w:left w:val="none" w:sz="0" w:space="0" w:color="auto"/>
        <w:bottom w:val="none" w:sz="0" w:space="0" w:color="auto"/>
        <w:right w:val="none" w:sz="0" w:space="0" w:color="auto"/>
      </w:divBdr>
    </w:div>
    <w:div w:id="221671838">
      <w:bodyDiv w:val="1"/>
      <w:marLeft w:val="0"/>
      <w:marRight w:val="0"/>
      <w:marTop w:val="0"/>
      <w:marBottom w:val="0"/>
      <w:divBdr>
        <w:top w:val="none" w:sz="0" w:space="0" w:color="auto"/>
        <w:left w:val="none" w:sz="0" w:space="0" w:color="auto"/>
        <w:bottom w:val="none" w:sz="0" w:space="0" w:color="auto"/>
        <w:right w:val="none" w:sz="0" w:space="0" w:color="auto"/>
      </w:divBdr>
    </w:div>
    <w:div w:id="225192173">
      <w:bodyDiv w:val="1"/>
      <w:marLeft w:val="0"/>
      <w:marRight w:val="0"/>
      <w:marTop w:val="0"/>
      <w:marBottom w:val="0"/>
      <w:divBdr>
        <w:top w:val="none" w:sz="0" w:space="0" w:color="auto"/>
        <w:left w:val="none" w:sz="0" w:space="0" w:color="auto"/>
        <w:bottom w:val="none" w:sz="0" w:space="0" w:color="auto"/>
        <w:right w:val="none" w:sz="0" w:space="0" w:color="auto"/>
      </w:divBdr>
    </w:div>
    <w:div w:id="229770753">
      <w:bodyDiv w:val="1"/>
      <w:marLeft w:val="0"/>
      <w:marRight w:val="0"/>
      <w:marTop w:val="0"/>
      <w:marBottom w:val="0"/>
      <w:divBdr>
        <w:top w:val="none" w:sz="0" w:space="0" w:color="auto"/>
        <w:left w:val="none" w:sz="0" w:space="0" w:color="auto"/>
        <w:bottom w:val="none" w:sz="0" w:space="0" w:color="auto"/>
        <w:right w:val="none" w:sz="0" w:space="0" w:color="auto"/>
      </w:divBdr>
    </w:div>
    <w:div w:id="251663928">
      <w:bodyDiv w:val="1"/>
      <w:marLeft w:val="0"/>
      <w:marRight w:val="0"/>
      <w:marTop w:val="0"/>
      <w:marBottom w:val="0"/>
      <w:divBdr>
        <w:top w:val="none" w:sz="0" w:space="0" w:color="auto"/>
        <w:left w:val="none" w:sz="0" w:space="0" w:color="auto"/>
        <w:bottom w:val="none" w:sz="0" w:space="0" w:color="auto"/>
        <w:right w:val="none" w:sz="0" w:space="0" w:color="auto"/>
      </w:divBdr>
    </w:div>
    <w:div w:id="264273005">
      <w:bodyDiv w:val="1"/>
      <w:marLeft w:val="0"/>
      <w:marRight w:val="0"/>
      <w:marTop w:val="0"/>
      <w:marBottom w:val="0"/>
      <w:divBdr>
        <w:top w:val="none" w:sz="0" w:space="0" w:color="auto"/>
        <w:left w:val="none" w:sz="0" w:space="0" w:color="auto"/>
        <w:bottom w:val="none" w:sz="0" w:space="0" w:color="auto"/>
        <w:right w:val="none" w:sz="0" w:space="0" w:color="auto"/>
      </w:divBdr>
    </w:div>
    <w:div w:id="266623533">
      <w:bodyDiv w:val="1"/>
      <w:marLeft w:val="0"/>
      <w:marRight w:val="0"/>
      <w:marTop w:val="0"/>
      <w:marBottom w:val="0"/>
      <w:divBdr>
        <w:top w:val="none" w:sz="0" w:space="0" w:color="auto"/>
        <w:left w:val="none" w:sz="0" w:space="0" w:color="auto"/>
        <w:bottom w:val="none" w:sz="0" w:space="0" w:color="auto"/>
        <w:right w:val="none" w:sz="0" w:space="0" w:color="auto"/>
      </w:divBdr>
    </w:div>
    <w:div w:id="270552229">
      <w:bodyDiv w:val="1"/>
      <w:marLeft w:val="0"/>
      <w:marRight w:val="0"/>
      <w:marTop w:val="0"/>
      <w:marBottom w:val="0"/>
      <w:divBdr>
        <w:top w:val="none" w:sz="0" w:space="0" w:color="auto"/>
        <w:left w:val="none" w:sz="0" w:space="0" w:color="auto"/>
        <w:bottom w:val="none" w:sz="0" w:space="0" w:color="auto"/>
        <w:right w:val="none" w:sz="0" w:space="0" w:color="auto"/>
      </w:divBdr>
    </w:div>
    <w:div w:id="272906386">
      <w:bodyDiv w:val="1"/>
      <w:marLeft w:val="0"/>
      <w:marRight w:val="0"/>
      <w:marTop w:val="0"/>
      <w:marBottom w:val="0"/>
      <w:divBdr>
        <w:top w:val="none" w:sz="0" w:space="0" w:color="auto"/>
        <w:left w:val="none" w:sz="0" w:space="0" w:color="auto"/>
        <w:bottom w:val="none" w:sz="0" w:space="0" w:color="auto"/>
        <w:right w:val="none" w:sz="0" w:space="0" w:color="auto"/>
      </w:divBdr>
    </w:div>
    <w:div w:id="274139974">
      <w:bodyDiv w:val="1"/>
      <w:marLeft w:val="0"/>
      <w:marRight w:val="0"/>
      <w:marTop w:val="0"/>
      <w:marBottom w:val="0"/>
      <w:divBdr>
        <w:top w:val="none" w:sz="0" w:space="0" w:color="auto"/>
        <w:left w:val="none" w:sz="0" w:space="0" w:color="auto"/>
        <w:bottom w:val="none" w:sz="0" w:space="0" w:color="auto"/>
        <w:right w:val="none" w:sz="0" w:space="0" w:color="auto"/>
      </w:divBdr>
    </w:div>
    <w:div w:id="291979569">
      <w:bodyDiv w:val="1"/>
      <w:marLeft w:val="0"/>
      <w:marRight w:val="0"/>
      <w:marTop w:val="0"/>
      <w:marBottom w:val="0"/>
      <w:divBdr>
        <w:top w:val="none" w:sz="0" w:space="0" w:color="auto"/>
        <w:left w:val="none" w:sz="0" w:space="0" w:color="auto"/>
        <w:bottom w:val="none" w:sz="0" w:space="0" w:color="auto"/>
        <w:right w:val="none" w:sz="0" w:space="0" w:color="auto"/>
      </w:divBdr>
    </w:div>
    <w:div w:id="327055999">
      <w:bodyDiv w:val="1"/>
      <w:marLeft w:val="0"/>
      <w:marRight w:val="0"/>
      <w:marTop w:val="0"/>
      <w:marBottom w:val="0"/>
      <w:divBdr>
        <w:top w:val="none" w:sz="0" w:space="0" w:color="auto"/>
        <w:left w:val="none" w:sz="0" w:space="0" w:color="auto"/>
        <w:bottom w:val="none" w:sz="0" w:space="0" w:color="auto"/>
        <w:right w:val="none" w:sz="0" w:space="0" w:color="auto"/>
      </w:divBdr>
    </w:div>
    <w:div w:id="331688986">
      <w:bodyDiv w:val="1"/>
      <w:marLeft w:val="0"/>
      <w:marRight w:val="0"/>
      <w:marTop w:val="0"/>
      <w:marBottom w:val="0"/>
      <w:divBdr>
        <w:top w:val="none" w:sz="0" w:space="0" w:color="auto"/>
        <w:left w:val="none" w:sz="0" w:space="0" w:color="auto"/>
        <w:bottom w:val="none" w:sz="0" w:space="0" w:color="auto"/>
        <w:right w:val="none" w:sz="0" w:space="0" w:color="auto"/>
      </w:divBdr>
    </w:div>
    <w:div w:id="336150568">
      <w:bodyDiv w:val="1"/>
      <w:marLeft w:val="0"/>
      <w:marRight w:val="0"/>
      <w:marTop w:val="0"/>
      <w:marBottom w:val="0"/>
      <w:divBdr>
        <w:top w:val="none" w:sz="0" w:space="0" w:color="auto"/>
        <w:left w:val="none" w:sz="0" w:space="0" w:color="auto"/>
        <w:bottom w:val="none" w:sz="0" w:space="0" w:color="auto"/>
        <w:right w:val="none" w:sz="0" w:space="0" w:color="auto"/>
      </w:divBdr>
    </w:div>
    <w:div w:id="348341131">
      <w:bodyDiv w:val="1"/>
      <w:marLeft w:val="0"/>
      <w:marRight w:val="0"/>
      <w:marTop w:val="0"/>
      <w:marBottom w:val="0"/>
      <w:divBdr>
        <w:top w:val="none" w:sz="0" w:space="0" w:color="auto"/>
        <w:left w:val="none" w:sz="0" w:space="0" w:color="auto"/>
        <w:bottom w:val="none" w:sz="0" w:space="0" w:color="auto"/>
        <w:right w:val="none" w:sz="0" w:space="0" w:color="auto"/>
      </w:divBdr>
    </w:div>
    <w:div w:id="348456191">
      <w:bodyDiv w:val="1"/>
      <w:marLeft w:val="0"/>
      <w:marRight w:val="0"/>
      <w:marTop w:val="0"/>
      <w:marBottom w:val="0"/>
      <w:divBdr>
        <w:top w:val="none" w:sz="0" w:space="0" w:color="auto"/>
        <w:left w:val="none" w:sz="0" w:space="0" w:color="auto"/>
        <w:bottom w:val="none" w:sz="0" w:space="0" w:color="auto"/>
        <w:right w:val="none" w:sz="0" w:space="0" w:color="auto"/>
      </w:divBdr>
    </w:div>
    <w:div w:id="368183973">
      <w:bodyDiv w:val="1"/>
      <w:marLeft w:val="0"/>
      <w:marRight w:val="0"/>
      <w:marTop w:val="0"/>
      <w:marBottom w:val="0"/>
      <w:divBdr>
        <w:top w:val="none" w:sz="0" w:space="0" w:color="auto"/>
        <w:left w:val="none" w:sz="0" w:space="0" w:color="auto"/>
        <w:bottom w:val="none" w:sz="0" w:space="0" w:color="auto"/>
        <w:right w:val="none" w:sz="0" w:space="0" w:color="auto"/>
      </w:divBdr>
    </w:div>
    <w:div w:id="369914878">
      <w:bodyDiv w:val="1"/>
      <w:marLeft w:val="0"/>
      <w:marRight w:val="0"/>
      <w:marTop w:val="0"/>
      <w:marBottom w:val="0"/>
      <w:divBdr>
        <w:top w:val="none" w:sz="0" w:space="0" w:color="auto"/>
        <w:left w:val="none" w:sz="0" w:space="0" w:color="auto"/>
        <w:bottom w:val="none" w:sz="0" w:space="0" w:color="auto"/>
        <w:right w:val="none" w:sz="0" w:space="0" w:color="auto"/>
      </w:divBdr>
    </w:div>
    <w:div w:id="396363993">
      <w:bodyDiv w:val="1"/>
      <w:marLeft w:val="0"/>
      <w:marRight w:val="0"/>
      <w:marTop w:val="0"/>
      <w:marBottom w:val="0"/>
      <w:divBdr>
        <w:top w:val="none" w:sz="0" w:space="0" w:color="auto"/>
        <w:left w:val="none" w:sz="0" w:space="0" w:color="auto"/>
        <w:bottom w:val="none" w:sz="0" w:space="0" w:color="auto"/>
        <w:right w:val="none" w:sz="0" w:space="0" w:color="auto"/>
      </w:divBdr>
    </w:div>
    <w:div w:id="397677000">
      <w:bodyDiv w:val="1"/>
      <w:marLeft w:val="0"/>
      <w:marRight w:val="0"/>
      <w:marTop w:val="0"/>
      <w:marBottom w:val="0"/>
      <w:divBdr>
        <w:top w:val="none" w:sz="0" w:space="0" w:color="auto"/>
        <w:left w:val="none" w:sz="0" w:space="0" w:color="auto"/>
        <w:bottom w:val="none" w:sz="0" w:space="0" w:color="auto"/>
        <w:right w:val="none" w:sz="0" w:space="0" w:color="auto"/>
      </w:divBdr>
    </w:div>
    <w:div w:id="398283474">
      <w:bodyDiv w:val="1"/>
      <w:marLeft w:val="0"/>
      <w:marRight w:val="0"/>
      <w:marTop w:val="0"/>
      <w:marBottom w:val="0"/>
      <w:divBdr>
        <w:top w:val="none" w:sz="0" w:space="0" w:color="auto"/>
        <w:left w:val="none" w:sz="0" w:space="0" w:color="auto"/>
        <w:bottom w:val="none" w:sz="0" w:space="0" w:color="auto"/>
        <w:right w:val="none" w:sz="0" w:space="0" w:color="auto"/>
      </w:divBdr>
    </w:div>
    <w:div w:id="413816600">
      <w:bodyDiv w:val="1"/>
      <w:marLeft w:val="0"/>
      <w:marRight w:val="0"/>
      <w:marTop w:val="0"/>
      <w:marBottom w:val="0"/>
      <w:divBdr>
        <w:top w:val="none" w:sz="0" w:space="0" w:color="auto"/>
        <w:left w:val="none" w:sz="0" w:space="0" w:color="auto"/>
        <w:bottom w:val="none" w:sz="0" w:space="0" w:color="auto"/>
        <w:right w:val="none" w:sz="0" w:space="0" w:color="auto"/>
      </w:divBdr>
    </w:div>
    <w:div w:id="415828513">
      <w:bodyDiv w:val="1"/>
      <w:marLeft w:val="0"/>
      <w:marRight w:val="0"/>
      <w:marTop w:val="0"/>
      <w:marBottom w:val="0"/>
      <w:divBdr>
        <w:top w:val="none" w:sz="0" w:space="0" w:color="auto"/>
        <w:left w:val="none" w:sz="0" w:space="0" w:color="auto"/>
        <w:bottom w:val="none" w:sz="0" w:space="0" w:color="auto"/>
        <w:right w:val="none" w:sz="0" w:space="0" w:color="auto"/>
      </w:divBdr>
    </w:div>
    <w:div w:id="444160822">
      <w:bodyDiv w:val="1"/>
      <w:marLeft w:val="0"/>
      <w:marRight w:val="0"/>
      <w:marTop w:val="0"/>
      <w:marBottom w:val="0"/>
      <w:divBdr>
        <w:top w:val="none" w:sz="0" w:space="0" w:color="auto"/>
        <w:left w:val="none" w:sz="0" w:space="0" w:color="auto"/>
        <w:bottom w:val="none" w:sz="0" w:space="0" w:color="auto"/>
        <w:right w:val="none" w:sz="0" w:space="0" w:color="auto"/>
      </w:divBdr>
    </w:div>
    <w:div w:id="452405548">
      <w:bodyDiv w:val="1"/>
      <w:marLeft w:val="0"/>
      <w:marRight w:val="0"/>
      <w:marTop w:val="0"/>
      <w:marBottom w:val="0"/>
      <w:divBdr>
        <w:top w:val="none" w:sz="0" w:space="0" w:color="auto"/>
        <w:left w:val="none" w:sz="0" w:space="0" w:color="auto"/>
        <w:bottom w:val="none" w:sz="0" w:space="0" w:color="auto"/>
        <w:right w:val="none" w:sz="0" w:space="0" w:color="auto"/>
      </w:divBdr>
    </w:div>
    <w:div w:id="455023852">
      <w:bodyDiv w:val="1"/>
      <w:marLeft w:val="0"/>
      <w:marRight w:val="0"/>
      <w:marTop w:val="0"/>
      <w:marBottom w:val="0"/>
      <w:divBdr>
        <w:top w:val="none" w:sz="0" w:space="0" w:color="auto"/>
        <w:left w:val="none" w:sz="0" w:space="0" w:color="auto"/>
        <w:bottom w:val="none" w:sz="0" w:space="0" w:color="auto"/>
        <w:right w:val="none" w:sz="0" w:space="0" w:color="auto"/>
      </w:divBdr>
    </w:div>
    <w:div w:id="458183742">
      <w:bodyDiv w:val="1"/>
      <w:marLeft w:val="0"/>
      <w:marRight w:val="0"/>
      <w:marTop w:val="0"/>
      <w:marBottom w:val="0"/>
      <w:divBdr>
        <w:top w:val="none" w:sz="0" w:space="0" w:color="auto"/>
        <w:left w:val="none" w:sz="0" w:space="0" w:color="auto"/>
        <w:bottom w:val="none" w:sz="0" w:space="0" w:color="auto"/>
        <w:right w:val="none" w:sz="0" w:space="0" w:color="auto"/>
      </w:divBdr>
    </w:div>
    <w:div w:id="459613444">
      <w:bodyDiv w:val="1"/>
      <w:marLeft w:val="0"/>
      <w:marRight w:val="0"/>
      <w:marTop w:val="0"/>
      <w:marBottom w:val="0"/>
      <w:divBdr>
        <w:top w:val="none" w:sz="0" w:space="0" w:color="auto"/>
        <w:left w:val="none" w:sz="0" w:space="0" w:color="auto"/>
        <w:bottom w:val="none" w:sz="0" w:space="0" w:color="auto"/>
        <w:right w:val="none" w:sz="0" w:space="0" w:color="auto"/>
      </w:divBdr>
    </w:div>
    <w:div w:id="460003104">
      <w:bodyDiv w:val="1"/>
      <w:marLeft w:val="0"/>
      <w:marRight w:val="0"/>
      <w:marTop w:val="0"/>
      <w:marBottom w:val="0"/>
      <w:divBdr>
        <w:top w:val="none" w:sz="0" w:space="0" w:color="auto"/>
        <w:left w:val="none" w:sz="0" w:space="0" w:color="auto"/>
        <w:bottom w:val="none" w:sz="0" w:space="0" w:color="auto"/>
        <w:right w:val="none" w:sz="0" w:space="0" w:color="auto"/>
      </w:divBdr>
    </w:div>
    <w:div w:id="465516017">
      <w:bodyDiv w:val="1"/>
      <w:marLeft w:val="0"/>
      <w:marRight w:val="0"/>
      <w:marTop w:val="0"/>
      <w:marBottom w:val="0"/>
      <w:divBdr>
        <w:top w:val="none" w:sz="0" w:space="0" w:color="auto"/>
        <w:left w:val="none" w:sz="0" w:space="0" w:color="auto"/>
        <w:bottom w:val="none" w:sz="0" w:space="0" w:color="auto"/>
        <w:right w:val="none" w:sz="0" w:space="0" w:color="auto"/>
      </w:divBdr>
    </w:div>
    <w:div w:id="466705874">
      <w:bodyDiv w:val="1"/>
      <w:marLeft w:val="0"/>
      <w:marRight w:val="0"/>
      <w:marTop w:val="0"/>
      <w:marBottom w:val="0"/>
      <w:divBdr>
        <w:top w:val="none" w:sz="0" w:space="0" w:color="auto"/>
        <w:left w:val="none" w:sz="0" w:space="0" w:color="auto"/>
        <w:bottom w:val="none" w:sz="0" w:space="0" w:color="auto"/>
        <w:right w:val="none" w:sz="0" w:space="0" w:color="auto"/>
      </w:divBdr>
    </w:div>
    <w:div w:id="481049203">
      <w:bodyDiv w:val="1"/>
      <w:marLeft w:val="0"/>
      <w:marRight w:val="0"/>
      <w:marTop w:val="0"/>
      <w:marBottom w:val="0"/>
      <w:divBdr>
        <w:top w:val="none" w:sz="0" w:space="0" w:color="auto"/>
        <w:left w:val="none" w:sz="0" w:space="0" w:color="auto"/>
        <w:bottom w:val="none" w:sz="0" w:space="0" w:color="auto"/>
        <w:right w:val="none" w:sz="0" w:space="0" w:color="auto"/>
      </w:divBdr>
    </w:div>
    <w:div w:id="481778033">
      <w:bodyDiv w:val="1"/>
      <w:marLeft w:val="0"/>
      <w:marRight w:val="0"/>
      <w:marTop w:val="0"/>
      <w:marBottom w:val="0"/>
      <w:divBdr>
        <w:top w:val="none" w:sz="0" w:space="0" w:color="auto"/>
        <w:left w:val="none" w:sz="0" w:space="0" w:color="auto"/>
        <w:bottom w:val="none" w:sz="0" w:space="0" w:color="auto"/>
        <w:right w:val="none" w:sz="0" w:space="0" w:color="auto"/>
      </w:divBdr>
    </w:div>
    <w:div w:id="483745197">
      <w:bodyDiv w:val="1"/>
      <w:marLeft w:val="0"/>
      <w:marRight w:val="0"/>
      <w:marTop w:val="0"/>
      <w:marBottom w:val="0"/>
      <w:divBdr>
        <w:top w:val="none" w:sz="0" w:space="0" w:color="auto"/>
        <w:left w:val="none" w:sz="0" w:space="0" w:color="auto"/>
        <w:bottom w:val="none" w:sz="0" w:space="0" w:color="auto"/>
        <w:right w:val="none" w:sz="0" w:space="0" w:color="auto"/>
      </w:divBdr>
    </w:div>
    <w:div w:id="495345413">
      <w:bodyDiv w:val="1"/>
      <w:marLeft w:val="0"/>
      <w:marRight w:val="0"/>
      <w:marTop w:val="0"/>
      <w:marBottom w:val="0"/>
      <w:divBdr>
        <w:top w:val="none" w:sz="0" w:space="0" w:color="auto"/>
        <w:left w:val="none" w:sz="0" w:space="0" w:color="auto"/>
        <w:bottom w:val="none" w:sz="0" w:space="0" w:color="auto"/>
        <w:right w:val="none" w:sz="0" w:space="0" w:color="auto"/>
      </w:divBdr>
    </w:div>
    <w:div w:id="511341755">
      <w:bodyDiv w:val="1"/>
      <w:marLeft w:val="0"/>
      <w:marRight w:val="0"/>
      <w:marTop w:val="0"/>
      <w:marBottom w:val="0"/>
      <w:divBdr>
        <w:top w:val="none" w:sz="0" w:space="0" w:color="auto"/>
        <w:left w:val="none" w:sz="0" w:space="0" w:color="auto"/>
        <w:bottom w:val="none" w:sz="0" w:space="0" w:color="auto"/>
        <w:right w:val="none" w:sz="0" w:space="0" w:color="auto"/>
      </w:divBdr>
    </w:div>
    <w:div w:id="518156753">
      <w:bodyDiv w:val="1"/>
      <w:marLeft w:val="0"/>
      <w:marRight w:val="0"/>
      <w:marTop w:val="0"/>
      <w:marBottom w:val="0"/>
      <w:divBdr>
        <w:top w:val="none" w:sz="0" w:space="0" w:color="auto"/>
        <w:left w:val="none" w:sz="0" w:space="0" w:color="auto"/>
        <w:bottom w:val="none" w:sz="0" w:space="0" w:color="auto"/>
        <w:right w:val="none" w:sz="0" w:space="0" w:color="auto"/>
      </w:divBdr>
    </w:div>
    <w:div w:id="520750280">
      <w:bodyDiv w:val="1"/>
      <w:marLeft w:val="0"/>
      <w:marRight w:val="0"/>
      <w:marTop w:val="0"/>
      <w:marBottom w:val="0"/>
      <w:divBdr>
        <w:top w:val="none" w:sz="0" w:space="0" w:color="auto"/>
        <w:left w:val="none" w:sz="0" w:space="0" w:color="auto"/>
        <w:bottom w:val="none" w:sz="0" w:space="0" w:color="auto"/>
        <w:right w:val="none" w:sz="0" w:space="0" w:color="auto"/>
      </w:divBdr>
    </w:div>
    <w:div w:id="536813784">
      <w:bodyDiv w:val="1"/>
      <w:marLeft w:val="0"/>
      <w:marRight w:val="0"/>
      <w:marTop w:val="0"/>
      <w:marBottom w:val="0"/>
      <w:divBdr>
        <w:top w:val="none" w:sz="0" w:space="0" w:color="auto"/>
        <w:left w:val="none" w:sz="0" w:space="0" w:color="auto"/>
        <w:bottom w:val="none" w:sz="0" w:space="0" w:color="auto"/>
        <w:right w:val="none" w:sz="0" w:space="0" w:color="auto"/>
      </w:divBdr>
    </w:div>
    <w:div w:id="563609799">
      <w:bodyDiv w:val="1"/>
      <w:marLeft w:val="0"/>
      <w:marRight w:val="0"/>
      <w:marTop w:val="0"/>
      <w:marBottom w:val="0"/>
      <w:divBdr>
        <w:top w:val="none" w:sz="0" w:space="0" w:color="auto"/>
        <w:left w:val="none" w:sz="0" w:space="0" w:color="auto"/>
        <w:bottom w:val="none" w:sz="0" w:space="0" w:color="auto"/>
        <w:right w:val="none" w:sz="0" w:space="0" w:color="auto"/>
      </w:divBdr>
    </w:div>
    <w:div w:id="585847194">
      <w:bodyDiv w:val="1"/>
      <w:marLeft w:val="0"/>
      <w:marRight w:val="0"/>
      <w:marTop w:val="0"/>
      <w:marBottom w:val="0"/>
      <w:divBdr>
        <w:top w:val="none" w:sz="0" w:space="0" w:color="auto"/>
        <w:left w:val="none" w:sz="0" w:space="0" w:color="auto"/>
        <w:bottom w:val="none" w:sz="0" w:space="0" w:color="auto"/>
        <w:right w:val="none" w:sz="0" w:space="0" w:color="auto"/>
      </w:divBdr>
    </w:div>
    <w:div w:id="608046959">
      <w:bodyDiv w:val="1"/>
      <w:marLeft w:val="0"/>
      <w:marRight w:val="0"/>
      <w:marTop w:val="0"/>
      <w:marBottom w:val="0"/>
      <w:divBdr>
        <w:top w:val="none" w:sz="0" w:space="0" w:color="auto"/>
        <w:left w:val="none" w:sz="0" w:space="0" w:color="auto"/>
        <w:bottom w:val="none" w:sz="0" w:space="0" w:color="auto"/>
        <w:right w:val="none" w:sz="0" w:space="0" w:color="auto"/>
      </w:divBdr>
    </w:div>
    <w:div w:id="626355090">
      <w:bodyDiv w:val="1"/>
      <w:marLeft w:val="0"/>
      <w:marRight w:val="0"/>
      <w:marTop w:val="0"/>
      <w:marBottom w:val="0"/>
      <w:divBdr>
        <w:top w:val="none" w:sz="0" w:space="0" w:color="auto"/>
        <w:left w:val="none" w:sz="0" w:space="0" w:color="auto"/>
        <w:bottom w:val="none" w:sz="0" w:space="0" w:color="auto"/>
        <w:right w:val="none" w:sz="0" w:space="0" w:color="auto"/>
      </w:divBdr>
    </w:div>
    <w:div w:id="636225752">
      <w:bodyDiv w:val="1"/>
      <w:marLeft w:val="0"/>
      <w:marRight w:val="0"/>
      <w:marTop w:val="0"/>
      <w:marBottom w:val="0"/>
      <w:divBdr>
        <w:top w:val="none" w:sz="0" w:space="0" w:color="auto"/>
        <w:left w:val="none" w:sz="0" w:space="0" w:color="auto"/>
        <w:bottom w:val="none" w:sz="0" w:space="0" w:color="auto"/>
        <w:right w:val="none" w:sz="0" w:space="0" w:color="auto"/>
      </w:divBdr>
    </w:div>
    <w:div w:id="652106786">
      <w:bodyDiv w:val="1"/>
      <w:marLeft w:val="0"/>
      <w:marRight w:val="0"/>
      <w:marTop w:val="0"/>
      <w:marBottom w:val="0"/>
      <w:divBdr>
        <w:top w:val="none" w:sz="0" w:space="0" w:color="auto"/>
        <w:left w:val="none" w:sz="0" w:space="0" w:color="auto"/>
        <w:bottom w:val="none" w:sz="0" w:space="0" w:color="auto"/>
        <w:right w:val="none" w:sz="0" w:space="0" w:color="auto"/>
      </w:divBdr>
    </w:div>
    <w:div w:id="666523581">
      <w:bodyDiv w:val="1"/>
      <w:marLeft w:val="0"/>
      <w:marRight w:val="0"/>
      <w:marTop w:val="0"/>
      <w:marBottom w:val="0"/>
      <w:divBdr>
        <w:top w:val="none" w:sz="0" w:space="0" w:color="auto"/>
        <w:left w:val="none" w:sz="0" w:space="0" w:color="auto"/>
        <w:bottom w:val="none" w:sz="0" w:space="0" w:color="auto"/>
        <w:right w:val="none" w:sz="0" w:space="0" w:color="auto"/>
      </w:divBdr>
    </w:div>
    <w:div w:id="682048406">
      <w:bodyDiv w:val="1"/>
      <w:marLeft w:val="0"/>
      <w:marRight w:val="0"/>
      <w:marTop w:val="0"/>
      <w:marBottom w:val="0"/>
      <w:divBdr>
        <w:top w:val="none" w:sz="0" w:space="0" w:color="auto"/>
        <w:left w:val="none" w:sz="0" w:space="0" w:color="auto"/>
        <w:bottom w:val="none" w:sz="0" w:space="0" w:color="auto"/>
        <w:right w:val="none" w:sz="0" w:space="0" w:color="auto"/>
      </w:divBdr>
    </w:div>
    <w:div w:id="682517396">
      <w:bodyDiv w:val="1"/>
      <w:marLeft w:val="0"/>
      <w:marRight w:val="0"/>
      <w:marTop w:val="0"/>
      <w:marBottom w:val="0"/>
      <w:divBdr>
        <w:top w:val="none" w:sz="0" w:space="0" w:color="auto"/>
        <w:left w:val="none" w:sz="0" w:space="0" w:color="auto"/>
        <w:bottom w:val="none" w:sz="0" w:space="0" w:color="auto"/>
        <w:right w:val="none" w:sz="0" w:space="0" w:color="auto"/>
      </w:divBdr>
    </w:div>
    <w:div w:id="714086164">
      <w:bodyDiv w:val="1"/>
      <w:marLeft w:val="0"/>
      <w:marRight w:val="0"/>
      <w:marTop w:val="0"/>
      <w:marBottom w:val="0"/>
      <w:divBdr>
        <w:top w:val="none" w:sz="0" w:space="0" w:color="auto"/>
        <w:left w:val="none" w:sz="0" w:space="0" w:color="auto"/>
        <w:bottom w:val="none" w:sz="0" w:space="0" w:color="auto"/>
        <w:right w:val="none" w:sz="0" w:space="0" w:color="auto"/>
      </w:divBdr>
    </w:div>
    <w:div w:id="746269977">
      <w:bodyDiv w:val="1"/>
      <w:marLeft w:val="0"/>
      <w:marRight w:val="0"/>
      <w:marTop w:val="0"/>
      <w:marBottom w:val="0"/>
      <w:divBdr>
        <w:top w:val="none" w:sz="0" w:space="0" w:color="auto"/>
        <w:left w:val="none" w:sz="0" w:space="0" w:color="auto"/>
        <w:bottom w:val="none" w:sz="0" w:space="0" w:color="auto"/>
        <w:right w:val="none" w:sz="0" w:space="0" w:color="auto"/>
      </w:divBdr>
    </w:div>
    <w:div w:id="793061024">
      <w:bodyDiv w:val="1"/>
      <w:marLeft w:val="0"/>
      <w:marRight w:val="0"/>
      <w:marTop w:val="0"/>
      <w:marBottom w:val="0"/>
      <w:divBdr>
        <w:top w:val="none" w:sz="0" w:space="0" w:color="auto"/>
        <w:left w:val="none" w:sz="0" w:space="0" w:color="auto"/>
        <w:bottom w:val="none" w:sz="0" w:space="0" w:color="auto"/>
        <w:right w:val="none" w:sz="0" w:space="0" w:color="auto"/>
      </w:divBdr>
    </w:div>
    <w:div w:id="798837957">
      <w:bodyDiv w:val="1"/>
      <w:marLeft w:val="0"/>
      <w:marRight w:val="0"/>
      <w:marTop w:val="0"/>
      <w:marBottom w:val="0"/>
      <w:divBdr>
        <w:top w:val="none" w:sz="0" w:space="0" w:color="auto"/>
        <w:left w:val="none" w:sz="0" w:space="0" w:color="auto"/>
        <w:bottom w:val="none" w:sz="0" w:space="0" w:color="auto"/>
        <w:right w:val="none" w:sz="0" w:space="0" w:color="auto"/>
      </w:divBdr>
    </w:div>
    <w:div w:id="809174601">
      <w:bodyDiv w:val="1"/>
      <w:marLeft w:val="0"/>
      <w:marRight w:val="0"/>
      <w:marTop w:val="0"/>
      <w:marBottom w:val="0"/>
      <w:divBdr>
        <w:top w:val="none" w:sz="0" w:space="0" w:color="auto"/>
        <w:left w:val="none" w:sz="0" w:space="0" w:color="auto"/>
        <w:bottom w:val="none" w:sz="0" w:space="0" w:color="auto"/>
        <w:right w:val="none" w:sz="0" w:space="0" w:color="auto"/>
      </w:divBdr>
    </w:div>
    <w:div w:id="813763151">
      <w:bodyDiv w:val="1"/>
      <w:marLeft w:val="0"/>
      <w:marRight w:val="0"/>
      <w:marTop w:val="0"/>
      <w:marBottom w:val="0"/>
      <w:divBdr>
        <w:top w:val="none" w:sz="0" w:space="0" w:color="auto"/>
        <w:left w:val="none" w:sz="0" w:space="0" w:color="auto"/>
        <w:bottom w:val="none" w:sz="0" w:space="0" w:color="auto"/>
        <w:right w:val="none" w:sz="0" w:space="0" w:color="auto"/>
      </w:divBdr>
    </w:div>
    <w:div w:id="845218473">
      <w:bodyDiv w:val="1"/>
      <w:marLeft w:val="0"/>
      <w:marRight w:val="0"/>
      <w:marTop w:val="0"/>
      <w:marBottom w:val="0"/>
      <w:divBdr>
        <w:top w:val="none" w:sz="0" w:space="0" w:color="auto"/>
        <w:left w:val="none" w:sz="0" w:space="0" w:color="auto"/>
        <w:bottom w:val="none" w:sz="0" w:space="0" w:color="auto"/>
        <w:right w:val="none" w:sz="0" w:space="0" w:color="auto"/>
      </w:divBdr>
    </w:div>
    <w:div w:id="865678447">
      <w:bodyDiv w:val="1"/>
      <w:marLeft w:val="0"/>
      <w:marRight w:val="0"/>
      <w:marTop w:val="0"/>
      <w:marBottom w:val="0"/>
      <w:divBdr>
        <w:top w:val="none" w:sz="0" w:space="0" w:color="auto"/>
        <w:left w:val="none" w:sz="0" w:space="0" w:color="auto"/>
        <w:bottom w:val="none" w:sz="0" w:space="0" w:color="auto"/>
        <w:right w:val="none" w:sz="0" w:space="0" w:color="auto"/>
      </w:divBdr>
    </w:div>
    <w:div w:id="876625653">
      <w:bodyDiv w:val="1"/>
      <w:marLeft w:val="0"/>
      <w:marRight w:val="0"/>
      <w:marTop w:val="0"/>
      <w:marBottom w:val="0"/>
      <w:divBdr>
        <w:top w:val="none" w:sz="0" w:space="0" w:color="auto"/>
        <w:left w:val="none" w:sz="0" w:space="0" w:color="auto"/>
        <w:bottom w:val="none" w:sz="0" w:space="0" w:color="auto"/>
        <w:right w:val="none" w:sz="0" w:space="0" w:color="auto"/>
      </w:divBdr>
    </w:div>
    <w:div w:id="889418167">
      <w:bodyDiv w:val="1"/>
      <w:marLeft w:val="0"/>
      <w:marRight w:val="0"/>
      <w:marTop w:val="0"/>
      <w:marBottom w:val="0"/>
      <w:divBdr>
        <w:top w:val="none" w:sz="0" w:space="0" w:color="auto"/>
        <w:left w:val="none" w:sz="0" w:space="0" w:color="auto"/>
        <w:bottom w:val="none" w:sz="0" w:space="0" w:color="auto"/>
        <w:right w:val="none" w:sz="0" w:space="0" w:color="auto"/>
      </w:divBdr>
    </w:div>
    <w:div w:id="902057056">
      <w:bodyDiv w:val="1"/>
      <w:marLeft w:val="0"/>
      <w:marRight w:val="0"/>
      <w:marTop w:val="0"/>
      <w:marBottom w:val="0"/>
      <w:divBdr>
        <w:top w:val="none" w:sz="0" w:space="0" w:color="auto"/>
        <w:left w:val="none" w:sz="0" w:space="0" w:color="auto"/>
        <w:bottom w:val="none" w:sz="0" w:space="0" w:color="auto"/>
        <w:right w:val="none" w:sz="0" w:space="0" w:color="auto"/>
      </w:divBdr>
    </w:div>
    <w:div w:id="905917898">
      <w:bodyDiv w:val="1"/>
      <w:marLeft w:val="0"/>
      <w:marRight w:val="0"/>
      <w:marTop w:val="0"/>
      <w:marBottom w:val="0"/>
      <w:divBdr>
        <w:top w:val="none" w:sz="0" w:space="0" w:color="auto"/>
        <w:left w:val="none" w:sz="0" w:space="0" w:color="auto"/>
        <w:bottom w:val="none" w:sz="0" w:space="0" w:color="auto"/>
        <w:right w:val="none" w:sz="0" w:space="0" w:color="auto"/>
      </w:divBdr>
    </w:div>
    <w:div w:id="922834056">
      <w:bodyDiv w:val="1"/>
      <w:marLeft w:val="0"/>
      <w:marRight w:val="0"/>
      <w:marTop w:val="0"/>
      <w:marBottom w:val="0"/>
      <w:divBdr>
        <w:top w:val="none" w:sz="0" w:space="0" w:color="auto"/>
        <w:left w:val="none" w:sz="0" w:space="0" w:color="auto"/>
        <w:bottom w:val="none" w:sz="0" w:space="0" w:color="auto"/>
        <w:right w:val="none" w:sz="0" w:space="0" w:color="auto"/>
      </w:divBdr>
    </w:div>
    <w:div w:id="938217828">
      <w:bodyDiv w:val="1"/>
      <w:marLeft w:val="0"/>
      <w:marRight w:val="0"/>
      <w:marTop w:val="0"/>
      <w:marBottom w:val="0"/>
      <w:divBdr>
        <w:top w:val="none" w:sz="0" w:space="0" w:color="auto"/>
        <w:left w:val="none" w:sz="0" w:space="0" w:color="auto"/>
        <w:bottom w:val="none" w:sz="0" w:space="0" w:color="auto"/>
        <w:right w:val="none" w:sz="0" w:space="0" w:color="auto"/>
      </w:divBdr>
    </w:div>
    <w:div w:id="989600695">
      <w:bodyDiv w:val="1"/>
      <w:marLeft w:val="0"/>
      <w:marRight w:val="0"/>
      <w:marTop w:val="0"/>
      <w:marBottom w:val="0"/>
      <w:divBdr>
        <w:top w:val="none" w:sz="0" w:space="0" w:color="auto"/>
        <w:left w:val="none" w:sz="0" w:space="0" w:color="auto"/>
        <w:bottom w:val="none" w:sz="0" w:space="0" w:color="auto"/>
        <w:right w:val="none" w:sz="0" w:space="0" w:color="auto"/>
      </w:divBdr>
    </w:div>
    <w:div w:id="996306904">
      <w:bodyDiv w:val="1"/>
      <w:marLeft w:val="0"/>
      <w:marRight w:val="0"/>
      <w:marTop w:val="0"/>
      <w:marBottom w:val="0"/>
      <w:divBdr>
        <w:top w:val="none" w:sz="0" w:space="0" w:color="auto"/>
        <w:left w:val="none" w:sz="0" w:space="0" w:color="auto"/>
        <w:bottom w:val="none" w:sz="0" w:space="0" w:color="auto"/>
        <w:right w:val="none" w:sz="0" w:space="0" w:color="auto"/>
      </w:divBdr>
    </w:div>
    <w:div w:id="1017928279">
      <w:bodyDiv w:val="1"/>
      <w:marLeft w:val="0"/>
      <w:marRight w:val="0"/>
      <w:marTop w:val="0"/>
      <w:marBottom w:val="0"/>
      <w:divBdr>
        <w:top w:val="none" w:sz="0" w:space="0" w:color="auto"/>
        <w:left w:val="none" w:sz="0" w:space="0" w:color="auto"/>
        <w:bottom w:val="none" w:sz="0" w:space="0" w:color="auto"/>
        <w:right w:val="none" w:sz="0" w:space="0" w:color="auto"/>
      </w:divBdr>
    </w:div>
    <w:div w:id="1022590562">
      <w:bodyDiv w:val="1"/>
      <w:marLeft w:val="0"/>
      <w:marRight w:val="0"/>
      <w:marTop w:val="0"/>
      <w:marBottom w:val="0"/>
      <w:divBdr>
        <w:top w:val="none" w:sz="0" w:space="0" w:color="auto"/>
        <w:left w:val="none" w:sz="0" w:space="0" w:color="auto"/>
        <w:bottom w:val="none" w:sz="0" w:space="0" w:color="auto"/>
        <w:right w:val="none" w:sz="0" w:space="0" w:color="auto"/>
      </w:divBdr>
    </w:div>
    <w:div w:id="1022703246">
      <w:bodyDiv w:val="1"/>
      <w:marLeft w:val="0"/>
      <w:marRight w:val="0"/>
      <w:marTop w:val="0"/>
      <w:marBottom w:val="0"/>
      <w:divBdr>
        <w:top w:val="none" w:sz="0" w:space="0" w:color="auto"/>
        <w:left w:val="none" w:sz="0" w:space="0" w:color="auto"/>
        <w:bottom w:val="none" w:sz="0" w:space="0" w:color="auto"/>
        <w:right w:val="none" w:sz="0" w:space="0" w:color="auto"/>
      </w:divBdr>
    </w:div>
    <w:div w:id="1035039740">
      <w:bodyDiv w:val="1"/>
      <w:marLeft w:val="0"/>
      <w:marRight w:val="0"/>
      <w:marTop w:val="0"/>
      <w:marBottom w:val="0"/>
      <w:divBdr>
        <w:top w:val="none" w:sz="0" w:space="0" w:color="auto"/>
        <w:left w:val="none" w:sz="0" w:space="0" w:color="auto"/>
        <w:bottom w:val="none" w:sz="0" w:space="0" w:color="auto"/>
        <w:right w:val="none" w:sz="0" w:space="0" w:color="auto"/>
      </w:divBdr>
    </w:div>
    <w:div w:id="1044862983">
      <w:bodyDiv w:val="1"/>
      <w:marLeft w:val="0"/>
      <w:marRight w:val="0"/>
      <w:marTop w:val="0"/>
      <w:marBottom w:val="0"/>
      <w:divBdr>
        <w:top w:val="none" w:sz="0" w:space="0" w:color="auto"/>
        <w:left w:val="none" w:sz="0" w:space="0" w:color="auto"/>
        <w:bottom w:val="none" w:sz="0" w:space="0" w:color="auto"/>
        <w:right w:val="none" w:sz="0" w:space="0" w:color="auto"/>
      </w:divBdr>
    </w:div>
    <w:div w:id="1053427432">
      <w:bodyDiv w:val="1"/>
      <w:marLeft w:val="0"/>
      <w:marRight w:val="0"/>
      <w:marTop w:val="0"/>
      <w:marBottom w:val="0"/>
      <w:divBdr>
        <w:top w:val="none" w:sz="0" w:space="0" w:color="auto"/>
        <w:left w:val="none" w:sz="0" w:space="0" w:color="auto"/>
        <w:bottom w:val="none" w:sz="0" w:space="0" w:color="auto"/>
        <w:right w:val="none" w:sz="0" w:space="0" w:color="auto"/>
      </w:divBdr>
    </w:div>
    <w:div w:id="1064180545">
      <w:bodyDiv w:val="1"/>
      <w:marLeft w:val="0"/>
      <w:marRight w:val="0"/>
      <w:marTop w:val="0"/>
      <w:marBottom w:val="0"/>
      <w:divBdr>
        <w:top w:val="none" w:sz="0" w:space="0" w:color="auto"/>
        <w:left w:val="none" w:sz="0" w:space="0" w:color="auto"/>
        <w:bottom w:val="none" w:sz="0" w:space="0" w:color="auto"/>
        <w:right w:val="none" w:sz="0" w:space="0" w:color="auto"/>
      </w:divBdr>
      <w:divsChild>
        <w:div w:id="938294467">
          <w:marLeft w:val="0"/>
          <w:marRight w:val="0"/>
          <w:marTop w:val="0"/>
          <w:marBottom w:val="0"/>
          <w:divBdr>
            <w:top w:val="none" w:sz="0" w:space="0" w:color="auto"/>
            <w:left w:val="none" w:sz="0" w:space="0" w:color="auto"/>
            <w:bottom w:val="none" w:sz="0" w:space="0" w:color="auto"/>
            <w:right w:val="none" w:sz="0" w:space="0" w:color="auto"/>
          </w:divBdr>
        </w:div>
        <w:div w:id="406343897">
          <w:marLeft w:val="0"/>
          <w:marRight w:val="0"/>
          <w:marTop w:val="0"/>
          <w:marBottom w:val="0"/>
          <w:divBdr>
            <w:top w:val="none" w:sz="0" w:space="0" w:color="auto"/>
            <w:left w:val="none" w:sz="0" w:space="0" w:color="auto"/>
            <w:bottom w:val="none" w:sz="0" w:space="0" w:color="auto"/>
            <w:right w:val="none" w:sz="0" w:space="0" w:color="auto"/>
          </w:divBdr>
        </w:div>
        <w:div w:id="608664345">
          <w:marLeft w:val="0"/>
          <w:marRight w:val="0"/>
          <w:marTop w:val="0"/>
          <w:marBottom w:val="0"/>
          <w:divBdr>
            <w:top w:val="none" w:sz="0" w:space="0" w:color="auto"/>
            <w:left w:val="none" w:sz="0" w:space="0" w:color="auto"/>
            <w:bottom w:val="none" w:sz="0" w:space="0" w:color="auto"/>
            <w:right w:val="none" w:sz="0" w:space="0" w:color="auto"/>
          </w:divBdr>
        </w:div>
        <w:div w:id="705911878">
          <w:marLeft w:val="0"/>
          <w:marRight w:val="0"/>
          <w:marTop w:val="0"/>
          <w:marBottom w:val="0"/>
          <w:divBdr>
            <w:top w:val="none" w:sz="0" w:space="0" w:color="auto"/>
            <w:left w:val="none" w:sz="0" w:space="0" w:color="auto"/>
            <w:bottom w:val="none" w:sz="0" w:space="0" w:color="auto"/>
            <w:right w:val="none" w:sz="0" w:space="0" w:color="auto"/>
          </w:divBdr>
        </w:div>
        <w:div w:id="361712091">
          <w:marLeft w:val="0"/>
          <w:marRight w:val="0"/>
          <w:marTop w:val="0"/>
          <w:marBottom w:val="0"/>
          <w:divBdr>
            <w:top w:val="none" w:sz="0" w:space="0" w:color="auto"/>
            <w:left w:val="none" w:sz="0" w:space="0" w:color="auto"/>
            <w:bottom w:val="none" w:sz="0" w:space="0" w:color="auto"/>
            <w:right w:val="none" w:sz="0" w:space="0" w:color="auto"/>
          </w:divBdr>
        </w:div>
        <w:div w:id="1747145606">
          <w:marLeft w:val="0"/>
          <w:marRight w:val="0"/>
          <w:marTop w:val="0"/>
          <w:marBottom w:val="0"/>
          <w:divBdr>
            <w:top w:val="none" w:sz="0" w:space="0" w:color="auto"/>
            <w:left w:val="none" w:sz="0" w:space="0" w:color="auto"/>
            <w:bottom w:val="none" w:sz="0" w:space="0" w:color="auto"/>
            <w:right w:val="none" w:sz="0" w:space="0" w:color="auto"/>
          </w:divBdr>
        </w:div>
        <w:div w:id="1640333228">
          <w:marLeft w:val="0"/>
          <w:marRight w:val="0"/>
          <w:marTop w:val="0"/>
          <w:marBottom w:val="0"/>
          <w:divBdr>
            <w:top w:val="none" w:sz="0" w:space="0" w:color="auto"/>
            <w:left w:val="none" w:sz="0" w:space="0" w:color="auto"/>
            <w:bottom w:val="none" w:sz="0" w:space="0" w:color="auto"/>
            <w:right w:val="none" w:sz="0" w:space="0" w:color="auto"/>
          </w:divBdr>
        </w:div>
        <w:div w:id="425464903">
          <w:marLeft w:val="0"/>
          <w:marRight w:val="0"/>
          <w:marTop w:val="0"/>
          <w:marBottom w:val="0"/>
          <w:divBdr>
            <w:top w:val="none" w:sz="0" w:space="0" w:color="auto"/>
            <w:left w:val="none" w:sz="0" w:space="0" w:color="auto"/>
            <w:bottom w:val="none" w:sz="0" w:space="0" w:color="auto"/>
            <w:right w:val="none" w:sz="0" w:space="0" w:color="auto"/>
          </w:divBdr>
        </w:div>
        <w:div w:id="48236115">
          <w:marLeft w:val="0"/>
          <w:marRight w:val="0"/>
          <w:marTop w:val="0"/>
          <w:marBottom w:val="0"/>
          <w:divBdr>
            <w:top w:val="none" w:sz="0" w:space="0" w:color="auto"/>
            <w:left w:val="none" w:sz="0" w:space="0" w:color="auto"/>
            <w:bottom w:val="none" w:sz="0" w:space="0" w:color="auto"/>
            <w:right w:val="none" w:sz="0" w:space="0" w:color="auto"/>
          </w:divBdr>
        </w:div>
        <w:div w:id="956330586">
          <w:marLeft w:val="0"/>
          <w:marRight w:val="0"/>
          <w:marTop w:val="0"/>
          <w:marBottom w:val="0"/>
          <w:divBdr>
            <w:top w:val="none" w:sz="0" w:space="0" w:color="auto"/>
            <w:left w:val="none" w:sz="0" w:space="0" w:color="auto"/>
            <w:bottom w:val="none" w:sz="0" w:space="0" w:color="auto"/>
            <w:right w:val="none" w:sz="0" w:space="0" w:color="auto"/>
          </w:divBdr>
        </w:div>
        <w:div w:id="213472137">
          <w:marLeft w:val="0"/>
          <w:marRight w:val="0"/>
          <w:marTop w:val="0"/>
          <w:marBottom w:val="0"/>
          <w:divBdr>
            <w:top w:val="none" w:sz="0" w:space="0" w:color="auto"/>
            <w:left w:val="none" w:sz="0" w:space="0" w:color="auto"/>
            <w:bottom w:val="none" w:sz="0" w:space="0" w:color="auto"/>
            <w:right w:val="none" w:sz="0" w:space="0" w:color="auto"/>
          </w:divBdr>
        </w:div>
      </w:divsChild>
    </w:div>
    <w:div w:id="1074818696">
      <w:bodyDiv w:val="1"/>
      <w:marLeft w:val="0"/>
      <w:marRight w:val="0"/>
      <w:marTop w:val="0"/>
      <w:marBottom w:val="0"/>
      <w:divBdr>
        <w:top w:val="none" w:sz="0" w:space="0" w:color="auto"/>
        <w:left w:val="none" w:sz="0" w:space="0" w:color="auto"/>
        <w:bottom w:val="none" w:sz="0" w:space="0" w:color="auto"/>
        <w:right w:val="none" w:sz="0" w:space="0" w:color="auto"/>
      </w:divBdr>
    </w:div>
    <w:div w:id="1093670599">
      <w:bodyDiv w:val="1"/>
      <w:marLeft w:val="0"/>
      <w:marRight w:val="0"/>
      <w:marTop w:val="0"/>
      <w:marBottom w:val="0"/>
      <w:divBdr>
        <w:top w:val="none" w:sz="0" w:space="0" w:color="auto"/>
        <w:left w:val="none" w:sz="0" w:space="0" w:color="auto"/>
        <w:bottom w:val="none" w:sz="0" w:space="0" w:color="auto"/>
        <w:right w:val="none" w:sz="0" w:space="0" w:color="auto"/>
      </w:divBdr>
    </w:div>
    <w:div w:id="1121341464">
      <w:bodyDiv w:val="1"/>
      <w:marLeft w:val="0"/>
      <w:marRight w:val="0"/>
      <w:marTop w:val="0"/>
      <w:marBottom w:val="0"/>
      <w:divBdr>
        <w:top w:val="none" w:sz="0" w:space="0" w:color="auto"/>
        <w:left w:val="none" w:sz="0" w:space="0" w:color="auto"/>
        <w:bottom w:val="none" w:sz="0" w:space="0" w:color="auto"/>
        <w:right w:val="none" w:sz="0" w:space="0" w:color="auto"/>
      </w:divBdr>
      <w:divsChild>
        <w:div w:id="1183203094">
          <w:marLeft w:val="0"/>
          <w:marRight w:val="0"/>
          <w:marTop w:val="0"/>
          <w:marBottom w:val="0"/>
          <w:divBdr>
            <w:top w:val="none" w:sz="0" w:space="0" w:color="auto"/>
            <w:left w:val="none" w:sz="0" w:space="0" w:color="auto"/>
            <w:bottom w:val="none" w:sz="0" w:space="0" w:color="auto"/>
            <w:right w:val="none" w:sz="0" w:space="0" w:color="auto"/>
          </w:divBdr>
        </w:div>
        <w:div w:id="1083449691">
          <w:marLeft w:val="0"/>
          <w:marRight w:val="0"/>
          <w:marTop w:val="0"/>
          <w:marBottom w:val="0"/>
          <w:divBdr>
            <w:top w:val="none" w:sz="0" w:space="0" w:color="auto"/>
            <w:left w:val="none" w:sz="0" w:space="0" w:color="auto"/>
            <w:bottom w:val="none" w:sz="0" w:space="0" w:color="auto"/>
            <w:right w:val="none" w:sz="0" w:space="0" w:color="auto"/>
          </w:divBdr>
        </w:div>
        <w:div w:id="731318841">
          <w:marLeft w:val="0"/>
          <w:marRight w:val="0"/>
          <w:marTop w:val="0"/>
          <w:marBottom w:val="0"/>
          <w:divBdr>
            <w:top w:val="none" w:sz="0" w:space="0" w:color="auto"/>
            <w:left w:val="none" w:sz="0" w:space="0" w:color="auto"/>
            <w:bottom w:val="none" w:sz="0" w:space="0" w:color="auto"/>
            <w:right w:val="none" w:sz="0" w:space="0" w:color="auto"/>
          </w:divBdr>
        </w:div>
        <w:div w:id="955135835">
          <w:marLeft w:val="0"/>
          <w:marRight w:val="0"/>
          <w:marTop w:val="0"/>
          <w:marBottom w:val="0"/>
          <w:divBdr>
            <w:top w:val="none" w:sz="0" w:space="0" w:color="auto"/>
            <w:left w:val="none" w:sz="0" w:space="0" w:color="auto"/>
            <w:bottom w:val="none" w:sz="0" w:space="0" w:color="auto"/>
            <w:right w:val="none" w:sz="0" w:space="0" w:color="auto"/>
          </w:divBdr>
        </w:div>
        <w:div w:id="847673933">
          <w:marLeft w:val="0"/>
          <w:marRight w:val="0"/>
          <w:marTop w:val="0"/>
          <w:marBottom w:val="0"/>
          <w:divBdr>
            <w:top w:val="none" w:sz="0" w:space="0" w:color="auto"/>
            <w:left w:val="none" w:sz="0" w:space="0" w:color="auto"/>
            <w:bottom w:val="none" w:sz="0" w:space="0" w:color="auto"/>
            <w:right w:val="none" w:sz="0" w:space="0" w:color="auto"/>
          </w:divBdr>
        </w:div>
        <w:div w:id="123276262">
          <w:marLeft w:val="0"/>
          <w:marRight w:val="0"/>
          <w:marTop w:val="0"/>
          <w:marBottom w:val="0"/>
          <w:divBdr>
            <w:top w:val="none" w:sz="0" w:space="0" w:color="auto"/>
            <w:left w:val="none" w:sz="0" w:space="0" w:color="auto"/>
            <w:bottom w:val="none" w:sz="0" w:space="0" w:color="auto"/>
            <w:right w:val="none" w:sz="0" w:space="0" w:color="auto"/>
          </w:divBdr>
        </w:div>
        <w:div w:id="282926142">
          <w:marLeft w:val="0"/>
          <w:marRight w:val="0"/>
          <w:marTop w:val="0"/>
          <w:marBottom w:val="0"/>
          <w:divBdr>
            <w:top w:val="none" w:sz="0" w:space="0" w:color="auto"/>
            <w:left w:val="none" w:sz="0" w:space="0" w:color="auto"/>
            <w:bottom w:val="none" w:sz="0" w:space="0" w:color="auto"/>
            <w:right w:val="none" w:sz="0" w:space="0" w:color="auto"/>
          </w:divBdr>
        </w:div>
        <w:div w:id="183130957">
          <w:marLeft w:val="0"/>
          <w:marRight w:val="0"/>
          <w:marTop w:val="0"/>
          <w:marBottom w:val="0"/>
          <w:divBdr>
            <w:top w:val="none" w:sz="0" w:space="0" w:color="auto"/>
            <w:left w:val="none" w:sz="0" w:space="0" w:color="auto"/>
            <w:bottom w:val="none" w:sz="0" w:space="0" w:color="auto"/>
            <w:right w:val="none" w:sz="0" w:space="0" w:color="auto"/>
          </w:divBdr>
        </w:div>
        <w:div w:id="688799440">
          <w:marLeft w:val="0"/>
          <w:marRight w:val="0"/>
          <w:marTop w:val="0"/>
          <w:marBottom w:val="0"/>
          <w:divBdr>
            <w:top w:val="none" w:sz="0" w:space="0" w:color="auto"/>
            <w:left w:val="none" w:sz="0" w:space="0" w:color="auto"/>
            <w:bottom w:val="none" w:sz="0" w:space="0" w:color="auto"/>
            <w:right w:val="none" w:sz="0" w:space="0" w:color="auto"/>
          </w:divBdr>
        </w:div>
        <w:div w:id="1373918572">
          <w:marLeft w:val="0"/>
          <w:marRight w:val="0"/>
          <w:marTop w:val="0"/>
          <w:marBottom w:val="0"/>
          <w:divBdr>
            <w:top w:val="none" w:sz="0" w:space="0" w:color="auto"/>
            <w:left w:val="none" w:sz="0" w:space="0" w:color="auto"/>
            <w:bottom w:val="none" w:sz="0" w:space="0" w:color="auto"/>
            <w:right w:val="none" w:sz="0" w:space="0" w:color="auto"/>
          </w:divBdr>
        </w:div>
      </w:divsChild>
    </w:div>
    <w:div w:id="1167984185">
      <w:bodyDiv w:val="1"/>
      <w:marLeft w:val="0"/>
      <w:marRight w:val="0"/>
      <w:marTop w:val="0"/>
      <w:marBottom w:val="0"/>
      <w:divBdr>
        <w:top w:val="none" w:sz="0" w:space="0" w:color="auto"/>
        <w:left w:val="none" w:sz="0" w:space="0" w:color="auto"/>
        <w:bottom w:val="none" w:sz="0" w:space="0" w:color="auto"/>
        <w:right w:val="none" w:sz="0" w:space="0" w:color="auto"/>
      </w:divBdr>
    </w:div>
    <w:div w:id="1207983343">
      <w:bodyDiv w:val="1"/>
      <w:marLeft w:val="0"/>
      <w:marRight w:val="0"/>
      <w:marTop w:val="0"/>
      <w:marBottom w:val="0"/>
      <w:divBdr>
        <w:top w:val="none" w:sz="0" w:space="0" w:color="auto"/>
        <w:left w:val="none" w:sz="0" w:space="0" w:color="auto"/>
        <w:bottom w:val="none" w:sz="0" w:space="0" w:color="auto"/>
        <w:right w:val="none" w:sz="0" w:space="0" w:color="auto"/>
      </w:divBdr>
    </w:div>
    <w:div w:id="1293438995">
      <w:bodyDiv w:val="1"/>
      <w:marLeft w:val="0"/>
      <w:marRight w:val="0"/>
      <w:marTop w:val="0"/>
      <w:marBottom w:val="0"/>
      <w:divBdr>
        <w:top w:val="none" w:sz="0" w:space="0" w:color="auto"/>
        <w:left w:val="none" w:sz="0" w:space="0" w:color="auto"/>
        <w:bottom w:val="none" w:sz="0" w:space="0" w:color="auto"/>
        <w:right w:val="none" w:sz="0" w:space="0" w:color="auto"/>
      </w:divBdr>
    </w:div>
    <w:div w:id="1307011196">
      <w:bodyDiv w:val="1"/>
      <w:marLeft w:val="0"/>
      <w:marRight w:val="0"/>
      <w:marTop w:val="0"/>
      <w:marBottom w:val="0"/>
      <w:divBdr>
        <w:top w:val="none" w:sz="0" w:space="0" w:color="auto"/>
        <w:left w:val="none" w:sz="0" w:space="0" w:color="auto"/>
        <w:bottom w:val="none" w:sz="0" w:space="0" w:color="auto"/>
        <w:right w:val="none" w:sz="0" w:space="0" w:color="auto"/>
      </w:divBdr>
    </w:div>
    <w:div w:id="1312442017">
      <w:bodyDiv w:val="1"/>
      <w:marLeft w:val="0"/>
      <w:marRight w:val="0"/>
      <w:marTop w:val="0"/>
      <w:marBottom w:val="0"/>
      <w:divBdr>
        <w:top w:val="none" w:sz="0" w:space="0" w:color="auto"/>
        <w:left w:val="none" w:sz="0" w:space="0" w:color="auto"/>
        <w:bottom w:val="none" w:sz="0" w:space="0" w:color="auto"/>
        <w:right w:val="none" w:sz="0" w:space="0" w:color="auto"/>
      </w:divBdr>
    </w:div>
    <w:div w:id="1342974943">
      <w:bodyDiv w:val="1"/>
      <w:marLeft w:val="0"/>
      <w:marRight w:val="0"/>
      <w:marTop w:val="0"/>
      <w:marBottom w:val="0"/>
      <w:divBdr>
        <w:top w:val="none" w:sz="0" w:space="0" w:color="auto"/>
        <w:left w:val="none" w:sz="0" w:space="0" w:color="auto"/>
        <w:bottom w:val="none" w:sz="0" w:space="0" w:color="auto"/>
        <w:right w:val="none" w:sz="0" w:space="0" w:color="auto"/>
      </w:divBdr>
    </w:div>
    <w:div w:id="1367411380">
      <w:bodyDiv w:val="1"/>
      <w:marLeft w:val="0"/>
      <w:marRight w:val="0"/>
      <w:marTop w:val="0"/>
      <w:marBottom w:val="0"/>
      <w:divBdr>
        <w:top w:val="none" w:sz="0" w:space="0" w:color="auto"/>
        <w:left w:val="none" w:sz="0" w:space="0" w:color="auto"/>
        <w:bottom w:val="none" w:sz="0" w:space="0" w:color="auto"/>
        <w:right w:val="none" w:sz="0" w:space="0" w:color="auto"/>
      </w:divBdr>
    </w:div>
    <w:div w:id="1379664800">
      <w:bodyDiv w:val="1"/>
      <w:marLeft w:val="0"/>
      <w:marRight w:val="0"/>
      <w:marTop w:val="0"/>
      <w:marBottom w:val="0"/>
      <w:divBdr>
        <w:top w:val="none" w:sz="0" w:space="0" w:color="auto"/>
        <w:left w:val="none" w:sz="0" w:space="0" w:color="auto"/>
        <w:bottom w:val="none" w:sz="0" w:space="0" w:color="auto"/>
        <w:right w:val="none" w:sz="0" w:space="0" w:color="auto"/>
      </w:divBdr>
      <w:divsChild>
        <w:div w:id="664094269">
          <w:marLeft w:val="0"/>
          <w:marRight w:val="0"/>
          <w:marTop w:val="0"/>
          <w:marBottom w:val="0"/>
          <w:divBdr>
            <w:top w:val="none" w:sz="0" w:space="0" w:color="auto"/>
            <w:left w:val="none" w:sz="0" w:space="0" w:color="auto"/>
            <w:bottom w:val="none" w:sz="0" w:space="0" w:color="auto"/>
            <w:right w:val="none" w:sz="0" w:space="0" w:color="auto"/>
          </w:divBdr>
        </w:div>
        <w:div w:id="559632143">
          <w:marLeft w:val="0"/>
          <w:marRight w:val="0"/>
          <w:marTop w:val="0"/>
          <w:marBottom w:val="0"/>
          <w:divBdr>
            <w:top w:val="none" w:sz="0" w:space="0" w:color="auto"/>
            <w:left w:val="none" w:sz="0" w:space="0" w:color="auto"/>
            <w:bottom w:val="none" w:sz="0" w:space="0" w:color="auto"/>
            <w:right w:val="none" w:sz="0" w:space="0" w:color="auto"/>
          </w:divBdr>
        </w:div>
        <w:div w:id="297996231">
          <w:marLeft w:val="0"/>
          <w:marRight w:val="0"/>
          <w:marTop w:val="0"/>
          <w:marBottom w:val="0"/>
          <w:divBdr>
            <w:top w:val="none" w:sz="0" w:space="0" w:color="auto"/>
            <w:left w:val="none" w:sz="0" w:space="0" w:color="auto"/>
            <w:bottom w:val="none" w:sz="0" w:space="0" w:color="auto"/>
            <w:right w:val="none" w:sz="0" w:space="0" w:color="auto"/>
          </w:divBdr>
        </w:div>
      </w:divsChild>
    </w:div>
    <w:div w:id="1422792676">
      <w:bodyDiv w:val="1"/>
      <w:marLeft w:val="0"/>
      <w:marRight w:val="0"/>
      <w:marTop w:val="0"/>
      <w:marBottom w:val="0"/>
      <w:divBdr>
        <w:top w:val="none" w:sz="0" w:space="0" w:color="auto"/>
        <w:left w:val="none" w:sz="0" w:space="0" w:color="auto"/>
        <w:bottom w:val="none" w:sz="0" w:space="0" w:color="auto"/>
        <w:right w:val="none" w:sz="0" w:space="0" w:color="auto"/>
      </w:divBdr>
    </w:div>
    <w:div w:id="1456215980">
      <w:bodyDiv w:val="1"/>
      <w:marLeft w:val="0"/>
      <w:marRight w:val="0"/>
      <w:marTop w:val="0"/>
      <w:marBottom w:val="0"/>
      <w:divBdr>
        <w:top w:val="none" w:sz="0" w:space="0" w:color="auto"/>
        <w:left w:val="none" w:sz="0" w:space="0" w:color="auto"/>
        <w:bottom w:val="none" w:sz="0" w:space="0" w:color="auto"/>
        <w:right w:val="none" w:sz="0" w:space="0" w:color="auto"/>
      </w:divBdr>
    </w:div>
    <w:div w:id="1494028755">
      <w:bodyDiv w:val="1"/>
      <w:marLeft w:val="0"/>
      <w:marRight w:val="0"/>
      <w:marTop w:val="0"/>
      <w:marBottom w:val="0"/>
      <w:divBdr>
        <w:top w:val="none" w:sz="0" w:space="0" w:color="auto"/>
        <w:left w:val="none" w:sz="0" w:space="0" w:color="auto"/>
        <w:bottom w:val="none" w:sz="0" w:space="0" w:color="auto"/>
        <w:right w:val="none" w:sz="0" w:space="0" w:color="auto"/>
      </w:divBdr>
    </w:div>
    <w:div w:id="1528567904">
      <w:bodyDiv w:val="1"/>
      <w:marLeft w:val="0"/>
      <w:marRight w:val="0"/>
      <w:marTop w:val="0"/>
      <w:marBottom w:val="0"/>
      <w:divBdr>
        <w:top w:val="none" w:sz="0" w:space="0" w:color="auto"/>
        <w:left w:val="none" w:sz="0" w:space="0" w:color="auto"/>
        <w:bottom w:val="none" w:sz="0" w:space="0" w:color="auto"/>
        <w:right w:val="none" w:sz="0" w:space="0" w:color="auto"/>
      </w:divBdr>
    </w:div>
    <w:div w:id="1554535415">
      <w:bodyDiv w:val="1"/>
      <w:marLeft w:val="0"/>
      <w:marRight w:val="0"/>
      <w:marTop w:val="0"/>
      <w:marBottom w:val="0"/>
      <w:divBdr>
        <w:top w:val="none" w:sz="0" w:space="0" w:color="auto"/>
        <w:left w:val="none" w:sz="0" w:space="0" w:color="auto"/>
        <w:bottom w:val="none" w:sz="0" w:space="0" w:color="auto"/>
        <w:right w:val="none" w:sz="0" w:space="0" w:color="auto"/>
      </w:divBdr>
    </w:div>
    <w:div w:id="1565723856">
      <w:bodyDiv w:val="1"/>
      <w:marLeft w:val="0"/>
      <w:marRight w:val="0"/>
      <w:marTop w:val="0"/>
      <w:marBottom w:val="0"/>
      <w:divBdr>
        <w:top w:val="none" w:sz="0" w:space="0" w:color="auto"/>
        <w:left w:val="none" w:sz="0" w:space="0" w:color="auto"/>
        <w:bottom w:val="none" w:sz="0" w:space="0" w:color="auto"/>
        <w:right w:val="none" w:sz="0" w:space="0" w:color="auto"/>
      </w:divBdr>
    </w:div>
    <w:div w:id="1567033038">
      <w:bodyDiv w:val="1"/>
      <w:marLeft w:val="0"/>
      <w:marRight w:val="0"/>
      <w:marTop w:val="0"/>
      <w:marBottom w:val="0"/>
      <w:divBdr>
        <w:top w:val="none" w:sz="0" w:space="0" w:color="auto"/>
        <w:left w:val="none" w:sz="0" w:space="0" w:color="auto"/>
        <w:bottom w:val="none" w:sz="0" w:space="0" w:color="auto"/>
        <w:right w:val="none" w:sz="0" w:space="0" w:color="auto"/>
      </w:divBdr>
    </w:div>
    <w:div w:id="1599681708">
      <w:bodyDiv w:val="1"/>
      <w:marLeft w:val="0"/>
      <w:marRight w:val="0"/>
      <w:marTop w:val="0"/>
      <w:marBottom w:val="0"/>
      <w:divBdr>
        <w:top w:val="none" w:sz="0" w:space="0" w:color="auto"/>
        <w:left w:val="none" w:sz="0" w:space="0" w:color="auto"/>
        <w:bottom w:val="none" w:sz="0" w:space="0" w:color="auto"/>
        <w:right w:val="none" w:sz="0" w:space="0" w:color="auto"/>
      </w:divBdr>
    </w:div>
    <w:div w:id="1614550638">
      <w:bodyDiv w:val="1"/>
      <w:marLeft w:val="0"/>
      <w:marRight w:val="0"/>
      <w:marTop w:val="0"/>
      <w:marBottom w:val="0"/>
      <w:divBdr>
        <w:top w:val="none" w:sz="0" w:space="0" w:color="auto"/>
        <w:left w:val="none" w:sz="0" w:space="0" w:color="auto"/>
        <w:bottom w:val="none" w:sz="0" w:space="0" w:color="auto"/>
        <w:right w:val="none" w:sz="0" w:space="0" w:color="auto"/>
      </w:divBdr>
    </w:div>
    <w:div w:id="1632789153">
      <w:bodyDiv w:val="1"/>
      <w:marLeft w:val="0"/>
      <w:marRight w:val="0"/>
      <w:marTop w:val="0"/>
      <w:marBottom w:val="0"/>
      <w:divBdr>
        <w:top w:val="none" w:sz="0" w:space="0" w:color="auto"/>
        <w:left w:val="none" w:sz="0" w:space="0" w:color="auto"/>
        <w:bottom w:val="none" w:sz="0" w:space="0" w:color="auto"/>
        <w:right w:val="none" w:sz="0" w:space="0" w:color="auto"/>
      </w:divBdr>
    </w:div>
    <w:div w:id="1653171011">
      <w:bodyDiv w:val="1"/>
      <w:marLeft w:val="0"/>
      <w:marRight w:val="0"/>
      <w:marTop w:val="0"/>
      <w:marBottom w:val="0"/>
      <w:divBdr>
        <w:top w:val="none" w:sz="0" w:space="0" w:color="auto"/>
        <w:left w:val="none" w:sz="0" w:space="0" w:color="auto"/>
        <w:bottom w:val="none" w:sz="0" w:space="0" w:color="auto"/>
        <w:right w:val="none" w:sz="0" w:space="0" w:color="auto"/>
      </w:divBdr>
    </w:div>
    <w:div w:id="1663699800">
      <w:bodyDiv w:val="1"/>
      <w:marLeft w:val="0"/>
      <w:marRight w:val="0"/>
      <w:marTop w:val="0"/>
      <w:marBottom w:val="0"/>
      <w:divBdr>
        <w:top w:val="none" w:sz="0" w:space="0" w:color="auto"/>
        <w:left w:val="none" w:sz="0" w:space="0" w:color="auto"/>
        <w:bottom w:val="none" w:sz="0" w:space="0" w:color="auto"/>
        <w:right w:val="none" w:sz="0" w:space="0" w:color="auto"/>
      </w:divBdr>
    </w:div>
    <w:div w:id="1669553477">
      <w:bodyDiv w:val="1"/>
      <w:marLeft w:val="0"/>
      <w:marRight w:val="0"/>
      <w:marTop w:val="0"/>
      <w:marBottom w:val="0"/>
      <w:divBdr>
        <w:top w:val="none" w:sz="0" w:space="0" w:color="auto"/>
        <w:left w:val="none" w:sz="0" w:space="0" w:color="auto"/>
        <w:bottom w:val="none" w:sz="0" w:space="0" w:color="auto"/>
        <w:right w:val="none" w:sz="0" w:space="0" w:color="auto"/>
      </w:divBdr>
    </w:div>
    <w:div w:id="1670517923">
      <w:bodyDiv w:val="1"/>
      <w:marLeft w:val="0"/>
      <w:marRight w:val="0"/>
      <w:marTop w:val="0"/>
      <w:marBottom w:val="0"/>
      <w:divBdr>
        <w:top w:val="none" w:sz="0" w:space="0" w:color="auto"/>
        <w:left w:val="none" w:sz="0" w:space="0" w:color="auto"/>
        <w:bottom w:val="none" w:sz="0" w:space="0" w:color="auto"/>
        <w:right w:val="none" w:sz="0" w:space="0" w:color="auto"/>
      </w:divBdr>
    </w:div>
    <w:div w:id="1707489897">
      <w:bodyDiv w:val="1"/>
      <w:marLeft w:val="0"/>
      <w:marRight w:val="0"/>
      <w:marTop w:val="0"/>
      <w:marBottom w:val="0"/>
      <w:divBdr>
        <w:top w:val="none" w:sz="0" w:space="0" w:color="auto"/>
        <w:left w:val="none" w:sz="0" w:space="0" w:color="auto"/>
        <w:bottom w:val="none" w:sz="0" w:space="0" w:color="auto"/>
        <w:right w:val="none" w:sz="0" w:space="0" w:color="auto"/>
      </w:divBdr>
    </w:div>
    <w:div w:id="1726492546">
      <w:bodyDiv w:val="1"/>
      <w:marLeft w:val="0"/>
      <w:marRight w:val="0"/>
      <w:marTop w:val="0"/>
      <w:marBottom w:val="0"/>
      <w:divBdr>
        <w:top w:val="none" w:sz="0" w:space="0" w:color="auto"/>
        <w:left w:val="none" w:sz="0" w:space="0" w:color="auto"/>
        <w:bottom w:val="none" w:sz="0" w:space="0" w:color="auto"/>
        <w:right w:val="none" w:sz="0" w:space="0" w:color="auto"/>
      </w:divBdr>
    </w:div>
    <w:div w:id="1732537524">
      <w:bodyDiv w:val="1"/>
      <w:marLeft w:val="0"/>
      <w:marRight w:val="0"/>
      <w:marTop w:val="0"/>
      <w:marBottom w:val="0"/>
      <w:divBdr>
        <w:top w:val="none" w:sz="0" w:space="0" w:color="auto"/>
        <w:left w:val="none" w:sz="0" w:space="0" w:color="auto"/>
        <w:bottom w:val="none" w:sz="0" w:space="0" w:color="auto"/>
        <w:right w:val="none" w:sz="0" w:space="0" w:color="auto"/>
      </w:divBdr>
    </w:div>
    <w:div w:id="1749158817">
      <w:bodyDiv w:val="1"/>
      <w:marLeft w:val="0"/>
      <w:marRight w:val="0"/>
      <w:marTop w:val="0"/>
      <w:marBottom w:val="0"/>
      <w:divBdr>
        <w:top w:val="none" w:sz="0" w:space="0" w:color="auto"/>
        <w:left w:val="none" w:sz="0" w:space="0" w:color="auto"/>
        <w:bottom w:val="none" w:sz="0" w:space="0" w:color="auto"/>
        <w:right w:val="none" w:sz="0" w:space="0" w:color="auto"/>
      </w:divBdr>
    </w:div>
    <w:div w:id="1815371114">
      <w:bodyDiv w:val="1"/>
      <w:marLeft w:val="0"/>
      <w:marRight w:val="0"/>
      <w:marTop w:val="0"/>
      <w:marBottom w:val="0"/>
      <w:divBdr>
        <w:top w:val="none" w:sz="0" w:space="0" w:color="auto"/>
        <w:left w:val="none" w:sz="0" w:space="0" w:color="auto"/>
        <w:bottom w:val="none" w:sz="0" w:space="0" w:color="auto"/>
        <w:right w:val="none" w:sz="0" w:space="0" w:color="auto"/>
      </w:divBdr>
    </w:div>
    <w:div w:id="1841190864">
      <w:bodyDiv w:val="1"/>
      <w:marLeft w:val="0"/>
      <w:marRight w:val="0"/>
      <w:marTop w:val="0"/>
      <w:marBottom w:val="0"/>
      <w:divBdr>
        <w:top w:val="none" w:sz="0" w:space="0" w:color="auto"/>
        <w:left w:val="none" w:sz="0" w:space="0" w:color="auto"/>
        <w:bottom w:val="none" w:sz="0" w:space="0" w:color="auto"/>
        <w:right w:val="none" w:sz="0" w:space="0" w:color="auto"/>
      </w:divBdr>
    </w:div>
    <w:div w:id="1843429098">
      <w:bodyDiv w:val="1"/>
      <w:marLeft w:val="0"/>
      <w:marRight w:val="0"/>
      <w:marTop w:val="0"/>
      <w:marBottom w:val="0"/>
      <w:divBdr>
        <w:top w:val="none" w:sz="0" w:space="0" w:color="auto"/>
        <w:left w:val="none" w:sz="0" w:space="0" w:color="auto"/>
        <w:bottom w:val="none" w:sz="0" w:space="0" w:color="auto"/>
        <w:right w:val="none" w:sz="0" w:space="0" w:color="auto"/>
      </w:divBdr>
    </w:div>
    <w:div w:id="1875583166">
      <w:bodyDiv w:val="1"/>
      <w:marLeft w:val="0"/>
      <w:marRight w:val="0"/>
      <w:marTop w:val="0"/>
      <w:marBottom w:val="0"/>
      <w:divBdr>
        <w:top w:val="none" w:sz="0" w:space="0" w:color="auto"/>
        <w:left w:val="none" w:sz="0" w:space="0" w:color="auto"/>
        <w:bottom w:val="none" w:sz="0" w:space="0" w:color="auto"/>
        <w:right w:val="none" w:sz="0" w:space="0" w:color="auto"/>
      </w:divBdr>
    </w:div>
    <w:div w:id="1879586780">
      <w:bodyDiv w:val="1"/>
      <w:marLeft w:val="0"/>
      <w:marRight w:val="0"/>
      <w:marTop w:val="0"/>
      <w:marBottom w:val="0"/>
      <w:divBdr>
        <w:top w:val="none" w:sz="0" w:space="0" w:color="auto"/>
        <w:left w:val="none" w:sz="0" w:space="0" w:color="auto"/>
        <w:bottom w:val="none" w:sz="0" w:space="0" w:color="auto"/>
        <w:right w:val="none" w:sz="0" w:space="0" w:color="auto"/>
      </w:divBdr>
    </w:div>
    <w:div w:id="1892644228">
      <w:bodyDiv w:val="1"/>
      <w:marLeft w:val="0"/>
      <w:marRight w:val="0"/>
      <w:marTop w:val="0"/>
      <w:marBottom w:val="0"/>
      <w:divBdr>
        <w:top w:val="none" w:sz="0" w:space="0" w:color="auto"/>
        <w:left w:val="none" w:sz="0" w:space="0" w:color="auto"/>
        <w:bottom w:val="none" w:sz="0" w:space="0" w:color="auto"/>
        <w:right w:val="none" w:sz="0" w:space="0" w:color="auto"/>
      </w:divBdr>
    </w:div>
    <w:div w:id="1894273695">
      <w:bodyDiv w:val="1"/>
      <w:marLeft w:val="0"/>
      <w:marRight w:val="0"/>
      <w:marTop w:val="0"/>
      <w:marBottom w:val="0"/>
      <w:divBdr>
        <w:top w:val="none" w:sz="0" w:space="0" w:color="auto"/>
        <w:left w:val="none" w:sz="0" w:space="0" w:color="auto"/>
        <w:bottom w:val="none" w:sz="0" w:space="0" w:color="auto"/>
        <w:right w:val="none" w:sz="0" w:space="0" w:color="auto"/>
      </w:divBdr>
    </w:div>
    <w:div w:id="1924484222">
      <w:bodyDiv w:val="1"/>
      <w:marLeft w:val="0"/>
      <w:marRight w:val="0"/>
      <w:marTop w:val="0"/>
      <w:marBottom w:val="0"/>
      <w:divBdr>
        <w:top w:val="none" w:sz="0" w:space="0" w:color="auto"/>
        <w:left w:val="none" w:sz="0" w:space="0" w:color="auto"/>
        <w:bottom w:val="none" w:sz="0" w:space="0" w:color="auto"/>
        <w:right w:val="none" w:sz="0" w:space="0" w:color="auto"/>
      </w:divBdr>
    </w:div>
    <w:div w:id="1929271044">
      <w:bodyDiv w:val="1"/>
      <w:marLeft w:val="0"/>
      <w:marRight w:val="0"/>
      <w:marTop w:val="0"/>
      <w:marBottom w:val="0"/>
      <w:divBdr>
        <w:top w:val="none" w:sz="0" w:space="0" w:color="auto"/>
        <w:left w:val="none" w:sz="0" w:space="0" w:color="auto"/>
        <w:bottom w:val="none" w:sz="0" w:space="0" w:color="auto"/>
        <w:right w:val="none" w:sz="0" w:space="0" w:color="auto"/>
      </w:divBdr>
    </w:div>
    <w:div w:id="1931740774">
      <w:bodyDiv w:val="1"/>
      <w:marLeft w:val="0"/>
      <w:marRight w:val="0"/>
      <w:marTop w:val="0"/>
      <w:marBottom w:val="0"/>
      <w:divBdr>
        <w:top w:val="none" w:sz="0" w:space="0" w:color="auto"/>
        <w:left w:val="none" w:sz="0" w:space="0" w:color="auto"/>
        <w:bottom w:val="none" w:sz="0" w:space="0" w:color="auto"/>
        <w:right w:val="none" w:sz="0" w:space="0" w:color="auto"/>
      </w:divBdr>
    </w:div>
    <w:div w:id="1949240322">
      <w:bodyDiv w:val="1"/>
      <w:marLeft w:val="0"/>
      <w:marRight w:val="0"/>
      <w:marTop w:val="0"/>
      <w:marBottom w:val="0"/>
      <w:divBdr>
        <w:top w:val="none" w:sz="0" w:space="0" w:color="auto"/>
        <w:left w:val="none" w:sz="0" w:space="0" w:color="auto"/>
        <w:bottom w:val="none" w:sz="0" w:space="0" w:color="auto"/>
        <w:right w:val="none" w:sz="0" w:space="0" w:color="auto"/>
      </w:divBdr>
    </w:div>
    <w:div w:id="1981959678">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52919352">
      <w:bodyDiv w:val="1"/>
      <w:marLeft w:val="0"/>
      <w:marRight w:val="0"/>
      <w:marTop w:val="0"/>
      <w:marBottom w:val="0"/>
      <w:divBdr>
        <w:top w:val="none" w:sz="0" w:space="0" w:color="auto"/>
        <w:left w:val="none" w:sz="0" w:space="0" w:color="auto"/>
        <w:bottom w:val="none" w:sz="0" w:space="0" w:color="auto"/>
        <w:right w:val="none" w:sz="0" w:space="0" w:color="auto"/>
      </w:divBdr>
    </w:div>
    <w:div w:id="2069107809">
      <w:bodyDiv w:val="1"/>
      <w:marLeft w:val="0"/>
      <w:marRight w:val="0"/>
      <w:marTop w:val="0"/>
      <w:marBottom w:val="0"/>
      <w:divBdr>
        <w:top w:val="none" w:sz="0" w:space="0" w:color="auto"/>
        <w:left w:val="none" w:sz="0" w:space="0" w:color="auto"/>
        <w:bottom w:val="none" w:sz="0" w:space="0" w:color="auto"/>
        <w:right w:val="none" w:sz="0" w:space="0" w:color="auto"/>
      </w:divBdr>
    </w:div>
    <w:div w:id="2072920375">
      <w:bodyDiv w:val="1"/>
      <w:marLeft w:val="0"/>
      <w:marRight w:val="0"/>
      <w:marTop w:val="0"/>
      <w:marBottom w:val="0"/>
      <w:divBdr>
        <w:top w:val="none" w:sz="0" w:space="0" w:color="auto"/>
        <w:left w:val="none" w:sz="0" w:space="0" w:color="auto"/>
        <w:bottom w:val="none" w:sz="0" w:space="0" w:color="auto"/>
        <w:right w:val="none" w:sz="0" w:space="0" w:color="auto"/>
      </w:divBdr>
    </w:div>
    <w:div w:id="2124110259">
      <w:bodyDiv w:val="1"/>
      <w:marLeft w:val="0"/>
      <w:marRight w:val="0"/>
      <w:marTop w:val="0"/>
      <w:marBottom w:val="0"/>
      <w:divBdr>
        <w:top w:val="none" w:sz="0" w:space="0" w:color="auto"/>
        <w:left w:val="none" w:sz="0" w:space="0" w:color="auto"/>
        <w:bottom w:val="none" w:sz="0" w:space="0" w:color="auto"/>
        <w:right w:val="none" w:sz="0" w:space="0" w:color="auto"/>
      </w:divBdr>
    </w:div>
    <w:div w:id="21463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es/VesselsRecord.asp" TargetMode="External"/><Relationship Id="rId18" Type="http://schemas.openxmlformats.org/officeDocument/2006/relationships/image" Target="media/image1.png"/><Relationship Id="rId26" Type="http://schemas.openxmlformats.org/officeDocument/2006/relationships/footer" Target="footer1.xml"/><Relationship Id="rId39" Type="http://schemas.openxmlformats.org/officeDocument/2006/relationships/hyperlink" Target="https://www.iccat.int/Documents/Comply/Guidelines_SPA.pdf" TargetMode="External"/><Relationship Id="rId21" Type="http://schemas.openxmlformats.org/officeDocument/2006/relationships/hyperlink" Target="https://www.iccat.int/es/Traps.asp" TargetMode="External"/><Relationship Id="rId34" Type="http://schemas.openxmlformats.org/officeDocument/2006/relationships/hyperlink" Target="https://www.iccat.int/Documents/Recs/compendiopdf-s/2019-10-s.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es/Ffb.asp" TargetMode="External"/><Relationship Id="rId20" Type="http://schemas.openxmlformats.org/officeDocument/2006/relationships/hyperlink" Target="https://www.iccat.int/es/Ports.asp" TargetMode="External"/><Relationship Id="rId29" Type="http://schemas.openxmlformats.org/officeDocument/2006/relationships/hyperlink" Target="https://www.iccat.int/es/Ports.as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es/VesselsRecord.asp" TargetMode="External"/><Relationship Id="rId24" Type="http://schemas.openxmlformats.org/officeDocument/2006/relationships/hyperlink" Target="https://www.iccat.int/Documents/Recs/compendiopdf-s/2018-06-s.pdf" TargetMode="External"/><Relationship Id="rId32" Type="http://schemas.openxmlformats.org/officeDocument/2006/relationships/hyperlink" Target="https://www.iccat.int/es/ROP.html" TargetMode="External"/><Relationship Id="rId37" Type="http://schemas.openxmlformats.org/officeDocument/2006/relationships/hyperlink" Target="https://www.iccat.int/es/eBCDprog.asp"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ccat.int/es/VesselsRecord.asp" TargetMode="External"/><Relationship Id="rId23" Type="http://schemas.openxmlformats.org/officeDocument/2006/relationships/hyperlink" Target="https://www.iccat.int/Documents/Recs/compendiopdf-s/2019-06-s.pdf" TargetMode="External"/><Relationship Id="rId28" Type="http://schemas.openxmlformats.org/officeDocument/2006/relationships/hyperlink" Target="https://www.iccat.int/es/portinspection.html" TargetMode="External"/><Relationship Id="rId36" Type="http://schemas.openxmlformats.org/officeDocument/2006/relationships/hyperlink" Target="https://www.iccat.int/Documents/Recs/compendiopdf-s/2019-11-s.pdf" TargetMode="External"/><Relationship Id="rId10" Type="http://schemas.openxmlformats.org/officeDocument/2006/relationships/hyperlink" Target="https://www.iccat.int/es/VesselsRecord.asp" TargetMode="External"/><Relationship Id="rId19" Type="http://schemas.openxmlformats.org/officeDocument/2006/relationships/hyperlink" Target="https://www.iccat.int/es/VesselsRecord.asp" TargetMode="External"/><Relationship Id="rId31" Type="http://schemas.openxmlformats.org/officeDocument/2006/relationships/hyperlink" Target="https://www.iccat.int/es/VesselsRecord.asp" TargetMode="External"/><Relationship Id="rId4" Type="http://schemas.openxmlformats.org/officeDocument/2006/relationships/settings" Target="settings.xml"/><Relationship Id="rId9" Type="http://schemas.openxmlformats.org/officeDocument/2006/relationships/hyperlink" Target="https://www.iccat.int/es/VesselsRecord.asp" TargetMode="External"/><Relationship Id="rId14" Type="http://schemas.openxmlformats.org/officeDocument/2006/relationships/hyperlink" Target="https://www.iccat.int/es/VesselsRecord.asp" TargetMode="External"/><Relationship Id="rId22" Type="http://schemas.openxmlformats.org/officeDocument/2006/relationships/hyperlink" Target="https://www.iccat.int/Documents/Recs/compendiopdf-s/2019-05-s.pdf" TargetMode="External"/><Relationship Id="rId27" Type="http://schemas.openxmlformats.org/officeDocument/2006/relationships/hyperlink" Target="https://www.fao.org/fishery/es/publications/92760" TargetMode="External"/><Relationship Id="rId30" Type="http://schemas.openxmlformats.org/officeDocument/2006/relationships/hyperlink" Target="https://www.iccat.int/Documents/Recs/compendiopdf-s/2018-10-s.pdf" TargetMode="External"/><Relationship Id="rId35" Type="http://schemas.openxmlformats.org/officeDocument/2006/relationships/hyperlink" Target="https://www.iccat.int/es/EAP.html" TargetMode="External"/><Relationship Id="rId43" Type="http://schemas.openxmlformats.org/officeDocument/2006/relationships/theme" Target="theme/theme1.xml"/><Relationship Id="rId8" Type="http://schemas.openxmlformats.org/officeDocument/2006/relationships/hyperlink" Target="http://www.iccat.int/es/vesselsrecord.asp" TargetMode="External"/><Relationship Id="rId3" Type="http://schemas.openxmlformats.org/officeDocument/2006/relationships/styles" Target="styles.xml"/><Relationship Id="rId12" Type="http://schemas.openxmlformats.org/officeDocument/2006/relationships/hyperlink" Target="https://www.iccat.int/es/VesselsRecord.asp" TargetMode="External"/><Relationship Id="rId17" Type="http://schemas.openxmlformats.org/officeDocument/2006/relationships/hyperlink" Target="https://www.iccat.int/es/JFO.asp" TargetMode="External"/><Relationship Id="rId25" Type="http://schemas.openxmlformats.org/officeDocument/2006/relationships/header" Target="header1.xml"/><Relationship Id="rId33" Type="http://schemas.openxmlformats.org/officeDocument/2006/relationships/hyperlink" Target="https://www.iccat.int/es/VExchange.html" TargetMode="External"/><Relationship Id="rId38" Type="http://schemas.openxmlformats.org/officeDocument/2006/relationships/hyperlink" Target="https://www.iccat.int/es/SubmitCO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F89D-4072-4E42-A382-61FDF8DF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31</Pages>
  <Words>13122</Words>
  <Characters>71106</Characters>
  <Application>Microsoft Office Word</Application>
  <DocSecurity>0</DocSecurity>
  <Lines>592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Rebecca Campoy</cp:lastModifiedBy>
  <cp:revision>53</cp:revision>
  <dcterms:created xsi:type="dcterms:W3CDTF">2025-10-30T09:41:00Z</dcterms:created>
  <dcterms:modified xsi:type="dcterms:W3CDTF">2025-11-04T14:49:00Z</dcterms:modified>
</cp:coreProperties>
</file>