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5681A" w14:textId="4CE3613F" w:rsidR="00356084" w:rsidRPr="005756CE" w:rsidRDefault="00921D03" w:rsidP="001E71F8">
      <w:pPr>
        <w:spacing w:line="240" w:lineRule="auto"/>
        <w:ind w:left="5440" w:firstLine="340"/>
        <w:jc w:val="right"/>
        <w:rPr>
          <w:rFonts w:ascii="Cambria" w:eastAsia="Times New Roman" w:hAnsi="Cambria" w:cs="Calibri"/>
          <w:b/>
          <w:kern w:val="0"/>
          <w:sz w:val="20"/>
          <w:szCs w:val="20"/>
          <w14:ligatures w14:val="none"/>
        </w:rPr>
      </w:pPr>
      <w:r w:rsidRPr="005756CE">
        <w:rPr>
          <w:rFonts w:ascii="Cambria" w:hAnsi="Cambria"/>
          <w:b/>
          <w:sz w:val="20"/>
          <w:szCs w:val="20"/>
        </w:rPr>
        <w:t>Original :</w:t>
      </w:r>
      <w:r w:rsidR="00356084" w:rsidRPr="005756CE">
        <w:rPr>
          <w:rFonts w:ascii="Cambria" w:hAnsi="Cambria"/>
          <w:b/>
          <w:sz w:val="20"/>
          <w:szCs w:val="20"/>
        </w:rPr>
        <w:t xml:space="preserve"> anglais</w:t>
      </w:r>
      <w:r w:rsidR="00227CB5" w:rsidRPr="005756CE">
        <w:rPr>
          <w:rFonts w:ascii="Cambria" w:hAnsi="Cambria"/>
          <w:b/>
          <w:sz w:val="20"/>
          <w:szCs w:val="20"/>
        </w:rPr>
        <w:t>/</w:t>
      </w:r>
      <w:r w:rsidR="00356084" w:rsidRPr="005756CE">
        <w:rPr>
          <w:rFonts w:ascii="Cambria" w:hAnsi="Cambria"/>
          <w:b/>
          <w:sz w:val="20"/>
          <w:szCs w:val="20"/>
        </w:rPr>
        <w:t>espagnol</w:t>
      </w:r>
      <w:r w:rsidR="00554AAA" w:rsidRPr="005756CE">
        <w:rPr>
          <w:rFonts w:ascii="Cambria" w:hAnsi="Cambria"/>
          <w:b/>
          <w:sz w:val="20"/>
          <w:szCs w:val="20"/>
        </w:rPr>
        <w:t>/français</w:t>
      </w:r>
    </w:p>
    <w:p w14:paraId="15178EA1" w14:textId="77777777" w:rsidR="00356084" w:rsidRPr="005756CE" w:rsidRDefault="00356084" w:rsidP="001E71F8">
      <w:pPr>
        <w:spacing w:line="240" w:lineRule="auto"/>
        <w:ind w:left="5440" w:firstLine="340"/>
        <w:jc w:val="right"/>
        <w:rPr>
          <w:rFonts w:ascii="Cambria" w:eastAsia="Times New Roman" w:hAnsi="Cambria" w:cs="Calibri"/>
          <w:b/>
          <w:kern w:val="0"/>
          <w:sz w:val="20"/>
          <w:szCs w:val="20"/>
          <w14:ligatures w14:val="none"/>
        </w:rPr>
      </w:pPr>
    </w:p>
    <w:p w14:paraId="43C78098" w14:textId="77777777" w:rsidR="00356084" w:rsidRPr="005756CE" w:rsidRDefault="00356084" w:rsidP="001E71F8">
      <w:pPr>
        <w:spacing w:line="240" w:lineRule="auto"/>
        <w:jc w:val="center"/>
        <w:rPr>
          <w:rFonts w:ascii="Cambria" w:eastAsia="Times New Roman" w:hAnsi="Cambria" w:cs="Calibri"/>
          <w:b/>
          <w:kern w:val="0"/>
          <w:sz w:val="20"/>
          <w:szCs w:val="20"/>
          <w14:ligatures w14:val="none"/>
        </w:rPr>
      </w:pPr>
      <w:r w:rsidRPr="005756CE">
        <w:rPr>
          <w:rFonts w:ascii="Cambria" w:hAnsi="Cambria"/>
          <w:b/>
          <w:sz w:val="20"/>
          <w:szCs w:val="20"/>
        </w:rPr>
        <w:t>Rapport du Secrétariat au</w:t>
      </w:r>
    </w:p>
    <w:p w14:paraId="579D1358" w14:textId="04C2C6EF" w:rsidR="00356084" w:rsidRPr="005756CE" w:rsidRDefault="00356084" w:rsidP="001E71F8">
      <w:pPr>
        <w:spacing w:line="240" w:lineRule="auto"/>
        <w:jc w:val="center"/>
        <w:rPr>
          <w:rFonts w:ascii="Cambria" w:eastAsia="Times New Roman" w:hAnsi="Cambria" w:cs="Calibri"/>
          <w:b/>
          <w:kern w:val="0"/>
          <w:sz w:val="20"/>
          <w:szCs w:val="20"/>
          <w14:ligatures w14:val="none"/>
        </w:rPr>
      </w:pPr>
      <w:r w:rsidRPr="005756CE">
        <w:rPr>
          <w:rFonts w:ascii="Cambria" w:hAnsi="Cambria"/>
          <w:b/>
          <w:sz w:val="20"/>
          <w:szCs w:val="20"/>
        </w:rPr>
        <w:t>Comité d’application des mesures de conservation et de gestion de l</w:t>
      </w:r>
      <w:r w:rsidR="000214D3" w:rsidRPr="005756CE">
        <w:rPr>
          <w:rFonts w:ascii="Cambria" w:hAnsi="Cambria"/>
          <w:b/>
          <w:sz w:val="20"/>
          <w:szCs w:val="20"/>
        </w:rPr>
        <w:t>’</w:t>
      </w:r>
      <w:r w:rsidRPr="005756CE">
        <w:rPr>
          <w:rFonts w:ascii="Cambria" w:hAnsi="Cambria"/>
          <w:b/>
          <w:sz w:val="20"/>
          <w:szCs w:val="20"/>
        </w:rPr>
        <w:t>ICCAT</w:t>
      </w:r>
    </w:p>
    <w:p w14:paraId="3FFC05CA" w14:textId="77777777" w:rsidR="00356084" w:rsidRPr="005756CE" w:rsidRDefault="00356084" w:rsidP="001E71F8">
      <w:pPr>
        <w:spacing w:line="240" w:lineRule="auto"/>
        <w:jc w:val="both"/>
        <w:rPr>
          <w:rFonts w:ascii="Cambria" w:eastAsia="Times New Roman" w:hAnsi="Cambria" w:cs="Calibri"/>
          <w:b/>
          <w:kern w:val="0"/>
          <w:sz w:val="20"/>
          <w:szCs w:val="20"/>
          <w14:ligatures w14:val="none"/>
        </w:rPr>
      </w:pPr>
    </w:p>
    <w:p w14:paraId="4276E2A9" w14:textId="5A2DA975" w:rsidR="00356084" w:rsidRPr="005756CE" w:rsidRDefault="00356084" w:rsidP="001E71F8">
      <w:pPr>
        <w:tabs>
          <w:tab w:val="left" w:pos="284"/>
        </w:tabs>
        <w:spacing w:line="240" w:lineRule="auto"/>
        <w:jc w:val="both"/>
        <w:rPr>
          <w:rFonts w:ascii="Cambria" w:eastAsia="Times New Roman" w:hAnsi="Cambria" w:cs="Calibri"/>
          <w:b/>
          <w:kern w:val="0"/>
          <w:sz w:val="20"/>
          <w:szCs w:val="20"/>
          <w14:ligatures w14:val="none"/>
        </w:rPr>
      </w:pPr>
      <w:r w:rsidRPr="005756CE">
        <w:rPr>
          <w:rFonts w:ascii="Cambria" w:hAnsi="Cambria"/>
          <w:b/>
          <w:sz w:val="20"/>
          <w:szCs w:val="20"/>
        </w:rPr>
        <w:t>NOTE :</w:t>
      </w:r>
      <w:r w:rsidRPr="005756CE">
        <w:rPr>
          <w:rFonts w:ascii="Cambria" w:hAnsi="Cambria"/>
          <w:sz w:val="20"/>
          <w:szCs w:val="20"/>
        </w:rPr>
        <w:t xml:space="preserve"> Le présent rapport contient des informations que le Secrétariat de l’ICCAT a reçues avant le </w:t>
      </w:r>
      <w:r w:rsidRPr="005756CE">
        <w:rPr>
          <w:rFonts w:ascii="Cambria" w:hAnsi="Cambria"/>
          <w:b/>
          <w:bCs/>
          <w:sz w:val="20"/>
          <w:szCs w:val="20"/>
        </w:rPr>
        <w:t>1</w:t>
      </w:r>
      <w:r w:rsidR="00972442" w:rsidRPr="005756CE">
        <w:rPr>
          <w:rFonts w:ascii="Cambria" w:hAnsi="Cambria"/>
          <w:b/>
          <w:bCs/>
          <w:sz w:val="20"/>
          <w:szCs w:val="20"/>
        </w:rPr>
        <w:t>7</w:t>
      </w:r>
      <w:r w:rsidR="00C849C0" w:rsidRPr="005756CE">
        <w:rPr>
          <w:rFonts w:ascii="Cambria" w:hAnsi="Cambria"/>
          <w:b/>
          <w:bCs/>
          <w:sz w:val="20"/>
          <w:szCs w:val="20"/>
        </w:rPr>
        <w:t> </w:t>
      </w:r>
      <w:r w:rsidRPr="005756CE">
        <w:rPr>
          <w:rFonts w:ascii="Cambria" w:hAnsi="Cambria"/>
          <w:b/>
          <w:bCs/>
          <w:sz w:val="20"/>
          <w:szCs w:val="20"/>
        </w:rPr>
        <w:t>octobre 202</w:t>
      </w:r>
      <w:r w:rsidR="00972442" w:rsidRPr="005756CE">
        <w:rPr>
          <w:rFonts w:ascii="Cambria" w:hAnsi="Cambria"/>
          <w:b/>
          <w:bCs/>
          <w:sz w:val="20"/>
          <w:szCs w:val="20"/>
        </w:rPr>
        <w:t>5</w:t>
      </w:r>
      <w:r w:rsidRPr="005756CE">
        <w:rPr>
          <w:rFonts w:ascii="Cambria" w:hAnsi="Cambria"/>
          <w:b/>
          <w:bCs/>
          <w:sz w:val="20"/>
          <w:szCs w:val="20"/>
        </w:rPr>
        <w:t xml:space="preserve">, </w:t>
      </w:r>
      <w:r w:rsidRPr="005756CE">
        <w:rPr>
          <w:rFonts w:ascii="Cambria" w:hAnsi="Cambria"/>
          <w:sz w:val="20"/>
          <w:szCs w:val="20"/>
        </w:rPr>
        <w:t>sauf indication contraire. Toute information reçue après cette date sera portée à l’attention du Président du Comité d’application (COC). Cette information additionnelle ne sera pas traduite.</w:t>
      </w:r>
    </w:p>
    <w:p w14:paraId="65E243C9" w14:textId="77777777" w:rsidR="00356084" w:rsidRPr="005756CE" w:rsidRDefault="00356084" w:rsidP="001E71F8">
      <w:pPr>
        <w:tabs>
          <w:tab w:val="left" w:pos="284"/>
        </w:tabs>
        <w:spacing w:line="240" w:lineRule="auto"/>
        <w:jc w:val="both"/>
        <w:rPr>
          <w:rFonts w:ascii="Cambria" w:eastAsia="Times New Roman" w:hAnsi="Cambria" w:cs="Calibri"/>
          <w:b/>
          <w:kern w:val="0"/>
          <w:sz w:val="20"/>
          <w:szCs w:val="20"/>
          <w14:ligatures w14:val="none"/>
        </w:rPr>
      </w:pPr>
    </w:p>
    <w:p w14:paraId="344F606B" w14:textId="1422D790" w:rsidR="00356084" w:rsidRPr="005756CE" w:rsidRDefault="00356084"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Ce rapport ne comporte que les mesures pour lesquelles l’examen du Comité d’application s’impose. Dans certains cas, les mesures peuvent avoir expiré mais étaient en vigueur pendant la période d’examen à l’étude (202</w:t>
      </w:r>
      <w:r w:rsidR="00972442" w:rsidRPr="005756CE">
        <w:rPr>
          <w:rFonts w:ascii="Cambria" w:hAnsi="Cambria"/>
          <w:sz w:val="20"/>
          <w:szCs w:val="20"/>
        </w:rPr>
        <w:t>4</w:t>
      </w:r>
      <w:r w:rsidRPr="005756CE">
        <w:rPr>
          <w:rFonts w:ascii="Cambria" w:hAnsi="Cambria"/>
          <w:sz w:val="20"/>
          <w:szCs w:val="20"/>
        </w:rPr>
        <w:t>).</w:t>
      </w:r>
    </w:p>
    <w:p w14:paraId="6432C003" w14:textId="77777777" w:rsidR="00356084" w:rsidRPr="005756CE" w:rsidRDefault="00356084" w:rsidP="001E71F8">
      <w:pPr>
        <w:widowControl w:val="0"/>
        <w:autoSpaceDE w:val="0"/>
        <w:autoSpaceDN w:val="0"/>
        <w:adjustRightInd w:val="0"/>
        <w:spacing w:line="240" w:lineRule="auto"/>
        <w:rPr>
          <w:rFonts w:ascii="Cambria" w:eastAsia="Times New Roman" w:hAnsi="Cambria"/>
          <w:kern w:val="0"/>
          <w:sz w:val="20"/>
          <w:szCs w:val="20"/>
          <w14:ligatures w14:val="none"/>
        </w:rPr>
      </w:pPr>
    </w:p>
    <w:p w14:paraId="40C31159" w14:textId="77777777" w:rsidR="009C7C25" w:rsidRPr="005756CE" w:rsidRDefault="009C7C25" w:rsidP="001E71F8">
      <w:pPr>
        <w:widowControl w:val="0"/>
        <w:autoSpaceDE w:val="0"/>
        <w:autoSpaceDN w:val="0"/>
        <w:adjustRightInd w:val="0"/>
        <w:spacing w:line="240" w:lineRule="auto"/>
        <w:rPr>
          <w:rFonts w:ascii="Cambria" w:eastAsia="Times New Roman" w:hAnsi="Cambria"/>
          <w:kern w:val="0"/>
          <w:sz w:val="20"/>
          <w:szCs w:val="20"/>
          <w14:ligatures w14:val="none"/>
        </w:rPr>
      </w:pPr>
    </w:p>
    <w:p w14:paraId="4D52E7B5" w14:textId="3ED322C9"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bCs/>
          <w:i/>
          <w:iCs/>
          <w:kern w:val="0"/>
          <w:sz w:val="20"/>
          <w:szCs w:val="20"/>
          <w14:ligatures w14:val="none"/>
        </w:rPr>
      </w:pPr>
      <w:r w:rsidRPr="005756CE">
        <w:rPr>
          <w:rFonts w:ascii="Cambria" w:hAnsi="Cambria"/>
          <w:b/>
          <w:sz w:val="20"/>
          <w:szCs w:val="20"/>
        </w:rPr>
        <w:t xml:space="preserve">TRO – TROPICAUX - BET - THON OBÈSE </w:t>
      </w:r>
      <w:r w:rsidRPr="005756CE">
        <w:rPr>
          <w:rFonts w:ascii="Cambria" w:hAnsi="Cambria"/>
          <w:b/>
          <w:i/>
          <w:sz w:val="20"/>
          <w:szCs w:val="20"/>
        </w:rPr>
        <w:t>(</w:t>
      </w:r>
      <w:proofErr w:type="spellStart"/>
      <w:r w:rsidRPr="005756CE">
        <w:rPr>
          <w:rFonts w:ascii="Cambria" w:hAnsi="Cambria"/>
          <w:b/>
          <w:i/>
          <w:sz w:val="20"/>
          <w:szCs w:val="20"/>
        </w:rPr>
        <w:t>Thunnus</w:t>
      </w:r>
      <w:proofErr w:type="spellEnd"/>
      <w:r w:rsidRPr="005756CE">
        <w:rPr>
          <w:rFonts w:ascii="Cambria" w:hAnsi="Cambria"/>
          <w:b/>
          <w:i/>
          <w:sz w:val="20"/>
          <w:szCs w:val="20"/>
        </w:rPr>
        <w:t xml:space="preserve"> </w:t>
      </w:r>
      <w:proofErr w:type="spellStart"/>
      <w:r w:rsidRPr="005756CE">
        <w:rPr>
          <w:rFonts w:ascii="Cambria" w:hAnsi="Cambria"/>
          <w:b/>
          <w:i/>
          <w:sz w:val="20"/>
          <w:szCs w:val="20"/>
        </w:rPr>
        <w:t>obesus</w:t>
      </w:r>
      <w:proofErr w:type="spellEnd"/>
      <w:r w:rsidRPr="005756CE">
        <w:rPr>
          <w:rFonts w:ascii="Cambria" w:hAnsi="Cambria"/>
          <w:b/>
          <w:i/>
          <w:sz w:val="20"/>
          <w:szCs w:val="20"/>
        </w:rPr>
        <w:t>)</w:t>
      </w:r>
      <w:r w:rsidR="000214D3" w:rsidRPr="005756CE">
        <w:rPr>
          <w:rFonts w:ascii="Cambria" w:hAnsi="Cambria"/>
          <w:b/>
          <w:i/>
          <w:sz w:val="20"/>
          <w:szCs w:val="20"/>
        </w:rPr>
        <w:t xml:space="preserve"> ; </w:t>
      </w:r>
      <w:r w:rsidRPr="005756CE">
        <w:rPr>
          <w:rFonts w:ascii="Cambria" w:hAnsi="Cambria"/>
          <w:b/>
          <w:sz w:val="20"/>
          <w:szCs w:val="20"/>
        </w:rPr>
        <w:t>YFT - ALBACORE (</w:t>
      </w:r>
      <w:proofErr w:type="spellStart"/>
      <w:r w:rsidRPr="005756CE">
        <w:rPr>
          <w:rFonts w:ascii="Cambria" w:hAnsi="Cambria"/>
          <w:b/>
          <w:i/>
          <w:sz w:val="20"/>
          <w:szCs w:val="20"/>
        </w:rPr>
        <w:t>Thunnus</w:t>
      </w:r>
      <w:proofErr w:type="spellEnd"/>
      <w:r w:rsidRPr="005756CE">
        <w:rPr>
          <w:rFonts w:ascii="Cambria" w:hAnsi="Cambria"/>
          <w:b/>
          <w:i/>
          <w:sz w:val="20"/>
          <w:szCs w:val="20"/>
        </w:rPr>
        <w:t xml:space="preserve"> </w:t>
      </w:r>
      <w:proofErr w:type="spellStart"/>
      <w:r w:rsidRPr="005756CE">
        <w:rPr>
          <w:rFonts w:ascii="Cambria" w:hAnsi="Cambria"/>
          <w:b/>
          <w:i/>
          <w:sz w:val="20"/>
          <w:szCs w:val="20"/>
        </w:rPr>
        <w:t>albacares</w:t>
      </w:r>
      <w:proofErr w:type="spellEnd"/>
      <w:r w:rsidRPr="005756CE">
        <w:rPr>
          <w:rFonts w:ascii="Cambria" w:hAnsi="Cambria"/>
          <w:b/>
          <w:i/>
          <w:sz w:val="20"/>
          <w:szCs w:val="20"/>
        </w:rPr>
        <w:t>)</w:t>
      </w:r>
      <w:r w:rsidR="000214D3" w:rsidRPr="005756CE">
        <w:rPr>
          <w:rFonts w:ascii="Cambria" w:hAnsi="Cambria"/>
          <w:b/>
          <w:i/>
          <w:sz w:val="20"/>
          <w:szCs w:val="20"/>
        </w:rPr>
        <w:t xml:space="preserve"> ; </w:t>
      </w:r>
      <w:r w:rsidRPr="005756CE">
        <w:rPr>
          <w:rFonts w:ascii="Cambria" w:hAnsi="Cambria"/>
          <w:b/>
          <w:sz w:val="20"/>
          <w:szCs w:val="20"/>
        </w:rPr>
        <w:t xml:space="preserve">SKJ - LISTAO </w:t>
      </w:r>
      <w:r w:rsidRPr="005756CE">
        <w:rPr>
          <w:rFonts w:ascii="Cambria" w:hAnsi="Cambria"/>
          <w:b/>
          <w:i/>
          <w:sz w:val="20"/>
          <w:szCs w:val="20"/>
        </w:rPr>
        <w:t>(</w:t>
      </w:r>
      <w:proofErr w:type="spellStart"/>
      <w:r w:rsidRPr="005756CE">
        <w:rPr>
          <w:rFonts w:ascii="Cambria" w:hAnsi="Cambria"/>
          <w:b/>
          <w:i/>
          <w:sz w:val="20"/>
          <w:szCs w:val="20"/>
        </w:rPr>
        <w:t>Katsuwonus</w:t>
      </w:r>
      <w:proofErr w:type="spellEnd"/>
      <w:r w:rsidRPr="005756CE">
        <w:rPr>
          <w:rFonts w:ascii="Cambria" w:hAnsi="Cambria"/>
          <w:b/>
          <w:i/>
          <w:sz w:val="20"/>
          <w:szCs w:val="20"/>
        </w:rPr>
        <w:t xml:space="preserve"> </w:t>
      </w:r>
      <w:proofErr w:type="spellStart"/>
      <w:r w:rsidRPr="005756CE">
        <w:rPr>
          <w:rFonts w:ascii="Cambria" w:hAnsi="Cambria"/>
          <w:b/>
          <w:i/>
          <w:sz w:val="20"/>
          <w:szCs w:val="20"/>
        </w:rPr>
        <w:t>pelamis</w:t>
      </w:r>
      <w:proofErr w:type="spellEnd"/>
      <w:r w:rsidRPr="005756CE">
        <w:rPr>
          <w:rFonts w:ascii="Cambria" w:hAnsi="Cambria"/>
          <w:b/>
          <w:i/>
          <w:sz w:val="20"/>
          <w:szCs w:val="20"/>
        </w:rPr>
        <w:t>)</w:t>
      </w:r>
    </w:p>
    <w:p w14:paraId="008FF1DC"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i/>
          <w:iCs/>
          <w:kern w:val="0"/>
          <w:sz w:val="20"/>
          <w:szCs w:val="20"/>
          <w14:ligatures w14:val="none"/>
        </w:rPr>
      </w:pPr>
    </w:p>
    <w:p w14:paraId="149EF1F7" w14:textId="0202940C"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i/>
          <w:sz w:val="20"/>
          <w:szCs w:val="20"/>
        </w:rPr>
        <w:t>[22-01] Recommandation de l’ICCAT remplaçant la Recommandation 21-01 sur un programme pluriannuel de conservation et de gestion pour les thonidés tropicaux</w:t>
      </w:r>
      <w:r w:rsidR="00657D14" w:rsidRPr="005756CE">
        <w:rPr>
          <w:rFonts w:ascii="Cambria" w:hAnsi="Cambria"/>
          <w:i/>
          <w:sz w:val="20"/>
          <w:szCs w:val="20"/>
        </w:rPr>
        <w:t>, a</w:t>
      </w:r>
      <w:r w:rsidRPr="005756CE">
        <w:rPr>
          <w:rFonts w:ascii="Cambria" w:hAnsi="Cambria"/>
          <w:sz w:val="20"/>
          <w:szCs w:val="20"/>
        </w:rPr>
        <w:t xml:space="preserve">mendée par la </w:t>
      </w:r>
      <w:r w:rsidRPr="005756CE">
        <w:rPr>
          <w:rFonts w:ascii="Cambria" w:hAnsi="Cambria"/>
          <w:i/>
          <w:iCs/>
          <w:sz w:val="20"/>
          <w:szCs w:val="20"/>
        </w:rPr>
        <w:t>[23-01] Recommandation de l’ICCAT prolongeant et amendant la Recommandation 22-01 sur un programme pluriannuel de conservation et de gestion pour les thonidés tropicaux</w:t>
      </w:r>
    </w:p>
    <w:p w14:paraId="30B53B4A"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p>
    <w:p w14:paraId="4E08A9E8" w14:textId="77777777" w:rsidR="00F03131" w:rsidRPr="005756CE" w:rsidRDefault="00F03131" w:rsidP="001E71F8">
      <w:pPr>
        <w:tabs>
          <w:tab w:val="left" w:pos="1276"/>
          <w:tab w:val="left" w:pos="1418"/>
          <w:tab w:val="left" w:leader="dot" w:pos="8222"/>
          <w:tab w:val="right" w:pos="8647"/>
        </w:tabs>
        <w:spacing w:line="240" w:lineRule="auto"/>
        <w:jc w:val="both"/>
        <w:rPr>
          <w:rFonts w:ascii="Cambria" w:hAnsi="Cambria"/>
          <w:bCs/>
          <w:sz w:val="20"/>
          <w:szCs w:val="20"/>
        </w:rPr>
      </w:pPr>
      <w:r w:rsidRPr="005756CE">
        <w:rPr>
          <w:rFonts w:ascii="Cambria" w:hAnsi="Cambria"/>
          <w:sz w:val="20"/>
          <w:szCs w:val="20"/>
        </w:rPr>
        <w:t xml:space="preserve">(Remplacée par la [24-01] </w:t>
      </w:r>
      <w:r w:rsidRPr="005756CE">
        <w:rPr>
          <w:rFonts w:ascii="Cambria" w:hAnsi="Cambria"/>
          <w:i/>
          <w:iCs/>
          <w:sz w:val="20"/>
          <w:szCs w:val="20"/>
        </w:rPr>
        <w:t>Recommandation de l’ICCAT remplaçant la Recommandation 22-01 sur un programme pluriannuel de conservation et de gestion pour les thonidés tropicaux)</w:t>
      </w:r>
    </w:p>
    <w:p w14:paraId="40A3267F" w14:textId="77777777" w:rsidR="00F03131" w:rsidRPr="005756CE" w:rsidRDefault="00F03131"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p>
    <w:p w14:paraId="33B06651" w14:textId="2D79AF8F"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cs="Cambria"/>
          <w:color w:val="000000"/>
          <w:kern w:val="0"/>
          <w:sz w:val="20"/>
          <w:szCs w:val="20"/>
          <w14:ligatures w14:val="none"/>
        </w:rPr>
      </w:pPr>
      <w:r w:rsidRPr="005756CE">
        <w:rPr>
          <w:rFonts w:ascii="Cambria" w:hAnsi="Cambria"/>
          <w:b/>
          <w:i/>
          <w:color w:val="000000"/>
          <w:sz w:val="20"/>
          <w:szCs w:val="20"/>
        </w:rPr>
        <w:t>Plans de gestion de la pêche des thonidés tropicaux et plans de gestion des DCP</w:t>
      </w:r>
      <w:r w:rsidR="001C6895" w:rsidRPr="005756CE">
        <w:rPr>
          <w:rFonts w:ascii="Cambria" w:hAnsi="Cambria"/>
          <w:b/>
          <w:i/>
          <w:color w:val="000000"/>
          <w:sz w:val="20"/>
          <w:szCs w:val="20"/>
        </w:rPr>
        <w:t xml:space="preserve"> : </w:t>
      </w:r>
      <w:r w:rsidRPr="005756CE">
        <w:rPr>
          <w:rFonts w:ascii="Cambria" w:hAnsi="Cambria"/>
          <w:color w:val="000000"/>
          <w:sz w:val="20"/>
          <w:szCs w:val="20"/>
        </w:rPr>
        <w:t xml:space="preserve">Les plans de pêche reçus ont été soumis </w:t>
      </w:r>
      <w:r w:rsidR="001C5298" w:rsidRPr="005756CE">
        <w:rPr>
          <w:rFonts w:ascii="Cambria" w:hAnsi="Cambria"/>
          <w:color w:val="000000"/>
          <w:sz w:val="20"/>
          <w:szCs w:val="20"/>
        </w:rPr>
        <w:t>lors des</w:t>
      </w:r>
      <w:r w:rsidRPr="005756CE">
        <w:rPr>
          <w:rFonts w:ascii="Cambria" w:hAnsi="Cambria"/>
          <w:color w:val="000000"/>
          <w:sz w:val="20"/>
          <w:szCs w:val="20"/>
        </w:rPr>
        <w:t xml:space="preserve"> réunions intersessions de la Sous-commission 1.</w:t>
      </w:r>
    </w:p>
    <w:p w14:paraId="11520280"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p>
    <w:p w14:paraId="1236B082" w14:textId="50F9B049"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b/>
          <w:bCs/>
          <w:i/>
          <w:sz w:val="20"/>
          <w:szCs w:val="20"/>
        </w:rPr>
        <w:t>Prises trimestrielles/mensuelles de thonidés tropicaux</w:t>
      </w:r>
      <w:r w:rsidR="001C6895" w:rsidRPr="005756CE">
        <w:rPr>
          <w:rFonts w:ascii="Cambria" w:hAnsi="Cambria"/>
          <w:b/>
          <w:bCs/>
          <w:i/>
          <w:sz w:val="20"/>
          <w:szCs w:val="20"/>
        </w:rPr>
        <w:t xml:space="preserve"> : </w:t>
      </w:r>
      <w:r w:rsidRPr="005756CE">
        <w:rPr>
          <w:rFonts w:ascii="Cambria" w:hAnsi="Cambria"/>
          <w:sz w:val="20"/>
          <w:szCs w:val="20"/>
        </w:rPr>
        <w:t xml:space="preserve">Le </w:t>
      </w:r>
      <w:r w:rsidRPr="005756CE">
        <w:rPr>
          <w:rFonts w:ascii="Cambria" w:hAnsi="Cambria"/>
          <w:b/>
          <w:bCs/>
          <w:sz w:val="20"/>
          <w:szCs w:val="20"/>
        </w:rPr>
        <w:t>tableau 1</w:t>
      </w:r>
      <w:r w:rsidRPr="005756CE">
        <w:rPr>
          <w:rFonts w:ascii="Cambria" w:hAnsi="Cambria"/>
          <w:sz w:val="20"/>
          <w:szCs w:val="20"/>
        </w:rPr>
        <w:t xml:space="preserve"> montre les captures de thonidés tropicaux en 202</w:t>
      </w:r>
      <w:r w:rsidR="00F03131" w:rsidRPr="005756CE">
        <w:rPr>
          <w:rFonts w:ascii="Cambria" w:hAnsi="Cambria"/>
          <w:sz w:val="20"/>
          <w:szCs w:val="20"/>
        </w:rPr>
        <w:t>4</w:t>
      </w:r>
      <w:r w:rsidRPr="005756CE">
        <w:rPr>
          <w:rFonts w:ascii="Cambria" w:hAnsi="Cambria"/>
          <w:sz w:val="20"/>
          <w:szCs w:val="20"/>
        </w:rPr>
        <w:t xml:space="preserve"> déclarées trimestriellement et mensuellement. Les exigences sont quelque peu contradictoires, certaines CPC étant obligées de faire des déclarations à la fois trimestrielles et mensuelles, et dans certains cas, hebdomadaires. Il est très difficile de collecter et d'extraire des données de manière significative, en raison des doublons impliqués. Le paragraphe 1</w:t>
      </w:r>
      <w:r w:rsidR="003A7ECF" w:rsidRPr="005756CE">
        <w:rPr>
          <w:rFonts w:ascii="Cambria" w:hAnsi="Cambria"/>
          <w:sz w:val="20"/>
          <w:szCs w:val="20"/>
        </w:rPr>
        <w:t>5</w:t>
      </w:r>
      <w:r w:rsidRPr="005756CE">
        <w:rPr>
          <w:rFonts w:ascii="Cambria" w:hAnsi="Cambria"/>
          <w:sz w:val="20"/>
          <w:szCs w:val="20"/>
        </w:rPr>
        <w:t xml:space="preserve"> exige la déclaration </w:t>
      </w:r>
      <w:r w:rsidR="003A7ECF" w:rsidRPr="005756CE">
        <w:rPr>
          <w:rFonts w:ascii="Cambria" w:hAnsi="Cambria"/>
          <w:sz w:val="20"/>
          <w:szCs w:val="20"/>
        </w:rPr>
        <w:t xml:space="preserve">trimestrielle </w:t>
      </w:r>
      <w:r w:rsidRPr="005756CE">
        <w:rPr>
          <w:rFonts w:ascii="Cambria" w:hAnsi="Cambria"/>
          <w:sz w:val="20"/>
          <w:szCs w:val="20"/>
        </w:rPr>
        <w:t>des espèces de thonidés tropicaux, tandis que le paragraphe 1</w:t>
      </w:r>
      <w:r w:rsidR="003A7ECF" w:rsidRPr="005756CE">
        <w:rPr>
          <w:rFonts w:ascii="Cambria" w:hAnsi="Cambria"/>
          <w:sz w:val="20"/>
          <w:szCs w:val="20"/>
        </w:rPr>
        <w:t>6</w:t>
      </w:r>
      <w:r w:rsidRPr="005756CE">
        <w:rPr>
          <w:rFonts w:ascii="Cambria" w:hAnsi="Cambria"/>
          <w:sz w:val="20"/>
          <w:szCs w:val="20"/>
        </w:rPr>
        <w:t xml:space="preserve"> exige une déclaration mensuelle pour les senneurs ou les palangriers, passant à une déclaration hebdomadaire </w:t>
      </w:r>
      <w:r w:rsidR="001C5298" w:rsidRPr="005756CE">
        <w:rPr>
          <w:rFonts w:ascii="Cambria" w:hAnsi="Cambria"/>
          <w:sz w:val="20"/>
          <w:szCs w:val="20"/>
        </w:rPr>
        <w:t>« </w:t>
      </w:r>
      <w:r w:rsidRPr="005756CE">
        <w:rPr>
          <w:rFonts w:ascii="Cambria" w:hAnsi="Cambria"/>
          <w:sz w:val="20"/>
          <w:szCs w:val="20"/>
        </w:rPr>
        <w:t>lorsque 80% de leurs limites de capture ont été capturés</w:t>
      </w:r>
      <w:r w:rsidR="001C5298" w:rsidRPr="005756CE">
        <w:rPr>
          <w:rFonts w:ascii="Cambria" w:hAnsi="Cambria"/>
          <w:sz w:val="20"/>
          <w:szCs w:val="20"/>
        </w:rPr>
        <w:t> »</w:t>
      </w:r>
      <w:r w:rsidRPr="005756CE">
        <w:rPr>
          <w:rFonts w:ascii="Cambria" w:hAnsi="Cambria"/>
          <w:sz w:val="20"/>
          <w:szCs w:val="20"/>
        </w:rPr>
        <w:t xml:space="preserve">, bien que les limites de capture ne s'appliquent qu'au thon obèse et non à toutes les espèces de thonidés tropicaux. </w:t>
      </w:r>
    </w:p>
    <w:p w14:paraId="571E340E"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p>
    <w:p w14:paraId="3CBFEC35" w14:textId="35D2EBCD"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sz w:val="20"/>
          <w:szCs w:val="20"/>
        </w:rPr>
        <w:t>Le paragraphe 1</w:t>
      </w:r>
      <w:r w:rsidR="003A7ECF" w:rsidRPr="005756CE">
        <w:rPr>
          <w:rFonts w:ascii="Cambria" w:hAnsi="Cambria"/>
          <w:sz w:val="20"/>
          <w:szCs w:val="20"/>
        </w:rPr>
        <w:t>5</w:t>
      </w:r>
      <w:r w:rsidRPr="005756CE">
        <w:rPr>
          <w:rFonts w:ascii="Cambria" w:hAnsi="Cambria"/>
          <w:sz w:val="20"/>
          <w:szCs w:val="20"/>
        </w:rPr>
        <w:t xml:space="preserve"> stipule que</w:t>
      </w:r>
      <w:r w:rsidRPr="005756CE">
        <w:rPr>
          <w:rFonts w:ascii="Cambria" w:hAnsi="Cambria"/>
          <w:i/>
          <w:iCs/>
          <w:sz w:val="20"/>
          <w:szCs w:val="20"/>
        </w:rPr>
        <w:t xml:space="preserve"> les CPC devront déclarer au Secrétariat de l’ICCAT tous les trois mois le volume de thonidés tropicaux (par espèce) capturé par les navires battant leur pavillon, dans les 30 jours suivant la fin de la période durant laquelle les captures ont été réalisées.</w:t>
      </w:r>
      <w:r w:rsidRPr="005756CE">
        <w:rPr>
          <w:rFonts w:ascii="Cambria" w:hAnsi="Cambria"/>
          <w:sz w:val="20"/>
          <w:szCs w:val="20"/>
        </w:rPr>
        <w:t xml:space="preserve"> Le Secrétariat de l’ICCAT comprend que cela fait référence à toutes les CPC qui capturent des espèces de thonidés tropicaux.</w:t>
      </w:r>
    </w:p>
    <w:p w14:paraId="29D56F0B"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p>
    <w:p w14:paraId="7C11BEE7" w14:textId="4033E16D"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sz w:val="20"/>
          <w:szCs w:val="20"/>
        </w:rPr>
        <w:t>Les données de la tâche 1 pour 202</w:t>
      </w:r>
      <w:r w:rsidR="003A7ECF" w:rsidRPr="005756CE">
        <w:rPr>
          <w:rFonts w:ascii="Cambria" w:hAnsi="Cambria"/>
          <w:sz w:val="20"/>
          <w:szCs w:val="20"/>
        </w:rPr>
        <w:t>4</w:t>
      </w:r>
      <w:r w:rsidRPr="005756CE">
        <w:rPr>
          <w:rFonts w:ascii="Cambria" w:hAnsi="Cambria"/>
          <w:sz w:val="20"/>
          <w:szCs w:val="20"/>
        </w:rPr>
        <w:t xml:space="preserve"> indiquent que les CPC suivantes ont pêché des thonidés tropicaux, mais aucune déclaration de capture</w:t>
      </w:r>
      <w:r w:rsidR="001C5298" w:rsidRPr="005756CE">
        <w:rPr>
          <w:rFonts w:ascii="Cambria" w:hAnsi="Cambria"/>
          <w:sz w:val="20"/>
          <w:szCs w:val="20"/>
        </w:rPr>
        <w:t>s</w:t>
      </w:r>
      <w:r w:rsidRPr="005756CE">
        <w:rPr>
          <w:rFonts w:ascii="Cambria" w:hAnsi="Cambria"/>
          <w:sz w:val="20"/>
          <w:szCs w:val="20"/>
        </w:rPr>
        <w:t xml:space="preserve"> trimestrielle</w:t>
      </w:r>
      <w:r w:rsidR="001C5298" w:rsidRPr="005756CE">
        <w:rPr>
          <w:rFonts w:ascii="Cambria" w:hAnsi="Cambria"/>
          <w:sz w:val="20"/>
          <w:szCs w:val="20"/>
        </w:rPr>
        <w:t>s</w:t>
      </w:r>
      <w:r w:rsidRPr="005756CE">
        <w:rPr>
          <w:rFonts w:ascii="Cambria" w:hAnsi="Cambria"/>
          <w:sz w:val="20"/>
          <w:szCs w:val="20"/>
        </w:rPr>
        <w:t xml:space="preserve"> (ou mensuelle</w:t>
      </w:r>
      <w:r w:rsidR="001C5298" w:rsidRPr="005756CE">
        <w:rPr>
          <w:rFonts w:ascii="Cambria" w:hAnsi="Cambria"/>
          <w:sz w:val="20"/>
          <w:szCs w:val="20"/>
        </w:rPr>
        <w:t>s</w:t>
      </w:r>
      <w:r w:rsidRPr="005756CE">
        <w:rPr>
          <w:rFonts w:ascii="Cambria" w:hAnsi="Cambria"/>
          <w:sz w:val="20"/>
          <w:szCs w:val="20"/>
        </w:rPr>
        <w:t xml:space="preserve">) correspondante n'a été reçue : </w:t>
      </w:r>
    </w:p>
    <w:p w14:paraId="4FD58FD0"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tbl>
      <w:tblPr>
        <w:tblW w:w="5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2341"/>
      </w:tblGrid>
      <w:tr w:rsidR="003A6775" w:rsidRPr="005756CE" w14:paraId="73CA6A5A" w14:textId="77777777" w:rsidTr="001B36C2">
        <w:trPr>
          <w:trHeight w:val="295"/>
          <w:jc w:val="center"/>
        </w:trPr>
        <w:tc>
          <w:tcPr>
            <w:tcW w:w="2757" w:type="dxa"/>
            <w:tcBorders>
              <w:bottom w:val="single" w:sz="4" w:space="0" w:color="auto"/>
            </w:tcBorders>
            <w:shd w:val="clear" w:color="4472C4" w:fill="auto"/>
            <w:noWrap/>
            <w:vAlign w:val="bottom"/>
            <w:hideMark/>
          </w:tcPr>
          <w:p w14:paraId="106179CA" w14:textId="77777777" w:rsidR="003A6775" w:rsidRPr="005756CE" w:rsidRDefault="003A6775" w:rsidP="001E71F8">
            <w:pPr>
              <w:spacing w:line="240" w:lineRule="auto"/>
              <w:jc w:val="center"/>
              <w:rPr>
                <w:rFonts w:ascii="Cambria" w:hAnsi="Cambria" w:cs="Calibri"/>
                <w:i/>
                <w:iCs/>
                <w:sz w:val="20"/>
                <w:szCs w:val="20"/>
              </w:rPr>
            </w:pPr>
            <w:r w:rsidRPr="005756CE">
              <w:rPr>
                <w:rFonts w:ascii="Cambria" w:hAnsi="Cambria"/>
                <w:i/>
                <w:sz w:val="20"/>
                <w:szCs w:val="20"/>
              </w:rPr>
              <w:t>CPC</w:t>
            </w:r>
          </w:p>
        </w:tc>
        <w:tc>
          <w:tcPr>
            <w:tcW w:w="2341" w:type="dxa"/>
            <w:shd w:val="clear" w:color="4472C4" w:fill="auto"/>
            <w:noWrap/>
            <w:vAlign w:val="bottom"/>
            <w:hideMark/>
          </w:tcPr>
          <w:p w14:paraId="0689E95E" w14:textId="77777777" w:rsidR="003A6775" w:rsidRPr="005756CE" w:rsidRDefault="003A6775" w:rsidP="001E71F8">
            <w:pPr>
              <w:spacing w:line="240" w:lineRule="auto"/>
              <w:jc w:val="center"/>
              <w:rPr>
                <w:rFonts w:ascii="Cambria" w:hAnsi="Cambria" w:cs="Calibri"/>
                <w:i/>
                <w:iCs/>
                <w:sz w:val="20"/>
                <w:szCs w:val="20"/>
              </w:rPr>
            </w:pPr>
            <w:r w:rsidRPr="005756CE">
              <w:rPr>
                <w:rFonts w:ascii="Cambria" w:hAnsi="Cambria"/>
                <w:i/>
                <w:sz w:val="20"/>
                <w:szCs w:val="20"/>
              </w:rPr>
              <w:t>Total des captures de thonidés tropicaux (t)</w:t>
            </w:r>
          </w:p>
        </w:tc>
      </w:tr>
      <w:tr w:rsidR="003A6775" w:rsidRPr="005756CE" w14:paraId="3173690A" w14:textId="77777777" w:rsidTr="001B36C2">
        <w:trPr>
          <w:trHeight w:val="295"/>
          <w:jc w:val="center"/>
        </w:trPr>
        <w:tc>
          <w:tcPr>
            <w:tcW w:w="2757" w:type="dxa"/>
            <w:shd w:val="clear" w:color="000000" w:fill="auto"/>
            <w:noWrap/>
            <w:hideMark/>
          </w:tcPr>
          <w:p w14:paraId="375EE92B" w14:textId="77777777" w:rsidR="003A6775" w:rsidRPr="005756CE" w:rsidRDefault="003A6775" w:rsidP="001E71F8">
            <w:pPr>
              <w:spacing w:line="240" w:lineRule="auto"/>
              <w:rPr>
                <w:rFonts w:ascii="Cambria" w:hAnsi="Cambria"/>
                <w:sz w:val="20"/>
                <w:szCs w:val="20"/>
              </w:rPr>
            </w:pPr>
            <w:r w:rsidRPr="005756CE">
              <w:rPr>
                <w:rFonts w:ascii="Cambria" w:hAnsi="Cambria"/>
                <w:sz w:val="20"/>
                <w:szCs w:val="20"/>
              </w:rPr>
              <w:t>Cabo Verde</w:t>
            </w:r>
          </w:p>
        </w:tc>
        <w:tc>
          <w:tcPr>
            <w:tcW w:w="2341" w:type="dxa"/>
            <w:noWrap/>
            <w:vAlign w:val="center"/>
            <w:hideMark/>
          </w:tcPr>
          <w:p w14:paraId="4F23F4CE" w14:textId="77777777" w:rsidR="003A6775" w:rsidRPr="005756CE" w:rsidRDefault="003A6775" w:rsidP="001E71F8">
            <w:pPr>
              <w:spacing w:line="240" w:lineRule="auto"/>
              <w:jc w:val="right"/>
              <w:rPr>
                <w:rFonts w:ascii="Cambria" w:hAnsi="Cambria"/>
                <w:sz w:val="20"/>
                <w:szCs w:val="20"/>
              </w:rPr>
            </w:pPr>
            <w:r w:rsidRPr="005756CE">
              <w:rPr>
                <w:rFonts w:ascii="Cambria" w:hAnsi="Cambria"/>
                <w:sz w:val="20"/>
                <w:szCs w:val="20"/>
              </w:rPr>
              <w:t>2.207</w:t>
            </w:r>
          </w:p>
        </w:tc>
      </w:tr>
      <w:tr w:rsidR="003A6775" w:rsidRPr="005756CE" w14:paraId="0C9BE470" w14:textId="77777777" w:rsidTr="001B36C2">
        <w:trPr>
          <w:trHeight w:val="295"/>
          <w:jc w:val="center"/>
        </w:trPr>
        <w:tc>
          <w:tcPr>
            <w:tcW w:w="2757" w:type="dxa"/>
            <w:shd w:val="clear" w:color="000000" w:fill="auto"/>
            <w:noWrap/>
            <w:hideMark/>
          </w:tcPr>
          <w:p w14:paraId="3391752F" w14:textId="77777777" w:rsidR="003A6775" w:rsidRPr="005756CE" w:rsidRDefault="003A6775" w:rsidP="001E71F8">
            <w:pPr>
              <w:spacing w:line="240" w:lineRule="auto"/>
              <w:rPr>
                <w:rFonts w:ascii="Cambria" w:hAnsi="Cambria"/>
                <w:sz w:val="20"/>
                <w:szCs w:val="20"/>
              </w:rPr>
            </w:pPr>
            <w:r w:rsidRPr="005756CE">
              <w:rPr>
                <w:rFonts w:ascii="Cambria" w:hAnsi="Cambria"/>
                <w:sz w:val="20"/>
                <w:szCs w:val="20"/>
              </w:rPr>
              <w:t>Grenade</w:t>
            </w:r>
          </w:p>
        </w:tc>
        <w:tc>
          <w:tcPr>
            <w:tcW w:w="2341" w:type="dxa"/>
            <w:noWrap/>
            <w:vAlign w:val="center"/>
            <w:hideMark/>
          </w:tcPr>
          <w:p w14:paraId="6E4949AA" w14:textId="77777777" w:rsidR="003A6775" w:rsidRPr="005756CE" w:rsidRDefault="003A6775" w:rsidP="001E71F8">
            <w:pPr>
              <w:spacing w:line="240" w:lineRule="auto"/>
              <w:jc w:val="right"/>
              <w:rPr>
                <w:rFonts w:ascii="Cambria" w:hAnsi="Cambria"/>
                <w:sz w:val="20"/>
                <w:szCs w:val="20"/>
              </w:rPr>
            </w:pPr>
            <w:r w:rsidRPr="005756CE">
              <w:rPr>
                <w:rFonts w:ascii="Cambria" w:hAnsi="Cambria"/>
                <w:sz w:val="20"/>
                <w:szCs w:val="20"/>
              </w:rPr>
              <w:t>1.098</w:t>
            </w:r>
          </w:p>
        </w:tc>
      </w:tr>
      <w:tr w:rsidR="003A6775" w:rsidRPr="005756CE" w14:paraId="7FEAE883" w14:textId="77777777" w:rsidTr="001B36C2">
        <w:trPr>
          <w:trHeight w:val="295"/>
          <w:jc w:val="center"/>
        </w:trPr>
        <w:tc>
          <w:tcPr>
            <w:tcW w:w="2757" w:type="dxa"/>
            <w:shd w:val="clear" w:color="000000" w:fill="auto"/>
            <w:noWrap/>
            <w:hideMark/>
          </w:tcPr>
          <w:p w14:paraId="539762E5" w14:textId="77777777" w:rsidR="003A6775" w:rsidRPr="005756CE" w:rsidRDefault="003A6775" w:rsidP="001E71F8">
            <w:pPr>
              <w:spacing w:line="240" w:lineRule="auto"/>
              <w:rPr>
                <w:rFonts w:ascii="Cambria" w:hAnsi="Cambria"/>
                <w:sz w:val="20"/>
                <w:szCs w:val="20"/>
              </w:rPr>
            </w:pPr>
            <w:r w:rsidRPr="005756CE">
              <w:rPr>
                <w:rFonts w:ascii="Cambria" w:hAnsi="Cambria"/>
                <w:sz w:val="20"/>
                <w:szCs w:val="20"/>
              </w:rPr>
              <w:t>République de Guinée</w:t>
            </w:r>
          </w:p>
        </w:tc>
        <w:tc>
          <w:tcPr>
            <w:tcW w:w="2341" w:type="dxa"/>
            <w:noWrap/>
            <w:vAlign w:val="center"/>
            <w:hideMark/>
          </w:tcPr>
          <w:p w14:paraId="71B9CC98" w14:textId="77777777" w:rsidR="003A6775" w:rsidRPr="005756CE" w:rsidRDefault="003A6775" w:rsidP="001E71F8">
            <w:pPr>
              <w:spacing w:line="240" w:lineRule="auto"/>
              <w:jc w:val="right"/>
              <w:rPr>
                <w:rFonts w:ascii="Cambria" w:hAnsi="Cambria"/>
                <w:sz w:val="20"/>
                <w:szCs w:val="20"/>
              </w:rPr>
            </w:pPr>
            <w:r w:rsidRPr="005756CE">
              <w:rPr>
                <w:rFonts w:ascii="Cambria" w:hAnsi="Cambria"/>
                <w:sz w:val="20"/>
                <w:szCs w:val="20"/>
              </w:rPr>
              <w:t>1.344</w:t>
            </w:r>
          </w:p>
        </w:tc>
      </w:tr>
      <w:tr w:rsidR="003A6775" w:rsidRPr="005756CE" w14:paraId="2802A456" w14:textId="77777777" w:rsidTr="001B36C2">
        <w:trPr>
          <w:trHeight w:val="295"/>
          <w:jc w:val="center"/>
        </w:trPr>
        <w:tc>
          <w:tcPr>
            <w:tcW w:w="2757" w:type="dxa"/>
            <w:shd w:val="clear" w:color="000000" w:fill="auto"/>
            <w:noWrap/>
            <w:hideMark/>
          </w:tcPr>
          <w:p w14:paraId="71E6EF2F" w14:textId="77777777" w:rsidR="003A6775" w:rsidRPr="005756CE" w:rsidRDefault="003A6775" w:rsidP="001E71F8">
            <w:pPr>
              <w:spacing w:line="240" w:lineRule="auto"/>
              <w:rPr>
                <w:rFonts w:ascii="Cambria" w:hAnsi="Cambria"/>
                <w:sz w:val="20"/>
                <w:szCs w:val="20"/>
              </w:rPr>
            </w:pPr>
            <w:r w:rsidRPr="005756CE">
              <w:rPr>
                <w:rFonts w:ascii="Cambria" w:hAnsi="Cambria"/>
                <w:sz w:val="20"/>
                <w:szCs w:val="20"/>
              </w:rPr>
              <w:t>Liberia</w:t>
            </w:r>
          </w:p>
        </w:tc>
        <w:tc>
          <w:tcPr>
            <w:tcW w:w="2341" w:type="dxa"/>
            <w:noWrap/>
            <w:vAlign w:val="center"/>
            <w:hideMark/>
          </w:tcPr>
          <w:p w14:paraId="4372D92E" w14:textId="77777777" w:rsidR="003A6775" w:rsidRPr="005756CE" w:rsidRDefault="003A6775" w:rsidP="001E71F8">
            <w:pPr>
              <w:spacing w:line="240" w:lineRule="auto"/>
              <w:jc w:val="right"/>
              <w:rPr>
                <w:rFonts w:ascii="Cambria" w:hAnsi="Cambria"/>
                <w:sz w:val="20"/>
                <w:szCs w:val="20"/>
              </w:rPr>
            </w:pPr>
            <w:r w:rsidRPr="005756CE">
              <w:rPr>
                <w:rFonts w:ascii="Cambria" w:hAnsi="Cambria"/>
                <w:sz w:val="20"/>
                <w:szCs w:val="20"/>
              </w:rPr>
              <w:t>2</w:t>
            </w:r>
          </w:p>
        </w:tc>
      </w:tr>
      <w:tr w:rsidR="003A6775" w:rsidRPr="005756CE" w14:paraId="3D7D72C6" w14:textId="77777777" w:rsidTr="001B36C2">
        <w:trPr>
          <w:trHeight w:val="295"/>
          <w:jc w:val="center"/>
        </w:trPr>
        <w:tc>
          <w:tcPr>
            <w:tcW w:w="2757" w:type="dxa"/>
            <w:shd w:val="clear" w:color="000000" w:fill="auto"/>
            <w:noWrap/>
            <w:hideMark/>
          </w:tcPr>
          <w:p w14:paraId="08673CEE" w14:textId="77777777" w:rsidR="003A6775" w:rsidRPr="005756CE" w:rsidRDefault="003A6775" w:rsidP="001E71F8">
            <w:pPr>
              <w:spacing w:line="240" w:lineRule="auto"/>
              <w:rPr>
                <w:rFonts w:ascii="Cambria" w:hAnsi="Cambria"/>
                <w:sz w:val="20"/>
                <w:szCs w:val="20"/>
              </w:rPr>
            </w:pPr>
            <w:r w:rsidRPr="005756CE">
              <w:rPr>
                <w:rFonts w:ascii="Cambria" w:hAnsi="Cambria"/>
                <w:sz w:val="20"/>
                <w:szCs w:val="20"/>
              </w:rPr>
              <w:t>Namibie</w:t>
            </w:r>
          </w:p>
        </w:tc>
        <w:tc>
          <w:tcPr>
            <w:tcW w:w="2341" w:type="dxa"/>
            <w:noWrap/>
            <w:vAlign w:val="center"/>
            <w:hideMark/>
          </w:tcPr>
          <w:p w14:paraId="7B992716" w14:textId="77777777" w:rsidR="003A6775" w:rsidRPr="005756CE" w:rsidRDefault="003A6775" w:rsidP="001E71F8">
            <w:pPr>
              <w:spacing w:line="240" w:lineRule="auto"/>
              <w:jc w:val="right"/>
              <w:rPr>
                <w:rFonts w:ascii="Cambria" w:hAnsi="Cambria"/>
                <w:sz w:val="20"/>
                <w:szCs w:val="20"/>
              </w:rPr>
            </w:pPr>
            <w:r w:rsidRPr="005756CE">
              <w:rPr>
                <w:rFonts w:ascii="Cambria" w:hAnsi="Cambria"/>
                <w:sz w:val="20"/>
                <w:szCs w:val="20"/>
              </w:rPr>
              <w:t>103</w:t>
            </w:r>
          </w:p>
        </w:tc>
      </w:tr>
      <w:tr w:rsidR="003A6775" w:rsidRPr="005756CE" w14:paraId="625F239D" w14:textId="77777777" w:rsidTr="001B36C2">
        <w:trPr>
          <w:trHeight w:val="295"/>
          <w:jc w:val="center"/>
        </w:trPr>
        <w:tc>
          <w:tcPr>
            <w:tcW w:w="2757" w:type="dxa"/>
            <w:shd w:val="clear" w:color="000000" w:fill="auto"/>
            <w:noWrap/>
            <w:hideMark/>
          </w:tcPr>
          <w:p w14:paraId="10A8F278" w14:textId="77777777" w:rsidR="003A6775" w:rsidRPr="005756CE" w:rsidRDefault="003A6775" w:rsidP="001E71F8">
            <w:pPr>
              <w:spacing w:line="240" w:lineRule="auto"/>
              <w:rPr>
                <w:rFonts w:ascii="Cambria" w:hAnsi="Cambria"/>
                <w:sz w:val="20"/>
                <w:szCs w:val="20"/>
              </w:rPr>
            </w:pPr>
            <w:r w:rsidRPr="005756CE">
              <w:rPr>
                <w:rFonts w:ascii="Cambria" w:hAnsi="Cambria"/>
                <w:sz w:val="20"/>
                <w:szCs w:val="20"/>
              </w:rPr>
              <w:lastRenderedPageBreak/>
              <w:t>Russie</w:t>
            </w:r>
          </w:p>
        </w:tc>
        <w:tc>
          <w:tcPr>
            <w:tcW w:w="2341" w:type="dxa"/>
            <w:noWrap/>
            <w:vAlign w:val="center"/>
            <w:hideMark/>
          </w:tcPr>
          <w:p w14:paraId="3C6AA595" w14:textId="77777777" w:rsidR="003A6775" w:rsidRPr="005756CE" w:rsidRDefault="003A6775" w:rsidP="001E71F8">
            <w:pPr>
              <w:spacing w:line="240" w:lineRule="auto"/>
              <w:jc w:val="right"/>
              <w:rPr>
                <w:rFonts w:ascii="Cambria" w:hAnsi="Cambria"/>
                <w:sz w:val="20"/>
                <w:szCs w:val="20"/>
              </w:rPr>
            </w:pPr>
            <w:r w:rsidRPr="005756CE">
              <w:rPr>
                <w:rFonts w:ascii="Cambria" w:hAnsi="Cambria"/>
                <w:sz w:val="20"/>
                <w:szCs w:val="20"/>
              </w:rPr>
              <w:t>0</w:t>
            </w:r>
          </w:p>
        </w:tc>
      </w:tr>
      <w:tr w:rsidR="003A6775" w:rsidRPr="005756CE" w14:paraId="051E0318" w14:textId="77777777" w:rsidTr="001B36C2">
        <w:trPr>
          <w:trHeight w:val="295"/>
          <w:jc w:val="center"/>
        </w:trPr>
        <w:tc>
          <w:tcPr>
            <w:tcW w:w="2757" w:type="dxa"/>
            <w:shd w:val="clear" w:color="000000" w:fill="auto"/>
            <w:noWrap/>
            <w:hideMark/>
          </w:tcPr>
          <w:p w14:paraId="76E619BF" w14:textId="77777777" w:rsidR="003A6775" w:rsidRPr="005756CE" w:rsidRDefault="003A6775" w:rsidP="001E71F8">
            <w:pPr>
              <w:spacing w:line="240" w:lineRule="auto"/>
              <w:rPr>
                <w:rFonts w:ascii="Cambria" w:hAnsi="Cambria"/>
                <w:sz w:val="20"/>
                <w:szCs w:val="20"/>
              </w:rPr>
            </w:pPr>
            <w:r w:rsidRPr="005756CE">
              <w:rPr>
                <w:rFonts w:ascii="Cambria" w:hAnsi="Cambria"/>
                <w:sz w:val="20"/>
                <w:szCs w:val="20"/>
              </w:rPr>
              <w:t>Sao Tomé-et-Principe</w:t>
            </w:r>
          </w:p>
        </w:tc>
        <w:tc>
          <w:tcPr>
            <w:tcW w:w="2341" w:type="dxa"/>
            <w:noWrap/>
            <w:vAlign w:val="center"/>
            <w:hideMark/>
          </w:tcPr>
          <w:p w14:paraId="74769AD0" w14:textId="77777777" w:rsidR="003A6775" w:rsidRPr="005756CE" w:rsidRDefault="003A6775" w:rsidP="001E71F8">
            <w:pPr>
              <w:spacing w:line="240" w:lineRule="auto"/>
              <w:jc w:val="right"/>
              <w:rPr>
                <w:rFonts w:ascii="Cambria" w:hAnsi="Cambria"/>
                <w:sz w:val="20"/>
                <w:szCs w:val="20"/>
              </w:rPr>
            </w:pPr>
            <w:r w:rsidRPr="005756CE">
              <w:rPr>
                <w:rFonts w:ascii="Cambria" w:hAnsi="Cambria"/>
                <w:sz w:val="20"/>
                <w:szCs w:val="20"/>
              </w:rPr>
              <w:t>365</w:t>
            </w:r>
          </w:p>
        </w:tc>
      </w:tr>
      <w:tr w:rsidR="003A6775" w:rsidRPr="005756CE" w14:paraId="07B7D24A" w14:textId="77777777" w:rsidTr="001B36C2">
        <w:trPr>
          <w:trHeight w:val="295"/>
          <w:jc w:val="center"/>
        </w:trPr>
        <w:tc>
          <w:tcPr>
            <w:tcW w:w="2757" w:type="dxa"/>
            <w:shd w:val="clear" w:color="000000" w:fill="auto"/>
            <w:noWrap/>
          </w:tcPr>
          <w:p w14:paraId="6B6967FD" w14:textId="77777777" w:rsidR="003A6775" w:rsidRPr="005756CE" w:rsidRDefault="003A6775" w:rsidP="001E71F8">
            <w:pPr>
              <w:spacing w:line="240" w:lineRule="auto"/>
              <w:rPr>
                <w:rFonts w:ascii="Cambria" w:hAnsi="Cambria"/>
                <w:sz w:val="20"/>
                <w:szCs w:val="20"/>
              </w:rPr>
            </w:pPr>
            <w:r w:rsidRPr="005756CE">
              <w:rPr>
                <w:rFonts w:ascii="Cambria" w:hAnsi="Cambria"/>
                <w:sz w:val="20"/>
                <w:szCs w:val="20"/>
              </w:rPr>
              <w:t>Sénégal</w:t>
            </w:r>
          </w:p>
        </w:tc>
        <w:tc>
          <w:tcPr>
            <w:tcW w:w="2341" w:type="dxa"/>
            <w:noWrap/>
            <w:vAlign w:val="center"/>
          </w:tcPr>
          <w:p w14:paraId="45C73E8F" w14:textId="77777777" w:rsidR="003A6775" w:rsidRPr="005756CE" w:rsidRDefault="003A6775" w:rsidP="001E71F8">
            <w:pPr>
              <w:spacing w:line="240" w:lineRule="auto"/>
              <w:jc w:val="right"/>
              <w:rPr>
                <w:rFonts w:ascii="Cambria" w:hAnsi="Cambria"/>
                <w:sz w:val="20"/>
                <w:szCs w:val="20"/>
              </w:rPr>
            </w:pPr>
            <w:r w:rsidRPr="005756CE">
              <w:rPr>
                <w:rFonts w:ascii="Cambria" w:hAnsi="Cambria"/>
                <w:sz w:val="20"/>
                <w:szCs w:val="20"/>
              </w:rPr>
              <w:t>38.783</w:t>
            </w:r>
          </w:p>
        </w:tc>
      </w:tr>
      <w:tr w:rsidR="003A6775" w:rsidRPr="005756CE" w14:paraId="70EADCB5" w14:textId="77777777" w:rsidTr="001B36C2">
        <w:trPr>
          <w:trHeight w:val="295"/>
          <w:jc w:val="center"/>
        </w:trPr>
        <w:tc>
          <w:tcPr>
            <w:tcW w:w="2757" w:type="dxa"/>
            <w:shd w:val="clear" w:color="000000" w:fill="auto"/>
            <w:noWrap/>
          </w:tcPr>
          <w:p w14:paraId="320B084C" w14:textId="77777777" w:rsidR="003A6775" w:rsidRPr="005756CE" w:rsidRDefault="003A6775" w:rsidP="001E71F8">
            <w:pPr>
              <w:spacing w:line="240" w:lineRule="auto"/>
              <w:rPr>
                <w:rFonts w:ascii="Cambria" w:hAnsi="Cambria"/>
                <w:sz w:val="20"/>
                <w:szCs w:val="20"/>
              </w:rPr>
            </w:pPr>
            <w:r w:rsidRPr="005756CE">
              <w:rPr>
                <w:rFonts w:ascii="Cambria" w:hAnsi="Cambria"/>
                <w:sz w:val="20"/>
                <w:szCs w:val="20"/>
              </w:rPr>
              <w:t>Saint-Vincent-et-les-Grenadines</w:t>
            </w:r>
          </w:p>
        </w:tc>
        <w:tc>
          <w:tcPr>
            <w:tcW w:w="2341" w:type="dxa"/>
            <w:noWrap/>
            <w:vAlign w:val="center"/>
          </w:tcPr>
          <w:p w14:paraId="6C4A13EA" w14:textId="77777777" w:rsidR="003A6775" w:rsidRPr="005756CE" w:rsidRDefault="003A6775" w:rsidP="001E71F8">
            <w:pPr>
              <w:spacing w:line="240" w:lineRule="auto"/>
              <w:jc w:val="right"/>
              <w:rPr>
                <w:rFonts w:ascii="Cambria" w:hAnsi="Cambria"/>
                <w:sz w:val="20"/>
                <w:szCs w:val="20"/>
              </w:rPr>
            </w:pPr>
            <w:r w:rsidRPr="005756CE">
              <w:rPr>
                <w:rFonts w:ascii="Cambria" w:hAnsi="Cambria"/>
                <w:sz w:val="20"/>
                <w:szCs w:val="20"/>
              </w:rPr>
              <w:t>131</w:t>
            </w:r>
          </w:p>
        </w:tc>
      </w:tr>
      <w:tr w:rsidR="003A6775" w:rsidRPr="005756CE" w14:paraId="7ECC2A2F" w14:textId="77777777" w:rsidTr="001B36C2">
        <w:trPr>
          <w:trHeight w:val="295"/>
          <w:jc w:val="center"/>
        </w:trPr>
        <w:tc>
          <w:tcPr>
            <w:tcW w:w="2757" w:type="dxa"/>
            <w:shd w:val="clear" w:color="000000" w:fill="auto"/>
            <w:noWrap/>
          </w:tcPr>
          <w:p w14:paraId="7D2210C0" w14:textId="77777777" w:rsidR="003A6775" w:rsidRPr="005756CE" w:rsidRDefault="003A6775" w:rsidP="001E71F8">
            <w:pPr>
              <w:spacing w:line="240" w:lineRule="auto"/>
              <w:rPr>
                <w:rFonts w:ascii="Cambria" w:hAnsi="Cambria"/>
                <w:sz w:val="20"/>
                <w:szCs w:val="20"/>
              </w:rPr>
            </w:pPr>
            <w:r w:rsidRPr="005756CE">
              <w:rPr>
                <w:rFonts w:ascii="Cambria" w:hAnsi="Cambria"/>
                <w:sz w:val="20"/>
                <w:szCs w:val="20"/>
              </w:rPr>
              <w:t>Türkiye</w:t>
            </w:r>
          </w:p>
        </w:tc>
        <w:tc>
          <w:tcPr>
            <w:tcW w:w="2341" w:type="dxa"/>
            <w:noWrap/>
            <w:vAlign w:val="center"/>
          </w:tcPr>
          <w:p w14:paraId="1EE97F7A" w14:textId="77777777" w:rsidR="003A6775" w:rsidRPr="005756CE" w:rsidRDefault="003A6775" w:rsidP="001E71F8">
            <w:pPr>
              <w:spacing w:line="240" w:lineRule="auto"/>
              <w:jc w:val="right"/>
              <w:rPr>
                <w:rFonts w:ascii="Cambria" w:hAnsi="Cambria"/>
                <w:sz w:val="20"/>
                <w:szCs w:val="20"/>
              </w:rPr>
            </w:pPr>
            <w:r w:rsidRPr="005756CE">
              <w:rPr>
                <w:rFonts w:ascii="Cambria" w:hAnsi="Cambria"/>
                <w:sz w:val="20"/>
                <w:szCs w:val="20"/>
              </w:rPr>
              <w:t>425</w:t>
            </w:r>
          </w:p>
        </w:tc>
      </w:tr>
    </w:tbl>
    <w:p w14:paraId="30AD6736" w14:textId="77777777" w:rsidR="003A6775" w:rsidRPr="005756CE" w:rsidRDefault="003A677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01F8B273" w14:textId="6FA29103"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b/>
          <w:bCs/>
          <w:i/>
          <w:sz w:val="20"/>
          <w:szCs w:val="20"/>
        </w:rPr>
        <w:t>Limites de capture</w:t>
      </w:r>
      <w:r w:rsidR="001C5298" w:rsidRPr="005756CE">
        <w:rPr>
          <w:rFonts w:ascii="Cambria" w:hAnsi="Cambria"/>
          <w:b/>
          <w:bCs/>
          <w:i/>
          <w:sz w:val="20"/>
          <w:szCs w:val="20"/>
        </w:rPr>
        <w:t> :</w:t>
      </w:r>
      <w:r w:rsidRPr="005756CE">
        <w:rPr>
          <w:rFonts w:ascii="Cambria" w:hAnsi="Cambria"/>
          <w:i/>
          <w:sz w:val="20"/>
          <w:szCs w:val="20"/>
        </w:rPr>
        <w:t xml:space="preserve"> </w:t>
      </w:r>
      <w:r w:rsidRPr="005756CE">
        <w:rPr>
          <w:rFonts w:ascii="Cambria" w:hAnsi="Cambria"/>
          <w:sz w:val="20"/>
          <w:szCs w:val="20"/>
        </w:rPr>
        <w:t>En ce qui concerne l'application des quotas/limites de capture, veuillez consulter l'annexe d'application (« </w:t>
      </w:r>
      <w:r w:rsidR="00227CB5" w:rsidRPr="005756CE">
        <w:rPr>
          <w:rFonts w:ascii="Cambria" w:hAnsi="Cambria"/>
          <w:sz w:val="20"/>
          <w:szCs w:val="20"/>
        </w:rPr>
        <w:t>T</w:t>
      </w:r>
      <w:r w:rsidRPr="005756CE">
        <w:rPr>
          <w:rFonts w:ascii="Cambria" w:hAnsi="Cambria"/>
          <w:sz w:val="20"/>
          <w:szCs w:val="20"/>
        </w:rPr>
        <w:t>ableaux d’application</w:t>
      </w:r>
      <w:r w:rsidR="00227CB5" w:rsidRPr="005756CE">
        <w:rPr>
          <w:rFonts w:ascii="Cambria" w:hAnsi="Cambria"/>
          <w:sz w:val="20"/>
          <w:szCs w:val="20"/>
        </w:rPr>
        <w:t xml:space="preserve"> de 202</w:t>
      </w:r>
      <w:r w:rsidR="00845F68" w:rsidRPr="005756CE">
        <w:rPr>
          <w:rFonts w:ascii="Cambria" w:hAnsi="Cambria"/>
          <w:sz w:val="20"/>
          <w:szCs w:val="20"/>
        </w:rPr>
        <w:t>4</w:t>
      </w:r>
      <w:r w:rsidR="00227CB5" w:rsidRPr="005756CE">
        <w:rPr>
          <w:rFonts w:ascii="Cambria" w:hAnsi="Cambria"/>
          <w:sz w:val="20"/>
          <w:szCs w:val="20"/>
        </w:rPr>
        <w:t xml:space="preserve"> reçus en 2</w:t>
      </w:r>
      <w:r w:rsidRPr="005756CE">
        <w:rPr>
          <w:rFonts w:ascii="Cambria" w:hAnsi="Cambria"/>
          <w:sz w:val="20"/>
          <w:szCs w:val="20"/>
        </w:rPr>
        <w:t>02</w:t>
      </w:r>
      <w:r w:rsidR="00845F68" w:rsidRPr="005756CE">
        <w:rPr>
          <w:rFonts w:ascii="Cambria" w:hAnsi="Cambria"/>
          <w:sz w:val="20"/>
          <w:szCs w:val="20"/>
        </w:rPr>
        <w:t>5</w:t>
      </w:r>
      <w:r w:rsidR="00227CB5" w:rsidRPr="005756CE">
        <w:rPr>
          <w:rFonts w:ascii="Cambria" w:hAnsi="Cambria"/>
          <w:sz w:val="20"/>
          <w:szCs w:val="20"/>
        </w:rPr>
        <w:t> »</w:t>
      </w:r>
      <w:r w:rsidRPr="005756CE">
        <w:rPr>
          <w:rFonts w:ascii="Cambria" w:hAnsi="Cambria"/>
          <w:sz w:val="20"/>
          <w:szCs w:val="20"/>
        </w:rPr>
        <w:t>).</w:t>
      </w:r>
    </w:p>
    <w:p w14:paraId="689C476C" w14:textId="77777777" w:rsidR="00F656B1" w:rsidRPr="005756CE" w:rsidRDefault="00F656B1" w:rsidP="001E71F8">
      <w:pPr>
        <w:spacing w:line="240" w:lineRule="auto"/>
        <w:jc w:val="both"/>
        <w:rPr>
          <w:rFonts w:ascii="Cambria" w:hAnsi="Cambria"/>
          <w:b/>
          <w:bCs/>
          <w:sz w:val="20"/>
          <w:szCs w:val="20"/>
        </w:rPr>
      </w:pPr>
    </w:p>
    <w:p w14:paraId="4E6CE9BA" w14:textId="687B8013" w:rsidR="00F656B1" w:rsidRPr="005756CE" w:rsidRDefault="00F656B1" w:rsidP="001E71F8">
      <w:pPr>
        <w:pBdr>
          <w:top w:val="single" w:sz="4" w:space="1" w:color="auto"/>
          <w:left w:val="single" w:sz="4" w:space="4" w:color="auto"/>
          <w:bottom w:val="single" w:sz="4" w:space="1" w:color="auto"/>
          <w:right w:val="single" w:sz="4" w:space="4" w:color="auto"/>
        </w:pBdr>
        <w:spacing w:line="240" w:lineRule="auto"/>
        <w:jc w:val="both"/>
        <w:rPr>
          <w:rFonts w:ascii="Cambria" w:hAnsi="Cambria"/>
          <w:sz w:val="20"/>
          <w:szCs w:val="20"/>
        </w:rPr>
      </w:pPr>
      <w:r w:rsidRPr="005756CE">
        <w:rPr>
          <w:rFonts w:ascii="Cambria" w:hAnsi="Cambria"/>
          <w:b/>
          <w:bCs/>
          <w:sz w:val="20"/>
          <w:szCs w:val="20"/>
        </w:rPr>
        <w:t xml:space="preserve">Suggestion du Secrétariat de </w:t>
      </w:r>
      <w:r w:rsidR="00657D14" w:rsidRPr="005756CE">
        <w:rPr>
          <w:rFonts w:ascii="Cambria" w:hAnsi="Cambria"/>
          <w:b/>
          <w:bCs/>
          <w:sz w:val="20"/>
          <w:szCs w:val="20"/>
        </w:rPr>
        <w:t>l’ICCAT :</w:t>
      </w:r>
      <w:r w:rsidRPr="005756CE">
        <w:rPr>
          <w:rFonts w:ascii="Cambria" w:hAnsi="Cambria"/>
          <w:sz w:val="20"/>
          <w:szCs w:val="20"/>
        </w:rPr>
        <w:t xml:space="preserve"> </w:t>
      </w:r>
      <w:r w:rsidR="00657D14" w:rsidRPr="005756CE">
        <w:rPr>
          <w:rFonts w:ascii="Cambria" w:hAnsi="Cambria"/>
          <w:sz w:val="20"/>
          <w:szCs w:val="20"/>
        </w:rPr>
        <w:t>Veuillez-vous</w:t>
      </w:r>
      <w:r w:rsidRPr="005756CE">
        <w:rPr>
          <w:rFonts w:ascii="Cambria" w:hAnsi="Cambria"/>
          <w:sz w:val="20"/>
          <w:szCs w:val="20"/>
        </w:rPr>
        <w:t xml:space="preserve"> référer au document </w:t>
      </w:r>
      <w:r w:rsidRPr="005756CE">
        <w:rPr>
          <w:rFonts w:ascii="Cambria" w:hAnsi="Cambria"/>
          <w:b/>
          <w:sz w:val="20"/>
          <w:szCs w:val="20"/>
        </w:rPr>
        <w:t>PLE_103/2025</w:t>
      </w:r>
      <w:r w:rsidRPr="005756CE">
        <w:rPr>
          <w:rFonts w:ascii="Cambria" w:hAnsi="Cambria"/>
          <w:sz w:val="20"/>
          <w:szCs w:val="20"/>
        </w:rPr>
        <w:t>, dans la section "Suggestions visant à une future simplification des Recommandations", en particulier le point sur les "thonidés tropicaux".</w:t>
      </w:r>
    </w:p>
    <w:p w14:paraId="796B2496"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bCs/>
          <w:i/>
          <w:iCs/>
          <w:kern w:val="0"/>
          <w:sz w:val="20"/>
          <w:szCs w:val="20"/>
          <w14:ligatures w14:val="none"/>
        </w:rPr>
      </w:pPr>
    </w:p>
    <w:p w14:paraId="1E6784BB"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color w:val="000000"/>
          <w:kern w:val="0"/>
          <w:sz w:val="20"/>
          <w:szCs w:val="20"/>
          <w14:ligatures w14:val="none"/>
        </w:rPr>
      </w:pPr>
      <w:r w:rsidRPr="005756CE">
        <w:rPr>
          <w:rFonts w:ascii="Cambria" w:hAnsi="Cambria"/>
          <w:b/>
          <w:bCs/>
          <w:i/>
          <w:sz w:val="20"/>
          <w:szCs w:val="20"/>
        </w:rPr>
        <w:t>Liste des navires autorisés de thonidés tropicaux :</w:t>
      </w:r>
      <w:r w:rsidRPr="005756CE">
        <w:rPr>
          <w:rFonts w:ascii="Cambria" w:hAnsi="Cambria"/>
          <w:i/>
          <w:sz w:val="20"/>
          <w:szCs w:val="20"/>
        </w:rPr>
        <w:t xml:space="preserve"> </w:t>
      </w:r>
      <w:r w:rsidRPr="005756CE">
        <w:rPr>
          <w:rFonts w:ascii="Cambria" w:hAnsi="Cambria"/>
          <w:sz w:val="20"/>
          <w:szCs w:val="20"/>
        </w:rPr>
        <w:t xml:space="preserve">Veuillez consulter </w:t>
      </w:r>
      <w:hyperlink r:id="rId8" w:history="1">
        <w:r w:rsidRPr="005756CE">
          <w:rPr>
            <w:rFonts w:ascii="Cambria" w:hAnsi="Cambria"/>
            <w:color w:val="0000FF"/>
            <w:sz w:val="20"/>
            <w:szCs w:val="20"/>
          </w:rPr>
          <w:t>www.iccat.int/fr/vesselsrecord.asp</w:t>
        </w:r>
      </w:hyperlink>
      <w:r w:rsidRPr="005756CE">
        <w:rPr>
          <w:rFonts w:ascii="Cambria" w:hAnsi="Cambria"/>
          <w:color w:val="0000FF"/>
          <w:sz w:val="20"/>
          <w:szCs w:val="20"/>
        </w:rPr>
        <w:t xml:space="preserve">. </w:t>
      </w:r>
      <w:r w:rsidRPr="005756CE">
        <w:rPr>
          <w:rFonts w:ascii="Cambria" w:hAnsi="Cambria"/>
          <w:color w:val="000000"/>
          <w:sz w:val="20"/>
          <w:szCs w:val="20"/>
        </w:rPr>
        <w:t>L</w:t>
      </w:r>
      <w:r w:rsidRPr="005756CE">
        <w:rPr>
          <w:rFonts w:ascii="Cambria" w:hAnsi="Cambria"/>
          <w:b/>
          <w:bCs/>
          <w:color w:val="000000"/>
          <w:sz w:val="20"/>
          <w:szCs w:val="20"/>
        </w:rPr>
        <w:t>'annexe 5</w:t>
      </w:r>
      <w:r w:rsidRPr="005756CE">
        <w:rPr>
          <w:rFonts w:ascii="Cambria" w:hAnsi="Cambria"/>
          <w:color w:val="000000"/>
          <w:sz w:val="20"/>
          <w:szCs w:val="20"/>
        </w:rPr>
        <w:t xml:space="preserve"> contient la liste des navires ayant pêché l'année précédente.</w:t>
      </w:r>
    </w:p>
    <w:p w14:paraId="045BC5B1"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color w:val="000000"/>
          <w:kern w:val="0"/>
          <w:sz w:val="20"/>
          <w:szCs w:val="20"/>
          <w14:ligatures w14:val="none"/>
        </w:rPr>
      </w:pPr>
    </w:p>
    <w:p w14:paraId="4FBBBCEA" w14:textId="12DBBAA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color w:val="000000"/>
          <w:kern w:val="0"/>
          <w:sz w:val="20"/>
          <w:szCs w:val="20"/>
          <w14:ligatures w14:val="none"/>
        </w:rPr>
      </w:pPr>
      <w:r w:rsidRPr="005756CE">
        <w:rPr>
          <w:rFonts w:ascii="Cambria" w:hAnsi="Cambria"/>
          <w:color w:val="000000"/>
          <w:sz w:val="20"/>
          <w:szCs w:val="20"/>
        </w:rPr>
        <w:t>À la date de rédaction, le registre des navires de l'ICCAT contenait 1</w:t>
      </w:r>
      <w:r w:rsidR="000C09F1" w:rsidRPr="005756CE">
        <w:rPr>
          <w:rFonts w:ascii="Cambria" w:hAnsi="Cambria"/>
          <w:color w:val="000000"/>
          <w:sz w:val="20"/>
          <w:szCs w:val="20"/>
        </w:rPr>
        <w:t>.</w:t>
      </w:r>
      <w:r w:rsidR="00E52446" w:rsidRPr="005756CE">
        <w:rPr>
          <w:rFonts w:ascii="Cambria" w:hAnsi="Cambria"/>
          <w:color w:val="000000"/>
          <w:sz w:val="20"/>
          <w:szCs w:val="20"/>
        </w:rPr>
        <w:t>310</w:t>
      </w:r>
      <w:r w:rsidRPr="005756CE">
        <w:rPr>
          <w:rFonts w:ascii="Cambria" w:hAnsi="Cambria"/>
          <w:color w:val="000000"/>
          <w:sz w:val="20"/>
          <w:szCs w:val="20"/>
        </w:rPr>
        <w:t xml:space="preserve"> navires (</w:t>
      </w:r>
      <w:r w:rsidRPr="005756CE">
        <w:rPr>
          <w:rFonts w:ascii="Cambria" w:hAnsi="Cambria"/>
          <w:b/>
          <w:bCs/>
          <w:color w:val="000000"/>
          <w:sz w:val="20"/>
          <w:szCs w:val="20"/>
        </w:rPr>
        <w:t>1</w:t>
      </w:r>
      <w:r w:rsidR="00E52446" w:rsidRPr="005756CE">
        <w:rPr>
          <w:rFonts w:ascii="Cambria" w:hAnsi="Cambria"/>
          <w:b/>
          <w:bCs/>
          <w:color w:val="000000"/>
          <w:sz w:val="20"/>
          <w:szCs w:val="20"/>
        </w:rPr>
        <w:t>5</w:t>
      </w:r>
      <w:r w:rsidRPr="005756CE">
        <w:rPr>
          <w:rFonts w:ascii="Cambria" w:hAnsi="Cambria"/>
          <w:color w:val="000000"/>
          <w:sz w:val="20"/>
          <w:szCs w:val="20"/>
        </w:rPr>
        <w:t xml:space="preserve"> navires de plus par rapport au niveau de 202</w:t>
      </w:r>
      <w:r w:rsidR="00E52446" w:rsidRPr="005756CE">
        <w:rPr>
          <w:rFonts w:ascii="Cambria" w:hAnsi="Cambria"/>
          <w:color w:val="000000"/>
          <w:sz w:val="20"/>
          <w:szCs w:val="20"/>
        </w:rPr>
        <w:t>4</w:t>
      </w:r>
      <w:r w:rsidRPr="005756CE">
        <w:rPr>
          <w:rFonts w:ascii="Cambria" w:hAnsi="Cambria"/>
          <w:color w:val="000000"/>
          <w:sz w:val="20"/>
          <w:szCs w:val="20"/>
        </w:rPr>
        <w:t>) dans s</w:t>
      </w:r>
      <w:r w:rsidR="00325774" w:rsidRPr="005756CE">
        <w:rPr>
          <w:rFonts w:ascii="Cambria" w:hAnsi="Cambria"/>
          <w:color w:val="000000"/>
          <w:sz w:val="20"/>
          <w:szCs w:val="20"/>
        </w:rPr>
        <w:t xml:space="preserve">es listes </w:t>
      </w:r>
      <w:r w:rsidRPr="005756CE">
        <w:rPr>
          <w:rFonts w:ascii="Cambria" w:hAnsi="Cambria"/>
          <w:color w:val="000000"/>
          <w:sz w:val="20"/>
          <w:szCs w:val="20"/>
        </w:rPr>
        <w:t xml:space="preserve">de navires tropicaux, avec des navires de 27 CPC. Il est à noter que le registre de l’ICCAT est une liste dynamique qui peut varier tous les jours. </w:t>
      </w:r>
    </w:p>
    <w:p w14:paraId="704B3DE3"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
          <w:bCs/>
          <w:i/>
          <w:kern w:val="0"/>
          <w:sz w:val="20"/>
          <w:szCs w:val="20"/>
          <w14:ligatures w14:val="none"/>
        </w:rPr>
      </w:pPr>
    </w:p>
    <w:p w14:paraId="1192285A" w14:textId="4AA21B1F"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bCs/>
          <w:iCs/>
          <w:kern w:val="0"/>
          <w:sz w:val="20"/>
          <w:szCs w:val="20"/>
          <w14:ligatures w14:val="none"/>
        </w:rPr>
      </w:pPr>
      <w:r w:rsidRPr="005756CE">
        <w:rPr>
          <w:rFonts w:ascii="Cambria" w:hAnsi="Cambria"/>
          <w:b/>
          <w:i/>
          <w:sz w:val="20"/>
          <w:szCs w:val="20"/>
        </w:rPr>
        <w:t>Gestion de la capacité</w:t>
      </w:r>
      <w:r w:rsidR="005B72E0" w:rsidRPr="005756CE">
        <w:rPr>
          <w:rFonts w:ascii="Cambria" w:hAnsi="Cambria"/>
          <w:b/>
          <w:bCs/>
          <w:i/>
          <w:sz w:val="20"/>
          <w:szCs w:val="20"/>
        </w:rPr>
        <w:t xml:space="preserve"> </w:t>
      </w:r>
      <w:r w:rsidR="005B72E0" w:rsidRPr="005756CE">
        <w:rPr>
          <w:rStyle w:val="FootnoteReference"/>
          <w:rFonts w:ascii="Cambria" w:hAnsi="Cambria"/>
          <w:b/>
          <w:bCs/>
          <w:i/>
          <w:sz w:val="20"/>
          <w:szCs w:val="20"/>
          <w:lang w:val="en-IE"/>
        </w:rPr>
        <w:footnoteReference w:id="1"/>
      </w:r>
      <w:r w:rsidR="00325774" w:rsidRPr="005756CE">
        <w:rPr>
          <w:rFonts w:ascii="Cambria" w:hAnsi="Cambria"/>
          <w:b/>
          <w:i/>
          <w:sz w:val="20"/>
          <w:szCs w:val="20"/>
        </w:rPr>
        <w:t> :</w:t>
      </w:r>
      <w:r w:rsidR="00845F68" w:rsidRPr="005756CE">
        <w:rPr>
          <w:rFonts w:ascii="Cambria" w:hAnsi="Cambria"/>
          <w:b/>
          <w:i/>
          <w:sz w:val="20"/>
          <w:szCs w:val="20"/>
        </w:rPr>
        <w:t xml:space="preserve"> </w:t>
      </w:r>
      <w:r w:rsidRPr="005756CE">
        <w:rPr>
          <w:rFonts w:ascii="Cambria" w:hAnsi="Cambria"/>
          <w:sz w:val="20"/>
          <w:szCs w:val="20"/>
        </w:rPr>
        <w:t>Les plans de gestion de la capacité et les déclarations sur l'expansion de la capacité sont inclus dans les plans de pêche.</w:t>
      </w:r>
    </w:p>
    <w:p w14:paraId="2F22B3FA"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
          <w:bCs/>
          <w:i/>
          <w:kern w:val="0"/>
          <w:sz w:val="20"/>
          <w:szCs w:val="20"/>
          <w14:ligatures w14:val="none"/>
        </w:rPr>
      </w:pPr>
    </w:p>
    <w:p w14:paraId="615F48E6" w14:textId="23D6053B"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hAnsi="Cambria"/>
          <w:sz w:val="20"/>
          <w:szCs w:val="20"/>
        </w:rPr>
      </w:pPr>
      <w:r w:rsidRPr="005756CE">
        <w:rPr>
          <w:rFonts w:ascii="Cambria" w:hAnsi="Cambria"/>
          <w:b/>
          <w:i/>
          <w:sz w:val="20"/>
          <w:szCs w:val="20"/>
        </w:rPr>
        <w:t>Plans de gestion des DCP et démarches entreprises en vue de l'utilisation des DCP</w:t>
      </w:r>
      <w:r w:rsidR="004F04E6" w:rsidRPr="005756CE">
        <w:rPr>
          <w:rFonts w:ascii="Cambria" w:hAnsi="Cambria"/>
          <w:b/>
          <w:i/>
          <w:sz w:val="20"/>
          <w:szCs w:val="20"/>
          <w:vertAlign w:val="superscript"/>
        </w:rPr>
        <w:t>1</w:t>
      </w:r>
      <w:r w:rsidRPr="005756CE">
        <w:rPr>
          <w:rFonts w:ascii="Cambria" w:hAnsi="Cambria"/>
          <w:b/>
          <w:i/>
          <w:sz w:val="20"/>
          <w:szCs w:val="20"/>
        </w:rPr>
        <w:t xml:space="preserve"> non</w:t>
      </w:r>
      <w:r w:rsidR="00E95620" w:rsidRPr="005756CE">
        <w:rPr>
          <w:rFonts w:ascii="Cambria" w:hAnsi="Cambria"/>
          <w:b/>
          <w:i/>
          <w:sz w:val="20"/>
          <w:szCs w:val="20"/>
        </w:rPr>
        <w:t xml:space="preserve"> </w:t>
      </w:r>
      <w:r w:rsidRPr="005756CE">
        <w:rPr>
          <w:rFonts w:ascii="Cambria" w:hAnsi="Cambria"/>
          <w:b/>
          <w:i/>
          <w:sz w:val="20"/>
          <w:szCs w:val="20"/>
        </w:rPr>
        <w:t>emmêlants</w:t>
      </w:r>
      <w:r w:rsidR="00325774" w:rsidRPr="005756CE">
        <w:rPr>
          <w:rFonts w:ascii="Cambria" w:hAnsi="Cambria"/>
          <w:b/>
          <w:i/>
          <w:sz w:val="20"/>
          <w:szCs w:val="20"/>
        </w:rPr>
        <w:t xml:space="preserve"> : </w:t>
      </w:r>
      <w:r w:rsidRPr="005756CE">
        <w:rPr>
          <w:rFonts w:ascii="Cambria" w:hAnsi="Cambria"/>
          <w:sz w:val="20"/>
          <w:szCs w:val="20"/>
        </w:rPr>
        <w:t>Les plans de gestion des DCP reçus en 202</w:t>
      </w:r>
      <w:r w:rsidR="004F04E6" w:rsidRPr="005756CE">
        <w:rPr>
          <w:rFonts w:ascii="Cambria" w:hAnsi="Cambria"/>
          <w:sz w:val="20"/>
          <w:szCs w:val="20"/>
        </w:rPr>
        <w:t>5</w:t>
      </w:r>
      <w:r w:rsidRPr="005756CE">
        <w:rPr>
          <w:rFonts w:ascii="Cambria" w:hAnsi="Cambria"/>
          <w:sz w:val="20"/>
          <w:szCs w:val="20"/>
        </w:rPr>
        <w:t xml:space="preserve"> sont disponibles sur le site des documents des réunions </w:t>
      </w:r>
      <w:r w:rsidR="00B21822" w:rsidRPr="005756CE">
        <w:rPr>
          <w:rFonts w:ascii="Cambria" w:hAnsi="Cambria"/>
          <w:sz w:val="20"/>
          <w:szCs w:val="20"/>
        </w:rPr>
        <w:t>de la Sous-commission 1</w:t>
      </w:r>
      <w:r w:rsidRPr="005756CE">
        <w:rPr>
          <w:rFonts w:ascii="Cambria" w:hAnsi="Cambria"/>
          <w:sz w:val="20"/>
          <w:szCs w:val="20"/>
        </w:rPr>
        <w:t>, y compris les plans de pêche soumis.</w:t>
      </w:r>
    </w:p>
    <w:p w14:paraId="3C24F196" w14:textId="77777777" w:rsidR="00325774" w:rsidRPr="005756CE" w:rsidRDefault="0032577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kern w:val="0"/>
          <w:sz w:val="20"/>
          <w:szCs w:val="20"/>
          <w14:ligatures w14:val="none"/>
        </w:rPr>
      </w:pPr>
    </w:p>
    <w:tbl>
      <w:tblPr>
        <w:tblW w:w="70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360"/>
        <w:gridCol w:w="2359"/>
        <w:gridCol w:w="2359"/>
      </w:tblGrid>
      <w:tr w:rsidR="00356084" w:rsidRPr="005756CE" w14:paraId="653F8A6B" w14:textId="77777777" w:rsidTr="00C367C1">
        <w:trPr>
          <w:trHeight w:val="572"/>
          <w:jc w:val="center"/>
        </w:trPr>
        <w:tc>
          <w:tcPr>
            <w:tcW w:w="1690" w:type="dxa"/>
            <w:noWrap/>
            <w:vAlign w:val="center"/>
            <w:hideMark/>
          </w:tcPr>
          <w:p w14:paraId="054FA91C" w14:textId="77777777" w:rsidR="00356084" w:rsidRPr="005756CE" w:rsidRDefault="00356084" w:rsidP="001E71F8">
            <w:pPr>
              <w:spacing w:line="240" w:lineRule="auto"/>
              <w:rPr>
                <w:rFonts w:ascii="Cambria" w:eastAsia="Times New Roman" w:hAnsi="Cambria"/>
                <w:i/>
                <w:iCs/>
                <w:color w:val="000000"/>
                <w:kern w:val="0"/>
                <w:sz w:val="20"/>
                <w:szCs w:val="20"/>
                <w14:ligatures w14:val="none"/>
              </w:rPr>
            </w:pPr>
            <w:r w:rsidRPr="005756CE">
              <w:rPr>
                <w:rFonts w:ascii="Cambria" w:hAnsi="Cambria"/>
                <w:i/>
                <w:color w:val="000000"/>
                <w:sz w:val="20"/>
                <w:szCs w:val="20"/>
              </w:rPr>
              <w:t>CPC</w:t>
            </w:r>
          </w:p>
        </w:tc>
        <w:tc>
          <w:tcPr>
            <w:tcW w:w="1690" w:type="dxa"/>
            <w:vAlign w:val="center"/>
            <w:hideMark/>
          </w:tcPr>
          <w:p w14:paraId="034A22FB" w14:textId="08EE3522" w:rsidR="00356084" w:rsidRPr="005756CE" w:rsidRDefault="00356084" w:rsidP="001E71F8">
            <w:pPr>
              <w:spacing w:line="240" w:lineRule="auto"/>
              <w:jc w:val="center"/>
              <w:rPr>
                <w:rFonts w:ascii="Cambria" w:eastAsia="Times New Roman" w:hAnsi="Cambria"/>
                <w:i/>
                <w:iCs/>
                <w:color w:val="000000"/>
                <w:kern w:val="0"/>
                <w:sz w:val="20"/>
                <w:szCs w:val="20"/>
                <w14:ligatures w14:val="none"/>
              </w:rPr>
            </w:pPr>
            <w:r w:rsidRPr="005756CE">
              <w:rPr>
                <w:rFonts w:ascii="Cambria" w:hAnsi="Cambria"/>
                <w:i/>
                <w:color w:val="000000"/>
                <w:sz w:val="20"/>
                <w:szCs w:val="20"/>
              </w:rPr>
              <w:t>Plan de gestion des DCP (202</w:t>
            </w:r>
            <w:r w:rsidR="00B21822" w:rsidRPr="005756CE">
              <w:rPr>
                <w:rFonts w:ascii="Cambria" w:hAnsi="Cambria"/>
                <w:i/>
                <w:color w:val="000000"/>
                <w:sz w:val="20"/>
                <w:szCs w:val="20"/>
              </w:rPr>
              <w:t>5</w:t>
            </w:r>
            <w:r w:rsidRPr="005756CE">
              <w:rPr>
                <w:rFonts w:ascii="Cambria" w:hAnsi="Cambria"/>
                <w:i/>
                <w:color w:val="000000"/>
                <w:sz w:val="20"/>
                <w:szCs w:val="20"/>
              </w:rPr>
              <w:t xml:space="preserve">) </w:t>
            </w:r>
            <w:r w:rsidR="00C849C0" w:rsidRPr="005756CE">
              <w:rPr>
                <w:rFonts w:ascii="Cambria" w:hAnsi="Cambria"/>
                <w:i/>
                <w:color w:val="000000"/>
                <w:sz w:val="20"/>
                <w:szCs w:val="20"/>
              </w:rPr>
              <w:t>e</w:t>
            </w:r>
            <w:r w:rsidRPr="005756CE">
              <w:rPr>
                <w:rFonts w:ascii="Cambria" w:hAnsi="Cambria"/>
                <w:i/>
                <w:color w:val="000000"/>
                <w:sz w:val="20"/>
                <w:szCs w:val="20"/>
              </w:rPr>
              <w:t>nvoyé</w:t>
            </w:r>
          </w:p>
        </w:tc>
        <w:tc>
          <w:tcPr>
            <w:tcW w:w="1690" w:type="dxa"/>
            <w:vAlign w:val="center"/>
            <w:hideMark/>
          </w:tcPr>
          <w:p w14:paraId="25310953" w14:textId="2A173A6B" w:rsidR="00356084" w:rsidRPr="005756CE" w:rsidRDefault="00356084" w:rsidP="001E71F8">
            <w:pPr>
              <w:spacing w:line="240" w:lineRule="auto"/>
              <w:jc w:val="center"/>
              <w:rPr>
                <w:rFonts w:ascii="Cambria" w:eastAsia="Times New Roman" w:hAnsi="Cambria"/>
                <w:i/>
                <w:iCs/>
                <w:color w:val="000000"/>
                <w:kern w:val="0"/>
                <w:sz w:val="20"/>
                <w:szCs w:val="20"/>
                <w14:ligatures w14:val="none"/>
              </w:rPr>
            </w:pPr>
            <w:r w:rsidRPr="005756CE">
              <w:rPr>
                <w:rFonts w:ascii="Cambria" w:hAnsi="Cambria"/>
                <w:i/>
                <w:color w:val="000000"/>
                <w:sz w:val="20"/>
                <w:szCs w:val="20"/>
              </w:rPr>
              <w:t>ST-08 - données sur les DCP (202</w:t>
            </w:r>
            <w:r w:rsidR="00EB72E5" w:rsidRPr="005756CE">
              <w:rPr>
                <w:rFonts w:ascii="Cambria" w:hAnsi="Cambria"/>
                <w:i/>
                <w:color w:val="000000"/>
                <w:sz w:val="20"/>
                <w:szCs w:val="20"/>
              </w:rPr>
              <w:t>4</w:t>
            </w:r>
            <w:r w:rsidRPr="005756CE">
              <w:rPr>
                <w:rFonts w:ascii="Cambria" w:hAnsi="Cambria"/>
                <w:i/>
                <w:color w:val="000000"/>
                <w:sz w:val="20"/>
                <w:szCs w:val="20"/>
              </w:rPr>
              <w:t xml:space="preserve">) </w:t>
            </w:r>
            <w:r w:rsidR="00C849C0" w:rsidRPr="005756CE">
              <w:rPr>
                <w:rFonts w:ascii="Cambria" w:hAnsi="Cambria"/>
                <w:i/>
                <w:color w:val="000000"/>
                <w:sz w:val="20"/>
                <w:szCs w:val="20"/>
              </w:rPr>
              <w:t>e</w:t>
            </w:r>
            <w:r w:rsidRPr="005756CE">
              <w:rPr>
                <w:rFonts w:ascii="Cambria" w:hAnsi="Cambria"/>
                <w:i/>
                <w:color w:val="000000"/>
                <w:sz w:val="20"/>
                <w:szCs w:val="20"/>
              </w:rPr>
              <w:t>nvoyé</w:t>
            </w:r>
          </w:p>
        </w:tc>
      </w:tr>
      <w:tr w:rsidR="00C64630" w:rsidRPr="005756CE" w14:paraId="762CEC8E" w14:textId="77777777" w:rsidTr="00C367C1">
        <w:trPr>
          <w:trHeight w:val="315"/>
          <w:jc w:val="center"/>
        </w:trPr>
        <w:tc>
          <w:tcPr>
            <w:tcW w:w="1690" w:type="dxa"/>
            <w:noWrap/>
            <w:vAlign w:val="center"/>
            <w:hideMark/>
          </w:tcPr>
          <w:p w14:paraId="51AE1FD5" w14:textId="77777777"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t>Belize</w:t>
            </w:r>
          </w:p>
        </w:tc>
        <w:tc>
          <w:tcPr>
            <w:tcW w:w="1690" w:type="dxa"/>
            <w:noWrap/>
            <w:vAlign w:val="center"/>
            <w:hideMark/>
          </w:tcPr>
          <w:p w14:paraId="20081CFA" w14:textId="773D6999"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c>
          <w:tcPr>
            <w:tcW w:w="1690" w:type="dxa"/>
            <w:noWrap/>
            <w:vAlign w:val="center"/>
            <w:hideMark/>
          </w:tcPr>
          <w:p w14:paraId="724C5A31" w14:textId="44DF6DC4"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Cambria" w:hAnsi="Cambria"/>
                <w:color w:val="000000"/>
                <w:lang w:val="en-GB" w:eastAsia="en-GB"/>
              </w:rPr>
              <w:t>No</w:t>
            </w:r>
            <w:r w:rsidR="0075010A" w:rsidRPr="005756CE">
              <w:rPr>
                <w:rFonts w:ascii="Cambria" w:hAnsi="Cambria"/>
                <w:color w:val="000000"/>
                <w:lang w:val="en-GB" w:eastAsia="en-GB"/>
              </w:rPr>
              <w:t>n</w:t>
            </w:r>
          </w:p>
        </w:tc>
      </w:tr>
      <w:tr w:rsidR="00C64630" w:rsidRPr="005756CE" w14:paraId="5AB44ACB" w14:textId="77777777" w:rsidTr="00C367C1">
        <w:trPr>
          <w:trHeight w:val="315"/>
          <w:jc w:val="center"/>
        </w:trPr>
        <w:tc>
          <w:tcPr>
            <w:tcW w:w="1690" w:type="dxa"/>
            <w:noWrap/>
            <w:vAlign w:val="center"/>
            <w:hideMark/>
          </w:tcPr>
          <w:p w14:paraId="347BED03" w14:textId="77777777"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t>Canada</w:t>
            </w:r>
          </w:p>
        </w:tc>
        <w:tc>
          <w:tcPr>
            <w:tcW w:w="1690" w:type="dxa"/>
            <w:noWrap/>
            <w:vAlign w:val="center"/>
            <w:hideMark/>
          </w:tcPr>
          <w:p w14:paraId="11405573" w14:textId="4A82CBAC"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Cambria" w:hAnsi="Cambria"/>
                <w:color w:val="000000"/>
                <w:lang w:val="en-GB" w:eastAsia="en-GB"/>
              </w:rPr>
              <w:t>No</w:t>
            </w:r>
            <w:r w:rsidR="0075010A" w:rsidRPr="005756CE">
              <w:rPr>
                <w:rFonts w:ascii="Cambria" w:hAnsi="Cambria"/>
                <w:color w:val="000000"/>
                <w:lang w:val="en-GB" w:eastAsia="en-GB"/>
              </w:rPr>
              <w:t>n</w:t>
            </w:r>
          </w:p>
        </w:tc>
        <w:tc>
          <w:tcPr>
            <w:tcW w:w="1690" w:type="dxa"/>
            <w:noWrap/>
            <w:vAlign w:val="center"/>
            <w:hideMark/>
          </w:tcPr>
          <w:p w14:paraId="6C1AC995" w14:textId="4D928F30"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r>
      <w:tr w:rsidR="00C64630" w:rsidRPr="005756CE" w14:paraId="080B8ACA" w14:textId="77777777" w:rsidTr="00C367C1">
        <w:trPr>
          <w:trHeight w:val="315"/>
          <w:jc w:val="center"/>
        </w:trPr>
        <w:tc>
          <w:tcPr>
            <w:tcW w:w="1690" w:type="dxa"/>
            <w:noWrap/>
            <w:vAlign w:val="center"/>
            <w:hideMark/>
          </w:tcPr>
          <w:p w14:paraId="51A63CB7" w14:textId="77777777"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t>Costa Rica</w:t>
            </w:r>
          </w:p>
        </w:tc>
        <w:tc>
          <w:tcPr>
            <w:tcW w:w="1690" w:type="dxa"/>
            <w:noWrap/>
            <w:vAlign w:val="center"/>
            <w:hideMark/>
          </w:tcPr>
          <w:p w14:paraId="717412B1" w14:textId="3872D249"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c>
          <w:tcPr>
            <w:tcW w:w="1690" w:type="dxa"/>
            <w:noWrap/>
            <w:vAlign w:val="center"/>
            <w:hideMark/>
          </w:tcPr>
          <w:p w14:paraId="0CFE04D1" w14:textId="3C3FE962"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r>
      <w:tr w:rsidR="00C64630" w:rsidRPr="005756CE" w14:paraId="59AE0A65" w14:textId="77777777" w:rsidTr="00C367C1">
        <w:trPr>
          <w:trHeight w:val="315"/>
          <w:jc w:val="center"/>
        </w:trPr>
        <w:tc>
          <w:tcPr>
            <w:tcW w:w="1690" w:type="dxa"/>
            <w:noWrap/>
            <w:vAlign w:val="center"/>
            <w:hideMark/>
          </w:tcPr>
          <w:p w14:paraId="3DD81816" w14:textId="77777777"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t>Curaçao</w:t>
            </w:r>
          </w:p>
        </w:tc>
        <w:tc>
          <w:tcPr>
            <w:tcW w:w="1690" w:type="dxa"/>
            <w:noWrap/>
            <w:vAlign w:val="center"/>
            <w:hideMark/>
          </w:tcPr>
          <w:p w14:paraId="2620E061" w14:textId="5F510F17"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c>
          <w:tcPr>
            <w:tcW w:w="1690" w:type="dxa"/>
            <w:noWrap/>
            <w:vAlign w:val="center"/>
            <w:hideMark/>
          </w:tcPr>
          <w:p w14:paraId="564CC1A7" w14:textId="3EBFC7A4"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r>
      <w:tr w:rsidR="00C64630" w:rsidRPr="005756CE" w14:paraId="6DB0474C" w14:textId="77777777" w:rsidTr="00C367C1">
        <w:trPr>
          <w:trHeight w:val="315"/>
          <w:jc w:val="center"/>
        </w:trPr>
        <w:tc>
          <w:tcPr>
            <w:tcW w:w="1690" w:type="dxa"/>
            <w:noWrap/>
            <w:vAlign w:val="center"/>
            <w:hideMark/>
          </w:tcPr>
          <w:p w14:paraId="04D19FA9" w14:textId="77777777"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t>El Salvador</w:t>
            </w:r>
          </w:p>
        </w:tc>
        <w:tc>
          <w:tcPr>
            <w:tcW w:w="1690" w:type="dxa"/>
            <w:noWrap/>
            <w:vAlign w:val="center"/>
            <w:hideMark/>
          </w:tcPr>
          <w:p w14:paraId="78E6B723" w14:textId="5A02AB4D"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c>
          <w:tcPr>
            <w:tcW w:w="1690" w:type="dxa"/>
            <w:noWrap/>
            <w:vAlign w:val="center"/>
            <w:hideMark/>
          </w:tcPr>
          <w:p w14:paraId="460CA204" w14:textId="4AE8F90B"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r>
      <w:tr w:rsidR="00C64630" w:rsidRPr="005756CE" w14:paraId="3D861C31" w14:textId="77777777" w:rsidTr="00C367C1">
        <w:trPr>
          <w:trHeight w:val="315"/>
          <w:jc w:val="center"/>
        </w:trPr>
        <w:tc>
          <w:tcPr>
            <w:tcW w:w="1690" w:type="dxa"/>
            <w:noWrap/>
            <w:vAlign w:val="center"/>
            <w:hideMark/>
          </w:tcPr>
          <w:p w14:paraId="1EAC1244" w14:textId="77777777"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t>UE</w:t>
            </w:r>
          </w:p>
        </w:tc>
        <w:tc>
          <w:tcPr>
            <w:tcW w:w="1690" w:type="dxa"/>
            <w:noWrap/>
            <w:vAlign w:val="center"/>
            <w:hideMark/>
          </w:tcPr>
          <w:p w14:paraId="4A4584A8" w14:textId="30DFE6D3"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c>
          <w:tcPr>
            <w:tcW w:w="1690" w:type="dxa"/>
            <w:noWrap/>
            <w:vAlign w:val="center"/>
            <w:hideMark/>
          </w:tcPr>
          <w:p w14:paraId="67FF0595" w14:textId="5A3826E0"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r>
      <w:tr w:rsidR="00C64630" w:rsidRPr="005756CE" w14:paraId="78575912" w14:textId="77777777" w:rsidTr="00C367C1">
        <w:trPr>
          <w:trHeight w:val="315"/>
          <w:jc w:val="center"/>
        </w:trPr>
        <w:tc>
          <w:tcPr>
            <w:tcW w:w="1690" w:type="dxa"/>
            <w:noWrap/>
            <w:vAlign w:val="center"/>
            <w:hideMark/>
          </w:tcPr>
          <w:p w14:paraId="5CF44F54" w14:textId="77777777"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t>France (SPM)</w:t>
            </w:r>
          </w:p>
        </w:tc>
        <w:tc>
          <w:tcPr>
            <w:tcW w:w="1690" w:type="dxa"/>
            <w:noWrap/>
            <w:vAlign w:val="center"/>
            <w:hideMark/>
          </w:tcPr>
          <w:p w14:paraId="239426F4" w14:textId="16CC6CAA"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Cambria" w:hAnsi="Cambria"/>
                <w:color w:val="000000"/>
                <w:lang w:val="en-GB" w:eastAsia="en-GB"/>
              </w:rPr>
              <w:t>No</w:t>
            </w:r>
            <w:r w:rsidR="0075010A" w:rsidRPr="005756CE">
              <w:rPr>
                <w:rFonts w:ascii="Cambria" w:hAnsi="Cambria"/>
                <w:color w:val="000000"/>
                <w:lang w:val="en-GB" w:eastAsia="en-GB"/>
              </w:rPr>
              <w:t>n</w:t>
            </w:r>
          </w:p>
        </w:tc>
        <w:tc>
          <w:tcPr>
            <w:tcW w:w="1690" w:type="dxa"/>
            <w:noWrap/>
            <w:vAlign w:val="center"/>
            <w:hideMark/>
          </w:tcPr>
          <w:p w14:paraId="05A72587" w14:textId="5F9E8595"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r>
      <w:tr w:rsidR="00C64630" w:rsidRPr="005756CE" w14:paraId="782F738B" w14:textId="77777777" w:rsidTr="00C367C1">
        <w:trPr>
          <w:trHeight w:val="315"/>
          <w:jc w:val="center"/>
        </w:trPr>
        <w:tc>
          <w:tcPr>
            <w:tcW w:w="1690" w:type="dxa"/>
            <w:noWrap/>
            <w:vAlign w:val="center"/>
            <w:hideMark/>
          </w:tcPr>
          <w:p w14:paraId="4A010E1C" w14:textId="77777777"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t>Ghana</w:t>
            </w:r>
          </w:p>
        </w:tc>
        <w:tc>
          <w:tcPr>
            <w:tcW w:w="1690" w:type="dxa"/>
            <w:noWrap/>
            <w:vAlign w:val="center"/>
            <w:hideMark/>
          </w:tcPr>
          <w:p w14:paraId="25872AB4" w14:textId="071238FA"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c>
          <w:tcPr>
            <w:tcW w:w="1690" w:type="dxa"/>
            <w:noWrap/>
            <w:vAlign w:val="center"/>
            <w:hideMark/>
          </w:tcPr>
          <w:p w14:paraId="4D7E0FC2" w14:textId="3561C43C"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r>
      <w:tr w:rsidR="00C64630" w:rsidRPr="005756CE" w14:paraId="769DDC74" w14:textId="77777777" w:rsidTr="00C367C1">
        <w:trPr>
          <w:trHeight w:val="315"/>
          <w:jc w:val="center"/>
        </w:trPr>
        <w:tc>
          <w:tcPr>
            <w:tcW w:w="1690" w:type="dxa"/>
            <w:noWrap/>
            <w:vAlign w:val="center"/>
            <w:hideMark/>
          </w:tcPr>
          <w:p w14:paraId="4F70952E" w14:textId="77777777"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t>Guatemala</w:t>
            </w:r>
          </w:p>
        </w:tc>
        <w:tc>
          <w:tcPr>
            <w:tcW w:w="1690" w:type="dxa"/>
            <w:noWrap/>
            <w:vAlign w:val="center"/>
            <w:hideMark/>
          </w:tcPr>
          <w:p w14:paraId="2D17DEF4" w14:textId="7FF4663C"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c>
          <w:tcPr>
            <w:tcW w:w="1690" w:type="dxa"/>
            <w:noWrap/>
            <w:vAlign w:val="center"/>
            <w:hideMark/>
          </w:tcPr>
          <w:p w14:paraId="07D0F6EF" w14:textId="3B716DCE"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Cambria" w:hAnsi="Cambria"/>
                <w:color w:val="000000"/>
                <w:lang w:val="en-GB" w:eastAsia="en-GB"/>
              </w:rPr>
              <w:t>No</w:t>
            </w:r>
            <w:r w:rsidR="0075010A" w:rsidRPr="005756CE">
              <w:rPr>
                <w:rFonts w:ascii="Cambria" w:hAnsi="Cambria"/>
                <w:color w:val="000000"/>
                <w:lang w:val="en-GB" w:eastAsia="en-GB"/>
              </w:rPr>
              <w:t>n</w:t>
            </w:r>
          </w:p>
        </w:tc>
      </w:tr>
      <w:tr w:rsidR="00C64630" w:rsidRPr="005756CE" w14:paraId="18D00267" w14:textId="77777777" w:rsidTr="00C367C1">
        <w:trPr>
          <w:trHeight w:val="315"/>
          <w:jc w:val="center"/>
        </w:trPr>
        <w:tc>
          <w:tcPr>
            <w:tcW w:w="1690" w:type="dxa"/>
            <w:noWrap/>
            <w:vAlign w:val="center"/>
          </w:tcPr>
          <w:p w14:paraId="5E4D6358" w14:textId="56CEE767" w:rsidR="00C64630" w:rsidRPr="005756CE" w:rsidRDefault="00C64630" w:rsidP="00C64630">
            <w:pPr>
              <w:spacing w:line="240" w:lineRule="auto"/>
              <w:rPr>
                <w:rFonts w:ascii="Cambria" w:hAnsi="Cambria"/>
                <w:color w:val="000000"/>
                <w:sz w:val="20"/>
                <w:szCs w:val="20"/>
                <w:lang w:val="en-GB" w:eastAsia="en-GB"/>
              </w:rPr>
            </w:pPr>
            <w:proofErr w:type="spellStart"/>
            <w:r w:rsidRPr="005756CE">
              <w:rPr>
                <w:rFonts w:ascii="Cambria" w:hAnsi="Cambria"/>
                <w:color w:val="000000"/>
                <w:sz w:val="20"/>
                <w:szCs w:val="20"/>
                <w:lang w:val="en-GB" w:eastAsia="en-GB"/>
              </w:rPr>
              <w:t>Rép</w:t>
            </w:r>
            <w:proofErr w:type="spellEnd"/>
            <w:r w:rsidRPr="005756CE">
              <w:rPr>
                <w:rFonts w:ascii="Cambria" w:hAnsi="Cambria"/>
                <w:color w:val="000000"/>
                <w:sz w:val="20"/>
                <w:szCs w:val="20"/>
                <w:lang w:val="en-GB" w:eastAsia="en-GB"/>
              </w:rPr>
              <w:t xml:space="preserve">. de </w:t>
            </w:r>
            <w:proofErr w:type="spellStart"/>
            <w:r w:rsidRPr="005756CE">
              <w:rPr>
                <w:rFonts w:ascii="Cambria" w:hAnsi="Cambria"/>
                <w:color w:val="000000"/>
                <w:sz w:val="20"/>
                <w:szCs w:val="20"/>
                <w:lang w:val="en-GB" w:eastAsia="en-GB"/>
              </w:rPr>
              <w:t>Guinée</w:t>
            </w:r>
            <w:proofErr w:type="spellEnd"/>
          </w:p>
        </w:tc>
        <w:tc>
          <w:tcPr>
            <w:tcW w:w="1690" w:type="dxa"/>
            <w:noWrap/>
            <w:vAlign w:val="center"/>
          </w:tcPr>
          <w:p w14:paraId="59E900CE" w14:textId="6A55E087" w:rsidR="00C64630" w:rsidRPr="005756CE" w:rsidRDefault="00C64630" w:rsidP="00C64630">
            <w:pPr>
              <w:spacing w:line="240" w:lineRule="auto"/>
              <w:jc w:val="center"/>
              <w:rPr>
                <w:rFonts w:ascii="Cambria" w:hAnsi="Cambria"/>
                <w:color w:val="000000"/>
                <w:sz w:val="20"/>
                <w:szCs w:val="20"/>
                <w:lang w:val="en-GB" w:eastAsia="en-GB"/>
              </w:rPr>
            </w:pPr>
            <w:r w:rsidRPr="005756CE">
              <w:rPr>
                <w:rFonts w:ascii="Wingdings 2" w:hAnsi="Wingdings 2"/>
                <w:color w:val="000000"/>
                <w:lang w:val="en-GB" w:eastAsia="en-GB"/>
              </w:rPr>
              <w:t>P</w:t>
            </w:r>
          </w:p>
        </w:tc>
        <w:tc>
          <w:tcPr>
            <w:tcW w:w="1690" w:type="dxa"/>
            <w:noWrap/>
            <w:vAlign w:val="center"/>
          </w:tcPr>
          <w:p w14:paraId="5AD0D6DF" w14:textId="098E4C95" w:rsidR="00C64630" w:rsidRPr="005756CE" w:rsidRDefault="00C64630" w:rsidP="00C64630">
            <w:pPr>
              <w:spacing w:line="240" w:lineRule="auto"/>
              <w:jc w:val="center"/>
              <w:rPr>
                <w:rFonts w:ascii="Cambria" w:hAnsi="Cambria"/>
                <w:color w:val="000000"/>
                <w:sz w:val="20"/>
                <w:szCs w:val="20"/>
                <w:lang w:val="en-GB" w:eastAsia="en-GB"/>
              </w:rPr>
            </w:pPr>
            <w:r w:rsidRPr="005756CE">
              <w:rPr>
                <w:rFonts w:ascii="Cambria" w:hAnsi="Cambria"/>
                <w:color w:val="000000"/>
                <w:lang w:val="en-GB" w:eastAsia="en-GB"/>
              </w:rPr>
              <w:t>No</w:t>
            </w:r>
            <w:r w:rsidR="0075010A" w:rsidRPr="005756CE">
              <w:rPr>
                <w:rFonts w:ascii="Cambria" w:hAnsi="Cambria"/>
                <w:color w:val="000000"/>
                <w:lang w:val="en-GB" w:eastAsia="en-GB"/>
              </w:rPr>
              <w:t>n</w:t>
            </w:r>
          </w:p>
        </w:tc>
      </w:tr>
      <w:tr w:rsidR="00C64630" w:rsidRPr="005756CE" w14:paraId="279E54D0" w14:textId="77777777" w:rsidTr="00C367C1">
        <w:trPr>
          <w:trHeight w:val="315"/>
          <w:jc w:val="center"/>
        </w:trPr>
        <w:tc>
          <w:tcPr>
            <w:tcW w:w="1690" w:type="dxa"/>
            <w:noWrap/>
            <w:vAlign w:val="center"/>
          </w:tcPr>
          <w:p w14:paraId="295CE741" w14:textId="77777777" w:rsidR="00C64630" w:rsidRPr="005756CE" w:rsidRDefault="00C64630" w:rsidP="00C64630">
            <w:pPr>
              <w:spacing w:line="240" w:lineRule="auto"/>
              <w:rPr>
                <w:rFonts w:ascii="Cambria" w:hAnsi="Cambria"/>
                <w:color w:val="000000"/>
                <w:sz w:val="20"/>
                <w:szCs w:val="20"/>
              </w:rPr>
            </w:pPr>
          </w:p>
        </w:tc>
        <w:tc>
          <w:tcPr>
            <w:tcW w:w="1690" w:type="dxa"/>
            <w:noWrap/>
            <w:vAlign w:val="center"/>
          </w:tcPr>
          <w:p w14:paraId="6C206680" w14:textId="331CB451" w:rsidR="00C64630" w:rsidRPr="005756CE" w:rsidRDefault="00C64630" w:rsidP="00C64630">
            <w:pPr>
              <w:spacing w:line="240" w:lineRule="auto"/>
              <w:jc w:val="center"/>
              <w:rPr>
                <w:rFonts w:ascii="Cambria" w:hAnsi="Cambria"/>
                <w:color w:val="000000"/>
                <w:sz w:val="20"/>
                <w:szCs w:val="20"/>
                <w:lang w:val="en-GB" w:eastAsia="en-GB"/>
              </w:rPr>
            </w:pPr>
            <w:r w:rsidRPr="005756CE">
              <w:rPr>
                <w:rFonts w:ascii="Cambria" w:hAnsi="Cambria"/>
                <w:color w:val="000000"/>
                <w:lang w:val="en-GB" w:eastAsia="en-GB"/>
              </w:rPr>
              <w:t>No</w:t>
            </w:r>
            <w:r w:rsidR="0075010A" w:rsidRPr="005756CE">
              <w:rPr>
                <w:rFonts w:ascii="Cambria" w:hAnsi="Cambria"/>
                <w:color w:val="000000"/>
                <w:lang w:val="en-GB" w:eastAsia="en-GB"/>
              </w:rPr>
              <w:t>n</w:t>
            </w:r>
          </w:p>
        </w:tc>
        <w:tc>
          <w:tcPr>
            <w:tcW w:w="1690" w:type="dxa"/>
            <w:noWrap/>
            <w:vAlign w:val="center"/>
          </w:tcPr>
          <w:p w14:paraId="32093E0D" w14:textId="24855690" w:rsidR="00C64630" w:rsidRPr="005756CE" w:rsidRDefault="00C64630" w:rsidP="00C64630">
            <w:pPr>
              <w:spacing w:line="240" w:lineRule="auto"/>
              <w:jc w:val="center"/>
              <w:rPr>
                <w:rFonts w:ascii="Cambria" w:hAnsi="Cambria"/>
                <w:color w:val="000000"/>
                <w:sz w:val="20"/>
                <w:szCs w:val="20"/>
                <w:lang w:val="en-GB" w:eastAsia="en-GB"/>
              </w:rPr>
            </w:pPr>
            <w:r w:rsidRPr="005756CE">
              <w:rPr>
                <w:rFonts w:ascii="Wingdings 2" w:hAnsi="Wingdings 2"/>
                <w:color w:val="000000"/>
                <w:lang w:val="en-GB" w:eastAsia="en-GB"/>
              </w:rPr>
              <w:t>P</w:t>
            </w:r>
          </w:p>
        </w:tc>
      </w:tr>
      <w:tr w:rsidR="00C64630" w:rsidRPr="005756CE" w14:paraId="20656BC8" w14:textId="77777777" w:rsidTr="00C367C1">
        <w:trPr>
          <w:trHeight w:val="315"/>
          <w:jc w:val="center"/>
        </w:trPr>
        <w:tc>
          <w:tcPr>
            <w:tcW w:w="1690" w:type="dxa"/>
            <w:noWrap/>
            <w:vAlign w:val="center"/>
            <w:hideMark/>
          </w:tcPr>
          <w:p w14:paraId="211F3FBC" w14:textId="77777777"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t>Corée</w:t>
            </w:r>
          </w:p>
        </w:tc>
        <w:tc>
          <w:tcPr>
            <w:tcW w:w="1690" w:type="dxa"/>
            <w:noWrap/>
            <w:vAlign w:val="center"/>
            <w:hideMark/>
          </w:tcPr>
          <w:p w14:paraId="46DCD0DC" w14:textId="6F3E4623"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Cambria" w:hAnsi="Cambria"/>
                <w:color w:val="000000"/>
                <w:lang w:val="en-GB" w:eastAsia="en-GB"/>
              </w:rPr>
              <w:t>No</w:t>
            </w:r>
            <w:r w:rsidR="0075010A" w:rsidRPr="005756CE">
              <w:rPr>
                <w:rFonts w:ascii="Cambria" w:hAnsi="Cambria"/>
                <w:color w:val="000000"/>
                <w:lang w:val="en-GB" w:eastAsia="en-GB"/>
              </w:rPr>
              <w:t>n</w:t>
            </w:r>
          </w:p>
        </w:tc>
        <w:tc>
          <w:tcPr>
            <w:tcW w:w="1690" w:type="dxa"/>
            <w:noWrap/>
            <w:vAlign w:val="center"/>
            <w:hideMark/>
          </w:tcPr>
          <w:p w14:paraId="20455F4A" w14:textId="20DCCA93"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r>
      <w:tr w:rsidR="00C64630" w:rsidRPr="005756CE" w14:paraId="51C0EA90" w14:textId="77777777" w:rsidTr="00C367C1">
        <w:trPr>
          <w:trHeight w:val="315"/>
          <w:jc w:val="center"/>
        </w:trPr>
        <w:tc>
          <w:tcPr>
            <w:tcW w:w="1690" w:type="dxa"/>
            <w:noWrap/>
            <w:vAlign w:val="center"/>
            <w:hideMark/>
          </w:tcPr>
          <w:p w14:paraId="6DE49F96" w14:textId="77777777"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t>Mexique</w:t>
            </w:r>
          </w:p>
        </w:tc>
        <w:tc>
          <w:tcPr>
            <w:tcW w:w="1690" w:type="dxa"/>
            <w:noWrap/>
            <w:vAlign w:val="center"/>
            <w:hideMark/>
          </w:tcPr>
          <w:p w14:paraId="76CB25B7" w14:textId="2700C614"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c>
          <w:tcPr>
            <w:tcW w:w="1690" w:type="dxa"/>
            <w:noWrap/>
            <w:vAlign w:val="center"/>
            <w:hideMark/>
          </w:tcPr>
          <w:p w14:paraId="6A72D0CB" w14:textId="33EF3E35"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r>
      <w:tr w:rsidR="00C64630" w:rsidRPr="005756CE" w14:paraId="42607759" w14:textId="77777777" w:rsidTr="00C367C1">
        <w:trPr>
          <w:trHeight w:val="315"/>
          <w:jc w:val="center"/>
        </w:trPr>
        <w:tc>
          <w:tcPr>
            <w:tcW w:w="1690" w:type="dxa"/>
            <w:noWrap/>
            <w:vAlign w:val="center"/>
            <w:hideMark/>
          </w:tcPr>
          <w:p w14:paraId="70F388F3" w14:textId="77777777"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lastRenderedPageBreak/>
              <w:t>Maroc</w:t>
            </w:r>
          </w:p>
        </w:tc>
        <w:tc>
          <w:tcPr>
            <w:tcW w:w="1690" w:type="dxa"/>
            <w:noWrap/>
            <w:vAlign w:val="center"/>
            <w:hideMark/>
          </w:tcPr>
          <w:p w14:paraId="49D9CF08" w14:textId="31919510"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c>
          <w:tcPr>
            <w:tcW w:w="1690" w:type="dxa"/>
            <w:noWrap/>
            <w:vAlign w:val="center"/>
            <w:hideMark/>
          </w:tcPr>
          <w:p w14:paraId="43E85061" w14:textId="2E8C4908"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Cambria" w:hAnsi="Cambria"/>
                <w:color w:val="000000"/>
                <w:lang w:val="en-GB" w:eastAsia="en-GB"/>
              </w:rPr>
              <w:t>No</w:t>
            </w:r>
            <w:r w:rsidR="0086288F" w:rsidRPr="005756CE">
              <w:rPr>
                <w:rFonts w:ascii="Cambria" w:hAnsi="Cambria"/>
                <w:color w:val="000000"/>
                <w:lang w:val="en-GB" w:eastAsia="en-GB"/>
              </w:rPr>
              <w:t>n</w:t>
            </w:r>
          </w:p>
        </w:tc>
      </w:tr>
      <w:tr w:rsidR="00C64630" w:rsidRPr="005756CE" w14:paraId="65AF4222" w14:textId="77777777" w:rsidTr="00C367C1">
        <w:trPr>
          <w:trHeight w:val="315"/>
          <w:jc w:val="center"/>
        </w:trPr>
        <w:tc>
          <w:tcPr>
            <w:tcW w:w="1690" w:type="dxa"/>
            <w:noWrap/>
            <w:vAlign w:val="center"/>
            <w:hideMark/>
          </w:tcPr>
          <w:p w14:paraId="09CF7092" w14:textId="77777777"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t>Nicaragua</w:t>
            </w:r>
          </w:p>
        </w:tc>
        <w:tc>
          <w:tcPr>
            <w:tcW w:w="1690" w:type="dxa"/>
            <w:noWrap/>
            <w:vAlign w:val="center"/>
            <w:hideMark/>
          </w:tcPr>
          <w:p w14:paraId="761E3F57" w14:textId="18FF5C8B"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c>
          <w:tcPr>
            <w:tcW w:w="1690" w:type="dxa"/>
            <w:noWrap/>
            <w:vAlign w:val="center"/>
            <w:hideMark/>
          </w:tcPr>
          <w:p w14:paraId="0170F68D" w14:textId="3C3164FE"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r>
      <w:tr w:rsidR="00C64630" w:rsidRPr="005756CE" w14:paraId="57254F1E" w14:textId="77777777" w:rsidTr="00C367C1">
        <w:trPr>
          <w:trHeight w:val="315"/>
          <w:jc w:val="center"/>
        </w:trPr>
        <w:tc>
          <w:tcPr>
            <w:tcW w:w="1690" w:type="dxa"/>
            <w:noWrap/>
            <w:vAlign w:val="center"/>
            <w:hideMark/>
          </w:tcPr>
          <w:p w14:paraId="0F88F410" w14:textId="77777777"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t>Panama</w:t>
            </w:r>
          </w:p>
        </w:tc>
        <w:tc>
          <w:tcPr>
            <w:tcW w:w="1690" w:type="dxa"/>
            <w:noWrap/>
            <w:vAlign w:val="center"/>
            <w:hideMark/>
          </w:tcPr>
          <w:p w14:paraId="1407C35C" w14:textId="5E528DF3"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c>
          <w:tcPr>
            <w:tcW w:w="1690" w:type="dxa"/>
            <w:noWrap/>
            <w:vAlign w:val="center"/>
            <w:hideMark/>
          </w:tcPr>
          <w:p w14:paraId="08DE6715" w14:textId="03F80B89"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r>
      <w:tr w:rsidR="00C64630" w:rsidRPr="005756CE" w14:paraId="27997D56" w14:textId="77777777" w:rsidTr="00C367C1">
        <w:trPr>
          <w:trHeight w:val="315"/>
          <w:jc w:val="center"/>
        </w:trPr>
        <w:tc>
          <w:tcPr>
            <w:tcW w:w="1690" w:type="dxa"/>
            <w:noWrap/>
            <w:vAlign w:val="center"/>
            <w:hideMark/>
          </w:tcPr>
          <w:p w14:paraId="20F52132" w14:textId="77777777"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t>Sénégal</w:t>
            </w:r>
          </w:p>
        </w:tc>
        <w:tc>
          <w:tcPr>
            <w:tcW w:w="1690" w:type="dxa"/>
            <w:noWrap/>
            <w:vAlign w:val="center"/>
            <w:hideMark/>
          </w:tcPr>
          <w:p w14:paraId="77073F59" w14:textId="1E3877F0" w:rsidR="00C64630" w:rsidRPr="003B542C" w:rsidRDefault="00DF0EBA" w:rsidP="00C64630">
            <w:pPr>
              <w:spacing w:line="240" w:lineRule="auto"/>
              <w:jc w:val="center"/>
              <w:rPr>
                <w:rFonts w:ascii="Cambria" w:eastAsia="Times New Roman" w:hAnsi="Cambria"/>
                <w:color w:val="000000"/>
                <w:kern w:val="0"/>
                <w:sz w:val="20"/>
                <w:szCs w:val="20"/>
                <w:u w:val="single"/>
                <w14:ligatures w14:val="none"/>
              </w:rPr>
            </w:pPr>
            <w:r w:rsidRPr="003B542C">
              <w:rPr>
                <w:rFonts w:ascii="Wingdings 2" w:hAnsi="Wingdings 2"/>
                <w:color w:val="000000"/>
                <w:u w:val="single"/>
                <w:lang w:val="en-GB" w:eastAsia="en-GB"/>
              </w:rPr>
              <w:t>P</w:t>
            </w:r>
          </w:p>
        </w:tc>
        <w:tc>
          <w:tcPr>
            <w:tcW w:w="1690" w:type="dxa"/>
            <w:noWrap/>
            <w:vAlign w:val="center"/>
            <w:hideMark/>
          </w:tcPr>
          <w:p w14:paraId="6C161E68" w14:textId="5A36DC78"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r>
      <w:tr w:rsidR="00C64630" w:rsidRPr="005756CE" w14:paraId="4DA0605A" w14:textId="77777777" w:rsidTr="00C367C1">
        <w:trPr>
          <w:trHeight w:val="315"/>
          <w:jc w:val="center"/>
        </w:trPr>
        <w:tc>
          <w:tcPr>
            <w:tcW w:w="1690" w:type="dxa"/>
            <w:noWrap/>
            <w:vAlign w:val="center"/>
            <w:hideMark/>
          </w:tcPr>
          <w:p w14:paraId="466A01F7" w14:textId="6C3755EF"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t>Royaume-Uni</w:t>
            </w:r>
          </w:p>
        </w:tc>
        <w:tc>
          <w:tcPr>
            <w:tcW w:w="1690" w:type="dxa"/>
            <w:noWrap/>
            <w:vAlign w:val="center"/>
            <w:hideMark/>
          </w:tcPr>
          <w:p w14:paraId="6BDA43A2" w14:textId="05AF2B7F"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c>
          <w:tcPr>
            <w:tcW w:w="1690" w:type="dxa"/>
            <w:noWrap/>
            <w:vAlign w:val="center"/>
            <w:hideMark/>
          </w:tcPr>
          <w:p w14:paraId="2F619510" w14:textId="56DA9125"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Cambria" w:hAnsi="Cambria"/>
                <w:color w:val="000000"/>
                <w:lang w:val="en-GB" w:eastAsia="en-GB"/>
              </w:rPr>
              <w:t>No</w:t>
            </w:r>
            <w:r w:rsidR="0086288F" w:rsidRPr="005756CE">
              <w:rPr>
                <w:rFonts w:ascii="Cambria" w:hAnsi="Cambria"/>
                <w:color w:val="000000"/>
                <w:lang w:val="en-GB" w:eastAsia="en-GB"/>
              </w:rPr>
              <w:t>n</w:t>
            </w:r>
          </w:p>
        </w:tc>
      </w:tr>
    </w:tbl>
    <w:p w14:paraId="1C9D38DC"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lang w:val="en-IE"/>
          <w14:ligatures w14:val="none"/>
        </w:rPr>
      </w:pPr>
    </w:p>
    <w:p w14:paraId="569B136E" w14:textId="34545C9F"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 xml:space="preserve">Se reporter au </w:t>
      </w:r>
      <w:r w:rsidR="005462BC" w:rsidRPr="005756CE">
        <w:rPr>
          <w:rFonts w:ascii="Cambria" w:hAnsi="Cambria"/>
          <w:sz w:val="20"/>
          <w:szCs w:val="20"/>
        </w:rPr>
        <w:t xml:space="preserve">« Rapport 2025 du Secrétariat sur la recherche et les statistiques » </w:t>
      </w:r>
      <w:r w:rsidR="00BB4951" w:rsidRPr="005756CE">
        <w:rPr>
          <w:rFonts w:ascii="Cambria" w:hAnsi="Cambria"/>
          <w:sz w:val="20"/>
          <w:szCs w:val="20"/>
        </w:rPr>
        <w:t>[</w:t>
      </w:r>
      <w:r w:rsidR="005462BC" w:rsidRPr="005756CE">
        <w:rPr>
          <w:rFonts w:ascii="Cambria" w:hAnsi="Cambria"/>
          <w:sz w:val="20"/>
          <w:szCs w:val="20"/>
        </w:rPr>
        <w:t>d</w:t>
      </w:r>
      <w:r w:rsidRPr="005756CE">
        <w:rPr>
          <w:rFonts w:ascii="Cambria" w:hAnsi="Cambria"/>
          <w:sz w:val="20"/>
          <w:szCs w:val="20"/>
        </w:rPr>
        <w:t>ocument PLE_105/202</w:t>
      </w:r>
      <w:r w:rsidR="00F52405" w:rsidRPr="005756CE">
        <w:rPr>
          <w:rFonts w:ascii="Cambria" w:hAnsi="Cambria"/>
          <w:sz w:val="20"/>
          <w:szCs w:val="20"/>
        </w:rPr>
        <w:t>5</w:t>
      </w:r>
      <w:r w:rsidR="00BB4951" w:rsidRPr="005756CE">
        <w:rPr>
          <w:rFonts w:ascii="Cambria" w:hAnsi="Cambria"/>
          <w:sz w:val="20"/>
          <w:szCs w:val="20"/>
        </w:rPr>
        <w:t>]</w:t>
      </w:r>
      <w:r w:rsidR="00325774" w:rsidRPr="005756CE">
        <w:rPr>
          <w:rFonts w:ascii="Cambria" w:hAnsi="Cambria"/>
          <w:sz w:val="20"/>
          <w:szCs w:val="20"/>
        </w:rPr>
        <w:t xml:space="preserve"> (</w:t>
      </w:r>
      <w:r w:rsidRPr="005756CE">
        <w:rPr>
          <w:rFonts w:ascii="Cambria" w:hAnsi="Cambria"/>
          <w:sz w:val="20"/>
          <w:szCs w:val="20"/>
        </w:rPr>
        <w:t>appendice 2</w:t>
      </w:r>
      <w:r w:rsidR="00325774" w:rsidRPr="005756CE">
        <w:rPr>
          <w:rFonts w:ascii="Cambria" w:hAnsi="Cambria"/>
          <w:sz w:val="20"/>
          <w:szCs w:val="20"/>
        </w:rPr>
        <w:t>)</w:t>
      </w:r>
      <w:r w:rsidRPr="005756CE">
        <w:rPr>
          <w:rFonts w:ascii="Cambria" w:hAnsi="Cambria"/>
          <w:b/>
          <w:sz w:val="20"/>
          <w:szCs w:val="20"/>
        </w:rPr>
        <w:t xml:space="preserve"> </w:t>
      </w:r>
      <w:r w:rsidRPr="005756CE">
        <w:rPr>
          <w:rFonts w:ascii="Cambria" w:hAnsi="Cambria"/>
          <w:sz w:val="20"/>
          <w:szCs w:val="20"/>
        </w:rPr>
        <w:t xml:space="preserve">pour des informations détaillées sur les données reçues relatives aux DCP. </w:t>
      </w:r>
    </w:p>
    <w:p w14:paraId="1645560E"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
          <w:bCs/>
          <w:i/>
          <w:iCs/>
          <w:kern w:val="0"/>
          <w:sz w:val="20"/>
          <w:szCs w:val="20"/>
          <w14:ligatures w14:val="none"/>
        </w:rPr>
      </w:pPr>
    </w:p>
    <w:p w14:paraId="69879A96" w14:textId="086156CF" w:rsidR="00C849C0"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hAnsi="Cambria"/>
          <w:sz w:val="20"/>
          <w:szCs w:val="20"/>
        </w:rPr>
      </w:pPr>
      <w:bookmarkStart w:id="0" w:name="_Hlk109293781"/>
      <w:r w:rsidRPr="005756CE">
        <w:rPr>
          <w:rFonts w:ascii="Cambria" w:hAnsi="Cambria"/>
          <w:b/>
          <w:bCs/>
          <w:i/>
          <w:sz w:val="20"/>
          <w:szCs w:val="20"/>
        </w:rPr>
        <w:t>Données et information collectées du programme d'échantillonnage :</w:t>
      </w:r>
      <w:r w:rsidRPr="005756CE">
        <w:rPr>
          <w:rFonts w:ascii="Cambria" w:hAnsi="Cambria"/>
          <w:i/>
          <w:sz w:val="20"/>
          <w:szCs w:val="20"/>
        </w:rPr>
        <w:t xml:space="preserve"> </w:t>
      </w:r>
      <w:r w:rsidRPr="005756CE">
        <w:rPr>
          <w:rFonts w:ascii="Cambria" w:hAnsi="Cambria"/>
          <w:sz w:val="20"/>
          <w:szCs w:val="20"/>
        </w:rPr>
        <w:t>Les informations provenant de l'échantillonnage au port, conformément au</w:t>
      </w:r>
      <w:r w:rsidR="00EC1940" w:rsidRPr="005756CE">
        <w:rPr>
          <w:rFonts w:ascii="Cambria" w:hAnsi="Cambria"/>
          <w:sz w:val="20"/>
          <w:szCs w:val="20"/>
        </w:rPr>
        <w:t>x</w:t>
      </w:r>
      <w:r w:rsidRPr="005756CE">
        <w:rPr>
          <w:rFonts w:ascii="Cambria" w:hAnsi="Cambria"/>
          <w:sz w:val="20"/>
          <w:szCs w:val="20"/>
        </w:rPr>
        <w:t xml:space="preserve"> paragraphe</w:t>
      </w:r>
      <w:r w:rsidR="00EC1940" w:rsidRPr="005756CE">
        <w:rPr>
          <w:rFonts w:ascii="Cambria" w:hAnsi="Cambria"/>
          <w:sz w:val="20"/>
          <w:szCs w:val="20"/>
        </w:rPr>
        <w:t>s</w:t>
      </w:r>
      <w:r w:rsidRPr="005756CE">
        <w:rPr>
          <w:rFonts w:ascii="Cambria" w:hAnsi="Cambria"/>
          <w:sz w:val="20"/>
          <w:szCs w:val="20"/>
        </w:rPr>
        <w:t xml:space="preserve"> 61 </w:t>
      </w:r>
      <w:r w:rsidR="00EC1940" w:rsidRPr="005756CE">
        <w:rPr>
          <w:rFonts w:ascii="Cambria" w:hAnsi="Cambria"/>
          <w:sz w:val="20"/>
          <w:szCs w:val="20"/>
        </w:rPr>
        <w:t xml:space="preserve">et 73 </w:t>
      </w:r>
      <w:r w:rsidRPr="005756CE">
        <w:rPr>
          <w:rFonts w:ascii="Cambria" w:hAnsi="Cambria"/>
          <w:sz w:val="20"/>
          <w:szCs w:val="20"/>
        </w:rPr>
        <w:t>de</w:t>
      </w:r>
      <w:r w:rsidR="00EC1940" w:rsidRPr="005756CE">
        <w:rPr>
          <w:rFonts w:ascii="Cambria" w:hAnsi="Cambria"/>
          <w:sz w:val="20"/>
          <w:szCs w:val="20"/>
        </w:rPr>
        <w:t>s</w:t>
      </w:r>
      <w:r w:rsidRPr="005756CE">
        <w:rPr>
          <w:rFonts w:ascii="Cambria" w:hAnsi="Cambria"/>
          <w:sz w:val="20"/>
          <w:szCs w:val="20"/>
        </w:rPr>
        <w:t xml:space="preserve"> Rec. 22-01 </w:t>
      </w:r>
      <w:r w:rsidR="00EC1940" w:rsidRPr="005756CE">
        <w:rPr>
          <w:rFonts w:ascii="Cambria" w:hAnsi="Cambria"/>
          <w:sz w:val="20"/>
          <w:szCs w:val="20"/>
        </w:rPr>
        <w:t xml:space="preserve">et 24-01, respectivement, </w:t>
      </w:r>
      <w:r w:rsidRPr="005756CE">
        <w:rPr>
          <w:rFonts w:ascii="Cambria" w:hAnsi="Cambria"/>
          <w:sz w:val="20"/>
          <w:szCs w:val="20"/>
        </w:rPr>
        <w:t xml:space="preserve">ont été soumises par le Canada, le Costa Rica, El Salvador, l'UE-France, </w:t>
      </w:r>
      <w:r w:rsidR="00EC1940" w:rsidRPr="005756CE">
        <w:rPr>
          <w:rFonts w:ascii="Cambria" w:hAnsi="Cambria"/>
          <w:sz w:val="20"/>
          <w:szCs w:val="20"/>
        </w:rPr>
        <w:t>l’UE-Espagne,</w:t>
      </w:r>
      <w:r w:rsidR="00284A95" w:rsidRPr="005756CE">
        <w:rPr>
          <w:rFonts w:ascii="Cambria" w:hAnsi="Cambria"/>
          <w:sz w:val="20"/>
          <w:szCs w:val="20"/>
        </w:rPr>
        <w:t xml:space="preserve"> </w:t>
      </w:r>
      <w:r w:rsidRPr="005756CE">
        <w:rPr>
          <w:rFonts w:ascii="Cambria" w:hAnsi="Cambria"/>
          <w:sz w:val="20"/>
          <w:szCs w:val="20"/>
        </w:rPr>
        <w:t xml:space="preserve">la France (St-Pierre et Miquelon), la Corée, le Maroc, le Mexique, le Panama, l'Afrique du Sud, le Royaume-Uni-Bermudes, </w:t>
      </w:r>
      <w:r w:rsidR="000D48AB" w:rsidRPr="005756CE">
        <w:rPr>
          <w:rFonts w:ascii="Cambria" w:hAnsi="Cambria"/>
          <w:sz w:val="20"/>
          <w:szCs w:val="20"/>
        </w:rPr>
        <w:t>le Royaume-Uni-Grande Bretagne, le Royaume-Uni-Sainte-Hélène</w:t>
      </w:r>
      <w:r w:rsidR="005918C8" w:rsidRPr="005756CE">
        <w:rPr>
          <w:rFonts w:ascii="Cambria" w:hAnsi="Cambria"/>
          <w:sz w:val="20"/>
          <w:szCs w:val="20"/>
        </w:rPr>
        <w:t xml:space="preserve"> et</w:t>
      </w:r>
      <w:r w:rsidR="000D48AB" w:rsidRPr="005756CE">
        <w:rPr>
          <w:rFonts w:ascii="Cambria" w:hAnsi="Cambria"/>
          <w:sz w:val="20"/>
          <w:szCs w:val="20"/>
        </w:rPr>
        <w:t xml:space="preserve"> </w:t>
      </w:r>
      <w:r w:rsidRPr="005756CE">
        <w:rPr>
          <w:rFonts w:ascii="Cambria" w:hAnsi="Cambria"/>
          <w:sz w:val="20"/>
          <w:szCs w:val="20"/>
        </w:rPr>
        <w:t>le Royaume-Uni-Turks et Ca</w:t>
      </w:r>
      <w:r w:rsidR="00325774" w:rsidRPr="005756CE">
        <w:rPr>
          <w:rFonts w:ascii="Cambria" w:hAnsi="Cambria"/>
          <w:sz w:val="20"/>
          <w:szCs w:val="20"/>
        </w:rPr>
        <w:t>ï</w:t>
      </w:r>
      <w:r w:rsidRPr="005756CE">
        <w:rPr>
          <w:rFonts w:ascii="Cambria" w:hAnsi="Cambria"/>
          <w:sz w:val="20"/>
          <w:szCs w:val="20"/>
        </w:rPr>
        <w:t>cos.</w:t>
      </w:r>
      <w:bookmarkEnd w:id="0"/>
    </w:p>
    <w:p w14:paraId="12DB75AB" w14:textId="77777777" w:rsidR="005918C8" w:rsidRPr="005756CE" w:rsidRDefault="005918C8"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hAnsi="Cambria"/>
          <w:b/>
          <w:i/>
          <w:iCs/>
          <w:sz w:val="20"/>
          <w:szCs w:val="20"/>
        </w:rPr>
      </w:pPr>
    </w:p>
    <w:p w14:paraId="6D742815" w14:textId="4D9F0B76"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iCs/>
          <w:kern w:val="0"/>
          <w:sz w:val="20"/>
          <w:szCs w:val="20"/>
          <w14:ligatures w14:val="none"/>
        </w:rPr>
      </w:pPr>
      <w:r w:rsidRPr="005756CE">
        <w:rPr>
          <w:rFonts w:ascii="Cambria" w:hAnsi="Cambria"/>
          <w:b/>
          <w:i/>
          <w:iCs/>
          <w:sz w:val="20"/>
          <w:szCs w:val="20"/>
        </w:rPr>
        <w:t>Programme d’observateurs :</w:t>
      </w:r>
      <w:r w:rsidRPr="005756CE">
        <w:rPr>
          <w:rFonts w:ascii="Cambria" w:hAnsi="Cambria"/>
          <w:b/>
          <w:i/>
          <w:sz w:val="20"/>
          <w:szCs w:val="20"/>
        </w:rPr>
        <w:t xml:space="preserve"> </w:t>
      </w:r>
      <w:r w:rsidRPr="005756CE">
        <w:rPr>
          <w:rFonts w:ascii="Cambria" w:hAnsi="Cambria"/>
          <w:sz w:val="20"/>
          <w:szCs w:val="20"/>
        </w:rPr>
        <w:t xml:space="preserve">Aucune difficulté pour embarquer des observateurs conformément à la Recommandation n'a été déclarée au Secrétariat de l'ICCAT. </w:t>
      </w:r>
    </w:p>
    <w:p w14:paraId="1C32B03B"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iCs/>
          <w:kern w:val="0"/>
          <w:sz w:val="20"/>
          <w:szCs w:val="20"/>
          <w14:ligatures w14:val="none"/>
        </w:rPr>
      </w:pPr>
    </w:p>
    <w:p w14:paraId="5F9F91FC"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iCs/>
          <w:kern w:val="0"/>
          <w:sz w:val="20"/>
          <w:szCs w:val="20"/>
          <w14:ligatures w14:val="none"/>
        </w:rPr>
      </w:pPr>
    </w:p>
    <w:p w14:paraId="07B0667D" w14:textId="77777777" w:rsidR="00356084" w:rsidRPr="005756CE" w:rsidRDefault="00356084" w:rsidP="001E71F8">
      <w:pPr>
        <w:widowControl w:val="0"/>
        <w:tabs>
          <w:tab w:val="left" w:pos="1276"/>
          <w:tab w:val="left" w:pos="1418"/>
          <w:tab w:val="center" w:pos="4750"/>
        </w:tabs>
        <w:autoSpaceDE w:val="0"/>
        <w:autoSpaceDN w:val="0"/>
        <w:adjustRightInd w:val="0"/>
        <w:spacing w:line="240" w:lineRule="auto"/>
        <w:rPr>
          <w:rFonts w:ascii="Cambria" w:eastAsia="Times New Roman" w:hAnsi="Cambria"/>
          <w:b/>
          <w:bCs/>
          <w:i/>
          <w:iCs/>
          <w:kern w:val="0"/>
          <w:sz w:val="20"/>
          <w:szCs w:val="20"/>
          <w14:ligatures w14:val="none"/>
        </w:rPr>
      </w:pPr>
      <w:r w:rsidRPr="005756CE">
        <w:rPr>
          <w:rFonts w:ascii="Cambria" w:hAnsi="Cambria"/>
          <w:b/>
          <w:sz w:val="20"/>
          <w:szCs w:val="20"/>
        </w:rPr>
        <w:t xml:space="preserve">SWO - ESPADON </w:t>
      </w:r>
      <w:r w:rsidRPr="005756CE">
        <w:rPr>
          <w:rFonts w:ascii="Cambria" w:hAnsi="Cambria"/>
          <w:b/>
          <w:i/>
          <w:sz w:val="20"/>
          <w:szCs w:val="20"/>
        </w:rPr>
        <w:t xml:space="preserve">(Xiphias </w:t>
      </w:r>
      <w:proofErr w:type="spellStart"/>
      <w:r w:rsidRPr="005756CE">
        <w:rPr>
          <w:rFonts w:ascii="Cambria" w:hAnsi="Cambria"/>
          <w:b/>
          <w:i/>
          <w:sz w:val="20"/>
          <w:szCs w:val="20"/>
        </w:rPr>
        <w:t>gladius</w:t>
      </w:r>
      <w:proofErr w:type="spellEnd"/>
      <w:r w:rsidRPr="005756CE">
        <w:rPr>
          <w:rFonts w:ascii="Cambria" w:hAnsi="Cambria"/>
          <w:b/>
          <w:i/>
          <w:sz w:val="20"/>
          <w:szCs w:val="20"/>
        </w:rPr>
        <w:t>)</w:t>
      </w:r>
    </w:p>
    <w:p w14:paraId="15587924" w14:textId="77777777" w:rsidR="00356084" w:rsidRPr="005756CE" w:rsidRDefault="00356084" w:rsidP="001E71F8">
      <w:pPr>
        <w:widowControl w:val="0"/>
        <w:tabs>
          <w:tab w:val="left" w:pos="993"/>
          <w:tab w:val="left" w:pos="1276"/>
          <w:tab w:val="left" w:pos="1418"/>
          <w:tab w:val="center" w:pos="4750"/>
        </w:tabs>
        <w:autoSpaceDE w:val="0"/>
        <w:autoSpaceDN w:val="0"/>
        <w:adjustRightInd w:val="0"/>
        <w:spacing w:line="240" w:lineRule="auto"/>
        <w:jc w:val="both"/>
        <w:rPr>
          <w:rFonts w:ascii="Cambria" w:eastAsia="Times New Roman" w:hAnsi="Cambria"/>
          <w:i/>
          <w:color w:val="000000"/>
          <w:kern w:val="0"/>
          <w:sz w:val="20"/>
          <w:szCs w:val="20"/>
          <w14:ligatures w14:val="none"/>
        </w:rPr>
      </w:pPr>
    </w:p>
    <w:p w14:paraId="7E2C2899" w14:textId="77777777" w:rsidR="00356084" w:rsidRPr="005756CE" w:rsidRDefault="00356084" w:rsidP="001E71F8">
      <w:pPr>
        <w:widowControl w:val="0"/>
        <w:tabs>
          <w:tab w:val="left" w:pos="993"/>
          <w:tab w:val="left" w:pos="1276"/>
          <w:tab w:val="left" w:pos="1418"/>
          <w:tab w:val="center" w:pos="4750"/>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hAnsi="Cambria"/>
          <w:i/>
          <w:sz w:val="20"/>
          <w:szCs w:val="20"/>
        </w:rPr>
        <w:t>[03-04] Recommandation de l’ICCAT sur l’espadon de la Méditerranée</w:t>
      </w:r>
    </w:p>
    <w:p w14:paraId="7F1E8391"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lang w:eastAsia="en-GB"/>
          <w14:ligatures w14:val="none"/>
        </w:rPr>
      </w:pPr>
    </w:p>
    <w:p w14:paraId="50AA59F8"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 xml:space="preserve">Il n'est prévu aucune déclaration spécifique au Secrétariat de l’ICCAT si ce n'est à travers la section 4 des rapports annuels. Le Secrétariat de l’ICCAT n'a rien à déclarer. </w:t>
      </w:r>
    </w:p>
    <w:p w14:paraId="324A6885"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i/>
          <w:kern w:val="0"/>
          <w:sz w:val="20"/>
          <w:szCs w:val="20"/>
          <w14:ligatures w14:val="none"/>
        </w:rPr>
      </w:pPr>
    </w:p>
    <w:p w14:paraId="6B987F98"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i/>
          <w:kern w:val="0"/>
          <w:sz w:val="20"/>
          <w:szCs w:val="20"/>
          <w14:ligatures w14:val="none"/>
        </w:rPr>
      </w:pPr>
      <w:r w:rsidRPr="005756CE">
        <w:rPr>
          <w:rFonts w:ascii="Cambria" w:hAnsi="Cambria"/>
          <w:i/>
          <w:sz w:val="20"/>
          <w:szCs w:val="20"/>
        </w:rPr>
        <w:t>[16-05] Recommandation de l’ICCAT pour remplacer la Recommandation 13-04 de l’ICCAT et établir un programme pluriannuel de rétablissement pour l'espadon de la Méditerranée</w:t>
      </w:r>
    </w:p>
    <w:p w14:paraId="5463DCC8"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kern w:val="0"/>
          <w:sz w:val="20"/>
          <w:szCs w:val="20"/>
          <w14:ligatures w14:val="none"/>
        </w:rPr>
      </w:pPr>
    </w:p>
    <w:p w14:paraId="57E6FF34" w14:textId="77777777" w:rsidR="0099404F" w:rsidRPr="005756CE" w:rsidRDefault="0099404F" w:rsidP="001E71F8">
      <w:pPr>
        <w:tabs>
          <w:tab w:val="left" w:pos="1276"/>
          <w:tab w:val="left" w:pos="1418"/>
          <w:tab w:val="left" w:leader="dot" w:pos="8222"/>
          <w:tab w:val="right" w:pos="8647"/>
        </w:tabs>
        <w:spacing w:line="240" w:lineRule="auto"/>
        <w:jc w:val="both"/>
        <w:rPr>
          <w:rFonts w:ascii="Cambria" w:hAnsi="Cambria"/>
          <w:bCs/>
          <w:sz w:val="20"/>
          <w:szCs w:val="20"/>
        </w:rPr>
      </w:pPr>
      <w:r w:rsidRPr="005756CE">
        <w:rPr>
          <w:rFonts w:ascii="Cambria" w:hAnsi="Cambria"/>
          <w:sz w:val="20"/>
          <w:szCs w:val="20"/>
        </w:rPr>
        <w:t>(</w:t>
      </w:r>
      <w:proofErr w:type="gramStart"/>
      <w:r w:rsidRPr="005756CE">
        <w:rPr>
          <w:rFonts w:ascii="Cambria" w:hAnsi="Cambria"/>
          <w:sz w:val="20"/>
          <w:szCs w:val="20"/>
        </w:rPr>
        <w:t>telle</w:t>
      </w:r>
      <w:proofErr w:type="gramEnd"/>
      <w:r w:rsidRPr="005756CE">
        <w:rPr>
          <w:rFonts w:ascii="Cambria" w:hAnsi="Cambria"/>
          <w:sz w:val="20"/>
          <w:szCs w:val="20"/>
        </w:rPr>
        <w:t xml:space="preserve"> que complétée par la [Rec. 24- 11]</w:t>
      </w:r>
      <w:r w:rsidRPr="005756CE">
        <w:rPr>
          <w:rFonts w:ascii="Cambria" w:hAnsi="Cambria"/>
          <w:i/>
          <w:sz w:val="20"/>
          <w:szCs w:val="20"/>
        </w:rPr>
        <w:t xml:space="preserve"> Recommandation de l’ICCAT sur les limites de capture pour l'espadon de la Méditerranée)</w:t>
      </w:r>
    </w:p>
    <w:p w14:paraId="695408EB" w14:textId="77777777" w:rsidR="0099404F" w:rsidRPr="005756CE" w:rsidRDefault="0099404F"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kern w:val="0"/>
          <w:sz w:val="20"/>
          <w:szCs w:val="20"/>
          <w14:ligatures w14:val="none"/>
        </w:rPr>
      </w:pPr>
    </w:p>
    <w:p w14:paraId="166D5DCC" w14:textId="1D41171D" w:rsidR="00227CB5" w:rsidRPr="005756CE" w:rsidRDefault="00227CB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b/>
          <w:bCs/>
          <w:i/>
          <w:iCs/>
          <w:sz w:val="20"/>
          <w:szCs w:val="20"/>
        </w:rPr>
        <w:t xml:space="preserve">Application des </w:t>
      </w:r>
      <w:r w:rsidRPr="005756CE">
        <w:rPr>
          <w:rFonts w:ascii="Cambria" w:hAnsi="Cambria"/>
          <w:b/>
          <w:i/>
          <w:iCs/>
          <w:sz w:val="20"/>
          <w:szCs w:val="20"/>
        </w:rPr>
        <w:t xml:space="preserve">quotas/limites de capture </w:t>
      </w:r>
      <w:r w:rsidRPr="005756CE">
        <w:rPr>
          <w:rFonts w:ascii="Cambria" w:hAnsi="Cambria"/>
          <w:i/>
          <w:iCs/>
          <w:sz w:val="20"/>
          <w:szCs w:val="20"/>
        </w:rPr>
        <w:t>:</w:t>
      </w:r>
      <w:r w:rsidRPr="005756CE">
        <w:rPr>
          <w:rFonts w:ascii="Cambria" w:hAnsi="Cambria"/>
          <w:sz w:val="20"/>
          <w:szCs w:val="20"/>
        </w:rPr>
        <w:t xml:space="preserve"> Veuillez consulter les « Tableaux d’application de 202</w:t>
      </w:r>
      <w:r w:rsidR="0099404F" w:rsidRPr="005756CE">
        <w:rPr>
          <w:rFonts w:ascii="Cambria" w:hAnsi="Cambria"/>
          <w:sz w:val="20"/>
          <w:szCs w:val="20"/>
        </w:rPr>
        <w:t>4</w:t>
      </w:r>
      <w:r w:rsidRPr="005756CE">
        <w:rPr>
          <w:rFonts w:ascii="Cambria" w:hAnsi="Cambria"/>
          <w:sz w:val="20"/>
          <w:szCs w:val="20"/>
        </w:rPr>
        <w:t xml:space="preserve"> reçus en 202</w:t>
      </w:r>
      <w:r w:rsidR="00CA6CC4" w:rsidRPr="005756CE">
        <w:rPr>
          <w:rFonts w:ascii="Cambria" w:hAnsi="Cambria"/>
          <w:sz w:val="20"/>
          <w:szCs w:val="20"/>
        </w:rPr>
        <w:t>5</w:t>
      </w:r>
      <w:r w:rsidRPr="005756CE">
        <w:rPr>
          <w:rFonts w:ascii="Cambria" w:hAnsi="Cambria"/>
          <w:sz w:val="20"/>
          <w:szCs w:val="20"/>
        </w:rPr>
        <w:t> » [COC-304/202</w:t>
      </w:r>
      <w:r w:rsidR="0099404F" w:rsidRPr="005756CE">
        <w:rPr>
          <w:rFonts w:ascii="Cambria" w:hAnsi="Cambria"/>
          <w:sz w:val="20"/>
          <w:szCs w:val="20"/>
        </w:rPr>
        <w:t>5</w:t>
      </w:r>
      <w:r w:rsidRPr="005756CE">
        <w:rPr>
          <w:rFonts w:ascii="Cambria" w:hAnsi="Cambria"/>
          <w:sz w:val="20"/>
          <w:szCs w:val="20"/>
        </w:rPr>
        <w:t xml:space="preserve">). </w:t>
      </w:r>
    </w:p>
    <w:p w14:paraId="78E0EF70"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684E94B2" w14:textId="1B565AC2"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b/>
          <w:i/>
          <w:sz w:val="20"/>
          <w:szCs w:val="20"/>
        </w:rPr>
        <w:t xml:space="preserve">Registre ICCAT des navires pêchant l'espadon de la Méditerranée : </w:t>
      </w:r>
      <w:r w:rsidRPr="005756CE">
        <w:rPr>
          <w:rFonts w:ascii="Cambria" w:hAnsi="Cambria"/>
          <w:sz w:val="20"/>
          <w:szCs w:val="20"/>
        </w:rPr>
        <w:t>Les listes autorisées, reçues de six CPC (Algérie, Égypte, Union européenne, Maroc, Tunisie et Turquie), ont été publiées sur l</w:t>
      </w:r>
      <w:r w:rsidR="00325774" w:rsidRPr="005756CE">
        <w:rPr>
          <w:rFonts w:ascii="Cambria" w:hAnsi="Cambria"/>
          <w:sz w:val="20"/>
          <w:szCs w:val="20"/>
        </w:rPr>
        <w:t>a</w:t>
      </w:r>
      <w:r w:rsidRPr="005756CE">
        <w:rPr>
          <w:rFonts w:ascii="Cambria" w:hAnsi="Cambria"/>
          <w:sz w:val="20"/>
          <w:szCs w:val="20"/>
        </w:rPr>
        <w:t xml:space="preserve"> </w:t>
      </w:r>
      <w:hyperlink r:id="rId9" w:history="1">
        <w:r w:rsidR="00325774" w:rsidRPr="005756CE">
          <w:rPr>
            <w:rStyle w:val="Hyperlink"/>
            <w:szCs w:val="20"/>
          </w:rPr>
          <w:t>page</w:t>
        </w:r>
        <w:r w:rsidRPr="005756CE">
          <w:rPr>
            <w:rStyle w:val="Hyperlink"/>
            <w:szCs w:val="20"/>
          </w:rPr>
          <w:t xml:space="preserve"> </w:t>
        </w:r>
        <w:r w:rsidR="00325774" w:rsidRPr="005756CE">
          <w:rPr>
            <w:rStyle w:val="Hyperlink"/>
            <w:szCs w:val="20"/>
          </w:rPr>
          <w:t xml:space="preserve">web </w:t>
        </w:r>
        <w:r w:rsidRPr="005756CE">
          <w:rPr>
            <w:rStyle w:val="Hyperlink"/>
            <w:szCs w:val="20"/>
          </w:rPr>
          <w:t>de l'ICCAT</w:t>
        </w:r>
      </w:hyperlink>
      <w:r w:rsidRPr="005756CE">
        <w:rPr>
          <w:rFonts w:ascii="Cambria" w:hAnsi="Cambria"/>
          <w:sz w:val="20"/>
          <w:szCs w:val="20"/>
        </w:rPr>
        <w:t>. La liste des navires ayant pêché l'année précédente figure à l'</w:t>
      </w:r>
      <w:r w:rsidRPr="005756CE">
        <w:rPr>
          <w:rFonts w:ascii="Cambria" w:hAnsi="Cambria"/>
          <w:b/>
          <w:bCs/>
          <w:sz w:val="20"/>
          <w:szCs w:val="20"/>
        </w:rPr>
        <w:t>annexe 5</w:t>
      </w:r>
      <w:r w:rsidRPr="005756CE">
        <w:rPr>
          <w:rFonts w:ascii="Cambria" w:hAnsi="Cambria"/>
          <w:sz w:val="20"/>
          <w:szCs w:val="20"/>
        </w:rPr>
        <w:t>.</w:t>
      </w:r>
    </w:p>
    <w:p w14:paraId="29AB57FE"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2D5B7142" w14:textId="7BCD0CE8" w:rsidR="00356084" w:rsidRPr="005756CE" w:rsidRDefault="00356084" w:rsidP="001E71F8">
      <w:pPr>
        <w:widowControl w:val="0"/>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b/>
          <w:bCs/>
          <w:i/>
          <w:iCs/>
          <w:sz w:val="20"/>
          <w:szCs w:val="20"/>
        </w:rPr>
        <w:t>Liste des navires autorisés à pêcher du germon de la Méditerranée :</w:t>
      </w:r>
      <w:r w:rsidRPr="005756CE">
        <w:rPr>
          <w:rFonts w:ascii="Cambria" w:hAnsi="Cambria"/>
          <w:sz w:val="20"/>
          <w:szCs w:val="20"/>
        </w:rPr>
        <w:t xml:space="preserve"> Au moment de la rédaction du présent document, quatre CPC (Égypte, Union européenne, Maroc et Türkiye) avaient soumis des listes de navires autorisés conformément à cette Recommandation. </w:t>
      </w:r>
    </w:p>
    <w:p w14:paraId="2814BD7B" w14:textId="77777777" w:rsidR="00356084" w:rsidRPr="005756CE" w:rsidRDefault="00356084"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3EB5DC9E" w14:textId="0E177902"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color w:val="0000FF"/>
          <w:kern w:val="0"/>
          <w:sz w:val="20"/>
          <w:szCs w:val="20"/>
          <w14:ligatures w14:val="none"/>
        </w:rPr>
      </w:pPr>
      <w:r w:rsidRPr="005756CE">
        <w:rPr>
          <w:rFonts w:ascii="Cambria" w:hAnsi="Cambria"/>
          <w:sz w:val="20"/>
          <w:szCs w:val="20"/>
        </w:rPr>
        <w:t xml:space="preserve">Cette liste est publiée sur </w:t>
      </w:r>
      <w:r w:rsidR="00325774" w:rsidRPr="005756CE">
        <w:rPr>
          <w:rFonts w:ascii="Cambria" w:hAnsi="Cambria"/>
          <w:sz w:val="20"/>
          <w:szCs w:val="20"/>
        </w:rPr>
        <w:t xml:space="preserve">la </w:t>
      </w:r>
      <w:hyperlink r:id="rId10" w:history="1">
        <w:r w:rsidR="00325774" w:rsidRPr="005756CE">
          <w:rPr>
            <w:rStyle w:val="Hyperlink"/>
            <w:szCs w:val="20"/>
          </w:rPr>
          <w:t>page web de l’ICCAT</w:t>
        </w:r>
      </w:hyperlink>
      <w:r w:rsidR="00325774" w:rsidRPr="005756CE">
        <w:rPr>
          <w:rFonts w:ascii="Cambria" w:hAnsi="Cambria"/>
          <w:sz w:val="20"/>
          <w:szCs w:val="20"/>
        </w:rPr>
        <w:t>.</w:t>
      </w:r>
    </w:p>
    <w:p w14:paraId="61DD776F"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color w:val="0000FF"/>
          <w:kern w:val="0"/>
          <w:sz w:val="20"/>
          <w:szCs w:val="20"/>
          <w14:ligatures w14:val="none"/>
        </w:rPr>
      </w:pPr>
    </w:p>
    <w:p w14:paraId="083BB598" w14:textId="394B8093"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b/>
          <w:i/>
          <w:iCs/>
          <w:sz w:val="20"/>
          <w:szCs w:val="20"/>
        </w:rPr>
        <w:t>Registre ICCAT des ports autorisés :</w:t>
      </w:r>
      <w:r w:rsidRPr="005756CE">
        <w:rPr>
          <w:rFonts w:ascii="Cambria" w:hAnsi="Cambria"/>
          <w:b/>
          <w:sz w:val="20"/>
          <w:szCs w:val="20"/>
        </w:rPr>
        <w:t xml:space="preserve"> </w:t>
      </w:r>
      <w:r w:rsidRPr="005756CE">
        <w:rPr>
          <w:rFonts w:ascii="Cambria" w:hAnsi="Cambria"/>
          <w:sz w:val="20"/>
          <w:szCs w:val="20"/>
        </w:rPr>
        <w:t xml:space="preserve">Au total, </w:t>
      </w:r>
      <w:r w:rsidR="001E1B5C" w:rsidRPr="005756CE">
        <w:rPr>
          <w:rFonts w:ascii="Cambria" w:hAnsi="Cambria"/>
          <w:sz w:val="20"/>
          <w:szCs w:val="20"/>
        </w:rPr>
        <w:t>894</w:t>
      </w:r>
      <w:r w:rsidRPr="005756CE">
        <w:rPr>
          <w:rFonts w:ascii="Cambria" w:hAnsi="Cambria"/>
          <w:sz w:val="20"/>
          <w:szCs w:val="20"/>
        </w:rPr>
        <w:t>ports</w:t>
      </w:r>
      <w:r w:rsidR="00914C86" w:rsidRPr="005756CE">
        <w:rPr>
          <w:rFonts w:ascii="Cambria" w:hAnsi="Cambria"/>
          <w:sz w:val="20"/>
          <w:szCs w:val="20"/>
        </w:rPr>
        <w:t>,</w:t>
      </w:r>
      <w:r w:rsidRPr="005756CE">
        <w:rPr>
          <w:rFonts w:ascii="Cambria" w:hAnsi="Cambria"/>
          <w:sz w:val="20"/>
          <w:szCs w:val="20"/>
        </w:rPr>
        <w:t xml:space="preserve"> d</w:t>
      </w:r>
      <w:r w:rsidR="00914C86" w:rsidRPr="005756CE">
        <w:rPr>
          <w:rFonts w:ascii="Cambria" w:hAnsi="Cambria"/>
          <w:sz w:val="20"/>
          <w:szCs w:val="20"/>
        </w:rPr>
        <w:t>’un total d</w:t>
      </w:r>
      <w:r w:rsidRPr="005756CE">
        <w:rPr>
          <w:rFonts w:ascii="Cambria" w:hAnsi="Cambria"/>
          <w:sz w:val="20"/>
          <w:szCs w:val="20"/>
        </w:rPr>
        <w:t xml:space="preserve">e </w:t>
      </w:r>
      <w:r w:rsidR="001E1B5C" w:rsidRPr="005756CE">
        <w:rPr>
          <w:rFonts w:ascii="Cambria" w:hAnsi="Cambria"/>
          <w:sz w:val="20"/>
          <w:szCs w:val="20"/>
        </w:rPr>
        <w:t>sept</w:t>
      </w:r>
      <w:r w:rsidRPr="005756CE">
        <w:rPr>
          <w:rFonts w:ascii="Cambria" w:hAnsi="Cambria"/>
          <w:sz w:val="20"/>
          <w:szCs w:val="20"/>
        </w:rPr>
        <w:t xml:space="preserve"> CPC</w:t>
      </w:r>
      <w:r w:rsidR="00914C86" w:rsidRPr="005756CE">
        <w:rPr>
          <w:rFonts w:ascii="Cambria" w:hAnsi="Cambria"/>
          <w:sz w:val="20"/>
          <w:szCs w:val="20"/>
        </w:rPr>
        <w:t>,</w:t>
      </w:r>
      <w:r w:rsidRPr="005756CE">
        <w:rPr>
          <w:rFonts w:ascii="Cambria" w:hAnsi="Cambria"/>
          <w:sz w:val="20"/>
          <w:szCs w:val="20"/>
        </w:rPr>
        <w:t xml:space="preserve"> sont publiés sur </w:t>
      </w:r>
      <w:r w:rsidR="00325774" w:rsidRPr="005756CE">
        <w:rPr>
          <w:rFonts w:ascii="Cambria" w:hAnsi="Cambria"/>
          <w:sz w:val="20"/>
          <w:szCs w:val="20"/>
        </w:rPr>
        <w:t xml:space="preserve">la </w:t>
      </w:r>
      <w:hyperlink r:id="rId11" w:history="1">
        <w:r w:rsidR="00325774" w:rsidRPr="005756CE">
          <w:rPr>
            <w:rStyle w:val="Hyperlink"/>
            <w:szCs w:val="20"/>
          </w:rPr>
          <w:t>page web de l’ICCAT</w:t>
        </w:r>
      </w:hyperlink>
      <w:r w:rsidRPr="005756CE">
        <w:rPr>
          <w:rFonts w:ascii="Cambria" w:hAnsi="Cambria"/>
          <w:sz w:val="20"/>
          <w:szCs w:val="20"/>
        </w:rPr>
        <w:t xml:space="preserve">. </w:t>
      </w:r>
      <w:r w:rsidR="00E45DEF" w:rsidRPr="005756CE">
        <w:rPr>
          <w:rFonts w:ascii="Cambria" w:hAnsi="Cambria"/>
          <w:sz w:val="20"/>
          <w:szCs w:val="20"/>
        </w:rPr>
        <w:t>Il s’agit des CPC suivantes :</w:t>
      </w:r>
      <w:r w:rsidRPr="005756CE">
        <w:rPr>
          <w:rFonts w:ascii="Cambria" w:hAnsi="Cambria"/>
          <w:sz w:val="20"/>
          <w:szCs w:val="20"/>
        </w:rPr>
        <w:t xml:space="preserve"> Algérie,</w:t>
      </w:r>
      <w:r w:rsidR="00301B49" w:rsidRPr="005756CE">
        <w:rPr>
          <w:rFonts w:ascii="Cambria" w:hAnsi="Cambria"/>
          <w:sz w:val="20"/>
          <w:szCs w:val="20"/>
        </w:rPr>
        <w:t xml:space="preserve"> Égypte, Union européenne, Libye, Maroc, Tunisie et Türk</w:t>
      </w:r>
      <w:r w:rsidR="006170D4" w:rsidRPr="005756CE">
        <w:rPr>
          <w:rFonts w:ascii="Cambria" w:hAnsi="Cambria"/>
          <w:sz w:val="20"/>
          <w:szCs w:val="20"/>
        </w:rPr>
        <w:t>iye.</w:t>
      </w:r>
    </w:p>
    <w:p w14:paraId="75B23AA4"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b/>
          <w:kern w:val="0"/>
          <w:sz w:val="20"/>
          <w:szCs w:val="20"/>
          <w14:ligatures w14:val="none"/>
        </w:rPr>
      </w:pPr>
    </w:p>
    <w:p w14:paraId="5C2C452A" w14:textId="77777777" w:rsidR="00202E5D" w:rsidRPr="005756CE" w:rsidRDefault="00202E5D" w:rsidP="001E71F8">
      <w:pPr>
        <w:spacing w:line="240" w:lineRule="auto"/>
        <w:rPr>
          <w:rFonts w:ascii="Cambria" w:hAnsi="Cambria"/>
          <w:b/>
          <w:i/>
          <w:sz w:val="20"/>
          <w:szCs w:val="20"/>
        </w:rPr>
      </w:pPr>
      <w:r w:rsidRPr="005756CE">
        <w:rPr>
          <w:rFonts w:ascii="Cambria" w:hAnsi="Cambria"/>
          <w:b/>
          <w:i/>
          <w:sz w:val="20"/>
          <w:szCs w:val="20"/>
        </w:rPr>
        <w:br w:type="page"/>
      </w:r>
    </w:p>
    <w:p w14:paraId="5180AF25" w14:textId="62331151"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b/>
          <w:i/>
          <w:sz w:val="20"/>
          <w:szCs w:val="20"/>
        </w:rPr>
        <w:lastRenderedPageBreak/>
        <w:t xml:space="preserve">Agences d'inspection, inspecteurs et navires : </w:t>
      </w:r>
      <w:r w:rsidRPr="005756CE">
        <w:rPr>
          <w:rFonts w:ascii="Cambria" w:hAnsi="Cambria"/>
          <w:sz w:val="20"/>
          <w:szCs w:val="20"/>
        </w:rPr>
        <w:t>Des informations ont été reçues de l'Algérie, de l'Union européenne, de la Tunisie et de la Türkiye. Les listes d'agences, de moyens et d'inspecteurs sont présentées à l'</w:t>
      </w:r>
      <w:r w:rsidRPr="005756CE">
        <w:rPr>
          <w:rFonts w:ascii="Cambria" w:hAnsi="Cambria"/>
          <w:b/>
          <w:sz w:val="20"/>
          <w:szCs w:val="20"/>
        </w:rPr>
        <w:t>annexe 4</w:t>
      </w:r>
      <w:r w:rsidRPr="005756CE">
        <w:rPr>
          <w:rFonts w:ascii="Cambria" w:hAnsi="Cambria"/>
          <w:sz w:val="20"/>
          <w:szCs w:val="20"/>
        </w:rPr>
        <w:t xml:space="preserve">. La liste des navires d’inspection est publiée sur le site web de l'ICCAT. Un résumé des rapports d'inspection reçus est inclus au </w:t>
      </w:r>
      <w:r w:rsidRPr="005756CE">
        <w:rPr>
          <w:rFonts w:ascii="Cambria" w:hAnsi="Cambria"/>
          <w:b/>
          <w:bCs/>
          <w:sz w:val="20"/>
          <w:szCs w:val="20"/>
        </w:rPr>
        <w:t>tableau 2</w:t>
      </w:r>
      <w:r w:rsidRPr="005756CE">
        <w:rPr>
          <w:rFonts w:ascii="Cambria" w:hAnsi="Cambria"/>
          <w:sz w:val="20"/>
          <w:szCs w:val="20"/>
        </w:rPr>
        <w:t>. Un résumé des rapports comportant des infractions ainsi que les réponses apportées si elles sont disponibles sont inclus à l’</w:t>
      </w:r>
      <w:r w:rsidRPr="005756CE">
        <w:rPr>
          <w:rFonts w:ascii="Cambria" w:hAnsi="Cambria"/>
          <w:b/>
          <w:bCs/>
          <w:sz w:val="20"/>
          <w:szCs w:val="20"/>
        </w:rPr>
        <w:t>appendice</w:t>
      </w:r>
      <w:r w:rsidRPr="005756CE">
        <w:rPr>
          <w:rFonts w:ascii="Cambria" w:hAnsi="Cambria"/>
          <w:sz w:val="20"/>
          <w:szCs w:val="20"/>
        </w:rPr>
        <w:t xml:space="preserve"> </w:t>
      </w:r>
      <w:r w:rsidRPr="005756CE">
        <w:rPr>
          <w:rFonts w:ascii="Cambria" w:hAnsi="Cambria"/>
          <w:b/>
          <w:sz w:val="20"/>
          <w:szCs w:val="20"/>
        </w:rPr>
        <w:t>4</w:t>
      </w:r>
      <w:r w:rsidRPr="005756CE">
        <w:rPr>
          <w:rFonts w:ascii="Cambria" w:hAnsi="Cambria"/>
          <w:sz w:val="20"/>
          <w:szCs w:val="20"/>
        </w:rPr>
        <w:t xml:space="preserve"> et des </w:t>
      </w:r>
      <w:r w:rsidR="00E45DEF" w:rsidRPr="005756CE">
        <w:rPr>
          <w:rFonts w:ascii="Cambria" w:hAnsi="Cambria"/>
          <w:sz w:val="20"/>
          <w:szCs w:val="20"/>
        </w:rPr>
        <w:t>copies</w:t>
      </w:r>
      <w:r w:rsidRPr="005756CE">
        <w:rPr>
          <w:rFonts w:ascii="Cambria" w:hAnsi="Cambria"/>
          <w:sz w:val="20"/>
          <w:szCs w:val="20"/>
        </w:rPr>
        <w:t xml:space="preserve"> des rapports comportant des infractions sont inclus à l’</w:t>
      </w:r>
      <w:r w:rsidRPr="005756CE">
        <w:rPr>
          <w:rFonts w:ascii="Cambria" w:hAnsi="Cambria"/>
          <w:b/>
          <w:bCs/>
          <w:sz w:val="20"/>
          <w:szCs w:val="20"/>
        </w:rPr>
        <w:t>a</w:t>
      </w:r>
      <w:r w:rsidRPr="005756CE">
        <w:rPr>
          <w:rFonts w:ascii="Cambria" w:hAnsi="Cambria"/>
          <w:b/>
          <w:sz w:val="20"/>
          <w:szCs w:val="20"/>
        </w:rPr>
        <w:t>nnexe 3.</w:t>
      </w:r>
    </w:p>
    <w:p w14:paraId="50CC0B29"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6"/>
        <w:jc w:val="both"/>
        <w:rPr>
          <w:rFonts w:ascii="Cambria" w:eastAsia="Times New Roman" w:hAnsi="Cambria"/>
          <w:kern w:val="0"/>
          <w:sz w:val="20"/>
          <w:szCs w:val="20"/>
          <w14:ligatures w14:val="none"/>
        </w:rPr>
      </w:pPr>
    </w:p>
    <w:p w14:paraId="3ED5133D" w14:textId="5BF18E59"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kern w:val="0"/>
          <w:sz w:val="20"/>
          <w:szCs w:val="20"/>
          <w14:ligatures w14:val="none"/>
        </w:rPr>
      </w:pPr>
      <w:r w:rsidRPr="005756CE">
        <w:rPr>
          <w:rFonts w:ascii="Cambria" w:hAnsi="Cambria"/>
          <w:b/>
          <w:bCs/>
          <w:i/>
          <w:iCs/>
          <w:sz w:val="20"/>
          <w:szCs w:val="20"/>
        </w:rPr>
        <w:t>Plans de pêche SWO-MED</w:t>
      </w:r>
      <w:r w:rsidR="00E45DEF" w:rsidRPr="005756CE">
        <w:rPr>
          <w:rFonts w:ascii="Cambria" w:hAnsi="Cambria"/>
          <w:b/>
          <w:bCs/>
          <w:i/>
          <w:iCs/>
          <w:sz w:val="20"/>
          <w:szCs w:val="20"/>
        </w:rPr>
        <w:t xml:space="preserve"> : </w:t>
      </w:r>
      <w:r w:rsidRPr="005756CE">
        <w:rPr>
          <w:rFonts w:ascii="Cambria" w:hAnsi="Cambria"/>
          <w:sz w:val="20"/>
          <w:szCs w:val="20"/>
        </w:rPr>
        <w:t>Des plans ont été reçus en 202</w:t>
      </w:r>
      <w:r w:rsidR="006170D4" w:rsidRPr="005756CE">
        <w:rPr>
          <w:rFonts w:ascii="Cambria" w:hAnsi="Cambria"/>
          <w:sz w:val="20"/>
          <w:szCs w:val="20"/>
        </w:rPr>
        <w:t>5</w:t>
      </w:r>
      <w:r w:rsidRPr="005756CE">
        <w:rPr>
          <w:rFonts w:ascii="Cambria" w:hAnsi="Cambria"/>
          <w:sz w:val="20"/>
          <w:szCs w:val="20"/>
        </w:rPr>
        <w:t xml:space="preserve"> des CPC suivantes : Algérie, Égypte, Maroc, Tunisie, Türkiye et Union européenne. Ces plans ont été distribués aux CPC et </w:t>
      </w:r>
      <w:r w:rsidR="00E45DEF" w:rsidRPr="005756CE">
        <w:rPr>
          <w:rFonts w:ascii="Cambria" w:hAnsi="Cambria"/>
          <w:sz w:val="20"/>
          <w:szCs w:val="20"/>
        </w:rPr>
        <w:t>sont présentés</w:t>
      </w:r>
      <w:r w:rsidRPr="005756CE">
        <w:rPr>
          <w:rFonts w:ascii="Cambria" w:hAnsi="Cambria"/>
          <w:sz w:val="20"/>
          <w:szCs w:val="20"/>
        </w:rPr>
        <w:t xml:space="preserve"> en tant que </w:t>
      </w:r>
      <w:r w:rsidR="00E45DEF" w:rsidRPr="005756CE">
        <w:rPr>
          <w:rFonts w:ascii="Cambria" w:hAnsi="Cambria"/>
          <w:sz w:val="20"/>
          <w:szCs w:val="20"/>
        </w:rPr>
        <w:t>« </w:t>
      </w:r>
      <w:r w:rsidRPr="005756CE">
        <w:rPr>
          <w:rFonts w:ascii="Cambria" w:hAnsi="Cambria"/>
          <w:sz w:val="20"/>
          <w:szCs w:val="20"/>
        </w:rPr>
        <w:t>Plans de pêche de l'espadon de la Méditerranée soumis en 202</w:t>
      </w:r>
      <w:r w:rsidR="006170D4" w:rsidRPr="005756CE">
        <w:rPr>
          <w:rFonts w:ascii="Cambria" w:hAnsi="Cambria"/>
          <w:sz w:val="20"/>
          <w:szCs w:val="20"/>
        </w:rPr>
        <w:t>5</w:t>
      </w:r>
      <w:r w:rsidRPr="005756CE">
        <w:rPr>
          <w:rFonts w:ascii="Cambria" w:hAnsi="Cambria"/>
          <w:sz w:val="20"/>
          <w:szCs w:val="20"/>
        </w:rPr>
        <w:t xml:space="preserve"> (Rec. 16-05) »</w:t>
      </w:r>
      <w:r w:rsidRPr="005756CE">
        <w:rPr>
          <w:rFonts w:ascii="Cambria" w:hAnsi="Cambria"/>
          <w:b/>
          <w:sz w:val="20"/>
          <w:szCs w:val="20"/>
        </w:rPr>
        <w:t xml:space="preserve"> </w:t>
      </w:r>
      <w:r w:rsidRPr="005756CE">
        <w:rPr>
          <w:rFonts w:ascii="Cambria" w:hAnsi="Cambria"/>
          <w:sz w:val="20"/>
          <w:szCs w:val="20"/>
        </w:rPr>
        <w:t>[PA4_802/202</w:t>
      </w:r>
      <w:r w:rsidR="006170D4" w:rsidRPr="005756CE">
        <w:rPr>
          <w:rFonts w:ascii="Cambria" w:hAnsi="Cambria"/>
          <w:sz w:val="20"/>
          <w:szCs w:val="20"/>
        </w:rPr>
        <w:t>5</w:t>
      </w:r>
      <w:r w:rsidRPr="005756CE">
        <w:rPr>
          <w:rFonts w:ascii="Cambria" w:hAnsi="Cambria"/>
          <w:sz w:val="20"/>
          <w:szCs w:val="20"/>
        </w:rPr>
        <w:t>].</w:t>
      </w:r>
      <w:r w:rsidRPr="005756CE">
        <w:rPr>
          <w:rFonts w:ascii="Cambria" w:hAnsi="Cambria"/>
          <w:b/>
          <w:sz w:val="20"/>
          <w:szCs w:val="20"/>
        </w:rPr>
        <w:t xml:space="preserve"> </w:t>
      </w:r>
    </w:p>
    <w:p w14:paraId="0F4FE1DB"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kern w:val="0"/>
          <w:sz w:val="20"/>
          <w:szCs w:val="20"/>
          <w14:ligatures w14:val="none"/>
        </w:rPr>
      </w:pPr>
    </w:p>
    <w:p w14:paraId="41EB1075" w14:textId="25A9425E" w:rsidR="00467FCB" w:rsidRPr="005756CE" w:rsidRDefault="00356084" w:rsidP="001E71F8">
      <w:pPr>
        <w:tabs>
          <w:tab w:val="left" w:pos="1276"/>
          <w:tab w:val="left" w:pos="1418"/>
          <w:tab w:val="left" w:leader="dot" w:pos="8222"/>
          <w:tab w:val="right" w:pos="8647"/>
        </w:tabs>
        <w:spacing w:line="240" w:lineRule="auto"/>
        <w:jc w:val="both"/>
        <w:rPr>
          <w:rFonts w:ascii="Cambria" w:hAnsi="Cambria"/>
          <w:sz w:val="20"/>
          <w:szCs w:val="20"/>
        </w:rPr>
      </w:pPr>
      <w:r w:rsidRPr="005756CE">
        <w:rPr>
          <w:rFonts w:ascii="Cambria" w:hAnsi="Cambria"/>
          <w:b/>
          <w:i/>
          <w:sz w:val="20"/>
          <w:szCs w:val="20"/>
        </w:rPr>
        <w:t>Fermetures</w:t>
      </w:r>
      <w:r w:rsidR="00E95620" w:rsidRPr="005756CE">
        <w:rPr>
          <w:rFonts w:ascii="Cambria" w:hAnsi="Cambria"/>
          <w:b/>
          <w:i/>
          <w:sz w:val="20"/>
          <w:szCs w:val="20"/>
        </w:rPr>
        <w:t xml:space="preserve"> : </w:t>
      </w:r>
      <w:r w:rsidRPr="005756CE">
        <w:rPr>
          <w:rFonts w:ascii="Cambria" w:hAnsi="Cambria"/>
          <w:sz w:val="20"/>
          <w:szCs w:val="20"/>
        </w:rPr>
        <w:t xml:space="preserve">Des rapports sur la mise en œuvre des périodes de fermeture ont été reçus de l’Algérie, </w:t>
      </w:r>
      <w:r w:rsidR="00467FCB" w:rsidRPr="005756CE">
        <w:rPr>
          <w:rFonts w:ascii="Cambria" w:hAnsi="Cambria"/>
          <w:sz w:val="20"/>
          <w:szCs w:val="20"/>
        </w:rPr>
        <w:t xml:space="preserve">de l’Egypte, </w:t>
      </w:r>
      <w:r w:rsidRPr="005756CE">
        <w:rPr>
          <w:rFonts w:ascii="Cambria" w:hAnsi="Cambria"/>
          <w:sz w:val="20"/>
          <w:szCs w:val="20"/>
        </w:rPr>
        <w:t>de l’Union européenne, du Maroc, de la Tunisie et de la Türkiye, et figurent à l'</w:t>
      </w:r>
      <w:r w:rsidRPr="005756CE">
        <w:rPr>
          <w:rFonts w:ascii="Cambria" w:hAnsi="Cambria"/>
          <w:b/>
          <w:bCs/>
          <w:sz w:val="20"/>
          <w:szCs w:val="20"/>
        </w:rPr>
        <w:t>appendice 1</w:t>
      </w:r>
      <w:r w:rsidRPr="005756CE">
        <w:rPr>
          <w:rFonts w:ascii="Cambria" w:hAnsi="Cambria"/>
          <w:sz w:val="20"/>
          <w:szCs w:val="20"/>
        </w:rPr>
        <w:t xml:space="preserve"> du présent rapport. L'Algérie a indiqué que les informations sont disponibles dans son rapport annuel (</w:t>
      </w:r>
      <w:r w:rsidR="00E45DEF" w:rsidRPr="005756CE">
        <w:rPr>
          <w:rFonts w:ascii="Cambria" w:hAnsi="Cambria"/>
          <w:sz w:val="20"/>
          <w:szCs w:val="20"/>
        </w:rPr>
        <w:t xml:space="preserve">Cf. </w:t>
      </w:r>
      <w:r w:rsidRPr="005756CE">
        <w:rPr>
          <w:rFonts w:ascii="Cambria" w:hAnsi="Cambria"/>
          <w:sz w:val="20"/>
          <w:szCs w:val="20"/>
        </w:rPr>
        <w:t xml:space="preserve">« Rapports annuels des CPC », </w:t>
      </w:r>
      <w:r w:rsidR="005A7DA7" w:rsidRPr="005756CE">
        <w:rPr>
          <w:rFonts w:ascii="Cambria" w:hAnsi="Cambria"/>
          <w:sz w:val="20"/>
          <w:szCs w:val="20"/>
        </w:rPr>
        <w:t>(</w:t>
      </w:r>
      <w:r w:rsidRPr="005756CE">
        <w:rPr>
          <w:rFonts w:ascii="Cambria" w:hAnsi="Cambria"/>
          <w:sz w:val="20"/>
          <w:szCs w:val="20"/>
        </w:rPr>
        <w:t>COC-301/</w:t>
      </w:r>
      <w:r w:rsidR="00467FCB" w:rsidRPr="005756CE">
        <w:rPr>
          <w:rFonts w:ascii="Cambria" w:hAnsi="Cambria"/>
          <w:sz w:val="20"/>
          <w:szCs w:val="20"/>
        </w:rPr>
        <w:t>2025)</w:t>
      </w:r>
      <w:r w:rsidR="005A7DA7" w:rsidRPr="005756CE">
        <w:rPr>
          <w:rFonts w:ascii="Cambria" w:hAnsi="Cambria"/>
          <w:sz w:val="20"/>
          <w:szCs w:val="20"/>
        </w:rPr>
        <w:t>)</w:t>
      </w:r>
      <w:r w:rsidR="00467FCB" w:rsidRPr="005756CE">
        <w:rPr>
          <w:rFonts w:ascii="Cambria" w:hAnsi="Cambria"/>
          <w:sz w:val="20"/>
          <w:szCs w:val="20"/>
        </w:rPr>
        <w:t>. L'Egypte a indiqué que l'information peut être trouvée dans son plan de pêche de l'espadon de la Méditerranée [PA4_802/2025].</w:t>
      </w:r>
    </w:p>
    <w:p w14:paraId="1B12FA78"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kern w:val="0"/>
          <w:sz w:val="20"/>
          <w:szCs w:val="20"/>
          <w14:ligatures w14:val="none"/>
        </w:rPr>
      </w:pPr>
    </w:p>
    <w:p w14:paraId="4F4DEE33" w14:textId="3DD4E7AC"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hAnsi="Cambria"/>
          <w:sz w:val="20"/>
          <w:szCs w:val="20"/>
        </w:rPr>
      </w:pPr>
      <w:r w:rsidRPr="005756CE">
        <w:rPr>
          <w:rFonts w:ascii="Cambria" w:hAnsi="Cambria"/>
          <w:b/>
          <w:i/>
          <w:sz w:val="20"/>
          <w:szCs w:val="20"/>
        </w:rPr>
        <w:t xml:space="preserve">Rapports trimestriels : </w:t>
      </w:r>
      <w:r w:rsidRPr="005756CE">
        <w:rPr>
          <w:rFonts w:ascii="Cambria" w:hAnsi="Cambria"/>
          <w:sz w:val="20"/>
          <w:szCs w:val="20"/>
        </w:rPr>
        <w:t>Les rapports trimestriels reçus des CPC pour 202</w:t>
      </w:r>
      <w:r w:rsidR="00467FCB" w:rsidRPr="005756CE">
        <w:rPr>
          <w:rFonts w:ascii="Cambria" w:hAnsi="Cambria"/>
          <w:sz w:val="20"/>
          <w:szCs w:val="20"/>
        </w:rPr>
        <w:t>4</w:t>
      </w:r>
      <w:r w:rsidRPr="005756CE">
        <w:rPr>
          <w:rFonts w:ascii="Cambria" w:hAnsi="Cambria"/>
          <w:sz w:val="20"/>
          <w:szCs w:val="20"/>
        </w:rPr>
        <w:t xml:space="preserve"> sont présentés ci-dessous, ainsi que les totaux de la tâche 1 et des tableaux d’application. Dans la plupart des cas, les totaux sont identiques ou les différences sont très mineures, sauf dans le cas de l'Union européenne</w:t>
      </w:r>
      <w:r w:rsidR="00E45DEF" w:rsidRPr="005756CE">
        <w:rPr>
          <w:rFonts w:ascii="Cambria" w:hAnsi="Cambria"/>
          <w:sz w:val="20"/>
          <w:szCs w:val="20"/>
        </w:rPr>
        <w:t xml:space="preserve"> qui présente des totaux légèrement plus différents.</w:t>
      </w:r>
    </w:p>
    <w:p w14:paraId="48B813C3" w14:textId="77777777" w:rsidR="00467FCB" w:rsidRPr="005756CE" w:rsidRDefault="00467FCB"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tbl>
      <w:tblPr>
        <w:tblW w:w="8460" w:type="dxa"/>
        <w:tblLook w:val="04A0" w:firstRow="1" w:lastRow="0" w:firstColumn="1" w:lastColumn="0" w:noHBand="0" w:noVBand="1"/>
      </w:tblPr>
      <w:tblGrid>
        <w:gridCol w:w="1422"/>
        <w:gridCol w:w="922"/>
        <w:gridCol w:w="935"/>
        <w:gridCol w:w="935"/>
        <w:gridCol w:w="935"/>
        <w:gridCol w:w="935"/>
        <w:gridCol w:w="974"/>
        <w:gridCol w:w="922"/>
        <w:gridCol w:w="1166"/>
      </w:tblGrid>
      <w:tr w:rsidR="00534598" w:rsidRPr="005756CE" w14:paraId="7403CFEF" w14:textId="77777777" w:rsidTr="001B36C2">
        <w:trPr>
          <w:trHeight w:val="777"/>
        </w:trPr>
        <w:tc>
          <w:tcPr>
            <w:tcW w:w="1422" w:type="dxa"/>
            <w:tcBorders>
              <w:top w:val="single" w:sz="4" w:space="0" w:color="auto"/>
              <w:left w:val="single" w:sz="4" w:space="0" w:color="auto"/>
              <w:bottom w:val="single" w:sz="4" w:space="0" w:color="auto"/>
              <w:right w:val="single" w:sz="4" w:space="0" w:color="auto"/>
            </w:tcBorders>
            <w:noWrap/>
            <w:vAlign w:val="center"/>
            <w:hideMark/>
          </w:tcPr>
          <w:p w14:paraId="43A9BD2D" w14:textId="77777777" w:rsidR="00534598" w:rsidRPr="005756CE" w:rsidRDefault="00534598" w:rsidP="001E71F8">
            <w:pPr>
              <w:spacing w:line="240" w:lineRule="auto"/>
              <w:rPr>
                <w:rFonts w:ascii="Cambria" w:hAnsi="Cambria"/>
                <w:b/>
                <w:i/>
                <w:color w:val="000000"/>
                <w:sz w:val="18"/>
                <w:szCs w:val="18"/>
              </w:rPr>
            </w:pPr>
            <w:r w:rsidRPr="005756CE">
              <w:rPr>
                <w:rFonts w:ascii="Cambria" w:hAnsi="Cambria"/>
                <w:b/>
                <w:i/>
                <w:color w:val="000000"/>
                <w:sz w:val="18"/>
                <w:szCs w:val="18"/>
              </w:rPr>
              <w:t>CPC</w:t>
            </w:r>
          </w:p>
        </w:tc>
        <w:tc>
          <w:tcPr>
            <w:tcW w:w="864" w:type="dxa"/>
            <w:tcBorders>
              <w:top w:val="single" w:sz="4" w:space="0" w:color="auto"/>
              <w:left w:val="nil"/>
              <w:bottom w:val="single" w:sz="4" w:space="0" w:color="auto"/>
              <w:right w:val="single" w:sz="4" w:space="0" w:color="auto"/>
            </w:tcBorders>
            <w:vAlign w:val="center"/>
            <w:hideMark/>
          </w:tcPr>
          <w:p w14:paraId="61CB4275" w14:textId="77777777" w:rsidR="00534598" w:rsidRPr="005756CE" w:rsidRDefault="00534598" w:rsidP="001E71F8">
            <w:pPr>
              <w:spacing w:line="240" w:lineRule="auto"/>
              <w:jc w:val="center"/>
              <w:rPr>
                <w:rFonts w:ascii="Cambria" w:hAnsi="Cambria"/>
                <w:b/>
                <w:i/>
                <w:color w:val="000000"/>
                <w:sz w:val="18"/>
                <w:szCs w:val="18"/>
              </w:rPr>
            </w:pPr>
            <w:r w:rsidRPr="005756CE">
              <w:rPr>
                <w:rFonts w:ascii="Cambria" w:hAnsi="Cambria"/>
                <w:b/>
                <w:i/>
                <w:color w:val="000000"/>
                <w:sz w:val="18"/>
                <w:szCs w:val="18"/>
              </w:rPr>
              <w:t>Quota 2024 (t)</w:t>
            </w:r>
          </w:p>
        </w:tc>
        <w:tc>
          <w:tcPr>
            <w:tcW w:w="851" w:type="dxa"/>
            <w:tcBorders>
              <w:top w:val="single" w:sz="4" w:space="0" w:color="auto"/>
              <w:left w:val="nil"/>
              <w:bottom w:val="single" w:sz="4" w:space="0" w:color="auto"/>
              <w:right w:val="single" w:sz="4" w:space="0" w:color="auto"/>
            </w:tcBorders>
            <w:vAlign w:val="center"/>
            <w:hideMark/>
          </w:tcPr>
          <w:p w14:paraId="4DC17DE9" w14:textId="77777777" w:rsidR="00534598" w:rsidRPr="005756CE" w:rsidRDefault="00534598" w:rsidP="001E71F8">
            <w:pPr>
              <w:spacing w:line="240" w:lineRule="auto"/>
              <w:jc w:val="center"/>
              <w:rPr>
                <w:rFonts w:ascii="Cambria" w:hAnsi="Cambria"/>
                <w:b/>
                <w:i/>
                <w:color w:val="000000"/>
                <w:sz w:val="18"/>
                <w:szCs w:val="18"/>
              </w:rPr>
            </w:pPr>
            <w:r w:rsidRPr="005756CE">
              <w:rPr>
                <w:rFonts w:ascii="Cambria" w:hAnsi="Cambria"/>
                <w:b/>
                <w:i/>
                <w:color w:val="000000"/>
                <w:sz w:val="18"/>
                <w:szCs w:val="18"/>
              </w:rPr>
              <w:t xml:space="preserve">Prises réalisées au cours du 1er </w:t>
            </w:r>
            <w:r w:rsidRPr="005756CE">
              <w:rPr>
                <w:rFonts w:ascii="Cambria" w:hAnsi="Cambria"/>
                <w:b/>
                <w:i/>
                <w:color w:val="000000"/>
                <w:sz w:val="16"/>
                <w:szCs w:val="16"/>
              </w:rPr>
              <w:t>trimestre</w:t>
            </w:r>
          </w:p>
        </w:tc>
        <w:tc>
          <w:tcPr>
            <w:tcW w:w="864" w:type="dxa"/>
            <w:tcBorders>
              <w:top w:val="single" w:sz="4" w:space="0" w:color="auto"/>
              <w:left w:val="nil"/>
              <w:bottom w:val="single" w:sz="4" w:space="0" w:color="auto"/>
              <w:right w:val="single" w:sz="4" w:space="0" w:color="auto"/>
            </w:tcBorders>
            <w:vAlign w:val="center"/>
            <w:hideMark/>
          </w:tcPr>
          <w:p w14:paraId="130833B5" w14:textId="77777777" w:rsidR="00534598" w:rsidRPr="005756CE" w:rsidRDefault="00534598" w:rsidP="001E71F8">
            <w:pPr>
              <w:spacing w:line="240" w:lineRule="auto"/>
              <w:jc w:val="center"/>
              <w:rPr>
                <w:rFonts w:ascii="Cambria" w:hAnsi="Cambria"/>
                <w:b/>
                <w:i/>
                <w:color w:val="000000"/>
                <w:sz w:val="18"/>
                <w:szCs w:val="18"/>
              </w:rPr>
            </w:pPr>
            <w:r w:rsidRPr="005756CE">
              <w:rPr>
                <w:rFonts w:ascii="Cambria" w:hAnsi="Cambria"/>
                <w:b/>
                <w:i/>
                <w:color w:val="000000"/>
                <w:sz w:val="18"/>
                <w:szCs w:val="18"/>
              </w:rPr>
              <w:t xml:space="preserve">Prises réalisées au cours du 2e </w:t>
            </w:r>
            <w:r w:rsidRPr="005756CE">
              <w:rPr>
                <w:rFonts w:ascii="Cambria" w:hAnsi="Cambria"/>
                <w:b/>
                <w:i/>
                <w:color w:val="000000"/>
                <w:sz w:val="16"/>
                <w:szCs w:val="16"/>
              </w:rPr>
              <w:t>trimestre</w:t>
            </w:r>
          </w:p>
        </w:tc>
        <w:tc>
          <w:tcPr>
            <w:tcW w:w="864" w:type="dxa"/>
            <w:tcBorders>
              <w:top w:val="single" w:sz="4" w:space="0" w:color="auto"/>
              <w:left w:val="nil"/>
              <w:bottom w:val="single" w:sz="4" w:space="0" w:color="auto"/>
              <w:right w:val="single" w:sz="4" w:space="0" w:color="auto"/>
            </w:tcBorders>
            <w:vAlign w:val="center"/>
            <w:hideMark/>
          </w:tcPr>
          <w:p w14:paraId="3CB454FC" w14:textId="77777777" w:rsidR="00534598" w:rsidRPr="005756CE" w:rsidRDefault="00534598" w:rsidP="001E71F8">
            <w:pPr>
              <w:spacing w:line="240" w:lineRule="auto"/>
              <w:jc w:val="center"/>
              <w:rPr>
                <w:rFonts w:ascii="Cambria" w:hAnsi="Cambria"/>
                <w:b/>
                <w:i/>
                <w:color w:val="000000"/>
                <w:sz w:val="18"/>
                <w:szCs w:val="18"/>
              </w:rPr>
            </w:pPr>
            <w:r w:rsidRPr="005756CE">
              <w:rPr>
                <w:rFonts w:ascii="Cambria" w:hAnsi="Cambria"/>
                <w:b/>
                <w:i/>
                <w:color w:val="000000"/>
                <w:sz w:val="18"/>
                <w:szCs w:val="18"/>
              </w:rPr>
              <w:t>Prises réalisées au cours du 3e t</w:t>
            </w:r>
            <w:r w:rsidRPr="005756CE">
              <w:rPr>
                <w:rFonts w:ascii="Cambria" w:hAnsi="Cambria"/>
                <w:b/>
                <w:i/>
                <w:color w:val="000000"/>
                <w:sz w:val="16"/>
                <w:szCs w:val="16"/>
              </w:rPr>
              <w:t>rimestre</w:t>
            </w:r>
          </w:p>
        </w:tc>
        <w:tc>
          <w:tcPr>
            <w:tcW w:w="864" w:type="dxa"/>
            <w:tcBorders>
              <w:top w:val="single" w:sz="4" w:space="0" w:color="auto"/>
              <w:left w:val="nil"/>
              <w:bottom w:val="single" w:sz="4" w:space="0" w:color="auto"/>
              <w:right w:val="single" w:sz="4" w:space="0" w:color="auto"/>
            </w:tcBorders>
            <w:vAlign w:val="center"/>
            <w:hideMark/>
          </w:tcPr>
          <w:p w14:paraId="6D2D2428" w14:textId="77777777" w:rsidR="00534598" w:rsidRPr="005756CE" w:rsidRDefault="00534598" w:rsidP="001E71F8">
            <w:pPr>
              <w:spacing w:line="240" w:lineRule="auto"/>
              <w:jc w:val="center"/>
              <w:rPr>
                <w:rFonts w:ascii="Cambria" w:hAnsi="Cambria"/>
                <w:b/>
                <w:i/>
                <w:color w:val="000000"/>
                <w:sz w:val="18"/>
                <w:szCs w:val="18"/>
              </w:rPr>
            </w:pPr>
            <w:r w:rsidRPr="005756CE">
              <w:rPr>
                <w:rFonts w:ascii="Cambria" w:hAnsi="Cambria"/>
                <w:b/>
                <w:i/>
                <w:color w:val="000000"/>
                <w:sz w:val="18"/>
                <w:szCs w:val="18"/>
              </w:rPr>
              <w:t xml:space="preserve">Prises réalisées au cours du 4e </w:t>
            </w:r>
            <w:r w:rsidRPr="005756CE">
              <w:rPr>
                <w:rFonts w:ascii="Cambria" w:hAnsi="Cambria"/>
                <w:b/>
                <w:i/>
                <w:color w:val="000000"/>
                <w:sz w:val="16"/>
                <w:szCs w:val="16"/>
              </w:rPr>
              <w:t>trimestre</w:t>
            </w:r>
          </w:p>
        </w:tc>
        <w:tc>
          <w:tcPr>
            <w:tcW w:w="864" w:type="dxa"/>
            <w:tcBorders>
              <w:top w:val="single" w:sz="4" w:space="0" w:color="auto"/>
              <w:left w:val="nil"/>
              <w:bottom w:val="single" w:sz="4" w:space="0" w:color="auto"/>
              <w:right w:val="single" w:sz="4" w:space="0" w:color="auto"/>
            </w:tcBorders>
            <w:vAlign w:val="center"/>
            <w:hideMark/>
          </w:tcPr>
          <w:p w14:paraId="77D0FFD9" w14:textId="77777777" w:rsidR="00534598" w:rsidRPr="005756CE" w:rsidRDefault="00534598" w:rsidP="001E71F8">
            <w:pPr>
              <w:spacing w:line="240" w:lineRule="auto"/>
              <w:jc w:val="center"/>
              <w:rPr>
                <w:rFonts w:ascii="Cambria" w:hAnsi="Cambria"/>
                <w:b/>
                <w:bCs/>
                <w:i/>
                <w:iCs/>
                <w:color w:val="000000"/>
                <w:sz w:val="18"/>
                <w:szCs w:val="18"/>
              </w:rPr>
            </w:pPr>
            <w:r w:rsidRPr="005756CE">
              <w:rPr>
                <w:rFonts w:ascii="Cambria" w:hAnsi="Cambria"/>
                <w:b/>
                <w:i/>
                <w:color w:val="000000"/>
                <w:sz w:val="18"/>
                <w:szCs w:val="18"/>
              </w:rPr>
              <w:t>Total 2024</w:t>
            </w:r>
          </w:p>
        </w:tc>
        <w:tc>
          <w:tcPr>
            <w:tcW w:w="864" w:type="dxa"/>
            <w:tcBorders>
              <w:top w:val="single" w:sz="4" w:space="0" w:color="auto"/>
              <w:left w:val="nil"/>
              <w:bottom w:val="single" w:sz="4" w:space="0" w:color="auto"/>
              <w:right w:val="single" w:sz="4" w:space="0" w:color="auto"/>
            </w:tcBorders>
            <w:vAlign w:val="center"/>
            <w:hideMark/>
          </w:tcPr>
          <w:p w14:paraId="27F428A3" w14:textId="77777777" w:rsidR="00534598" w:rsidRPr="005756CE" w:rsidRDefault="00534598" w:rsidP="001E71F8">
            <w:pPr>
              <w:spacing w:line="240" w:lineRule="auto"/>
              <w:jc w:val="center"/>
              <w:rPr>
                <w:rFonts w:ascii="Cambria" w:hAnsi="Cambria"/>
                <w:b/>
                <w:i/>
                <w:color w:val="000000"/>
                <w:sz w:val="18"/>
                <w:szCs w:val="18"/>
              </w:rPr>
            </w:pPr>
            <w:r w:rsidRPr="005756CE">
              <w:rPr>
                <w:rFonts w:ascii="Cambria" w:hAnsi="Cambria"/>
                <w:b/>
                <w:i/>
                <w:color w:val="000000"/>
                <w:sz w:val="18"/>
                <w:szCs w:val="18"/>
              </w:rPr>
              <w:t>Tâche 1 2024</w:t>
            </w:r>
          </w:p>
        </w:tc>
        <w:tc>
          <w:tcPr>
            <w:tcW w:w="1003" w:type="dxa"/>
            <w:tcBorders>
              <w:top w:val="single" w:sz="4" w:space="0" w:color="auto"/>
              <w:left w:val="nil"/>
              <w:bottom w:val="single" w:sz="4" w:space="0" w:color="auto"/>
              <w:right w:val="single" w:sz="4" w:space="0" w:color="auto"/>
            </w:tcBorders>
            <w:vAlign w:val="center"/>
            <w:hideMark/>
          </w:tcPr>
          <w:p w14:paraId="5CC7B1FB" w14:textId="77777777" w:rsidR="00534598" w:rsidRPr="005756CE" w:rsidRDefault="00534598" w:rsidP="001E71F8">
            <w:pPr>
              <w:spacing w:line="240" w:lineRule="auto"/>
              <w:jc w:val="center"/>
              <w:rPr>
                <w:rFonts w:ascii="Cambria" w:hAnsi="Cambria"/>
                <w:b/>
                <w:i/>
                <w:color w:val="000000"/>
                <w:sz w:val="18"/>
                <w:szCs w:val="18"/>
              </w:rPr>
            </w:pPr>
            <w:r w:rsidRPr="005756CE">
              <w:rPr>
                <w:rFonts w:ascii="Cambria" w:hAnsi="Cambria"/>
                <w:b/>
                <w:i/>
                <w:color w:val="000000"/>
                <w:sz w:val="18"/>
                <w:szCs w:val="18"/>
              </w:rPr>
              <w:t xml:space="preserve">Tableaux </w:t>
            </w:r>
            <w:r w:rsidRPr="005756CE">
              <w:rPr>
                <w:rFonts w:ascii="Cambria" w:hAnsi="Cambria"/>
                <w:b/>
                <w:i/>
                <w:color w:val="000000"/>
                <w:sz w:val="16"/>
                <w:szCs w:val="16"/>
              </w:rPr>
              <w:t>d'application</w:t>
            </w:r>
          </w:p>
        </w:tc>
      </w:tr>
      <w:tr w:rsidR="00534598" w:rsidRPr="005756CE" w14:paraId="7318AB59" w14:textId="77777777" w:rsidTr="001B36C2">
        <w:trPr>
          <w:trHeight w:val="285"/>
        </w:trPr>
        <w:tc>
          <w:tcPr>
            <w:tcW w:w="1422" w:type="dxa"/>
            <w:tcBorders>
              <w:top w:val="nil"/>
              <w:left w:val="single" w:sz="4" w:space="0" w:color="auto"/>
              <w:bottom w:val="single" w:sz="4" w:space="0" w:color="auto"/>
              <w:right w:val="single" w:sz="4" w:space="0" w:color="auto"/>
            </w:tcBorders>
            <w:noWrap/>
            <w:vAlign w:val="center"/>
            <w:hideMark/>
          </w:tcPr>
          <w:p w14:paraId="514CF74A" w14:textId="77777777" w:rsidR="00534598" w:rsidRPr="005756CE" w:rsidRDefault="00534598" w:rsidP="001E71F8">
            <w:pPr>
              <w:spacing w:line="240" w:lineRule="auto"/>
              <w:rPr>
                <w:rFonts w:ascii="Cambria" w:hAnsi="Cambria"/>
                <w:color w:val="000000"/>
                <w:sz w:val="20"/>
                <w:szCs w:val="20"/>
              </w:rPr>
            </w:pPr>
            <w:r w:rsidRPr="005756CE">
              <w:rPr>
                <w:rFonts w:ascii="Cambria" w:hAnsi="Cambria"/>
                <w:color w:val="000000"/>
                <w:sz w:val="20"/>
                <w:szCs w:val="20"/>
              </w:rPr>
              <w:t>Algérie</w:t>
            </w:r>
          </w:p>
        </w:tc>
        <w:tc>
          <w:tcPr>
            <w:tcW w:w="864" w:type="dxa"/>
            <w:tcBorders>
              <w:top w:val="nil"/>
              <w:left w:val="nil"/>
              <w:bottom w:val="single" w:sz="4" w:space="0" w:color="auto"/>
              <w:right w:val="single" w:sz="4" w:space="0" w:color="auto"/>
            </w:tcBorders>
            <w:vAlign w:val="center"/>
            <w:hideMark/>
          </w:tcPr>
          <w:p w14:paraId="10B7A847"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472,33</w:t>
            </w:r>
          </w:p>
        </w:tc>
        <w:tc>
          <w:tcPr>
            <w:tcW w:w="851" w:type="dxa"/>
            <w:tcBorders>
              <w:top w:val="nil"/>
              <w:left w:val="nil"/>
              <w:bottom w:val="single" w:sz="4" w:space="0" w:color="auto"/>
              <w:right w:val="single" w:sz="4" w:space="0" w:color="auto"/>
            </w:tcBorders>
            <w:vAlign w:val="center"/>
            <w:hideMark/>
          </w:tcPr>
          <w:p w14:paraId="70BF6FD3"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24,25</w:t>
            </w:r>
          </w:p>
        </w:tc>
        <w:tc>
          <w:tcPr>
            <w:tcW w:w="864" w:type="dxa"/>
            <w:tcBorders>
              <w:top w:val="nil"/>
              <w:left w:val="nil"/>
              <w:bottom w:val="single" w:sz="4" w:space="0" w:color="auto"/>
              <w:right w:val="single" w:sz="4" w:space="0" w:color="auto"/>
            </w:tcBorders>
            <w:vAlign w:val="center"/>
            <w:hideMark/>
          </w:tcPr>
          <w:p w14:paraId="7B31EF27"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205,85</w:t>
            </w:r>
          </w:p>
        </w:tc>
        <w:tc>
          <w:tcPr>
            <w:tcW w:w="864" w:type="dxa"/>
            <w:tcBorders>
              <w:top w:val="nil"/>
              <w:left w:val="nil"/>
              <w:bottom w:val="single" w:sz="4" w:space="0" w:color="auto"/>
              <w:right w:val="single" w:sz="4" w:space="0" w:color="auto"/>
            </w:tcBorders>
            <w:vAlign w:val="center"/>
            <w:hideMark/>
          </w:tcPr>
          <w:p w14:paraId="45B0B4F6"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211,90</w:t>
            </w:r>
          </w:p>
        </w:tc>
        <w:tc>
          <w:tcPr>
            <w:tcW w:w="864" w:type="dxa"/>
            <w:tcBorders>
              <w:top w:val="nil"/>
              <w:left w:val="nil"/>
              <w:bottom w:val="single" w:sz="4" w:space="0" w:color="auto"/>
              <w:right w:val="single" w:sz="4" w:space="0" w:color="auto"/>
            </w:tcBorders>
            <w:vAlign w:val="center"/>
            <w:hideMark/>
          </w:tcPr>
          <w:p w14:paraId="271B1CB5"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30,30</w:t>
            </w:r>
          </w:p>
        </w:tc>
        <w:tc>
          <w:tcPr>
            <w:tcW w:w="864" w:type="dxa"/>
            <w:tcBorders>
              <w:top w:val="nil"/>
              <w:left w:val="nil"/>
              <w:bottom w:val="single" w:sz="4" w:space="0" w:color="auto"/>
              <w:right w:val="single" w:sz="4" w:space="0" w:color="auto"/>
            </w:tcBorders>
            <w:vAlign w:val="center"/>
            <w:hideMark/>
          </w:tcPr>
          <w:p w14:paraId="56290F57" w14:textId="77777777" w:rsidR="00534598" w:rsidRPr="005756CE" w:rsidRDefault="00534598" w:rsidP="001E71F8">
            <w:pPr>
              <w:spacing w:line="240" w:lineRule="auto"/>
              <w:jc w:val="center"/>
              <w:rPr>
                <w:rFonts w:ascii="Cambria" w:hAnsi="Cambria"/>
                <w:b/>
                <w:bCs/>
                <w:color w:val="000000"/>
                <w:sz w:val="20"/>
                <w:szCs w:val="20"/>
              </w:rPr>
            </w:pPr>
            <w:r w:rsidRPr="005756CE">
              <w:rPr>
                <w:rFonts w:ascii="Cambria" w:hAnsi="Cambria"/>
                <w:b/>
                <w:color w:val="000000"/>
                <w:sz w:val="20"/>
                <w:szCs w:val="20"/>
              </w:rPr>
              <w:t>472,30</w:t>
            </w:r>
          </w:p>
        </w:tc>
        <w:tc>
          <w:tcPr>
            <w:tcW w:w="864" w:type="dxa"/>
            <w:tcBorders>
              <w:top w:val="nil"/>
              <w:left w:val="nil"/>
              <w:bottom w:val="single" w:sz="4" w:space="0" w:color="auto"/>
              <w:right w:val="single" w:sz="4" w:space="0" w:color="auto"/>
            </w:tcBorders>
            <w:vAlign w:val="center"/>
            <w:hideMark/>
          </w:tcPr>
          <w:p w14:paraId="003E504E"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472,30</w:t>
            </w:r>
          </w:p>
        </w:tc>
        <w:tc>
          <w:tcPr>
            <w:tcW w:w="1003" w:type="dxa"/>
            <w:tcBorders>
              <w:top w:val="nil"/>
              <w:left w:val="nil"/>
              <w:bottom w:val="single" w:sz="4" w:space="0" w:color="auto"/>
              <w:right w:val="single" w:sz="4" w:space="0" w:color="auto"/>
            </w:tcBorders>
            <w:vAlign w:val="center"/>
            <w:hideMark/>
          </w:tcPr>
          <w:p w14:paraId="719B6FB0"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472,27</w:t>
            </w:r>
          </w:p>
        </w:tc>
      </w:tr>
      <w:tr w:rsidR="00534598" w:rsidRPr="005756CE" w14:paraId="24AC2F68" w14:textId="77777777" w:rsidTr="001B36C2">
        <w:trPr>
          <w:trHeight w:val="285"/>
        </w:trPr>
        <w:tc>
          <w:tcPr>
            <w:tcW w:w="1422" w:type="dxa"/>
            <w:tcBorders>
              <w:top w:val="nil"/>
              <w:left w:val="single" w:sz="4" w:space="0" w:color="auto"/>
              <w:bottom w:val="single" w:sz="4" w:space="0" w:color="auto"/>
              <w:right w:val="single" w:sz="4" w:space="0" w:color="auto"/>
            </w:tcBorders>
            <w:noWrap/>
            <w:vAlign w:val="center"/>
            <w:hideMark/>
          </w:tcPr>
          <w:p w14:paraId="147259AA" w14:textId="77777777" w:rsidR="00534598" w:rsidRPr="005756CE" w:rsidRDefault="00534598" w:rsidP="001E71F8">
            <w:pPr>
              <w:spacing w:line="240" w:lineRule="auto"/>
              <w:rPr>
                <w:rFonts w:ascii="Cambria" w:hAnsi="Cambria"/>
                <w:color w:val="000000"/>
                <w:sz w:val="20"/>
                <w:szCs w:val="20"/>
              </w:rPr>
            </w:pPr>
            <w:r w:rsidRPr="005756CE">
              <w:rPr>
                <w:rFonts w:ascii="Cambria" w:hAnsi="Cambria"/>
                <w:color w:val="000000"/>
                <w:sz w:val="20"/>
                <w:szCs w:val="20"/>
              </w:rPr>
              <w:t>UE</w:t>
            </w:r>
          </w:p>
        </w:tc>
        <w:tc>
          <w:tcPr>
            <w:tcW w:w="864" w:type="dxa"/>
            <w:tcBorders>
              <w:top w:val="nil"/>
              <w:left w:val="nil"/>
              <w:bottom w:val="single" w:sz="4" w:space="0" w:color="auto"/>
              <w:right w:val="single" w:sz="4" w:space="0" w:color="auto"/>
            </w:tcBorders>
            <w:vAlign w:val="center"/>
            <w:hideMark/>
          </w:tcPr>
          <w:p w14:paraId="01E68AA1"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6363,63</w:t>
            </w:r>
          </w:p>
        </w:tc>
        <w:tc>
          <w:tcPr>
            <w:tcW w:w="851" w:type="dxa"/>
            <w:tcBorders>
              <w:top w:val="nil"/>
              <w:left w:val="nil"/>
              <w:bottom w:val="single" w:sz="4" w:space="0" w:color="auto"/>
              <w:right w:val="single" w:sz="4" w:space="0" w:color="auto"/>
            </w:tcBorders>
            <w:vAlign w:val="center"/>
            <w:hideMark/>
          </w:tcPr>
          <w:p w14:paraId="0460FAFD"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0,00</w:t>
            </w:r>
          </w:p>
        </w:tc>
        <w:tc>
          <w:tcPr>
            <w:tcW w:w="864" w:type="dxa"/>
            <w:tcBorders>
              <w:top w:val="nil"/>
              <w:left w:val="nil"/>
              <w:bottom w:val="single" w:sz="4" w:space="0" w:color="auto"/>
              <w:right w:val="single" w:sz="4" w:space="0" w:color="auto"/>
            </w:tcBorders>
            <w:vAlign w:val="center"/>
            <w:hideMark/>
          </w:tcPr>
          <w:p w14:paraId="17896DBE"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1489,80</w:t>
            </w:r>
          </w:p>
        </w:tc>
        <w:tc>
          <w:tcPr>
            <w:tcW w:w="864" w:type="dxa"/>
            <w:tcBorders>
              <w:top w:val="nil"/>
              <w:left w:val="nil"/>
              <w:bottom w:val="single" w:sz="4" w:space="0" w:color="auto"/>
              <w:right w:val="single" w:sz="4" w:space="0" w:color="auto"/>
            </w:tcBorders>
            <w:vAlign w:val="center"/>
            <w:hideMark/>
          </w:tcPr>
          <w:p w14:paraId="0E43D47B"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3058,19</w:t>
            </w:r>
          </w:p>
        </w:tc>
        <w:tc>
          <w:tcPr>
            <w:tcW w:w="864" w:type="dxa"/>
            <w:tcBorders>
              <w:top w:val="nil"/>
              <w:left w:val="nil"/>
              <w:bottom w:val="single" w:sz="4" w:space="0" w:color="auto"/>
              <w:right w:val="single" w:sz="4" w:space="0" w:color="auto"/>
            </w:tcBorders>
            <w:vAlign w:val="center"/>
            <w:hideMark/>
          </w:tcPr>
          <w:p w14:paraId="5B3B1B55"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939,45</w:t>
            </w:r>
          </w:p>
        </w:tc>
        <w:tc>
          <w:tcPr>
            <w:tcW w:w="864" w:type="dxa"/>
            <w:tcBorders>
              <w:top w:val="nil"/>
              <w:left w:val="nil"/>
              <w:bottom w:val="single" w:sz="4" w:space="0" w:color="auto"/>
              <w:right w:val="single" w:sz="4" w:space="0" w:color="auto"/>
            </w:tcBorders>
            <w:vAlign w:val="center"/>
            <w:hideMark/>
          </w:tcPr>
          <w:p w14:paraId="05946742" w14:textId="77777777" w:rsidR="00534598" w:rsidRPr="005756CE" w:rsidRDefault="00534598" w:rsidP="001E71F8">
            <w:pPr>
              <w:spacing w:line="240" w:lineRule="auto"/>
              <w:jc w:val="center"/>
              <w:rPr>
                <w:rFonts w:ascii="Cambria" w:hAnsi="Cambria"/>
                <w:b/>
                <w:bCs/>
                <w:color w:val="000000"/>
                <w:sz w:val="20"/>
                <w:szCs w:val="20"/>
              </w:rPr>
            </w:pPr>
            <w:r w:rsidRPr="005756CE">
              <w:rPr>
                <w:rFonts w:ascii="Cambria" w:hAnsi="Cambria"/>
                <w:b/>
                <w:color w:val="000000"/>
                <w:sz w:val="20"/>
                <w:szCs w:val="20"/>
              </w:rPr>
              <w:t>5487,43</w:t>
            </w:r>
          </w:p>
        </w:tc>
        <w:tc>
          <w:tcPr>
            <w:tcW w:w="864" w:type="dxa"/>
            <w:tcBorders>
              <w:top w:val="nil"/>
              <w:left w:val="nil"/>
              <w:bottom w:val="single" w:sz="4" w:space="0" w:color="auto"/>
              <w:right w:val="single" w:sz="4" w:space="0" w:color="auto"/>
            </w:tcBorders>
            <w:vAlign w:val="center"/>
            <w:hideMark/>
          </w:tcPr>
          <w:p w14:paraId="294A02D4"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5308,34</w:t>
            </w:r>
          </w:p>
        </w:tc>
        <w:tc>
          <w:tcPr>
            <w:tcW w:w="1003" w:type="dxa"/>
            <w:tcBorders>
              <w:top w:val="nil"/>
              <w:left w:val="nil"/>
              <w:bottom w:val="single" w:sz="4" w:space="0" w:color="auto"/>
              <w:right w:val="single" w:sz="4" w:space="0" w:color="auto"/>
            </w:tcBorders>
            <w:vAlign w:val="center"/>
            <w:hideMark/>
          </w:tcPr>
          <w:p w14:paraId="175B4D2B"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5609,32</w:t>
            </w:r>
          </w:p>
        </w:tc>
      </w:tr>
      <w:tr w:rsidR="00534598" w:rsidRPr="005756CE" w14:paraId="7C680BB0" w14:textId="77777777" w:rsidTr="001B36C2">
        <w:trPr>
          <w:trHeight w:val="285"/>
        </w:trPr>
        <w:tc>
          <w:tcPr>
            <w:tcW w:w="1422" w:type="dxa"/>
            <w:tcBorders>
              <w:top w:val="nil"/>
              <w:left w:val="single" w:sz="4" w:space="0" w:color="auto"/>
              <w:bottom w:val="single" w:sz="4" w:space="0" w:color="auto"/>
              <w:right w:val="single" w:sz="4" w:space="0" w:color="auto"/>
            </w:tcBorders>
            <w:noWrap/>
            <w:vAlign w:val="center"/>
            <w:hideMark/>
          </w:tcPr>
          <w:p w14:paraId="7CA378E0" w14:textId="77777777" w:rsidR="00534598" w:rsidRPr="005756CE" w:rsidRDefault="00534598" w:rsidP="001E71F8">
            <w:pPr>
              <w:spacing w:line="240" w:lineRule="auto"/>
              <w:rPr>
                <w:rFonts w:ascii="Cambria" w:hAnsi="Cambria"/>
                <w:color w:val="000000"/>
                <w:sz w:val="20"/>
                <w:szCs w:val="20"/>
              </w:rPr>
            </w:pPr>
            <w:r w:rsidRPr="005756CE">
              <w:rPr>
                <w:rFonts w:ascii="Cambria" w:hAnsi="Cambria"/>
                <w:color w:val="000000"/>
                <w:sz w:val="20"/>
                <w:szCs w:val="20"/>
              </w:rPr>
              <w:t>Maroc</w:t>
            </w:r>
          </w:p>
        </w:tc>
        <w:tc>
          <w:tcPr>
            <w:tcW w:w="864" w:type="dxa"/>
            <w:tcBorders>
              <w:top w:val="nil"/>
              <w:left w:val="nil"/>
              <w:bottom w:val="single" w:sz="4" w:space="0" w:color="auto"/>
              <w:right w:val="single" w:sz="4" w:space="0" w:color="auto"/>
            </w:tcBorders>
            <w:vAlign w:val="center"/>
            <w:hideMark/>
          </w:tcPr>
          <w:p w14:paraId="2661303F"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896,47</w:t>
            </w:r>
          </w:p>
        </w:tc>
        <w:tc>
          <w:tcPr>
            <w:tcW w:w="851" w:type="dxa"/>
            <w:tcBorders>
              <w:top w:val="nil"/>
              <w:left w:val="nil"/>
              <w:bottom w:val="single" w:sz="4" w:space="0" w:color="auto"/>
              <w:right w:val="single" w:sz="4" w:space="0" w:color="auto"/>
            </w:tcBorders>
            <w:vAlign w:val="center"/>
            <w:hideMark/>
          </w:tcPr>
          <w:p w14:paraId="7984B8ED"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78,33</w:t>
            </w:r>
          </w:p>
        </w:tc>
        <w:tc>
          <w:tcPr>
            <w:tcW w:w="864" w:type="dxa"/>
            <w:tcBorders>
              <w:top w:val="nil"/>
              <w:left w:val="nil"/>
              <w:bottom w:val="single" w:sz="4" w:space="0" w:color="auto"/>
              <w:right w:val="single" w:sz="4" w:space="0" w:color="auto"/>
            </w:tcBorders>
            <w:vAlign w:val="center"/>
            <w:hideMark/>
          </w:tcPr>
          <w:p w14:paraId="73B74658"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155,78</w:t>
            </w:r>
          </w:p>
        </w:tc>
        <w:tc>
          <w:tcPr>
            <w:tcW w:w="864" w:type="dxa"/>
            <w:tcBorders>
              <w:top w:val="nil"/>
              <w:left w:val="nil"/>
              <w:bottom w:val="single" w:sz="4" w:space="0" w:color="auto"/>
              <w:right w:val="single" w:sz="4" w:space="0" w:color="auto"/>
            </w:tcBorders>
            <w:vAlign w:val="center"/>
            <w:hideMark/>
          </w:tcPr>
          <w:p w14:paraId="59128DB0"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45,78</w:t>
            </w:r>
          </w:p>
        </w:tc>
        <w:tc>
          <w:tcPr>
            <w:tcW w:w="864" w:type="dxa"/>
            <w:tcBorders>
              <w:top w:val="nil"/>
              <w:left w:val="nil"/>
              <w:bottom w:val="single" w:sz="4" w:space="0" w:color="auto"/>
              <w:right w:val="single" w:sz="4" w:space="0" w:color="auto"/>
            </w:tcBorders>
            <w:vAlign w:val="center"/>
            <w:hideMark/>
          </w:tcPr>
          <w:p w14:paraId="37D26C2F"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606,46</w:t>
            </w:r>
          </w:p>
        </w:tc>
        <w:tc>
          <w:tcPr>
            <w:tcW w:w="864" w:type="dxa"/>
            <w:tcBorders>
              <w:top w:val="nil"/>
              <w:left w:val="nil"/>
              <w:bottom w:val="single" w:sz="4" w:space="0" w:color="auto"/>
              <w:right w:val="single" w:sz="4" w:space="0" w:color="auto"/>
            </w:tcBorders>
            <w:vAlign w:val="center"/>
            <w:hideMark/>
          </w:tcPr>
          <w:p w14:paraId="1E8D1959" w14:textId="77777777" w:rsidR="00534598" w:rsidRPr="005756CE" w:rsidRDefault="00534598" w:rsidP="001E71F8">
            <w:pPr>
              <w:spacing w:line="240" w:lineRule="auto"/>
              <w:jc w:val="center"/>
              <w:rPr>
                <w:rFonts w:ascii="Cambria" w:hAnsi="Cambria"/>
                <w:b/>
                <w:bCs/>
                <w:color w:val="000000"/>
                <w:sz w:val="20"/>
                <w:szCs w:val="20"/>
              </w:rPr>
            </w:pPr>
            <w:r w:rsidRPr="005756CE">
              <w:rPr>
                <w:rFonts w:ascii="Cambria" w:hAnsi="Cambria"/>
                <w:b/>
                <w:color w:val="000000"/>
                <w:sz w:val="20"/>
                <w:szCs w:val="20"/>
              </w:rPr>
              <w:t>886,35</w:t>
            </w:r>
          </w:p>
        </w:tc>
        <w:tc>
          <w:tcPr>
            <w:tcW w:w="864" w:type="dxa"/>
            <w:tcBorders>
              <w:top w:val="nil"/>
              <w:left w:val="nil"/>
              <w:bottom w:val="single" w:sz="4" w:space="0" w:color="auto"/>
              <w:right w:val="single" w:sz="4" w:space="0" w:color="auto"/>
            </w:tcBorders>
            <w:vAlign w:val="center"/>
            <w:hideMark/>
          </w:tcPr>
          <w:p w14:paraId="26122FBE"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896,47</w:t>
            </w:r>
          </w:p>
        </w:tc>
        <w:tc>
          <w:tcPr>
            <w:tcW w:w="1003" w:type="dxa"/>
            <w:tcBorders>
              <w:top w:val="nil"/>
              <w:left w:val="nil"/>
              <w:bottom w:val="single" w:sz="4" w:space="0" w:color="auto"/>
              <w:right w:val="single" w:sz="4" w:space="0" w:color="auto"/>
            </w:tcBorders>
            <w:vAlign w:val="center"/>
            <w:hideMark/>
          </w:tcPr>
          <w:p w14:paraId="22BE5FA5"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896,47</w:t>
            </w:r>
          </w:p>
        </w:tc>
      </w:tr>
      <w:tr w:rsidR="00534598" w:rsidRPr="005756CE" w14:paraId="0CD32A45" w14:textId="77777777" w:rsidTr="001B36C2">
        <w:trPr>
          <w:trHeight w:val="285"/>
        </w:trPr>
        <w:tc>
          <w:tcPr>
            <w:tcW w:w="1422" w:type="dxa"/>
            <w:tcBorders>
              <w:top w:val="nil"/>
              <w:left w:val="single" w:sz="4" w:space="0" w:color="auto"/>
              <w:bottom w:val="single" w:sz="4" w:space="0" w:color="auto"/>
              <w:right w:val="single" w:sz="4" w:space="0" w:color="auto"/>
            </w:tcBorders>
            <w:noWrap/>
            <w:vAlign w:val="center"/>
            <w:hideMark/>
          </w:tcPr>
          <w:p w14:paraId="3E955B78" w14:textId="77777777" w:rsidR="00534598" w:rsidRPr="005756CE" w:rsidRDefault="00534598" w:rsidP="001E71F8">
            <w:pPr>
              <w:spacing w:line="240" w:lineRule="auto"/>
              <w:rPr>
                <w:rFonts w:ascii="Cambria" w:hAnsi="Cambria"/>
                <w:color w:val="000000"/>
                <w:sz w:val="20"/>
                <w:szCs w:val="20"/>
              </w:rPr>
            </w:pPr>
            <w:r w:rsidRPr="005756CE">
              <w:rPr>
                <w:rFonts w:ascii="Cambria" w:hAnsi="Cambria"/>
                <w:color w:val="000000"/>
                <w:sz w:val="20"/>
                <w:szCs w:val="20"/>
              </w:rPr>
              <w:t>Tunisie</w:t>
            </w:r>
          </w:p>
        </w:tc>
        <w:tc>
          <w:tcPr>
            <w:tcW w:w="864" w:type="dxa"/>
            <w:tcBorders>
              <w:top w:val="nil"/>
              <w:left w:val="nil"/>
              <w:bottom w:val="single" w:sz="4" w:space="0" w:color="auto"/>
              <w:right w:val="single" w:sz="4" w:space="0" w:color="auto"/>
            </w:tcBorders>
            <w:vAlign w:val="center"/>
            <w:hideMark/>
          </w:tcPr>
          <w:p w14:paraId="02E2E03E"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865,33</w:t>
            </w:r>
          </w:p>
        </w:tc>
        <w:tc>
          <w:tcPr>
            <w:tcW w:w="851" w:type="dxa"/>
            <w:tcBorders>
              <w:top w:val="nil"/>
              <w:left w:val="nil"/>
              <w:bottom w:val="single" w:sz="4" w:space="0" w:color="auto"/>
              <w:right w:val="single" w:sz="4" w:space="0" w:color="auto"/>
            </w:tcBorders>
            <w:vAlign w:val="center"/>
            <w:hideMark/>
          </w:tcPr>
          <w:p w14:paraId="54C14F3D"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0,00</w:t>
            </w:r>
          </w:p>
        </w:tc>
        <w:tc>
          <w:tcPr>
            <w:tcW w:w="864" w:type="dxa"/>
            <w:tcBorders>
              <w:top w:val="nil"/>
              <w:left w:val="nil"/>
              <w:bottom w:val="single" w:sz="4" w:space="0" w:color="auto"/>
              <w:right w:val="single" w:sz="4" w:space="0" w:color="auto"/>
            </w:tcBorders>
            <w:vAlign w:val="center"/>
            <w:hideMark/>
          </w:tcPr>
          <w:p w14:paraId="1709B127"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189,97</w:t>
            </w:r>
          </w:p>
        </w:tc>
        <w:tc>
          <w:tcPr>
            <w:tcW w:w="864" w:type="dxa"/>
            <w:tcBorders>
              <w:top w:val="nil"/>
              <w:left w:val="nil"/>
              <w:bottom w:val="single" w:sz="4" w:space="0" w:color="auto"/>
              <w:right w:val="single" w:sz="4" w:space="0" w:color="auto"/>
            </w:tcBorders>
            <w:vAlign w:val="center"/>
            <w:hideMark/>
          </w:tcPr>
          <w:p w14:paraId="69DDF56A"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501,67</w:t>
            </w:r>
          </w:p>
        </w:tc>
        <w:tc>
          <w:tcPr>
            <w:tcW w:w="864" w:type="dxa"/>
            <w:tcBorders>
              <w:top w:val="nil"/>
              <w:left w:val="nil"/>
              <w:bottom w:val="single" w:sz="4" w:space="0" w:color="auto"/>
              <w:right w:val="single" w:sz="4" w:space="0" w:color="auto"/>
            </w:tcBorders>
            <w:vAlign w:val="center"/>
            <w:hideMark/>
          </w:tcPr>
          <w:p w14:paraId="031CD1F5"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106,88</w:t>
            </w:r>
          </w:p>
        </w:tc>
        <w:tc>
          <w:tcPr>
            <w:tcW w:w="864" w:type="dxa"/>
            <w:tcBorders>
              <w:top w:val="nil"/>
              <w:left w:val="nil"/>
              <w:bottom w:val="single" w:sz="4" w:space="0" w:color="auto"/>
              <w:right w:val="single" w:sz="4" w:space="0" w:color="auto"/>
            </w:tcBorders>
            <w:vAlign w:val="center"/>
            <w:hideMark/>
          </w:tcPr>
          <w:p w14:paraId="03AF4D71" w14:textId="77777777" w:rsidR="00534598" w:rsidRPr="005756CE" w:rsidRDefault="00534598" w:rsidP="001E71F8">
            <w:pPr>
              <w:spacing w:line="240" w:lineRule="auto"/>
              <w:jc w:val="center"/>
              <w:rPr>
                <w:rFonts w:ascii="Cambria" w:hAnsi="Cambria"/>
                <w:b/>
                <w:bCs/>
                <w:color w:val="000000"/>
                <w:sz w:val="20"/>
                <w:szCs w:val="20"/>
              </w:rPr>
            </w:pPr>
            <w:r w:rsidRPr="005756CE">
              <w:rPr>
                <w:rFonts w:ascii="Cambria" w:hAnsi="Cambria"/>
                <w:b/>
                <w:color w:val="000000"/>
                <w:sz w:val="20"/>
                <w:szCs w:val="20"/>
              </w:rPr>
              <w:t>798,52</w:t>
            </w:r>
          </w:p>
        </w:tc>
        <w:tc>
          <w:tcPr>
            <w:tcW w:w="864" w:type="dxa"/>
            <w:tcBorders>
              <w:top w:val="nil"/>
              <w:left w:val="nil"/>
              <w:bottom w:val="single" w:sz="4" w:space="0" w:color="auto"/>
              <w:right w:val="single" w:sz="4" w:space="0" w:color="auto"/>
            </w:tcBorders>
            <w:vAlign w:val="center"/>
            <w:hideMark/>
          </w:tcPr>
          <w:p w14:paraId="773AACAF"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798,52</w:t>
            </w:r>
          </w:p>
        </w:tc>
        <w:tc>
          <w:tcPr>
            <w:tcW w:w="1003" w:type="dxa"/>
            <w:tcBorders>
              <w:top w:val="nil"/>
              <w:left w:val="nil"/>
              <w:bottom w:val="single" w:sz="4" w:space="0" w:color="auto"/>
              <w:right w:val="single" w:sz="4" w:space="0" w:color="auto"/>
            </w:tcBorders>
            <w:vAlign w:val="center"/>
            <w:hideMark/>
          </w:tcPr>
          <w:p w14:paraId="20FFB518"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798,52</w:t>
            </w:r>
          </w:p>
        </w:tc>
      </w:tr>
      <w:tr w:rsidR="00534598" w:rsidRPr="005756CE" w14:paraId="7F7EBF76" w14:textId="77777777" w:rsidTr="001B36C2">
        <w:trPr>
          <w:trHeight w:val="285"/>
        </w:trPr>
        <w:tc>
          <w:tcPr>
            <w:tcW w:w="1422" w:type="dxa"/>
            <w:tcBorders>
              <w:top w:val="nil"/>
              <w:left w:val="single" w:sz="4" w:space="0" w:color="auto"/>
              <w:bottom w:val="single" w:sz="4" w:space="0" w:color="auto"/>
              <w:right w:val="single" w:sz="4" w:space="0" w:color="auto"/>
            </w:tcBorders>
            <w:noWrap/>
            <w:vAlign w:val="center"/>
            <w:hideMark/>
          </w:tcPr>
          <w:p w14:paraId="1C0956A9" w14:textId="77777777" w:rsidR="00534598" w:rsidRPr="005756CE" w:rsidRDefault="00534598" w:rsidP="001E71F8">
            <w:pPr>
              <w:spacing w:line="240" w:lineRule="auto"/>
              <w:rPr>
                <w:rFonts w:ascii="Cambria" w:hAnsi="Cambria"/>
                <w:color w:val="000000"/>
                <w:sz w:val="20"/>
                <w:szCs w:val="20"/>
              </w:rPr>
            </w:pPr>
            <w:r w:rsidRPr="005756CE">
              <w:rPr>
                <w:rFonts w:ascii="Cambria" w:hAnsi="Cambria"/>
                <w:color w:val="000000"/>
                <w:sz w:val="20"/>
                <w:szCs w:val="20"/>
              </w:rPr>
              <w:t>Türkiye</w:t>
            </w:r>
          </w:p>
        </w:tc>
        <w:tc>
          <w:tcPr>
            <w:tcW w:w="864" w:type="dxa"/>
            <w:tcBorders>
              <w:top w:val="nil"/>
              <w:left w:val="nil"/>
              <w:bottom w:val="single" w:sz="4" w:space="0" w:color="auto"/>
              <w:right w:val="single" w:sz="4" w:space="0" w:color="auto"/>
            </w:tcBorders>
            <w:vAlign w:val="center"/>
            <w:hideMark/>
          </w:tcPr>
          <w:p w14:paraId="2D4E50B6"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378,70</w:t>
            </w:r>
          </w:p>
        </w:tc>
        <w:tc>
          <w:tcPr>
            <w:tcW w:w="851" w:type="dxa"/>
            <w:tcBorders>
              <w:top w:val="nil"/>
              <w:left w:val="nil"/>
              <w:bottom w:val="single" w:sz="4" w:space="0" w:color="auto"/>
              <w:right w:val="single" w:sz="4" w:space="0" w:color="auto"/>
            </w:tcBorders>
            <w:vAlign w:val="center"/>
            <w:hideMark/>
          </w:tcPr>
          <w:p w14:paraId="307B1C40"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32,85</w:t>
            </w:r>
          </w:p>
        </w:tc>
        <w:tc>
          <w:tcPr>
            <w:tcW w:w="864" w:type="dxa"/>
            <w:tcBorders>
              <w:top w:val="nil"/>
              <w:left w:val="nil"/>
              <w:bottom w:val="single" w:sz="4" w:space="0" w:color="auto"/>
              <w:right w:val="single" w:sz="4" w:space="0" w:color="auto"/>
            </w:tcBorders>
            <w:vAlign w:val="center"/>
            <w:hideMark/>
          </w:tcPr>
          <w:p w14:paraId="7DF79DAF"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161,40</w:t>
            </w:r>
          </w:p>
        </w:tc>
        <w:tc>
          <w:tcPr>
            <w:tcW w:w="864" w:type="dxa"/>
            <w:tcBorders>
              <w:top w:val="nil"/>
              <w:left w:val="nil"/>
              <w:bottom w:val="single" w:sz="4" w:space="0" w:color="auto"/>
              <w:right w:val="single" w:sz="4" w:space="0" w:color="auto"/>
            </w:tcBorders>
            <w:vAlign w:val="center"/>
            <w:hideMark/>
          </w:tcPr>
          <w:p w14:paraId="1F694BFF"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141,35</w:t>
            </w:r>
          </w:p>
        </w:tc>
        <w:tc>
          <w:tcPr>
            <w:tcW w:w="864" w:type="dxa"/>
            <w:tcBorders>
              <w:top w:val="nil"/>
              <w:left w:val="nil"/>
              <w:bottom w:val="single" w:sz="4" w:space="0" w:color="auto"/>
              <w:right w:val="single" w:sz="4" w:space="0" w:color="auto"/>
            </w:tcBorders>
            <w:vAlign w:val="center"/>
            <w:hideMark/>
          </w:tcPr>
          <w:p w14:paraId="25952E36"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46,89</w:t>
            </w:r>
          </w:p>
        </w:tc>
        <w:tc>
          <w:tcPr>
            <w:tcW w:w="864" w:type="dxa"/>
            <w:tcBorders>
              <w:top w:val="nil"/>
              <w:left w:val="nil"/>
              <w:bottom w:val="single" w:sz="4" w:space="0" w:color="auto"/>
              <w:right w:val="single" w:sz="4" w:space="0" w:color="auto"/>
            </w:tcBorders>
            <w:vAlign w:val="center"/>
            <w:hideMark/>
          </w:tcPr>
          <w:p w14:paraId="671A8669" w14:textId="77777777" w:rsidR="00534598" w:rsidRPr="005756CE" w:rsidRDefault="00534598" w:rsidP="001E71F8">
            <w:pPr>
              <w:spacing w:line="240" w:lineRule="auto"/>
              <w:jc w:val="center"/>
              <w:rPr>
                <w:rFonts w:ascii="Cambria" w:hAnsi="Cambria"/>
                <w:b/>
                <w:bCs/>
                <w:color w:val="000000"/>
                <w:sz w:val="20"/>
                <w:szCs w:val="20"/>
              </w:rPr>
            </w:pPr>
            <w:r w:rsidRPr="005756CE">
              <w:rPr>
                <w:rFonts w:ascii="Cambria" w:hAnsi="Cambria"/>
                <w:b/>
                <w:color w:val="000000"/>
                <w:sz w:val="20"/>
                <w:szCs w:val="20"/>
              </w:rPr>
              <w:t>382,49</w:t>
            </w:r>
          </w:p>
        </w:tc>
        <w:tc>
          <w:tcPr>
            <w:tcW w:w="864" w:type="dxa"/>
            <w:tcBorders>
              <w:top w:val="nil"/>
              <w:left w:val="nil"/>
              <w:bottom w:val="single" w:sz="4" w:space="0" w:color="auto"/>
              <w:right w:val="single" w:sz="4" w:space="0" w:color="auto"/>
            </w:tcBorders>
            <w:vAlign w:val="center"/>
            <w:hideMark/>
          </w:tcPr>
          <w:p w14:paraId="7FA35E34"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378,70</w:t>
            </w:r>
          </w:p>
        </w:tc>
        <w:tc>
          <w:tcPr>
            <w:tcW w:w="1003" w:type="dxa"/>
            <w:tcBorders>
              <w:top w:val="nil"/>
              <w:left w:val="nil"/>
              <w:bottom w:val="single" w:sz="4" w:space="0" w:color="auto"/>
              <w:right w:val="single" w:sz="4" w:space="0" w:color="auto"/>
            </w:tcBorders>
            <w:vAlign w:val="center"/>
            <w:hideMark/>
          </w:tcPr>
          <w:p w14:paraId="3961FEF5"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378,04</w:t>
            </w:r>
          </w:p>
        </w:tc>
      </w:tr>
      <w:tr w:rsidR="00534598" w:rsidRPr="005756CE" w14:paraId="4C8A96E4" w14:textId="77777777" w:rsidTr="001B36C2">
        <w:trPr>
          <w:trHeight w:val="285"/>
        </w:trPr>
        <w:tc>
          <w:tcPr>
            <w:tcW w:w="1422" w:type="dxa"/>
            <w:tcBorders>
              <w:top w:val="nil"/>
              <w:left w:val="single" w:sz="4" w:space="0" w:color="auto"/>
              <w:bottom w:val="single" w:sz="4" w:space="0" w:color="auto"/>
              <w:right w:val="single" w:sz="4" w:space="0" w:color="auto"/>
            </w:tcBorders>
            <w:noWrap/>
            <w:vAlign w:val="center"/>
            <w:hideMark/>
          </w:tcPr>
          <w:p w14:paraId="3C84167E" w14:textId="77777777" w:rsidR="00534598" w:rsidRPr="005756CE" w:rsidRDefault="00534598" w:rsidP="001E71F8">
            <w:pPr>
              <w:spacing w:line="240" w:lineRule="auto"/>
              <w:rPr>
                <w:rFonts w:ascii="Cambria" w:hAnsi="Cambria"/>
                <w:color w:val="000000"/>
                <w:sz w:val="20"/>
                <w:szCs w:val="20"/>
              </w:rPr>
            </w:pPr>
            <w:r w:rsidRPr="005756CE">
              <w:rPr>
                <w:rFonts w:ascii="Cambria" w:hAnsi="Cambria"/>
                <w:color w:val="000000"/>
                <w:sz w:val="20"/>
                <w:szCs w:val="20"/>
              </w:rPr>
              <w:t>Autres CPC</w:t>
            </w:r>
          </w:p>
        </w:tc>
        <w:tc>
          <w:tcPr>
            <w:tcW w:w="864" w:type="dxa"/>
            <w:tcBorders>
              <w:top w:val="nil"/>
              <w:left w:val="nil"/>
              <w:bottom w:val="single" w:sz="4" w:space="0" w:color="auto"/>
              <w:right w:val="single" w:sz="4" w:space="0" w:color="auto"/>
            </w:tcBorders>
            <w:vAlign w:val="center"/>
            <w:hideMark/>
          </w:tcPr>
          <w:p w14:paraId="325FA6BB"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51" w:type="dxa"/>
            <w:tcBorders>
              <w:top w:val="nil"/>
              <w:left w:val="nil"/>
              <w:bottom w:val="single" w:sz="4" w:space="0" w:color="auto"/>
              <w:right w:val="single" w:sz="4" w:space="0" w:color="auto"/>
            </w:tcBorders>
            <w:vAlign w:val="center"/>
            <w:hideMark/>
          </w:tcPr>
          <w:p w14:paraId="1A8C2E4D"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64" w:type="dxa"/>
            <w:tcBorders>
              <w:top w:val="nil"/>
              <w:left w:val="nil"/>
              <w:bottom w:val="single" w:sz="4" w:space="0" w:color="auto"/>
              <w:right w:val="single" w:sz="4" w:space="0" w:color="auto"/>
            </w:tcBorders>
            <w:vAlign w:val="center"/>
            <w:hideMark/>
          </w:tcPr>
          <w:p w14:paraId="0ED8F5B3"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64" w:type="dxa"/>
            <w:tcBorders>
              <w:top w:val="nil"/>
              <w:left w:val="nil"/>
              <w:bottom w:val="single" w:sz="4" w:space="0" w:color="auto"/>
              <w:right w:val="single" w:sz="4" w:space="0" w:color="auto"/>
            </w:tcBorders>
            <w:vAlign w:val="center"/>
            <w:hideMark/>
          </w:tcPr>
          <w:p w14:paraId="34569092"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64" w:type="dxa"/>
            <w:tcBorders>
              <w:top w:val="nil"/>
              <w:left w:val="nil"/>
              <w:bottom w:val="single" w:sz="4" w:space="0" w:color="auto"/>
              <w:right w:val="single" w:sz="4" w:space="0" w:color="auto"/>
            </w:tcBorders>
            <w:vAlign w:val="center"/>
            <w:hideMark/>
          </w:tcPr>
          <w:p w14:paraId="77F501E2"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64" w:type="dxa"/>
            <w:tcBorders>
              <w:top w:val="nil"/>
              <w:left w:val="nil"/>
              <w:bottom w:val="single" w:sz="4" w:space="0" w:color="auto"/>
              <w:right w:val="single" w:sz="4" w:space="0" w:color="auto"/>
            </w:tcBorders>
            <w:vAlign w:val="center"/>
            <w:hideMark/>
          </w:tcPr>
          <w:p w14:paraId="0D563AEF"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64" w:type="dxa"/>
            <w:tcBorders>
              <w:top w:val="nil"/>
              <w:left w:val="nil"/>
              <w:bottom w:val="single" w:sz="4" w:space="0" w:color="auto"/>
              <w:right w:val="single" w:sz="4" w:space="0" w:color="auto"/>
            </w:tcBorders>
            <w:vAlign w:val="center"/>
            <w:hideMark/>
          </w:tcPr>
          <w:p w14:paraId="401F91CE"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1003" w:type="dxa"/>
            <w:tcBorders>
              <w:top w:val="nil"/>
              <w:left w:val="nil"/>
              <w:bottom w:val="single" w:sz="4" w:space="0" w:color="auto"/>
              <w:right w:val="single" w:sz="4" w:space="0" w:color="auto"/>
            </w:tcBorders>
            <w:vAlign w:val="center"/>
            <w:hideMark/>
          </w:tcPr>
          <w:p w14:paraId="16296168" w14:textId="77777777" w:rsidR="00534598" w:rsidRPr="005756CE" w:rsidRDefault="00534598" w:rsidP="001E71F8">
            <w:pPr>
              <w:spacing w:line="240" w:lineRule="auto"/>
              <w:jc w:val="center"/>
              <w:rPr>
                <w:rFonts w:ascii="Cambria" w:hAnsi="Cambria"/>
                <w:color w:val="000000"/>
                <w:sz w:val="20"/>
                <w:szCs w:val="20"/>
                <w:lang w:val="en-GB" w:eastAsia="en-GB"/>
              </w:rPr>
            </w:pPr>
          </w:p>
        </w:tc>
      </w:tr>
      <w:tr w:rsidR="00534598" w:rsidRPr="005756CE" w14:paraId="6DABDE31" w14:textId="77777777" w:rsidTr="001B36C2">
        <w:trPr>
          <w:trHeight w:val="285"/>
        </w:trPr>
        <w:tc>
          <w:tcPr>
            <w:tcW w:w="1422" w:type="dxa"/>
            <w:tcBorders>
              <w:top w:val="nil"/>
              <w:left w:val="single" w:sz="4" w:space="0" w:color="auto"/>
              <w:bottom w:val="single" w:sz="4" w:space="0" w:color="auto"/>
              <w:right w:val="single" w:sz="4" w:space="0" w:color="auto"/>
            </w:tcBorders>
            <w:noWrap/>
            <w:vAlign w:val="center"/>
            <w:hideMark/>
          </w:tcPr>
          <w:p w14:paraId="7BCB86EF" w14:textId="77777777" w:rsidR="00534598" w:rsidRPr="005756CE" w:rsidRDefault="00534598" w:rsidP="001E71F8">
            <w:pPr>
              <w:spacing w:line="240" w:lineRule="auto"/>
              <w:rPr>
                <w:rFonts w:ascii="Cambria" w:hAnsi="Cambria"/>
                <w:color w:val="000000"/>
                <w:sz w:val="20"/>
                <w:szCs w:val="20"/>
              </w:rPr>
            </w:pPr>
            <w:r w:rsidRPr="005756CE">
              <w:rPr>
                <w:rFonts w:ascii="Cambria" w:hAnsi="Cambria"/>
                <w:color w:val="000000"/>
                <w:sz w:val="20"/>
                <w:szCs w:val="20"/>
              </w:rPr>
              <w:t>Égypte</w:t>
            </w:r>
          </w:p>
        </w:tc>
        <w:tc>
          <w:tcPr>
            <w:tcW w:w="864" w:type="dxa"/>
            <w:tcBorders>
              <w:top w:val="nil"/>
              <w:left w:val="nil"/>
              <w:bottom w:val="single" w:sz="4" w:space="0" w:color="auto"/>
              <w:right w:val="single" w:sz="4" w:space="0" w:color="auto"/>
            </w:tcBorders>
            <w:vAlign w:val="center"/>
            <w:hideMark/>
          </w:tcPr>
          <w:p w14:paraId="4A04846C"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51" w:type="dxa"/>
            <w:tcBorders>
              <w:top w:val="nil"/>
              <w:left w:val="nil"/>
              <w:bottom w:val="single" w:sz="4" w:space="0" w:color="auto"/>
              <w:right w:val="single" w:sz="4" w:space="0" w:color="auto"/>
            </w:tcBorders>
            <w:vAlign w:val="center"/>
            <w:hideMark/>
          </w:tcPr>
          <w:p w14:paraId="2A58F7FB"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64" w:type="dxa"/>
            <w:tcBorders>
              <w:top w:val="nil"/>
              <w:left w:val="nil"/>
              <w:bottom w:val="single" w:sz="4" w:space="0" w:color="auto"/>
              <w:right w:val="single" w:sz="4" w:space="0" w:color="auto"/>
            </w:tcBorders>
            <w:vAlign w:val="center"/>
            <w:hideMark/>
          </w:tcPr>
          <w:p w14:paraId="322E1C5F"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64" w:type="dxa"/>
            <w:tcBorders>
              <w:top w:val="nil"/>
              <w:left w:val="nil"/>
              <w:bottom w:val="single" w:sz="4" w:space="0" w:color="auto"/>
              <w:right w:val="single" w:sz="4" w:space="0" w:color="auto"/>
            </w:tcBorders>
            <w:vAlign w:val="center"/>
            <w:hideMark/>
          </w:tcPr>
          <w:p w14:paraId="2E03273A"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64" w:type="dxa"/>
            <w:tcBorders>
              <w:top w:val="nil"/>
              <w:left w:val="nil"/>
              <w:bottom w:val="single" w:sz="4" w:space="0" w:color="auto"/>
              <w:right w:val="single" w:sz="4" w:space="0" w:color="auto"/>
            </w:tcBorders>
            <w:vAlign w:val="center"/>
            <w:hideMark/>
          </w:tcPr>
          <w:p w14:paraId="4A04B72F"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64" w:type="dxa"/>
            <w:tcBorders>
              <w:top w:val="nil"/>
              <w:left w:val="nil"/>
              <w:bottom w:val="single" w:sz="4" w:space="0" w:color="auto"/>
              <w:right w:val="single" w:sz="4" w:space="0" w:color="auto"/>
            </w:tcBorders>
            <w:vAlign w:val="center"/>
            <w:hideMark/>
          </w:tcPr>
          <w:p w14:paraId="31F45B1E"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64" w:type="dxa"/>
            <w:tcBorders>
              <w:top w:val="nil"/>
              <w:left w:val="nil"/>
              <w:bottom w:val="single" w:sz="4" w:space="0" w:color="auto"/>
              <w:right w:val="single" w:sz="4" w:space="0" w:color="auto"/>
            </w:tcBorders>
            <w:vAlign w:val="center"/>
            <w:hideMark/>
          </w:tcPr>
          <w:p w14:paraId="06586DF6"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100,00</w:t>
            </w:r>
          </w:p>
        </w:tc>
        <w:tc>
          <w:tcPr>
            <w:tcW w:w="1003" w:type="dxa"/>
            <w:tcBorders>
              <w:top w:val="nil"/>
              <w:left w:val="nil"/>
              <w:bottom w:val="single" w:sz="4" w:space="0" w:color="auto"/>
              <w:right w:val="single" w:sz="4" w:space="0" w:color="auto"/>
            </w:tcBorders>
            <w:vAlign w:val="center"/>
            <w:hideMark/>
          </w:tcPr>
          <w:p w14:paraId="097F249A"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100,00</w:t>
            </w:r>
          </w:p>
        </w:tc>
      </w:tr>
      <w:tr w:rsidR="00534598" w:rsidRPr="005756CE" w14:paraId="0A01159B" w14:textId="77777777" w:rsidTr="001B36C2">
        <w:trPr>
          <w:trHeight w:val="315"/>
        </w:trPr>
        <w:tc>
          <w:tcPr>
            <w:tcW w:w="1422" w:type="dxa"/>
            <w:tcBorders>
              <w:top w:val="nil"/>
              <w:left w:val="single" w:sz="4" w:space="0" w:color="auto"/>
              <w:bottom w:val="single" w:sz="4" w:space="0" w:color="auto"/>
              <w:right w:val="single" w:sz="4" w:space="0" w:color="auto"/>
            </w:tcBorders>
            <w:noWrap/>
            <w:vAlign w:val="center"/>
            <w:hideMark/>
          </w:tcPr>
          <w:p w14:paraId="7577EB1E" w14:textId="77777777" w:rsidR="00534598" w:rsidRPr="005756CE" w:rsidRDefault="00534598" w:rsidP="001E71F8">
            <w:pPr>
              <w:spacing w:line="240" w:lineRule="auto"/>
              <w:rPr>
                <w:rFonts w:ascii="Cambria" w:hAnsi="Cambria"/>
                <w:color w:val="000000"/>
                <w:sz w:val="20"/>
                <w:szCs w:val="20"/>
              </w:rPr>
            </w:pPr>
            <w:r w:rsidRPr="005756CE">
              <w:rPr>
                <w:rFonts w:ascii="Cambria" w:hAnsi="Cambria"/>
                <w:color w:val="000000"/>
                <w:sz w:val="20"/>
                <w:szCs w:val="20"/>
              </w:rPr>
              <w:t>Libye</w:t>
            </w:r>
          </w:p>
        </w:tc>
        <w:tc>
          <w:tcPr>
            <w:tcW w:w="864" w:type="dxa"/>
            <w:tcBorders>
              <w:top w:val="nil"/>
              <w:left w:val="nil"/>
              <w:bottom w:val="single" w:sz="4" w:space="0" w:color="auto"/>
              <w:right w:val="single" w:sz="4" w:space="0" w:color="auto"/>
            </w:tcBorders>
            <w:vAlign w:val="center"/>
            <w:hideMark/>
          </w:tcPr>
          <w:p w14:paraId="1483DEB4"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51" w:type="dxa"/>
            <w:tcBorders>
              <w:top w:val="nil"/>
              <w:left w:val="nil"/>
              <w:bottom w:val="single" w:sz="4" w:space="0" w:color="auto"/>
              <w:right w:val="single" w:sz="4" w:space="0" w:color="auto"/>
            </w:tcBorders>
            <w:vAlign w:val="center"/>
            <w:hideMark/>
          </w:tcPr>
          <w:p w14:paraId="22035C29"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64" w:type="dxa"/>
            <w:tcBorders>
              <w:top w:val="nil"/>
              <w:left w:val="nil"/>
              <w:bottom w:val="single" w:sz="4" w:space="0" w:color="auto"/>
              <w:right w:val="single" w:sz="4" w:space="0" w:color="auto"/>
            </w:tcBorders>
            <w:vAlign w:val="center"/>
            <w:hideMark/>
          </w:tcPr>
          <w:p w14:paraId="75F35048"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64" w:type="dxa"/>
            <w:tcBorders>
              <w:top w:val="nil"/>
              <w:left w:val="nil"/>
              <w:bottom w:val="single" w:sz="4" w:space="0" w:color="auto"/>
              <w:right w:val="single" w:sz="4" w:space="0" w:color="auto"/>
            </w:tcBorders>
            <w:vAlign w:val="center"/>
            <w:hideMark/>
          </w:tcPr>
          <w:p w14:paraId="125BCDA0"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64" w:type="dxa"/>
            <w:tcBorders>
              <w:top w:val="nil"/>
              <w:left w:val="nil"/>
              <w:bottom w:val="single" w:sz="4" w:space="0" w:color="auto"/>
              <w:right w:val="single" w:sz="4" w:space="0" w:color="auto"/>
            </w:tcBorders>
            <w:vAlign w:val="center"/>
            <w:hideMark/>
          </w:tcPr>
          <w:p w14:paraId="66EC2327"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64" w:type="dxa"/>
            <w:tcBorders>
              <w:top w:val="nil"/>
              <w:left w:val="nil"/>
              <w:bottom w:val="single" w:sz="4" w:space="0" w:color="auto"/>
              <w:right w:val="single" w:sz="4" w:space="0" w:color="auto"/>
            </w:tcBorders>
            <w:vAlign w:val="center"/>
            <w:hideMark/>
          </w:tcPr>
          <w:p w14:paraId="0C0D7992"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64" w:type="dxa"/>
            <w:tcBorders>
              <w:top w:val="nil"/>
              <w:left w:val="nil"/>
              <w:bottom w:val="single" w:sz="4" w:space="0" w:color="auto"/>
              <w:right w:val="single" w:sz="4" w:space="0" w:color="auto"/>
            </w:tcBorders>
            <w:vAlign w:val="center"/>
            <w:hideMark/>
          </w:tcPr>
          <w:p w14:paraId="7BFD86D0"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120,00</w:t>
            </w:r>
          </w:p>
        </w:tc>
        <w:tc>
          <w:tcPr>
            <w:tcW w:w="1003" w:type="dxa"/>
            <w:tcBorders>
              <w:top w:val="nil"/>
              <w:left w:val="nil"/>
              <w:bottom w:val="single" w:sz="4" w:space="0" w:color="auto"/>
              <w:right w:val="single" w:sz="4" w:space="0" w:color="auto"/>
            </w:tcBorders>
            <w:vAlign w:val="center"/>
            <w:hideMark/>
          </w:tcPr>
          <w:p w14:paraId="4829E348"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120,00</w:t>
            </w:r>
          </w:p>
        </w:tc>
      </w:tr>
      <w:tr w:rsidR="00534598" w:rsidRPr="005756CE" w14:paraId="4DAE61FC" w14:textId="77777777" w:rsidTr="001B36C2">
        <w:trPr>
          <w:trHeight w:val="300"/>
        </w:trPr>
        <w:tc>
          <w:tcPr>
            <w:tcW w:w="1422" w:type="dxa"/>
            <w:tcBorders>
              <w:top w:val="nil"/>
              <w:left w:val="single" w:sz="4" w:space="0" w:color="auto"/>
              <w:bottom w:val="single" w:sz="4" w:space="0" w:color="auto"/>
              <w:right w:val="single" w:sz="4" w:space="0" w:color="auto"/>
            </w:tcBorders>
            <w:noWrap/>
            <w:vAlign w:val="center"/>
            <w:hideMark/>
          </w:tcPr>
          <w:p w14:paraId="66A6839E" w14:textId="77777777" w:rsidR="00534598" w:rsidRPr="005756CE" w:rsidRDefault="00534598" w:rsidP="001E71F8">
            <w:pPr>
              <w:spacing w:line="240" w:lineRule="auto"/>
              <w:rPr>
                <w:rFonts w:ascii="Cambria" w:hAnsi="Cambria"/>
                <w:b/>
                <w:bCs/>
                <w:color w:val="000000"/>
                <w:sz w:val="20"/>
                <w:szCs w:val="20"/>
              </w:rPr>
            </w:pPr>
            <w:r w:rsidRPr="005756CE">
              <w:rPr>
                <w:rFonts w:ascii="Cambria" w:hAnsi="Cambria"/>
                <w:b/>
                <w:color w:val="000000"/>
                <w:sz w:val="20"/>
                <w:szCs w:val="20"/>
              </w:rPr>
              <w:t>Total</w:t>
            </w:r>
          </w:p>
        </w:tc>
        <w:tc>
          <w:tcPr>
            <w:tcW w:w="864" w:type="dxa"/>
            <w:tcBorders>
              <w:top w:val="nil"/>
              <w:left w:val="nil"/>
              <w:bottom w:val="single" w:sz="4" w:space="0" w:color="auto"/>
              <w:right w:val="single" w:sz="4" w:space="0" w:color="auto"/>
            </w:tcBorders>
            <w:vAlign w:val="center"/>
            <w:hideMark/>
          </w:tcPr>
          <w:p w14:paraId="1D1439F7" w14:textId="77777777" w:rsidR="00534598" w:rsidRPr="005756CE" w:rsidRDefault="00534598" w:rsidP="001E71F8">
            <w:pPr>
              <w:spacing w:line="240" w:lineRule="auto"/>
              <w:jc w:val="center"/>
              <w:rPr>
                <w:rFonts w:ascii="Cambria" w:hAnsi="Cambria"/>
                <w:b/>
                <w:bCs/>
                <w:color w:val="000000"/>
                <w:sz w:val="18"/>
                <w:szCs w:val="18"/>
              </w:rPr>
            </w:pPr>
            <w:r w:rsidRPr="005756CE">
              <w:rPr>
                <w:rFonts w:ascii="Cambria" w:hAnsi="Cambria"/>
                <w:b/>
                <w:color w:val="000000"/>
                <w:sz w:val="18"/>
                <w:szCs w:val="18"/>
              </w:rPr>
              <w:t>8976,46</w:t>
            </w:r>
          </w:p>
        </w:tc>
        <w:tc>
          <w:tcPr>
            <w:tcW w:w="851" w:type="dxa"/>
            <w:tcBorders>
              <w:top w:val="nil"/>
              <w:left w:val="nil"/>
              <w:bottom w:val="single" w:sz="4" w:space="0" w:color="auto"/>
              <w:right w:val="single" w:sz="4" w:space="0" w:color="auto"/>
            </w:tcBorders>
            <w:vAlign w:val="center"/>
            <w:hideMark/>
          </w:tcPr>
          <w:p w14:paraId="2C006BFC" w14:textId="77777777" w:rsidR="00534598" w:rsidRPr="005756CE" w:rsidRDefault="00534598" w:rsidP="001E71F8">
            <w:pPr>
              <w:spacing w:line="240" w:lineRule="auto"/>
              <w:jc w:val="center"/>
              <w:rPr>
                <w:rFonts w:ascii="Cambria" w:hAnsi="Cambria"/>
                <w:b/>
                <w:bCs/>
                <w:color w:val="000000"/>
                <w:sz w:val="18"/>
                <w:szCs w:val="18"/>
              </w:rPr>
            </w:pPr>
            <w:r w:rsidRPr="005756CE">
              <w:rPr>
                <w:rFonts w:ascii="Cambria" w:hAnsi="Cambria"/>
                <w:b/>
                <w:color w:val="000000"/>
                <w:sz w:val="18"/>
                <w:szCs w:val="18"/>
              </w:rPr>
              <w:t>135,43</w:t>
            </w:r>
          </w:p>
        </w:tc>
        <w:tc>
          <w:tcPr>
            <w:tcW w:w="864" w:type="dxa"/>
            <w:tcBorders>
              <w:top w:val="nil"/>
              <w:left w:val="nil"/>
              <w:bottom w:val="single" w:sz="4" w:space="0" w:color="auto"/>
              <w:right w:val="single" w:sz="4" w:space="0" w:color="auto"/>
            </w:tcBorders>
            <w:vAlign w:val="center"/>
            <w:hideMark/>
          </w:tcPr>
          <w:p w14:paraId="273B5F51" w14:textId="77777777" w:rsidR="00534598" w:rsidRPr="005756CE" w:rsidRDefault="00534598" w:rsidP="001E71F8">
            <w:pPr>
              <w:spacing w:line="240" w:lineRule="auto"/>
              <w:jc w:val="center"/>
              <w:rPr>
                <w:rFonts w:ascii="Cambria" w:hAnsi="Cambria"/>
                <w:b/>
                <w:bCs/>
                <w:color w:val="000000"/>
                <w:sz w:val="18"/>
                <w:szCs w:val="18"/>
              </w:rPr>
            </w:pPr>
            <w:r w:rsidRPr="005756CE">
              <w:rPr>
                <w:rFonts w:ascii="Cambria" w:hAnsi="Cambria"/>
                <w:b/>
                <w:color w:val="000000"/>
                <w:sz w:val="18"/>
                <w:szCs w:val="18"/>
              </w:rPr>
              <w:t>2202,78</w:t>
            </w:r>
          </w:p>
        </w:tc>
        <w:tc>
          <w:tcPr>
            <w:tcW w:w="864" w:type="dxa"/>
            <w:tcBorders>
              <w:top w:val="nil"/>
              <w:left w:val="nil"/>
              <w:bottom w:val="single" w:sz="4" w:space="0" w:color="auto"/>
              <w:right w:val="single" w:sz="4" w:space="0" w:color="auto"/>
            </w:tcBorders>
            <w:vAlign w:val="center"/>
            <w:hideMark/>
          </w:tcPr>
          <w:p w14:paraId="2BC465D1" w14:textId="77777777" w:rsidR="00534598" w:rsidRPr="005756CE" w:rsidRDefault="00534598" w:rsidP="001E71F8">
            <w:pPr>
              <w:spacing w:line="240" w:lineRule="auto"/>
              <w:jc w:val="center"/>
              <w:rPr>
                <w:rFonts w:ascii="Cambria" w:hAnsi="Cambria"/>
                <w:b/>
                <w:bCs/>
                <w:color w:val="000000"/>
                <w:sz w:val="18"/>
                <w:szCs w:val="18"/>
              </w:rPr>
            </w:pPr>
            <w:r w:rsidRPr="005756CE">
              <w:rPr>
                <w:rFonts w:ascii="Cambria" w:hAnsi="Cambria"/>
                <w:b/>
                <w:color w:val="000000"/>
                <w:sz w:val="18"/>
                <w:szCs w:val="18"/>
              </w:rPr>
              <w:t>3958,89</w:t>
            </w:r>
          </w:p>
        </w:tc>
        <w:tc>
          <w:tcPr>
            <w:tcW w:w="864" w:type="dxa"/>
            <w:tcBorders>
              <w:top w:val="nil"/>
              <w:left w:val="nil"/>
              <w:bottom w:val="single" w:sz="4" w:space="0" w:color="auto"/>
              <w:right w:val="single" w:sz="4" w:space="0" w:color="auto"/>
            </w:tcBorders>
            <w:vAlign w:val="center"/>
            <w:hideMark/>
          </w:tcPr>
          <w:p w14:paraId="2882D007" w14:textId="77777777" w:rsidR="00534598" w:rsidRPr="005756CE" w:rsidRDefault="00534598" w:rsidP="001E71F8">
            <w:pPr>
              <w:spacing w:line="240" w:lineRule="auto"/>
              <w:jc w:val="center"/>
              <w:rPr>
                <w:rFonts w:ascii="Cambria" w:hAnsi="Cambria"/>
                <w:b/>
                <w:bCs/>
                <w:color w:val="000000"/>
                <w:sz w:val="18"/>
                <w:szCs w:val="18"/>
              </w:rPr>
            </w:pPr>
            <w:r w:rsidRPr="005756CE">
              <w:rPr>
                <w:rFonts w:ascii="Cambria" w:hAnsi="Cambria"/>
                <w:b/>
                <w:color w:val="000000"/>
                <w:sz w:val="18"/>
                <w:szCs w:val="18"/>
              </w:rPr>
              <w:t>1729,97</w:t>
            </w:r>
          </w:p>
        </w:tc>
        <w:tc>
          <w:tcPr>
            <w:tcW w:w="864" w:type="dxa"/>
            <w:tcBorders>
              <w:top w:val="nil"/>
              <w:left w:val="nil"/>
              <w:bottom w:val="single" w:sz="4" w:space="0" w:color="auto"/>
              <w:right w:val="single" w:sz="4" w:space="0" w:color="auto"/>
            </w:tcBorders>
            <w:vAlign w:val="center"/>
            <w:hideMark/>
          </w:tcPr>
          <w:p w14:paraId="3D7372DC" w14:textId="77777777" w:rsidR="00534598" w:rsidRPr="005756CE" w:rsidRDefault="00534598" w:rsidP="001E71F8">
            <w:pPr>
              <w:spacing w:line="240" w:lineRule="auto"/>
              <w:jc w:val="center"/>
              <w:rPr>
                <w:rFonts w:ascii="Cambria" w:hAnsi="Cambria"/>
                <w:b/>
                <w:bCs/>
                <w:color w:val="000000"/>
                <w:sz w:val="18"/>
                <w:szCs w:val="18"/>
              </w:rPr>
            </w:pPr>
            <w:r w:rsidRPr="005756CE">
              <w:rPr>
                <w:rFonts w:ascii="Cambria" w:hAnsi="Cambria"/>
                <w:b/>
                <w:color w:val="000000"/>
                <w:sz w:val="18"/>
                <w:szCs w:val="18"/>
              </w:rPr>
              <w:t>8027,08</w:t>
            </w:r>
          </w:p>
        </w:tc>
        <w:tc>
          <w:tcPr>
            <w:tcW w:w="864" w:type="dxa"/>
            <w:tcBorders>
              <w:top w:val="nil"/>
              <w:left w:val="nil"/>
              <w:bottom w:val="single" w:sz="4" w:space="0" w:color="auto"/>
              <w:right w:val="single" w:sz="4" w:space="0" w:color="auto"/>
            </w:tcBorders>
            <w:vAlign w:val="center"/>
            <w:hideMark/>
          </w:tcPr>
          <w:p w14:paraId="110A455B" w14:textId="77777777" w:rsidR="00534598" w:rsidRPr="005756CE" w:rsidRDefault="00534598" w:rsidP="001E71F8">
            <w:pPr>
              <w:spacing w:line="240" w:lineRule="auto"/>
              <w:jc w:val="center"/>
              <w:rPr>
                <w:rFonts w:ascii="Cambria" w:hAnsi="Cambria"/>
                <w:b/>
                <w:bCs/>
                <w:color w:val="000000"/>
                <w:sz w:val="18"/>
                <w:szCs w:val="18"/>
              </w:rPr>
            </w:pPr>
            <w:r w:rsidRPr="005756CE">
              <w:rPr>
                <w:rFonts w:ascii="Cambria" w:hAnsi="Cambria"/>
                <w:b/>
                <w:color w:val="000000"/>
                <w:sz w:val="18"/>
                <w:szCs w:val="18"/>
              </w:rPr>
              <w:t>8074,32</w:t>
            </w:r>
          </w:p>
        </w:tc>
        <w:tc>
          <w:tcPr>
            <w:tcW w:w="1003" w:type="dxa"/>
            <w:tcBorders>
              <w:top w:val="nil"/>
              <w:left w:val="nil"/>
              <w:bottom w:val="single" w:sz="4" w:space="0" w:color="auto"/>
              <w:right w:val="single" w:sz="4" w:space="0" w:color="auto"/>
            </w:tcBorders>
            <w:vAlign w:val="center"/>
            <w:hideMark/>
          </w:tcPr>
          <w:p w14:paraId="521368F5" w14:textId="77777777" w:rsidR="00534598" w:rsidRPr="005756CE" w:rsidRDefault="00534598" w:rsidP="001E71F8">
            <w:pPr>
              <w:spacing w:line="240" w:lineRule="auto"/>
              <w:jc w:val="center"/>
              <w:rPr>
                <w:rFonts w:ascii="Cambria" w:hAnsi="Cambria"/>
                <w:b/>
                <w:bCs/>
                <w:color w:val="000000"/>
                <w:sz w:val="18"/>
                <w:szCs w:val="18"/>
              </w:rPr>
            </w:pPr>
            <w:r w:rsidRPr="005756CE">
              <w:rPr>
                <w:rFonts w:ascii="Cambria" w:hAnsi="Cambria"/>
                <w:b/>
                <w:color w:val="000000"/>
                <w:sz w:val="18"/>
                <w:szCs w:val="18"/>
              </w:rPr>
              <w:t>8374,61</w:t>
            </w:r>
          </w:p>
        </w:tc>
      </w:tr>
    </w:tbl>
    <w:p w14:paraId="5C4FD4A4" w14:textId="35C6FD95"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25EB08BA" w14:textId="1289AE94"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i/>
          <w:sz w:val="20"/>
          <w:szCs w:val="20"/>
        </w:rPr>
        <w:t xml:space="preserve">[Rec. 17-02] </w:t>
      </w:r>
      <w:r w:rsidRPr="005756CE">
        <w:rPr>
          <w:rFonts w:ascii="Cambria" w:hAnsi="Cambria"/>
          <w:i/>
          <w:iCs/>
          <w:sz w:val="20"/>
          <w:szCs w:val="20"/>
        </w:rPr>
        <w:t>Recommandation de l’ICCAT amendant la Recommandation 16-03 sur la conservation de l’espadon de l’Atlantique Nord, Rec.</w:t>
      </w:r>
      <w:r w:rsidRPr="005756CE">
        <w:rPr>
          <w:rFonts w:ascii="Cambria" w:hAnsi="Cambria"/>
          <w:i/>
          <w:sz w:val="20"/>
          <w:szCs w:val="20"/>
        </w:rPr>
        <w:t xml:space="preserve"> 16-03</w:t>
      </w:r>
      <w:r w:rsidR="00920DC9" w:rsidRPr="005756CE">
        <w:rPr>
          <w:rFonts w:ascii="Cambria" w:hAnsi="Cambria"/>
          <w:i/>
          <w:sz w:val="20"/>
          <w:szCs w:val="20"/>
        </w:rPr>
        <w:t>,</w:t>
      </w:r>
      <w:r w:rsidRPr="005756CE">
        <w:rPr>
          <w:rFonts w:ascii="Cambria" w:hAnsi="Cambria"/>
          <w:i/>
          <w:sz w:val="20"/>
          <w:szCs w:val="20"/>
        </w:rPr>
        <w:t xml:space="preserve"> </w:t>
      </w:r>
      <w:r w:rsidRPr="005756CE">
        <w:rPr>
          <w:rFonts w:ascii="Cambria" w:hAnsi="Cambria"/>
          <w:iCs/>
          <w:sz w:val="20"/>
          <w:szCs w:val="20"/>
        </w:rPr>
        <w:t>amendée par la</w:t>
      </w:r>
      <w:r w:rsidRPr="005756CE">
        <w:rPr>
          <w:rFonts w:ascii="Cambria" w:hAnsi="Cambria"/>
          <w:i/>
          <w:sz w:val="20"/>
          <w:szCs w:val="20"/>
        </w:rPr>
        <w:t xml:space="preserve"> </w:t>
      </w:r>
      <w:r w:rsidR="00C81667" w:rsidRPr="005756CE">
        <w:rPr>
          <w:rFonts w:ascii="Cambria" w:hAnsi="Cambria"/>
          <w:i/>
          <w:sz w:val="20"/>
          <w:szCs w:val="20"/>
        </w:rPr>
        <w:t>[</w:t>
      </w:r>
      <w:r w:rsidRPr="005756CE">
        <w:rPr>
          <w:rFonts w:ascii="Cambria" w:hAnsi="Cambria"/>
          <w:i/>
          <w:iCs/>
          <w:sz w:val="20"/>
          <w:szCs w:val="20"/>
        </w:rPr>
        <w:t>23-04]</w:t>
      </w:r>
      <w:r w:rsidRPr="005756CE">
        <w:rPr>
          <w:rFonts w:ascii="Cambria" w:hAnsi="Cambria"/>
          <w:sz w:val="20"/>
          <w:szCs w:val="20"/>
        </w:rPr>
        <w:t xml:space="preserve"> </w:t>
      </w:r>
      <w:r w:rsidRPr="005756CE">
        <w:rPr>
          <w:rFonts w:ascii="Cambria" w:hAnsi="Cambria"/>
          <w:i/>
          <w:iCs/>
          <w:color w:val="000000"/>
          <w:sz w:val="20"/>
          <w:szCs w:val="20"/>
        </w:rPr>
        <w:t>Recommandation de l’ICCAT remplaçant la Recommandation 22-03 prolongeant et modifiant la Recommandation 17-02 sur la conservation de l’espadon de l’Atlantique Nord</w:t>
      </w:r>
    </w:p>
    <w:p w14:paraId="75DCB0F5" w14:textId="77777777" w:rsidR="00AE0868" w:rsidRPr="005756CE" w:rsidRDefault="00AE0868" w:rsidP="001E71F8">
      <w:pPr>
        <w:spacing w:line="240" w:lineRule="auto"/>
        <w:jc w:val="both"/>
        <w:rPr>
          <w:rFonts w:ascii="Cambria" w:hAnsi="Cambria"/>
          <w:b/>
          <w:bCs/>
          <w:sz w:val="20"/>
          <w:szCs w:val="20"/>
        </w:rPr>
      </w:pPr>
    </w:p>
    <w:p w14:paraId="2E7D947A" w14:textId="77777777" w:rsidR="00AE0868" w:rsidRPr="005756CE" w:rsidRDefault="00AE0868" w:rsidP="001E71F8">
      <w:pPr>
        <w:tabs>
          <w:tab w:val="left" w:pos="1276"/>
          <w:tab w:val="left" w:pos="1418"/>
          <w:tab w:val="left" w:leader="dot" w:pos="8222"/>
          <w:tab w:val="right" w:pos="8647"/>
        </w:tabs>
        <w:spacing w:line="240" w:lineRule="auto"/>
        <w:jc w:val="both"/>
        <w:rPr>
          <w:rFonts w:ascii="Cambria" w:hAnsi="Cambria"/>
          <w:bCs/>
          <w:sz w:val="20"/>
          <w:szCs w:val="20"/>
        </w:rPr>
      </w:pPr>
      <w:r w:rsidRPr="005756CE">
        <w:rPr>
          <w:rFonts w:ascii="Cambria" w:hAnsi="Cambria"/>
          <w:sz w:val="20"/>
          <w:szCs w:val="20"/>
        </w:rPr>
        <w:t>(</w:t>
      </w:r>
      <w:proofErr w:type="gramStart"/>
      <w:r w:rsidRPr="005756CE">
        <w:rPr>
          <w:rFonts w:ascii="Cambria" w:hAnsi="Cambria"/>
          <w:sz w:val="20"/>
          <w:szCs w:val="20"/>
        </w:rPr>
        <w:t>remplacée</w:t>
      </w:r>
      <w:proofErr w:type="gramEnd"/>
      <w:r w:rsidRPr="005756CE">
        <w:rPr>
          <w:rFonts w:ascii="Cambria" w:hAnsi="Cambria"/>
          <w:sz w:val="20"/>
          <w:szCs w:val="20"/>
        </w:rPr>
        <w:t xml:space="preserve"> par la [Rec.</w:t>
      </w:r>
      <w:r w:rsidRPr="005756CE">
        <w:rPr>
          <w:rFonts w:ascii="Cambria" w:hAnsi="Cambria"/>
          <w:color w:val="000000"/>
          <w:sz w:val="20"/>
          <w:szCs w:val="20"/>
        </w:rPr>
        <w:t xml:space="preserve"> 24-10] </w:t>
      </w:r>
      <w:r w:rsidRPr="005756CE">
        <w:rPr>
          <w:rFonts w:ascii="Cambria" w:hAnsi="Cambria"/>
          <w:i/>
          <w:iCs/>
          <w:color w:val="000000"/>
          <w:sz w:val="20"/>
          <w:szCs w:val="20"/>
        </w:rPr>
        <w:t>Recommandation de l'ICCAT sur des mesures de conservation et de gestion, incluant une procédure de gestion, pour l’espadon de l'Atlantique Nord</w:t>
      </w:r>
      <w:r w:rsidRPr="005756CE">
        <w:rPr>
          <w:rFonts w:ascii="Cambria" w:hAnsi="Cambria"/>
          <w:color w:val="000000"/>
          <w:sz w:val="20"/>
          <w:szCs w:val="20"/>
        </w:rPr>
        <w:t>)</w:t>
      </w:r>
    </w:p>
    <w:p w14:paraId="7399FF1B" w14:textId="77777777" w:rsidR="00AE0868" w:rsidRPr="005756CE" w:rsidRDefault="00AE0868"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63DC531D" w14:textId="4E797827" w:rsidR="00227CB5" w:rsidRPr="005756CE" w:rsidRDefault="00227CB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b/>
          <w:bCs/>
          <w:i/>
          <w:iCs/>
          <w:sz w:val="20"/>
          <w:szCs w:val="20"/>
        </w:rPr>
        <w:t xml:space="preserve">Application des </w:t>
      </w:r>
      <w:r w:rsidRPr="005756CE">
        <w:rPr>
          <w:rFonts w:ascii="Cambria" w:hAnsi="Cambria"/>
          <w:b/>
          <w:i/>
          <w:iCs/>
          <w:sz w:val="20"/>
          <w:szCs w:val="20"/>
        </w:rPr>
        <w:t xml:space="preserve">quotas/limites de capture </w:t>
      </w:r>
      <w:r w:rsidRPr="005756CE">
        <w:rPr>
          <w:rFonts w:ascii="Cambria" w:hAnsi="Cambria"/>
          <w:i/>
          <w:iCs/>
          <w:sz w:val="20"/>
          <w:szCs w:val="20"/>
        </w:rPr>
        <w:t>:</w:t>
      </w:r>
      <w:r w:rsidRPr="005756CE">
        <w:rPr>
          <w:rFonts w:ascii="Cambria" w:hAnsi="Cambria"/>
          <w:sz w:val="20"/>
          <w:szCs w:val="20"/>
        </w:rPr>
        <w:t xml:space="preserve"> Veuillez consulter les « Tableaux d’application de 202</w:t>
      </w:r>
      <w:r w:rsidR="00AE0868" w:rsidRPr="005756CE">
        <w:rPr>
          <w:rFonts w:ascii="Cambria" w:hAnsi="Cambria"/>
          <w:sz w:val="20"/>
          <w:szCs w:val="20"/>
        </w:rPr>
        <w:t>4</w:t>
      </w:r>
      <w:r w:rsidRPr="005756CE">
        <w:rPr>
          <w:rFonts w:ascii="Cambria" w:hAnsi="Cambria"/>
          <w:sz w:val="20"/>
          <w:szCs w:val="20"/>
        </w:rPr>
        <w:t xml:space="preserve"> reçus en 202</w:t>
      </w:r>
      <w:r w:rsidR="002669A9" w:rsidRPr="005756CE">
        <w:rPr>
          <w:rFonts w:ascii="Cambria" w:hAnsi="Cambria"/>
          <w:sz w:val="20"/>
          <w:szCs w:val="20"/>
        </w:rPr>
        <w:t>5</w:t>
      </w:r>
      <w:r w:rsidRPr="005756CE">
        <w:rPr>
          <w:rFonts w:ascii="Cambria" w:hAnsi="Cambria"/>
          <w:sz w:val="20"/>
          <w:szCs w:val="20"/>
        </w:rPr>
        <w:t> » [COC-304/202</w:t>
      </w:r>
      <w:r w:rsidR="00AE0868" w:rsidRPr="005756CE">
        <w:rPr>
          <w:rFonts w:ascii="Cambria" w:hAnsi="Cambria"/>
          <w:sz w:val="20"/>
          <w:szCs w:val="20"/>
        </w:rPr>
        <w:t>5</w:t>
      </w:r>
      <w:r w:rsidRPr="005756CE">
        <w:rPr>
          <w:rFonts w:ascii="Cambria" w:hAnsi="Cambria"/>
          <w:sz w:val="20"/>
          <w:szCs w:val="20"/>
        </w:rPr>
        <w:t>).</w:t>
      </w:r>
    </w:p>
    <w:p w14:paraId="0E17065D"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kern w:val="0"/>
          <w:sz w:val="20"/>
          <w:szCs w:val="20"/>
          <w14:ligatures w14:val="none"/>
        </w:rPr>
      </w:pPr>
    </w:p>
    <w:p w14:paraId="245BC62C"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Conformément au paragraphe 14 de la Rec. 17-02, les CPC suivantes ont inclus des informations dans leurs rapports annuels sur la limite maximale de prise accessoire d’espadon de l’Atlantique Nord à bord :</w:t>
      </w:r>
    </w:p>
    <w:p w14:paraId="6FCE5C26" w14:textId="4D7AC18A" w:rsidR="003F1C25" w:rsidRDefault="003F1C25">
      <w:pPr>
        <w:rPr>
          <w:rFonts w:ascii="Cambria" w:eastAsia="Times New Roman" w:hAnsi="Cambria" w:cs="Calibri"/>
          <w:color w:val="000000"/>
          <w:kern w:val="0"/>
          <w:sz w:val="20"/>
          <w:szCs w:val="20"/>
          <w14:ligatures w14:val="none"/>
        </w:rPr>
      </w:pPr>
      <w:r>
        <w:rPr>
          <w:rFonts w:ascii="Cambria" w:eastAsia="Times New Roman" w:hAnsi="Cambria" w:cs="Calibri"/>
          <w:color w:val="000000"/>
          <w:kern w:val="0"/>
          <w:sz w:val="20"/>
          <w:szCs w:val="20"/>
          <w14:ligatures w14:val="none"/>
        </w:rPr>
        <w:br w:type="page"/>
      </w:r>
    </w:p>
    <w:p w14:paraId="795FA5F1" w14:textId="77777777" w:rsidR="00356084" w:rsidRPr="005756CE" w:rsidRDefault="00356084" w:rsidP="001E71F8">
      <w:pPr>
        <w:widowControl w:val="0"/>
        <w:autoSpaceDE w:val="0"/>
        <w:autoSpaceDN w:val="0"/>
        <w:adjustRightInd w:val="0"/>
        <w:spacing w:line="240" w:lineRule="auto"/>
        <w:jc w:val="both"/>
        <w:rPr>
          <w:rFonts w:ascii="Cambria" w:eastAsia="Times New Roman" w:hAnsi="Cambria" w:cs="Calibri"/>
          <w:color w:val="000000"/>
          <w:kern w:val="0"/>
          <w:sz w:val="20"/>
          <w:szCs w:val="20"/>
          <w14:ligatures w14:val="none"/>
        </w:rPr>
      </w:pPr>
    </w:p>
    <w:tbl>
      <w:tblPr>
        <w:tblW w:w="5000" w:type="pct"/>
        <w:tblLook w:val="04A0" w:firstRow="1" w:lastRow="0" w:firstColumn="1" w:lastColumn="0" w:noHBand="0" w:noVBand="1"/>
      </w:tblPr>
      <w:tblGrid>
        <w:gridCol w:w="1599"/>
        <w:gridCol w:w="7741"/>
      </w:tblGrid>
      <w:tr w:rsidR="00356084" w:rsidRPr="005756CE" w14:paraId="7D6278A7" w14:textId="77777777" w:rsidTr="00A84B4C">
        <w:tc>
          <w:tcPr>
            <w:tcW w:w="856" w:type="pct"/>
            <w:tcBorders>
              <w:top w:val="single" w:sz="8" w:space="0" w:color="auto"/>
              <w:left w:val="single" w:sz="8" w:space="0" w:color="auto"/>
              <w:bottom w:val="single" w:sz="8" w:space="0" w:color="auto"/>
              <w:right w:val="single" w:sz="8" w:space="0" w:color="auto"/>
            </w:tcBorders>
            <w:noWrap/>
            <w:vAlign w:val="center"/>
            <w:hideMark/>
          </w:tcPr>
          <w:p w14:paraId="5AB219A9" w14:textId="77777777" w:rsidR="00356084" w:rsidRPr="005756CE" w:rsidRDefault="00356084" w:rsidP="001E71F8">
            <w:pPr>
              <w:spacing w:line="240" w:lineRule="auto"/>
              <w:jc w:val="center"/>
              <w:rPr>
                <w:rFonts w:ascii="Cambria" w:eastAsia="Times New Roman" w:hAnsi="Cambria" w:cs="Calibri"/>
                <w:i/>
                <w:iCs/>
                <w:color w:val="000000"/>
                <w:kern w:val="0"/>
                <w:sz w:val="20"/>
                <w:szCs w:val="20"/>
                <w14:ligatures w14:val="none"/>
              </w:rPr>
            </w:pPr>
            <w:r w:rsidRPr="005756CE">
              <w:rPr>
                <w:rFonts w:ascii="Cambria" w:hAnsi="Cambria"/>
                <w:i/>
                <w:color w:val="000000"/>
                <w:sz w:val="20"/>
                <w:szCs w:val="20"/>
              </w:rPr>
              <w:t>CPC</w:t>
            </w:r>
          </w:p>
        </w:tc>
        <w:tc>
          <w:tcPr>
            <w:tcW w:w="4144" w:type="pct"/>
            <w:tcBorders>
              <w:top w:val="single" w:sz="8" w:space="0" w:color="auto"/>
              <w:left w:val="nil"/>
              <w:bottom w:val="single" w:sz="8" w:space="0" w:color="auto"/>
              <w:right w:val="single" w:sz="8" w:space="0" w:color="auto"/>
            </w:tcBorders>
            <w:vAlign w:val="center"/>
            <w:hideMark/>
          </w:tcPr>
          <w:p w14:paraId="7D8F4BF9" w14:textId="77777777" w:rsidR="00356084" w:rsidRPr="005756CE" w:rsidRDefault="00356084" w:rsidP="001E71F8">
            <w:pPr>
              <w:spacing w:line="240" w:lineRule="auto"/>
              <w:jc w:val="center"/>
              <w:rPr>
                <w:rFonts w:ascii="Cambria" w:eastAsia="Times New Roman" w:hAnsi="Cambria" w:cs="Calibri"/>
                <w:i/>
                <w:iCs/>
                <w:color w:val="000000"/>
                <w:kern w:val="0"/>
                <w:sz w:val="20"/>
                <w:szCs w:val="20"/>
                <w14:ligatures w14:val="none"/>
              </w:rPr>
            </w:pPr>
            <w:r w:rsidRPr="005756CE">
              <w:rPr>
                <w:rFonts w:ascii="Cambria" w:hAnsi="Cambria"/>
                <w:i/>
                <w:color w:val="000000"/>
                <w:sz w:val="20"/>
                <w:szCs w:val="20"/>
              </w:rPr>
              <w:t>Réponse</w:t>
            </w:r>
          </w:p>
        </w:tc>
      </w:tr>
      <w:tr w:rsidR="00356084" w:rsidRPr="005756CE" w14:paraId="291FC386" w14:textId="77777777" w:rsidTr="00A84B4C">
        <w:tc>
          <w:tcPr>
            <w:tcW w:w="856" w:type="pct"/>
            <w:tcBorders>
              <w:top w:val="nil"/>
              <w:left w:val="single" w:sz="8" w:space="0" w:color="auto"/>
              <w:bottom w:val="single" w:sz="8" w:space="0" w:color="auto"/>
              <w:right w:val="single" w:sz="8" w:space="0" w:color="auto"/>
            </w:tcBorders>
            <w:noWrap/>
            <w:vAlign w:val="center"/>
            <w:hideMark/>
          </w:tcPr>
          <w:p w14:paraId="45BB9FC5" w14:textId="77777777" w:rsidR="00356084" w:rsidRPr="005756CE" w:rsidRDefault="00356084"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t>Belize</w:t>
            </w:r>
          </w:p>
        </w:tc>
        <w:tc>
          <w:tcPr>
            <w:tcW w:w="4144" w:type="pct"/>
            <w:tcBorders>
              <w:top w:val="nil"/>
              <w:left w:val="nil"/>
              <w:bottom w:val="single" w:sz="8" w:space="0" w:color="auto"/>
              <w:right w:val="single" w:sz="8" w:space="0" w:color="auto"/>
            </w:tcBorders>
            <w:vAlign w:val="center"/>
            <w:hideMark/>
          </w:tcPr>
          <w:p w14:paraId="49ED2135" w14:textId="7CB27AD1" w:rsidR="00356084" w:rsidRPr="005756CE" w:rsidRDefault="00356084" w:rsidP="001E71F8">
            <w:pPr>
              <w:spacing w:line="240" w:lineRule="auto"/>
              <w:jc w:val="both"/>
              <w:rPr>
                <w:rFonts w:ascii="Cambria" w:eastAsia="Times New Roman" w:hAnsi="Cambria" w:cs="Calibri"/>
                <w:color w:val="000000"/>
                <w:kern w:val="0"/>
                <w:sz w:val="20"/>
                <w:szCs w:val="20"/>
                <w14:ligatures w14:val="none"/>
              </w:rPr>
            </w:pPr>
            <w:r w:rsidRPr="005756CE">
              <w:rPr>
                <w:rFonts w:ascii="Cambria" w:hAnsi="Cambria"/>
                <w:color w:val="000000"/>
                <w:sz w:val="20"/>
                <w:szCs w:val="20"/>
              </w:rPr>
              <w:t xml:space="preserve">Le Belize a instauré une limite de capture accessoire à bord pour toutes les espèces, y compris l’espadon de l’Atlantique Nord. La limite de prises accessoires fixée pour les navires non autorisés à pêcher exclusivement cette espèce est de 10 t. Cette quantité est prise en compte dans l'allocation globale de quota pour le Belize. Cependant, aucun navire n’a déclaré de prise accessoire d’espadon de l’Atlantique </w:t>
            </w:r>
            <w:r w:rsidR="00BB0753" w:rsidRPr="005756CE">
              <w:rPr>
                <w:rFonts w:ascii="Cambria" w:hAnsi="Cambria"/>
                <w:color w:val="000000"/>
                <w:sz w:val="20"/>
                <w:szCs w:val="20"/>
              </w:rPr>
              <w:t>Sud</w:t>
            </w:r>
            <w:r w:rsidRPr="005756CE">
              <w:rPr>
                <w:rFonts w:ascii="Cambria" w:hAnsi="Cambria"/>
                <w:color w:val="000000"/>
                <w:sz w:val="20"/>
                <w:szCs w:val="20"/>
              </w:rPr>
              <w:t>.</w:t>
            </w:r>
          </w:p>
        </w:tc>
      </w:tr>
      <w:tr w:rsidR="00356084" w:rsidRPr="005756CE" w14:paraId="3AB7C7B3" w14:textId="77777777" w:rsidTr="00A84B4C">
        <w:tc>
          <w:tcPr>
            <w:tcW w:w="856" w:type="pct"/>
            <w:tcBorders>
              <w:top w:val="nil"/>
              <w:left w:val="single" w:sz="8" w:space="0" w:color="auto"/>
              <w:bottom w:val="single" w:sz="8" w:space="0" w:color="auto"/>
              <w:right w:val="single" w:sz="8" w:space="0" w:color="auto"/>
            </w:tcBorders>
            <w:noWrap/>
            <w:vAlign w:val="center"/>
            <w:hideMark/>
          </w:tcPr>
          <w:p w14:paraId="429CBA48" w14:textId="77777777" w:rsidR="00356084" w:rsidRPr="005756CE" w:rsidRDefault="00356084"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t>Chine</w:t>
            </w:r>
          </w:p>
        </w:tc>
        <w:tc>
          <w:tcPr>
            <w:tcW w:w="4144" w:type="pct"/>
            <w:tcBorders>
              <w:top w:val="nil"/>
              <w:left w:val="nil"/>
              <w:bottom w:val="single" w:sz="8" w:space="0" w:color="auto"/>
              <w:right w:val="single" w:sz="8" w:space="0" w:color="auto"/>
            </w:tcBorders>
            <w:vAlign w:val="center"/>
            <w:hideMark/>
          </w:tcPr>
          <w:p w14:paraId="11A32464" w14:textId="655BAD22" w:rsidR="00356084" w:rsidRPr="005756CE" w:rsidRDefault="00356084" w:rsidP="001E71F8">
            <w:pPr>
              <w:spacing w:line="240" w:lineRule="auto"/>
              <w:jc w:val="both"/>
              <w:rPr>
                <w:rFonts w:ascii="Cambria" w:eastAsia="Times New Roman" w:hAnsi="Cambria" w:cs="Calibri"/>
                <w:color w:val="000000"/>
                <w:kern w:val="0"/>
                <w:sz w:val="20"/>
                <w:szCs w:val="20"/>
                <w14:ligatures w14:val="none"/>
              </w:rPr>
            </w:pPr>
            <w:r w:rsidRPr="005756CE">
              <w:rPr>
                <w:rFonts w:ascii="Cambria" w:hAnsi="Cambria"/>
                <w:color w:val="000000"/>
                <w:sz w:val="20"/>
                <w:szCs w:val="20"/>
              </w:rPr>
              <w:t>La Chine n'a pas de navires ciblant l'espadon du Nord et l'espadon du Sud, tous les espadons sont capturés comme prises accessoires et les palangriers tropicaux peuvent capturer de l'espadon comme prise accessoire. En 202</w:t>
            </w:r>
            <w:r w:rsidR="001E71F8" w:rsidRPr="005756CE">
              <w:rPr>
                <w:rFonts w:ascii="Cambria" w:hAnsi="Cambria"/>
                <w:color w:val="000000"/>
                <w:sz w:val="20"/>
                <w:szCs w:val="20"/>
              </w:rPr>
              <w:t>4</w:t>
            </w:r>
            <w:r w:rsidRPr="005756CE">
              <w:rPr>
                <w:rFonts w:ascii="Cambria" w:hAnsi="Cambria"/>
                <w:color w:val="000000"/>
                <w:sz w:val="20"/>
                <w:szCs w:val="20"/>
              </w:rPr>
              <w:t xml:space="preserve">, la Chine disposait de quotas de 115 t d'espadon du Nord et de 344,3 t d'espadon du Sud. La Chine a fixé une limite de capture d'espadon du Nord et du Sud pour chaque palangrier sur la base du TAC alloué à la Chine conformément aux recommandations concernant ces espèces. Chaque navire doit respecter strictement la limite de capture qui lui est </w:t>
            </w:r>
            <w:r w:rsidR="00BB0753" w:rsidRPr="005756CE">
              <w:rPr>
                <w:rFonts w:ascii="Cambria" w:hAnsi="Cambria"/>
                <w:color w:val="000000"/>
                <w:sz w:val="20"/>
                <w:szCs w:val="20"/>
              </w:rPr>
              <w:t>allouée</w:t>
            </w:r>
            <w:r w:rsidRPr="005756CE">
              <w:rPr>
                <w:rFonts w:ascii="Cambria" w:hAnsi="Cambria"/>
                <w:color w:val="000000"/>
                <w:sz w:val="20"/>
                <w:szCs w:val="20"/>
              </w:rPr>
              <w:t>.</w:t>
            </w:r>
          </w:p>
        </w:tc>
      </w:tr>
      <w:tr w:rsidR="00356084" w:rsidRPr="005756CE" w14:paraId="19198F66" w14:textId="77777777" w:rsidTr="00A84B4C">
        <w:tc>
          <w:tcPr>
            <w:tcW w:w="856" w:type="pct"/>
            <w:tcBorders>
              <w:top w:val="nil"/>
              <w:left w:val="single" w:sz="8" w:space="0" w:color="auto"/>
              <w:bottom w:val="single" w:sz="8" w:space="0" w:color="auto"/>
              <w:right w:val="single" w:sz="8" w:space="0" w:color="auto"/>
            </w:tcBorders>
            <w:noWrap/>
            <w:vAlign w:val="center"/>
            <w:hideMark/>
          </w:tcPr>
          <w:p w14:paraId="098ECB12" w14:textId="77777777" w:rsidR="00356084" w:rsidRPr="005756CE" w:rsidRDefault="00356084"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t>Curaçao</w:t>
            </w:r>
          </w:p>
        </w:tc>
        <w:tc>
          <w:tcPr>
            <w:tcW w:w="4144" w:type="pct"/>
            <w:tcBorders>
              <w:top w:val="nil"/>
              <w:left w:val="nil"/>
              <w:bottom w:val="single" w:sz="8" w:space="0" w:color="auto"/>
              <w:right w:val="single" w:sz="8" w:space="0" w:color="auto"/>
            </w:tcBorders>
            <w:vAlign w:val="center"/>
            <w:hideMark/>
          </w:tcPr>
          <w:p w14:paraId="461119DA" w14:textId="784DDFAE" w:rsidR="00356084" w:rsidRPr="005756CE" w:rsidRDefault="00801B74" w:rsidP="001E71F8">
            <w:pPr>
              <w:spacing w:line="240" w:lineRule="auto"/>
              <w:jc w:val="both"/>
              <w:rPr>
                <w:rFonts w:ascii="Cambria" w:eastAsia="Times New Roman" w:hAnsi="Cambria" w:cs="Calibri"/>
                <w:kern w:val="0"/>
                <w:sz w:val="20"/>
                <w:szCs w:val="20"/>
                <w14:ligatures w14:val="none"/>
              </w:rPr>
            </w:pPr>
            <w:r w:rsidRPr="005756CE">
              <w:rPr>
                <w:rFonts w:ascii="Cambria" w:hAnsi="Cambria"/>
                <w:sz w:val="20"/>
                <w:szCs w:val="20"/>
              </w:rPr>
              <w:t>Dans le cas des activités de pêche, le Curaçao a conclu un accord avec les navires sur un maximum de 10 t de prise accessoire. Dans ce cas, il n'y a pas eu d'activités de pêche en 2024.</w:t>
            </w:r>
          </w:p>
        </w:tc>
      </w:tr>
      <w:tr w:rsidR="00356084" w:rsidRPr="005756CE" w14:paraId="5B9D38A6" w14:textId="77777777" w:rsidTr="00D72AFC">
        <w:tc>
          <w:tcPr>
            <w:tcW w:w="856" w:type="pct"/>
            <w:vMerge w:val="restart"/>
            <w:tcBorders>
              <w:top w:val="nil"/>
              <w:left w:val="single" w:sz="8" w:space="0" w:color="auto"/>
              <w:bottom w:val="single" w:sz="8" w:space="0" w:color="000000"/>
              <w:right w:val="single" w:sz="8" w:space="0" w:color="auto"/>
            </w:tcBorders>
            <w:noWrap/>
            <w:vAlign w:val="center"/>
            <w:hideMark/>
          </w:tcPr>
          <w:p w14:paraId="049EEF4F" w14:textId="77777777" w:rsidR="00356084" w:rsidRPr="005756CE" w:rsidRDefault="00356084"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t>UE</w:t>
            </w:r>
          </w:p>
        </w:tc>
        <w:tc>
          <w:tcPr>
            <w:tcW w:w="4144" w:type="pct"/>
            <w:tcBorders>
              <w:top w:val="nil"/>
              <w:left w:val="nil"/>
              <w:bottom w:val="nil"/>
              <w:right w:val="single" w:sz="8" w:space="0" w:color="auto"/>
            </w:tcBorders>
            <w:vAlign w:val="center"/>
          </w:tcPr>
          <w:p w14:paraId="611AC8FB" w14:textId="6E74F657" w:rsidR="00356084" w:rsidRPr="005756CE" w:rsidRDefault="00D72AFC" w:rsidP="001E71F8">
            <w:pPr>
              <w:spacing w:line="240" w:lineRule="auto"/>
              <w:jc w:val="both"/>
              <w:rPr>
                <w:rFonts w:ascii="Cambria" w:eastAsia="Times New Roman" w:hAnsi="Cambria" w:cs="Calibri"/>
                <w:color w:val="000000"/>
                <w:kern w:val="0"/>
                <w:sz w:val="20"/>
                <w:szCs w:val="20"/>
                <w14:ligatures w14:val="none"/>
              </w:rPr>
            </w:pPr>
            <w:r w:rsidRPr="005756CE">
              <w:rPr>
                <w:rFonts w:ascii="Cambria" w:hAnsi="Cambria"/>
                <w:color w:val="000000"/>
                <w:sz w:val="20"/>
                <w:szCs w:val="20"/>
              </w:rPr>
              <w:t>Les limites de prises accessoires peuvent varier selon l'État membre de l'UE. Des détails supplémentaires sont inclus dans la section 2 de son rapport annuel.</w:t>
            </w:r>
          </w:p>
        </w:tc>
      </w:tr>
      <w:tr w:rsidR="00356084" w:rsidRPr="005756CE" w14:paraId="2260AC11" w14:textId="77777777" w:rsidTr="00D72AFC">
        <w:tc>
          <w:tcPr>
            <w:tcW w:w="856" w:type="pct"/>
            <w:vMerge/>
            <w:tcBorders>
              <w:top w:val="nil"/>
              <w:left w:val="single" w:sz="8" w:space="0" w:color="auto"/>
              <w:bottom w:val="single" w:sz="8" w:space="0" w:color="000000"/>
              <w:right w:val="single" w:sz="8" w:space="0" w:color="auto"/>
            </w:tcBorders>
            <w:vAlign w:val="center"/>
            <w:hideMark/>
          </w:tcPr>
          <w:p w14:paraId="39930E9F" w14:textId="77777777" w:rsidR="00356084" w:rsidRPr="005756CE" w:rsidRDefault="00356084" w:rsidP="001E71F8">
            <w:pPr>
              <w:spacing w:line="240" w:lineRule="auto"/>
              <w:rPr>
                <w:rFonts w:ascii="Cambria" w:eastAsia="Times New Roman" w:hAnsi="Cambria" w:cs="Calibri"/>
                <w:color w:val="000000"/>
                <w:kern w:val="0"/>
                <w:sz w:val="20"/>
                <w:szCs w:val="20"/>
                <w:lang w:eastAsia="en-GB"/>
                <w14:ligatures w14:val="none"/>
              </w:rPr>
            </w:pPr>
          </w:p>
        </w:tc>
        <w:tc>
          <w:tcPr>
            <w:tcW w:w="4144" w:type="pct"/>
            <w:tcBorders>
              <w:top w:val="nil"/>
              <w:left w:val="nil"/>
              <w:bottom w:val="single" w:sz="8" w:space="0" w:color="auto"/>
              <w:right w:val="single" w:sz="8" w:space="0" w:color="auto"/>
            </w:tcBorders>
            <w:vAlign w:val="center"/>
          </w:tcPr>
          <w:p w14:paraId="59A4CD31" w14:textId="463EB365" w:rsidR="00356084" w:rsidRPr="005756CE" w:rsidRDefault="00356084" w:rsidP="001E71F8">
            <w:pPr>
              <w:spacing w:line="240" w:lineRule="auto"/>
              <w:jc w:val="both"/>
              <w:rPr>
                <w:rFonts w:ascii="Cambria" w:eastAsia="Times New Roman" w:hAnsi="Cambria" w:cs="Calibri"/>
                <w:color w:val="000000"/>
                <w:kern w:val="0"/>
                <w:sz w:val="20"/>
                <w:szCs w:val="20"/>
                <w14:ligatures w14:val="none"/>
              </w:rPr>
            </w:pPr>
          </w:p>
        </w:tc>
      </w:tr>
    </w:tbl>
    <w:p w14:paraId="1A57969A" w14:textId="77777777" w:rsidR="00356084" w:rsidRPr="005756CE" w:rsidRDefault="00356084" w:rsidP="001E71F8">
      <w:pPr>
        <w:widowControl w:val="0"/>
        <w:autoSpaceDE w:val="0"/>
        <w:autoSpaceDN w:val="0"/>
        <w:adjustRightInd w:val="0"/>
        <w:spacing w:line="240" w:lineRule="auto"/>
        <w:jc w:val="both"/>
        <w:rPr>
          <w:rFonts w:ascii="Cambria" w:eastAsia="Times New Roman" w:hAnsi="Cambria" w:cs="Calibri"/>
          <w:color w:val="000000"/>
          <w:kern w:val="0"/>
          <w:sz w:val="20"/>
          <w:szCs w:val="20"/>
          <w14:ligatures w14:val="none"/>
        </w:rPr>
      </w:pPr>
    </w:p>
    <w:p w14:paraId="0BA73533" w14:textId="49350709" w:rsidR="00356084" w:rsidRPr="005756CE" w:rsidRDefault="00356084" w:rsidP="001E71F8">
      <w:pPr>
        <w:spacing w:line="240" w:lineRule="auto"/>
        <w:jc w:val="both"/>
        <w:rPr>
          <w:rFonts w:ascii="Cambria" w:eastAsia="Times New Roman" w:hAnsi="Cambria" w:cs="Calibri"/>
          <w:color w:val="000000"/>
          <w:kern w:val="0"/>
          <w:sz w:val="20"/>
          <w:szCs w:val="20"/>
          <w14:ligatures w14:val="none"/>
        </w:rPr>
      </w:pPr>
      <w:r w:rsidRPr="005756CE">
        <w:rPr>
          <w:rFonts w:ascii="Cambria" w:hAnsi="Cambria"/>
          <w:sz w:val="20"/>
          <w:szCs w:val="20"/>
        </w:rPr>
        <w:t xml:space="preserve">Il convient de noter que les données ci-dessus ne concernent que </w:t>
      </w:r>
      <w:r w:rsidR="00BB0753" w:rsidRPr="005756CE">
        <w:rPr>
          <w:rFonts w:ascii="Cambria" w:hAnsi="Cambria"/>
          <w:sz w:val="20"/>
          <w:szCs w:val="20"/>
        </w:rPr>
        <w:t>les CPC</w:t>
      </w:r>
      <w:r w:rsidRPr="005756CE">
        <w:rPr>
          <w:rFonts w:ascii="Cambria" w:hAnsi="Cambria"/>
          <w:sz w:val="20"/>
          <w:szCs w:val="20"/>
        </w:rPr>
        <w:t xml:space="preserve"> ayant indiqué qu'une limite avait été fixée. Dans </w:t>
      </w:r>
      <w:r w:rsidRPr="005756CE">
        <w:rPr>
          <w:rFonts w:ascii="Cambria" w:hAnsi="Cambria"/>
          <w:color w:val="000000"/>
          <w:sz w:val="20"/>
          <w:szCs w:val="20"/>
        </w:rPr>
        <w:t>de nombreux cas, aucune limite n'est fixée car tous les navires concernés disposent d'une licence et/ou que les prises accessoires ne sont pas autorisées</w:t>
      </w:r>
      <w:r w:rsidR="00FF5105" w:rsidRPr="005756CE">
        <w:rPr>
          <w:rFonts w:ascii="Cambria" w:hAnsi="Cambria"/>
          <w:color w:val="000000"/>
          <w:sz w:val="20"/>
          <w:szCs w:val="20"/>
        </w:rPr>
        <w:t>.</w:t>
      </w:r>
      <w:bookmarkStart w:id="1" w:name="_Hlk148612685"/>
      <w:r w:rsidR="00FF5105" w:rsidRPr="005756CE">
        <w:rPr>
          <w:rFonts w:ascii="Cambria" w:hAnsi="Cambria"/>
          <w:color w:val="000000"/>
          <w:sz w:val="20"/>
          <w:szCs w:val="20"/>
        </w:rPr>
        <w:t xml:space="preserve"> </w:t>
      </w:r>
      <w:r w:rsidR="004C4B96" w:rsidRPr="005756CE">
        <w:rPr>
          <w:rFonts w:ascii="Cambria" w:hAnsi="Cambria"/>
          <w:color w:val="000000"/>
          <w:sz w:val="20"/>
          <w:szCs w:val="20"/>
        </w:rPr>
        <w:t xml:space="preserve">Toutefois, certaines réponses concernant les limites maximales de prises accessoires sont incohérentes, les CPC n'ayant pas lu ou compris l'exigence. Dans plusieurs cas, les espèces sont mélangées ou des réponses totalement hors de propos sont données </w:t>
      </w:r>
      <w:r w:rsidR="00FF5105" w:rsidRPr="005756CE">
        <w:rPr>
          <w:rFonts w:ascii="Cambria" w:hAnsi="Cambria"/>
          <w:color w:val="000000"/>
          <w:sz w:val="20"/>
          <w:szCs w:val="20"/>
        </w:rPr>
        <w:t>(</w:t>
      </w:r>
      <w:r w:rsidRPr="005756CE">
        <w:rPr>
          <w:rFonts w:ascii="Cambria" w:hAnsi="Cambria"/>
          <w:color w:val="000000"/>
          <w:sz w:val="20"/>
          <w:szCs w:val="20"/>
        </w:rPr>
        <w:t>par exemple : il n'y a pas de pêche ciblée pour cette espèce ; aucun navire battant pavillon de XX ne pêche cette espèce</w:t>
      </w:r>
      <w:r w:rsidR="00512B48" w:rsidRPr="005756CE">
        <w:rPr>
          <w:rFonts w:ascii="Cambria" w:hAnsi="Cambria"/>
          <w:color w:val="000000"/>
          <w:sz w:val="20"/>
          <w:szCs w:val="20"/>
        </w:rPr>
        <w:t>).</w:t>
      </w:r>
    </w:p>
    <w:p w14:paraId="28B09E66" w14:textId="77777777" w:rsidR="00356084" w:rsidRPr="005756CE" w:rsidRDefault="00356084" w:rsidP="001E71F8">
      <w:pPr>
        <w:widowControl w:val="0"/>
        <w:autoSpaceDE w:val="0"/>
        <w:autoSpaceDN w:val="0"/>
        <w:adjustRightInd w:val="0"/>
        <w:spacing w:line="240" w:lineRule="auto"/>
        <w:rPr>
          <w:rFonts w:ascii="Cambria" w:eastAsia="Calibri" w:hAnsi="Cambria"/>
          <w:color w:val="1F497D"/>
          <w:kern w:val="0"/>
          <w:sz w:val="20"/>
          <w:szCs w:val="20"/>
          <w14:ligatures w14:val="none"/>
        </w:rPr>
      </w:pPr>
    </w:p>
    <w:bookmarkEnd w:id="1"/>
    <w:p w14:paraId="1AB983BA" w14:textId="653442DC"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bCs/>
          <w:kern w:val="0"/>
          <w:sz w:val="20"/>
          <w:szCs w:val="20"/>
          <w14:ligatures w14:val="none"/>
        </w:rPr>
      </w:pPr>
      <w:r w:rsidRPr="005756CE">
        <w:rPr>
          <w:rFonts w:ascii="Cambria" w:hAnsi="Cambria"/>
          <w:b/>
          <w:i/>
          <w:sz w:val="20"/>
          <w:szCs w:val="20"/>
        </w:rPr>
        <w:t>Plans de gestion/développement de la pêcherie d'espadon du Nord</w:t>
      </w:r>
      <w:r w:rsidR="00BB0753" w:rsidRPr="005756CE">
        <w:rPr>
          <w:rFonts w:ascii="Cambria" w:hAnsi="Cambria"/>
          <w:b/>
          <w:i/>
          <w:sz w:val="20"/>
          <w:szCs w:val="20"/>
        </w:rPr>
        <w:t xml:space="preserve"> : </w:t>
      </w:r>
      <w:r w:rsidRPr="005756CE">
        <w:rPr>
          <w:rFonts w:ascii="Cambria" w:hAnsi="Cambria"/>
          <w:sz w:val="20"/>
          <w:szCs w:val="20"/>
        </w:rPr>
        <w:t xml:space="preserve">Les versions actualisées reçues sont </w:t>
      </w:r>
      <w:r w:rsidR="00BB0753" w:rsidRPr="005756CE">
        <w:rPr>
          <w:rFonts w:ascii="Cambria" w:hAnsi="Cambria"/>
          <w:sz w:val="20"/>
          <w:szCs w:val="20"/>
        </w:rPr>
        <w:t>présentées</w:t>
      </w:r>
      <w:r w:rsidRPr="005756CE">
        <w:rPr>
          <w:rFonts w:ascii="Cambria" w:hAnsi="Cambria"/>
          <w:sz w:val="20"/>
          <w:szCs w:val="20"/>
        </w:rPr>
        <w:t xml:space="preserve"> dans les </w:t>
      </w:r>
      <w:bookmarkStart w:id="2" w:name="_Hlk119173661"/>
      <w:r w:rsidRPr="005756CE">
        <w:rPr>
          <w:rFonts w:ascii="Cambria" w:hAnsi="Cambria"/>
          <w:sz w:val="20"/>
          <w:szCs w:val="20"/>
        </w:rPr>
        <w:t xml:space="preserve">« Plans de développement, de pêche ou de gestion de l'espadon de l'Atlantique Nord » </w:t>
      </w:r>
      <w:bookmarkEnd w:id="2"/>
      <w:r w:rsidRPr="005756CE">
        <w:rPr>
          <w:rFonts w:ascii="Cambria" w:hAnsi="Cambria"/>
          <w:sz w:val="20"/>
          <w:szCs w:val="20"/>
        </w:rPr>
        <w:t>[PA4_801/202</w:t>
      </w:r>
      <w:r w:rsidR="00512B48" w:rsidRPr="005756CE">
        <w:rPr>
          <w:rFonts w:ascii="Cambria" w:hAnsi="Cambria"/>
          <w:sz w:val="20"/>
          <w:szCs w:val="20"/>
        </w:rPr>
        <w:t>5</w:t>
      </w:r>
      <w:r w:rsidRPr="005756CE">
        <w:rPr>
          <w:rFonts w:ascii="Cambria" w:hAnsi="Cambria"/>
          <w:sz w:val="20"/>
          <w:szCs w:val="20"/>
        </w:rPr>
        <w:t>]. Une nouvelle soumission n'est plus nécessaire si les plans précédents n'ont pas été modifiés.</w:t>
      </w:r>
    </w:p>
    <w:p w14:paraId="59FF33C9"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bCs/>
          <w:i/>
          <w:iCs/>
          <w:kern w:val="0"/>
          <w:sz w:val="20"/>
          <w:szCs w:val="20"/>
          <w14:ligatures w14:val="none"/>
        </w:rPr>
      </w:pPr>
    </w:p>
    <w:p w14:paraId="2E728F38" w14:textId="15776EE9"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b/>
          <w:i/>
          <w:iCs/>
          <w:sz w:val="20"/>
          <w:szCs w:val="20"/>
        </w:rPr>
        <w:t>Autorisation spécifique pour les navires d’espadon du Nord</w:t>
      </w:r>
      <w:r w:rsidR="00970C07" w:rsidRPr="005756CE">
        <w:rPr>
          <w:rFonts w:ascii="Cambria" w:hAnsi="Cambria"/>
          <w:b/>
          <w:i/>
          <w:iCs/>
          <w:sz w:val="20"/>
          <w:szCs w:val="20"/>
        </w:rPr>
        <w:t xml:space="preserve"> : </w:t>
      </w:r>
      <w:r w:rsidRPr="005756CE">
        <w:rPr>
          <w:rFonts w:ascii="Cambria" w:hAnsi="Cambria"/>
          <w:sz w:val="20"/>
          <w:szCs w:val="20"/>
        </w:rPr>
        <w:t xml:space="preserve">Les navires autorisés de 20 m ou plus disposant d’autorisations spécifiques pour l'espadon du Nord figurent dans le </w:t>
      </w:r>
      <w:hyperlink r:id="rId12" w:history="1">
        <w:r w:rsidRPr="005756CE">
          <w:rPr>
            <w:rFonts w:ascii="Cambria" w:hAnsi="Cambria"/>
            <w:color w:val="0000FF"/>
            <w:sz w:val="20"/>
            <w:szCs w:val="20"/>
          </w:rPr>
          <w:t>Registre des navires de l’ICCAT</w:t>
        </w:r>
      </w:hyperlink>
      <w:r w:rsidRPr="005756CE">
        <w:rPr>
          <w:rFonts w:ascii="Cambria" w:hAnsi="Cambria"/>
          <w:sz w:val="20"/>
          <w:szCs w:val="20"/>
        </w:rPr>
        <w:t>.</w:t>
      </w:r>
    </w:p>
    <w:p w14:paraId="7BED3214"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bCs/>
          <w:kern w:val="0"/>
          <w:sz w:val="20"/>
          <w:szCs w:val="20"/>
          <w14:ligatures w14:val="none"/>
        </w:rPr>
      </w:pPr>
    </w:p>
    <w:p w14:paraId="55A72831" w14:textId="2BDBDD3E"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Sept CPC dotées d'un quota n’ont actuellement aucun navire (de 20 m ou plus) sur le Registre ICCAT des navires autorisés à capturer l'espadon de l'Atlantique Nord : Barbade, Brésil, France (S</w:t>
      </w:r>
      <w:r w:rsidR="00FF70D0" w:rsidRPr="005756CE">
        <w:rPr>
          <w:rFonts w:ascii="Cambria" w:hAnsi="Cambria"/>
          <w:sz w:val="20"/>
          <w:szCs w:val="20"/>
        </w:rPr>
        <w:t>aint-Pierre-et-Miquelon</w:t>
      </w:r>
      <w:r w:rsidRPr="005756CE">
        <w:rPr>
          <w:rFonts w:ascii="Cambria" w:hAnsi="Cambria"/>
          <w:sz w:val="20"/>
          <w:szCs w:val="20"/>
        </w:rPr>
        <w:t>), Mexique, Royaume-Uni, Saint-Vincent-et-les-Grenadines et Venezuela.</w:t>
      </w:r>
    </w:p>
    <w:p w14:paraId="08BDD49E"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kern w:val="0"/>
          <w:sz w:val="20"/>
          <w:szCs w:val="20"/>
          <w14:ligatures w14:val="none"/>
        </w:rPr>
      </w:pPr>
    </w:p>
    <w:p w14:paraId="40EB312E" w14:textId="164F4ED3" w:rsidR="00227CB5" w:rsidRPr="005756CE" w:rsidRDefault="00227CB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b/>
          <w:bCs/>
          <w:i/>
          <w:iCs/>
          <w:sz w:val="20"/>
          <w:szCs w:val="20"/>
        </w:rPr>
        <w:t xml:space="preserve">Application des </w:t>
      </w:r>
      <w:r w:rsidRPr="005756CE">
        <w:rPr>
          <w:rFonts w:ascii="Cambria" w:hAnsi="Cambria"/>
          <w:b/>
          <w:i/>
          <w:iCs/>
          <w:sz w:val="20"/>
          <w:szCs w:val="20"/>
        </w:rPr>
        <w:t xml:space="preserve">quotas/limites de capture </w:t>
      </w:r>
      <w:r w:rsidRPr="005756CE">
        <w:rPr>
          <w:rFonts w:ascii="Cambria" w:hAnsi="Cambria"/>
          <w:i/>
          <w:iCs/>
          <w:sz w:val="20"/>
          <w:szCs w:val="20"/>
        </w:rPr>
        <w:t>:</w:t>
      </w:r>
      <w:r w:rsidRPr="005756CE">
        <w:rPr>
          <w:rFonts w:ascii="Cambria" w:hAnsi="Cambria"/>
          <w:sz w:val="20"/>
          <w:szCs w:val="20"/>
        </w:rPr>
        <w:t xml:space="preserve"> Veuillez consulter les « Tableaux d’application de 202</w:t>
      </w:r>
      <w:r w:rsidR="00A10A5D" w:rsidRPr="005756CE">
        <w:rPr>
          <w:rFonts w:ascii="Cambria" w:hAnsi="Cambria"/>
          <w:sz w:val="20"/>
          <w:szCs w:val="20"/>
        </w:rPr>
        <w:t>4</w:t>
      </w:r>
      <w:r w:rsidRPr="005756CE">
        <w:rPr>
          <w:rFonts w:ascii="Cambria" w:hAnsi="Cambria"/>
          <w:sz w:val="20"/>
          <w:szCs w:val="20"/>
        </w:rPr>
        <w:t xml:space="preserve"> reçus en 202</w:t>
      </w:r>
      <w:r w:rsidR="00A10A5D" w:rsidRPr="005756CE">
        <w:rPr>
          <w:rFonts w:ascii="Cambria" w:hAnsi="Cambria"/>
          <w:sz w:val="20"/>
          <w:szCs w:val="20"/>
        </w:rPr>
        <w:t>5</w:t>
      </w:r>
      <w:r w:rsidRPr="005756CE">
        <w:rPr>
          <w:rFonts w:ascii="Cambria" w:hAnsi="Cambria"/>
          <w:sz w:val="20"/>
          <w:szCs w:val="20"/>
        </w:rPr>
        <w:t> » [COC-304/202</w:t>
      </w:r>
      <w:r w:rsidR="00A10A5D" w:rsidRPr="005756CE">
        <w:rPr>
          <w:rFonts w:ascii="Cambria" w:hAnsi="Cambria"/>
          <w:sz w:val="20"/>
          <w:szCs w:val="20"/>
        </w:rPr>
        <w:t>5</w:t>
      </w:r>
      <w:r w:rsidRPr="005756CE">
        <w:rPr>
          <w:rFonts w:ascii="Cambria" w:hAnsi="Cambria"/>
          <w:sz w:val="20"/>
          <w:szCs w:val="20"/>
        </w:rPr>
        <w:t xml:space="preserve">). </w:t>
      </w:r>
    </w:p>
    <w:p w14:paraId="0D3A4B48"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kern w:val="0"/>
          <w:sz w:val="20"/>
          <w:szCs w:val="20"/>
          <w14:ligatures w14:val="none"/>
        </w:rPr>
      </w:pPr>
    </w:p>
    <w:p w14:paraId="58E1C20A" w14:textId="1E6D35F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hAnsi="Cambria"/>
          <w:i/>
          <w:sz w:val="20"/>
          <w:szCs w:val="20"/>
        </w:rPr>
        <w:t xml:space="preserve">[17-03] </w:t>
      </w:r>
      <w:r w:rsidRPr="005756CE">
        <w:rPr>
          <w:rFonts w:ascii="Cambria" w:hAnsi="Cambria"/>
          <w:i/>
          <w:iCs/>
          <w:sz w:val="20"/>
          <w:szCs w:val="20"/>
        </w:rPr>
        <w:t>Recommandation de l’ICCAT amendant la Recommandation sur la conservation de l’espadon de l’Atlantique Sud, Rec.</w:t>
      </w:r>
      <w:r w:rsidRPr="005756CE">
        <w:rPr>
          <w:rFonts w:ascii="Cambria" w:hAnsi="Cambria"/>
          <w:i/>
          <w:sz w:val="20"/>
          <w:szCs w:val="20"/>
        </w:rPr>
        <w:t xml:space="preserve"> 16-04</w:t>
      </w:r>
      <w:r w:rsidR="00AA76F4" w:rsidRPr="005756CE">
        <w:rPr>
          <w:rFonts w:ascii="Cambria" w:hAnsi="Cambria"/>
          <w:i/>
          <w:sz w:val="20"/>
          <w:szCs w:val="20"/>
        </w:rPr>
        <w:t>, t</w:t>
      </w:r>
      <w:r w:rsidR="007343BC" w:rsidRPr="005756CE">
        <w:rPr>
          <w:rFonts w:ascii="Cambria" w:hAnsi="Cambria"/>
          <w:i/>
          <w:sz w:val="20"/>
          <w:szCs w:val="20"/>
        </w:rPr>
        <w:t xml:space="preserve">elle qu’amendée par la </w:t>
      </w:r>
      <w:r w:rsidRPr="005756CE">
        <w:rPr>
          <w:rFonts w:ascii="Cambria" w:hAnsi="Cambria"/>
          <w:i/>
          <w:sz w:val="20"/>
          <w:szCs w:val="20"/>
        </w:rPr>
        <w:t>[22-04] Recommandation de l’ICCAT remplaçant la Recommandation supplémentaire 21-03 prolongeant et modifiant la Recommandation 17-03 sur la conservation de l'espadon de l’Atlantique Sud</w:t>
      </w:r>
    </w:p>
    <w:p w14:paraId="67DDF111"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4876078C" w14:textId="75FC006F"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b/>
          <w:i/>
          <w:iCs/>
          <w:sz w:val="20"/>
          <w:szCs w:val="20"/>
        </w:rPr>
        <w:t>Autorisation spécifique pour les navires d’espadon du Sud</w:t>
      </w:r>
      <w:r w:rsidR="00970C07" w:rsidRPr="005756CE">
        <w:rPr>
          <w:rFonts w:ascii="Cambria" w:hAnsi="Cambria"/>
          <w:b/>
          <w:i/>
          <w:iCs/>
          <w:sz w:val="20"/>
          <w:szCs w:val="20"/>
        </w:rPr>
        <w:t xml:space="preserve"> : </w:t>
      </w:r>
      <w:r w:rsidRPr="005756CE">
        <w:rPr>
          <w:rFonts w:ascii="Cambria" w:hAnsi="Cambria"/>
          <w:sz w:val="20"/>
          <w:szCs w:val="20"/>
        </w:rPr>
        <w:t xml:space="preserve">Les navires autorisés de 20 m ou plus disposant d’autorisations spécifiques pour l'espadon du Sud figurent dans le </w:t>
      </w:r>
      <w:hyperlink r:id="rId13" w:history="1">
        <w:r w:rsidRPr="005756CE">
          <w:rPr>
            <w:rFonts w:ascii="Cambria" w:hAnsi="Cambria"/>
            <w:color w:val="0000FF"/>
            <w:sz w:val="20"/>
            <w:szCs w:val="20"/>
          </w:rPr>
          <w:t>Registre des navires de l’ICCAT</w:t>
        </w:r>
      </w:hyperlink>
      <w:r w:rsidRPr="005756CE">
        <w:rPr>
          <w:rFonts w:ascii="Cambria" w:hAnsi="Cambria"/>
          <w:sz w:val="20"/>
          <w:szCs w:val="20"/>
        </w:rPr>
        <w:t>.</w:t>
      </w:r>
    </w:p>
    <w:p w14:paraId="730C4EB0"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bCs/>
          <w:i/>
          <w:iCs/>
          <w:kern w:val="0"/>
          <w:sz w:val="20"/>
          <w:szCs w:val="20"/>
          <w14:ligatures w14:val="none"/>
        </w:rPr>
      </w:pPr>
    </w:p>
    <w:p w14:paraId="3A33A50F" w14:textId="74722E1F"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sz w:val="20"/>
          <w:szCs w:val="20"/>
        </w:rPr>
        <w:t>Cinq CPC dotées d'un quota n’ont actuellement aucun navire (de 20 m ou plus) inscrits au Registre ICCAT des navires autorisés à capturer l'espadon de l'Atlantique Sud</w:t>
      </w:r>
      <w:r w:rsidR="00970C07" w:rsidRPr="005756CE">
        <w:rPr>
          <w:rFonts w:ascii="Cambria" w:hAnsi="Cambria"/>
          <w:sz w:val="20"/>
          <w:szCs w:val="20"/>
        </w:rPr>
        <w:t> :</w:t>
      </w:r>
      <w:r w:rsidRPr="005756CE">
        <w:rPr>
          <w:rFonts w:ascii="Cambria" w:hAnsi="Cambria"/>
          <w:sz w:val="20"/>
          <w:szCs w:val="20"/>
        </w:rPr>
        <w:t xml:space="preserve"> Ghana, Sao Tomé-et-Principe, Royaume-Uni, Uruguay et États-Unis.</w:t>
      </w:r>
    </w:p>
    <w:p w14:paraId="6A4FF24F"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p>
    <w:p w14:paraId="180FB3F1" w14:textId="523F2F6E" w:rsidR="00356084" w:rsidRPr="005756CE" w:rsidRDefault="00356084" w:rsidP="001E71F8">
      <w:pPr>
        <w:widowControl w:val="0"/>
        <w:autoSpaceDE w:val="0"/>
        <w:autoSpaceDN w:val="0"/>
        <w:adjustRightInd w:val="0"/>
        <w:spacing w:line="240" w:lineRule="auto"/>
        <w:rPr>
          <w:rFonts w:ascii="Cambria" w:eastAsia="Times New Roman" w:hAnsi="Cambria"/>
          <w:kern w:val="0"/>
          <w:sz w:val="20"/>
          <w:szCs w:val="20"/>
          <w14:ligatures w14:val="none"/>
        </w:rPr>
      </w:pPr>
      <w:r w:rsidRPr="005756CE">
        <w:rPr>
          <w:rFonts w:ascii="Cambria" w:hAnsi="Cambria"/>
          <w:sz w:val="20"/>
          <w:szCs w:val="20"/>
        </w:rPr>
        <w:lastRenderedPageBreak/>
        <w:t>En vertu de la Rec. 17-03, paragraphe 9, les CPC suivantes ont inclus des informations dans leurs rapports annuels sur la limite maximale de capture accessoire d</w:t>
      </w:r>
      <w:r w:rsidR="00970C07" w:rsidRPr="005756CE">
        <w:rPr>
          <w:rFonts w:ascii="Cambria" w:hAnsi="Cambria"/>
          <w:sz w:val="20"/>
          <w:szCs w:val="20"/>
        </w:rPr>
        <w:t xml:space="preserve">’espadon </w:t>
      </w:r>
      <w:r w:rsidRPr="005756CE">
        <w:rPr>
          <w:rFonts w:ascii="Cambria" w:hAnsi="Cambria"/>
          <w:sz w:val="20"/>
          <w:szCs w:val="20"/>
        </w:rPr>
        <w:t>de l’Atlantique Sud à bord :</w:t>
      </w:r>
    </w:p>
    <w:p w14:paraId="2D76E5F7" w14:textId="5B604ED5" w:rsidR="00356084" w:rsidRPr="005756CE" w:rsidRDefault="00356084" w:rsidP="001E71F8">
      <w:pPr>
        <w:widowControl w:val="0"/>
        <w:autoSpaceDE w:val="0"/>
        <w:autoSpaceDN w:val="0"/>
        <w:adjustRightInd w:val="0"/>
        <w:spacing w:line="240" w:lineRule="auto"/>
        <w:rPr>
          <w:rFonts w:ascii="Cambria" w:eastAsia="Calibri" w:hAnsi="Cambria"/>
          <w:color w:val="1F497D"/>
          <w:kern w:val="0"/>
          <w:sz w:val="20"/>
          <w:szCs w:val="20"/>
          <w14:ligatures w14:val="none"/>
        </w:rPr>
      </w:pPr>
    </w:p>
    <w:tbl>
      <w:tblPr>
        <w:tblW w:w="5000" w:type="pct"/>
        <w:tblLook w:val="04A0" w:firstRow="1" w:lastRow="0" w:firstColumn="1" w:lastColumn="0" w:noHBand="0" w:noVBand="1"/>
      </w:tblPr>
      <w:tblGrid>
        <w:gridCol w:w="2184"/>
        <w:gridCol w:w="7156"/>
      </w:tblGrid>
      <w:tr w:rsidR="00356084" w:rsidRPr="005756CE" w14:paraId="597C3173" w14:textId="77777777" w:rsidTr="00A84B4C">
        <w:tc>
          <w:tcPr>
            <w:tcW w:w="1169" w:type="pct"/>
            <w:tcBorders>
              <w:top w:val="single" w:sz="8" w:space="0" w:color="auto"/>
              <w:left w:val="single" w:sz="8" w:space="0" w:color="auto"/>
              <w:bottom w:val="single" w:sz="8" w:space="0" w:color="auto"/>
              <w:right w:val="single" w:sz="8" w:space="0" w:color="auto"/>
            </w:tcBorders>
            <w:noWrap/>
            <w:vAlign w:val="center"/>
            <w:hideMark/>
          </w:tcPr>
          <w:p w14:paraId="4560FE29" w14:textId="77777777" w:rsidR="00356084" w:rsidRPr="005756CE" w:rsidRDefault="00356084" w:rsidP="001E71F8">
            <w:pPr>
              <w:spacing w:line="240" w:lineRule="auto"/>
              <w:jc w:val="center"/>
              <w:rPr>
                <w:rFonts w:ascii="Cambria" w:eastAsia="Times New Roman" w:hAnsi="Cambria" w:cs="Calibri"/>
                <w:i/>
                <w:iCs/>
                <w:color w:val="000000"/>
                <w:kern w:val="0"/>
                <w:sz w:val="20"/>
                <w:szCs w:val="20"/>
                <w14:ligatures w14:val="none"/>
              </w:rPr>
            </w:pPr>
            <w:r w:rsidRPr="005756CE">
              <w:rPr>
                <w:rFonts w:ascii="Cambria" w:hAnsi="Cambria"/>
                <w:i/>
                <w:color w:val="000000"/>
                <w:sz w:val="20"/>
                <w:szCs w:val="20"/>
              </w:rPr>
              <w:t>CPC</w:t>
            </w:r>
          </w:p>
        </w:tc>
        <w:tc>
          <w:tcPr>
            <w:tcW w:w="3831" w:type="pct"/>
            <w:tcBorders>
              <w:top w:val="single" w:sz="8" w:space="0" w:color="auto"/>
              <w:left w:val="nil"/>
              <w:bottom w:val="single" w:sz="8" w:space="0" w:color="auto"/>
              <w:right w:val="single" w:sz="8" w:space="0" w:color="auto"/>
            </w:tcBorders>
            <w:noWrap/>
            <w:vAlign w:val="center"/>
            <w:hideMark/>
          </w:tcPr>
          <w:p w14:paraId="35034509" w14:textId="77777777" w:rsidR="00356084" w:rsidRPr="005756CE" w:rsidRDefault="00356084" w:rsidP="001E71F8">
            <w:pPr>
              <w:spacing w:line="240" w:lineRule="auto"/>
              <w:jc w:val="center"/>
              <w:rPr>
                <w:rFonts w:ascii="Cambria" w:eastAsia="Times New Roman" w:hAnsi="Cambria" w:cs="Calibri"/>
                <w:i/>
                <w:iCs/>
                <w:color w:val="000000"/>
                <w:kern w:val="0"/>
                <w:sz w:val="20"/>
                <w:szCs w:val="20"/>
                <w14:ligatures w14:val="none"/>
              </w:rPr>
            </w:pPr>
            <w:r w:rsidRPr="005756CE">
              <w:rPr>
                <w:rFonts w:ascii="Cambria" w:hAnsi="Cambria"/>
                <w:i/>
                <w:color w:val="000000"/>
                <w:sz w:val="20"/>
                <w:szCs w:val="20"/>
              </w:rPr>
              <w:t>Réponse</w:t>
            </w:r>
          </w:p>
        </w:tc>
      </w:tr>
      <w:tr w:rsidR="00356084" w:rsidRPr="005756CE" w14:paraId="68AA6DA8" w14:textId="77777777" w:rsidTr="00C849C0">
        <w:trPr>
          <w:trHeight w:val="1493"/>
        </w:trPr>
        <w:tc>
          <w:tcPr>
            <w:tcW w:w="1169" w:type="pct"/>
            <w:tcBorders>
              <w:top w:val="nil"/>
              <w:left w:val="single" w:sz="8" w:space="0" w:color="auto"/>
              <w:bottom w:val="single" w:sz="8" w:space="0" w:color="auto"/>
              <w:right w:val="single" w:sz="8" w:space="0" w:color="auto"/>
            </w:tcBorders>
            <w:noWrap/>
            <w:vAlign w:val="center"/>
            <w:hideMark/>
          </w:tcPr>
          <w:p w14:paraId="0C81F80D" w14:textId="77777777" w:rsidR="00356084" w:rsidRPr="005756CE" w:rsidRDefault="00356084"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t>Belize</w:t>
            </w:r>
          </w:p>
        </w:tc>
        <w:tc>
          <w:tcPr>
            <w:tcW w:w="3831" w:type="pct"/>
            <w:tcBorders>
              <w:top w:val="nil"/>
              <w:left w:val="nil"/>
              <w:bottom w:val="single" w:sz="8" w:space="0" w:color="auto"/>
              <w:right w:val="single" w:sz="8" w:space="0" w:color="auto"/>
            </w:tcBorders>
            <w:vAlign w:val="center"/>
            <w:hideMark/>
          </w:tcPr>
          <w:p w14:paraId="7115B415" w14:textId="77777777" w:rsidR="00356084" w:rsidRPr="005756CE" w:rsidRDefault="00356084" w:rsidP="001E71F8">
            <w:pPr>
              <w:spacing w:line="240" w:lineRule="auto"/>
              <w:jc w:val="both"/>
              <w:rPr>
                <w:rFonts w:ascii="Cambria" w:eastAsia="Times New Roman" w:hAnsi="Cambria" w:cs="Calibri"/>
                <w:kern w:val="0"/>
                <w:sz w:val="20"/>
                <w:szCs w:val="20"/>
                <w14:ligatures w14:val="none"/>
              </w:rPr>
            </w:pPr>
            <w:r w:rsidRPr="005756CE">
              <w:rPr>
                <w:rFonts w:ascii="Cambria" w:hAnsi="Cambria"/>
                <w:sz w:val="20"/>
                <w:szCs w:val="20"/>
              </w:rPr>
              <w:t>Le Belize a instauré une limite de capture accessoire à bord pour toutes les espèces, y compris l’espadon de l’Atlantique Nord. La limite de prise accessoire établie pour les navires non autorisés à pêcher exclusivement cette espèce est de 10 t. Cette quantité est prise en compte dans l'allocation globale du quota pour le Belize. Cependant, aucun navire n’a déclaré de prise accessoire d’espadon de l’Atlantique Sud.</w:t>
            </w:r>
          </w:p>
        </w:tc>
      </w:tr>
      <w:tr w:rsidR="00356084" w:rsidRPr="005756CE" w14:paraId="49EFF28F" w14:textId="77777777" w:rsidTr="00A84B4C">
        <w:tc>
          <w:tcPr>
            <w:tcW w:w="1169" w:type="pct"/>
            <w:tcBorders>
              <w:top w:val="nil"/>
              <w:left w:val="single" w:sz="8" w:space="0" w:color="auto"/>
              <w:bottom w:val="single" w:sz="8" w:space="0" w:color="auto"/>
              <w:right w:val="single" w:sz="8" w:space="0" w:color="auto"/>
            </w:tcBorders>
            <w:noWrap/>
            <w:vAlign w:val="center"/>
            <w:hideMark/>
          </w:tcPr>
          <w:p w14:paraId="6D3DB2C0" w14:textId="77777777" w:rsidR="00356084" w:rsidRPr="005756CE" w:rsidRDefault="00356084"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t xml:space="preserve">Chine </w:t>
            </w:r>
          </w:p>
        </w:tc>
        <w:tc>
          <w:tcPr>
            <w:tcW w:w="3831" w:type="pct"/>
            <w:tcBorders>
              <w:top w:val="nil"/>
              <w:left w:val="nil"/>
              <w:bottom w:val="single" w:sz="8" w:space="0" w:color="auto"/>
              <w:right w:val="single" w:sz="8" w:space="0" w:color="auto"/>
            </w:tcBorders>
            <w:vAlign w:val="center"/>
            <w:hideMark/>
          </w:tcPr>
          <w:p w14:paraId="72FF5F17" w14:textId="40DB709A" w:rsidR="00356084" w:rsidRPr="005756CE" w:rsidRDefault="00356084" w:rsidP="001E71F8">
            <w:pPr>
              <w:spacing w:line="240" w:lineRule="auto"/>
              <w:jc w:val="both"/>
              <w:rPr>
                <w:rFonts w:ascii="Cambria" w:eastAsia="Times New Roman" w:hAnsi="Cambria" w:cs="Calibri"/>
                <w:kern w:val="0"/>
                <w:sz w:val="20"/>
                <w:szCs w:val="20"/>
                <w14:ligatures w14:val="none"/>
              </w:rPr>
            </w:pPr>
            <w:r w:rsidRPr="005756CE">
              <w:rPr>
                <w:rFonts w:ascii="Cambria" w:hAnsi="Cambria"/>
                <w:sz w:val="20"/>
                <w:szCs w:val="20"/>
              </w:rPr>
              <w:t>La Chine n'a pas de navires ciblant l'espadon du Nord et l'espadon du Sud. Tous les espadons sont capturés comme prises accessoires et les palangriers tropicaux peuvent capturer de l'espadon comme prise accessoire. En 202</w:t>
            </w:r>
            <w:r w:rsidR="004C22DB" w:rsidRPr="005756CE">
              <w:rPr>
                <w:rFonts w:ascii="Cambria" w:hAnsi="Cambria"/>
                <w:sz w:val="20"/>
                <w:szCs w:val="20"/>
              </w:rPr>
              <w:t>4</w:t>
            </w:r>
            <w:r w:rsidRPr="005756CE">
              <w:rPr>
                <w:rFonts w:ascii="Cambria" w:hAnsi="Cambria"/>
                <w:sz w:val="20"/>
                <w:szCs w:val="20"/>
              </w:rPr>
              <w:t>, la Chine disposait de quotas de 115 t d'espadon du Nord et de 344,3 t d'espadon du Sud. La Chine a fixé une limite de capture d'espadon du Nord et du Sud pour chaque palangrier sur la base du TAC alloué à la Chine conformément aux recommandations concernant ces espèces. Chaque navire doit respecter strictement la limite de capture qui lui est fixée.</w:t>
            </w:r>
          </w:p>
        </w:tc>
      </w:tr>
      <w:tr w:rsidR="00A8225B" w:rsidRPr="005756CE" w14:paraId="70396FF0" w14:textId="77777777" w:rsidTr="00A84B4C">
        <w:tc>
          <w:tcPr>
            <w:tcW w:w="1169" w:type="pct"/>
            <w:tcBorders>
              <w:top w:val="nil"/>
              <w:left w:val="single" w:sz="8" w:space="0" w:color="auto"/>
              <w:bottom w:val="single" w:sz="8" w:space="0" w:color="auto"/>
              <w:right w:val="single" w:sz="8" w:space="0" w:color="auto"/>
            </w:tcBorders>
            <w:noWrap/>
            <w:vAlign w:val="center"/>
            <w:hideMark/>
          </w:tcPr>
          <w:p w14:paraId="6492FAE3" w14:textId="77777777" w:rsidR="00A8225B" w:rsidRPr="005756CE" w:rsidRDefault="00A8225B"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t>Curaçao</w:t>
            </w:r>
          </w:p>
        </w:tc>
        <w:tc>
          <w:tcPr>
            <w:tcW w:w="3831" w:type="pct"/>
            <w:tcBorders>
              <w:top w:val="nil"/>
              <w:left w:val="nil"/>
              <w:bottom w:val="single" w:sz="8" w:space="0" w:color="auto"/>
              <w:right w:val="single" w:sz="8" w:space="0" w:color="auto"/>
            </w:tcBorders>
            <w:vAlign w:val="center"/>
            <w:hideMark/>
          </w:tcPr>
          <w:p w14:paraId="75AFB180" w14:textId="2DEC4648" w:rsidR="00A8225B" w:rsidRPr="005756CE" w:rsidRDefault="00A8225B" w:rsidP="001E71F8">
            <w:pPr>
              <w:spacing w:line="240" w:lineRule="auto"/>
              <w:jc w:val="both"/>
              <w:rPr>
                <w:rFonts w:ascii="Cambria" w:eastAsia="Times New Roman" w:hAnsi="Cambria" w:cs="Calibri"/>
                <w:kern w:val="0"/>
                <w:sz w:val="20"/>
                <w:szCs w:val="20"/>
                <w14:ligatures w14:val="none"/>
              </w:rPr>
            </w:pPr>
            <w:r w:rsidRPr="005756CE">
              <w:rPr>
                <w:rFonts w:ascii="Cambria" w:hAnsi="Cambria"/>
                <w:sz w:val="20"/>
                <w:szCs w:val="20"/>
              </w:rPr>
              <w:t>Dans le cas des activités de pêche, Curaçao a conclu un accord avec les navires sur un maximum de 10 t de prise accessoire. Dans ce cas, il n'y a pas eu d'activités de pêche en 2024.</w:t>
            </w:r>
          </w:p>
        </w:tc>
      </w:tr>
      <w:tr w:rsidR="00191467" w:rsidRPr="005756CE" w14:paraId="2C0FC9EF" w14:textId="77777777" w:rsidTr="00A84B4C">
        <w:tc>
          <w:tcPr>
            <w:tcW w:w="1169" w:type="pct"/>
            <w:tcBorders>
              <w:top w:val="nil"/>
              <w:left w:val="single" w:sz="8" w:space="0" w:color="auto"/>
              <w:bottom w:val="single" w:sz="8" w:space="0" w:color="auto"/>
              <w:right w:val="single" w:sz="8" w:space="0" w:color="auto"/>
            </w:tcBorders>
            <w:noWrap/>
            <w:vAlign w:val="center"/>
            <w:hideMark/>
          </w:tcPr>
          <w:p w14:paraId="66882E84" w14:textId="77777777" w:rsidR="00191467" w:rsidRPr="005756CE" w:rsidRDefault="00191467"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t>Union européenne</w:t>
            </w:r>
          </w:p>
        </w:tc>
        <w:tc>
          <w:tcPr>
            <w:tcW w:w="3831" w:type="pct"/>
            <w:tcBorders>
              <w:top w:val="nil"/>
              <w:left w:val="nil"/>
              <w:bottom w:val="single" w:sz="8" w:space="0" w:color="auto"/>
              <w:right w:val="single" w:sz="8" w:space="0" w:color="auto"/>
            </w:tcBorders>
            <w:vAlign w:val="center"/>
            <w:hideMark/>
          </w:tcPr>
          <w:p w14:paraId="116D6030" w14:textId="5BA99FD8" w:rsidR="00191467" w:rsidRPr="005756CE" w:rsidRDefault="00191467" w:rsidP="001E71F8">
            <w:pPr>
              <w:spacing w:line="240" w:lineRule="auto"/>
              <w:jc w:val="both"/>
              <w:rPr>
                <w:rFonts w:ascii="Cambria" w:eastAsia="Times New Roman" w:hAnsi="Cambria" w:cs="Calibri"/>
                <w:color w:val="000000"/>
                <w:kern w:val="0"/>
                <w:sz w:val="20"/>
                <w:szCs w:val="20"/>
                <w14:ligatures w14:val="none"/>
              </w:rPr>
            </w:pPr>
            <w:r w:rsidRPr="005756CE">
              <w:rPr>
                <w:rFonts w:ascii="Cambria" w:hAnsi="Cambria"/>
                <w:color w:val="000000"/>
                <w:sz w:val="20"/>
                <w:szCs w:val="20"/>
              </w:rPr>
              <w:t>Les limites de prises accessoires peuvent varier selon l'État membre de l'UE. Des détails supplémentaires sont inclus dans la section 2 de son rapport annuel.</w:t>
            </w:r>
          </w:p>
        </w:tc>
      </w:tr>
    </w:tbl>
    <w:p w14:paraId="6B9AA146" w14:textId="3A9D9B77" w:rsidR="00356084" w:rsidRPr="005756CE" w:rsidRDefault="00356084" w:rsidP="001E71F8">
      <w:pPr>
        <w:spacing w:line="240" w:lineRule="auto"/>
        <w:rPr>
          <w:rFonts w:ascii="Cambria" w:eastAsia="Times New Roman" w:hAnsi="Cambria" w:cs="Calibri"/>
          <w:color w:val="000000"/>
          <w:kern w:val="0"/>
          <w:sz w:val="20"/>
          <w:szCs w:val="20"/>
          <w14:ligatures w14:val="none"/>
        </w:rPr>
      </w:pPr>
    </w:p>
    <w:p w14:paraId="2629E1C2" w14:textId="3CF043CD"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bCs/>
          <w:iCs/>
          <w:kern w:val="0"/>
          <w:sz w:val="20"/>
          <w:szCs w:val="20"/>
          <w14:ligatures w14:val="none"/>
        </w:rPr>
      </w:pPr>
      <w:r w:rsidRPr="005756CE">
        <w:rPr>
          <w:rFonts w:ascii="Cambria" w:hAnsi="Cambria"/>
          <w:color w:val="000000"/>
          <w:sz w:val="20"/>
          <w:szCs w:val="20"/>
        </w:rPr>
        <w:t xml:space="preserve">Il convient de noter que les données ci-dessus ne concernent que </w:t>
      </w:r>
      <w:r w:rsidR="009247A4" w:rsidRPr="005756CE">
        <w:rPr>
          <w:rFonts w:ascii="Cambria" w:hAnsi="Cambria"/>
          <w:color w:val="000000"/>
          <w:sz w:val="20"/>
          <w:szCs w:val="20"/>
        </w:rPr>
        <w:t>les CPC</w:t>
      </w:r>
      <w:r w:rsidRPr="005756CE">
        <w:rPr>
          <w:rFonts w:ascii="Cambria" w:hAnsi="Cambria"/>
          <w:color w:val="000000"/>
          <w:sz w:val="20"/>
          <w:szCs w:val="20"/>
        </w:rPr>
        <w:t xml:space="preserve"> ayant indiqué qu'une limite avait été fixée. Dans de nombreux cas, aucune limite n'est fixée car tous les navires concernés disposent d'une licence et/ou que les prises accessoires ne sont pas autorisées.</w:t>
      </w:r>
      <w:r w:rsidR="00BD5357" w:rsidRPr="005756CE">
        <w:rPr>
          <w:rFonts w:ascii="Cambria" w:hAnsi="Cambria"/>
          <w:color w:val="000000"/>
          <w:sz w:val="20"/>
          <w:szCs w:val="20"/>
        </w:rPr>
        <w:t xml:space="preserve"> Toutefois, certaines </w:t>
      </w:r>
      <w:r w:rsidRPr="005756CE">
        <w:rPr>
          <w:rFonts w:ascii="Cambria" w:hAnsi="Cambria"/>
          <w:color w:val="000000"/>
          <w:sz w:val="20"/>
          <w:szCs w:val="20"/>
        </w:rPr>
        <w:t xml:space="preserve">réponses </w:t>
      </w:r>
      <w:r w:rsidR="00BD5357" w:rsidRPr="005756CE">
        <w:rPr>
          <w:rFonts w:ascii="Cambria" w:hAnsi="Cambria"/>
          <w:color w:val="000000"/>
          <w:sz w:val="20"/>
          <w:szCs w:val="20"/>
        </w:rPr>
        <w:t>concernant les</w:t>
      </w:r>
      <w:r w:rsidRPr="005756CE">
        <w:rPr>
          <w:rFonts w:ascii="Cambria" w:hAnsi="Cambria"/>
          <w:color w:val="000000"/>
          <w:sz w:val="20"/>
          <w:szCs w:val="20"/>
        </w:rPr>
        <w:t xml:space="preserve"> limites maximales de prises accessoires sont incohérentes, les CPC n'ayant pas lu ou compris l'exigence. Dans plusieurs cas, les espèces sont mélangées ou des réponses </w:t>
      </w:r>
      <w:r w:rsidR="00B30BE1" w:rsidRPr="005756CE">
        <w:rPr>
          <w:rFonts w:ascii="Cambria" w:hAnsi="Cambria"/>
          <w:color w:val="000000"/>
          <w:sz w:val="20"/>
          <w:szCs w:val="20"/>
        </w:rPr>
        <w:t>complètement hors de propos</w:t>
      </w:r>
      <w:r w:rsidRPr="005756CE">
        <w:rPr>
          <w:rFonts w:ascii="Cambria" w:hAnsi="Cambria"/>
          <w:color w:val="000000"/>
          <w:sz w:val="20"/>
          <w:szCs w:val="20"/>
        </w:rPr>
        <w:t xml:space="preserve"> sont fournies </w:t>
      </w:r>
      <w:r w:rsidR="00E44864" w:rsidRPr="005756CE">
        <w:rPr>
          <w:rFonts w:ascii="Cambria" w:hAnsi="Cambria"/>
          <w:color w:val="000000"/>
          <w:sz w:val="20"/>
          <w:szCs w:val="20"/>
        </w:rPr>
        <w:t>(</w:t>
      </w:r>
      <w:r w:rsidRPr="005756CE">
        <w:rPr>
          <w:rFonts w:ascii="Cambria" w:hAnsi="Cambria"/>
          <w:color w:val="000000"/>
          <w:sz w:val="20"/>
          <w:szCs w:val="20"/>
        </w:rPr>
        <w:t>par exemple : il n’y a pas de pêcherie ciblant cette espèce, il n’y a pas de navires sous pavillon de xx pêchant cette espèce</w:t>
      </w:r>
      <w:r w:rsidR="00E44864" w:rsidRPr="005756CE">
        <w:rPr>
          <w:rFonts w:ascii="Cambria" w:hAnsi="Cambria"/>
          <w:color w:val="000000"/>
          <w:sz w:val="20"/>
          <w:szCs w:val="20"/>
        </w:rPr>
        <w:t>)</w:t>
      </w:r>
      <w:r w:rsidRPr="005756CE">
        <w:rPr>
          <w:rFonts w:ascii="Cambria" w:hAnsi="Cambria"/>
          <w:color w:val="000000"/>
          <w:sz w:val="20"/>
          <w:szCs w:val="20"/>
        </w:rPr>
        <w:t>.</w:t>
      </w:r>
    </w:p>
    <w:p w14:paraId="2FC69589"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bCs/>
          <w:i/>
          <w:kern w:val="0"/>
          <w:sz w:val="20"/>
          <w:szCs w:val="20"/>
          <w14:ligatures w14:val="none"/>
        </w:rPr>
      </w:pPr>
    </w:p>
    <w:p w14:paraId="20D97671" w14:textId="61E9F657" w:rsidR="00227CB5" w:rsidRPr="005756CE" w:rsidRDefault="00227CB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b/>
          <w:bCs/>
          <w:i/>
          <w:iCs/>
          <w:sz w:val="20"/>
          <w:szCs w:val="20"/>
        </w:rPr>
        <w:t xml:space="preserve">Application des </w:t>
      </w:r>
      <w:r w:rsidRPr="005756CE">
        <w:rPr>
          <w:rFonts w:ascii="Cambria" w:hAnsi="Cambria"/>
          <w:b/>
          <w:i/>
          <w:iCs/>
          <w:sz w:val="20"/>
          <w:szCs w:val="20"/>
        </w:rPr>
        <w:t xml:space="preserve">quotas/limites de capture </w:t>
      </w:r>
      <w:r w:rsidRPr="005756CE">
        <w:rPr>
          <w:rFonts w:ascii="Cambria" w:hAnsi="Cambria"/>
          <w:i/>
          <w:iCs/>
          <w:sz w:val="20"/>
          <w:szCs w:val="20"/>
        </w:rPr>
        <w:t>:</w:t>
      </w:r>
      <w:r w:rsidRPr="005756CE">
        <w:rPr>
          <w:rFonts w:ascii="Cambria" w:hAnsi="Cambria"/>
          <w:sz w:val="20"/>
          <w:szCs w:val="20"/>
        </w:rPr>
        <w:t xml:space="preserve"> Veuillez consulter les « Tableaux d’application de 202</w:t>
      </w:r>
      <w:r w:rsidR="005A5E7A" w:rsidRPr="005756CE">
        <w:rPr>
          <w:rFonts w:ascii="Cambria" w:hAnsi="Cambria"/>
          <w:sz w:val="20"/>
          <w:szCs w:val="20"/>
        </w:rPr>
        <w:t>4</w:t>
      </w:r>
      <w:r w:rsidRPr="005756CE">
        <w:rPr>
          <w:rFonts w:ascii="Cambria" w:hAnsi="Cambria"/>
          <w:sz w:val="20"/>
          <w:szCs w:val="20"/>
        </w:rPr>
        <w:t xml:space="preserve"> reçus en 202</w:t>
      </w:r>
      <w:r w:rsidR="005A5E7A" w:rsidRPr="005756CE">
        <w:rPr>
          <w:rFonts w:ascii="Cambria" w:hAnsi="Cambria"/>
          <w:sz w:val="20"/>
          <w:szCs w:val="20"/>
        </w:rPr>
        <w:t>5</w:t>
      </w:r>
      <w:r w:rsidRPr="005756CE">
        <w:rPr>
          <w:rFonts w:ascii="Cambria" w:hAnsi="Cambria"/>
          <w:sz w:val="20"/>
          <w:szCs w:val="20"/>
        </w:rPr>
        <w:t> » [COC-304/202</w:t>
      </w:r>
      <w:r w:rsidR="005A5E7A" w:rsidRPr="005756CE">
        <w:rPr>
          <w:rFonts w:ascii="Cambria" w:hAnsi="Cambria"/>
          <w:sz w:val="20"/>
          <w:szCs w:val="20"/>
        </w:rPr>
        <w:t>5</w:t>
      </w:r>
      <w:r w:rsidRPr="005756CE">
        <w:rPr>
          <w:rFonts w:ascii="Cambria" w:hAnsi="Cambria"/>
          <w:sz w:val="20"/>
          <w:szCs w:val="20"/>
        </w:rPr>
        <w:t>).</w:t>
      </w:r>
    </w:p>
    <w:p w14:paraId="33A21756"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
          <w:bCs/>
          <w:kern w:val="0"/>
          <w:sz w:val="20"/>
          <w:szCs w:val="20"/>
          <w14:ligatures w14:val="none"/>
        </w:rPr>
      </w:pPr>
    </w:p>
    <w:p w14:paraId="6C661CB9"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
          <w:bCs/>
          <w:kern w:val="0"/>
          <w:sz w:val="20"/>
          <w:szCs w:val="20"/>
          <w14:ligatures w14:val="none"/>
        </w:rPr>
      </w:pPr>
    </w:p>
    <w:p w14:paraId="2468E749"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
          <w:bCs/>
          <w:i/>
          <w:iCs/>
          <w:kern w:val="0"/>
          <w:sz w:val="20"/>
          <w:szCs w:val="20"/>
          <w14:ligatures w14:val="none"/>
        </w:rPr>
      </w:pPr>
      <w:r w:rsidRPr="005756CE">
        <w:rPr>
          <w:rFonts w:ascii="Cambria" w:hAnsi="Cambria"/>
          <w:b/>
          <w:sz w:val="20"/>
          <w:szCs w:val="20"/>
        </w:rPr>
        <w:t xml:space="preserve">ALB - GERMON </w:t>
      </w:r>
      <w:r w:rsidRPr="005756CE">
        <w:rPr>
          <w:rFonts w:ascii="Cambria" w:hAnsi="Cambria"/>
          <w:b/>
          <w:i/>
          <w:sz w:val="20"/>
          <w:szCs w:val="20"/>
        </w:rPr>
        <w:t>(</w:t>
      </w:r>
      <w:proofErr w:type="spellStart"/>
      <w:r w:rsidRPr="005756CE">
        <w:rPr>
          <w:rFonts w:ascii="Cambria" w:hAnsi="Cambria"/>
          <w:b/>
          <w:i/>
          <w:sz w:val="20"/>
          <w:szCs w:val="20"/>
        </w:rPr>
        <w:t>Thunnus</w:t>
      </w:r>
      <w:proofErr w:type="spellEnd"/>
      <w:r w:rsidRPr="005756CE">
        <w:rPr>
          <w:rFonts w:ascii="Cambria" w:hAnsi="Cambria"/>
          <w:b/>
          <w:i/>
          <w:sz w:val="20"/>
          <w:szCs w:val="20"/>
        </w:rPr>
        <w:t xml:space="preserve"> </w:t>
      </w:r>
      <w:proofErr w:type="spellStart"/>
      <w:r w:rsidRPr="005756CE">
        <w:rPr>
          <w:rFonts w:ascii="Cambria" w:hAnsi="Cambria"/>
          <w:b/>
          <w:i/>
          <w:sz w:val="20"/>
          <w:szCs w:val="20"/>
        </w:rPr>
        <w:t>alalunga</w:t>
      </w:r>
      <w:proofErr w:type="spellEnd"/>
      <w:r w:rsidRPr="005756CE">
        <w:rPr>
          <w:rFonts w:ascii="Cambria" w:hAnsi="Cambria"/>
          <w:b/>
          <w:i/>
          <w:sz w:val="20"/>
          <w:szCs w:val="20"/>
        </w:rPr>
        <w:t>)</w:t>
      </w:r>
    </w:p>
    <w:p w14:paraId="677D9B95"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b/>
          <w:bCs/>
          <w:i/>
          <w:iCs/>
          <w:kern w:val="0"/>
          <w:sz w:val="20"/>
          <w:szCs w:val="20"/>
          <w14:ligatures w14:val="none"/>
        </w:rPr>
      </w:pPr>
    </w:p>
    <w:p w14:paraId="6D99E0A5" w14:textId="603ADCAA"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hAnsi="Cambria"/>
          <w:i/>
          <w:sz w:val="20"/>
          <w:szCs w:val="20"/>
        </w:rPr>
        <w:t>[21-04]</w:t>
      </w:r>
      <w:r w:rsidR="00C849C0" w:rsidRPr="005756CE">
        <w:rPr>
          <w:rFonts w:ascii="Cambria" w:hAnsi="Cambria"/>
          <w:i/>
          <w:sz w:val="20"/>
          <w:szCs w:val="20"/>
        </w:rPr>
        <w:t xml:space="preserve"> </w:t>
      </w:r>
      <w:r w:rsidRPr="005756CE">
        <w:rPr>
          <w:rFonts w:ascii="Cambria" w:hAnsi="Cambria"/>
          <w:i/>
          <w:sz w:val="20"/>
          <w:szCs w:val="20"/>
        </w:rPr>
        <w:t>Recommandation de l'ICCAT sur des mesures de conservation et de gestion, incluant une procédure de gestion et un protocole de circonstances exceptionnelles, pour le germon de l’Atlantique Nord</w:t>
      </w:r>
      <w:r w:rsidR="004C22DB" w:rsidRPr="005756CE">
        <w:rPr>
          <w:rFonts w:ascii="Cambria" w:hAnsi="Cambria"/>
          <w:i/>
          <w:sz w:val="20"/>
          <w:szCs w:val="20"/>
        </w:rPr>
        <w:t xml:space="preserve">, </w:t>
      </w:r>
      <w:r w:rsidRPr="005756CE">
        <w:rPr>
          <w:rFonts w:ascii="Cambria" w:hAnsi="Cambria"/>
          <w:sz w:val="20"/>
          <w:szCs w:val="20"/>
        </w:rPr>
        <w:t xml:space="preserve">amendée par la </w:t>
      </w:r>
      <w:r w:rsidRPr="005756CE">
        <w:rPr>
          <w:rFonts w:ascii="Cambria" w:hAnsi="Cambria"/>
          <w:i/>
          <w:iCs/>
          <w:sz w:val="20"/>
          <w:szCs w:val="20"/>
        </w:rPr>
        <w:t>[23-05] Recommandation de l’ICCAT amendant la Recommandation 21-04 sur des mesures de conservation et de gestion, incluant une procédure de gestion et un protocole de circonstances exceptionnelles, pour le germon de l’Atlantique Nord</w:t>
      </w:r>
    </w:p>
    <w:p w14:paraId="434BFBDF"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i/>
          <w:kern w:val="0"/>
          <w:sz w:val="20"/>
          <w:szCs w:val="20"/>
          <w14:ligatures w14:val="none"/>
        </w:rPr>
      </w:pPr>
    </w:p>
    <w:p w14:paraId="550A836F" w14:textId="44D3B0B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Il n'est prévu aucune déclaration spécifique au Secrétariat de l’ICCAT si ce n'est à travers la section 4 des rapports annuels.</w:t>
      </w:r>
    </w:p>
    <w:p w14:paraId="0F6128F8"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bCs/>
          <w:kern w:val="0"/>
          <w:sz w:val="20"/>
          <w:szCs w:val="20"/>
          <w14:ligatures w14:val="none"/>
        </w:rPr>
      </w:pPr>
    </w:p>
    <w:p w14:paraId="1D6D7E4C"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sz w:val="20"/>
          <w:szCs w:val="20"/>
        </w:rPr>
        <w:t xml:space="preserve">En vertu de la Rec. 21-04, les navires autorisés de 20 m ou plus disposant d’autorisations spécifiques pour le germon du Nord figurent dans le </w:t>
      </w:r>
      <w:hyperlink r:id="rId14" w:history="1">
        <w:r w:rsidRPr="005756CE">
          <w:rPr>
            <w:rFonts w:ascii="Cambria" w:hAnsi="Cambria"/>
            <w:color w:val="0000FF"/>
            <w:sz w:val="20"/>
            <w:szCs w:val="20"/>
          </w:rPr>
          <w:t>Registre des navires de l’ICCAT</w:t>
        </w:r>
      </w:hyperlink>
      <w:r w:rsidRPr="005756CE">
        <w:rPr>
          <w:rFonts w:ascii="Cambria" w:hAnsi="Cambria"/>
          <w:sz w:val="20"/>
          <w:szCs w:val="20"/>
        </w:rPr>
        <w:t>.</w:t>
      </w:r>
    </w:p>
    <w:p w14:paraId="0C92F909"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p>
    <w:p w14:paraId="7D68966C" w14:textId="6B5A2E2B"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sz w:val="20"/>
          <w:szCs w:val="20"/>
        </w:rPr>
        <w:t xml:space="preserve">Une CPC dotée d'un quota </w:t>
      </w:r>
      <w:r w:rsidR="008E5B55" w:rsidRPr="005756CE">
        <w:rPr>
          <w:rFonts w:ascii="Cambria" w:hAnsi="Cambria"/>
          <w:sz w:val="20"/>
          <w:szCs w:val="20"/>
        </w:rPr>
        <w:t xml:space="preserve">(le Venezuela) </w:t>
      </w:r>
      <w:r w:rsidRPr="005756CE">
        <w:rPr>
          <w:rFonts w:ascii="Cambria" w:hAnsi="Cambria"/>
          <w:sz w:val="20"/>
          <w:szCs w:val="20"/>
        </w:rPr>
        <w:t xml:space="preserve">n’a </w:t>
      </w:r>
      <w:r w:rsidR="00C849C0" w:rsidRPr="005756CE">
        <w:rPr>
          <w:rFonts w:ascii="Cambria" w:hAnsi="Cambria"/>
          <w:sz w:val="20"/>
          <w:szCs w:val="20"/>
        </w:rPr>
        <w:t>ac</w:t>
      </w:r>
      <w:r w:rsidRPr="005756CE">
        <w:rPr>
          <w:rFonts w:ascii="Cambria" w:hAnsi="Cambria"/>
          <w:sz w:val="20"/>
          <w:szCs w:val="20"/>
        </w:rPr>
        <w:t>tuellement aucun navire (de 20 m ou plus) inscrit sur le Registre ICCAT des navires autorisés à capturer le germon du Nord</w:t>
      </w:r>
      <w:r w:rsidR="008E5B55" w:rsidRPr="005756CE">
        <w:rPr>
          <w:rFonts w:ascii="Cambria" w:hAnsi="Cambria"/>
          <w:sz w:val="20"/>
          <w:szCs w:val="20"/>
        </w:rPr>
        <w:t>.</w:t>
      </w:r>
    </w:p>
    <w:p w14:paraId="305FAA5E"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p>
    <w:p w14:paraId="611798CF"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En vertu de la Rec. 21-04, paragraphe 13, les CPC suivantes ont inclus des informations dans leurs rapports annuels sur la limite maximale de capture accessoire de germon du Nord à bord :</w:t>
      </w:r>
    </w:p>
    <w:p w14:paraId="614E3409"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p>
    <w:tbl>
      <w:tblPr>
        <w:tblW w:w="5000" w:type="pct"/>
        <w:tblLook w:val="04A0" w:firstRow="1" w:lastRow="0" w:firstColumn="1" w:lastColumn="0" w:noHBand="0" w:noVBand="1"/>
      </w:tblPr>
      <w:tblGrid>
        <w:gridCol w:w="1890"/>
        <w:gridCol w:w="7450"/>
      </w:tblGrid>
      <w:tr w:rsidR="00356084" w:rsidRPr="005756CE" w14:paraId="304EBD44" w14:textId="77777777" w:rsidTr="00A84B4C">
        <w:tc>
          <w:tcPr>
            <w:tcW w:w="1012" w:type="pct"/>
            <w:tcBorders>
              <w:top w:val="single" w:sz="8" w:space="0" w:color="auto"/>
              <w:left w:val="single" w:sz="8" w:space="0" w:color="auto"/>
              <w:bottom w:val="single" w:sz="8" w:space="0" w:color="auto"/>
              <w:right w:val="single" w:sz="8" w:space="0" w:color="auto"/>
            </w:tcBorders>
            <w:vAlign w:val="center"/>
            <w:hideMark/>
          </w:tcPr>
          <w:p w14:paraId="102F1A42" w14:textId="77777777" w:rsidR="00356084" w:rsidRPr="005756CE" w:rsidRDefault="00356084" w:rsidP="001E71F8">
            <w:pPr>
              <w:spacing w:line="240" w:lineRule="auto"/>
              <w:jc w:val="center"/>
              <w:rPr>
                <w:rFonts w:ascii="Cambria" w:eastAsia="Times New Roman" w:hAnsi="Cambria" w:cs="Calibri"/>
                <w:i/>
                <w:iCs/>
                <w:color w:val="000000"/>
                <w:kern w:val="0"/>
                <w:sz w:val="20"/>
                <w:szCs w:val="20"/>
                <w14:ligatures w14:val="none"/>
              </w:rPr>
            </w:pPr>
            <w:r w:rsidRPr="005756CE">
              <w:rPr>
                <w:rFonts w:ascii="Cambria" w:hAnsi="Cambria"/>
                <w:i/>
                <w:color w:val="000000"/>
                <w:sz w:val="20"/>
                <w:szCs w:val="20"/>
              </w:rPr>
              <w:t>CPC</w:t>
            </w:r>
          </w:p>
        </w:tc>
        <w:tc>
          <w:tcPr>
            <w:tcW w:w="3988" w:type="pct"/>
            <w:tcBorders>
              <w:top w:val="single" w:sz="8" w:space="0" w:color="auto"/>
              <w:left w:val="nil"/>
              <w:bottom w:val="single" w:sz="8" w:space="0" w:color="auto"/>
              <w:right w:val="single" w:sz="8" w:space="0" w:color="auto"/>
            </w:tcBorders>
            <w:vAlign w:val="center"/>
            <w:hideMark/>
          </w:tcPr>
          <w:p w14:paraId="7A0F1969" w14:textId="77777777" w:rsidR="00356084" w:rsidRPr="005756CE" w:rsidRDefault="00356084" w:rsidP="001E71F8">
            <w:pPr>
              <w:spacing w:line="240" w:lineRule="auto"/>
              <w:jc w:val="center"/>
              <w:rPr>
                <w:rFonts w:ascii="Cambria" w:eastAsia="Times New Roman" w:hAnsi="Cambria" w:cs="Calibri"/>
                <w:i/>
                <w:iCs/>
                <w:color w:val="000000"/>
                <w:kern w:val="0"/>
                <w:sz w:val="20"/>
                <w:szCs w:val="20"/>
                <w14:ligatures w14:val="none"/>
              </w:rPr>
            </w:pPr>
            <w:r w:rsidRPr="005756CE">
              <w:rPr>
                <w:rFonts w:ascii="Cambria" w:hAnsi="Cambria"/>
                <w:i/>
                <w:color w:val="000000"/>
                <w:sz w:val="20"/>
                <w:szCs w:val="20"/>
              </w:rPr>
              <w:t>Réponse</w:t>
            </w:r>
          </w:p>
        </w:tc>
      </w:tr>
      <w:tr w:rsidR="00356084" w:rsidRPr="005756CE" w14:paraId="0E024DE4" w14:textId="77777777" w:rsidTr="00A84B4C">
        <w:tc>
          <w:tcPr>
            <w:tcW w:w="1012" w:type="pct"/>
            <w:tcBorders>
              <w:top w:val="nil"/>
              <w:left w:val="single" w:sz="8" w:space="0" w:color="auto"/>
              <w:bottom w:val="single" w:sz="8" w:space="0" w:color="auto"/>
              <w:right w:val="single" w:sz="8" w:space="0" w:color="auto"/>
            </w:tcBorders>
            <w:vAlign w:val="center"/>
            <w:hideMark/>
          </w:tcPr>
          <w:p w14:paraId="57BFB7BD" w14:textId="77777777" w:rsidR="00356084" w:rsidRPr="005756CE" w:rsidRDefault="00356084"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t>Belize</w:t>
            </w:r>
          </w:p>
        </w:tc>
        <w:tc>
          <w:tcPr>
            <w:tcW w:w="3988" w:type="pct"/>
            <w:tcBorders>
              <w:top w:val="nil"/>
              <w:left w:val="nil"/>
              <w:bottom w:val="single" w:sz="8" w:space="0" w:color="auto"/>
              <w:right w:val="single" w:sz="8" w:space="0" w:color="auto"/>
            </w:tcBorders>
            <w:vAlign w:val="center"/>
            <w:hideMark/>
          </w:tcPr>
          <w:p w14:paraId="70F8A5EC" w14:textId="7DAA13BD" w:rsidR="00356084" w:rsidRPr="005756CE" w:rsidRDefault="00356084" w:rsidP="001E71F8">
            <w:pPr>
              <w:spacing w:line="240" w:lineRule="auto"/>
              <w:jc w:val="both"/>
              <w:rPr>
                <w:rFonts w:ascii="Cambria" w:eastAsia="Times New Roman" w:hAnsi="Cambria" w:cs="Calibri"/>
                <w:kern w:val="0"/>
                <w:sz w:val="20"/>
                <w:szCs w:val="20"/>
                <w14:ligatures w14:val="none"/>
              </w:rPr>
            </w:pPr>
            <w:r w:rsidRPr="005756CE">
              <w:rPr>
                <w:rFonts w:ascii="Cambria" w:hAnsi="Cambria"/>
                <w:sz w:val="20"/>
                <w:szCs w:val="20"/>
              </w:rPr>
              <w:t>Le Belize a instauré une limite de capture accessoire à bord pour toutes les espèces, y compris l’espadon de l’Atlantique Nord. La limite de prises accessoires fixée pour les navires non autorisés à pêcher exclusivement cette espèce est de 10 t. Cette quantité est prise en compte dans l'allocation globale de quota pour le Belize. Cependant, aucun navire n’a déclaré de prise accessoire de germon du Nord.</w:t>
            </w:r>
          </w:p>
        </w:tc>
      </w:tr>
      <w:tr w:rsidR="00356084" w:rsidRPr="005756CE" w14:paraId="79CE4D56" w14:textId="77777777" w:rsidTr="00A84B4C">
        <w:tc>
          <w:tcPr>
            <w:tcW w:w="1012" w:type="pct"/>
            <w:tcBorders>
              <w:top w:val="nil"/>
              <w:left w:val="single" w:sz="8" w:space="0" w:color="auto"/>
              <w:bottom w:val="single" w:sz="8" w:space="0" w:color="auto"/>
              <w:right w:val="single" w:sz="8" w:space="0" w:color="auto"/>
            </w:tcBorders>
            <w:vAlign w:val="center"/>
            <w:hideMark/>
          </w:tcPr>
          <w:p w14:paraId="0972E0C0" w14:textId="77777777" w:rsidR="00356084" w:rsidRPr="005756CE" w:rsidRDefault="00356084"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t>Chine</w:t>
            </w:r>
          </w:p>
        </w:tc>
        <w:tc>
          <w:tcPr>
            <w:tcW w:w="3988" w:type="pct"/>
            <w:tcBorders>
              <w:top w:val="nil"/>
              <w:left w:val="nil"/>
              <w:bottom w:val="single" w:sz="8" w:space="0" w:color="auto"/>
              <w:right w:val="single" w:sz="8" w:space="0" w:color="auto"/>
            </w:tcBorders>
            <w:vAlign w:val="center"/>
            <w:hideMark/>
          </w:tcPr>
          <w:p w14:paraId="1724CCB7" w14:textId="431821D5" w:rsidR="00356084" w:rsidRPr="005756CE" w:rsidRDefault="00356084" w:rsidP="001E71F8">
            <w:pPr>
              <w:spacing w:line="240" w:lineRule="auto"/>
              <w:jc w:val="both"/>
              <w:rPr>
                <w:rFonts w:ascii="Cambria" w:eastAsia="Times New Roman" w:hAnsi="Cambria" w:cs="Calibri"/>
                <w:kern w:val="0"/>
                <w:sz w:val="20"/>
                <w:szCs w:val="20"/>
                <w14:ligatures w14:val="none"/>
              </w:rPr>
            </w:pPr>
            <w:r w:rsidRPr="005756CE">
              <w:rPr>
                <w:rFonts w:ascii="Cambria" w:hAnsi="Cambria"/>
                <w:sz w:val="20"/>
                <w:szCs w:val="20"/>
              </w:rPr>
              <w:t>La Chine n'a pas de navires ciblant le germon du Nord et le germon du Sud, tous les germons sont capturés comme prises accessoires et les palangriers tropicaux peuvent capturer du germon comme prise accessoire. En 202</w:t>
            </w:r>
            <w:r w:rsidR="004C22DB" w:rsidRPr="005756CE">
              <w:rPr>
                <w:rFonts w:ascii="Cambria" w:hAnsi="Cambria"/>
                <w:sz w:val="20"/>
                <w:szCs w:val="20"/>
              </w:rPr>
              <w:t>4</w:t>
            </w:r>
            <w:r w:rsidRPr="005756CE">
              <w:rPr>
                <w:rFonts w:ascii="Cambria" w:hAnsi="Cambria"/>
                <w:sz w:val="20"/>
                <w:szCs w:val="20"/>
              </w:rPr>
              <w:t xml:space="preserve">, la Chine disposait de </w:t>
            </w:r>
            <w:r w:rsidR="00B66331" w:rsidRPr="005756CE">
              <w:rPr>
                <w:rFonts w:ascii="Cambria" w:hAnsi="Cambria" w:cs="Calibri"/>
                <w:sz w:val="20"/>
                <w:szCs w:val="20"/>
                <w:lang w:eastAsia="en-GB"/>
              </w:rPr>
              <w:t xml:space="preserve">357,88 t </w:t>
            </w:r>
            <w:r w:rsidRPr="005756CE">
              <w:rPr>
                <w:rFonts w:ascii="Cambria" w:hAnsi="Cambria"/>
                <w:sz w:val="20"/>
                <w:szCs w:val="20"/>
              </w:rPr>
              <w:t>de germon du Nord et de 2</w:t>
            </w:r>
            <w:r w:rsidR="00B66331" w:rsidRPr="005756CE">
              <w:rPr>
                <w:rFonts w:ascii="Cambria" w:hAnsi="Cambria"/>
                <w:sz w:val="20"/>
                <w:szCs w:val="20"/>
              </w:rPr>
              <w:t>42,98</w:t>
            </w:r>
            <w:r w:rsidRPr="005756CE">
              <w:rPr>
                <w:rFonts w:ascii="Cambria" w:hAnsi="Cambria"/>
                <w:sz w:val="20"/>
                <w:szCs w:val="20"/>
              </w:rPr>
              <w:t xml:space="preserve"> t de germon du Sud. La Chine a fixé une limite de capture pour le germon du Nord et du Sud pour chaque palangrier sur la base du TAC alloué à la Chine conformément aux recommandations concernant ces espèces. Chaque navire doit respecter strictement la limite de capture qui lui a été fixée.</w:t>
            </w:r>
          </w:p>
        </w:tc>
      </w:tr>
      <w:tr w:rsidR="00686DEE" w:rsidRPr="005756CE" w14:paraId="1F5315F3" w14:textId="77777777" w:rsidTr="00A84B4C">
        <w:tc>
          <w:tcPr>
            <w:tcW w:w="1012" w:type="pct"/>
            <w:tcBorders>
              <w:top w:val="nil"/>
              <w:left w:val="single" w:sz="8" w:space="0" w:color="auto"/>
              <w:bottom w:val="single" w:sz="8" w:space="0" w:color="auto"/>
              <w:right w:val="single" w:sz="8" w:space="0" w:color="auto"/>
            </w:tcBorders>
            <w:noWrap/>
            <w:vAlign w:val="center"/>
            <w:hideMark/>
          </w:tcPr>
          <w:p w14:paraId="5B45B5FA" w14:textId="77777777" w:rsidR="00686DEE" w:rsidRPr="005756CE" w:rsidRDefault="00686DEE"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t>Curaçao</w:t>
            </w:r>
          </w:p>
        </w:tc>
        <w:tc>
          <w:tcPr>
            <w:tcW w:w="3988" w:type="pct"/>
            <w:tcBorders>
              <w:top w:val="nil"/>
              <w:left w:val="nil"/>
              <w:bottom w:val="single" w:sz="8" w:space="0" w:color="auto"/>
              <w:right w:val="single" w:sz="8" w:space="0" w:color="auto"/>
            </w:tcBorders>
            <w:vAlign w:val="center"/>
            <w:hideMark/>
          </w:tcPr>
          <w:p w14:paraId="1C630F6A" w14:textId="6E7A18BA" w:rsidR="00686DEE" w:rsidRPr="005756CE" w:rsidRDefault="00686DEE" w:rsidP="001E71F8">
            <w:pPr>
              <w:spacing w:line="240" w:lineRule="auto"/>
              <w:jc w:val="both"/>
              <w:rPr>
                <w:rFonts w:ascii="Cambria" w:eastAsia="Times New Roman" w:hAnsi="Cambria" w:cs="Calibri"/>
                <w:color w:val="000000"/>
                <w:kern w:val="0"/>
                <w:sz w:val="20"/>
                <w:szCs w:val="20"/>
                <w14:ligatures w14:val="none"/>
              </w:rPr>
            </w:pPr>
            <w:r w:rsidRPr="005756CE">
              <w:rPr>
                <w:rFonts w:ascii="Cambria" w:hAnsi="Cambria"/>
                <w:sz w:val="20"/>
                <w:szCs w:val="20"/>
              </w:rPr>
              <w:t xml:space="preserve">Il n'y avait pas de navire de pêche autorisé pour les activités de pêche. Dans le cas des activités de pêche (Rés. 16-06), la limite des prises accessoires de germon du Sud que Curaçao a convenue avec les navires est de </w:t>
            </w:r>
            <w:r w:rsidR="00AF00D1" w:rsidRPr="005756CE">
              <w:rPr>
                <w:rFonts w:ascii="Cambria" w:hAnsi="Cambria"/>
                <w:sz w:val="20"/>
                <w:szCs w:val="20"/>
              </w:rPr>
              <w:t>20</w:t>
            </w:r>
            <w:r w:rsidRPr="005756CE">
              <w:rPr>
                <w:rFonts w:ascii="Cambria" w:hAnsi="Cambria"/>
                <w:sz w:val="20"/>
                <w:szCs w:val="20"/>
              </w:rPr>
              <w:t>0 t.</w:t>
            </w:r>
          </w:p>
        </w:tc>
      </w:tr>
      <w:tr w:rsidR="00686DEE" w:rsidRPr="005756CE" w14:paraId="44177B9A" w14:textId="77777777" w:rsidTr="00A84B4C">
        <w:tc>
          <w:tcPr>
            <w:tcW w:w="1012" w:type="pct"/>
            <w:tcBorders>
              <w:top w:val="nil"/>
              <w:left w:val="single" w:sz="8" w:space="0" w:color="auto"/>
              <w:bottom w:val="single" w:sz="8" w:space="0" w:color="auto"/>
              <w:right w:val="single" w:sz="8" w:space="0" w:color="auto"/>
            </w:tcBorders>
            <w:noWrap/>
            <w:vAlign w:val="center"/>
            <w:hideMark/>
          </w:tcPr>
          <w:p w14:paraId="517DC6D8" w14:textId="77777777" w:rsidR="00686DEE" w:rsidRPr="005756CE" w:rsidRDefault="00686DEE"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t>UE</w:t>
            </w:r>
          </w:p>
        </w:tc>
        <w:tc>
          <w:tcPr>
            <w:tcW w:w="3988" w:type="pct"/>
            <w:tcBorders>
              <w:top w:val="nil"/>
              <w:left w:val="nil"/>
              <w:bottom w:val="single" w:sz="8" w:space="0" w:color="auto"/>
              <w:right w:val="single" w:sz="8" w:space="0" w:color="auto"/>
            </w:tcBorders>
            <w:vAlign w:val="center"/>
            <w:hideMark/>
          </w:tcPr>
          <w:p w14:paraId="614235D1" w14:textId="650E5ACF" w:rsidR="00686DEE" w:rsidRPr="005756CE" w:rsidRDefault="00686DEE" w:rsidP="001E71F8">
            <w:pPr>
              <w:spacing w:line="240" w:lineRule="auto"/>
              <w:jc w:val="both"/>
              <w:rPr>
                <w:rFonts w:ascii="Cambria" w:eastAsia="Times New Roman" w:hAnsi="Cambria" w:cs="Calibri"/>
                <w:color w:val="000000"/>
                <w:kern w:val="0"/>
                <w:sz w:val="20"/>
                <w:szCs w:val="20"/>
                <w14:ligatures w14:val="none"/>
              </w:rPr>
            </w:pPr>
            <w:r w:rsidRPr="005756CE">
              <w:rPr>
                <w:rFonts w:ascii="Cambria" w:hAnsi="Cambria"/>
                <w:color w:val="000000"/>
                <w:sz w:val="20"/>
                <w:szCs w:val="20"/>
              </w:rPr>
              <w:t>Les limites de prises accessoires peuvent varier selon l'État membre de l'UE. Des détails supplémentaires sont inclus dans la section 2 de son rapport annuel.</w:t>
            </w:r>
          </w:p>
        </w:tc>
      </w:tr>
    </w:tbl>
    <w:p w14:paraId="53ED9344" w14:textId="77777777" w:rsidR="00356084" w:rsidRPr="005756CE" w:rsidRDefault="00356084" w:rsidP="001E71F8">
      <w:pPr>
        <w:widowControl w:val="0"/>
        <w:tabs>
          <w:tab w:val="left" w:pos="851"/>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cs="Calibri"/>
          <w:color w:val="000000"/>
          <w:kern w:val="0"/>
          <w:sz w:val="20"/>
          <w:szCs w:val="20"/>
          <w14:ligatures w14:val="none"/>
        </w:rPr>
      </w:pPr>
    </w:p>
    <w:p w14:paraId="5C378D1D" w14:textId="5FDA4AD5" w:rsidR="00356084" w:rsidRPr="005756CE" w:rsidRDefault="00356084" w:rsidP="001E71F8">
      <w:pPr>
        <w:widowControl w:val="0"/>
        <w:tabs>
          <w:tab w:val="left" w:pos="851"/>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iCs/>
          <w:kern w:val="0"/>
          <w:sz w:val="20"/>
          <w:szCs w:val="20"/>
          <w14:ligatures w14:val="none"/>
        </w:rPr>
      </w:pPr>
      <w:r w:rsidRPr="005756CE">
        <w:rPr>
          <w:rFonts w:ascii="Cambria" w:hAnsi="Cambria"/>
          <w:color w:val="000000"/>
          <w:sz w:val="20"/>
          <w:szCs w:val="20"/>
        </w:rPr>
        <w:t xml:space="preserve">Il convient de noter que les données ci-dessus ne concernent que </w:t>
      </w:r>
      <w:r w:rsidR="002A2788" w:rsidRPr="005756CE">
        <w:rPr>
          <w:rFonts w:ascii="Cambria" w:hAnsi="Cambria"/>
          <w:color w:val="000000"/>
          <w:sz w:val="20"/>
          <w:szCs w:val="20"/>
        </w:rPr>
        <w:t>les CPC</w:t>
      </w:r>
      <w:r w:rsidRPr="005756CE">
        <w:rPr>
          <w:rFonts w:ascii="Cambria" w:hAnsi="Cambria"/>
          <w:color w:val="000000"/>
          <w:sz w:val="20"/>
          <w:szCs w:val="20"/>
        </w:rPr>
        <w:t xml:space="preserve"> ayant indiqué qu'une limite avait été fixée. Dans de nombreux cas, aucune limite n'est fixée car tous les navires concernés disposent d'une licence et/ou que les prises accessoires ne sont pas autorisées. </w:t>
      </w:r>
      <w:r w:rsidR="00725522" w:rsidRPr="005756CE">
        <w:rPr>
          <w:rFonts w:ascii="Cambria" w:hAnsi="Cambria"/>
          <w:color w:val="000000"/>
          <w:sz w:val="20"/>
          <w:szCs w:val="20"/>
        </w:rPr>
        <w:t>Toutefois, certaines</w:t>
      </w:r>
      <w:r w:rsidRPr="005756CE">
        <w:rPr>
          <w:rFonts w:ascii="Cambria" w:hAnsi="Cambria"/>
          <w:color w:val="000000"/>
          <w:sz w:val="20"/>
          <w:szCs w:val="20"/>
        </w:rPr>
        <w:t xml:space="preserve"> réponses </w:t>
      </w:r>
      <w:r w:rsidR="00725522" w:rsidRPr="005756CE">
        <w:rPr>
          <w:rFonts w:ascii="Cambria" w:hAnsi="Cambria"/>
          <w:color w:val="000000"/>
          <w:sz w:val="20"/>
          <w:szCs w:val="20"/>
        </w:rPr>
        <w:t>concernant les</w:t>
      </w:r>
      <w:r w:rsidRPr="005756CE">
        <w:rPr>
          <w:rFonts w:ascii="Cambria" w:hAnsi="Cambria"/>
          <w:color w:val="000000"/>
          <w:sz w:val="20"/>
          <w:szCs w:val="20"/>
        </w:rPr>
        <w:t xml:space="preserve"> limites maximales de prises accessoires sont incohérentes, les CPC n'ayant pas lu ou compris l'exigence. Dans plusieurs cas, les espèces sont mélangées ou des réponses </w:t>
      </w:r>
      <w:r w:rsidR="00C777E2" w:rsidRPr="005756CE">
        <w:rPr>
          <w:rFonts w:ascii="Cambria" w:hAnsi="Cambria"/>
          <w:color w:val="000000"/>
          <w:sz w:val="20"/>
          <w:szCs w:val="20"/>
        </w:rPr>
        <w:t>complètement hors de propos</w:t>
      </w:r>
      <w:r w:rsidRPr="005756CE">
        <w:rPr>
          <w:rFonts w:ascii="Cambria" w:hAnsi="Cambria"/>
          <w:color w:val="000000"/>
          <w:sz w:val="20"/>
          <w:szCs w:val="20"/>
        </w:rPr>
        <w:t xml:space="preserve"> sont fournies </w:t>
      </w:r>
      <w:r w:rsidR="00C777E2" w:rsidRPr="005756CE">
        <w:rPr>
          <w:rFonts w:ascii="Cambria" w:hAnsi="Cambria"/>
          <w:color w:val="000000"/>
          <w:sz w:val="20"/>
          <w:szCs w:val="20"/>
        </w:rPr>
        <w:t>(</w:t>
      </w:r>
      <w:r w:rsidRPr="005756CE">
        <w:rPr>
          <w:rFonts w:ascii="Cambria" w:hAnsi="Cambria"/>
          <w:color w:val="000000"/>
          <w:sz w:val="20"/>
          <w:szCs w:val="20"/>
        </w:rPr>
        <w:t>par exemple : il n’y a pas de pêcherie ciblant cette espèce, il n’y a pas de navires sous pavillon de xx pêchant cette espèce</w:t>
      </w:r>
      <w:r w:rsidR="00C777E2" w:rsidRPr="005756CE">
        <w:rPr>
          <w:rFonts w:ascii="Cambria" w:hAnsi="Cambria"/>
          <w:color w:val="000000"/>
          <w:sz w:val="20"/>
          <w:szCs w:val="20"/>
        </w:rPr>
        <w:t>)</w:t>
      </w:r>
      <w:r w:rsidRPr="005756CE">
        <w:rPr>
          <w:rFonts w:ascii="Cambria" w:hAnsi="Cambria"/>
          <w:color w:val="000000"/>
          <w:sz w:val="20"/>
          <w:szCs w:val="20"/>
        </w:rPr>
        <w:t>.</w:t>
      </w:r>
    </w:p>
    <w:p w14:paraId="5A2D8393" w14:textId="77777777" w:rsidR="00356084" w:rsidRPr="005756CE" w:rsidRDefault="00356084" w:rsidP="001E71F8">
      <w:pPr>
        <w:widowControl w:val="0"/>
        <w:tabs>
          <w:tab w:val="left" w:pos="851"/>
          <w:tab w:val="left" w:pos="1276"/>
          <w:tab w:val="left" w:pos="1418"/>
          <w:tab w:val="left" w:leader="dot" w:pos="8222"/>
          <w:tab w:val="right" w:pos="8647"/>
        </w:tabs>
        <w:autoSpaceDE w:val="0"/>
        <w:autoSpaceDN w:val="0"/>
        <w:adjustRightInd w:val="0"/>
        <w:spacing w:line="240" w:lineRule="auto"/>
        <w:rPr>
          <w:rFonts w:ascii="Cambria" w:eastAsia="Times New Roman" w:hAnsi="Cambria"/>
          <w:bCs/>
          <w:i/>
          <w:kern w:val="0"/>
          <w:sz w:val="20"/>
          <w:szCs w:val="20"/>
          <w14:ligatures w14:val="none"/>
        </w:rPr>
      </w:pPr>
    </w:p>
    <w:p w14:paraId="1F1D89C7" w14:textId="77777777" w:rsidR="00356084" w:rsidRPr="005756CE" w:rsidRDefault="00356084" w:rsidP="001E71F8">
      <w:pPr>
        <w:widowControl w:val="0"/>
        <w:tabs>
          <w:tab w:val="left" w:pos="851"/>
          <w:tab w:val="left" w:pos="1276"/>
          <w:tab w:val="left" w:pos="1418"/>
          <w:tab w:val="left" w:leader="dot" w:pos="8222"/>
          <w:tab w:val="right" w:pos="8647"/>
        </w:tabs>
        <w:autoSpaceDE w:val="0"/>
        <w:autoSpaceDN w:val="0"/>
        <w:adjustRightInd w:val="0"/>
        <w:spacing w:line="240" w:lineRule="auto"/>
        <w:rPr>
          <w:rFonts w:ascii="Cambria" w:eastAsia="Times New Roman" w:hAnsi="Cambria"/>
          <w:i/>
          <w:kern w:val="0"/>
          <w:sz w:val="20"/>
          <w:szCs w:val="20"/>
          <w14:ligatures w14:val="none"/>
        </w:rPr>
      </w:pPr>
      <w:r w:rsidRPr="005756CE">
        <w:rPr>
          <w:rFonts w:ascii="Cambria" w:hAnsi="Cambria"/>
          <w:i/>
          <w:sz w:val="20"/>
          <w:szCs w:val="20"/>
        </w:rPr>
        <w:t>[22-06] Recommandation de l'ICCAT sur les limites de capture de germon de l’Atlantique Sud pour la période 2023–2026</w:t>
      </w:r>
    </w:p>
    <w:p w14:paraId="4B3B55EF"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bCs/>
          <w:i/>
          <w:kern w:val="0"/>
          <w:sz w:val="20"/>
          <w:szCs w:val="20"/>
          <w14:ligatures w14:val="none"/>
        </w:rPr>
      </w:pPr>
    </w:p>
    <w:p w14:paraId="3E5C85F8" w14:textId="07EC95DA"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b/>
          <w:bCs/>
          <w:i/>
          <w:sz w:val="20"/>
          <w:szCs w:val="20"/>
        </w:rPr>
        <w:t>Liste des navires autorisés</w:t>
      </w:r>
      <w:r w:rsidR="002A2788" w:rsidRPr="005756CE">
        <w:rPr>
          <w:rFonts w:ascii="Cambria" w:hAnsi="Cambria"/>
          <w:b/>
          <w:bCs/>
          <w:i/>
          <w:sz w:val="20"/>
          <w:szCs w:val="20"/>
        </w:rPr>
        <w:t> </w:t>
      </w:r>
      <w:r w:rsidR="002A2788" w:rsidRPr="005756CE">
        <w:rPr>
          <w:rFonts w:ascii="Cambria" w:hAnsi="Cambria"/>
          <w:i/>
          <w:sz w:val="20"/>
          <w:szCs w:val="20"/>
        </w:rPr>
        <w:t xml:space="preserve">: </w:t>
      </w:r>
      <w:r w:rsidRPr="005756CE">
        <w:rPr>
          <w:rFonts w:ascii="Cambria" w:hAnsi="Cambria"/>
          <w:sz w:val="20"/>
          <w:szCs w:val="20"/>
        </w:rPr>
        <w:t>Les navires autorisés de 20 m ou plus disposant d’autorisations spécifiques pour le germon du Sud figurent dans le</w:t>
      </w:r>
      <w:hyperlink r:id="rId15" w:history="1">
        <w:r w:rsidRPr="005756CE">
          <w:rPr>
            <w:rStyle w:val="Hyperlink"/>
            <w:szCs w:val="20"/>
          </w:rPr>
          <w:t xml:space="preserve"> Registre des navires de l’ICCAT</w:t>
        </w:r>
      </w:hyperlink>
      <w:r w:rsidRPr="005756CE">
        <w:rPr>
          <w:rFonts w:ascii="Cambria" w:hAnsi="Cambria"/>
          <w:sz w:val="20"/>
          <w:szCs w:val="20"/>
        </w:rPr>
        <w:t>.</w:t>
      </w:r>
    </w:p>
    <w:p w14:paraId="688947A8"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p>
    <w:p w14:paraId="758EF695" w14:textId="320E137B"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sz w:val="20"/>
          <w:szCs w:val="20"/>
        </w:rPr>
        <w:t xml:space="preserve">Cinq CPC dotées d'un quota </w:t>
      </w:r>
      <w:r w:rsidR="002A2788" w:rsidRPr="005756CE">
        <w:rPr>
          <w:rFonts w:ascii="Cambria" w:hAnsi="Cambria"/>
          <w:sz w:val="20"/>
          <w:szCs w:val="20"/>
        </w:rPr>
        <w:t xml:space="preserve">(Curaçao, Saint-Vincent-et-les-Grenadines, Philippines, Royaume-Uni et Uruguay) </w:t>
      </w:r>
      <w:r w:rsidRPr="005756CE">
        <w:rPr>
          <w:rFonts w:ascii="Cambria" w:hAnsi="Cambria"/>
          <w:sz w:val="20"/>
          <w:szCs w:val="20"/>
        </w:rPr>
        <w:t>n’ont actuellement aucun navire (de 20 m ou plus) inscrits au Registre ICCAT des navires autorisés à capturer le germon de l'Atlantique Sud</w:t>
      </w:r>
      <w:r w:rsidR="002A2788" w:rsidRPr="005756CE">
        <w:rPr>
          <w:rFonts w:ascii="Cambria" w:hAnsi="Cambria"/>
          <w:sz w:val="20"/>
          <w:szCs w:val="20"/>
        </w:rPr>
        <w:t>.</w:t>
      </w:r>
    </w:p>
    <w:p w14:paraId="0896AA51"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Cs/>
          <w:color w:val="0000FF"/>
          <w:kern w:val="0"/>
          <w:sz w:val="20"/>
          <w:szCs w:val="20"/>
          <w:u w:val="single"/>
          <w14:ligatures w14:val="none"/>
        </w:rPr>
      </w:pPr>
    </w:p>
    <w:p w14:paraId="1710A664"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En vertu de la Rec. 22-06, paragraphe 11, les CPC suivantes ont inclus des informations dans leurs rapports annuels sur la limite maximale de capture accessoire de germon de l’Atlantique Sud à bord :</w:t>
      </w:r>
    </w:p>
    <w:p w14:paraId="74CC104F"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tbl>
      <w:tblPr>
        <w:tblW w:w="5000" w:type="pct"/>
        <w:tblLook w:val="04A0" w:firstRow="1" w:lastRow="0" w:firstColumn="1" w:lastColumn="0" w:noHBand="0" w:noVBand="1"/>
      </w:tblPr>
      <w:tblGrid>
        <w:gridCol w:w="1890"/>
        <w:gridCol w:w="7450"/>
      </w:tblGrid>
      <w:tr w:rsidR="00356084" w:rsidRPr="005756CE" w14:paraId="03E06295" w14:textId="77777777" w:rsidTr="00A84B4C">
        <w:trPr>
          <w:trHeight w:val="315"/>
        </w:trPr>
        <w:tc>
          <w:tcPr>
            <w:tcW w:w="1012" w:type="pct"/>
            <w:tcBorders>
              <w:top w:val="single" w:sz="8" w:space="0" w:color="auto"/>
              <w:left w:val="single" w:sz="8" w:space="0" w:color="auto"/>
              <w:bottom w:val="single" w:sz="8" w:space="0" w:color="auto"/>
              <w:right w:val="single" w:sz="8" w:space="0" w:color="auto"/>
            </w:tcBorders>
            <w:noWrap/>
            <w:vAlign w:val="center"/>
            <w:hideMark/>
          </w:tcPr>
          <w:p w14:paraId="539A9990" w14:textId="77777777" w:rsidR="00356084" w:rsidRPr="005756CE" w:rsidRDefault="00356084" w:rsidP="001E71F8">
            <w:pPr>
              <w:spacing w:line="240" w:lineRule="auto"/>
              <w:jc w:val="center"/>
              <w:rPr>
                <w:rFonts w:ascii="Cambria" w:eastAsia="Times New Roman" w:hAnsi="Cambria" w:cs="Calibri"/>
                <w:i/>
                <w:iCs/>
                <w:color w:val="000000"/>
                <w:kern w:val="0"/>
                <w:sz w:val="20"/>
                <w:szCs w:val="20"/>
                <w14:ligatures w14:val="none"/>
              </w:rPr>
            </w:pPr>
            <w:r w:rsidRPr="005756CE">
              <w:rPr>
                <w:rFonts w:ascii="Cambria" w:hAnsi="Cambria"/>
                <w:i/>
                <w:color w:val="000000"/>
                <w:sz w:val="20"/>
                <w:szCs w:val="20"/>
              </w:rPr>
              <w:t>CPC</w:t>
            </w:r>
          </w:p>
        </w:tc>
        <w:tc>
          <w:tcPr>
            <w:tcW w:w="3988" w:type="pct"/>
            <w:tcBorders>
              <w:top w:val="single" w:sz="8" w:space="0" w:color="auto"/>
              <w:left w:val="nil"/>
              <w:bottom w:val="single" w:sz="8" w:space="0" w:color="auto"/>
              <w:right w:val="single" w:sz="8" w:space="0" w:color="auto"/>
            </w:tcBorders>
            <w:vAlign w:val="center"/>
            <w:hideMark/>
          </w:tcPr>
          <w:p w14:paraId="6D0214AF" w14:textId="77777777" w:rsidR="00356084" w:rsidRPr="005756CE" w:rsidRDefault="00356084" w:rsidP="001E71F8">
            <w:pPr>
              <w:spacing w:line="240" w:lineRule="auto"/>
              <w:jc w:val="center"/>
              <w:rPr>
                <w:rFonts w:ascii="Cambria" w:eastAsia="Times New Roman" w:hAnsi="Cambria" w:cs="Calibri"/>
                <w:i/>
                <w:iCs/>
                <w:color w:val="000000"/>
                <w:kern w:val="0"/>
                <w:sz w:val="20"/>
                <w:szCs w:val="20"/>
                <w14:ligatures w14:val="none"/>
              </w:rPr>
            </w:pPr>
            <w:r w:rsidRPr="005756CE">
              <w:rPr>
                <w:rFonts w:ascii="Cambria" w:hAnsi="Cambria"/>
                <w:i/>
                <w:color w:val="000000"/>
                <w:sz w:val="20"/>
                <w:szCs w:val="20"/>
              </w:rPr>
              <w:t>Réponse</w:t>
            </w:r>
          </w:p>
        </w:tc>
      </w:tr>
      <w:tr w:rsidR="00356084" w:rsidRPr="005756CE" w14:paraId="1DA26EE3" w14:textId="77777777" w:rsidTr="00A84B4C">
        <w:trPr>
          <w:trHeight w:val="1290"/>
        </w:trPr>
        <w:tc>
          <w:tcPr>
            <w:tcW w:w="1012" w:type="pct"/>
            <w:tcBorders>
              <w:top w:val="nil"/>
              <w:left w:val="single" w:sz="8" w:space="0" w:color="auto"/>
              <w:bottom w:val="single" w:sz="8" w:space="0" w:color="auto"/>
              <w:right w:val="single" w:sz="8" w:space="0" w:color="auto"/>
            </w:tcBorders>
            <w:noWrap/>
            <w:vAlign w:val="center"/>
            <w:hideMark/>
          </w:tcPr>
          <w:p w14:paraId="52329BE9" w14:textId="77777777" w:rsidR="00356084" w:rsidRPr="005756CE" w:rsidRDefault="00356084"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t>Belize</w:t>
            </w:r>
          </w:p>
        </w:tc>
        <w:tc>
          <w:tcPr>
            <w:tcW w:w="3988" w:type="pct"/>
            <w:tcBorders>
              <w:top w:val="nil"/>
              <w:left w:val="nil"/>
              <w:bottom w:val="single" w:sz="8" w:space="0" w:color="auto"/>
              <w:right w:val="single" w:sz="8" w:space="0" w:color="auto"/>
            </w:tcBorders>
            <w:vAlign w:val="center"/>
            <w:hideMark/>
          </w:tcPr>
          <w:p w14:paraId="7A9412CE" w14:textId="3FC9EFC9" w:rsidR="00356084" w:rsidRPr="005756CE" w:rsidRDefault="00356084" w:rsidP="001E71F8">
            <w:pPr>
              <w:spacing w:line="240" w:lineRule="auto"/>
              <w:jc w:val="both"/>
              <w:rPr>
                <w:rFonts w:ascii="Cambria" w:eastAsia="Times New Roman" w:hAnsi="Cambria" w:cs="Calibri"/>
                <w:kern w:val="0"/>
                <w:sz w:val="20"/>
                <w:szCs w:val="20"/>
                <w14:ligatures w14:val="none"/>
              </w:rPr>
            </w:pPr>
            <w:r w:rsidRPr="005756CE">
              <w:rPr>
                <w:rFonts w:ascii="Cambria" w:hAnsi="Cambria"/>
                <w:sz w:val="20"/>
                <w:szCs w:val="20"/>
              </w:rPr>
              <w:t xml:space="preserve">Le Belize a instauré une limite de capture accessoire à bord pour toutes les espèces, y compris </w:t>
            </w:r>
            <w:r w:rsidR="002A2788" w:rsidRPr="005756CE">
              <w:rPr>
                <w:rFonts w:ascii="Cambria" w:hAnsi="Cambria"/>
                <w:sz w:val="20"/>
                <w:szCs w:val="20"/>
              </w:rPr>
              <w:t>le germon</w:t>
            </w:r>
            <w:r w:rsidRPr="005756CE">
              <w:rPr>
                <w:rFonts w:ascii="Cambria" w:hAnsi="Cambria"/>
                <w:sz w:val="20"/>
                <w:szCs w:val="20"/>
              </w:rPr>
              <w:t xml:space="preserve"> de l’Atlantique Nord. La limite de prises accessoires fixée pour les navires non autorisés à pêcher exclusivement cette espèce est de 10 t. Cette quantité est prise en compte dans l'allocation globale de quota pour le Belize. Cependant, aucun navire n’a déclaré de prise accessoire de germon du Sud.</w:t>
            </w:r>
          </w:p>
        </w:tc>
      </w:tr>
      <w:tr w:rsidR="00356084" w:rsidRPr="005756CE" w14:paraId="472DF280" w14:textId="77777777" w:rsidTr="0047674E">
        <w:trPr>
          <w:trHeight w:val="1290"/>
        </w:trPr>
        <w:tc>
          <w:tcPr>
            <w:tcW w:w="1012" w:type="pct"/>
            <w:tcBorders>
              <w:top w:val="nil"/>
              <w:left w:val="single" w:sz="8" w:space="0" w:color="auto"/>
              <w:bottom w:val="single" w:sz="6" w:space="0" w:color="auto"/>
              <w:right w:val="single" w:sz="8" w:space="0" w:color="auto"/>
            </w:tcBorders>
            <w:noWrap/>
            <w:vAlign w:val="center"/>
            <w:hideMark/>
          </w:tcPr>
          <w:p w14:paraId="7B84AC4A" w14:textId="77777777" w:rsidR="00356084" w:rsidRPr="005756CE" w:rsidRDefault="00356084"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t>Chine</w:t>
            </w:r>
          </w:p>
        </w:tc>
        <w:tc>
          <w:tcPr>
            <w:tcW w:w="3988" w:type="pct"/>
            <w:tcBorders>
              <w:top w:val="nil"/>
              <w:left w:val="nil"/>
              <w:bottom w:val="single" w:sz="6" w:space="0" w:color="auto"/>
              <w:right w:val="single" w:sz="8" w:space="0" w:color="auto"/>
            </w:tcBorders>
            <w:vAlign w:val="center"/>
            <w:hideMark/>
          </w:tcPr>
          <w:p w14:paraId="2BD28B12" w14:textId="58EDA0ED" w:rsidR="00356084" w:rsidRPr="005756CE" w:rsidRDefault="00356084" w:rsidP="001E71F8">
            <w:pPr>
              <w:spacing w:line="240" w:lineRule="auto"/>
              <w:jc w:val="both"/>
              <w:rPr>
                <w:rFonts w:ascii="Cambria" w:eastAsia="Times New Roman" w:hAnsi="Cambria" w:cs="Calibri"/>
                <w:kern w:val="0"/>
                <w:sz w:val="20"/>
                <w:szCs w:val="20"/>
                <w14:ligatures w14:val="none"/>
              </w:rPr>
            </w:pPr>
            <w:r w:rsidRPr="005756CE">
              <w:rPr>
                <w:rFonts w:ascii="Cambria" w:hAnsi="Cambria"/>
                <w:sz w:val="20"/>
                <w:szCs w:val="20"/>
              </w:rPr>
              <w:t>La Chine n'a pas de navires ciblant le germon du Nord et le germon du Sud, tous les germons sont capturés comme prises accessoires et les palangriers tropicaux peuvent capturer du germon comme prise accessoire. En 202</w:t>
            </w:r>
            <w:r w:rsidR="009045EE" w:rsidRPr="005756CE">
              <w:rPr>
                <w:rFonts w:ascii="Cambria" w:hAnsi="Cambria"/>
                <w:sz w:val="20"/>
                <w:szCs w:val="20"/>
              </w:rPr>
              <w:t>4</w:t>
            </w:r>
            <w:r w:rsidRPr="005756CE">
              <w:rPr>
                <w:rFonts w:ascii="Cambria" w:hAnsi="Cambria"/>
                <w:sz w:val="20"/>
                <w:szCs w:val="20"/>
              </w:rPr>
              <w:t xml:space="preserve">, la Chine disposait de </w:t>
            </w:r>
            <w:r w:rsidR="00E83720" w:rsidRPr="005756CE">
              <w:rPr>
                <w:rFonts w:ascii="Cambria" w:hAnsi="Cambria"/>
                <w:sz w:val="20"/>
                <w:szCs w:val="20"/>
              </w:rPr>
              <w:t>357,88</w:t>
            </w:r>
            <w:r w:rsidRPr="005756CE">
              <w:rPr>
                <w:rFonts w:ascii="Cambria" w:hAnsi="Cambria"/>
                <w:sz w:val="20"/>
                <w:szCs w:val="20"/>
              </w:rPr>
              <w:t xml:space="preserve"> t de germon du Nord et de 2</w:t>
            </w:r>
            <w:r w:rsidR="00653C6C" w:rsidRPr="005756CE">
              <w:rPr>
                <w:rFonts w:ascii="Cambria" w:hAnsi="Cambria"/>
                <w:sz w:val="20"/>
                <w:szCs w:val="20"/>
              </w:rPr>
              <w:t>42,98</w:t>
            </w:r>
            <w:r w:rsidRPr="005756CE">
              <w:rPr>
                <w:rFonts w:ascii="Cambria" w:hAnsi="Cambria"/>
                <w:sz w:val="20"/>
                <w:szCs w:val="20"/>
              </w:rPr>
              <w:t xml:space="preserve"> t de germon du Sud. La Chine a fixé une limite de capture pour le germon du Nord et du Sud pour chaque palangrier sur la base du TAC alloué à la Chine conformément aux recommandations concernant ces espèces. Chaque navire doit respecter strictement la limite de capture qui lui a été fixée.</w:t>
            </w:r>
          </w:p>
        </w:tc>
      </w:tr>
      <w:tr w:rsidR="00356084" w:rsidRPr="005756CE" w14:paraId="1F0CC171" w14:textId="77777777" w:rsidTr="0047674E">
        <w:trPr>
          <w:trHeight w:val="315"/>
        </w:trPr>
        <w:tc>
          <w:tcPr>
            <w:tcW w:w="1012" w:type="pct"/>
            <w:tcBorders>
              <w:top w:val="single" w:sz="6" w:space="0" w:color="auto"/>
              <w:left w:val="single" w:sz="8" w:space="0" w:color="auto"/>
              <w:bottom w:val="single" w:sz="4" w:space="0" w:color="auto"/>
              <w:right w:val="single" w:sz="8" w:space="0" w:color="auto"/>
            </w:tcBorders>
            <w:noWrap/>
            <w:vAlign w:val="center"/>
            <w:hideMark/>
          </w:tcPr>
          <w:p w14:paraId="5F885162" w14:textId="77777777" w:rsidR="00356084" w:rsidRPr="005756CE" w:rsidRDefault="00356084"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lastRenderedPageBreak/>
              <w:t>Curaçao</w:t>
            </w:r>
          </w:p>
        </w:tc>
        <w:tc>
          <w:tcPr>
            <w:tcW w:w="3988" w:type="pct"/>
            <w:tcBorders>
              <w:top w:val="single" w:sz="6" w:space="0" w:color="auto"/>
              <w:left w:val="nil"/>
              <w:bottom w:val="single" w:sz="4" w:space="0" w:color="auto"/>
              <w:right w:val="single" w:sz="8" w:space="0" w:color="auto"/>
            </w:tcBorders>
            <w:vAlign w:val="center"/>
            <w:hideMark/>
          </w:tcPr>
          <w:p w14:paraId="0BA6F4DF" w14:textId="37D17A2B" w:rsidR="00356084" w:rsidRPr="005756CE" w:rsidRDefault="00EA385C" w:rsidP="001E71F8">
            <w:pPr>
              <w:spacing w:line="240" w:lineRule="auto"/>
              <w:jc w:val="both"/>
              <w:rPr>
                <w:rFonts w:ascii="Cambria" w:eastAsia="Times New Roman" w:hAnsi="Cambria" w:cs="Calibri"/>
                <w:kern w:val="0"/>
                <w:sz w:val="20"/>
                <w:szCs w:val="20"/>
                <w14:ligatures w14:val="none"/>
              </w:rPr>
            </w:pPr>
            <w:r w:rsidRPr="005756CE">
              <w:rPr>
                <w:rFonts w:ascii="Cambria" w:hAnsi="Cambria"/>
                <w:color w:val="000000"/>
                <w:sz w:val="20"/>
                <w:szCs w:val="20"/>
              </w:rPr>
              <w:t xml:space="preserve">Il n'y avait pas de navire de pêche autorisé pour les activités de pêche.  Dans le cas des activités de pêche (Rés. 16-06), la limite des prises accessoires de germon du Nord que Curaçao a convenue avec les navires est de </w:t>
            </w:r>
            <w:r w:rsidR="006A4B86" w:rsidRPr="005756CE">
              <w:rPr>
                <w:rFonts w:ascii="Cambria" w:hAnsi="Cambria"/>
                <w:color w:val="000000"/>
                <w:sz w:val="20"/>
                <w:szCs w:val="20"/>
              </w:rPr>
              <w:t>5</w:t>
            </w:r>
            <w:r w:rsidRPr="005756CE">
              <w:rPr>
                <w:rFonts w:ascii="Cambria" w:hAnsi="Cambria"/>
                <w:color w:val="000000"/>
                <w:sz w:val="20"/>
                <w:szCs w:val="20"/>
              </w:rPr>
              <w:t>0 t.</w:t>
            </w:r>
          </w:p>
        </w:tc>
      </w:tr>
      <w:tr w:rsidR="00356084" w:rsidRPr="005756CE" w14:paraId="64394D33" w14:textId="77777777" w:rsidTr="004139ED">
        <w:trPr>
          <w:trHeight w:val="780"/>
        </w:trPr>
        <w:tc>
          <w:tcPr>
            <w:tcW w:w="1012" w:type="pct"/>
            <w:tcBorders>
              <w:top w:val="single" w:sz="4" w:space="0" w:color="auto"/>
              <w:left w:val="single" w:sz="4" w:space="0" w:color="auto"/>
              <w:bottom w:val="single" w:sz="4" w:space="0" w:color="auto"/>
              <w:right w:val="single" w:sz="4" w:space="0" w:color="auto"/>
            </w:tcBorders>
            <w:noWrap/>
            <w:vAlign w:val="center"/>
            <w:hideMark/>
          </w:tcPr>
          <w:p w14:paraId="4765C8E4" w14:textId="77777777" w:rsidR="00356084" w:rsidRPr="005756CE" w:rsidRDefault="00356084"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t>Union européenne</w:t>
            </w:r>
          </w:p>
        </w:tc>
        <w:tc>
          <w:tcPr>
            <w:tcW w:w="3988" w:type="pct"/>
            <w:tcBorders>
              <w:top w:val="single" w:sz="4" w:space="0" w:color="auto"/>
              <w:left w:val="single" w:sz="4" w:space="0" w:color="auto"/>
              <w:bottom w:val="single" w:sz="4" w:space="0" w:color="auto"/>
              <w:right w:val="single" w:sz="4" w:space="0" w:color="auto"/>
            </w:tcBorders>
            <w:vAlign w:val="center"/>
            <w:hideMark/>
          </w:tcPr>
          <w:p w14:paraId="26D8BF8D" w14:textId="57B3DDBD" w:rsidR="00356084" w:rsidRPr="005756CE" w:rsidRDefault="00A82554" w:rsidP="001E71F8">
            <w:pPr>
              <w:spacing w:line="240" w:lineRule="auto"/>
              <w:jc w:val="both"/>
              <w:rPr>
                <w:rFonts w:ascii="Cambria" w:eastAsia="Times New Roman" w:hAnsi="Cambria" w:cs="Calibri"/>
                <w:kern w:val="0"/>
                <w:sz w:val="20"/>
                <w:szCs w:val="20"/>
                <w14:ligatures w14:val="none"/>
              </w:rPr>
            </w:pPr>
            <w:r w:rsidRPr="005756CE">
              <w:rPr>
                <w:rFonts w:ascii="Cambria" w:hAnsi="Cambria"/>
                <w:color w:val="000000"/>
                <w:sz w:val="20"/>
                <w:szCs w:val="20"/>
              </w:rPr>
              <w:t>Les limites de prises accessoires peuvent varier selon l'État membre de l'UE. Des détails supplémentaires sont inclus dans la section 2 de son rapport annuel.</w:t>
            </w:r>
          </w:p>
        </w:tc>
      </w:tr>
    </w:tbl>
    <w:p w14:paraId="7EA53FCF" w14:textId="77777777" w:rsidR="00356084" w:rsidRPr="005756CE" w:rsidRDefault="00356084" w:rsidP="001E71F8">
      <w:pPr>
        <w:widowControl w:val="0"/>
        <w:tabs>
          <w:tab w:val="left" w:pos="851"/>
          <w:tab w:val="left" w:pos="1418"/>
          <w:tab w:val="left" w:leader="dot" w:pos="8222"/>
          <w:tab w:val="right" w:pos="8647"/>
        </w:tabs>
        <w:autoSpaceDE w:val="0"/>
        <w:autoSpaceDN w:val="0"/>
        <w:adjustRightInd w:val="0"/>
        <w:spacing w:line="240" w:lineRule="auto"/>
        <w:jc w:val="both"/>
        <w:rPr>
          <w:rFonts w:ascii="Cambria" w:eastAsia="Times New Roman" w:hAnsi="Cambria" w:cs="Calibri"/>
          <w:color w:val="000000"/>
          <w:kern w:val="0"/>
          <w:sz w:val="20"/>
          <w:szCs w:val="20"/>
          <w14:ligatures w14:val="none"/>
        </w:rPr>
      </w:pPr>
    </w:p>
    <w:p w14:paraId="248DDBD1" w14:textId="55066B2D" w:rsidR="00356084" w:rsidRPr="005756CE" w:rsidRDefault="00356084" w:rsidP="001E71F8">
      <w:pPr>
        <w:widowControl w:val="0"/>
        <w:tabs>
          <w:tab w:val="left" w:pos="851"/>
          <w:tab w:val="left" w:pos="1418"/>
          <w:tab w:val="left" w:leader="dot" w:pos="8222"/>
          <w:tab w:val="right" w:pos="8647"/>
        </w:tabs>
        <w:autoSpaceDE w:val="0"/>
        <w:autoSpaceDN w:val="0"/>
        <w:adjustRightInd w:val="0"/>
        <w:spacing w:line="240" w:lineRule="auto"/>
        <w:jc w:val="both"/>
        <w:rPr>
          <w:rFonts w:ascii="Cambria" w:eastAsia="Times New Roman" w:hAnsi="Cambria"/>
          <w:bCs/>
          <w:iCs/>
          <w:kern w:val="0"/>
          <w:sz w:val="20"/>
          <w:szCs w:val="20"/>
          <w14:ligatures w14:val="none"/>
        </w:rPr>
      </w:pPr>
      <w:r w:rsidRPr="005756CE">
        <w:rPr>
          <w:rFonts w:ascii="Cambria" w:hAnsi="Cambria"/>
          <w:color w:val="000000"/>
          <w:sz w:val="20"/>
          <w:szCs w:val="20"/>
        </w:rPr>
        <w:t xml:space="preserve">Il convient de noter que les données ci-dessus ne concernent que </w:t>
      </w:r>
      <w:r w:rsidR="004139ED" w:rsidRPr="005756CE">
        <w:rPr>
          <w:rFonts w:ascii="Cambria" w:hAnsi="Cambria"/>
          <w:color w:val="000000"/>
          <w:sz w:val="20"/>
          <w:szCs w:val="20"/>
        </w:rPr>
        <w:t>les CPC</w:t>
      </w:r>
      <w:r w:rsidRPr="005756CE">
        <w:rPr>
          <w:rFonts w:ascii="Cambria" w:hAnsi="Cambria"/>
          <w:color w:val="000000"/>
          <w:sz w:val="20"/>
          <w:szCs w:val="20"/>
        </w:rPr>
        <w:t xml:space="preserve"> ayant indiqué qu'une limite avait été fixée. Dans de nombreux cas, aucune limite n'est fixée car tous les navires concernés disposent d'une licence et/ou que les prises accessoires ne sont pas autorisées. </w:t>
      </w:r>
      <w:r w:rsidR="003A60E4" w:rsidRPr="005756CE">
        <w:rPr>
          <w:rFonts w:ascii="Cambria" w:hAnsi="Cambria"/>
          <w:color w:val="000000"/>
          <w:sz w:val="20"/>
          <w:szCs w:val="20"/>
        </w:rPr>
        <w:t>Toutefois, certaines</w:t>
      </w:r>
      <w:r w:rsidRPr="005756CE">
        <w:rPr>
          <w:rFonts w:ascii="Cambria" w:hAnsi="Cambria"/>
          <w:color w:val="000000"/>
          <w:sz w:val="20"/>
          <w:szCs w:val="20"/>
        </w:rPr>
        <w:t xml:space="preserve"> réponses </w:t>
      </w:r>
      <w:r w:rsidR="003A60E4" w:rsidRPr="005756CE">
        <w:rPr>
          <w:rFonts w:ascii="Cambria" w:hAnsi="Cambria"/>
          <w:color w:val="000000"/>
          <w:sz w:val="20"/>
          <w:szCs w:val="20"/>
        </w:rPr>
        <w:t>concernant les</w:t>
      </w:r>
      <w:r w:rsidRPr="005756CE">
        <w:rPr>
          <w:rFonts w:ascii="Cambria" w:hAnsi="Cambria"/>
          <w:color w:val="000000"/>
          <w:sz w:val="20"/>
          <w:szCs w:val="20"/>
        </w:rPr>
        <w:t xml:space="preserve"> limites maximales de prises accessoires sont incohérentes, les CPC n'ayant pas lu ou compris l'exigence. Dans plusieurs cas, les espèces sont mélangées ou des réponses </w:t>
      </w:r>
      <w:r w:rsidR="003A60E4" w:rsidRPr="005756CE">
        <w:rPr>
          <w:rFonts w:ascii="Cambria" w:hAnsi="Cambria"/>
          <w:color w:val="000000"/>
          <w:sz w:val="20"/>
          <w:szCs w:val="20"/>
        </w:rPr>
        <w:t>complètement hors de propos</w:t>
      </w:r>
      <w:r w:rsidRPr="005756CE">
        <w:rPr>
          <w:rFonts w:ascii="Cambria" w:hAnsi="Cambria"/>
          <w:color w:val="000000"/>
          <w:sz w:val="20"/>
          <w:szCs w:val="20"/>
        </w:rPr>
        <w:t xml:space="preserve"> sont fournies </w:t>
      </w:r>
      <w:r w:rsidR="003A60E4" w:rsidRPr="005756CE">
        <w:rPr>
          <w:rFonts w:ascii="Cambria" w:hAnsi="Cambria"/>
          <w:color w:val="000000"/>
          <w:sz w:val="20"/>
          <w:szCs w:val="20"/>
        </w:rPr>
        <w:t>(</w:t>
      </w:r>
      <w:r w:rsidRPr="005756CE">
        <w:rPr>
          <w:rFonts w:ascii="Cambria" w:hAnsi="Cambria"/>
          <w:color w:val="000000"/>
          <w:sz w:val="20"/>
          <w:szCs w:val="20"/>
        </w:rPr>
        <w:t>par exemple : il n’y a pas de pêcherie ciblant cette espèce, il n’y a pas de navires sous pavillon de xx pêchant cette espèce</w:t>
      </w:r>
      <w:r w:rsidR="003A60E4" w:rsidRPr="005756CE">
        <w:rPr>
          <w:rFonts w:ascii="Cambria" w:hAnsi="Cambria"/>
          <w:color w:val="000000"/>
          <w:sz w:val="20"/>
          <w:szCs w:val="20"/>
        </w:rPr>
        <w:t>)</w:t>
      </w:r>
      <w:r w:rsidRPr="005756CE">
        <w:rPr>
          <w:rFonts w:ascii="Cambria" w:hAnsi="Cambria"/>
          <w:color w:val="000000"/>
          <w:sz w:val="20"/>
          <w:szCs w:val="20"/>
        </w:rPr>
        <w:t>.</w:t>
      </w:r>
    </w:p>
    <w:p w14:paraId="71369EE4" w14:textId="77777777" w:rsidR="00356084" w:rsidRPr="005756CE" w:rsidRDefault="00356084" w:rsidP="001E71F8">
      <w:pPr>
        <w:widowControl w:val="0"/>
        <w:tabs>
          <w:tab w:val="left" w:pos="851"/>
          <w:tab w:val="left" w:pos="1418"/>
          <w:tab w:val="left" w:leader="dot" w:pos="8222"/>
          <w:tab w:val="right" w:pos="8647"/>
        </w:tabs>
        <w:autoSpaceDE w:val="0"/>
        <w:autoSpaceDN w:val="0"/>
        <w:adjustRightInd w:val="0"/>
        <w:spacing w:line="240" w:lineRule="auto"/>
        <w:jc w:val="both"/>
        <w:rPr>
          <w:rFonts w:ascii="Cambria" w:eastAsia="Times New Roman" w:hAnsi="Cambria"/>
          <w:bCs/>
          <w:i/>
          <w:kern w:val="0"/>
          <w:sz w:val="20"/>
          <w:szCs w:val="20"/>
          <w14:ligatures w14:val="none"/>
        </w:rPr>
      </w:pPr>
    </w:p>
    <w:p w14:paraId="577A72FC"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i/>
          <w:kern w:val="0"/>
          <w:sz w:val="20"/>
          <w:szCs w:val="20"/>
          <w14:ligatures w14:val="none"/>
        </w:rPr>
      </w:pPr>
      <w:r w:rsidRPr="005756CE">
        <w:rPr>
          <w:rFonts w:ascii="Cambria" w:hAnsi="Cambria"/>
          <w:i/>
          <w:sz w:val="20"/>
          <w:szCs w:val="20"/>
        </w:rPr>
        <w:t>[22-05] Recommandation de l'ICCAT amendant la Recommandation 21-06 établissant un programme de rétablissement pour le germon de la Méditerranée</w:t>
      </w:r>
    </w:p>
    <w:p w14:paraId="123CD1D2" w14:textId="77777777" w:rsidR="00C86F61" w:rsidRPr="005756CE" w:rsidRDefault="00C86F61" w:rsidP="001E71F8">
      <w:pPr>
        <w:spacing w:line="240" w:lineRule="auto"/>
        <w:jc w:val="both"/>
        <w:rPr>
          <w:rFonts w:ascii="Cambria" w:hAnsi="Cambria"/>
          <w:b/>
          <w:bCs/>
          <w:sz w:val="20"/>
          <w:szCs w:val="20"/>
        </w:rPr>
      </w:pPr>
    </w:p>
    <w:p w14:paraId="424A0E0D" w14:textId="522251ED" w:rsidR="00C86F61" w:rsidRPr="005756CE" w:rsidRDefault="00C86F61" w:rsidP="001E71F8">
      <w:pPr>
        <w:tabs>
          <w:tab w:val="left" w:pos="1276"/>
          <w:tab w:val="left" w:pos="1418"/>
          <w:tab w:val="left" w:leader="dot" w:pos="8222"/>
          <w:tab w:val="right" w:pos="8647"/>
        </w:tabs>
        <w:spacing w:line="240" w:lineRule="auto"/>
        <w:jc w:val="both"/>
        <w:rPr>
          <w:rFonts w:ascii="Cambria" w:hAnsi="Cambria"/>
          <w:bCs/>
          <w:sz w:val="20"/>
          <w:szCs w:val="20"/>
        </w:rPr>
      </w:pPr>
      <w:r w:rsidRPr="005756CE">
        <w:rPr>
          <w:rFonts w:ascii="Cambria" w:hAnsi="Cambria"/>
          <w:sz w:val="20"/>
          <w:szCs w:val="20"/>
        </w:rPr>
        <w:t>(</w:t>
      </w:r>
      <w:proofErr w:type="gramStart"/>
      <w:r w:rsidRPr="005756CE">
        <w:rPr>
          <w:rFonts w:ascii="Cambria" w:hAnsi="Cambria"/>
          <w:sz w:val="20"/>
          <w:szCs w:val="20"/>
        </w:rPr>
        <w:t>remplacée</w:t>
      </w:r>
      <w:proofErr w:type="gramEnd"/>
      <w:r w:rsidRPr="005756CE">
        <w:rPr>
          <w:rFonts w:ascii="Cambria" w:hAnsi="Cambria"/>
          <w:sz w:val="20"/>
          <w:szCs w:val="20"/>
        </w:rPr>
        <w:t xml:space="preserve"> par la [Rec. </w:t>
      </w:r>
      <w:r w:rsidRPr="005756CE">
        <w:rPr>
          <w:rFonts w:ascii="Cambria" w:hAnsi="Cambria"/>
          <w:color w:val="000000"/>
          <w:sz w:val="20"/>
          <w:szCs w:val="20"/>
        </w:rPr>
        <w:t xml:space="preserve">24-08] </w:t>
      </w:r>
      <w:r w:rsidRPr="005756CE">
        <w:rPr>
          <w:rFonts w:ascii="Cambria" w:hAnsi="Cambria"/>
          <w:i/>
          <w:iCs/>
          <w:color w:val="000000"/>
          <w:sz w:val="20"/>
          <w:szCs w:val="20"/>
        </w:rPr>
        <w:t>Recommandation de l'ICCAT amendant la Recommandation 22-05 établissant un plan de rétablissement pour le germon de la Méditerranée</w:t>
      </w:r>
      <w:r w:rsidRPr="005756CE">
        <w:rPr>
          <w:rFonts w:ascii="Cambria" w:hAnsi="Cambria"/>
          <w:color w:val="000000"/>
          <w:sz w:val="20"/>
          <w:szCs w:val="20"/>
        </w:rPr>
        <w:t>)</w:t>
      </w:r>
    </w:p>
    <w:p w14:paraId="2E09DB5F" w14:textId="77777777" w:rsidR="00C86F61" w:rsidRPr="005756CE" w:rsidRDefault="00C86F61" w:rsidP="001E71F8">
      <w:pPr>
        <w:spacing w:line="240" w:lineRule="auto"/>
        <w:jc w:val="both"/>
        <w:rPr>
          <w:rFonts w:ascii="Cambria" w:hAnsi="Cambria"/>
          <w:b/>
          <w:bCs/>
          <w:sz w:val="20"/>
          <w:szCs w:val="20"/>
        </w:rPr>
      </w:pPr>
    </w:p>
    <w:p w14:paraId="68E8426F" w14:textId="69597A79" w:rsidR="00227CB5" w:rsidRPr="005756CE" w:rsidRDefault="00227CB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b/>
          <w:bCs/>
          <w:i/>
          <w:iCs/>
          <w:sz w:val="20"/>
          <w:szCs w:val="20"/>
        </w:rPr>
        <w:t xml:space="preserve">Application des </w:t>
      </w:r>
      <w:r w:rsidRPr="005756CE">
        <w:rPr>
          <w:rFonts w:ascii="Cambria" w:hAnsi="Cambria"/>
          <w:b/>
          <w:i/>
          <w:iCs/>
          <w:sz w:val="20"/>
          <w:szCs w:val="20"/>
        </w:rPr>
        <w:t xml:space="preserve">quotas/limites de capture </w:t>
      </w:r>
      <w:r w:rsidRPr="005756CE">
        <w:rPr>
          <w:rFonts w:ascii="Cambria" w:hAnsi="Cambria"/>
          <w:i/>
          <w:iCs/>
          <w:sz w:val="20"/>
          <w:szCs w:val="20"/>
        </w:rPr>
        <w:t>:</w:t>
      </w:r>
      <w:r w:rsidRPr="005756CE">
        <w:rPr>
          <w:rFonts w:ascii="Cambria" w:hAnsi="Cambria"/>
          <w:sz w:val="20"/>
          <w:szCs w:val="20"/>
        </w:rPr>
        <w:t xml:space="preserve"> Veuillez consulter les « Tableaux d’application de 202</w:t>
      </w:r>
      <w:r w:rsidR="00C86F61" w:rsidRPr="005756CE">
        <w:rPr>
          <w:rFonts w:ascii="Cambria" w:hAnsi="Cambria"/>
          <w:sz w:val="20"/>
          <w:szCs w:val="20"/>
        </w:rPr>
        <w:t>4</w:t>
      </w:r>
      <w:r w:rsidRPr="005756CE">
        <w:rPr>
          <w:rFonts w:ascii="Cambria" w:hAnsi="Cambria"/>
          <w:sz w:val="20"/>
          <w:szCs w:val="20"/>
        </w:rPr>
        <w:t xml:space="preserve"> reçus en 202</w:t>
      </w:r>
      <w:r w:rsidR="00C86F61" w:rsidRPr="005756CE">
        <w:rPr>
          <w:rFonts w:ascii="Cambria" w:hAnsi="Cambria"/>
          <w:sz w:val="20"/>
          <w:szCs w:val="20"/>
        </w:rPr>
        <w:t>5</w:t>
      </w:r>
      <w:r w:rsidRPr="005756CE">
        <w:rPr>
          <w:rFonts w:ascii="Cambria" w:hAnsi="Cambria"/>
          <w:sz w:val="20"/>
          <w:szCs w:val="20"/>
        </w:rPr>
        <w:t> » [COC-304/202</w:t>
      </w:r>
      <w:r w:rsidR="00C86F61" w:rsidRPr="005756CE">
        <w:rPr>
          <w:rFonts w:ascii="Cambria" w:hAnsi="Cambria"/>
          <w:sz w:val="20"/>
          <w:szCs w:val="20"/>
        </w:rPr>
        <w:t>5</w:t>
      </w:r>
      <w:r w:rsidRPr="005756CE">
        <w:rPr>
          <w:rFonts w:ascii="Cambria" w:hAnsi="Cambria"/>
          <w:sz w:val="20"/>
          <w:szCs w:val="20"/>
        </w:rPr>
        <w:t>).</w:t>
      </w:r>
    </w:p>
    <w:p w14:paraId="687B833A"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p>
    <w:p w14:paraId="656633AA" w14:textId="0361AE1B" w:rsidR="00356084" w:rsidRPr="005756CE" w:rsidRDefault="00356084" w:rsidP="001E71F8">
      <w:pPr>
        <w:widowControl w:val="0"/>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b/>
          <w:bCs/>
          <w:i/>
          <w:iCs/>
          <w:sz w:val="20"/>
          <w:szCs w:val="20"/>
        </w:rPr>
        <w:t>Liste des navires autorisés à pêcher du germon de la Méditerranée :</w:t>
      </w:r>
      <w:r w:rsidRPr="005756CE">
        <w:rPr>
          <w:rFonts w:ascii="Cambria" w:hAnsi="Cambria"/>
          <w:sz w:val="20"/>
          <w:szCs w:val="20"/>
        </w:rPr>
        <w:t xml:space="preserve"> Au moment de la rédaction du présent document, quatre CPC (Égypte, Union européenne, Maroc et Türkiye) avaient soumis des listes de navires autorisés conformément à cette Recommandation.</w:t>
      </w:r>
    </w:p>
    <w:p w14:paraId="1CD8FAAB"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4B1539E7"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 xml:space="preserve">Cette liste est publiée sur la </w:t>
      </w:r>
      <w:hyperlink r:id="rId16" w:history="1">
        <w:r w:rsidRPr="005756CE">
          <w:rPr>
            <w:rFonts w:ascii="Cambria" w:hAnsi="Cambria"/>
            <w:color w:val="0000FF"/>
            <w:sz w:val="20"/>
            <w:szCs w:val="20"/>
          </w:rPr>
          <w:t>page web de l’ICCAT</w:t>
        </w:r>
      </w:hyperlink>
      <w:r w:rsidRPr="005756CE">
        <w:rPr>
          <w:rFonts w:ascii="Cambria" w:hAnsi="Cambria"/>
          <w:sz w:val="20"/>
          <w:szCs w:val="20"/>
        </w:rPr>
        <w:t>.</w:t>
      </w:r>
    </w:p>
    <w:p w14:paraId="085B2D36"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2CE21F60"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u w:val="single"/>
          <w14:ligatures w14:val="none"/>
        </w:rPr>
      </w:pPr>
    </w:p>
    <w:p w14:paraId="79DA6689"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kern w:val="0"/>
          <w:sz w:val="20"/>
          <w:szCs w:val="20"/>
          <w:lang w:val="en-US"/>
          <w14:ligatures w14:val="none"/>
        </w:rPr>
      </w:pPr>
      <w:r w:rsidRPr="005756CE">
        <w:rPr>
          <w:rFonts w:ascii="Cambria" w:hAnsi="Cambria"/>
          <w:b/>
          <w:sz w:val="20"/>
          <w:szCs w:val="20"/>
          <w:lang w:val="en-US"/>
        </w:rPr>
        <w:t xml:space="preserve">BFT - THON ROUGE </w:t>
      </w:r>
      <w:r w:rsidRPr="005756CE">
        <w:rPr>
          <w:rFonts w:ascii="Cambria" w:hAnsi="Cambria"/>
          <w:b/>
          <w:i/>
          <w:sz w:val="20"/>
          <w:szCs w:val="20"/>
          <w:lang w:val="en-US"/>
        </w:rPr>
        <w:t>(Thunnus thynnus)</w:t>
      </w:r>
    </w:p>
    <w:p w14:paraId="4A9C8C9B" w14:textId="2474318E" w:rsidR="00356084" w:rsidRPr="005756CE" w:rsidRDefault="00356084" w:rsidP="001E71F8">
      <w:pPr>
        <w:widowControl w:val="0"/>
        <w:tabs>
          <w:tab w:val="left" w:pos="851"/>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lang w:val="en-US"/>
          <w14:ligatures w14:val="none"/>
        </w:rPr>
      </w:pPr>
    </w:p>
    <w:p w14:paraId="28EB5C0D" w14:textId="4408D99D"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hAnsi="Cambria"/>
          <w:sz w:val="20"/>
          <w:szCs w:val="20"/>
        </w:rPr>
      </w:pPr>
      <w:r w:rsidRPr="005756CE">
        <w:rPr>
          <w:rFonts w:ascii="Cambria" w:hAnsi="Cambria"/>
          <w:i/>
          <w:sz w:val="20"/>
          <w:szCs w:val="20"/>
        </w:rPr>
        <w:t>[22-08] Recommandation de l’ICCAT amendant la Recommandation 21-08 établissant un plan pluriannuel de gestion du thon rouge dans l’Atlantique Est et la Méditerranée</w:t>
      </w:r>
      <w:r w:rsidR="00FA6378" w:rsidRPr="005756CE">
        <w:rPr>
          <w:rFonts w:ascii="Cambria" w:hAnsi="Cambria"/>
          <w:i/>
          <w:sz w:val="20"/>
          <w:szCs w:val="20"/>
        </w:rPr>
        <w:t xml:space="preserve">, </w:t>
      </w:r>
      <w:r w:rsidRPr="005756CE">
        <w:rPr>
          <w:rFonts w:ascii="Cambria" w:hAnsi="Cambria"/>
          <w:sz w:val="20"/>
          <w:szCs w:val="20"/>
        </w:rPr>
        <w:t xml:space="preserve">amendée par la </w:t>
      </w:r>
      <w:r w:rsidRPr="005756CE">
        <w:rPr>
          <w:rFonts w:ascii="Cambria" w:hAnsi="Cambria"/>
          <w:i/>
          <w:iCs/>
          <w:sz w:val="20"/>
          <w:szCs w:val="20"/>
        </w:rPr>
        <w:t>[</w:t>
      </w:r>
      <w:r w:rsidR="00566FA4" w:rsidRPr="005756CE">
        <w:rPr>
          <w:rFonts w:ascii="Cambria" w:hAnsi="Cambria"/>
          <w:i/>
          <w:iCs/>
          <w:sz w:val="20"/>
          <w:szCs w:val="20"/>
        </w:rPr>
        <w:t xml:space="preserve">Rec. </w:t>
      </w:r>
      <w:r w:rsidRPr="005756CE">
        <w:rPr>
          <w:rFonts w:ascii="Cambria" w:hAnsi="Cambria"/>
          <w:i/>
          <w:iCs/>
          <w:sz w:val="20"/>
          <w:szCs w:val="20"/>
        </w:rPr>
        <w:t>23-06] Recommandation de l’ICCAT amendant la Recommandation 22-08 établissant un plan pluriannuel de gestion pour le thon rouge dans l’Atlantique Est et la Méditerranée</w:t>
      </w:r>
    </w:p>
    <w:p w14:paraId="4110BF50" w14:textId="77777777" w:rsidR="00BF0EE6" w:rsidRPr="005756CE" w:rsidRDefault="00BF0EE6"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hAnsi="Cambria"/>
          <w:sz w:val="20"/>
          <w:szCs w:val="20"/>
        </w:rPr>
      </w:pPr>
    </w:p>
    <w:p w14:paraId="00AF2DDA" w14:textId="77777777" w:rsidR="00172D76" w:rsidRPr="005756CE" w:rsidRDefault="00172D76" w:rsidP="001E71F8">
      <w:pPr>
        <w:tabs>
          <w:tab w:val="left" w:pos="1276"/>
          <w:tab w:val="left" w:pos="1418"/>
          <w:tab w:val="left" w:leader="dot" w:pos="8222"/>
          <w:tab w:val="right" w:pos="8647"/>
        </w:tabs>
        <w:spacing w:line="240" w:lineRule="auto"/>
        <w:jc w:val="both"/>
        <w:rPr>
          <w:rFonts w:ascii="Cambria" w:hAnsi="Cambria"/>
          <w:bCs/>
          <w:sz w:val="20"/>
          <w:szCs w:val="20"/>
        </w:rPr>
      </w:pPr>
      <w:r w:rsidRPr="005756CE">
        <w:rPr>
          <w:rFonts w:ascii="Cambria" w:hAnsi="Cambria"/>
          <w:sz w:val="20"/>
          <w:szCs w:val="20"/>
        </w:rPr>
        <w:t>(</w:t>
      </w:r>
      <w:proofErr w:type="gramStart"/>
      <w:r w:rsidRPr="005756CE">
        <w:rPr>
          <w:rFonts w:ascii="Cambria" w:hAnsi="Cambria"/>
          <w:sz w:val="20"/>
          <w:szCs w:val="20"/>
        </w:rPr>
        <w:t>remplacée</w:t>
      </w:r>
      <w:proofErr w:type="gramEnd"/>
      <w:r w:rsidRPr="005756CE">
        <w:rPr>
          <w:rFonts w:ascii="Cambria" w:hAnsi="Cambria"/>
          <w:sz w:val="20"/>
          <w:szCs w:val="20"/>
        </w:rPr>
        <w:t xml:space="preserve"> par la [Rec. 24-08] </w:t>
      </w:r>
      <w:r w:rsidRPr="005756CE">
        <w:rPr>
          <w:rFonts w:ascii="Cambria" w:hAnsi="Cambria"/>
          <w:i/>
          <w:iCs/>
          <w:sz w:val="20"/>
          <w:szCs w:val="20"/>
        </w:rPr>
        <w:t>Recommandation de l’ICCAT amendant la Recommandation 22-08 établissant un plan pluriannuel de gestion du thon rouge dans l’Atlantique Est et la Méditerranée</w:t>
      </w:r>
      <w:r w:rsidRPr="005756CE">
        <w:rPr>
          <w:rFonts w:ascii="Cambria" w:hAnsi="Cambria"/>
          <w:sz w:val="20"/>
          <w:szCs w:val="20"/>
        </w:rPr>
        <w:t>)</w:t>
      </w:r>
    </w:p>
    <w:p w14:paraId="16B7C961" w14:textId="77777777" w:rsidR="00BF0EE6" w:rsidRPr="005756CE" w:rsidRDefault="00BF0EE6"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p>
    <w:p w14:paraId="26965F9C" w14:textId="374E29BD"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b/>
          <w:bCs/>
          <w:i/>
          <w:iCs/>
          <w:sz w:val="20"/>
          <w:szCs w:val="20"/>
        </w:rPr>
        <w:t xml:space="preserve">Registre des établissements d’engraissement du thon rouge </w:t>
      </w:r>
      <w:r w:rsidR="000C6C70" w:rsidRPr="005756CE">
        <w:rPr>
          <w:rFonts w:ascii="Cambria" w:hAnsi="Cambria"/>
          <w:b/>
          <w:bCs/>
          <w:i/>
          <w:iCs/>
          <w:sz w:val="20"/>
          <w:szCs w:val="20"/>
        </w:rPr>
        <w:t xml:space="preserve">(FFB) </w:t>
      </w:r>
      <w:r w:rsidRPr="005756CE">
        <w:rPr>
          <w:rFonts w:ascii="Cambria" w:hAnsi="Cambria"/>
          <w:b/>
          <w:bCs/>
          <w:i/>
          <w:iCs/>
          <w:sz w:val="20"/>
          <w:szCs w:val="20"/>
        </w:rPr>
        <w:t>de l’ICCAT</w:t>
      </w:r>
      <w:r w:rsidRPr="005756CE">
        <w:rPr>
          <w:rFonts w:ascii="Cambria" w:hAnsi="Cambria"/>
          <w:b/>
          <w:bCs/>
          <w:sz w:val="20"/>
          <w:szCs w:val="20"/>
        </w:rPr>
        <w:t xml:space="preserve"> :</w:t>
      </w:r>
      <w:r w:rsidRPr="005756CE">
        <w:rPr>
          <w:rFonts w:ascii="Cambria" w:hAnsi="Cambria"/>
          <w:sz w:val="20"/>
          <w:szCs w:val="20"/>
        </w:rPr>
        <w:t xml:space="preserve"> Le registre ICCAT des fermes, contenant actuellement 7</w:t>
      </w:r>
      <w:r w:rsidR="00566FA4" w:rsidRPr="005756CE">
        <w:rPr>
          <w:rFonts w:ascii="Cambria" w:hAnsi="Cambria"/>
          <w:sz w:val="20"/>
          <w:szCs w:val="20"/>
        </w:rPr>
        <w:t>2</w:t>
      </w:r>
      <w:r w:rsidRPr="005756CE">
        <w:rPr>
          <w:rFonts w:ascii="Cambria" w:hAnsi="Cambria"/>
          <w:sz w:val="20"/>
          <w:szCs w:val="20"/>
        </w:rPr>
        <w:t xml:space="preserve"> fermes, est publié sur la </w:t>
      </w:r>
      <w:hyperlink r:id="rId17" w:history="1">
        <w:r w:rsidRPr="005756CE">
          <w:rPr>
            <w:rFonts w:ascii="Cambria" w:hAnsi="Cambria"/>
            <w:color w:val="0000FF"/>
            <w:sz w:val="20"/>
            <w:szCs w:val="20"/>
          </w:rPr>
          <w:t>page web de l’ICCAT</w:t>
        </w:r>
      </w:hyperlink>
      <w:r w:rsidRPr="005756CE">
        <w:rPr>
          <w:rFonts w:ascii="Cambria" w:hAnsi="Cambria"/>
          <w:sz w:val="20"/>
          <w:szCs w:val="20"/>
        </w:rPr>
        <w:t>. Les listes/autorisations annuelles ne sont pas requises. Nombre des fermes répertoriées sur le site web de l’ICCAT comme étant autorisées à opérer ne participent pas au Programme régional d’observateurs de l’ICCAT (ROP-BFT).</w:t>
      </w:r>
    </w:p>
    <w:p w14:paraId="71DEBA5C"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bCs/>
          <w:kern w:val="0"/>
          <w:sz w:val="20"/>
          <w:szCs w:val="20"/>
          <w14:ligatures w14:val="none"/>
        </w:rPr>
      </w:pPr>
    </w:p>
    <w:p w14:paraId="08A061B2" w14:textId="77777777" w:rsidR="00356084" w:rsidRPr="005756CE" w:rsidRDefault="00356084" w:rsidP="001E71F8">
      <w:pPr>
        <w:widowControl w:val="0"/>
        <w:tabs>
          <w:tab w:val="left" w:pos="709"/>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i/>
          <w:kern w:val="0"/>
          <w:sz w:val="20"/>
          <w:szCs w:val="20"/>
          <w14:ligatures w14:val="none"/>
        </w:rPr>
      </w:pPr>
      <w:r w:rsidRPr="005756CE">
        <w:rPr>
          <w:rFonts w:ascii="Cambria" w:hAnsi="Cambria"/>
          <w:i/>
          <w:sz w:val="20"/>
          <w:szCs w:val="20"/>
        </w:rPr>
        <w:t>[16-24] Directives pour la préparation des plans de pêche, d'inspection et de gestion de la capacité du thon rouge de l’Atlantique Est et de la Méditerranée</w:t>
      </w:r>
    </w:p>
    <w:p w14:paraId="0BD0B053"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i/>
          <w:kern w:val="0"/>
          <w:sz w:val="20"/>
          <w:szCs w:val="20"/>
          <w14:ligatures w14:val="none"/>
        </w:rPr>
      </w:pPr>
    </w:p>
    <w:p w14:paraId="60091EA4" w14:textId="7E6B19FD"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Les Plans de pêche, d'inspection et de gestion de la capacité ont été reçus dans les délais et conformément aux Lignes directrices adoptées, de la part de toutes les CPC disposant d'un quota pour le BFT-E</w:t>
      </w:r>
      <w:r w:rsidR="000D2773" w:rsidRPr="005756CE">
        <w:rPr>
          <w:rFonts w:ascii="Cambria" w:hAnsi="Cambria"/>
          <w:sz w:val="20"/>
          <w:szCs w:val="20"/>
        </w:rPr>
        <w:t>, sauf la Namibie</w:t>
      </w:r>
      <w:r w:rsidRPr="005756CE">
        <w:rPr>
          <w:rFonts w:ascii="Cambria" w:hAnsi="Cambria"/>
          <w:sz w:val="20"/>
          <w:szCs w:val="20"/>
        </w:rPr>
        <w:t>. Tous les plans ont été approuvés et sont joints au « Rapport de la réunion intersession de la Sous-commission</w:t>
      </w:r>
      <w:r w:rsidR="00A6615E" w:rsidRPr="005756CE">
        <w:t> </w:t>
      </w:r>
      <w:r w:rsidRPr="005756CE">
        <w:rPr>
          <w:rFonts w:ascii="Cambria" w:hAnsi="Cambria"/>
          <w:sz w:val="20"/>
          <w:szCs w:val="20"/>
        </w:rPr>
        <w:t>2</w:t>
      </w:r>
      <w:r w:rsidR="000C6C70" w:rsidRPr="005756CE">
        <w:rPr>
          <w:rFonts w:ascii="Cambria" w:hAnsi="Cambria"/>
          <w:sz w:val="20"/>
          <w:szCs w:val="20"/>
        </w:rPr>
        <w:t> »</w:t>
      </w:r>
      <w:r w:rsidRPr="005756CE">
        <w:rPr>
          <w:rFonts w:ascii="Cambria" w:hAnsi="Cambria"/>
          <w:sz w:val="20"/>
          <w:szCs w:val="20"/>
        </w:rPr>
        <w:t xml:space="preserve"> [PA2_602/202</w:t>
      </w:r>
      <w:r w:rsidR="000D2773" w:rsidRPr="005756CE">
        <w:rPr>
          <w:rFonts w:ascii="Cambria" w:hAnsi="Cambria"/>
          <w:sz w:val="20"/>
          <w:szCs w:val="20"/>
        </w:rPr>
        <w:t>5</w:t>
      </w:r>
      <w:r w:rsidRPr="005756CE">
        <w:rPr>
          <w:rFonts w:ascii="Cambria" w:hAnsi="Cambria"/>
          <w:sz w:val="20"/>
          <w:szCs w:val="20"/>
        </w:rPr>
        <w:t>].</w:t>
      </w:r>
    </w:p>
    <w:p w14:paraId="58E96626"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i/>
          <w:kern w:val="0"/>
          <w:sz w:val="20"/>
          <w:szCs w:val="20"/>
          <w14:ligatures w14:val="none"/>
        </w:rPr>
      </w:pPr>
    </w:p>
    <w:p w14:paraId="667DA69C" w14:textId="77777777" w:rsidR="0047674E" w:rsidRDefault="0047674E">
      <w:pPr>
        <w:rPr>
          <w:rFonts w:ascii="Cambria" w:hAnsi="Cambria"/>
          <w:i/>
          <w:sz w:val="20"/>
          <w:szCs w:val="20"/>
        </w:rPr>
      </w:pPr>
      <w:r>
        <w:rPr>
          <w:rFonts w:ascii="Cambria" w:hAnsi="Cambria"/>
          <w:i/>
          <w:sz w:val="20"/>
          <w:szCs w:val="20"/>
        </w:rPr>
        <w:br w:type="page"/>
      </w:r>
    </w:p>
    <w:p w14:paraId="0D00A137" w14:textId="0EDA445F"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hAnsi="Cambria"/>
          <w:i/>
          <w:sz w:val="20"/>
          <w:szCs w:val="20"/>
        </w:rPr>
      </w:pPr>
      <w:r w:rsidRPr="005756CE">
        <w:rPr>
          <w:rFonts w:ascii="Cambria" w:hAnsi="Cambria"/>
          <w:i/>
          <w:sz w:val="20"/>
          <w:szCs w:val="20"/>
        </w:rPr>
        <w:lastRenderedPageBreak/>
        <w:t>[22-10] Recommandation de l’ICCAT concernant un plan de conservation et de gestion du thon rouge de l’Atlantique Ouest</w:t>
      </w:r>
    </w:p>
    <w:p w14:paraId="2F3F7798" w14:textId="77777777" w:rsidR="00861B61" w:rsidRPr="005756CE" w:rsidRDefault="00861B61"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599EC761" w14:textId="352F8132"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b/>
          <w:i/>
          <w:sz w:val="20"/>
          <w:szCs w:val="20"/>
        </w:rPr>
        <w:t>Rapports mensuels de capture</w:t>
      </w:r>
      <w:r w:rsidR="000C6C70" w:rsidRPr="005756CE">
        <w:rPr>
          <w:rFonts w:ascii="Cambria" w:hAnsi="Cambria"/>
          <w:b/>
          <w:i/>
          <w:sz w:val="20"/>
          <w:szCs w:val="20"/>
        </w:rPr>
        <w:t xml:space="preserve"> : </w:t>
      </w:r>
      <w:r w:rsidRPr="005756CE">
        <w:rPr>
          <w:rFonts w:ascii="Cambria" w:hAnsi="Cambria"/>
          <w:sz w:val="20"/>
          <w:szCs w:val="20"/>
        </w:rPr>
        <w:t xml:space="preserve">Veuillez consulter le </w:t>
      </w:r>
      <w:r w:rsidRPr="005756CE">
        <w:rPr>
          <w:rFonts w:ascii="Cambria" w:hAnsi="Cambria"/>
          <w:b/>
          <w:bCs/>
          <w:sz w:val="20"/>
          <w:szCs w:val="20"/>
        </w:rPr>
        <w:t xml:space="preserve">tableau </w:t>
      </w:r>
      <w:r w:rsidRPr="005756CE">
        <w:rPr>
          <w:rFonts w:ascii="Cambria" w:hAnsi="Cambria"/>
          <w:b/>
          <w:sz w:val="20"/>
          <w:szCs w:val="20"/>
        </w:rPr>
        <w:t xml:space="preserve">7 </w:t>
      </w:r>
      <w:r w:rsidRPr="005756CE">
        <w:rPr>
          <w:rFonts w:ascii="Cambria" w:hAnsi="Cambria"/>
          <w:sz w:val="20"/>
          <w:szCs w:val="20"/>
        </w:rPr>
        <w:t>pour obtenir un résumé des rapports reçus au cours de l’année. Les quantités déclarées continuent à être publiées sur le site web de l'ICCAT protégé par mot de passe.</w:t>
      </w:r>
    </w:p>
    <w:p w14:paraId="32A180C1" w14:textId="0683A1A6" w:rsidR="00C849C0" w:rsidRPr="005756CE" w:rsidRDefault="00C849C0" w:rsidP="001E71F8">
      <w:pPr>
        <w:spacing w:line="240" w:lineRule="auto"/>
        <w:rPr>
          <w:rFonts w:ascii="Cambria" w:hAnsi="Cambria"/>
          <w:b/>
          <w:bCs/>
          <w:i/>
          <w:iCs/>
          <w:sz w:val="20"/>
          <w:szCs w:val="20"/>
        </w:rPr>
      </w:pPr>
    </w:p>
    <w:p w14:paraId="2CFEEC2B" w14:textId="0D3827A3" w:rsidR="00227CB5" w:rsidRPr="005756CE" w:rsidRDefault="00227CB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b/>
          <w:bCs/>
          <w:i/>
          <w:iCs/>
          <w:sz w:val="20"/>
          <w:szCs w:val="20"/>
        </w:rPr>
        <w:t xml:space="preserve">Application des </w:t>
      </w:r>
      <w:r w:rsidRPr="005756CE">
        <w:rPr>
          <w:rFonts w:ascii="Cambria" w:hAnsi="Cambria"/>
          <w:b/>
          <w:i/>
          <w:iCs/>
          <w:sz w:val="20"/>
          <w:szCs w:val="20"/>
        </w:rPr>
        <w:t xml:space="preserve">quotas/limites de capture </w:t>
      </w:r>
      <w:r w:rsidRPr="005756CE">
        <w:rPr>
          <w:rFonts w:ascii="Cambria" w:hAnsi="Cambria"/>
          <w:i/>
          <w:iCs/>
          <w:sz w:val="20"/>
          <w:szCs w:val="20"/>
        </w:rPr>
        <w:t>:</w:t>
      </w:r>
      <w:r w:rsidRPr="005756CE">
        <w:rPr>
          <w:rFonts w:ascii="Cambria" w:hAnsi="Cambria"/>
          <w:sz w:val="20"/>
          <w:szCs w:val="20"/>
        </w:rPr>
        <w:t xml:space="preserve"> Veuillez consulter les « Tableaux d’application de 202</w:t>
      </w:r>
      <w:r w:rsidR="000D2773" w:rsidRPr="005756CE">
        <w:rPr>
          <w:rFonts w:ascii="Cambria" w:hAnsi="Cambria"/>
          <w:sz w:val="20"/>
          <w:szCs w:val="20"/>
        </w:rPr>
        <w:t>4</w:t>
      </w:r>
      <w:r w:rsidRPr="005756CE">
        <w:rPr>
          <w:rFonts w:ascii="Cambria" w:hAnsi="Cambria"/>
          <w:sz w:val="20"/>
          <w:szCs w:val="20"/>
        </w:rPr>
        <w:t xml:space="preserve"> reçus en 202</w:t>
      </w:r>
      <w:r w:rsidR="000D2773" w:rsidRPr="005756CE">
        <w:rPr>
          <w:rFonts w:ascii="Cambria" w:hAnsi="Cambria"/>
          <w:sz w:val="20"/>
          <w:szCs w:val="20"/>
        </w:rPr>
        <w:t>5</w:t>
      </w:r>
      <w:r w:rsidRPr="005756CE">
        <w:rPr>
          <w:rFonts w:ascii="Cambria" w:hAnsi="Cambria"/>
          <w:sz w:val="20"/>
          <w:szCs w:val="20"/>
        </w:rPr>
        <w:t> » [COC-304/202</w:t>
      </w:r>
      <w:r w:rsidR="000D2773" w:rsidRPr="005756CE">
        <w:rPr>
          <w:rFonts w:ascii="Cambria" w:hAnsi="Cambria"/>
          <w:sz w:val="20"/>
          <w:szCs w:val="20"/>
        </w:rPr>
        <w:t>5</w:t>
      </w:r>
      <w:r w:rsidRPr="005756CE">
        <w:rPr>
          <w:rFonts w:ascii="Cambria" w:hAnsi="Cambria"/>
          <w:sz w:val="20"/>
          <w:szCs w:val="20"/>
        </w:rPr>
        <w:t>).</w:t>
      </w:r>
    </w:p>
    <w:p w14:paraId="17CA9818"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i/>
          <w:kern w:val="0"/>
          <w:sz w:val="20"/>
          <w:szCs w:val="20"/>
          <w14:ligatures w14:val="none"/>
        </w:rPr>
      </w:pPr>
    </w:p>
    <w:p w14:paraId="3264BB9E" w14:textId="593ECE8A" w:rsidR="000C6C70" w:rsidRPr="005756CE" w:rsidRDefault="000C6C70"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hAnsi="Cambria"/>
          <w:i/>
          <w:sz w:val="20"/>
          <w:szCs w:val="20"/>
        </w:rPr>
        <w:t>[22-08] Recommandation de l’ICCAT amendant la Recommandation 21-08 établissant un plan pluriannuel de gestion du thon rouge dans l’Atlantique Est et la Méditerranée</w:t>
      </w:r>
      <w:r w:rsidR="00861B61" w:rsidRPr="005756CE">
        <w:rPr>
          <w:rFonts w:ascii="Cambria" w:hAnsi="Cambria"/>
          <w:i/>
          <w:sz w:val="20"/>
          <w:szCs w:val="20"/>
        </w:rPr>
        <w:t xml:space="preserve">, </w:t>
      </w:r>
      <w:r w:rsidRPr="005756CE">
        <w:rPr>
          <w:rFonts w:ascii="Cambria" w:hAnsi="Cambria"/>
          <w:sz w:val="20"/>
          <w:szCs w:val="20"/>
        </w:rPr>
        <w:t xml:space="preserve">amendée par la </w:t>
      </w:r>
      <w:r w:rsidRPr="005756CE">
        <w:rPr>
          <w:rFonts w:ascii="Cambria" w:hAnsi="Cambria"/>
          <w:i/>
          <w:iCs/>
          <w:sz w:val="20"/>
          <w:szCs w:val="20"/>
        </w:rPr>
        <w:t>[</w:t>
      </w:r>
      <w:r w:rsidR="006E0F77" w:rsidRPr="005756CE">
        <w:rPr>
          <w:rFonts w:ascii="Cambria" w:hAnsi="Cambria"/>
          <w:i/>
          <w:iCs/>
          <w:sz w:val="20"/>
          <w:szCs w:val="20"/>
        </w:rPr>
        <w:t xml:space="preserve">Rec. </w:t>
      </w:r>
      <w:r w:rsidRPr="005756CE">
        <w:rPr>
          <w:rFonts w:ascii="Cambria" w:hAnsi="Cambria"/>
          <w:i/>
          <w:iCs/>
          <w:sz w:val="20"/>
          <w:szCs w:val="20"/>
        </w:rPr>
        <w:t>23-06] Recommandation de l’ICCAT amendant la Recommandation 22-08 établissant un plan pluriannuel de gestion pour le thon rouge dans l’Atlantique Est et la Méditerranée</w:t>
      </w:r>
    </w:p>
    <w:p w14:paraId="115B7E92"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752969BA" w14:textId="3DE40B03" w:rsidR="00053DAC" w:rsidRPr="005756CE" w:rsidRDefault="00053DAC"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hAnsi="Cambria"/>
          <w:sz w:val="20"/>
          <w:szCs w:val="20"/>
        </w:rPr>
        <w:t>(</w:t>
      </w:r>
      <w:proofErr w:type="gramStart"/>
      <w:r w:rsidRPr="005756CE">
        <w:rPr>
          <w:rFonts w:ascii="Cambria" w:hAnsi="Cambria"/>
          <w:sz w:val="20"/>
          <w:szCs w:val="20"/>
        </w:rPr>
        <w:t>remplacée</w:t>
      </w:r>
      <w:proofErr w:type="gramEnd"/>
      <w:r w:rsidRPr="005756CE">
        <w:rPr>
          <w:rFonts w:ascii="Cambria" w:hAnsi="Cambria"/>
          <w:sz w:val="20"/>
          <w:szCs w:val="20"/>
        </w:rPr>
        <w:t xml:space="preserve"> par la </w:t>
      </w:r>
      <w:r w:rsidRPr="005756CE">
        <w:rPr>
          <w:rFonts w:ascii="Cambria" w:hAnsi="Cambria"/>
          <w:i/>
          <w:iCs/>
          <w:sz w:val="20"/>
          <w:szCs w:val="20"/>
        </w:rPr>
        <w:t>[Rec. 2</w:t>
      </w:r>
      <w:r w:rsidR="00003A01" w:rsidRPr="005756CE">
        <w:rPr>
          <w:rFonts w:ascii="Cambria" w:hAnsi="Cambria"/>
          <w:i/>
          <w:iCs/>
          <w:sz w:val="20"/>
          <w:szCs w:val="20"/>
        </w:rPr>
        <w:t>4</w:t>
      </w:r>
      <w:r w:rsidRPr="005756CE">
        <w:rPr>
          <w:rFonts w:ascii="Cambria" w:hAnsi="Cambria"/>
          <w:i/>
          <w:iCs/>
          <w:sz w:val="20"/>
          <w:szCs w:val="20"/>
        </w:rPr>
        <w:t>-0</w:t>
      </w:r>
      <w:r w:rsidR="00003A01" w:rsidRPr="005756CE">
        <w:rPr>
          <w:rFonts w:ascii="Cambria" w:hAnsi="Cambria"/>
          <w:i/>
          <w:iCs/>
          <w:sz w:val="20"/>
          <w:szCs w:val="20"/>
        </w:rPr>
        <w:t>5</w:t>
      </w:r>
      <w:r w:rsidRPr="005756CE">
        <w:rPr>
          <w:rFonts w:ascii="Cambria" w:hAnsi="Cambria"/>
          <w:i/>
          <w:iCs/>
          <w:sz w:val="20"/>
          <w:szCs w:val="20"/>
        </w:rPr>
        <w:t>] Recommandation de l’ICCAT amendant la Recommandation 2</w:t>
      </w:r>
      <w:r w:rsidR="00003A01" w:rsidRPr="005756CE">
        <w:rPr>
          <w:rFonts w:ascii="Cambria" w:hAnsi="Cambria"/>
          <w:i/>
          <w:iCs/>
          <w:sz w:val="20"/>
          <w:szCs w:val="20"/>
        </w:rPr>
        <w:t>3</w:t>
      </w:r>
      <w:r w:rsidRPr="005756CE">
        <w:rPr>
          <w:rFonts w:ascii="Cambria" w:hAnsi="Cambria"/>
          <w:i/>
          <w:iCs/>
          <w:sz w:val="20"/>
          <w:szCs w:val="20"/>
        </w:rPr>
        <w:t>-0</w:t>
      </w:r>
      <w:r w:rsidR="00003A01" w:rsidRPr="005756CE">
        <w:rPr>
          <w:rFonts w:ascii="Cambria" w:hAnsi="Cambria"/>
          <w:i/>
          <w:iCs/>
          <w:sz w:val="20"/>
          <w:szCs w:val="20"/>
        </w:rPr>
        <w:t>6</w:t>
      </w:r>
      <w:r w:rsidRPr="005756CE">
        <w:rPr>
          <w:rFonts w:ascii="Cambria" w:hAnsi="Cambria"/>
          <w:i/>
          <w:iCs/>
          <w:sz w:val="20"/>
          <w:szCs w:val="20"/>
        </w:rPr>
        <w:t xml:space="preserve"> établissant un plan pluriannuel de gestion pour le thon rouge dans l’Atlantique Est et la Méditerranée</w:t>
      </w:r>
      <w:r w:rsidRPr="005756CE">
        <w:rPr>
          <w:rFonts w:ascii="Cambria" w:hAnsi="Cambria"/>
          <w:sz w:val="20"/>
          <w:szCs w:val="20"/>
        </w:rPr>
        <w:t>)</w:t>
      </w:r>
    </w:p>
    <w:p w14:paraId="196C9B64" w14:textId="77777777" w:rsidR="002D13C9" w:rsidRPr="005756CE" w:rsidRDefault="002D13C9"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4AB6FD6B" w14:textId="6AA81A5C" w:rsidR="00227CB5" w:rsidRPr="005756CE" w:rsidRDefault="00227CB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b/>
          <w:bCs/>
          <w:i/>
          <w:iCs/>
          <w:sz w:val="20"/>
          <w:szCs w:val="20"/>
        </w:rPr>
        <w:t xml:space="preserve">Application des </w:t>
      </w:r>
      <w:r w:rsidRPr="005756CE">
        <w:rPr>
          <w:rFonts w:ascii="Cambria" w:hAnsi="Cambria"/>
          <w:b/>
          <w:i/>
          <w:iCs/>
          <w:sz w:val="20"/>
          <w:szCs w:val="20"/>
        </w:rPr>
        <w:t xml:space="preserve">quotas/limites de capture </w:t>
      </w:r>
      <w:r w:rsidRPr="005756CE">
        <w:rPr>
          <w:rFonts w:ascii="Cambria" w:hAnsi="Cambria"/>
          <w:i/>
          <w:iCs/>
          <w:sz w:val="20"/>
          <w:szCs w:val="20"/>
        </w:rPr>
        <w:t>:</w:t>
      </w:r>
      <w:r w:rsidRPr="005756CE">
        <w:rPr>
          <w:rFonts w:ascii="Cambria" w:hAnsi="Cambria"/>
          <w:sz w:val="20"/>
          <w:szCs w:val="20"/>
        </w:rPr>
        <w:t xml:space="preserve"> Veuillez consulter les « Tableaux d’application de 202</w:t>
      </w:r>
      <w:r w:rsidR="00003A01" w:rsidRPr="005756CE">
        <w:rPr>
          <w:rFonts w:ascii="Cambria" w:hAnsi="Cambria"/>
          <w:sz w:val="20"/>
          <w:szCs w:val="20"/>
        </w:rPr>
        <w:t>4</w:t>
      </w:r>
      <w:r w:rsidRPr="005756CE">
        <w:rPr>
          <w:rFonts w:ascii="Cambria" w:hAnsi="Cambria"/>
          <w:sz w:val="20"/>
          <w:szCs w:val="20"/>
        </w:rPr>
        <w:t xml:space="preserve"> reçus en 202</w:t>
      </w:r>
      <w:r w:rsidR="00003A01" w:rsidRPr="005756CE">
        <w:rPr>
          <w:rFonts w:ascii="Cambria" w:hAnsi="Cambria"/>
          <w:sz w:val="20"/>
          <w:szCs w:val="20"/>
        </w:rPr>
        <w:t>5</w:t>
      </w:r>
      <w:r w:rsidRPr="005756CE">
        <w:rPr>
          <w:rFonts w:ascii="Cambria" w:hAnsi="Cambria"/>
          <w:sz w:val="20"/>
          <w:szCs w:val="20"/>
        </w:rPr>
        <w:t> » [COC-304/202</w:t>
      </w:r>
      <w:r w:rsidR="00003A01" w:rsidRPr="005756CE">
        <w:rPr>
          <w:rFonts w:ascii="Cambria" w:hAnsi="Cambria"/>
          <w:sz w:val="20"/>
          <w:szCs w:val="20"/>
        </w:rPr>
        <w:t>5</w:t>
      </w:r>
      <w:r w:rsidRPr="005756CE">
        <w:rPr>
          <w:rFonts w:ascii="Cambria" w:hAnsi="Cambria"/>
          <w:sz w:val="20"/>
          <w:szCs w:val="20"/>
        </w:rPr>
        <w:t>).</w:t>
      </w:r>
    </w:p>
    <w:p w14:paraId="493C17D6"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216B5BDD" w14:textId="039F0F5A"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b/>
          <w:bCs/>
          <w:i/>
          <w:sz w:val="20"/>
          <w:szCs w:val="20"/>
        </w:rPr>
        <w:t>Plans de pêche</w:t>
      </w:r>
      <w:r w:rsidR="000C6C70" w:rsidRPr="005756CE">
        <w:rPr>
          <w:rFonts w:ascii="Cambria" w:hAnsi="Cambria"/>
          <w:b/>
          <w:bCs/>
          <w:i/>
          <w:sz w:val="20"/>
          <w:szCs w:val="20"/>
        </w:rPr>
        <w:t> :</w:t>
      </w:r>
      <w:r w:rsidRPr="005756CE">
        <w:rPr>
          <w:rFonts w:ascii="Cambria" w:hAnsi="Cambria"/>
          <w:i/>
          <w:sz w:val="20"/>
          <w:szCs w:val="20"/>
        </w:rPr>
        <w:t xml:space="preserve"> </w:t>
      </w:r>
      <w:r w:rsidRPr="005756CE">
        <w:rPr>
          <w:rFonts w:ascii="Cambria" w:hAnsi="Cambria"/>
          <w:sz w:val="20"/>
          <w:szCs w:val="20"/>
        </w:rPr>
        <w:t>Les plans ont été reçus dans les délais</w:t>
      </w:r>
      <w:r w:rsidR="00620520" w:rsidRPr="005756CE">
        <w:rPr>
          <w:rFonts w:ascii="Cambria" w:hAnsi="Cambria"/>
          <w:sz w:val="20"/>
          <w:szCs w:val="20"/>
        </w:rPr>
        <w:t>, sauf pour la Namibie,</w:t>
      </w:r>
      <w:r w:rsidRPr="005756CE">
        <w:rPr>
          <w:rFonts w:ascii="Cambria" w:hAnsi="Cambria"/>
          <w:sz w:val="20"/>
          <w:szCs w:val="20"/>
        </w:rPr>
        <w:t xml:space="preserve"> et, à la suite de demandes de clarification, ont tous été approuvés par la Sous-commission 2 (voir Rec. 16-24 ci-dessus).</w:t>
      </w:r>
    </w:p>
    <w:p w14:paraId="2EAFEF13"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2E7371D0" w14:textId="62CFA31B" w:rsidR="00356084" w:rsidRPr="005756CE" w:rsidRDefault="00356084" w:rsidP="001E71F8">
      <w:pPr>
        <w:spacing w:line="240" w:lineRule="auto"/>
        <w:jc w:val="both"/>
        <w:rPr>
          <w:rFonts w:ascii="Cambria" w:eastAsia="Times New Roman" w:hAnsi="Cambria"/>
          <w:kern w:val="0"/>
          <w:sz w:val="20"/>
          <w:szCs w:val="20"/>
          <w14:ligatures w14:val="none"/>
        </w:rPr>
      </w:pPr>
      <w:r w:rsidRPr="005756CE">
        <w:rPr>
          <w:rFonts w:ascii="Cambria" w:hAnsi="Cambria"/>
          <w:b/>
          <w:bCs/>
          <w:i/>
          <w:sz w:val="20"/>
          <w:szCs w:val="20"/>
        </w:rPr>
        <w:t>Opérations de pêche conjointes :</w:t>
      </w:r>
      <w:r w:rsidRPr="005756CE">
        <w:rPr>
          <w:rFonts w:ascii="Cambria" w:hAnsi="Cambria"/>
          <w:i/>
          <w:sz w:val="20"/>
          <w:szCs w:val="20"/>
        </w:rPr>
        <w:t xml:space="preserve"> </w:t>
      </w:r>
      <w:r w:rsidR="00620520" w:rsidRPr="005756CE">
        <w:rPr>
          <w:rFonts w:ascii="Cambria" w:hAnsi="Cambria"/>
          <w:sz w:val="20"/>
          <w:szCs w:val="20"/>
        </w:rPr>
        <w:t>28</w:t>
      </w:r>
      <w:r w:rsidRPr="005756CE">
        <w:rPr>
          <w:rFonts w:ascii="Cambria" w:hAnsi="Cambria"/>
          <w:sz w:val="20"/>
          <w:szCs w:val="20"/>
        </w:rPr>
        <w:t xml:space="preserve"> opérations de pêche conjointes (JFO) ont été déclarées pour 202</w:t>
      </w:r>
      <w:r w:rsidR="00620520" w:rsidRPr="005756CE">
        <w:rPr>
          <w:rFonts w:ascii="Cambria" w:hAnsi="Cambria"/>
          <w:sz w:val="20"/>
          <w:szCs w:val="20"/>
        </w:rPr>
        <w:t>5</w:t>
      </w:r>
      <w:r w:rsidRPr="005756CE">
        <w:rPr>
          <w:rFonts w:ascii="Cambria" w:hAnsi="Cambria"/>
          <w:sz w:val="20"/>
          <w:szCs w:val="20"/>
        </w:rPr>
        <w:t xml:space="preserve">. Le Secrétariat de l’ICCAT a reçu, dans la plupart des cas, les informations nécessaires cinq jours avant les JFO. L'information a été publiée sur la </w:t>
      </w:r>
      <w:hyperlink r:id="rId18" w:history="1">
        <w:r w:rsidRPr="005756CE">
          <w:rPr>
            <w:rFonts w:ascii="Cambria" w:hAnsi="Cambria"/>
            <w:color w:val="0000FF"/>
            <w:sz w:val="20"/>
            <w:szCs w:val="20"/>
          </w:rPr>
          <w:t>page web de l'ICCAT</w:t>
        </w:r>
      </w:hyperlink>
      <w:r w:rsidR="000C6C70" w:rsidRPr="005756CE">
        <w:rPr>
          <w:rFonts w:ascii="Cambria" w:hAnsi="Cambria"/>
          <w:sz w:val="20"/>
          <w:szCs w:val="20"/>
        </w:rPr>
        <w:t xml:space="preserve">. </w:t>
      </w:r>
      <w:r w:rsidR="0042742E" w:rsidRPr="005756CE">
        <w:rPr>
          <w:rFonts w:ascii="Cambria" w:hAnsi="Cambria"/>
          <w:sz w:val="20"/>
          <w:szCs w:val="20"/>
        </w:rPr>
        <w:t xml:space="preserve">Dans de nombreux cas, le délai très court entre la soumission des données JFO et leur date de début continue de compliquer la saisie complète de toutes les informations dans les bases de données de l’ICCAT, leur synchronisation avec le système eBCD et leur transmission aux observateurs ROP-BFT à temps pour leur déploiement. </w:t>
      </w:r>
      <w:r w:rsidRPr="005756CE">
        <w:rPr>
          <w:rFonts w:ascii="Cambria" w:hAnsi="Cambria"/>
          <w:sz w:val="20"/>
          <w:szCs w:val="20"/>
        </w:rPr>
        <w:t xml:space="preserve">En outre, la procédure actuelle ne permet pas de saisir des JFO sans information sur la destination de l’élevage, et certaines difficultés ont été rencontrées lorsque des changements </w:t>
      </w:r>
      <w:r w:rsidR="000C6C70" w:rsidRPr="005756CE">
        <w:rPr>
          <w:rFonts w:ascii="Cambria" w:hAnsi="Cambria"/>
          <w:sz w:val="20"/>
          <w:szCs w:val="20"/>
        </w:rPr>
        <w:t xml:space="preserve">étaient </w:t>
      </w:r>
      <w:r w:rsidRPr="005756CE">
        <w:rPr>
          <w:rFonts w:ascii="Cambria" w:hAnsi="Cambria"/>
          <w:sz w:val="20"/>
          <w:szCs w:val="20"/>
        </w:rPr>
        <w:t xml:space="preserve">nécessaires, étant donné qu'une fois que les eBCD sont associés à une JFO, l'information ne peut pas être mise à jour à moins que tous les eBCD ne soient réémis. </w:t>
      </w:r>
    </w:p>
    <w:p w14:paraId="3C3C9074" w14:textId="77777777" w:rsidR="00D353D9" w:rsidRPr="005756CE" w:rsidRDefault="00D353D9"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382B691C" w14:textId="2B06C355"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bookmarkStart w:id="3" w:name="_Hlk23928350"/>
      <w:bookmarkStart w:id="4" w:name="_Hlk52880218"/>
      <w:bookmarkStart w:id="5" w:name="_Hlk23241440"/>
      <w:bookmarkStart w:id="6" w:name="_Hlk179901459"/>
      <w:r w:rsidRPr="005756CE">
        <w:rPr>
          <w:rFonts w:ascii="Cambria" w:hAnsi="Cambria"/>
          <w:b/>
          <w:i/>
          <w:sz w:val="20"/>
          <w:szCs w:val="20"/>
        </w:rPr>
        <w:t>Système de surveillance des navires (VMS) :</w:t>
      </w:r>
      <w:bookmarkEnd w:id="3"/>
      <w:bookmarkEnd w:id="4"/>
      <w:bookmarkEnd w:id="5"/>
      <w:r w:rsidRPr="005756CE">
        <w:rPr>
          <w:rFonts w:ascii="Cambria" w:hAnsi="Cambria"/>
          <w:b/>
          <w:i/>
          <w:sz w:val="20"/>
          <w:szCs w:val="20"/>
        </w:rPr>
        <w:t xml:space="preserve"> </w:t>
      </w:r>
      <w:r w:rsidRPr="005756CE">
        <w:rPr>
          <w:rFonts w:ascii="Cambria" w:hAnsi="Cambria"/>
          <w:sz w:val="20"/>
          <w:szCs w:val="20"/>
        </w:rPr>
        <w:t>Cette année, en date du 1</w:t>
      </w:r>
      <w:r w:rsidR="00996241" w:rsidRPr="005756CE">
        <w:rPr>
          <w:rFonts w:ascii="Cambria" w:hAnsi="Cambria"/>
          <w:sz w:val="20"/>
          <w:szCs w:val="20"/>
        </w:rPr>
        <w:t>7</w:t>
      </w:r>
      <w:r w:rsidRPr="005756CE">
        <w:rPr>
          <w:rFonts w:ascii="Cambria" w:hAnsi="Cambria"/>
          <w:sz w:val="20"/>
          <w:szCs w:val="20"/>
        </w:rPr>
        <w:t xml:space="preserve"> octobre 202</w:t>
      </w:r>
      <w:r w:rsidR="00996241" w:rsidRPr="005756CE">
        <w:rPr>
          <w:rFonts w:ascii="Cambria" w:hAnsi="Cambria"/>
          <w:sz w:val="20"/>
          <w:szCs w:val="20"/>
        </w:rPr>
        <w:t>5</w:t>
      </w:r>
      <w:r w:rsidRPr="005756CE">
        <w:rPr>
          <w:rFonts w:ascii="Cambria" w:hAnsi="Cambria"/>
          <w:sz w:val="20"/>
          <w:szCs w:val="20"/>
        </w:rPr>
        <w:t xml:space="preserve">, un total de </w:t>
      </w:r>
      <w:r w:rsidR="0088690A" w:rsidRPr="005756CE">
        <w:rPr>
          <w:rFonts w:ascii="Cambria" w:hAnsi="Cambria"/>
          <w:sz w:val="20"/>
          <w:szCs w:val="20"/>
        </w:rPr>
        <w:t>2.</w:t>
      </w:r>
      <w:r w:rsidR="00E84FA6" w:rsidRPr="005756CE">
        <w:rPr>
          <w:rFonts w:ascii="Cambria" w:hAnsi="Cambria"/>
          <w:sz w:val="20"/>
          <w:szCs w:val="20"/>
        </w:rPr>
        <w:t>775.992</w:t>
      </w:r>
      <w:r w:rsidRPr="005756CE">
        <w:rPr>
          <w:rFonts w:ascii="Cambria" w:hAnsi="Cambria"/>
          <w:sz w:val="20"/>
          <w:szCs w:val="20"/>
        </w:rPr>
        <w:t xml:space="preserve"> messages VMS a été reçu (aux fins de ce calcul global, les messages que le système identifie comme position au port n'ont pas été pris en compte). Par rapport à la même période de l'année dernière, </w:t>
      </w:r>
      <w:r w:rsidR="00705890" w:rsidRPr="005756CE">
        <w:rPr>
          <w:rFonts w:ascii="Cambria" w:hAnsi="Cambria"/>
          <w:color w:val="000000"/>
          <w:sz w:val="20"/>
          <w:szCs w:val="20"/>
          <w:lang w:eastAsia="es-ES"/>
        </w:rPr>
        <w:t xml:space="preserve">176.964 </w:t>
      </w:r>
      <w:r w:rsidRPr="005756CE">
        <w:rPr>
          <w:rFonts w:ascii="Cambria" w:hAnsi="Cambria"/>
          <w:color w:val="000000"/>
          <w:sz w:val="20"/>
          <w:szCs w:val="20"/>
        </w:rPr>
        <w:t xml:space="preserve">messages de </w:t>
      </w:r>
      <w:r w:rsidR="00705890" w:rsidRPr="005756CE">
        <w:rPr>
          <w:rFonts w:ascii="Cambria" w:hAnsi="Cambria"/>
          <w:color w:val="000000"/>
          <w:sz w:val="20"/>
          <w:szCs w:val="20"/>
        </w:rPr>
        <w:t>moins</w:t>
      </w:r>
      <w:r w:rsidRPr="005756CE">
        <w:rPr>
          <w:rFonts w:ascii="Cambria" w:hAnsi="Cambria"/>
          <w:color w:val="000000"/>
          <w:sz w:val="20"/>
          <w:szCs w:val="20"/>
        </w:rPr>
        <w:t xml:space="preserve"> ont été reçus, soit une </w:t>
      </w:r>
      <w:r w:rsidR="00E230D6" w:rsidRPr="005756CE">
        <w:rPr>
          <w:rFonts w:ascii="Cambria" w:hAnsi="Cambria"/>
          <w:color w:val="000000"/>
          <w:sz w:val="20"/>
          <w:szCs w:val="20"/>
        </w:rPr>
        <w:t>diminution</w:t>
      </w:r>
      <w:r w:rsidRPr="005756CE">
        <w:rPr>
          <w:rFonts w:ascii="Cambria" w:hAnsi="Cambria"/>
          <w:color w:val="000000"/>
          <w:sz w:val="20"/>
          <w:szCs w:val="20"/>
        </w:rPr>
        <w:t xml:space="preserve"> de </w:t>
      </w:r>
      <w:r w:rsidRPr="005756CE">
        <w:rPr>
          <w:rFonts w:ascii="Cambria" w:hAnsi="Cambria"/>
          <w:sz w:val="20"/>
          <w:szCs w:val="20"/>
        </w:rPr>
        <w:t>7</w:t>
      </w:r>
      <w:r w:rsidR="00A07525" w:rsidRPr="005756CE">
        <w:rPr>
          <w:rFonts w:ascii="Cambria" w:hAnsi="Cambria"/>
          <w:sz w:val="20"/>
          <w:szCs w:val="20"/>
        </w:rPr>
        <w:t> </w:t>
      </w:r>
      <w:r w:rsidRPr="005756CE">
        <w:rPr>
          <w:rFonts w:ascii="Cambria" w:hAnsi="Cambria"/>
          <w:sz w:val="20"/>
          <w:szCs w:val="20"/>
        </w:rPr>
        <w:t>%. Sur la même période cette année, 1</w:t>
      </w:r>
      <w:r w:rsidR="00A07525" w:rsidRPr="005756CE">
        <w:rPr>
          <w:rFonts w:ascii="Cambria" w:hAnsi="Cambria"/>
          <w:sz w:val="20"/>
          <w:szCs w:val="20"/>
        </w:rPr>
        <w:t>.</w:t>
      </w:r>
      <w:r w:rsidRPr="005756CE">
        <w:rPr>
          <w:rFonts w:ascii="Cambria" w:hAnsi="Cambria"/>
          <w:sz w:val="20"/>
          <w:szCs w:val="20"/>
        </w:rPr>
        <w:t>0</w:t>
      </w:r>
      <w:r w:rsidR="00E230D6" w:rsidRPr="005756CE">
        <w:rPr>
          <w:rFonts w:ascii="Cambria" w:hAnsi="Cambria"/>
          <w:sz w:val="20"/>
          <w:szCs w:val="20"/>
        </w:rPr>
        <w:t>29</w:t>
      </w:r>
      <w:r w:rsidRPr="005756CE">
        <w:rPr>
          <w:rFonts w:ascii="Cambria" w:hAnsi="Cambria"/>
          <w:sz w:val="20"/>
          <w:szCs w:val="20"/>
        </w:rPr>
        <w:t xml:space="preserve"> navires ont été actifs (comme dans le critère des messages, sont considérés comme actifs les navires qui ont transmis au moins un message avec une position hors du port), soit </w:t>
      </w:r>
      <w:r w:rsidR="004E7BC4" w:rsidRPr="005756CE">
        <w:rPr>
          <w:rFonts w:ascii="Cambria" w:hAnsi="Cambria"/>
          <w:sz w:val="20"/>
          <w:szCs w:val="20"/>
        </w:rPr>
        <w:t>78</w:t>
      </w:r>
      <w:r w:rsidRPr="005756CE">
        <w:rPr>
          <w:rFonts w:ascii="Cambria" w:hAnsi="Cambria"/>
          <w:sz w:val="20"/>
          <w:szCs w:val="20"/>
        </w:rPr>
        <w:t xml:space="preserve"> navires de </w:t>
      </w:r>
      <w:r w:rsidR="004E7BC4" w:rsidRPr="005756CE">
        <w:rPr>
          <w:rFonts w:ascii="Cambria" w:hAnsi="Cambria"/>
          <w:sz w:val="20"/>
          <w:szCs w:val="20"/>
        </w:rPr>
        <w:t>moins</w:t>
      </w:r>
      <w:r w:rsidRPr="005756CE">
        <w:rPr>
          <w:rFonts w:ascii="Cambria" w:hAnsi="Cambria"/>
          <w:sz w:val="20"/>
          <w:szCs w:val="20"/>
        </w:rPr>
        <w:t xml:space="preserve"> que l'année dernière, c'est-à-dire une </w:t>
      </w:r>
      <w:r w:rsidR="004E7BC4" w:rsidRPr="005756CE">
        <w:rPr>
          <w:rFonts w:ascii="Cambria" w:hAnsi="Cambria"/>
          <w:sz w:val="20"/>
          <w:szCs w:val="20"/>
        </w:rPr>
        <w:t>baisse</w:t>
      </w:r>
      <w:r w:rsidRPr="005756CE">
        <w:rPr>
          <w:rFonts w:ascii="Cambria" w:hAnsi="Cambria"/>
          <w:sz w:val="20"/>
          <w:szCs w:val="20"/>
        </w:rPr>
        <w:t xml:space="preserve"> de près de </w:t>
      </w:r>
      <w:r w:rsidR="004E7BC4" w:rsidRPr="005756CE">
        <w:rPr>
          <w:rFonts w:ascii="Cambria" w:hAnsi="Cambria"/>
          <w:sz w:val="20"/>
          <w:szCs w:val="20"/>
        </w:rPr>
        <w:t>6</w:t>
      </w:r>
      <w:r w:rsidR="00E0557C" w:rsidRPr="005756CE">
        <w:rPr>
          <w:rFonts w:ascii="Cambria" w:hAnsi="Cambria"/>
          <w:sz w:val="20"/>
          <w:szCs w:val="20"/>
        </w:rPr>
        <w:t> </w:t>
      </w:r>
      <w:r w:rsidRPr="005756CE">
        <w:rPr>
          <w:rFonts w:ascii="Cambria" w:hAnsi="Cambria"/>
          <w:sz w:val="20"/>
          <w:szCs w:val="20"/>
        </w:rPr>
        <w:t>%.</w:t>
      </w:r>
    </w:p>
    <w:p w14:paraId="746C2BD7" w14:textId="77777777" w:rsidR="00356084" w:rsidRPr="005756CE" w:rsidRDefault="00356084"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74DABAAF"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 xml:space="preserve">Pour obtenir davantage de détails sur les messages VMS transmis, veuillez consulter les </w:t>
      </w:r>
      <w:r w:rsidRPr="005756CE">
        <w:rPr>
          <w:rFonts w:ascii="Cambria" w:hAnsi="Cambria"/>
          <w:b/>
          <w:bCs/>
          <w:sz w:val="20"/>
          <w:szCs w:val="20"/>
        </w:rPr>
        <w:t xml:space="preserve">tableaux 4, 5 </w:t>
      </w:r>
      <w:r w:rsidRPr="005756CE">
        <w:rPr>
          <w:rFonts w:ascii="Cambria" w:hAnsi="Cambria"/>
          <w:sz w:val="20"/>
          <w:szCs w:val="20"/>
        </w:rPr>
        <w:t xml:space="preserve">et </w:t>
      </w:r>
      <w:r w:rsidRPr="005756CE">
        <w:rPr>
          <w:rFonts w:ascii="Cambria" w:hAnsi="Cambria"/>
          <w:b/>
          <w:bCs/>
          <w:sz w:val="20"/>
          <w:szCs w:val="20"/>
        </w:rPr>
        <w:t>6</w:t>
      </w:r>
      <w:r w:rsidRPr="005756CE">
        <w:rPr>
          <w:rFonts w:ascii="Cambria" w:hAnsi="Cambria"/>
          <w:sz w:val="20"/>
          <w:szCs w:val="20"/>
        </w:rPr>
        <w:t>.</w:t>
      </w:r>
    </w:p>
    <w:p w14:paraId="0638B4DA"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487ECA9D" w14:textId="6AB705C1"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hAnsi="Cambria"/>
          <w:sz w:val="20"/>
          <w:szCs w:val="20"/>
        </w:rPr>
      </w:pPr>
      <w:r w:rsidRPr="005756CE">
        <w:rPr>
          <w:rFonts w:ascii="Cambria" w:hAnsi="Cambria"/>
          <w:sz w:val="20"/>
          <w:szCs w:val="20"/>
        </w:rPr>
        <w:t xml:space="preserve">Depuis 2014, le nombre de messages VMS reçus a augmenté d'environ </w:t>
      </w:r>
      <w:r w:rsidR="004E7BC4" w:rsidRPr="005756CE">
        <w:rPr>
          <w:rFonts w:ascii="Cambria" w:hAnsi="Cambria"/>
          <w:sz w:val="20"/>
          <w:szCs w:val="20"/>
        </w:rPr>
        <w:t>8</w:t>
      </w:r>
      <w:r w:rsidRPr="005756CE">
        <w:rPr>
          <w:rFonts w:ascii="Cambria" w:hAnsi="Cambria"/>
          <w:sz w:val="20"/>
          <w:szCs w:val="20"/>
        </w:rPr>
        <w:t>6</w:t>
      </w:r>
      <w:r w:rsidR="00E0557C" w:rsidRPr="005756CE">
        <w:rPr>
          <w:rFonts w:ascii="Cambria" w:hAnsi="Cambria"/>
          <w:sz w:val="20"/>
          <w:szCs w:val="20"/>
        </w:rPr>
        <w:t> </w:t>
      </w:r>
      <w:r w:rsidRPr="005756CE">
        <w:rPr>
          <w:rFonts w:ascii="Cambria" w:hAnsi="Cambria"/>
          <w:sz w:val="20"/>
          <w:szCs w:val="20"/>
        </w:rPr>
        <w:t>%.</w:t>
      </w:r>
    </w:p>
    <w:p w14:paraId="6166CECE" w14:textId="77777777" w:rsidR="009A6F85" w:rsidRPr="005756CE" w:rsidRDefault="009A6F8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hAnsi="Cambria"/>
          <w:sz w:val="20"/>
          <w:szCs w:val="20"/>
        </w:rPr>
      </w:pPr>
    </w:p>
    <w:p w14:paraId="1CADF66C" w14:textId="6A54489D" w:rsidR="009A6F85" w:rsidRPr="005756CE" w:rsidRDefault="00DA7420"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hAnsi="Cambria"/>
          <w:sz w:val="20"/>
          <w:szCs w:val="20"/>
        </w:rPr>
      </w:pPr>
      <w:r w:rsidRPr="005756CE">
        <w:rPr>
          <w:rFonts w:ascii="Cambria" w:eastAsia="Times New Roman" w:hAnsi="Cambria"/>
          <w:noProof/>
          <w:kern w:val="0"/>
          <w:sz w:val="20"/>
          <w:szCs w:val="20"/>
          <w14:ligatures w14:val="none"/>
        </w:rPr>
        <w:lastRenderedPageBreak/>
        <mc:AlternateContent>
          <mc:Choice Requires="wps">
            <w:drawing>
              <wp:anchor distT="0" distB="0" distL="114300" distR="114300" simplePos="0" relativeHeight="251662336" behindDoc="0" locked="0" layoutInCell="1" allowOverlap="1" wp14:anchorId="093C2344" wp14:editId="2D06DCBC">
                <wp:simplePos x="0" y="0"/>
                <wp:positionH relativeFrom="column">
                  <wp:posOffset>765340</wp:posOffset>
                </wp:positionH>
                <wp:positionV relativeFrom="paragraph">
                  <wp:posOffset>124476</wp:posOffset>
                </wp:positionV>
                <wp:extent cx="4014470" cy="248920"/>
                <wp:effectExtent l="0" t="0" r="24130"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4470" cy="248920"/>
                        </a:xfrm>
                        <a:prstGeom prst="rect">
                          <a:avLst/>
                        </a:prstGeom>
                        <a:solidFill>
                          <a:schemeClr val="bg1"/>
                        </a:solidFill>
                        <a:ln w="9525">
                          <a:solidFill>
                            <a:srgbClr val="000000"/>
                          </a:solidFill>
                          <a:miter lim="800000"/>
                          <a:headEnd/>
                          <a:tailEnd/>
                        </a:ln>
                      </wps:spPr>
                      <wps:txbx>
                        <w:txbxContent>
                          <w:p w14:paraId="4BED3FC5" w14:textId="77777777" w:rsidR="00E0557C" w:rsidRPr="00E0557C" w:rsidRDefault="00E0557C" w:rsidP="00E0557C">
                            <w:pPr>
                              <w:widowControl w:val="0"/>
                              <w:tabs>
                                <w:tab w:val="left" w:pos="1276"/>
                                <w:tab w:val="left" w:pos="1418"/>
                                <w:tab w:val="left" w:leader="dot" w:pos="8222"/>
                                <w:tab w:val="right" w:pos="8647"/>
                              </w:tabs>
                              <w:autoSpaceDE w:val="0"/>
                              <w:autoSpaceDN w:val="0"/>
                              <w:adjustRightInd w:val="0"/>
                              <w:spacing w:line="240" w:lineRule="auto"/>
                              <w:jc w:val="both"/>
                            </w:pPr>
                            <w:r>
                              <w:rPr>
                                <w:rFonts w:ascii="Cambria" w:eastAsia="Times New Roman" w:hAnsi="Cambria"/>
                                <w:kern w:val="0"/>
                                <w:sz w:val="20"/>
                                <w:szCs w:val="20"/>
                                <w14:ligatures w14:val="none"/>
                              </w:rPr>
                              <w:t>Évolution du nombre de messages VMS et de navires depuis 2014</w:t>
                            </w:r>
                          </w:p>
                        </w:txbxContent>
                      </wps:txbx>
                      <wps:bodyPr rot="0" vert="horz" wrap="square" lIns="91440" tIns="45720" rIns="91440" bIns="45720" anchor="t" anchorCtr="0">
                        <a:spAutoFit/>
                      </wps:bodyPr>
                    </wps:wsp>
                  </a:graphicData>
                </a:graphic>
                <wp14:sizeRelV relativeFrom="margin">
                  <wp14:pctHeight>0</wp14:pctHeight>
                </wp14:sizeRelV>
              </wp:anchor>
            </w:drawing>
          </mc:Choice>
          <mc:Fallback>
            <w:pict>
              <v:shapetype w14:anchorId="093C2344" id="_x0000_t202" coordsize="21600,21600" o:spt="202" path="m,l,21600r21600,l21600,xe">
                <v:stroke joinstyle="miter"/>
                <v:path gradientshapeok="t" o:connecttype="rect"/>
              </v:shapetype>
              <v:shape id="Text Box 2" o:spid="_x0000_s1026" type="#_x0000_t202" style="position:absolute;left:0;text-align:left;margin-left:60.25pt;margin-top:9.8pt;width:316.1pt;height:19.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" fillcolor="white [3212]">
                <v:textbox style="mso-fit-shape-to-text:t">
                  <w:txbxContent>
                    <w:p w14:paraId="4BED3FC5" w14:textId="77777777" w:rsidR="00E0557C" w:rsidRPr="00E0557C" w:rsidRDefault="00E0557C" w:rsidP="00E0557C">
                      <w:pPr>
                        <w:widowControl w:val="0"/>
                        <w:tabs>
                          <w:tab w:val="left" w:pos="1276"/>
                          <w:tab w:val="left" w:pos="1418"/>
                          <w:tab w:val="left" w:leader="dot" w:pos="8222"/>
                          <w:tab w:val="right" w:pos="8647"/>
                        </w:tabs>
                        <w:autoSpaceDE w:val="0"/>
                        <w:autoSpaceDN w:val="0"/>
                        <w:adjustRightInd w:val="0"/>
                        <w:spacing w:line="240" w:lineRule="auto"/>
                        <w:jc w:val="both"/>
                      </w:pPr>
                      <w:r>
                        <w:rPr>
                          <w:rFonts w:ascii="Cambria" w:eastAsia="Times New Roman" w:hAnsi="Cambria"/>
                          <w:kern w:val="0"/>
                          <w:sz w:val="20"/>
                          <w:szCs w:val="20"/>
                          <w14:ligatures w14:val="none"/>
                        </w:rPr>
                        <w:t>Évolution du nombre de messages VMS et de navires depuis 2014</w:t>
                      </w:r>
                    </w:p>
                  </w:txbxContent>
                </v:textbox>
              </v:shape>
            </w:pict>
          </mc:Fallback>
        </mc:AlternateContent>
      </w:r>
      <w:r w:rsidRPr="005756CE">
        <w:rPr>
          <w:rFonts w:ascii="Cambria" w:hAnsi="Cambria"/>
          <w:noProof/>
          <w:lang w:val="en-US"/>
        </w:rPr>
        <w:drawing>
          <wp:inline distT="0" distB="0" distL="0" distR="0" wp14:anchorId="34673049" wp14:editId="17A60834">
            <wp:extent cx="5724525" cy="3706495"/>
            <wp:effectExtent l="0" t="0" r="9525" b="8255"/>
            <wp:docPr id="931280872" name="Picture 3" descr="A graph with blu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280872" name="Picture 3" descr="A graph with blue and orange lines&#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4525" cy="3706495"/>
                    </a:xfrm>
                    <a:prstGeom prst="rect">
                      <a:avLst/>
                    </a:prstGeom>
                    <a:noFill/>
                  </pic:spPr>
                </pic:pic>
              </a:graphicData>
            </a:graphic>
          </wp:inline>
        </w:drawing>
      </w:r>
    </w:p>
    <w:p w14:paraId="7401DD50" w14:textId="77777777" w:rsidR="009A6F85" w:rsidRPr="005756CE" w:rsidRDefault="009A6F8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hAnsi="Cambria"/>
          <w:sz w:val="20"/>
          <w:szCs w:val="20"/>
        </w:rPr>
      </w:pPr>
    </w:p>
    <w:p w14:paraId="571F5E90" w14:textId="3A8A6512" w:rsidR="009A6F85" w:rsidRPr="005756CE" w:rsidRDefault="009A6F8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bookmarkEnd w:id="6"/>
    <w:p w14:paraId="5A3D9E3B" w14:textId="3D56F9CF"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kern w:val="0"/>
          <w:sz w:val="20"/>
          <w:szCs w:val="20"/>
          <w14:ligatures w14:val="none"/>
        </w:rPr>
      </w:pPr>
      <w:r w:rsidRPr="005756CE">
        <w:rPr>
          <w:rFonts w:ascii="Cambria" w:hAnsi="Cambria"/>
          <w:b/>
          <w:i/>
          <w:sz w:val="20"/>
          <w:szCs w:val="20"/>
        </w:rPr>
        <w:t xml:space="preserve">Rapports bi-hebdomadaires de capture : </w:t>
      </w:r>
      <w:r w:rsidRPr="005756CE">
        <w:rPr>
          <w:rFonts w:ascii="Cambria" w:hAnsi="Cambria"/>
          <w:sz w:val="20"/>
          <w:szCs w:val="20"/>
        </w:rPr>
        <w:t xml:space="preserve">Veuillez consulter le </w:t>
      </w:r>
      <w:r w:rsidRPr="005756CE">
        <w:rPr>
          <w:rFonts w:ascii="Cambria" w:hAnsi="Cambria"/>
          <w:b/>
          <w:bCs/>
          <w:sz w:val="20"/>
          <w:szCs w:val="20"/>
        </w:rPr>
        <w:t>t</w:t>
      </w:r>
      <w:r w:rsidRPr="005756CE">
        <w:rPr>
          <w:rFonts w:ascii="Cambria" w:hAnsi="Cambria"/>
          <w:b/>
          <w:sz w:val="20"/>
          <w:szCs w:val="20"/>
        </w:rPr>
        <w:t>ableau 8.</w:t>
      </w:r>
      <w:r w:rsidRPr="005756CE">
        <w:rPr>
          <w:rFonts w:ascii="Cambria" w:hAnsi="Cambria"/>
          <w:sz w:val="20"/>
          <w:szCs w:val="20"/>
        </w:rPr>
        <w:t xml:space="preserve"> </w:t>
      </w:r>
    </w:p>
    <w:p w14:paraId="08EC3253" w14:textId="290FFAE6"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Cs/>
          <w:kern w:val="0"/>
          <w:sz w:val="20"/>
          <w:szCs w:val="20"/>
          <w14:ligatures w14:val="none"/>
        </w:rPr>
      </w:pPr>
    </w:p>
    <w:p w14:paraId="68535B6A" w14:textId="0DEAFA40" w:rsidR="00356084" w:rsidRPr="005756CE" w:rsidRDefault="00356084" w:rsidP="001E71F8">
      <w:pPr>
        <w:spacing w:line="240" w:lineRule="auto"/>
        <w:jc w:val="both"/>
        <w:rPr>
          <w:rFonts w:ascii="Cambria" w:eastAsia="Calibri" w:hAnsi="Cambria" w:cs="Calibri"/>
          <w:kern w:val="0"/>
          <w:sz w:val="20"/>
          <w:szCs w:val="20"/>
          <w14:ligatures w14:val="none"/>
        </w:rPr>
      </w:pPr>
      <w:r w:rsidRPr="005756CE">
        <w:rPr>
          <w:rFonts w:ascii="Cambria" w:hAnsi="Cambria"/>
          <w:b/>
          <w:i/>
          <w:iCs/>
          <w:sz w:val="20"/>
          <w:szCs w:val="20"/>
        </w:rPr>
        <w:t>Rapports d'élevage / déclarations de mise en cage / report de poissons mis en cage :</w:t>
      </w:r>
      <w:r w:rsidRPr="005756CE">
        <w:rPr>
          <w:rFonts w:ascii="Cambria" w:hAnsi="Cambria"/>
          <w:b/>
          <w:sz w:val="20"/>
          <w:szCs w:val="20"/>
        </w:rPr>
        <w:t xml:space="preserve"> </w:t>
      </w:r>
      <w:r w:rsidRPr="005756CE">
        <w:rPr>
          <w:rFonts w:ascii="Cambria" w:hAnsi="Cambria"/>
          <w:color w:val="000000"/>
          <w:sz w:val="20"/>
          <w:szCs w:val="20"/>
        </w:rPr>
        <w:t>Selon les déclarations reçues au Secrétariat de l’ICCAT, aucune mise en cage n'a eu lieu après le 22 août 202</w:t>
      </w:r>
      <w:r w:rsidR="009A6F85" w:rsidRPr="005756CE">
        <w:rPr>
          <w:rFonts w:ascii="Cambria" w:hAnsi="Cambria"/>
          <w:color w:val="000000"/>
          <w:sz w:val="20"/>
          <w:szCs w:val="20"/>
        </w:rPr>
        <w:t>5</w:t>
      </w:r>
      <w:r w:rsidRPr="005756CE">
        <w:rPr>
          <w:rFonts w:ascii="Cambria" w:hAnsi="Cambria"/>
          <w:color w:val="000000"/>
          <w:sz w:val="20"/>
          <w:szCs w:val="20"/>
        </w:rPr>
        <w:t>.</w:t>
      </w:r>
      <w:r w:rsidRPr="005756CE">
        <w:rPr>
          <w:rFonts w:ascii="Cambria" w:hAnsi="Cambria"/>
          <w:b/>
          <w:color w:val="000000"/>
          <w:sz w:val="20"/>
          <w:szCs w:val="20"/>
        </w:rPr>
        <w:t xml:space="preserve"> </w:t>
      </w:r>
      <w:r w:rsidRPr="005756CE">
        <w:rPr>
          <w:rFonts w:ascii="Cambria" w:hAnsi="Cambria"/>
          <w:sz w:val="20"/>
          <w:szCs w:val="20"/>
        </w:rPr>
        <w:t xml:space="preserve">Le report du poisson mis en cage a été signalé par l'UE, la Tunisie et Türkiye, comme le montre le </w:t>
      </w:r>
      <w:r w:rsidRPr="005756CE">
        <w:rPr>
          <w:rFonts w:ascii="Cambria" w:hAnsi="Cambria"/>
          <w:b/>
          <w:bCs/>
          <w:sz w:val="20"/>
          <w:szCs w:val="20"/>
        </w:rPr>
        <w:t>tableau 9</w:t>
      </w:r>
      <w:r w:rsidRPr="005756CE">
        <w:rPr>
          <w:rFonts w:ascii="Cambria" w:hAnsi="Cambria"/>
          <w:sz w:val="20"/>
          <w:szCs w:val="20"/>
        </w:rPr>
        <w:t>. Le Maroc et l’Albanie ont indiqué qu’aucun poisson n’avait été reporté de 202</w:t>
      </w:r>
      <w:r w:rsidR="0098668F" w:rsidRPr="005756CE">
        <w:rPr>
          <w:rFonts w:ascii="Cambria" w:hAnsi="Cambria"/>
          <w:sz w:val="20"/>
          <w:szCs w:val="20"/>
        </w:rPr>
        <w:t>4</w:t>
      </w:r>
      <w:r w:rsidRPr="005756CE">
        <w:rPr>
          <w:rFonts w:ascii="Cambria" w:hAnsi="Cambria"/>
          <w:sz w:val="20"/>
          <w:szCs w:val="20"/>
        </w:rPr>
        <w:t xml:space="preserve"> à 202</w:t>
      </w:r>
      <w:r w:rsidR="0098668F" w:rsidRPr="005756CE">
        <w:rPr>
          <w:rFonts w:ascii="Cambria" w:hAnsi="Cambria"/>
          <w:sz w:val="20"/>
          <w:szCs w:val="20"/>
        </w:rPr>
        <w:t>5</w:t>
      </w:r>
      <w:r w:rsidRPr="005756CE">
        <w:rPr>
          <w:rFonts w:ascii="Cambria" w:hAnsi="Cambria"/>
          <w:sz w:val="20"/>
          <w:szCs w:val="20"/>
        </w:rPr>
        <w:t>.</w:t>
      </w:r>
    </w:p>
    <w:p w14:paraId="1247792B" w14:textId="487ECD42" w:rsidR="00356084" w:rsidRPr="005756CE" w:rsidRDefault="00356084" w:rsidP="001E71F8">
      <w:pPr>
        <w:spacing w:line="240" w:lineRule="auto"/>
        <w:rPr>
          <w:rFonts w:ascii="Cambria" w:eastAsia="Times New Roman" w:hAnsi="Cambria"/>
          <w:b/>
          <w:bCs/>
          <w:i/>
          <w:kern w:val="0"/>
          <w:sz w:val="20"/>
          <w:szCs w:val="20"/>
          <w14:ligatures w14:val="none"/>
        </w:rPr>
      </w:pPr>
    </w:p>
    <w:p w14:paraId="5B002D0D" w14:textId="0A8F1A7B" w:rsidR="00356084" w:rsidRPr="005756CE" w:rsidRDefault="00356084" w:rsidP="001E71F8">
      <w:pPr>
        <w:widowControl w:val="0"/>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b/>
          <w:i/>
          <w:sz w:val="20"/>
          <w:szCs w:val="20"/>
        </w:rPr>
        <w:t xml:space="preserve">Registre ICCAT des navires de capture de thon rouge / d’autres navires de thon rouge : </w:t>
      </w:r>
      <w:r w:rsidRPr="005756CE">
        <w:rPr>
          <w:rFonts w:ascii="Cambria" w:hAnsi="Cambria"/>
          <w:sz w:val="20"/>
          <w:szCs w:val="20"/>
        </w:rPr>
        <w:t xml:space="preserve">Les listes des navires autorisés ont été publiées sur la </w:t>
      </w:r>
      <w:hyperlink r:id="rId20" w:history="1">
        <w:r w:rsidRPr="005756CE">
          <w:rPr>
            <w:rFonts w:ascii="Cambria" w:hAnsi="Cambria"/>
            <w:color w:val="0000FF"/>
            <w:sz w:val="20"/>
            <w:szCs w:val="20"/>
          </w:rPr>
          <w:t>page web de l’ICCAT</w:t>
        </w:r>
      </w:hyperlink>
      <w:r w:rsidRPr="005756CE">
        <w:rPr>
          <w:rFonts w:ascii="Cambria" w:hAnsi="Cambria"/>
          <w:sz w:val="20"/>
          <w:szCs w:val="20"/>
        </w:rPr>
        <w:t xml:space="preserve">. </w:t>
      </w:r>
      <w:bookmarkStart w:id="7" w:name="_Hlk148433611"/>
      <w:bookmarkStart w:id="8" w:name="_Hlk148432875"/>
    </w:p>
    <w:bookmarkEnd w:id="7"/>
    <w:p w14:paraId="30CD4209" w14:textId="77777777" w:rsidR="00356084" w:rsidRPr="005756CE" w:rsidRDefault="00356084"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bookmarkEnd w:id="8"/>
    <w:p w14:paraId="4D6B25D7" w14:textId="77777777" w:rsidR="00356084" w:rsidRPr="005756CE" w:rsidRDefault="00356084" w:rsidP="001E71F8">
      <w:pPr>
        <w:widowControl w:val="0"/>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sz w:val="20"/>
          <w:szCs w:val="20"/>
        </w:rPr>
        <w:t>Des informations concernant la liste des navires ayant pêché l'année précédente figure à l'</w:t>
      </w:r>
      <w:r w:rsidRPr="005756CE">
        <w:rPr>
          <w:rFonts w:ascii="Cambria" w:hAnsi="Cambria"/>
          <w:b/>
          <w:bCs/>
          <w:sz w:val="20"/>
          <w:szCs w:val="20"/>
        </w:rPr>
        <w:t>annexe 5</w:t>
      </w:r>
      <w:r w:rsidRPr="005756CE">
        <w:rPr>
          <w:rFonts w:ascii="Cambria" w:hAnsi="Cambria"/>
          <w:sz w:val="20"/>
          <w:szCs w:val="20"/>
        </w:rPr>
        <w:t xml:space="preserve">. </w:t>
      </w:r>
    </w:p>
    <w:p w14:paraId="22978964"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bCs/>
          <w:i/>
          <w:kern w:val="0"/>
          <w:sz w:val="20"/>
          <w:szCs w:val="20"/>
          <w14:ligatures w14:val="none"/>
        </w:rPr>
      </w:pPr>
    </w:p>
    <w:p w14:paraId="2A7E8477" w14:textId="292ED0D3"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b/>
          <w:bCs/>
          <w:i/>
          <w:sz w:val="20"/>
          <w:szCs w:val="20"/>
        </w:rPr>
        <w:t>Listes de ports autorisés</w:t>
      </w:r>
      <w:r w:rsidR="00E0557C" w:rsidRPr="005756CE">
        <w:rPr>
          <w:rFonts w:ascii="Cambria" w:hAnsi="Cambria"/>
          <w:b/>
          <w:bCs/>
          <w:i/>
          <w:sz w:val="20"/>
          <w:szCs w:val="20"/>
        </w:rPr>
        <w:t> :</w:t>
      </w:r>
      <w:r w:rsidRPr="005756CE">
        <w:rPr>
          <w:rFonts w:ascii="Cambria" w:hAnsi="Cambria"/>
          <w:i/>
          <w:sz w:val="20"/>
          <w:szCs w:val="20"/>
        </w:rPr>
        <w:t xml:space="preserve"> </w:t>
      </w:r>
      <w:r w:rsidRPr="005756CE">
        <w:rPr>
          <w:rFonts w:ascii="Cambria" w:hAnsi="Cambria"/>
          <w:sz w:val="20"/>
          <w:szCs w:val="20"/>
        </w:rPr>
        <w:t xml:space="preserve">Il existe actuellement </w:t>
      </w:r>
      <w:r w:rsidR="0023053C" w:rsidRPr="005756CE">
        <w:rPr>
          <w:rFonts w:ascii="Cambria" w:hAnsi="Cambria"/>
          <w:sz w:val="20"/>
          <w:szCs w:val="20"/>
        </w:rPr>
        <w:t>901</w:t>
      </w:r>
      <w:r w:rsidRPr="005756CE">
        <w:rPr>
          <w:rFonts w:ascii="Cambria" w:hAnsi="Cambria"/>
          <w:sz w:val="20"/>
          <w:szCs w:val="20"/>
        </w:rPr>
        <w:t xml:space="preserve"> ports (</w:t>
      </w:r>
      <w:r w:rsidR="0023053C" w:rsidRPr="005756CE">
        <w:rPr>
          <w:rFonts w:ascii="Cambria" w:hAnsi="Cambria"/>
          <w:sz w:val="20"/>
          <w:szCs w:val="20"/>
        </w:rPr>
        <w:t>1</w:t>
      </w:r>
      <w:r w:rsidRPr="005756CE">
        <w:rPr>
          <w:rFonts w:ascii="Cambria" w:hAnsi="Cambria"/>
          <w:sz w:val="20"/>
          <w:szCs w:val="20"/>
        </w:rPr>
        <w:t>2 de plus qu’en 202</w:t>
      </w:r>
      <w:r w:rsidR="0023053C" w:rsidRPr="005756CE">
        <w:rPr>
          <w:rFonts w:ascii="Cambria" w:hAnsi="Cambria"/>
          <w:sz w:val="20"/>
          <w:szCs w:val="20"/>
        </w:rPr>
        <w:t>4</w:t>
      </w:r>
      <w:r w:rsidRPr="005756CE">
        <w:rPr>
          <w:rFonts w:ascii="Cambria" w:hAnsi="Cambria"/>
          <w:sz w:val="20"/>
          <w:szCs w:val="20"/>
        </w:rPr>
        <w:t xml:space="preserve">) inscrits au Registre ICCAT des ports autorisés à des fins de débarquement et/ou transbordement de thon rouge de l’Atlantique Est et de la Méditerranée, publiés sur la </w:t>
      </w:r>
      <w:hyperlink r:id="rId21" w:history="1">
        <w:r w:rsidRPr="005756CE">
          <w:rPr>
            <w:rFonts w:ascii="Cambria" w:hAnsi="Cambria"/>
            <w:color w:val="0000FF"/>
            <w:sz w:val="20"/>
            <w:szCs w:val="20"/>
          </w:rPr>
          <w:t>page web de l’ICCAT</w:t>
        </w:r>
      </w:hyperlink>
      <w:r w:rsidRPr="005756CE">
        <w:rPr>
          <w:rFonts w:ascii="Cambria" w:hAnsi="Cambria"/>
          <w:sz w:val="20"/>
          <w:szCs w:val="20"/>
        </w:rPr>
        <w:t>.</w:t>
      </w:r>
    </w:p>
    <w:p w14:paraId="7B58E910" w14:textId="7FAAC9C7" w:rsidR="00E0557C" w:rsidRPr="005756CE" w:rsidRDefault="00E0557C" w:rsidP="001E71F8">
      <w:pPr>
        <w:spacing w:line="240" w:lineRule="auto"/>
        <w:rPr>
          <w:rFonts w:ascii="Cambria" w:hAnsi="Cambria"/>
          <w:b/>
          <w:i/>
          <w:sz w:val="20"/>
          <w:szCs w:val="20"/>
        </w:rPr>
      </w:pPr>
    </w:p>
    <w:p w14:paraId="4288CBC4" w14:textId="4E74BC44"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bCs/>
          <w:color w:val="000000"/>
          <w:kern w:val="0"/>
          <w:sz w:val="20"/>
          <w:szCs w:val="20"/>
          <w14:ligatures w14:val="none"/>
        </w:rPr>
      </w:pPr>
      <w:r w:rsidRPr="005756CE">
        <w:rPr>
          <w:rFonts w:ascii="Cambria" w:hAnsi="Cambria"/>
          <w:b/>
          <w:i/>
          <w:sz w:val="20"/>
          <w:szCs w:val="20"/>
        </w:rPr>
        <w:t xml:space="preserve">Listes des madragues </w:t>
      </w:r>
      <w:r w:rsidRPr="005756CE">
        <w:rPr>
          <w:rFonts w:ascii="Cambria" w:hAnsi="Cambria"/>
          <w:i/>
          <w:sz w:val="20"/>
          <w:szCs w:val="20"/>
        </w:rPr>
        <w:t xml:space="preserve">: </w:t>
      </w:r>
      <w:r w:rsidRPr="005756CE">
        <w:rPr>
          <w:rFonts w:ascii="Cambria" w:hAnsi="Cambria"/>
          <w:sz w:val="20"/>
          <w:szCs w:val="20"/>
        </w:rPr>
        <w:t xml:space="preserve">Il existe actuellement 33 madragues inscrites au </w:t>
      </w:r>
      <w:hyperlink r:id="rId22" w:history="1">
        <w:r w:rsidRPr="005756CE">
          <w:rPr>
            <w:rFonts w:ascii="Cambria" w:hAnsi="Cambria"/>
            <w:color w:val="0000FF"/>
            <w:sz w:val="20"/>
            <w:szCs w:val="20"/>
          </w:rPr>
          <w:t>Registre ICCAT des madragues autorisées à capturer du thon rouge de l'Atlantique Est et de la Méditerranée</w:t>
        </w:r>
      </w:hyperlink>
      <w:r w:rsidRPr="005756CE">
        <w:rPr>
          <w:rFonts w:ascii="Cambria" w:hAnsi="Cambria"/>
          <w:sz w:val="20"/>
          <w:szCs w:val="20"/>
        </w:rPr>
        <w:t>.</w:t>
      </w:r>
    </w:p>
    <w:p w14:paraId="14FDEE01"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center"/>
        <w:rPr>
          <w:rFonts w:ascii="Cambria" w:eastAsia="Times New Roman" w:hAnsi="Cambria"/>
          <w:i/>
          <w:kern w:val="0"/>
          <w:sz w:val="20"/>
          <w:szCs w:val="20"/>
          <w14:ligatures w14:val="none"/>
        </w:rPr>
      </w:pPr>
    </w:p>
    <w:p w14:paraId="6CA060FF" w14:textId="649DBA2B"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b/>
          <w:i/>
          <w:sz w:val="20"/>
          <w:szCs w:val="20"/>
        </w:rPr>
        <w:t>Fermeture de la pêcherie :</w:t>
      </w:r>
      <w:r w:rsidRPr="005756CE">
        <w:rPr>
          <w:rFonts w:ascii="Cambria" w:hAnsi="Cambria"/>
          <w:i/>
          <w:sz w:val="20"/>
          <w:szCs w:val="20"/>
        </w:rPr>
        <w:t xml:space="preserve"> </w:t>
      </w:r>
      <w:r w:rsidRPr="005756CE">
        <w:rPr>
          <w:rFonts w:ascii="Cambria" w:hAnsi="Cambria"/>
          <w:sz w:val="20"/>
          <w:szCs w:val="20"/>
        </w:rPr>
        <w:t>Conformément au paragraphe 87 de</w:t>
      </w:r>
      <w:r w:rsidR="003B06CA" w:rsidRPr="005756CE">
        <w:rPr>
          <w:rFonts w:ascii="Cambria" w:hAnsi="Cambria"/>
          <w:sz w:val="20"/>
          <w:szCs w:val="20"/>
        </w:rPr>
        <w:t>s</w:t>
      </w:r>
      <w:r w:rsidRPr="005756CE">
        <w:rPr>
          <w:rFonts w:ascii="Cambria" w:hAnsi="Cambria"/>
          <w:sz w:val="20"/>
          <w:szCs w:val="20"/>
        </w:rPr>
        <w:t xml:space="preserve"> Rec. 22-08</w:t>
      </w:r>
      <w:r w:rsidR="003B06CA" w:rsidRPr="005756CE">
        <w:rPr>
          <w:rFonts w:ascii="Cambria" w:hAnsi="Cambria"/>
          <w:sz w:val="20"/>
          <w:szCs w:val="20"/>
        </w:rPr>
        <w:t xml:space="preserve"> et 24-05</w:t>
      </w:r>
      <w:r w:rsidRPr="005756CE">
        <w:rPr>
          <w:rFonts w:ascii="Cambria" w:hAnsi="Cambria"/>
          <w:sz w:val="20"/>
          <w:szCs w:val="20"/>
        </w:rPr>
        <w:t>, les CPC ont informé de leur date d'épuisement de leur quota comme suit :</w:t>
      </w:r>
    </w:p>
    <w:p w14:paraId="5FB5FF29" w14:textId="44EA9893" w:rsidR="009A2294" w:rsidRDefault="009A2294">
      <w:pPr>
        <w:rPr>
          <w:rFonts w:ascii="Cambria" w:eastAsia="Times New Roman" w:hAnsi="Cambria"/>
          <w:kern w:val="0"/>
          <w:sz w:val="20"/>
          <w:szCs w:val="20"/>
          <w14:ligatures w14:val="none"/>
        </w:rPr>
      </w:pPr>
      <w:r>
        <w:rPr>
          <w:rFonts w:ascii="Cambria" w:eastAsia="Times New Roman" w:hAnsi="Cambria"/>
          <w:kern w:val="0"/>
          <w:sz w:val="20"/>
          <w:szCs w:val="20"/>
          <w14:ligatures w14:val="none"/>
        </w:rPr>
        <w:br w:type="page"/>
      </w:r>
    </w:p>
    <w:p w14:paraId="76EC1F02"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60"/>
        <w:gridCol w:w="4900"/>
      </w:tblGrid>
      <w:tr w:rsidR="000B2829" w:rsidRPr="005756CE" w14:paraId="18B3E8BC" w14:textId="77777777" w:rsidTr="0025201E">
        <w:trPr>
          <w:trHeight w:val="525"/>
          <w:jc w:val="center"/>
        </w:trPr>
        <w:tc>
          <w:tcPr>
            <w:tcW w:w="1760" w:type="dxa"/>
            <w:tcMar>
              <w:top w:w="15" w:type="dxa"/>
              <w:left w:w="15" w:type="dxa"/>
              <w:bottom w:w="0" w:type="dxa"/>
              <w:right w:w="15" w:type="dxa"/>
            </w:tcMar>
            <w:vAlign w:val="center"/>
            <w:hideMark/>
          </w:tcPr>
          <w:p w14:paraId="568AFE4B" w14:textId="77777777" w:rsidR="000B2829" w:rsidRPr="005756CE" w:rsidRDefault="000B2829" w:rsidP="001E71F8">
            <w:pPr>
              <w:spacing w:line="240" w:lineRule="auto"/>
              <w:jc w:val="center"/>
              <w:rPr>
                <w:rFonts w:ascii="Cambria" w:hAnsi="Cambria"/>
                <w:i/>
                <w:iCs/>
                <w:color w:val="000000"/>
                <w:sz w:val="20"/>
                <w:szCs w:val="20"/>
              </w:rPr>
            </w:pPr>
            <w:r w:rsidRPr="005756CE">
              <w:rPr>
                <w:rFonts w:ascii="Cambria" w:hAnsi="Cambria"/>
                <w:i/>
                <w:color w:val="000000"/>
                <w:sz w:val="20"/>
                <w:szCs w:val="20"/>
              </w:rPr>
              <w:t>CPC</w:t>
            </w:r>
          </w:p>
        </w:tc>
        <w:tc>
          <w:tcPr>
            <w:tcW w:w="4900" w:type="dxa"/>
            <w:tcMar>
              <w:top w:w="15" w:type="dxa"/>
              <w:left w:w="15" w:type="dxa"/>
              <w:bottom w:w="0" w:type="dxa"/>
              <w:right w:w="15" w:type="dxa"/>
            </w:tcMar>
            <w:vAlign w:val="center"/>
            <w:hideMark/>
          </w:tcPr>
          <w:p w14:paraId="2D4A5BE3" w14:textId="77777777" w:rsidR="000B2829" w:rsidRPr="005756CE" w:rsidRDefault="000B2829" w:rsidP="001E71F8">
            <w:pPr>
              <w:spacing w:line="240" w:lineRule="auto"/>
              <w:jc w:val="center"/>
              <w:rPr>
                <w:rFonts w:ascii="Cambria" w:hAnsi="Cambria"/>
                <w:i/>
                <w:iCs/>
                <w:color w:val="000000"/>
                <w:sz w:val="20"/>
                <w:szCs w:val="20"/>
              </w:rPr>
            </w:pPr>
            <w:r w:rsidRPr="005756CE">
              <w:rPr>
                <w:rFonts w:ascii="Cambria" w:hAnsi="Cambria"/>
                <w:i/>
                <w:color w:val="000000"/>
                <w:sz w:val="20"/>
                <w:szCs w:val="20"/>
              </w:rPr>
              <w:t>Date à laquelle la totalité du quota de BFT-E a été utilisée</w:t>
            </w:r>
          </w:p>
        </w:tc>
      </w:tr>
      <w:tr w:rsidR="000B2829" w:rsidRPr="005756CE" w14:paraId="5930B1C1" w14:textId="77777777" w:rsidTr="0025201E">
        <w:trPr>
          <w:trHeight w:val="255"/>
          <w:jc w:val="center"/>
        </w:trPr>
        <w:tc>
          <w:tcPr>
            <w:tcW w:w="1760" w:type="dxa"/>
            <w:tcMar>
              <w:top w:w="15" w:type="dxa"/>
              <w:left w:w="15" w:type="dxa"/>
              <w:bottom w:w="0" w:type="dxa"/>
              <w:right w:w="15" w:type="dxa"/>
            </w:tcMar>
            <w:vAlign w:val="center"/>
            <w:hideMark/>
          </w:tcPr>
          <w:p w14:paraId="48F442E5" w14:textId="77777777" w:rsidR="000B2829" w:rsidRPr="005756CE" w:rsidRDefault="000B2829" w:rsidP="001E71F8">
            <w:pPr>
              <w:spacing w:line="240" w:lineRule="auto"/>
              <w:ind w:firstLine="118"/>
              <w:rPr>
                <w:rFonts w:ascii="Cambria" w:hAnsi="Cambria"/>
                <w:color w:val="000000"/>
                <w:sz w:val="20"/>
                <w:szCs w:val="20"/>
              </w:rPr>
            </w:pPr>
            <w:r w:rsidRPr="005756CE">
              <w:rPr>
                <w:rFonts w:ascii="Cambria" w:hAnsi="Cambria"/>
                <w:color w:val="000000"/>
                <w:sz w:val="20"/>
                <w:szCs w:val="20"/>
              </w:rPr>
              <w:t>Albanie</w:t>
            </w:r>
          </w:p>
        </w:tc>
        <w:tc>
          <w:tcPr>
            <w:tcW w:w="4900" w:type="dxa"/>
            <w:tcMar>
              <w:top w:w="15" w:type="dxa"/>
              <w:left w:w="15" w:type="dxa"/>
              <w:bottom w:w="0" w:type="dxa"/>
              <w:right w:w="15" w:type="dxa"/>
            </w:tcMar>
            <w:vAlign w:val="center"/>
            <w:hideMark/>
          </w:tcPr>
          <w:p w14:paraId="5DB739C9" w14:textId="77777777" w:rsidR="000B2829" w:rsidRPr="005756CE" w:rsidRDefault="000B2829" w:rsidP="001E71F8">
            <w:pPr>
              <w:spacing w:line="240" w:lineRule="auto"/>
              <w:jc w:val="center"/>
              <w:rPr>
                <w:rFonts w:ascii="Cambria" w:hAnsi="Cambria"/>
                <w:color w:val="000000"/>
                <w:sz w:val="20"/>
                <w:szCs w:val="20"/>
              </w:rPr>
            </w:pPr>
            <w:r w:rsidRPr="005756CE">
              <w:rPr>
                <w:rFonts w:ascii="Cambria" w:hAnsi="Cambria"/>
                <w:color w:val="000000"/>
                <w:sz w:val="20"/>
                <w:szCs w:val="20"/>
              </w:rPr>
              <w:t>Aucune information n'a été reçue.</w:t>
            </w:r>
          </w:p>
        </w:tc>
      </w:tr>
      <w:tr w:rsidR="000B2829" w:rsidRPr="005756CE" w14:paraId="63C8CB70" w14:textId="77777777" w:rsidTr="0025201E">
        <w:trPr>
          <w:trHeight w:val="255"/>
          <w:jc w:val="center"/>
        </w:trPr>
        <w:tc>
          <w:tcPr>
            <w:tcW w:w="1760" w:type="dxa"/>
            <w:tcMar>
              <w:top w:w="15" w:type="dxa"/>
              <w:left w:w="15" w:type="dxa"/>
              <w:bottom w:w="0" w:type="dxa"/>
              <w:right w:w="15" w:type="dxa"/>
            </w:tcMar>
            <w:vAlign w:val="center"/>
            <w:hideMark/>
          </w:tcPr>
          <w:p w14:paraId="3C201BDF" w14:textId="77777777" w:rsidR="000B2829" w:rsidRPr="005756CE" w:rsidRDefault="000B2829" w:rsidP="001E71F8">
            <w:pPr>
              <w:spacing w:line="240" w:lineRule="auto"/>
              <w:ind w:firstLine="118"/>
              <w:rPr>
                <w:rFonts w:ascii="Cambria" w:hAnsi="Cambria"/>
                <w:color w:val="000000"/>
                <w:sz w:val="20"/>
                <w:szCs w:val="20"/>
              </w:rPr>
            </w:pPr>
            <w:r w:rsidRPr="005756CE">
              <w:rPr>
                <w:rFonts w:ascii="Cambria" w:hAnsi="Cambria"/>
                <w:color w:val="000000"/>
                <w:sz w:val="20"/>
                <w:szCs w:val="20"/>
              </w:rPr>
              <w:t>Algérie</w:t>
            </w:r>
          </w:p>
        </w:tc>
        <w:tc>
          <w:tcPr>
            <w:tcW w:w="4900" w:type="dxa"/>
            <w:tcMar>
              <w:top w:w="15" w:type="dxa"/>
              <w:left w:w="15" w:type="dxa"/>
              <w:bottom w:w="0" w:type="dxa"/>
              <w:right w:w="15" w:type="dxa"/>
            </w:tcMar>
            <w:vAlign w:val="center"/>
            <w:hideMark/>
          </w:tcPr>
          <w:p w14:paraId="36D9FCEC" w14:textId="77777777" w:rsidR="000B2829" w:rsidRPr="005756CE" w:rsidRDefault="000B2829" w:rsidP="001E71F8">
            <w:pPr>
              <w:spacing w:line="240" w:lineRule="auto"/>
              <w:jc w:val="center"/>
              <w:rPr>
                <w:rFonts w:ascii="Cambria" w:hAnsi="Cambria"/>
                <w:color w:val="000000"/>
                <w:sz w:val="20"/>
                <w:szCs w:val="20"/>
              </w:rPr>
            </w:pPr>
            <w:r w:rsidRPr="005756CE">
              <w:rPr>
                <w:rFonts w:ascii="Cambria" w:hAnsi="Cambria"/>
                <w:color w:val="000000"/>
                <w:sz w:val="20"/>
                <w:szCs w:val="20"/>
              </w:rPr>
              <w:t>Le 11 juillet 2025</w:t>
            </w:r>
          </w:p>
        </w:tc>
      </w:tr>
      <w:tr w:rsidR="000B2829" w:rsidRPr="005756CE" w14:paraId="1259CAC4" w14:textId="77777777" w:rsidTr="0025201E">
        <w:trPr>
          <w:trHeight w:val="255"/>
          <w:jc w:val="center"/>
        </w:trPr>
        <w:tc>
          <w:tcPr>
            <w:tcW w:w="1760" w:type="dxa"/>
            <w:tcMar>
              <w:top w:w="15" w:type="dxa"/>
              <w:left w:w="15" w:type="dxa"/>
              <w:bottom w:w="0" w:type="dxa"/>
              <w:right w:w="15" w:type="dxa"/>
            </w:tcMar>
            <w:vAlign w:val="center"/>
            <w:hideMark/>
          </w:tcPr>
          <w:p w14:paraId="2931827F" w14:textId="77777777" w:rsidR="000B2829" w:rsidRPr="005756CE" w:rsidRDefault="000B2829" w:rsidP="001E71F8">
            <w:pPr>
              <w:spacing w:line="240" w:lineRule="auto"/>
              <w:ind w:firstLine="118"/>
              <w:rPr>
                <w:rFonts w:ascii="Cambria" w:hAnsi="Cambria"/>
                <w:color w:val="000000"/>
                <w:sz w:val="20"/>
                <w:szCs w:val="20"/>
              </w:rPr>
            </w:pPr>
            <w:r w:rsidRPr="005756CE">
              <w:rPr>
                <w:rFonts w:ascii="Cambria" w:hAnsi="Cambria"/>
                <w:color w:val="000000"/>
                <w:sz w:val="20"/>
                <w:szCs w:val="20"/>
              </w:rPr>
              <w:t>Chine</w:t>
            </w:r>
          </w:p>
        </w:tc>
        <w:tc>
          <w:tcPr>
            <w:tcW w:w="4900" w:type="dxa"/>
            <w:tcMar>
              <w:top w:w="15" w:type="dxa"/>
              <w:left w:w="15" w:type="dxa"/>
              <w:bottom w:w="0" w:type="dxa"/>
              <w:right w:w="15" w:type="dxa"/>
            </w:tcMar>
            <w:vAlign w:val="center"/>
            <w:hideMark/>
          </w:tcPr>
          <w:p w14:paraId="6B6810CF" w14:textId="77777777" w:rsidR="000B2829" w:rsidRPr="005756CE" w:rsidRDefault="000B2829" w:rsidP="001E71F8">
            <w:pPr>
              <w:spacing w:line="240" w:lineRule="auto"/>
              <w:jc w:val="center"/>
              <w:rPr>
                <w:rFonts w:ascii="Cambria" w:hAnsi="Cambria"/>
                <w:color w:val="000000"/>
                <w:sz w:val="20"/>
                <w:szCs w:val="20"/>
              </w:rPr>
            </w:pPr>
            <w:r w:rsidRPr="005756CE">
              <w:rPr>
                <w:rFonts w:ascii="Cambria" w:hAnsi="Cambria"/>
                <w:color w:val="000000"/>
                <w:sz w:val="20"/>
                <w:szCs w:val="20"/>
              </w:rPr>
              <w:t>N/</w:t>
            </w:r>
            <w:proofErr w:type="gramStart"/>
            <w:r w:rsidRPr="005756CE">
              <w:rPr>
                <w:rFonts w:ascii="Cambria" w:hAnsi="Cambria"/>
                <w:color w:val="000000"/>
                <w:sz w:val="20"/>
                <w:szCs w:val="20"/>
              </w:rPr>
              <w:t>A:</w:t>
            </w:r>
            <w:proofErr w:type="gramEnd"/>
            <w:r w:rsidRPr="005756CE">
              <w:rPr>
                <w:rFonts w:ascii="Cambria" w:hAnsi="Cambria"/>
                <w:color w:val="000000"/>
                <w:sz w:val="20"/>
                <w:szCs w:val="20"/>
              </w:rPr>
              <w:t xml:space="preserve"> le quota n'était pas entièrement utilisé au moment de la déclaration</w:t>
            </w:r>
          </w:p>
        </w:tc>
      </w:tr>
      <w:tr w:rsidR="000B2829" w:rsidRPr="005756CE" w14:paraId="327DCBB6" w14:textId="77777777" w:rsidTr="0025201E">
        <w:trPr>
          <w:trHeight w:val="260"/>
          <w:jc w:val="center"/>
        </w:trPr>
        <w:tc>
          <w:tcPr>
            <w:tcW w:w="1760" w:type="dxa"/>
            <w:tcMar>
              <w:top w:w="15" w:type="dxa"/>
              <w:left w:w="15" w:type="dxa"/>
              <w:bottom w:w="0" w:type="dxa"/>
              <w:right w:w="15" w:type="dxa"/>
            </w:tcMar>
            <w:vAlign w:val="center"/>
            <w:hideMark/>
          </w:tcPr>
          <w:p w14:paraId="19C47488" w14:textId="77777777" w:rsidR="000B2829" w:rsidRPr="005756CE" w:rsidRDefault="000B2829" w:rsidP="001E71F8">
            <w:pPr>
              <w:spacing w:line="240" w:lineRule="auto"/>
              <w:ind w:firstLine="118"/>
              <w:rPr>
                <w:rFonts w:ascii="Cambria" w:hAnsi="Cambria"/>
                <w:color w:val="000000"/>
                <w:sz w:val="20"/>
                <w:szCs w:val="20"/>
              </w:rPr>
            </w:pPr>
            <w:r w:rsidRPr="005756CE">
              <w:rPr>
                <w:rFonts w:ascii="Cambria" w:hAnsi="Cambria"/>
                <w:color w:val="000000"/>
                <w:sz w:val="20"/>
                <w:szCs w:val="20"/>
              </w:rPr>
              <w:t>Égypte</w:t>
            </w:r>
          </w:p>
        </w:tc>
        <w:tc>
          <w:tcPr>
            <w:tcW w:w="4900" w:type="dxa"/>
            <w:tcMar>
              <w:top w:w="15" w:type="dxa"/>
              <w:left w:w="15" w:type="dxa"/>
              <w:bottom w:w="0" w:type="dxa"/>
              <w:right w:w="15" w:type="dxa"/>
            </w:tcMar>
            <w:vAlign w:val="center"/>
            <w:hideMark/>
          </w:tcPr>
          <w:p w14:paraId="20B74925" w14:textId="77777777" w:rsidR="000B2829" w:rsidRPr="005756CE" w:rsidRDefault="000B2829" w:rsidP="001E71F8">
            <w:pPr>
              <w:spacing w:line="240" w:lineRule="auto"/>
              <w:jc w:val="center"/>
              <w:rPr>
                <w:rFonts w:ascii="Cambria" w:hAnsi="Cambria"/>
                <w:color w:val="000000"/>
                <w:sz w:val="20"/>
                <w:szCs w:val="20"/>
              </w:rPr>
            </w:pPr>
            <w:r w:rsidRPr="005756CE">
              <w:rPr>
                <w:rFonts w:ascii="Cambria" w:hAnsi="Cambria"/>
                <w:color w:val="000000"/>
                <w:sz w:val="20"/>
                <w:szCs w:val="20"/>
              </w:rPr>
              <w:t>Le 11 juillet 2025</w:t>
            </w:r>
          </w:p>
        </w:tc>
      </w:tr>
      <w:tr w:rsidR="000B2829" w:rsidRPr="005756CE" w14:paraId="69633C47" w14:textId="77777777" w:rsidTr="0025201E">
        <w:trPr>
          <w:trHeight w:val="318"/>
          <w:jc w:val="center"/>
        </w:trPr>
        <w:tc>
          <w:tcPr>
            <w:tcW w:w="1760" w:type="dxa"/>
            <w:tcMar>
              <w:top w:w="15" w:type="dxa"/>
              <w:left w:w="15" w:type="dxa"/>
              <w:bottom w:w="0" w:type="dxa"/>
              <w:right w:w="15" w:type="dxa"/>
            </w:tcMar>
            <w:vAlign w:val="center"/>
            <w:hideMark/>
          </w:tcPr>
          <w:p w14:paraId="1EFCD298" w14:textId="77777777" w:rsidR="000B2829" w:rsidRPr="005756CE" w:rsidRDefault="000B2829" w:rsidP="001E71F8">
            <w:pPr>
              <w:spacing w:line="240" w:lineRule="auto"/>
              <w:ind w:firstLine="118"/>
              <w:rPr>
                <w:rFonts w:ascii="Cambria" w:hAnsi="Cambria"/>
                <w:color w:val="000000"/>
                <w:sz w:val="20"/>
                <w:szCs w:val="20"/>
              </w:rPr>
            </w:pPr>
            <w:r w:rsidRPr="005756CE">
              <w:rPr>
                <w:rFonts w:ascii="Cambria" w:hAnsi="Cambria"/>
                <w:color w:val="000000"/>
                <w:sz w:val="20"/>
                <w:szCs w:val="20"/>
              </w:rPr>
              <w:t>Union européenne</w:t>
            </w:r>
          </w:p>
        </w:tc>
        <w:tc>
          <w:tcPr>
            <w:tcW w:w="4900" w:type="dxa"/>
            <w:tcMar>
              <w:top w:w="15" w:type="dxa"/>
              <w:left w:w="15" w:type="dxa"/>
              <w:bottom w:w="0" w:type="dxa"/>
              <w:right w:w="15" w:type="dxa"/>
            </w:tcMar>
            <w:vAlign w:val="center"/>
            <w:hideMark/>
          </w:tcPr>
          <w:p w14:paraId="6427E403" w14:textId="77777777" w:rsidR="000B2829" w:rsidRPr="005756CE" w:rsidRDefault="000B2829" w:rsidP="001E71F8">
            <w:pPr>
              <w:spacing w:line="240" w:lineRule="auto"/>
              <w:jc w:val="center"/>
              <w:rPr>
                <w:rFonts w:ascii="Cambria" w:hAnsi="Cambria"/>
                <w:color w:val="000000"/>
                <w:sz w:val="20"/>
                <w:szCs w:val="20"/>
              </w:rPr>
            </w:pPr>
            <w:r w:rsidRPr="005756CE">
              <w:rPr>
                <w:rFonts w:ascii="Cambria" w:hAnsi="Cambria"/>
                <w:color w:val="000000"/>
                <w:sz w:val="20"/>
                <w:szCs w:val="20"/>
              </w:rPr>
              <w:t>N/</w:t>
            </w:r>
            <w:proofErr w:type="gramStart"/>
            <w:r w:rsidRPr="005756CE">
              <w:rPr>
                <w:rFonts w:ascii="Cambria" w:hAnsi="Cambria"/>
                <w:color w:val="000000"/>
                <w:sz w:val="20"/>
                <w:szCs w:val="20"/>
              </w:rPr>
              <w:t>A:</w:t>
            </w:r>
            <w:proofErr w:type="gramEnd"/>
            <w:r w:rsidRPr="005756CE">
              <w:rPr>
                <w:rFonts w:ascii="Cambria" w:hAnsi="Cambria"/>
                <w:color w:val="000000"/>
                <w:sz w:val="20"/>
                <w:szCs w:val="20"/>
              </w:rPr>
              <w:t xml:space="preserve"> le quota n'était pas entièrement utilisé au moment de la déclaration</w:t>
            </w:r>
          </w:p>
        </w:tc>
      </w:tr>
      <w:tr w:rsidR="000B2829" w:rsidRPr="005756CE" w14:paraId="56CF2A42" w14:textId="77777777" w:rsidTr="0025201E">
        <w:trPr>
          <w:trHeight w:val="255"/>
          <w:jc w:val="center"/>
        </w:trPr>
        <w:tc>
          <w:tcPr>
            <w:tcW w:w="1760" w:type="dxa"/>
            <w:tcMar>
              <w:top w:w="15" w:type="dxa"/>
              <w:left w:w="270" w:type="dxa"/>
              <w:bottom w:w="0" w:type="dxa"/>
              <w:right w:w="15" w:type="dxa"/>
            </w:tcMar>
            <w:vAlign w:val="center"/>
            <w:hideMark/>
          </w:tcPr>
          <w:p w14:paraId="1F0C4CEE" w14:textId="77777777" w:rsidR="000B2829" w:rsidRPr="005756CE" w:rsidRDefault="000B2829" w:rsidP="001E71F8">
            <w:pPr>
              <w:spacing w:line="240" w:lineRule="auto"/>
              <w:ind w:firstLineChars="200" w:firstLine="400"/>
              <w:rPr>
                <w:rFonts w:ascii="Cambria" w:hAnsi="Cambria"/>
                <w:color w:val="000000"/>
                <w:sz w:val="20"/>
                <w:szCs w:val="20"/>
              </w:rPr>
            </w:pPr>
            <w:r w:rsidRPr="005756CE">
              <w:rPr>
                <w:rFonts w:ascii="Cambria" w:hAnsi="Cambria"/>
                <w:color w:val="000000"/>
                <w:sz w:val="20"/>
                <w:szCs w:val="20"/>
              </w:rPr>
              <w:t>UE-Croatie</w:t>
            </w:r>
          </w:p>
        </w:tc>
        <w:tc>
          <w:tcPr>
            <w:tcW w:w="4900" w:type="dxa"/>
            <w:tcMar>
              <w:top w:w="15" w:type="dxa"/>
              <w:left w:w="15" w:type="dxa"/>
              <w:bottom w:w="0" w:type="dxa"/>
              <w:right w:w="15" w:type="dxa"/>
            </w:tcMar>
            <w:vAlign w:val="center"/>
            <w:hideMark/>
          </w:tcPr>
          <w:p w14:paraId="35F017D6" w14:textId="77777777" w:rsidR="000B2829" w:rsidRPr="005756CE" w:rsidRDefault="000B2829" w:rsidP="001E71F8">
            <w:pPr>
              <w:spacing w:line="240" w:lineRule="auto"/>
              <w:jc w:val="center"/>
              <w:rPr>
                <w:rFonts w:ascii="Cambria" w:hAnsi="Cambria"/>
                <w:color w:val="000000"/>
                <w:sz w:val="20"/>
                <w:szCs w:val="20"/>
                <w:lang w:val="en-GB"/>
              </w:rPr>
            </w:pPr>
          </w:p>
        </w:tc>
      </w:tr>
      <w:tr w:rsidR="000B2829" w:rsidRPr="005756CE" w14:paraId="417E97DD" w14:textId="77777777" w:rsidTr="0025201E">
        <w:trPr>
          <w:trHeight w:val="255"/>
          <w:jc w:val="center"/>
        </w:trPr>
        <w:tc>
          <w:tcPr>
            <w:tcW w:w="1760" w:type="dxa"/>
            <w:tcMar>
              <w:top w:w="15" w:type="dxa"/>
              <w:left w:w="270" w:type="dxa"/>
              <w:bottom w:w="0" w:type="dxa"/>
              <w:right w:w="15" w:type="dxa"/>
            </w:tcMar>
            <w:vAlign w:val="center"/>
            <w:hideMark/>
          </w:tcPr>
          <w:p w14:paraId="649504AF" w14:textId="77777777" w:rsidR="000B2829" w:rsidRPr="005756CE" w:rsidRDefault="000B2829" w:rsidP="001E71F8">
            <w:pPr>
              <w:spacing w:line="240" w:lineRule="auto"/>
              <w:ind w:firstLineChars="200" w:firstLine="400"/>
              <w:rPr>
                <w:rFonts w:ascii="Cambria" w:hAnsi="Cambria"/>
                <w:color w:val="000000"/>
                <w:sz w:val="20"/>
                <w:szCs w:val="20"/>
              </w:rPr>
            </w:pPr>
            <w:r w:rsidRPr="005756CE">
              <w:rPr>
                <w:rFonts w:ascii="Cambria" w:hAnsi="Cambria"/>
                <w:color w:val="000000"/>
                <w:sz w:val="20"/>
                <w:szCs w:val="20"/>
              </w:rPr>
              <w:t>UE-Chypre</w:t>
            </w:r>
          </w:p>
        </w:tc>
        <w:tc>
          <w:tcPr>
            <w:tcW w:w="4900" w:type="dxa"/>
            <w:tcMar>
              <w:top w:w="15" w:type="dxa"/>
              <w:left w:w="15" w:type="dxa"/>
              <w:bottom w:w="0" w:type="dxa"/>
              <w:right w:w="15" w:type="dxa"/>
            </w:tcMar>
            <w:vAlign w:val="center"/>
            <w:hideMark/>
          </w:tcPr>
          <w:p w14:paraId="43E19E31" w14:textId="77777777" w:rsidR="000B2829" w:rsidRPr="005756CE" w:rsidRDefault="000B2829" w:rsidP="001E71F8">
            <w:pPr>
              <w:spacing w:line="240" w:lineRule="auto"/>
              <w:jc w:val="center"/>
              <w:rPr>
                <w:rFonts w:ascii="Cambria" w:hAnsi="Cambria"/>
                <w:color w:val="000000"/>
                <w:sz w:val="20"/>
                <w:szCs w:val="20"/>
                <w:lang w:val="en-GB"/>
              </w:rPr>
            </w:pPr>
          </w:p>
        </w:tc>
      </w:tr>
      <w:tr w:rsidR="000B2829" w:rsidRPr="005756CE" w14:paraId="3A2F426A" w14:textId="77777777" w:rsidTr="0025201E">
        <w:trPr>
          <w:trHeight w:val="255"/>
          <w:jc w:val="center"/>
        </w:trPr>
        <w:tc>
          <w:tcPr>
            <w:tcW w:w="1760" w:type="dxa"/>
            <w:tcMar>
              <w:top w:w="15" w:type="dxa"/>
              <w:left w:w="270" w:type="dxa"/>
              <w:bottom w:w="0" w:type="dxa"/>
              <w:right w:w="15" w:type="dxa"/>
            </w:tcMar>
            <w:vAlign w:val="center"/>
            <w:hideMark/>
          </w:tcPr>
          <w:p w14:paraId="3094DFDD" w14:textId="77777777" w:rsidR="000B2829" w:rsidRPr="005756CE" w:rsidRDefault="000B2829" w:rsidP="001E71F8">
            <w:pPr>
              <w:spacing w:line="240" w:lineRule="auto"/>
              <w:ind w:firstLineChars="200" w:firstLine="400"/>
              <w:rPr>
                <w:rFonts w:ascii="Cambria" w:hAnsi="Cambria"/>
                <w:color w:val="000000"/>
                <w:sz w:val="20"/>
                <w:szCs w:val="20"/>
              </w:rPr>
            </w:pPr>
            <w:r w:rsidRPr="005756CE">
              <w:rPr>
                <w:rFonts w:ascii="Cambria" w:hAnsi="Cambria"/>
                <w:color w:val="000000"/>
                <w:sz w:val="20"/>
                <w:szCs w:val="20"/>
              </w:rPr>
              <w:t>UE-France</w:t>
            </w:r>
          </w:p>
        </w:tc>
        <w:tc>
          <w:tcPr>
            <w:tcW w:w="4900" w:type="dxa"/>
            <w:tcMar>
              <w:top w:w="15" w:type="dxa"/>
              <w:left w:w="15" w:type="dxa"/>
              <w:bottom w:w="0" w:type="dxa"/>
              <w:right w:w="15" w:type="dxa"/>
            </w:tcMar>
            <w:vAlign w:val="center"/>
            <w:hideMark/>
          </w:tcPr>
          <w:p w14:paraId="5A5CEE4F" w14:textId="77777777" w:rsidR="000B2829" w:rsidRPr="005756CE" w:rsidRDefault="000B2829" w:rsidP="001E71F8">
            <w:pPr>
              <w:spacing w:line="240" w:lineRule="auto"/>
              <w:jc w:val="center"/>
              <w:rPr>
                <w:rFonts w:ascii="Cambria" w:hAnsi="Cambria"/>
                <w:color w:val="000000"/>
                <w:sz w:val="20"/>
                <w:szCs w:val="20"/>
                <w:lang w:val="en-GB"/>
              </w:rPr>
            </w:pPr>
          </w:p>
        </w:tc>
      </w:tr>
      <w:tr w:rsidR="000B2829" w:rsidRPr="005756CE" w14:paraId="55D757B9" w14:textId="77777777" w:rsidTr="0025201E">
        <w:trPr>
          <w:trHeight w:val="255"/>
          <w:jc w:val="center"/>
        </w:trPr>
        <w:tc>
          <w:tcPr>
            <w:tcW w:w="1760" w:type="dxa"/>
            <w:tcMar>
              <w:top w:w="15" w:type="dxa"/>
              <w:left w:w="270" w:type="dxa"/>
              <w:bottom w:w="0" w:type="dxa"/>
              <w:right w:w="15" w:type="dxa"/>
            </w:tcMar>
            <w:vAlign w:val="center"/>
            <w:hideMark/>
          </w:tcPr>
          <w:p w14:paraId="42139DB2" w14:textId="77777777" w:rsidR="000B2829" w:rsidRPr="005756CE" w:rsidRDefault="000B2829" w:rsidP="001E71F8">
            <w:pPr>
              <w:spacing w:line="240" w:lineRule="auto"/>
              <w:ind w:firstLineChars="200" w:firstLine="400"/>
              <w:rPr>
                <w:rFonts w:ascii="Cambria" w:hAnsi="Cambria"/>
                <w:color w:val="000000"/>
                <w:sz w:val="20"/>
                <w:szCs w:val="20"/>
              </w:rPr>
            </w:pPr>
            <w:r w:rsidRPr="005756CE">
              <w:rPr>
                <w:rFonts w:ascii="Cambria" w:hAnsi="Cambria"/>
                <w:color w:val="000000"/>
                <w:sz w:val="20"/>
                <w:szCs w:val="20"/>
              </w:rPr>
              <w:t>UE-Italie</w:t>
            </w:r>
          </w:p>
        </w:tc>
        <w:tc>
          <w:tcPr>
            <w:tcW w:w="4900" w:type="dxa"/>
            <w:tcMar>
              <w:top w:w="15" w:type="dxa"/>
              <w:left w:w="15" w:type="dxa"/>
              <w:bottom w:w="0" w:type="dxa"/>
              <w:right w:w="15" w:type="dxa"/>
            </w:tcMar>
            <w:vAlign w:val="center"/>
            <w:hideMark/>
          </w:tcPr>
          <w:p w14:paraId="0595908E" w14:textId="77777777" w:rsidR="000B2829" w:rsidRPr="005756CE" w:rsidRDefault="000B2829" w:rsidP="001E71F8">
            <w:pPr>
              <w:spacing w:line="240" w:lineRule="auto"/>
              <w:jc w:val="center"/>
              <w:rPr>
                <w:rFonts w:ascii="Cambria" w:hAnsi="Cambria"/>
                <w:color w:val="000000"/>
                <w:sz w:val="20"/>
                <w:szCs w:val="20"/>
                <w:lang w:val="en-GB"/>
              </w:rPr>
            </w:pPr>
          </w:p>
        </w:tc>
      </w:tr>
      <w:tr w:rsidR="000B2829" w:rsidRPr="005756CE" w14:paraId="0197252F" w14:textId="77777777" w:rsidTr="0025201E">
        <w:trPr>
          <w:trHeight w:val="255"/>
          <w:jc w:val="center"/>
        </w:trPr>
        <w:tc>
          <w:tcPr>
            <w:tcW w:w="1760" w:type="dxa"/>
            <w:tcMar>
              <w:top w:w="15" w:type="dxa"/>
              <w:left w:w="270" w:type="dxa"/>
              <w:bottom w:w="0" w:type="dxa"/>
              <w:right w:w="15" w:type="dxa"/>
            </w:tcMar>
            <w:vAlign w:val="center"/>
            <w:hideMark/>
          </w:tcPr>
          <w:p w14:paraId="414D40A1" w14:textId="77777777" w:rsidR="000B2829" w:rsidRPr="005756CE" w:rsidRDefault="000B2829" w:rsidP="001E71F8">
            <w:pPr>
              <w:spacing w:line="240" w:lineRule="auto"/>
              <w:ind w:firstLineChars="200" w:firstLine="400"/>
              <w:rPr>
                <w:rFonts w:ascii="Cambria" w:hAnsi="Cambria"/>
                <w:color w:val="000000"/>
                <w:sz w:val="20"/>
                <w:szCs w:val="20"/>
              </w:rPr>
            </w:pPr>
            <w:r w:rsidRPr="005756CE">
              <w:rPr>
                <w:rFonts w:ascii="Cambria" w:hAnsi="Cambria"/>
                <w:color w:val="000000"/>
                <w:sz w:val="20"/>
                <w:szCs w:val="20"/>
              </w:rPr>
              <w:t xml:space="preserve">UE-Espagne </w:t>
            </w:r>
          </w:p>
        </w:tc>
        <w:tc>
          <w:tcPr>
            <w:tcW w:w="4900" w:type="dxa"/>
            <w:tcMar>
              <w:top w:w="15" w:type="dxa"/>
              <w:left w:w="15" w:type="dxa"/>
              <w:bottom w:w="0" w:type="dxa"/>
              <w:right w:w="15" w:type="dxa"/>
            </w:tcMar>
            <w:vAlign w:val="center"/>
            <w:hideMark/>
          </w:tcPr>
          <w:p w14:paraId="4BB533F5" w14:textId="77777777" w:rsidR="000B2829" w:rsidRPr="005756CE" w:rsidRDefault="000B2829" w:rsidP="001E71F8">
            <w:pPr>
              <w:spacing w:line="240" w:lineRule="auto"/>
              <w:jc w:val="center"/>
              <w:rPr>
                <w:rFonts w:ascii="Cambria" w:hAnsi="Cambria"/>
                <w:color w:val="000000"/>
                <w:sz w:val="20"/>
                <w:szCs w:val="20"/>
                <w:lang w:val="en-GB"/>
              </w:rPr>
            </w:pPr>
          </w:p>
        </w:tc>
      </w:tr>
      <w:tr w:rsidR="000B2829" w:rsidRPr="005756CE" w14:paraId="4EE13B9A" w14:textId="77777777" w:rsidTr="0025201E">
        <w:trPr>
          <w:trHeight w:val="765"/>
          <w:jc w:val="center"/>
        </w:trPr>
        <w:tc>
          <w:tcPr>
            <w:tcW w:w="1760" w:type="dxa"/>
            <w:tcMar>
              <w:top w:w="15" w:type="dxa"/>
              <w:left w:w="15" w:type="dxa"/>
              <w:bottom w:w="0" w:type="dxa"/>
              <w:right w:w="15" w:type="dxa"/>
            </w:tcMar>
            <w:vAlign w:val="center"/>
            <w:hideMark/>
          </w:tcPr>
          <w:p w14:paraId="1E7A341F" w14:textId="77777777" w:rsidR="000B2829" w:rsidRPr="005756CE" w:rsidRDefault="000B2829" w:rsidP="001E71F8">
            <w:pPr>
              <w:spacing w:line="240" w:lineRule="auto"/>
              <w:ind w:firstLine="118"/>
              <w:rPr>
                <w:rFonts w:ascii="Cambria" w:hAnsi="Cambria"/>
                <w:color w:val="000000"/>
                <w:sz w:val="20"/>
                <w:szCs w:val="20"/>
              </w:rPr>
            </w:pPr>
            <w:r w:rsidRPr="005756CE">
              <w:rPr>
                <w:rFonts w:ascii="Cambria" w:hAnsi="Cambria"/>
                <w:color w:val="000000"/>
                <w:sz w:val="20"/>
                <w:szCs w:val="20"/>
              </w:rPr>
              <w:t>Islande</w:t>
            </w:r>
          </w:p>
        </w:tc>
        <w:tc>
          <w:tcPr>
            <w:tcW w:w="4900" w:type="dxa"/>
            <w:tcMar>
              <w:top w:w="15" w:type="dxa"/>
              <w:left w:w="15" w:type="dxa"/>
              <w:bottom w:w="0" w:type="dxa"/>
              <w:right w:w="15" w:type="dxa"/>
            </w:tcMar>
            <w:vAlign w:val="center"/>
            <w:hideMark/>
          </w:tcPr>
          <w:p w14:paraId="512E5E02" w14:textId="77777777" w:rsidR="000B2829" w:rsidRPr="005756CE" w:rsidRDefault="000B2829" w:rsidP="001E71F8">
            <w:pPr>
              <w:spacing w:line="240" w:lineRule="auto"/>
              <w:jc w:val="center"/>
              <w:rPr>
                <w:rFonts w:ascii="Cambria" w:hAnsi="Cambria"/>
                <w:color w:val="000000"/>
                <w:sz w:val="20"/>
                <w:szCs w:val="20"/>
              </w:rPr>
            </w:pPr>
            <w:r w:rsidRPr="005756CE">
              <w:rPr>
                <w:rFonts w:ascii="Cambria" w:hAnsi="Cambria"/>
                <w:color w:val="000000"/>
                <w:sz w:val="20"/>
                <w:szCs w:val="20"/>
              </w:rPr>
              <w:t>N/</w:t>
            </w:r>
            <w:proofErr w:type="gramStart"/>
            <w:r w:rsidRPr="005756CE">
              <w:rPr>
                <w:rFonts w:ascii="Cambria" w:hAnsi="Cambria"/>
                <w:color w:val="000000"/>
                <w:sz w:val="20"/>
                <w:szCs w:val="20"/>
              </w:rPr>
              <w:t>A:</w:t>
            </w:r>
            <w:proofErr w:type="gramEnd"/>
            <w:r w:rsidRPr="005756CE">
              <w:rPr>
                <w:rFonts w:ascii="Cambria" w:hAnsi="Cambria"/>
                <w:color w:val="000000"/>
                <w:sz w:val="20"/>
                <w:szCs w:val="20"/>
              </w:rPr>
              <w:t xml:space="preserve"> Aucun navire islandais ne réalisera de pêche ciblée de thon rouge de l’Atlantique Est en 2025. </w:t>
            </w:r>
          </w:p>
          <w:p w14:paraId="7AD94269" w14:textId="51AB3680" w:rsidR="000B2829" w:rsidRPr="005756CE" w:rsidRDefault="000B2829" w:rsidP="001E71F8">
            <w:pPr>
              <w:spacing w:line="240" w:lineRule="auto"/>
              <w:jc w:val="center"/>
              <w:rPr>
                <w:rFonts w:ascii="Cambria" w:hAnsi="Cambria"/>
                <w:sz w:val="20"/>
                <w:szCs w:val="20"/>
              </w:rPr>
            </w:pPr>
            <w:r w:rsidRPr="005756CE">
              <w:rPr>
                <w:rFonts w:ascii="Cambria" w:hAnsi="Cambria"/>
                <w:sz w:val="20"/>
                <w:szCs w:val="20"/>
              </w:rPr>
              <w:t>200 t de son quota ont été transférées à l'UE.</w:t>
            </w:r>
          </w:p>
          <w:p w14:paraId="7BD5A9D5" w14:textId="77777777" w:rsidR="000B2829" w:rsidRPr="005756CE" w:rsidRDefault="000B2829" w:rsidP="001E71F8">
            <w:pPr>
              <w:spacing w:line="240" w:lineRule="auto"/>
              <w:jc w:val="center"/>
              <w:rPr>
                <w:rFonts w:ascii="Cambria" w:hAnsi="Cambria"/>
                <w:color w:val="000000"/>
                <w:sz w:val="20"/>
                <w:szCs w:val="20"/>
              </w:rPr>
            </w:pPr>
          </w:p>
        </w:tc>
      </w:tr>
      <w:tr w:rsidR="000B2829" w:rsidRPr="005756CE" w14:paraId="2125E7A1" w14:textId="77777777" w:rsidTr="0025201E">
        <w:trPr>
          <w:trHeight w:val="255"/>
          <w:jc w:val="center"/>
        </w:trPr>
        <w:tc>
          <w:tcPr>
            <w:tcW w:w="1760" w:type="dxa"/>
            <w:tcMar>
              <w:top w:w="15" w:type="dxa"/>
              <w:left w:w="15" w:type="dxa"/>
              <w:bottom w:w="0" w:type="dxa"/>
              <w:right w:w="15" w:type="dxa"/>
            </w:tcMar>
            <w:vAlign w:val="center"/>
            <w:hideMark/>
          </w:tcPr>
          <w:p w14:paraId="31B85A17" w14:textId="77777777" w:rsidR="000B2829" w:rsidRPr="005756CE" w:rsidRDefault="000B2829" w:rsidP="001E71F8">
            <w:pPr>
              <w:spacing w:line="240" w:lineRule="auto"/>
              <w:ind w:firstLine="118"/>
              <w:rPr>
                <w:rFonts w:ascii="Cambria" w:hAnsi="Cambria"/>
                <w:color w:val="000000"/>
                <w:sz w:val="20"/>
                <w:szCs w:val="20"/>
              </w:rPr>
            </w:pPr>
            <w:r w:rsidRPr="005756CE">
              <w:rPr>
                <w:rFonts w:ascii="Cambria" w:hAnsi="Cambria"/>
                <w:color w:val="000000"/>
                <w:sz w:val="20"/>
                <w:szCs w:val="20"/>
              </w:rPr>
              <w:t>Japon</w:t>
            </w:r>
          </w:p>
        </w:tc>
        <w:tc>
          <w:tcPr>
            <w:tcW w:w="4900" w:type="dxa"/>
            <w:tcMar>
              <w:top w:w="15" w:type="dxa"/>
              <w:left w:w="15" w:type="dxa"/>
              <w:bottom w:w="0" w:type="dxa"/>
              <w:right w:w="15" w:type="dxa"/>
            </w:tcMar>
            <w:vAlign w:val="center"/>
            <w:hideMark/>
          </w:tcPr>
          <w:p w14:paraId="0864E15A" w14:textId="77777777" w:rsidR="000B2829" w:rsidRPr="005756CE" w:rsidRDefault="000B2829" w:rsidP="001E71F8">
            <w:pPr>
              <w:spacing w:line="240" w:lineRule="auto"/>
              <w:jc w:val="center"/>
              <w:rPr>
                <w:rFonts w:ascii="Cambria" w:hAnsi="Cambria"/>
                <w:color w:val="000000"/>
                <w:sz w:val="20"/>
                <w:szCs w:val="20"/>
              </w:rPr>
            </w:pPr>
            <w:r w:rsidRPr="005756CE">
              <w:rPr>
                <w:rFonts w:ascii="Cambria" w:hAnsi="Cambria"/>
                <w:color w:val="000000"/>
                <w:sz w:val="20"/>
                <w:szCs w:val="20"/>
              </w:rPr>
              <w:t>22 janvier 2025 (quota de 2024)</w:t>
            </w:r>
          </w:p>
        </w:tc>
      </w:tr>
      <w:tr w:rsidR="000B2829" w:rsidRPr="005756CE" w14:paraId="346A0E75" w14:textId="77777777" w:rsidTr="0025201E">
        <w:trPr>
          <w:trHeight w:val="255"/>
          <w:jc w:val="center"/>
        </w:trPr>
        <w:tc>
          <w:tcPr>
            <w:tcW w:w="1760" w:type="dxa"/>
            <w:tcMar>
              <w:top w:w="15" w:type="dxa"/>
              <w:left w:w="15" w:type="dxa"/>
              <w:bottom w:w="0" w:type="dxa"/>
              <w:right w:w="15" w:type="dxa"/>
            </w:tcMar>
            <w:vAlign w:val="center"/>
            <w:hideMark/>
          </w:tcPr>
          <w:p w14:paraId="4633CC3A" w14:textId="77777777" w:rsidR="000B2829" w:rsidRPr="005756CE" w:rsidRDefault="000B2829" w:rsidP="001E71F8">
            <w:pPr>
              <w:spacing w:line="240" w:lineRule="auto"/>
              <w:ind w:firstLine="118"/>
              <w:rPr>
                <w:rFonts w:ascii="Cambria" w:hAnsi="Cambria"/>
                <w:color w:val="000000"/>
                <w:sz w:val="20"/>
                <w:szCs w:val="20"/>
              </w:rPr>
            </w:pPr>
            <w:r w:rsidRPr="005756CE">
              <w:rPr>
                <w:rFonts w:ascii="Cambria" w:hAnsi="Cambria"/>
                <w:color w:val="000000"/>
                <w:sz w:val="20"/>
                <w:szCs w:val="20"/>
              </w:rPr>
              <w:t>Corée</w:t>
            </w:r>
          </w:p>
        </w:tc>
        <w:tc>
          <w:tcPr>
            <w:tcW w:w="4900" w:type="dxa"/>
            <w:tcMar>
              <w:top w:w="15" w:type="dxa"/>
              <w:left w:w="15" w:type="dxa"/>
              <w:bottom w:w="0" w:type="dxa"/>
              <w:right w:w="15" w:type="dxa"/>
            </w:tcMar>
            <w:vAlign w:val="center"/>
            <w:hideMark/>
          </w:tcPr>
          <w:p w14:paraId="4C2EA483" w14:textId="77777777" w:rsidR="000B2829" w:rsidRPr="005756CE" w:rsidRDefault="000B2829" w:rsidP="001E71F8">
            <w:pPr>
              <w:spacing w:line="240" w:lineRule="auto"/>
              <w:jc w:val="center"/>
              <w:rPr>
                <w:rFonts w:ascii="Cambria" w:hAnsi="Cambria"/>
                <w:color w:val="000000"/>
                <w:sz w:val="20"/>
                <w:szCs w:val="20"/>
              </w:rPr>
            </w:pPr>
            <w:r w:rsidRPr="005756CE">
              <w:rPr>
                <w:rFonts w:ascii="Cambria" w:hAnsi="Cambria"/>
                <w:color w:val="000000"/>
                <w:sz w:val="20"/>
                <w:szCs w:val="20"/>
              </w:rPr>
              <w:t>N/</w:t>
            </w:r>
            <w:proofErr w:type="gramStart"/>
            <w:r w:rsidRPr="005756CE">
              <w:rPr>
                <w:rFonts w:ascii="Cambria" w:hAnsi="Cambria"/>
                <w:color w:val="000000"/>
                <w:sz w:val="20"/>
                <w:szCs w:val="20"/>
              </w:rPr>
              <w:t>A:</w:t>
            </w:r>
            <w:proofErr w:type="gramEnd"/>
            <w:r w:rsidRPr="005756CE">
              <w:rPr>
                <w:rFonts w:ascii="Cambria" w:hAnsi="Cambria"/>
                <w:color w:val="000000"/>
                <w:sz w:val="20"/>
                <w:szCs w:val="20"/>
              </w:rPr>
              <w:t xml:space="preserve"> le quota n'était pas entièrement utilisé au moment de la déclaration</w:t>
            </w:r>
          </w:p>
        </w:tc>
      </w:tr>
      <w:tr w:rsidR="000B2829" w:rsidRPr="005756CE" w14:paraId="6D17661C" w14:textId="77777777" w:rsidTr="0025201E">
        <w:trPr>
          <w:trHeight w:val="255"/>
          <w:jc w:val="center"/>
        </w:trPr>
        <w:tc>
          <w:tcPr>
            <w:tcW w:w="1760" w:type="dxa"/>
            <w:tcMar>
              <w:top w:w="15" w:type="dxa"/>
              <w:left w:w="15" w:type="dxa"/>
              <w:bottom w:w="0" w:type="dxa"/>
              <w:right w:w="15" w:type="dxa"/>
            </w:tcMar>
            <w:vAlign w:val="center"/>
            <w:hideMark/>
          </w:tcPr>
          <w:p w14:paraId="63B96250" w14:textId="77777777" w:rsidR="000B2829" w:rsidRPr="005756CE" w:rsidRDefault="000B2829" w:rsidP="001E71F8">
            <w:pPr>
              <w:spacing w:line="240" w:lineRule="auto"/>
              <w:ind w:firstLine="118"/>
              <w:rPr>
                <w:rFonts w:ascii="Cambria" w:hAnsi="Cambria"/>
                <w:color w:val="000000"/>
                <w:sz w:val="20"/>
                <w:szCs w:val="20"/>
              </w:rPr>
            </w:pPr>
            <w:r w:rsidRPr="005756CE">
              <w:rPr>
                <w:rFonts w:ascii="Cambria" w:hAnsi="Cambria"/>
                <w:color w:val="000000"/>
                <w:sz w:val="20"/>
                <w:szCs w:val="20"/>
              </w:rPr>
              <w:t>Libye</w:t>
            </w:r>
          </w:p>
        </w:tc>
        <w:tc>
          <w:tcPr>
            <w:tcW w:w="4900" w:type="dxa"/>
            <w:tcMar>
              <w:top w:w="15" w:type="dxa"/>
              <w:left w:w="15" w:type="dxa"/>
              <w:bottom w:w="0" w:type="dxa"/>
              <w:right w:w="15" w:type="dxa"/>
            </w:tcMar>
            <w:vAlign w:val="center"/>
            <w:hideMark/>
          </w:tcPr>
          <w:p w14:paraId="59FD7FA9" w14:textId="77777777" w:rsidR="000B2829" w:rsidRPr="005756CE" w:rsidRDefault="000B2829" w:rsidP="001E71F8">
            <w:pPr>
              <w:spacing w:line="240" w:lineRule="auto"/>
              <w:jc w:val="center"/>
              <w:rPr>
                <w:rFonts w:ascii="Cambria" w:hAnsi="Cambria"/>
                <w:color w:val="000000"/>
                <w:sz w:val="20"/>
                <w:szCs w:val="20"/>
              </w:rPr>
            </w:pPr>
            <w:r w:rsidRPr="005756CE">
              <w:rPr>
                <w:rFonts w:ascii="Cambria" w:hAnsi="Cambria"/>
                <w:color w:val="000000"/>
                <w:sz w:val="20"/>
                <w:szCs w:val="20"/>
              </w:rPr>
              <w:t>11 juillet 2025</w:t>
            </w:r>
          </w:p>
        </w:tc>
      </w:tr>
      <w:tr w:rsidR="000B2829" w:rsidRPr="005756CE" w14:paraId="62D5E7B8" w14:textId="77777777" w:rsidTr="0025201E">
        <w:trPr>
          <w:trHeight w:val="255"/>
          <w:jc w:val="center"/>
        </w:trPr>
        <w:tc>
          <w:tcPr>
            <w:tcW w:w="1760" w:type="dxa"/>
            <w:tcMar>
              <w:top w:w="15" w:type="dxa"/>
              <w:left w:w="15" w:type="dxa"/>
              <w:bottom w:w="0" w:type="dxa"/>
              <w:right w:w="15" w:type="dxa"/>
            </w:tcMar>
            <w:vAlign w:val="center"/>
            <w:hideMark/>
          </w:tcPr>
          <w:p w14:paraId="35B539B5" w14:textId="77777777" w:rsidR="000B2829" w:rsidRPr="005756CE" w:rsidRDefault="000B2829" w:rsidP="001E71F8">
            <w:pPr>
              <w:spacing w:line="240" w:lineRule="auto"/>
              <w:ind w:firstLine="118"/>
              <w:rPr>
                <w:rFonts w:ascii="Cambria" w:hAnsi="Cambria"/>
                <w:color w:val="000000"/>
                <w:sz w:val="20"/>
                <w:szCs w:val="20"/>
              </w:rPr>
            </w:pPr>
            <w:r w:rsidRPr="005756CE">
              <w:rPr>
                <w:rFonts w:ascii="Cambria" w:hAnsi="Cambria"/>
                <w:color w:val="000000"/>
                <w:sz w:val="20"/>
                <w:szCs w:val="20"/>
              </w:rPr>
              <w:t>Maroc</w:t>
            </w:r>
          </w:p>
        </w:tc>
        <w:tc>
          <w:tcPr>
            <w:tcW w:w="4900" w:type="dxa"/>
            <w:tcMar>
              <w:top w:w="15" w:type="dxa"/>
              <w:left w:w="15" w:type="dxa"/>
              <w:bottom w:w="0" w:type="dxa"/>
              <w:right w:w="15" w:type="dxa"/>
            </w:tcMar>
            <w:vAlign w:val="center"/>
            <w:hideMark/>
          </w:tcPr>
          <w:p w14:paraId="0473A036" w14:textId="77777777" w:rsidR="000B2829" w:rsidRPr="005756CE" w:rsidRDefault="000B2829" w:rsidP="001E71F8">
            <w:pPr>
              <w:spacing w:line="240" w:lineRule="auto"/>
              <w:jc w:val="center"/>
              <w:rPr>
                <w:rFonts w:ascii="Cambria" w:hAnsi="Cambria"/>
                <w:color w:val="000000"/>
                <w:sz w:val="20"/>
                <w:szCs w:val="20"/>
              </w:rPr>
            </w:pPr>
            <w:r w:rsidRPr="005756CE">
              <w:rPr>
                <w:rFonts w:ascii="Cambria" w:hAnsi="Cambria"/>
                <w:color w:val="000000"/>
                <w:sz w:val="20"/>
                <w:szCs w:val="20"/>
              </w:rPr>
              <w:t>Le 15 octobre 2025</w:t>
            </w:r>
          </w:p>
        </w:tc>
      </w:tr>
      <w:tr w:rsidR="000B2829" w:rsidRPr="005756CE" w14:paraId="346379F2" w14:textId="77777777" w:rsidTr="0025201E">
        <w:trPr>
          <w:trHeight w:val="255"/>
          <w:jc w:val="center"/>
        </w:trPr>
        <w:tc>
          <w:tcPr>
            <w:tcW w:w="1760" w:type="dxa"/>
            <w:tcMar>
              <w:top w:w="15" w:type="dxa"/>
              <w:left w:w="15" w:type="dxa"/>
              <w:bottom w:w="0" w:type="dxa"/>
              <w:right w:w="15" w:type="dxa"/>
            </w:tcMar>
            <w:vAlign w:val="center"/>
            <w:hideMark/>
          </w:tcPr>
          <w:p w14:paraId="43276F36" w14:textId="77777777" w:rsidR="000B2829" w:rsidRPr="005756CE" w:rsidRDefault="000B2829" w:rsidP="001E71F8">
            <w:pPr>
              <w:spacing w:line="240" w:lineRule="auto"/>
              <w:ind w:firstLine="118"/>
              <w:rPr>
                <w:rFonts w:ascii="Cambria" w:hAnsi="Cambria"/>
                <w:color w:val="000000"/>
                <w:sz w:val="20"/>
                <w:szCs w:val="20"/>
              </w:rPr>
            </w:pPr>
            <w:r w:rsidRPr="005756CE">
              <w:rPr>
                <w:rFonts w:ascii="Cambria" w:hAnsi="Cambria"/>
                <w:color w:val="000000"/>
                <w:sz w:val="20"/>
                <w:szCs w:val="20"/>
              </w:rPr>
              <w:t>Norvège</w:t>
            </w:r>
          </w:p>
        </w:tc>
        <w:tc>
          <w:tcPr>
            <w:tcW w:w="4900" w:type="dxa"/>
            <w:tcMar>
              <w:top w:w="15" w:type="dxa"/>
              <w:left w:w="15" w:type="dxa"/>
              <w:bottom w:w="0" w:type="dxa"/>
              <w:right w:w="15" w:type="dxa"/>
            </w:tcMar>
            <w:vAlign w:val="center"/>
            <w:hideMark/>
          </w:tcPr>
          <w:p w14:paraId="5AE23DA3" w14:textId="77777777" w:rsidR="000B2829" w:rsidRPr="005756CE" w:rsidRDefault="000B2829" w:rsidP="001E71F8">
            <w:pPr>
              <w:spacing w:line="240" w:lineRule="auto"/>
              <w:jc w:val="center"/>
              <w:rPr>
                <w:rFonts w:ascii="Cambria" w:hAnsi="Cambria"/>
                <w:color w:val="000000"/>
                <w:sz w:val="20"/>
                <w:szCs w:val="20"/>
              </w:rPr>
            </w:pPr>
            <w:r w:rsidRPr="005756CE">
              <w:rPr>
                <w:rFonts w:ascii="Cambria" w:hAnsi="Cambria"/>
                <w:color w:val="000000"/>
                <w:sz w:val="20"/>
                <w:szCs w:val="20"/>
              </w:rPr>
              <w:t>N/</w:t>
            </w:r>
            <w:proofErr w:type="gramStart"/>
            <w:r w:rsidRPr="005756CE">
              <w:rPr>
                <w:rFonts w:ascii="Cambria" w:hAnsi="Cambria"/>
                <w:color w:val="000000"/>
                <w:sz w:val="20"/>
                <w:szCs w:val="20"/>
              </w:rPr>
              <w:t>A:</w:t>
            </w:r>
            <w:proofErr w:type="gramEnd"/>
            <w:r w:rsidRPr="005756CE">
              <w:rPr>
                <w:rFonts w:ascii="Cambria" w:hAnsi="Cambria"/>
                <w:color w:val="000000"/>
                <w:sz w:val="20"/>
                <w:szCs w:val="20"/>
              </w:rPr>
              <w:t xml:space="preserve"> le quota n'était pas entièrement utilisé au moment de la déclaration</w:t>
            </w:r>
          </w:p>
        </w:tc>
      </w:tr>
      <w:tr w:rsidR="000B2829" w:rsidRPr="005756CE" w14:paraId="428CB6A4" w14:textId="77777777" w:rsidTr="0025201E">
        <w:trPr>
          <w:trHeight w:val="510"/>
          <w:jc w:val="center"/>
        </w:trPr>
        <w:tc>
          <w:tcPr>
            <w:tcW w:w="1760" w:type="dxa"/>
            <w:tcMar>
              <w:top w:w="15" w:type="dxa"/>
              <w:left w:w="15" w:type="dxa"/>
              <w:bottom w:w="0" w:type="dxa"/>
              <w:right w:w="15" w:type="dxa"/>
            </w:tcMar>
            <w:vAlign w:val="center"/>
            <w:hideMark/>
          </w:tcPr>
          <w:p w14:paraId="674A09AF" w14:textId="77777777" w:rsidR="000B2829" w:rsidRPr="005756CE" w:rsidRDefault="000B2829" w:rsidP="001E71F8">
            <w:pPr>
              <w:spacing w:line="240" w:lineRule="auto"/>
              <w:ind w:firstLine="118"/>
              <w:rPr>
                <w:rFonts w:ascii="Cambria" w:hAnsi="Cambria"/>
                <w:color w:val="000000"/>
                <w:sz w:val="20"/>
                <w:szCs w:val="20"/>
              </w:rPr>
            </w:pPr>
            <w:r w:rsidRPr="005756CE">
              <w:rPr>
                <w:rFonts w:ascii="Cambria" w:hAnsi="Cambria"/>
                <w:color w:val="000000"/>
                <w:sz w:val="20"/>
                <w:szCs w:val="20"/>
              </w:rPr>
              <w:t>Syrie</w:t>
            </w:r>
          </w:p>
        </w:tc>
        <w:tc>
          <w:tcPr>
            <w:tcW w:w="4900" w:type="dxa"/>
            <w:tcMar>
              <w:top w:w="15" w:type="dxa"/>
              <w:left w:w="15" w:type="dxa"/>
              <w:bottom w:w="0" w:type="dxa"/>
              <w:right w:w="15" w:type="dxa"/>
            </w:tcMar>
            <w:vAlign w:val="center"/>
            <w:hideMark/>
          </w:tcPr>
          <w:p w14:paraId="1E627770" w14:textId="77777777" w:rsidR="000B2829" w:rsidRPr="005756CE" w:rsidRDefault="000B2829" w:rsidP="001E71F8">
            <w:pPr>
              <w:spacing w:line="240" w:lineRule="auto"/>
              <w:jc w:val="center"/>
              <w:rPr>
                <w:rFonts w:ascii="Cambria" w:hAnsi="Cambria"/>
                <w:color w:val="000000"/>
                <w:sz w:val="20"/>
                <w:szCs w:val="20"/>
              </w:rPr>
            </w:pPr>
            <w:r w:rsidRPr="005756CE">
              <w:rPr>
                <w:rFonts w:ascii="Cambria" w:hAnsi="Cambria"/>
                <w:color w:val="000000"/>
                <w:sz w:val="20"/>
                <w:szCs w:val="20"/>
              </w:rPr>
              <w:t>N/</w:t>
            </w:r>
            <w:proofErr w:type="gramStart"/>
            <w:r w:rsidRPr="005756CE">
              <w:rPr>
                <w:rFonts w:ascii="Cambria" w:hAnsi="Cambria"/>
                <w:color w:val="000000"/>
                <w:sz w:val="20"/>
                <w:szCs w:val="20"/>
              </w:rPr>
              <w:t>A:</w:t>
            </w:r>
            <w:proofErr w:type="gramEnd"/>
            <w:r w:rsidRPr="005756CE">
              <w:rPr>
                <w:rFonts w:ascii="Cambria" w:hAnsi="Cambria"/>
                <w:color w:val="000000"/>
                <w:sz w:val="20"/>
                <w:szCs w:val="20"/>
              </w:rPr>
              <w:t xml:space="preserve"> quota entièrement transféré à la Türkiye, mais 0,8% alloué aux prises accessoires</w:t>
            </w:r>
          </w:p>
        </w:tc>
      </w:tr>
      <w:tr w:rsidR="000B2829" w:rsidRPr="005756CE" w14:paraId="6A8D6E00" w14:textId="77777777" w:rsidTr="0025201E">
        <w:trPr>
          <w:trHeight w:val="255"/>
          <w:jc w:val="center"/>
        </w:trPr>
        <w:tc>
          <w:tcPr>
            <w:tcW w:w="1760" w:type="dxa"/>
            <w:tcMar>
              <w:top w:w="15" w:type="dxa"/>
              <w:left w:w="15" w:type="dxa"/>
              <w:bottom w:w="0" w:type="dxa"/>
              <w:right w:w="15" w:type="dxa"/>
            </w:tcMar>
            <w:vAlign w:val="center"/>
            <w:hideMark/>
          </w:tcPr>
          <w:p w14:paraId="2B4778D6" w14:textId="77777777" w:rsidR="000B2829" w:rsidRPr="005756CE" w:rsidRDefault="000B2829" w:rsidP="001E71F8">
            <w:pPr>
              <w:spacing w:line="240" w:lineRule="auto"/>
              <w:ind w:firstLine="118"/>
              <w:rPr>
                <w:rFonts w:ascii="Cambria" w:hAnsi="Cambria"/>
                <w:color w:val="000000"/>
                <w:sz w:val="20"/>
                <w:szCs w:val="20"/>
              </w:rPr>
            </w:pPr>
            <w:r w:rsidRPr="005756CE">
              <w:rPr>
                <w:rFonts w:ascii="Cambria" w:hAnsi="Cambria"/>
                <w:color w:val="000000"/>
                <w:sz w:val="20"/>
                <w:szCs w:val="20"/>
              </w:rPr>
              <w:t>Tunisie</w:t>
            </w:r>
          </w:p>
        </w:tc>
        <w:tc>
          <w:tcPr>
            <w:tcW w:w="4900" w:type="dxa"/>
            <w:tcMar>
              <w:top w:w="15" w:type="dxa"/>
              <w:left w:w="15" w:type="dxa"/>
              <w:bottom w:w="0" w:type="dxa"/>
              <w:right w:w="15" w:type="dxa"/>
            </w:tcMar>
            <w:vAlign w:val="center"/>
            <w:hideMark/>
          </w:tcPr>
          <w:p w14:paraId="6FF3799D" w14:textId="77777777" w:rsidR="000B2829" w:rsidRPr="005756CE" w:rsidRDefault="000B2829" w:rsidP="001E71F8">
            <w:pPr>
              <w:spacing w:line="240" w:lineRule="auto"/>
              <w:jc w:val="center"/>
              <w:rPr>
                <w:rFonts w:ascii="Cambria" w:hAnsi="Cambria"/>
                <w:color w:val="000000"/>
                <w:sz w:val="20"/>
                <w:szCs w:val="20"/>
              </w:rPr>
            </w:pPr>
            <w:r w:rsidRPr="005756CE">
              <w:rPr>
                <w:rFonts w:ascii="Cambria" w:hAnsi="Cambria"/>
                <w:color w:val="000000"/>
                <w:sz w:val="20"/>
                <w:szCs w:val="20"/>
              </w:rPr>
              <w:t>Le 22 juin 2025</w:t>
            </w:r>
          </w:p>
        </w:tc>
      </w:tr>
      <w:tr w:rsidR="000B2829" w:rsidRPr="005756CE" w14:paraId="31EA3428" w14:textId="77777777" w:rsidTr="0025201E">
        <w:trPr>
          <w:trHeight w:val="255"/>
          <w:jc w:val="center"/>
        </w:trPr>
        <w:tc>
          <w:tcPr>
            <w:tcW w:w="1760" w:type="dxa"/>
            <w:tcMar>
              <w:top w:w="15" w:type="dxa"/>
              <w:left w:w="15" w:type="dxa"/>
              <w:bottom w:w="0" w:type="dxa"/>
              <w:right w:w="15" w:type="dxa"/>
            </w:tcMar>
            <w:vAlign w:val="center"/>
            <w:hideMark/>
          </w:tcPr>
          <w:p w14:paraId="4EC1DA7A" w14:textId="77777777" w:rsidR="000B2829" w:rsidRPr="005756CE" w:rsidRDefault="000B2829" w:rsidP="001E71F8">
            <w:pPr>
              <w:spacing w:line="240" w:lineRule="auto"/>
              <w:ind w:firstLine="118"/>
              <w:rPr>
                <w:rFonts w:ascii="Cambria" w:hAnsi="Cambria"/>
                <w:color w:val="000000"/>
                <w:sz w:val="20"/>
                <w:szCs w:val="20"/>
              </w:rPr>
            </w:pPr>
            <w:r w:rsidRPr="005756CE">
              <w:rPr>
                <w:rFonts w:ascii="Cambria" w:hAnsi="Cambria"/>
                <w:color w:val="000000"/>
                <w:sz w:val="20"/>
                <w:szCs w:val="20"/>
              </w:rPr>
              <w:t>Türkiye</w:t>
            </w:r>
          </w:p>
        </w:tc>
        <w:tc>
          <w:tcPr>
            <w:tcW w:w="4900" w:type="dxa"/>
            <w:tcMar>
              <w:top w:w="15" w:type="dxa"/>
              <w:left w:w="15" w:type="dxa"/>
              <w:bottom w:w="0" w:type="dxa"/>
              <w:right w:w="15" w:type="dxa"/>
            </w:tcMar>
            <w:vAlign w:val="center"/>
            <w:hideMark/>
          </w:tcPr>
          <w:p w14:paraId="7DE76A69" w14:textId="77777777" w:rsidR="000B2829" w:rsidRPr="005756CE" w:rsidRDefault="000B2829" w:rsidP="001E71F8">
            <w:pPr>
              <w:spacing w:line="240" w:lineRule="auto"/>
              <w:jc w:val="center"/>
              <w:rPr>
                <w:rFonts w:ascii="Cambria" w:hAnsi="Cambria"/>
                <w:color w:val="000000"/>
                <w:sz w:val="20"/>
                <w:szCs w:val="20"/>
              </w:rPr>
            </w:pPr>
            <w:r w:rsidRPr="005756CE">
              <w:rPr>
                <w:rFonts w:ascii="Cambria" w:hAnsi="Cambria"/>
                <w:color w:val="000000"/>
                <w:sz w:val="20"/>
                <w:szCs w:val="20"/>
              </w:rPr>
              <w:t>16 juin 2025</w:t>
            </w:r>
          </w:p>
        </w:tc>
      </w:tr>
      <w:tr w:rsidR="000B2829" w:rsidRPr="005756CE" w14:paraId="0D8CC9A8" w14:textId="77777777" w:rsidTr="0025201E">
        <w:trPr>
          <w:trHeight w:val="270"/>
          <w:jc w:val="center"/>
        </w:trPr>
        <w:tc>
          <w:tcPr>
            <w:tcW w:w="1760" w:type="dxa"/>
            <w:tcMar>
              <w:top w:w="15" w:type="dxa"/>
              <w:left w:w="15" w:type="dxa"/>
              <w:bottom w:w="0" w:type="dxa"/>
              <w:right w:w="15" w:type="dxa"/>
            </w:tcMar>
            <w:vAlign w:val="center"/>
            <w:hideMark/>
          </w:tcPr>
          <w:p w14:paraId="00DFBFAC" w14:textId="77777777" w:rsidR="000B2829" w:rsidRPr="005756CE" w:rsidRDefault="000B2829" w:rsidP="001E71F8">
            <w:pPr>
              <w:spacing w:line="240" w:lineRule="auto"/>
              <w:ind w:firstLine="118"/>
              <w:rPr>
                <w:rFonts w:ascii="Cambria" w:hAnsi="Cambria"/>
                <w:color w:val="000000"/>
                <w:sz w:val="20"/>
                <w:szCs w:val="20"/>
              </w:rPr>
            </w:pPr>
            <w:r w:rsidRPr="005756CE">
              <w:rPr>
                <w:rFonts w:ascii="Cambria" w:hAnsi="Cambria"/>
                <w:color w:val="000000"/>
                <w:sz w:val="20"/>
                <w:szCs w:val="20"/>
              </w:rPr>
              <w:t>Taipei chinois</w:t>
            </w:r>
          </w:p>
        </w:tc>
        <w:tc>
          <w:tcPr>
            <w:tcW w:w="4900" w:type="dxa"/>
            <w:tcMar>
              <w:top w:w="15" w:type="dxa"/>
              <w:left w:w="15" w:type="dxa"/>
              <w:bottom w:w="0" w:type="dxa"/>
              <w:right w:w="15" w:type="dxa"/>
            </w:tcMar>
            <w:vAlign w:val="center"/>
            <w:hideMark/>
          </w:tcPr>
          <w:p w14:paraId="22C8D47F" w14:textId="77777777" w:rsidR="000B2829" w:rsidRPr="005756CE" w:rsidRDefault="000B2829" w:rsidP="001E71F8">
            <w:pPr>
              <w:spacing w:line="240" w:lineRule="auto"/>
              <w:jc w:val="center"/>
              <w:rPr>
                <w:rFonts w:ascii="Cambria" w:hAnsi="Cambria"/>
                <w:color w:val="000000"/>
                <w:sz w:val="20"/>
                <w:szCs w:val="20"/>
              </w:rPr>
            </w:pPr>
            <w:r w:rsidRPr="005756CE">
              <w:rPr>
                <w:rFonts w:ascii="Cambria" w:hAnsi="Cambria"/>
                <w:color w:val="000000"/>
                <w:sz w:val="20"/>
                <w:szCs w:val="20"/>
              </w:rPr>
              <w:t>Non applicable, pas de pêcherie de BFT actuellement</w:t>
            </w:r>
          </w:p>
        </w:tc>
      </w:tr>
    </w:tbl>
    <w:p w14:paraId="0832B701" w14:textId="77777777" w:rsidR="000B2829" w:rsidRPr="005756CE" w:rsidRDefault="000B2829"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7A0586A4" w14:textId="692E85E0"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410B357E" w14:textId="357E583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b/>
          <w:i/>
          <w:iCs/>
          <w:sz w:val="20"/>
          <w:szCs w:val="20"/>
        </w:rPr>
        <w:t>Rapports d'inspection dans le cadre du programme d'inspection conjointe et liste des agences et noms des inspecteurs :</w:t>
      </w:r>
      <w:r w:rsidRPr="005756CE">
        <w:rPr>
          <w:rFonts w:ascii="Cambria" w:hAnsi="Cambria"/>
          <w:sz w:val="20"/>
          <w:szCs w:val="20"/>
        </w:rPr>
        <w:t xml:space="preserve"> Veuillez consulter le </w:t>
      </w:r>
      <w:r w:rsidRPr="005756CE">
        <w:rPr>
          <w:rFonts w:ascii="Cambria" w:hAnsi="Cambria"/>
          <w:b/>
          <w:bCs/>
          <w:sz w:val="20"/>
          <w:szCs w:val="20"/>
        </w:rPr>
        <w:t>tableau 2</w:t>
      </w:r>
      <w:r w:rsidRPr="005756CE">
        <w:rPr>
          <w:rFonts w:ascii="Cambria" w:hAnsi="Cambria"/>
          <w:sz w:val="20"/>
          <w:szCs w:val="20"/>
        </w:rPr>
        <w:t xml:space="preserve"> qui contient la liste des rapports d'inspection concernant le thon rouge présentés par l’UE et la Türkiye. Des </w:t>
      </w:r>
      <w:r w:rsidR="00C82D41" w:rsidRPr="005756CE">
        <w:rPr>
          <w:rFonts w:ascii="Cambria" w:hAnsi="Cambria"/>
          <w:sz w:val="20"/>
          <w:szCs w:val="20"/>
        </w:rPr>
        <w:t>copies</w:t>
      </w:r>
      <w:r w:rsidRPr="005756CE">
        <w:rPr>
          <w:rFonts w:ascii="Cambria" w:hAnsi="Cambria"/>
          <w:sz w:val="20"/>
          <w:szCs w:val="20"/>
        </w:rPr>
        <w:t xml:space="preserve"> des rapports comportant des infractions sont disponibles </w:t>
      </w:r>
      <w:r w:rsidR="00E92C7F" w:rsidRPr="005756CE">
        <w:rPr>
          <w:rFonts w:ascii="Cambria" w:hAnsi="Cambria"/>
          <w:sz w:val="20"/>
          <w:szCs w:val="20"/>
        </w:rPr>
        <w:t>à l’</w:t>
      </w:r>
      <w:r w:rsidRPr="005756CE">
        <w:rPr>
          <w:rFonts w:ascii="Cambria" w:hAnsi="Cambria"/>
          <w:b/>
          <w:bCs/>
          <w:sz w:val="20"/>
          <w:szCs w:val="20"/>
        </w:rPr>
        <w:t>annexe</w:t>
      </w:r>
      <w:r w:rsidRPr="005756CE">
        <w:rPr>
          <w:rFonts w:ascii="Cambria" w:hAnsi="Cambria"/>
          <w:sz w:val="20"/>
          <w:szCs w:val="20"/>
        </w:rPr>
        <w:t xml:space="preserve"> </w:t>
      </w:r>
      <w:r w:rsidRPr="005756CE">
        <w:rPr>
          <w:rFonts w:ascii="Cambria" w:hAnsi="Cambria"/>
          <w:b/>
          <w:sz w:val="20"/>
          <w:szCs w:val="20"/>
        </w:rPr>
        <w:t>3</w:t>
      </w:r>
      <w:r w:rsidRPr="005756CE">
        <w:rPr>
          <w:rFonts w:ascii="Cambria" w:hAnsi="Cambria"/>
          <w:sz w:val="20"/>
          <w:szCs w:val="20"/>
        </w:rPr>
        <w:t xml:space="preserve"> et </w:t>
      </w:r>
      <w:r w:rsidR="00E92C7F" w:rsidRPr="005756CE">
        <w:rPr>
          <w:rFonts w:ascii="Cambria" w:hAnsi="Cambria"/>
          <w:sz w:val="20"/>
          <w:szCs w:val="20"/>
        </w:rPr>
        <w:t>à l’</w:t>
      </w:r>
      <w:r w:rsidR="00E92C7F" w:rsidRPr="005756CE">
        <w:rPr>
          <w:rFonts w:ascii="Cambria" w:hAnsi="Cambria"/>
          <w:b/>
          <w:bCs/>
          <w:sz w:val="20"/>
          <w:szCs w:val="20"/>
        </w:rPr>
        <w:t xml:space="preserve">annexe </w:t>
      </w:r>
      <w:r w:rsidRPr="005756CE">
        <w:rPr>
          <w:rFonts w:ascii="Cambria" w:hAnsi="Cambria"/>
          <w:b/>
          <w:sz w:val="20"/>
          <w:szCs w:val="20"/>
        </w:rPr>
        <w:t>4</w:t>
      </w:r>
      <w:r w:rsidRPr="005756CE">
        <w:rPr>
          <w:rFonts w:ascii="Cambria" w:hAnsi="Cambria"/>
          <w:sz w:val="20"/>
          <w:szCs w:val="20"/>
        </w:rPr>
        <w:t xml:space="preserve"> ; ils contiennent la liste des agences, des moyens et les noms des inspecteurs reçus de de l’Algérie, de l’UE, de la Tunisie et de la Türkiye. La liste des navires d’inspection est publiée sur le site web de l'ICCAT. Un résumé des rapports comportant des infractions ainsi que les réponses apportées si elles sont disponibles sont inclus à l’</w:t>
      </w:r>
      <w:r w:rsidRPr="005756CE">
        <w:rPr>
          <w:rFonts w:ascii="Cambria" w:hAnsi="Cambria"/>
          <w:b/>
          <w:bCs/>
          <w:sz w:val="20"/>
          <w:szCs w:val="20"/>
        </w:rPr>
        <w:t xml:space="preserve">appendice </w:t>
      </w:r>
      <w:r w:rsidRPr="005756CE">
        <w:rPr>
          <w:rFonts w:ascii="Cambria" w:hAnsi="Cambria"/>
          <w:b/>
          <w:sz w:val="20"/>
          <w:szCs w:val="20"/>
        </w:rPr>
        <w:t>4</w:t>
      </w:r>
      <w:r w:rsidRPr="005756CE">
        <w:rPr>
          <w:rFonts w:ascii="Cambria" w:hAnsi="Cambria"/>
          <w:sz w:val="20"/>
          <w:szCs w:val="20"/>
        </w:rPr>
        <w:t>.</w:t>
      </w:r>
    </w:p>
    <w:p w14:paraId="5004CD25"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bCs/>
          <w:i/>
          <w:kern w:val="0"/>
          <w:sz w:val="20"/>
          <w:szCs w:val="20"/>
          <w14:ligatures w14:val="none"/>
        </w:rPr>
      </w:pPr>
    </w:p>
    <w:p w14:paraId="744F6190" w14:textId="7ABF8A79" w:rsidR="005C30FC" w:rsidRPr="005756CE" w:rsidRDefault="00356084" w:rsidP="001E71F8">
      <w:pPr>
        <w:spacing w:line="240" w:lineRule="auto"/>
        <w:jc w:val="both"/>
        <w:rPr>
          <w:rFonts w:ascii="Cambria" w:hAnsi="Cambria"/>
          <w:sz w:val="20"/>
          <w:szCs w:val="20"/>
        </w:rPr>
      </w:pPr>
      <w:r w:rsidRPr="005756CE">
        <w:rPr>
          <w:rFonts w:ascii="Cambria" w:hAnsi="Cambria"/>
          <w:b/>
          <w:bCs/>
          <w:i/>
          <w:iCs/>
          <w:sz w:val="20"/>
          <w:szCs w:val="20"/>
        </w:rPr>
        <w:t xml:space="preserve">Rapports de mise en </w:t>
      </w:r>
      <w:r w:rsidR="00283887" w:rsidRPr="005756CE">
        <w:rPr>
          <w:rFonts w:ascii="Cambria" w:hAnsi="Cambria"/>
          <w:b/>
          <w:bCs/>
          <w:i/>
          <w:iCs/>
          <w:sz w:val="20"/>
          <w:szCs w:val="20"/>
        </w:rPr>
        <w:t>œuvre :</w:t>
      </w:r>
      <w:r w:rsidRPr="005756CE">
        <w:rPr>
          <w:rFonts w:ascii="Cambria" w:hAnsi="Cambria"/>
          <w:sz w:val="20"/>
          <w:szCs w:val="20"/>
        </w:rPr>
        <w:t xml:space="preserve"> Conformément au paragraphe 235 de la Rec. 22-08, le Secrétariat de l'ICCAT est mandaté pour préparer un rapport sur la mise en œuvre de cette Recommandation. </w:t>
      </w:r>
      <w:bookmarkStart w:id="9" w:name="_Hlk203483165"/>
      <w:r w:rsidR="005C30FC" w:rsidRPr="005756CE">
        <w:rPr>
          <w:rFonts w:ascii="Cambria" w:hAnsi="Cambria"/>
          <w:sz w:val="20"/>
          <w:szCs w:val="20"/>
        </w:rPr>
        <w:t>Le rapport sur la mise en œuvre de la Rec. 22-08 est requis tous les deux ans, et le Secrétariat de l’ICCAT a demandé des informations et présenté un document de compilation en 2024. En conséquence, la prochaine évaluation de la mise en œuvre de la Rec. 24-05, qui remplace la Rec. 22-08, sera effectuée en 2026.</w:t>
      </w:r>
    </w:p>
    <w:bookmarkEnd w:id="9"/>
    <w:p w14:paraId="45AB26B2" w14:textId="45411061" w:rsidR="00C849C0" w:rsidRPr="005756CE" w:rsidRDefault="00C849C0" w:rsidP="001E71F8">
      <w:pPr>
        <w:spacing w:line="240" w:lineRule="auto"/>
        <w:rPr>
          <w:rFonts w:ascii="Cambria" w:hAnsi="Cambria"/>
          <w:b/>
          <w:i/>
          <w:sz w:val="20"/>
          <w:szCs w:val="20"/>
        </w:rPr>
      </w:pPr>
    </w:p>
    <w:p w14:paraId="5D161DE3" w14:textId="14972533" w:rsidR="00014BA9" w:rsidRPr="005756CE" w:rsidRDefault="00356084" w:rsidP="001E71F8">
      <w:pPr>
        <w:spacing w:line="240" w:lineRule="auto"/>
        <w:jc w:val="both"/>
        <w:rPr>
          <w:rFonts w:ascii="Cambria" w:hAnsi="Cambria"/>
          <w:sz w:val="20"/>
          <w:szCs w:val="20"/>
        </w:rPr>
      </w:pPr>
      <w:r w:rsidRPr="005756CE">
        <w:rPr>
          <w:rFonts w:ascii="Cambria" w:hAnsi="Cambria"/>
          <w:b/>
          <w:i/>
          <w:sz w:val="20"/>
          <w:szCs w:val="20"/>
        </w:rPr>
        <w:t>Programmes d’observateurs</w:t>
      </w:r>
      <w:r w:rsidR="00C82D41" w:rsidRPr="005756CE">
        <w:rPr>
          <w:rFonts w:ascii="Cambria" w:hAnsi="Cambria"/>
          <w:b/>
          <w:i/>
          <w:sz w:val="20"/>
          <w:szCs w:val="20"/>
        </w:rPr>
        <w:t> :</w:t>
      </w:r>
      <w:r w:rsidRPr="005756CE">
        <w:rPr>
          <w:rFonts w:ascii="Cambria" w:hAnsi="Cambria"/>
          <w:b/>
          <w:i/>
          <w:sz w:val="20"/>
          <w:szCs w:val="20"/>
        </w:rPr>
        <w:t xml:space="preserve"> </w:t>
      </w:r>
      <w:r w:rsidRPr="005756CE">
        <w:rPr>
          <w:rFonts w:ascii="Cambria" w:hAnsi="Cambria"/>
          <w:sz w:val="20"/>
          <w:szCs w:val="20"/>
        </w:rPr>
        <w:t xml:space="preserve">Étant donné que les exigences et les procédures de soumission des informations n'ont pas été développées par la Commission en 2009, comme l'exigent les recommandations, les informations des programmes d'observateurs nationaux sont incluses dans les soumissions scientifiques régulières. Pour plus d'informations sur le programme d'observateurs régionaux pour le thon rouge de </w:t>
      </w:r>
      <w:r w:rsidRPr="005756CE">
        <w:rPr>
          <w:rFonts w:ascii="Cambria" w:hAnsi="Cambria"/>
          <w:sz w:val="20"/>
          <w:szCs w:val="20"/>
        </w:rPr>
        <w:lastRenderedPageBreak/>
        <w:t xml:space="preserve">l'Atlantique Est et de la Méditerranée, veuillez consulter le document </w:t>
      </w:r>
      <w:r w:rsidR="00C82D41" w:rsidRPr="005756CE">
        <w:rPr>
          <w:rFonts w:ascii="Cambria" w:hAnsi="Cambria"/>
          <w:sz w:val="20"/>
          <w:szCs w:val="20"/>
        </w:rPr>
        <w:t>« </w:t>
      </w:r>
      <w:r w:rsidRPr="005756CE">
        <w:rPr>
          <w:rFonts w:ascii="Cambria" w:hAnsi="Cambria"/>
          <w:sz w:val="20"/>
          <w:szCs w:val="20"/>
        </w:rPr>
        <w:t>Mise en œuvre du ROP-BFT</w:t>
      </w:r>
      <w:r w:rsidR="00C82D41" w:rsidRPr="005756CE">
        <w:rPr>
          <w:rFonts w:ascii="Cambria" w:hAnsi="Cambria"/>
          <w:sz w:val="20"/>
          <w:szCs w:val="20"/>
        </w:rPr>
        <w:t> »</w:t>
      </w:r>
      <w:r w:rsidRPr="005756CE">
        <w:rPr>
          <w:rFonts w:ascii="Cambria" w:hAnsi="Cambria"/>
          <w:sz w:val="20"/>
          <w:szCs w:val="20"/>
        </w:rPr>
        <w:t xml:space="preserve"> [PA2_601/202</w:t>
      </w:r>
      <w:r w:rsidR="00C853EE" w:rsidRPr="005756CE">
        <w:rPr>
          <w:rFonts w:ascii="Cambria" w:hAnsi="Cambria"/>
          <w:sz w:val="20"/>
          <w:szCs w:val="20"/>
        </w:rPr>
        <w:t>5</w:t>
      </w:r>
      <w:r w:rsidRPr="005756CE">
        <w:rPr>
          <w:rFonts w:ascii="Cambria" w:hAnsi="Cambria"/>
          <w:sz w:val="20"/>
          <w:szCs w:val="20"/>
        </w:rPr>
        <w:t xml:space="preserve">] et </w:t>
      </w:r>
      <w:r w:rsidR="00C82D41" w:rsidRPr="005756CE">
        <w:rPr>
          <w:rFonts w:ascii="Cambria" w:hAnsi="Cambria"/>
          <w:sz w:val="20"/>
          <w:szCs w:val="20"/>
        </w:rPr>
        <w:t>« </w:t>
      </w:r>
      <w:r w:rsidRPr="005756CE">
        <w:rPr>
          <w:rFonts w:ascii="Cambria" w:hAnsi="Cambria"/>
          <w:sz w:val="20"/>
          <w:szCs w:val="20"/>
        </w:rPr>
        <w:t>Questions de non-application potentielle découlant des Programmes d'observateurs régionaux de l'ICCAT et réponses apportées » [COC_305/202</w:t>
      </w:r>
      <w:r w:rsidR="00C853EE" w:rsidRPr="005756CE">
        <w:rPr>
          <w:rFonts w:ascii="Cambria" w:hAnsi="Cambria"/>
          <w:sz w:val="20"/>
          <w:szCs w:val="20"/>
        </w:rPr>
        <w:t>5</w:t>
      </w:r>
      <w:r w:rsidRPr="005756CE">
        <w:rPr>
          <w:rFonts w:ascii="Cambria" w:hAnsi="Cambria"/>
          <w:sz w:val="20"/>
          <w:szCs w:val="20"/>
        </w:rPr>
        <w:t>].</w:t>
      </w:r>
      <w:bookmarkStart w:id="10" w:name="_Hlk86227917"/>
    </w:p>
    <w:p w14:paraId="7FB9A4BC" w14:textId="77777777" w:rsidR="00C853EE" w:rsidRPr="005756CE" w:rsidRDefault="00C853EE" w:rsidP="001E71F8">
      <w:pPr>
        <w:spacing w:line="240" w:lineRule="auto"/>
        <w:jc w:val="both"/>
        <w:rPr>
          <w:rFonts w:ascii="Cambria" w:hAnsi="Cambria"/>
          <w:b/>
          <w:i/>
          <w:sz w:val="20"/>
          <w:szCs w:val="20"/>
        </w:rPr>
      </w:pPr>
    </w:p>
    <w:p w14:paraId="4E07457B" w14:textId="490FB0AA" w:rsidR="00356084" w:rsidRPr="005756CE" w:rsidRDefault="00356084"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b/>
          <w:i/>
          <w:sz w:val="20"/>
          <w:szCs w:val="20"/>
        </w:rPr>
        <w:t>Transferts à l’intérieur des fermes et contrôles aléatoires</w:t>
      </w:r>
      <w:r w:rsidR="00014BA9" w:rsidRPr="005756CE">
        <w:rPr>
          <w:rFonts w:ascii="Cambria" w:hAnsi="Cambria"/>
          <w:b/>
          <w:i/>
          <w:sz w:val="20"/>
          <w:szCs w:val="20"/>
        </w:rPr>
        <w:t> :</w:t>
      </w:r>
      <w:bookmarkStart w:id="11" w:name="_Hlk86227871"/>
      <w:bookmarkEnd w:id="10"/>
      <w:r w:rsidR="00014BA9" w:rsidRPr="005756CE">
        <w:rPr>
          <w:rFonts w:ascii="Cambria" w:hAnsi="Cambria"/>
          <w:b/>
          <w:i/>
          <w:sz w:val="20"/>
          <w:szCs w:val="20"/>
        </w:rPr>
        <w:t xml:space="preserve"> </w:t>
      </w:r>
      <w:r w:rsidRPr="005756CE">
        <w:rPr>
          <w:rFonts w:ascii="Cambria" w:hAnsi="Cambria"/>
          <w:sz w:val="20"/>
          <w:szCs w:val="20"/>
        </w:rPr>
        <w:t>Conformément au</w:t>
      </w:r>
      <w:r w:rsidR="00283887" w:rsidRPr="005756CE">
        <w:rPr>
          <w:rFonts w:ascii="Cambria" w:hAnsi="Cambria"/>
          <w:sz w:val="20"/>
          <w:szCs w:val="20"/>
        </w:rPr>
        <w:t>x</w:t>
      </w:r>
      <w:r w:rsidRPr="005756CE">
        <w:rPr>
          <w:rFonts w:ascii="Cambria" w:hAnsi="Cambria"/>
          <w:sz w:val="20"/>
          <w:szCs w:val="20"/>
        </w:rPr>
        <w:t xml:space="preserve"> paragraphe</w:t>
      </w:r>
      <w:r w:rsidR="00283887" w:rsidRPr="005756CE">
        <w:rPr>
          <w:rFonts w:ascii="Cambria" w:hAnsi="Cambria"/>
          <w:sz w:val="20"/>
          <w:szCs w:val="20"/>
        </w:rPr>
        <w:t>s</w:t>
      </w:r>
      <w:r w:rsidRPr="005756CE">
        <w:rPr>
          <w:rFonts w:ascii="Cambria" w:hAnsi="Cambria"/>
          <w:sz w:val="20"/>
          <w:szCs w:val="20"/>
        </w:rPr>
        <w:t xml:space="preserve"> 215 </w:t>
      </w:r>
      <w:r w:rsidR="00283887" w:rsidRPr="005756CE">
        <w:rPr>
          <w:rFonts w:ascii="Cambria" w:hAnsi="Cambria"/>
          <w:sz w:val="20"/>
          <w:szCs w:val="20"/>
        </w:rPr>
        <w:t xml:space="preserve">et 218 </w:t>
      </w:r>
      <w:r w:rsidRPr="005756CE">
        <w:rPr>
          <w:rFonts w:ascii="Cambria" w:hAnsi="Cambria"/>
          <w:sz w:val="20"/>
          <w:szCs w:val="20"/>
        </w:rPr>
        <w:t>de</w:t>
      </w:r>
      <w:r w:rsidR="00EF4820" w:rsidRPr="005756CE">
        <w:rPr>
          <w:rFonts w:ascii="Cambria" w:hAnsi="Cambria"/>
          <w:sz w:val="20"/>
          <w:szCs w:val="20"/>
        </w:rPr>
        <w:t>s</w:t>
      </w:r>
      <w:r w:rsidRPr="005756CE">
        <w:rPr>
          <w:rFonts w:ascii="Cambria" w:hAnsi="Cambria"/>
          <w:sz w:val="20"/>
          <w:szCs w:val="20"/>
        </w:rPr>
        <w:t xml:space="preserve"> Rec. 22-08</w:t>
      </w:r>
      <w:r w:rsidR="00EF4820" w:rsidRPr="005756CE">
        <w:rPr>
          <w:rFonts w:ascii="Cambria" w:hAnsi="Cambria"/>
          <w:sz w:val="20"/>
          <w:szCs w:val="20"/>
        </w:rPr>
        <w:t xml:space="preserve"> et 24-05</w:t>
      </w:r>
      <w:r w:rsidR="0032666B" w:rsidRPr="005756CE">
        <w:rPr>
          <w:rFonts w:ascii="Cambria" w:hAnsi="Cambria"/>
          <w:sz w:val="20"/>
          <w:szCs w:val="20"/>
        </w:rPr>
        <w:t>,</w:t>
      </w:r>
      <w:r w:rsidR="00EF4820" w:rsidRPr="005756CE">
        <w:rPr>
          <w:rFonts w:ascii="Cambria" w:hAnsi="Cambria"/>
          <w:sz w:val="20"/>
          <w:szCs w:val="20"/>
        </w:rPr>
        <w:t xml:space="preserve"> </w:t>
      </w:r>
      <w:r w:rsidR="0032666B" w:rsidRPr="005756CE">
        <w:rPr>
          <w:rFonts w:ascii="Cambria" w:hAnsi="Cambria"/>
          <w:sz w:val="20"/>
          <w:szCs w:val="20"/>
        </w:rPr>
        <w:t>r</w:t>
      </w:r>
      <w:r w:rsidR="00EF4820" w:rsidRPr="005756CE">
        <w:rPr>
          <w:rFonts w:ascii="Cambria" w:hAnsi="Cambria"/>
          <w:sz w:val="20"/>
          <w:szCs w:val="20"/>
        </w:rPr>
        <w:t>espectivement,</w:t>
      </w:r>
      <w:r w:rsidRPr="005756CE">
        <w:rPr>
          <w:rFonts w:ascii="Cambria" w:hAnsi="Cambria"/>
          <w:sz w:val="20"/>
          <w:szCs w:val="20"/>
        </w:rPr>
        <w:t xml:space="preserve"> 2</w:t>
      </w:r>
      <w:r w:rsidR="00EF4820" w:rsidRPr="005756CE">
        <w:rPr>
          <w:rFonts w:ascii="Cambria" w:hAnsi="Cambria"/>
          <w:sz w:val="20"/>
          <w:szCs w:val="20"/>
        </w:rPr>
        <w:t>2</w:t>
      </w:r>
      <w:r w:rsidRPr="005756CE">
        <w:rPr>
          <w:rFonts w:ascii="Cambria" w:hAnsi="Cambria"/>
          <w:sz w:val="20"/>
          <w:szCs w:val="20"/>
        </w:rPr>
        <w:t xml:space="preserve"> fermes sous pavillon de quatre CPC ont communiqué au Secrétariat de l’ICCAT les résultats des contrôles aléatoires réalisés dans </w:t>
      </w:r>
      <w:r w:rsidR="00C82D41" w:rsidRPr="005756CE">
        <w:rPr>
          <w:rFonts w:ascii="Cambria" w:hAnsi="Cambria"/>
          <w:sz w:val="20"/>
          <w:szCs w:val="20"/>
        </w:rPr>
        <w:t>les</w:t>
      </w:r>
      <w:r w:rsidRPr="005756CE">
        <w:rPr>
          <w:rFonts w:ascii="Cambria" w:hAnsi="Cambria"/>
          <w:sz w:val="20"/>
          <w:szCs w:val="20"/>
        </w:rPr>
        <w:t xml:space="preserve"> installations de </w:t>
      </w:r>
      <w:r w:rsidR="00C82D41" w:rsidRPr="005756CE">
        <w:rPr>
          <w:rFonts w:ascii="Cambria" w:hAnsi="Cambria"/>
          <w:sz w:val="20"/>
          <w:szCs w:val="20"/>
        </w:rPr>
        <w:t xml:space="preserve">leur </w:t>
      </w:r>
      <w:r w:rsidRPr="005756CE">
        <w:rPr>
          <w:rFonts w:ascii="Cambria" w:hAnsi="Cambria"/>
          <w:sz w:val="20"/>
          <w:szCs w:val="20"/>
        </w:rPr>
        <w:t xml:space="preserve">ferme de thon rouge. Comme le résume le </w:t>
      </w:r>
      <w:r w:rsidRPr="005756CE">
        <w:rPr>
          <w:rFonts w:ascii="Cambria" w:hAnsi="Cambria"/>
          <w:b/>
          <w:bCs/>
          <w:sz w:val="20"/>
          <w:szCs w:val="20"/>
        </w:rPr>
        <w:t>tableau 11</w:t>
      </w:r>
      <w:r w:rsidRPr="005756CE">
        <w:rPr>
          <w:rFonts w:ascii="Cambria" w:hAnsi="Cambria"/>
          <w:sz w:val="20"/>
          <w:szCs w:val="20"/>
        </w:rPr>
        <w:t>, 1</w:t>
      </w:r>
      <w:r w:rsidR="00B96CAA" w:rsidRPr="005756CE">
        <w:rPr>
          <w:rFonts w:ascii="Cambria" w:hAnsi="Cambria"/>
          <w:sz w:val="20"/>
          <w:szCs w:val="20"/>
        </w:rPr>
        <w:t>1</w:t>
      </w:r>
      <w:r w:rsidRPr="005756CE">
        <w:rPr>
          <w:rFonts w:ascii="Cambria" w:hAnsi="Cambria"/>
          <w:sz w:val="20"/>
          <w:szCs w:val="20"/>
        </w:rPr>
        <w:t xml:space="preserve"> rapports au total ont été soumis au cours de la période allant du </w:t>
      </w:r>
      <w:r w:rsidR="00B96CAA" w:rsidRPr="005756CE">
        <w:rPr>
          <w:rFonts w:ascii="Cambria" w:hAnsi="Cambria"/>
          <w:sz w:val="20"/>
          <w:szCs w:val="20"/>
        </w:rPr>
        <w:t xml:space="preserve">28 février au </w:t>
      </w:r>
      <w:r w:rsidR="00F41027" w:rsidRPr="005756CE">
        <w:rPr>
          <w:rFonts w:ascii="Cambria" w:hAnsi="Cambria"/>
          <w:sz w:val="20"/>
          <w:szCs w:val="20"/>
        </w:rPr>
        <w:t>9</w:t>
      </w:r>
      <w:r w:rsidR="00A544D8" w:rsidRPr="005756CE">
        <w:rPr>
          <w:rFonts w:ascii="Cambria" w:hAnsi="Cambria"/>
          <w:sz w:val="20"/>
          <w:szCs w:val="20"/>
        </w:rPr>
        <w:t> </w:t>
      </w:r>
      <w:r w:rsidRPr="005756CE">
        <w:rPr>
          <w:rFonts w:ascii="Cambria" w:hAnsi="Cambria"/>
          <w:sz w:val="20"/>
          <w:szCs w:val="20"/>
        </w:rPr>
        <w:t>septembre 202</w:t>
      </w:r>
      <w:r w:rsidR="00F41027" w:rsidRPr="005756CE">
        <w:rPr>
          <w:rFonts w:ascii="Cambria" w:hAnsi="Cambria"/>
          <w:sz w:val="20"/>
          <w:szCs w:val="20"/>
        </w:rPr>
        <w:t>5</w:t>
      </w:r>
      <w:r w:rsidRPr="005756CE">
        <w:rPr>
          <w:rFonts w:ascii="Cambria" w:hAnsi="Cambria"/>
          <w:sz w:val="20"/>
          <w:szCs w:val="20"/>
        </w:rPr>
        <w:t xml:space="preserve"> pour les années 202</w:t>
      </w:r>
      <w:r w:rsidR="00F41027" w:rsidRPr="005756CE">
        <w:rPr>
          <w:rFonts w:ascii="Cambria" w:hAnsi="Cambria"/>
          <w:sz w:val="20"/>
          <w:szCs w:val="20"/>
        </w:rPr>
        <w:t>4</w:t>
      </w:r>
      <w:r w:rsidRPr="005756CE">
        <w:rPr>
          <w:rFonts w:ascii="Cambria" w:hAnsi="Cambria"/>
          <w:sz w:val="20"/>
          <w:szCs w:val="20"/>
        </w:rPr>
        <w:t xml:space="preserve"> et 202</w:t>
      </w:r>
      <w:r w:rsidR="00F41027" w:rsidRPr="005756CE">
        <w:rPr>
          <w:rFonts w:ascii="Cambria" w:hAnsi="Cambria"/>
          <w:sz w:val="20"/>
          <w:szCs w:val="20"/>
        </w:rPr>
        <w:t>5</w:t>
      </w:r>
      <w:r w:rsidRPr="005756CE">
        <w:rPr>
          <w:rFonts w:ascii="Cambria" w:hAnsi="Cambria"/>
          <w:sz w:val="20"/>
          <w:szCs w:val="20"/>
        </w:rPr>
        <w:t>. Afin de clarifier les informations présentées, une nouvelle colonne « Année » a été ajoutée pour indiquer l'année à laquelle le rapport se réfère. Comme ce tableau n'incluait pas cette colonne en 2022 et 2023, les données de l'année dernière (en orange) ont été ajoutées avec les informations supplémentaires relatives à l'année de déclaration.</w:t>
      </w:r>
    </w:p>
    <w:p w14:paraId="080170C1"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Cs/>
          <w:i/>
          <w:kern w:val="0"/>
          <w:sz w:val="20"/>
          <w:szCs w:val="20"/>
          <w14:ligatures w14:val="none"/>
        </w:rPr>
      </w:pPr>
    </w:p>
    <w:p w14:paraId="3A4F5343"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Cs/>
          <w:i/>
          <w:kern w:val="0"/>
          <w:sz w:val="20"/>
          <w:szCs w:val="20"/>
          <w14:ligatures w14:val="none"/>
        </w:rPr>
      </w:pPr>
    </w:p>
    <w:bookmarkEnd w:id="11"/>
    <w:p w14:paraId="1039FF32" w14:textId="03797DEC"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b/>
          <w:sz w:val="20"/>
          <w:szCs w:val="20"/>
        </w:rPr>
        <w:t xml:space="preserve">BIL - ISTIOPHORIDÉS : Makaire bleu </w:t>
      </w:r>
      <w:r w:rsidRPr="005756CE">
        <w:rPr>
          <w:rFonts w:ascii="Cambria" w:hAnsi="Cambria"/>
          <w:b/>
          <w:i/>
          <w:sz w:val="20"/>
          <w:szCs w:val="20"/>
        </w:rPr>
        <w:t>(</w:t>
      </w:r>
      <w:proofErr w:type="spellStart"/>
      <w:r w:rsidRPr="005756CE">
        <w:rPr>
          <w:rFonts w:ascii="Cambria" w:hAnsi="Cambria"/>
          <w:b/>
          <w:i/>
          <w:sz w:val="20"/>
          <w:szCs w:val="20"/>
        </w:rPr>
        <w:t>Makaira</w:t>
      </w:r>
      <w:proofErr w:type="spellEnd"/>
      <w:r w:rsidRPr="005756CE">
        <w:rPr>
          <w:rFonts w:ascii="Cambria" w:hAnsi="Cambria"/>
          <w:b/>
          <w:i/>
          <w:sz w:val="20"/>
          <w:szCs w:val="20"/>
        </w:rPr>
        <w:t xml:space="preserve"> </w:t>
      </w:r>
      <w:proofErr w:type="spellStart"/>
      <w:r w:rsidRPr="005756CE">
        <w:rPr>
          <w:rFonts w:ascii="Cambria" w:hAnsi="Cambria"/>
          <w:b/>
          <w:i/>
          <w:sz w:val="20"/>
          <w:szCs w:val="20"/>
        </w:rPr>
        <w:t>nigricans</w:t>
      </w:r>
      <w:proofErr w:type="spellEnd"/>
      <w:r w:rsidRPr="005756CE">
        <w:rPr>
          <w:rFonts w:ascii="Cambria" w:hAnsi="Cambria"/>
          <w:b/>
          <w:i/>
          <w:sz w:val="20"/>
          <w:szCs w:val="20"/>
        </w:rPr>
        <w:t>)</w:t>
      </w:r>
      <w:r w:rsidRPr="005756CE">
        <w:rPr>
          <w:rFonts w:ascii="Cambria" w:hAnsi="Cambria"/>
          <w:b/>
          <w:sz w:val="20"/>
          <w:szCs w:val="20"/>
        </w:rPr>
        <w:t xml:space="preserve">, makaire blanc </w:t>
      </w:r>
      <w:r w:rsidRPr="005756CE">
        <w:rPr>
          <w:rFonts w:ascii="Cambria" w:hAnsi="Cambria"/>
          <w:b/>
          <w:i/>
          <w:sz w:val="20"/>
          <w:szCs w:val="20"/>
        </w:rPr>
        <w:t>(</w:t>
      </w:r>
      <w:proofErr w:type="spellStart"/>
      <w:r w:rsidRPr="005756CE">
        <w:rPr>
          <w:rFonts w:ascii="Cambria" w:hAnsi="Cambria"/>
          <w:b/>
          <w:i/>
          <w:sz w:val="20"/>
          <w:szCs w:val="20"/>
        </w:rPr>
        <w:t>Tetrapturus</w:t>
      </w:r>
      <w:proofErr w:type="spellEnd"/>
      <w:r w:rsidRPr="005756CE">
        <w:rPr>
          <w:rFonts w:ascii="Cambria" w:hAnsi="Cambria"/>
          <w:b/>
          <w:i/>
          <w:sz w:val="20"/>
          <w:szCs w:val="20"/>
        </w:rPr>
        <w:t xml:space="preserve"> </w:t>
      </w:r>
      <w:proofErr w:type="spellStart"/>
      <w:r w:rsidRPr="005756CE">
        <w:rPr>
          <w:rFonts w:ascii="Cambria" w:hAnsi="Cambria"/>
          <w:b/>
          <w:i/>
          <w:sz w:val="20"/>
          <w:szCs w:val="20"/>
        </w:rPr>
        <w:t>albidus</w:t>
      </w:r>
      <w:proofErr w:type="spellEnd"/>
      <w:r w:rsidRPr="005756CE">
        <w:rPr>
          <w:rFonts w:ascii="Cambria" w:hAnsi="Cambria"/>
          <w:b/>
          <w:i/>
          <w:sz w:val="20"/>
          <w:szCs w:val="20"/>
        </w:rPr>
        <w:t xml:space="preserve">), </w:t>
      </w:r>
      <w:r w:rsidRPr="005756CE">
        <w:rPr>
          <w:rFonts w:ascii="Cambria" w:hAnsi="Cambria"/>
          <w:b/>
          <w:sz w:val="20"/>
          <w:szCs w:val="20"/>
        </w:rPr>
        <w:t xml:space="preserve">voilier </w:t>
      </w:r>
      <w:r w:rsidRPr="005756CE">
        <w:rPr>
          <w:rFonts w:ascii="Cambria" w:hAnsi="Cambria"/>
          <w:b/>
          <w:i/>
          <w:sz w:val="20"/>
          <w:szCs w:val="20"/>
        </w:rPr>
        <w:t>(</w:t>
      </w:r>
      <w:proofErr w:type="spellStart"/>
      <w:r w:rsidRPr="005756CE">
        <w:rPr>
          <w:rFonts w:ascii="Cambria" w:hAnsi="Cambria"/>
          <w:b/>
          <w:i/>
          <w:sz w:val="20"/>
          <w:szCs w:val="20"/>
        </w:rPr>
        <w:t>Istiophorus</w:t>
      </w:r>
      <w:proofErr w:type="spellEnd"/>
      <w:r w:rsidRPr="005756CE">
        <w:rPr>
          <w:rFonts w:ascii="Cambria" w:hAnsi="Cambria"/>
          <w:b/>
          <w:i/>
          <w:sz w:val="20"/>
          <w:szCs w:val="20"/>
        </w:rPr>
        <w:t xml:space="preserve"> </w:t>
      </w:r>
      <w:proofErr w:type="spellStart"/>
      <w:r w:rsidRPr="005756CE">
        <w:rPr>
          <w:rFonts w:ascii="Cambria" w:hAnsi="Cambria"/>
          <w:b/>
          <w:i/>
          <w:sz w:val="20"/>
          <w:szCs w:val="20"/>
        </w:rPr>
        <w:t>albicans</w:t>
      </w:r>
      <w:proofErr w:type="spellEnd"/>
      <w:r w:rsidRPr="005756CE">
        <w:rPr>
          <w:rFonts w:ascii="Cambria" w:hAnsi="Cambria"/>
          <w:b/>
          <w:i/>
          <w:sz w:val="20"/>
          <w:szCs w:val="20"/>
        </w:rPr>
        <w:t>)</w:t>
      </w:r>
      <w:r w:rsidRPr="005756CE">
        <w:rPr>
          <w:rFonts w:ascii="Cambria" w:hAnsi="Cambria"/>
          <w:b/>
          <w:sz w:val="20"/>
          <w:szCs w:val="20"/>
        </w:rPr>
        <w:t xml:space="preserve">, </w:t>
      </w:r>
      <w:proofErr w:type="spellStart"/>
      <w:r w:rsidR="00C82D41" w:rsidRPr="005756CE">
        <w:rPr>
          <w:rFonts w:ascii="Cambria" w:hAnsi="Cambria"/>
          <w:b/>
          <w:sz w:val="20"/>
          <w:szCs w:val="20"/>
        </w:rPr>
        <w:t>Tetrapturus</w:t>
      </w:r>
      <w:proofErr w:type="spellEnd"/>
      <w:r w:rsidR="00C82D41" w:rsidRPr="005756CE">
        <w:rPr>
          <w:rFonts w:ascii="Cambria" w:hAnsi="Cambria"/>
          <w:b/>
          <w:sz w:val="20"/>
          <w:szCs w:val="20"/>
        </w:rPr>
        <w:t xml:space="preserve"> </w:t>
      </w:r>
      <w:proofErr w:type="spellStart"/>
      <w:r w:rsidR="00C82D41" w:rsidRPr="005756CE">
        <w:rPr>
          <w:rFonts w:ascii="Cambria" w:hAnsi="Cambria"/>
          <w:b/>
          <w:sz w:val="20"/>
          <w:szCs w:val="20"/>
        </w:rPr>
        <w:t>sp</w:t>
      </w:r>
      <w:proofErr w:type="spellEnd"/>
      <w:r w:rsidR="00C82D41" w:rsidRPr="005756CE">
        <w:rPr>
          <w:rFonts w:ascii="Cambria" w:hAnsi="Cambria"/>
          <w:b/>
          <w:sz w:val="20"/>
          <w:szCs w:val="20"/>
        </w:rPr>
        <w:t>.</w:t>
      </w:r>
      <w:r w:rsidRPr="005756CE">
        <w:rPr>
          <w:rFonts w:ascii="Cambria" w:hAnsi="Cambria"/>
          <w:b/>
          <w:sz w:val="20"/>
          <w:szCs w:val="20"/>
        </w:rPr>
        <w:t xml:space="preserve"> (</w:t>
      </w:r>
      <w:proofErr w:type="spellStart"/>
      <w:r w:rsidRPr="005756CE">
        <w:rPr>
          <w:rFonts w:ascii="Cambria" w:hAnsi="Cambria"/>
          <w:b/>
          <w:i/>
          <w:sz w:val="20"/>
          <w:szCs w:val="20"/>
        </w:rPr>
        <w:t>Tetrapturus</w:t>
      </w:r>
      <w:proofErr w:type="spellEnd"/>
      <w:r w:rsidRPr="005756CE">
        <w:rPr>
          <w:rFonts w:ascii="Cambria" w:hAnsi="Cambria"/>
          <w:b/>
          <w:i/>
          <w:sz w:val="20"/>
          <w:szCs w:val="20"/>
        </w:rPr>
        <w:t xml:space="preserve"> </w:t>
      </w:r>
      <w:proofErr w:type="spellStart"/>
      <w:r w:rsidRPr="005756CE">
        <w:rPr>
          <w:rFonts w:ascii="Cambria" w:hAnsi="Cambria"/>
          <w:b/>
          <w:i/>
          <w:sz w:val="20"/>
          <w:szCs w:val="20"/>
        </w:rPr>
        <w:t>pfluegeri</w:t>
      </w:r>
      <w:proofErr w:type="spellEnd"/>
      <w:r w:rsidR="00C82D41" w:rsidRPr="005756CE">
        <w:rPr>
          <w:rFonts w:ascii="Cambria" w:hAnsi="Cambria"/>
          <w:b/>
          <w:i/>
          <w:sz w:val="20"/>
          <w:szCs w:val="20"/>
        </w:rPr>
        <w:t xml:space="preserve"> </w:t>
      </w:r>
      <w:r w:rsidRPr="005756CE">
        <w:rPr>
          <w:rFonts w:ascii="Cambria" w:hAnsi="Cambria"/>
          <w:b/>
          <w:sz w:val="20"/>
          <w:szCs w:val="20"/>
        </w:rPr>
        <w:t xml:space="preserve">et </w:t>
      </w:r>
      <w:proofErr w:type="spellStart"/>
      <w:r w:rsidR="00C82D41" w:rsidRPr="005756CE">
        <w:rPr>
          <w:rFonts w:ascii="Cambria" w:hAnsi="Cambria"/>
          <w:b/>
          <w:sz w:val="20"/>
          <w:szCs w:val="20"/>
        </w:rPr>
        <w:t>T</w:t>
      </w:r>
      <w:r w:rsidRPr="005756CE">
        <w:rPr>
          <w:rFonts w:ascii="Cambria" w:hAnsi="Cambria"/>
          <w:b/>
          <w:i/>
          <w:sz w:val="20"/>
          <w:szCs w:val="20"/>
        </w:rPr>
        <w:t>etrapturus</w:t>
      </w:r>
      <w:proofErr w:type="spellEnd"/>
      <w:r w:rsidRPr="005756CE">
        <w:rPr>
          <w:rFonts w:ascii="Cambria" w:hAnsi="Cambria"/>
          <w:b/>
          <w:i/>
          <w:sz w:val="20"/>
          <w:szCs w:val="20"/>
        </w:rPr>
        <w:t xml:space="preserve"> </w:t>
      </w:r>
      <w:proofErr w:type="spellStart"/>
      <w:r w:rsidRPr="005756CE">
        <w:rPr>
          <w:rFonts w:ascii="Cambria" w:hAnsi="Cambria"/>
          <w:b/>
          <w:i/>
          <w:sz w:val="20"/>
          <w:szCs w:val="20"/>
        </w:rPr>
        <w:t>belone</w:t>
      </w:r>
      <w:proofErr w:type="spellEnd"/>
      <w:r w:rsidRPr="005756CE">
        <w:rPr>
          <w:rFonts w:ascii="Cambria" w:hAnsi="Cambria"/>
          <w:b/>
          <w:i/>
          <w:sz w:val="20"/>
          <w:szCs w:val="20"/>
        </w:rPr>
        <w:t>)</w:t>
      </w:r>
    </w:p>
    <w:p w14:paraId="1BFFCA14" w14:textId="77777777" w:rsidR="00356084" w:rsidRPr="005756CE" w:rsidRDefault="00356084" w:rsidP="001E71F8">
      <w:pPr>
        <w:widowControl w:val="0"/>
        <w:tabs>
          <w:tab w:val="left" w:pos="0"/>
          <w:tab w:val="left" w:pos="1276"/>
        </w:tabs>
        <w:autoSpaceDE w:val="0"/>
        <w:autoSpaceDN w:val="0"/>
        <w:adjustRightInd w:val="0"/>
        <w:spacing w:line="240" w:lineRule="auto"/>
        <w:ind w:right="3"/>
        <w:jc w:val="both"/>
        <w:rPr>
          <w:rFonts w:ascii="Cambria" w:eastAsia="Times New Roman" w:hAnsi="Cambria"/>
          <w:kern w:val="0"/>
          <w:sz w:val="20"/>
          <w:szCs w:val="20"/>
          <w14:ligatures w14:val="none"/>
        </w:rPr>
      </w:pPr>
    </w:p>
    <w:p w14:paraId="3EF81B7C" w14:textId="01246F11" w:rsidR="00356084" w:rsidRPr="005756CE" w:rsidRDefault="00356084" w:rsidP="001E71F8">
      <w:pPr>
        <w:widowControl w:val="0"/>
        <w:tabs>
          <w:tab w:val="left" w:pos="0"/>
          <w:tab w:val="left" w:pos="1276"/>
        </w:tabs>
        <w:autoSpaceDE w:val="0"/>
        <w:autoSpaceDN w:val="0"/>
        <w:adjustRightInd w:val="0"/>
        <w:spacing w:line="240" w:lineRule="auto"/>
        <w:ind w:right="3"/>
        <w:jc w:val="both"/>
        <w:rPr>
          <w:rFonts w:ascii="Cambria" w:eastAsia="Times New Roman" w:hAnsi="Cambria"/>
          <w:i/>
          <w:kern w:val="0"/>
          <w:sz w:val="20"/>
          <w:szCs w:val="20"/>
          <w14:ligatures w14:val="none"/>
        </w:rPr>
      </w:pPr>
      <w:r w:rsidRPr="005756CE">
        <w:rPr>
          <w:rFonts w:ascii="Cambria" w:hAnsi="Cambria"/>
          <w:i/>
          <w:sz w:val="20"/>
          <w:szCs w:val="20"/>
        </w:rPr>
        <w:t>[19</w:t>
      </w:r>
      <w:r w:rsidR="00C82D41" w:rsidRPr="005756CE">
        <w:rPr>
          <w:rFonts w:ascii="Cambria" w:hAnsi="Cambria"/>
          <w:i/>
          <w:sz w:val="20"/>
          <w:szCs w:val="20"/>
        </w:rPr>
        <w:t>-</w:t>
      </w:r>
      <w:r w:rsidRPr="005756CE">
        <w:rPr>
          <w:rFonts w:ascii="Cambria" w:hAnsi="Cambria"/>
          <w:i/>
          <w:sz w:val="20"/>
          <w:szCs w:val="20"/>
        </w:rPr>
        <w:t>05]</w:t>
      </w:r>
      <w:r w:rsidRPr="005756CE">
        <w:rPr>
          <w:rFonts w:ascii="Cambria" w:hAnsi="Cambria"/>
          <w:sz w:val="20"/>
          <w:szCs w:val="20"/>
        </w:rPr>
        <w:t xml:space="preserve"> </w:t>
      </w:r>
      <w:hyperlink r:id="rId23" w:tgtFrame="_blank" w:history="1">
        <w:r w:rsidRPr="005756CE">
          <w:rPr>
            <w:rFonts w:ascii="Cambria" w:hAnsi="Cambria"/>
            <w:i/>
            <w:sz w:val="20"/>
            <w:szCs w:val="20"/>
          </w:rPr>
          <w:t>Recommandation de l'ICCAT visant à établir des programmes de rétablissement pour le makaire bleu et le makaire blanc/makaire épée</w:t>
        </w:r>
      </w:hyperlink>
    </w:p>
    <w:p w14:paraId="4F43430E"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62705636" w14:textId="10583214" w:rsidR="00356084" w:rsidRPr="005756CE" w:rsidRDefault="00356084" w:rsidP="001E71F8">
      <w:pPr>
        <w:widowControl w:val="0"/>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sz w:val="20"/>
          <w:szCs w:val="20"/>
        </w:rPr>
        <w:t>En ce qui concerne l'application des quotas/limites de capture, veuillez consulter les</w:t>
      </w:r>
      <w:r w:rsidR="00EA57DA" w:rsidRPr="005756CE">
        <w:rPr>
          <w:rFonts w:ascii="Cambria" w:hAnsi="Cambria"/>
          <w:sz w:val="20"/>
          <w:szCs w:val="20"/>
        </w:rPr>
        <w:t xml:space="preserve"> </w:t>
      </w:r>
      <w:r w:rsidR="00227CB5" w:rsidRPr="005756CE">
        <w:rPr>
          <w:rFonts w:ascii="Cambria" w:hAnsi="Cambria"/>
          <w:sz w:val="20"/>
          <w:szCs w:val="20"/>
        </w:rPr>
        <w:t>« Tableaux d’application de 202</w:t>
      </w:r>
      <w:r w:rsidR="0049587B" w:rsidRPr="005756CE">
        <w:rPr>
          <w:rFonts w:ascii="Cambria" w:hAnsi="Cambria"/>
          <w:sz w:val="20"/>
          <w:szCs w:val="20"/>
        </w:rPr>
        <w:t>4</w:t>
      </w:r>
      <w:r w:rsidR="00227CB5" w:rsidRPr="005756CE">
        <w:rPr>
          <w:rFonts w:ascii="Cambria" w:hAnsi="Cambria"/>
          <w:sz w:val="20"/>
          <w:szCs w:val="20"/>
        </w:rPr>
        <w:t xml:space="preserve"> reçus en 202</w:t>
      </w:r>
      <w:r w:rsidR="0049587B" w:rsidRPr="005756CE">
        <w:rPr>
          <w:rFonts w:ascii="Cambria" w:hAnsi="Cambria"/>
          <w:sz w:val="20"/>
          <w:szCs w:val="20"/>
        </w:rPr>
        <w:t>5</w:t>
      </w:r>
      <w:r w:rsidR="00227CB5" w:rsidRPr="005756CE">
        <w:rPr>
          <w:rFonts w:ascii="Cambria" w:hAnsi="Cambria"/>
          <w:sz w:val="20"/>
          <w:szCs w:val="20"/>
        </w:rPr>
        <w:t> » [COC-304/202</w:t>
      </w:r>
      <w:r w:rsidR="000D1CB2" w:rsidRPr="005756CE">
        <w:rPr>
          <w:rFonts w:ascii="Cambria" w:hAnsi="Cambria"/>
          <w:sz w:val="20"/>
          <w:szCs w:val="20"/>
        </w:rPr>
        <w:t>5</w:t>
      </w:r>
      <w:r w:rsidR="00227CB5" w:rsidRPr="005756CE">
        <w:rPr>
          <w:rFonts w:ascii="Cambria" w:hAnsi="Cambria"/>
          <w:sz w:val="20"/>
          <w:szCs w:val="20"/>
        </w:rPr>
        <w:t xml:space="preserve">). </w:t>
      </w:r>
      <w:r w:rsidRPr="005756CE">
        <w:rPr>
          <w:rFonts w:ascii="Cambria" w:hAnsi="Cambria"/>
          <w:sz w:val="20"/>
          <w:szCs w:val="20"/>
        </w:rPr>
        <w:t xml:space="preserve">Pour d’autres informations, </w:t>
      </w:r>
      <w:r w:rsidR="000D1CB2" w:rsidRPr="005756CE">
        <w:rPr>
          <w:rFonts w:ascii="Cambria" w:hAnsi="Cambria"/>
          <w:sz w:val="20"/>
          <w:szCs w:val="20"/>
        </w:rPr>
        <w:t>veuillez-vous</w:t>
      </w:r>
      <w:r w:rsidRPr="005756CE">
        <w:rPr>
          <w:rFonts w:ascii="Cambria" w:hAnsi="Cambria"/>
          <w:sz w:val="20"/>
          <w:szCs w:val="20"/>
        </w:rPr>
        <w:t xml:space="preserve"> reporter à la Rec. 18-05 ci-dessous. </w:t>
      </w:r>
    </w:p>
    <w:p w14:paraId="7F77BCAC" w14:textId="77777777" w:rsidR="00227CB5" w:rsidRPr="005756CE" w:rsidRDefault="00227CB5" w:rsidP="001E71F8">
      <w:pPr>
        <w:widowControl w:val="0"/>
        <w:autoSpaceDE w:val="0"/>
        <w:autoSpaceDN w:val="0"/>
        <w:adjustRightInd w:val="0"/>
        <w:spacing w:line="240" w:lineRule="auto"/>
        <w:jc w:val="both"/>
        <w:rPr>
          <w:rFonts w:ascii="Cambria" w:eastAsia="Times New Roman" w:hAnsi="Cambria"/>
          <w:bCs/>
          <w:kern w:val="0"/>
          <w:sz w:val="20"/>
          <w:szCs w:val="20"/>
          <w14:ligatures w14:val="none"/>
        </w:rPr>
      </w:pPr>
    </w:p>
    <w:p w14:paraId="74816706" w14:textId="77777777" w:rsidR="00356084" w:rsidRPr="005756CE" w:rsidRDefault="00356084" w:rsidP="001E71F8">
      <w:pPr>
        <w:widowControl w:val="0"/>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i/>
          <w:sz w:val="20"/>
          <w:szCs w:val="20"/>
        </w:rPr>
        <w:t>[16-11] Recommandation de l’ICCAT concernant des mesures de gestion aux fins de la conservation du voilier de l'Atlantique</w:t>
      </w:r>
    </w:p>
    <w:p w14:paraId="235A367C" w14:textId="77777777" w:rsidR="00356084" w:rsidRPr="005756CE" w:rsidRDefault="00356084" w:rsidP="001E71F8">
      <w:pPr>
        <w:spacing w:line="240" w:lineRule="auto"/>
        <w:rPr>
          <w:rFonts w:ascii="Cambria" w:eastAsia="Times New Roman" w:hAnsi="Cambria"/>
          <w:kern w:val="0"/>
          <w:sz w:val="20"/>
          <w:szCs w:val="20"/>
          <w14:ligatures w14:val="none"/>
        </w:rPr>
      </w:pPr>
    </w:p>
    <w:p w14:paraId="56E8FCB3" w14:textId="291FB483" w:rsidR="00356084" w:rsidRPr="005756CE" w:rsidRDefault="00356084"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Si la prise totale d'un des deux stocks de voiliers de l’Atlantique dépasse au cours d'une année donnée le niveau correspondant à 67</w:t>
      </w:r>
      <w:r w:rsidR="00C82D41" w:rsidRPr="005756CE">
        <w:rPr>
          <w:rFonts w:ascii="Cambria" w:hAnsi="Cambria"/>
          <w:sz w:val="20"/>
          <w:szCs w:val="20"/>
        </w:rPr>
        <w:t> </w:t>
      </w:r>
      <w:r w:rsidRPr="005756CE">
        <w:rPr>
          <w:rFonts w:ascii="Cambria" w:hAnsi="Cambria"/>
          <w:sz w:val="20"/>
          <w:szCs w:val="20"/>
        </w:rPr>
        <w:t xml:space="preserve">% de la moyenne estimée de leur production maximale équilibrée </w:t>
      </w:r>
      <w:r w:rsidR="00EA079C" w:rsidRPr="005756CE">
        <w:rPr>
          <w:rFonts w:ascii="Cambria" w:hAnsi="Cambria"/>
          <w:sz w:val="20"/>
          <w:szCs w:val="20"/>
        </w:rPr>
        <w:t xml:space="preserve">(PME) </w:t>
      </w:r>
      <w:r w:rsidRPr="005756CE">
        <w:rPr>
          <w:rFonts w:ascii="Cambria" w:hAnsi="Cambria"/>
          <w:sz w:val="20"/>
          <w:szCs w:val="20"/>
        </w:rPr>
        <w:t>(soit 1.271 t pour le stock de l'Est et 1.030 t pour le stock de l'Ouest), la Commission devra examiner la mise en œuvre et l'efficacité de cette Recommandation. Les prises totales sont indiquées ci-dessous</w:t>
      </w:r>
      <w:r w:rsidR="00C82D41" w:rsidRPr="005756CE">
        <w:rPr>
          <w:rFonts w:ascii="Cambria" w:hAnsi="Cambria"/>
          <w:sz w:val="20"/>
          <w:szCs w:val="20"/>
        </w:rPr>
        <w:t> :</w:t>
      </w:r>
    </w:p>
    <w:p w14:paraId="43334E12" w14:textId="77777777" w:rsidR="00356084" w:rsidRPr="005756CE" w:rsidRDefault="00356084"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2246E9B9" w14:textId="77777777" w:rsidR="00356084" w:rsidRPr="005756CE" w:rsidRDefault="00356084"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 xml:space="preserve">Données de tâche 1 (incluant les estimations du SCRS) : </w:t>
      </w:r>
    </w:p>
    <w:p w14:paraId="1581283D" w14:textId="77777777" w:rsidR="00356084" w:rsidRPr="005756CE" w:rsidRDefault="00356084"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05"/>
        <w:gridCol w:w="994"/>
        <w:gridCol w:w="993"/>
        <w:gridCol w:w="993"/>
        <w:gridCol w:w="993"/>
        <w:gridCol w:w="993"/>
        <w:gridCol w:w="993"/>
        <w:gridCol w:w="993"/>
        <w:gridCol w:w="993"/>
      </w:tblGrid>
      <w:tr w:rsidR="00A83FF9" w:rsidRPr="005756CE" w14:paraId="3B125CF7" w14:textId="77777777" w:rsidTr="0025201E">
        <w:tc>
          <w:tcPr>
            <w:tcW w:w="751" w:type="pct"/>
            <w:shd w:val="clear" w:color="auto" w:fill="FFFFFF"/>
            <w:vAlign w:val="center"/>
            <w:hideMark/>
          </w:tcPr>
          <w:p w14:paraId="753F8C5D" w14:textId="77777777" w:rsidR="00A83FF9" w:rsidRPr="005756CE" w:rsidRDefault="00A83FF9" w:rsidP="001E71F8">
            <w:pPr>
              <w:spacing w:line="240" w:lineRule="auto"/>
              <w:jc w:val="center"/>
              <w:rPr>
                <w:rFonts w:ascii="Cambria" w:hAnsi="Cambria"/>
                <w:i/>
                <w:iCs/>
                <w:sz w:val="20"/>
                <w:szCs w:val="20"/>
              </w:rPr>
            </w:pPr>
            <w:r w:rsidRPr="005756CE">
              <w:rPr>
                <w:rFonts w:ascii="Cambria" w:hAnsi="Cambria"/>
                <w:i/>
                <w:sz w:val="20"/>
                <w:szCs w:val="20"/>
              </w:rPr>
              <w:t>Voilier</w:t>
            </w:r>
          </w:p>
        </w:tc>
        <w:tc>
          <w:tcPr>
            <w:tcW w:w="531" w:type="pct"/>
            <w:shd w:val="clear" w:color="auto" w:fill="FFFFFF"/>
            <w:vAlign w:val="center"/>
            <w:hideMark/>
          </w:tcPr>
          <w:p w14:paraId="21F8B3B6" w14:textId="77777777" w:rsidR="00A83FF9" w:rsidRPr="005756CE" w:rsidRDefault="00A83FF9" w:rsidP="001E71F8">
            <w:pPr>
              <w:spacing w:line="240" w:lineRule="auto"/>
              <w:jc w:val="center"/>
              <w:rPr>
                <w:rFonts w:ascii="Cambria" w:hAnsi="Cambria"/>
                <w:i/>
                <w:iCs/>
                <w:sz w:val="20"/>
                <w:szCs w:val="20"/>
              </w:rPr>
            </w:pPr>
            <w:r w:rsidRPr="005756CE">
              <w:rPr>
                <w:rFonts w:ascii="Cambria" w:hAnsi="Cambria"/>
                <w:i/>
                <w:sz w:val="20"/>
                <w:szCs w:val="20"/>
              </w:rPr>
              <w:t>2017</w:t>
            </w:r>
          </w:p>
        </w:tc>
        <w:tc>
          <w:tcPr>
            <w:tcW w:w="531" w:type="pct"/>
            <w:shd w:val="clear" w:color="auto" w:fill="FFFFFF"/>
            <w:vAlign w:val="center"/>
            <w:hideMark/>
          </w:tcPr>
          <w:p w14:paraId="5D13248F" w14:textId="77777777" w:rsidR="00A83FF9" w:rsidRPr="005756CE" w:rsidRDefault="00A83FF9" w:rsidP="001E71F8">
            <w:pPr>
              <w:spacing w:line="240" w:lineRule="auto"/>
              <w:jc w:val="center"/>
              <w:rPr>
                <w:rFonts w:ascii="Cambria" w:hAnsi="Cambria"/>
                <w:i/>
                <w:iCs/>
                <w:sz w:val="20"/>
                <w:szCs w:val="20"/>
              </w:rPr>
            </w:pPr>
            <w:r w:rsidRPr="005756CE">
              <w:rPr>
                <w:rFonts w:ascii="Cambria" w:hAnsi="Cambria"/>
                <w:i/>
                <w:sz w:val="20"/>
                <w:szCs w:val="20"/>
              </w:rPr>
              <w:t>2018</w:t>
            </w:r>
          </w:p>
        </w:tc>
        <w:tc>
          <w:tcPr>
            <w:tcW w:w="531" w:type="pct"/>
            <w:shd w:val="clear" w:color="auto" w:fill="FFFFFF"/>
            <w:vAlign w:val="center"/>
            <w:hideMark/>
          </w:tcPr>
          <w:p w14:paraId="426E5AD0" w14:textId="77777777" w:rsidR="00A83FF9" w:rsidRPr="005756CE" w:rsidRDefault="00A83FF9" w:rsidP="001E71F8">
            <w:pPr>
              <w:spacing w:line="240" w:lineRule="auto"/>
              <w:jc w:val="center"/>
              <w:rPr>
                <w:rFonts w:ascii="Cambria" w:hAnsi="Cambria"/>
                <w:i/>
                <w:iCs/>
                <w:sz w:val="20"/>
                <w:szCs w:val="20"/>
              </w:rPr>
            </w:pPr>
            <w:r w:rsidRPr="005756CE">
              <w:rPr>
                <w:rFonts w:ascii="Cambria" w:hAnsi="Cambria"/>
                <w:i/>
                <w:sz w:val="20"/>
                <w:szCs w:val="20"/>
              </w:rPr>
              <w:t>2019</w:t>
            </w:r>
          </w:p>
        </w:tc>
        <w:tc>
          <w:tcPr>
            <w:tcW w:w="531" w:type="pct"/>
            <w:shd w:val="clear" w:color="auto" w:fill="FFFFFF"/>
            <w:vAlign w:val="center"/>
            <w:hideMark/>
          </w:tcPr>
          <w:p w14:paraId="1E9EC7BD" w14:textId="77777777" w:rsidR="00A83FF9" w:rsidRPr="005756CE" w:rsidRDefault="00A83FF9" w:rsidP="001E71F8">
            <w:pPr>
              <w:spacing w:line="240" w:lineRule="auto"/>
              <w:jc w:val="center"/>
              <w:rPr>
                <w:rFonts w:ascii="Cambria" w:hAnsi="Cambria"/>
                <w:i/>
                <w:iCs/>
                <w:sz w:val="20"/>
                <w:szCs w:val="20"/>
              </w:rPr>
            </w:pPr>
            <w:r w:rsidRPr="005756CE">
              <w:rPr>
                <w:rFonts w:ascii="Cambria" w:hAnsi="Cambria"/>
                <w:i/>
                <w:sz w:val="20"/>
                <w:szCs w:val="20"/>
              </w:rPr>
              <w:t>2020</w:t>
            </w:r>
          </w:p>
        </w:tc>
        <w:tc>
          <w:tcPr>
            <w:tcW w:w="531" w:type="pct"/>
            <w:shd w:val="clear" w:color="auto" w:fill="FFFFFF"/>
          </w:tcPr>
          <w:p w14:paraId="4C615FE5" w14:textId="77777777" w:rsidR="00A83FF9" w:rsidRPr="005756CE" w:rsidRDefault="00A83FF9" w:rsidP="001E71F8">
            <w:pPr>
              <w:spacing w:line="240" w:lineRule="auto"/>
              <w:jc w:val="center"/>
              <w:rPr>
                <w:rFonts w:ascii="Cambria" w:hAnsi="Cambria"/>
                <w:i/>
                <w:iCs/>
                <w:sz w:val="20"/>
                <w:szCs w:val="20"/>
              </w:rPr>
            </w:pPr>
            <w:r w:rsidRPr="005756CE">
              <w:rPr>
                <w:rFonts w:ascii="Cambria" w:hAnsi="Cambria"/>
                <w:i/>
                <w:sz w:val="20"/>
                <w:szCs w:val="20"/>
              </w:rPr>
              <w:t>2021</w:t>
            </w:r>
          </w:p>
        </w:tc>
        <w:tc>
          <w:tcPr>
            <w:tcW w:w="531" w:type="pct"/>
            <w:shd w:val="clear" w:color="auto" w:fill="FFFFFF"/>
          </w:tcPr>
          <w:p w14:paraId="4EA8C3E9" w14:textId="77777777" w:rsidR="00A83FF9" w:rsidRPr="005756CE" w:rsidRDefault="00A83FF9" w:rsidP="001E71F8">
            <w:pPr>
              <w:spacing w:line="240" w:lineRule="auto"/>
              <w:jc w:val="center"/>
              <w:rPr>
                <w:rFonts w:ascii="Cambria" w:hAnsi="Cambria"/>
                <w:i/>
                <w:iCs/>
                <w:sz w:val="20"/>
                <w:szCs w:val="20"/>
              </w:rPr>
            </w:pPr>
            <w:r w:rsidRPr="005756CE">
              <w:rPr>
                <w:rFonts w:ascii="Cambria" w:hAnsi="Cambria"/>
                <w:i/>
                <w:sz w:val="20"/>
                <w:szCs w:val="20"/>
              </w:rPr>
              <w:t>2022</w:t>
            </w:r>
          </w:p>
        </w:tc>
        <w:tc>
          <w:tcPr>
            <w:tcW w:w="531" w:type="pct"/>
            <w:shd w:val="clear" w:color="auto" w:fill="FFFFFF"/>
          </w:tcPr>
          <w:p w14:paraId="3B7094D1" w14:textId="77777777" w:rsidR="00A83FF9" w:rsidRPr="005756CE" w:rsidRDefault="00A83FF9" w:rsidP="001E71F8">
            <w:pPr>
              <w:spacing w:line="240" w:lineRule="auto"/>
              <w:jc w:val="center"/>
              <w:rPr>
                <w:rFonts w:ascii="Cambria" w:hAnsi="Cambria"/>
                <w:i/>
                <w:iCs/>
                <w:sz w:val="20"/>
                <w:szCs w:val="20"/>
              </w:rPr>
            </w:pPr>
            <w:r w:rsidRPr="005756CE">
              <w:rPr>
                <w:rFonts w:ascii="Cambria" w:hAnsi="Cambria"/>
                <w:i/>
                <w:sz w:val="20"/>
                <w:szCs w:val="20"/>
              </w:rPr>
              <w:t>2023</w:t>
            </w:r>
          </w:p>
        </w:tc>
        <w:tc>
          <w:tcPr>
            <w:tcW w:w="531" w:type="pct"/>
            <w:shd w:val="clear" w:color="auto" w:fill="FFFFFF"/>
          </w:tcPr>
          <w:p w14:paraId="6909E13A" w14:textId="77777777" w:rsidR="00A83FF9" w:rsidRPr="005756CE" w:rsidRDefault="00A83FF9" w:rsidP="001E71F8">
            <w:pPr>
              <w:spacing w:line="240" w:lineRule="auto"/>
              <w:jc w:val="center"/>
              <w:rPr>
                <w:rFonts w:ascii="Cambria" w:hAnsi="Cambria"/>
                <w:i/>
                <w:iCs/>
                <w:sz w:val="20"/>
                <w:szCs w:val="20"/>
              </w:rPr>
            </w:pPr>
            <w:r w:rsidRPr="005756CE">
              <w:rPr>
                <w:rFonts w:ascii="Cambria" w:hAnsi="Cambria"/>
                <w:i/>
                <w:sz w:val="20"/>
                <w:szCs w:val="20"/>
              </w:rPr>
              <w:t>2024</w:t>
            </w:r>
          </w:p>
        </w:tc>
      </w:tr>
      <w:tr w:rsidR="00A83FF9" w:rsidRPr="005756CE" w14:paraId="387AB790" w14:textId="77777777" w:rsidTr="0025201E">
        <w:tc>
          <w:tcPr>
            <w:tcW w:w="751" w:type="pct"/>
            <w:shd w:val="clear" w:color="auto" w:fill="FFFFFF"/>
            <w:vAlign w:val="center"/>
            <w:hideMark/>
          </w:tcPr>
          <w:p w14:paraId="4A8542FA" w14:textId="77777777" w:rsidR="00A83FF9" w:rsidRPr="005756CE" w:rsidRDefault="00A83FF9" w:rsidP="001E71F8">
            <w:pPr>
              <w:spacing w:line="240" w:lineRule="auto"/>
              <w:jc w:val="center"/>
              <w:rPr>
                <w:rFonts w:ascii="Cambria" w:hAnsi="Cambria"/>
                <w:color w:val="000000"/>
                <w:sz w:val="20"/>
                <w:szCs w:val="20"/>
              </w:rPr>
            </w:pPr>
            <w:r w:rsidRPr="005756CE">
              <w:rPr>
                <w:rFonts w:ascii="Cambria" w:hAnsi="Cambria"/>
                <w:color w:val="000000"/>
                <w:sz w:val="20"/>
                <w:szCs w:val="20"/>
              </w:rPr>
              <w:t>ATE</w:t>
            </w:r>
          </w:p>
        </w:tc>
        <w:tc>
          <w:tcPr>
            <w:tcW w:w="531" w:type="pct"/>
            <w:shd w:val="clear" w:color="auto" w:fill="FFFFFF"/>
            <w:hideMark/>
          </w:tcPr>
          <w:p w14:paraId="75674317" w14:textId="77777777" w:rsidR="00A83FF9" w:rsidRPr="005756CE" w:rsidRDefault="00A83FF9" w:rsidP="001E71F8">
            <w:pPr>
              <w:spacing w:line="240" w:lineRule="auto"/>
              <w:jc w:val="center"/>
              <w:rPr>
                <w:rFonts w:ascii="Cambria" w:hAnsi="Cambria"/>
                <w:sz w:val="20"/>
                <w:szCs w:val="20"/>
              </w:rPr>
            </w:pPr>
            <w:r w:rsidRPr="005756CE">
              <w:rPr>
                <w:rFonts w:ascii="Cambria" w:hAnsi="Cambria"/>
                <w:sz w:val="20"/>
                <w:szCs w:val="20"/>
              </w:rPr>
              <w:t>1650</w:t>
            </w:r>
          </w:p>
        </w:tc>
        <w:tc>
          <w:tcPr>
            <w:tcW w:w="531" w:type="pct"/>
            <w:shd w:val="clear" w:color="auto" w:fill="FFFFFF"/>
            <w:hideMark/>
          </w:tcPr>
          <w:p w14:paraId="1585B422" w14:textId="77777777" w:rsidR="00A83FF9" w:rsidRPr="005756CE" w:rsidRDefault="00A83FF9" w:rsidP="001E71F8">
            <w:pPr>
              <w:spacing w:line="240" w:lineRule="auto"/>
              <w:jc w:val="center"/>
              <w:rPr>
                <w:rFonts w:ascii="Cambria" w:hAnsi="Cambria"/>
                <w:sz w:val="20"/>
                <w:szCs w:val="20"/>
              </w:rPr>
            </w:pPr>
            <w:r w:rsidRPr="005756CE">
              <w:rPr>
                <w:rFonts w:ascii="Cambria" w:hAnsi="Cambria"/>
                <w:sz w:val="20"/>
                <w:szCs w:val="20"/>
              </w:rPr>
              <w:t>962</w:t>
            </w:r>
          </w:p>
        </w:tc>
        <w:tc>
          <w:tcPr>
            <w:tcW w:w="531" w:type="pct"/>
            <w:shd w:val="clear" w:color="auto" w:fill="FFFFFF"/>
            <w:hideMark/>
          </w:tcPr>
          <w:p w14:paraId="455C29AF" w14:textId="77777777" w:rsidR="00A83FF9" w:rsidRPr="005756CE" w:rsidRDefault="00A83FF9" w:rsidP="001E71F8">
            <w:pPr>
              <w:spacing w:line="240" w:lineRule="auto"/>
              <w:jc w:val="center"/>
              <w:rPr>
                <w:rFonts w:ascii="Cambria" w:hAnsi="Cambria"/>
                <w:sz w:val="20"/>
                <w:szCs w:val="20"/>
              </w:rPr>
            </w:pPr>
            <w:r w:rsidRPr="005756CE">
              <w:rPr>
                <w:rFonts w:ascii="Cambria" w:hAnsi="Cambria"/>
                <w:sz w:val="20"/>
                <w:szCs w:val="20"/>
              </w:rPr>
              <w:t>2270</w:t>
            </w:r>
          </w:p>
        </w:tc>
        <w:tc>
          <w:tcPr>
            <w:tcW w:w="531" w:type="pct"/>
            <w:shd w:val="clear" w:color="auto" w:fill="FFFFFF"/>
            <w:hideMark/>
          </w:tcPr>
          <w:p w14:paraId="7BB7F44A" w14:textId="77777777" w:rsidR="00A83FF9" w:rsidRPr="005756CE" w:rsidRDefault="00A83FF9" w:rsidP="001E71F8">
            <w:pPr>
              <w:spacing w:line="240" w:lineRule="auto"/>
              <w:jc w:val="center"/>
              <w:rPr>
                <w:rFonts w:ascii="Cambria" w:hAnsi="Cambria"/>
                <w:sz w:val="20"/>
                <w:szCs w:val="20"/>
              </w:rPr>
            </w:pPr>
            <w:r w:rsidRPr="005756CE">
              <w:rPr>
                <w:rFonts w:ascii="Cambria" w:hAnsi="Cambria"/>
                <w:sz w:val="20"/>
                <w:szCs w:val="20"/>
              </w:rPr>
              <w:t>1218</w:t>
            </w:r>
          </w:p>
        </w:tc>
        <w:tc>
          <w:tcPr>
            <w:tcW w:w="531" w:type="pct"/>
            <w:shd w:val="clear" w:color="auto" w:fill="FFFFFF"/>
          </w:tcPr>
          <w:p w14:paraId="5B23B34B" w14:textId="77777777" w:rsidR="00A83FF9" w:rsidRPr="005756CE" w:rsidRDefault="00A83FF9" w:rsidP="001E71F8">
            <w:pPr>
              <w:spacing w:line="240" w:lineRule="auto"/>
              <w:jc w:val="center"/>
              <w:rPr>
                <w:rFonts w:ascii="Cambria" w:hAnsi="Cambria"/>
                <w:sz w:val="20"/>
                <w:szCs w:val="20"/>
              </w:rPr>
            </w:pPr>
            <w:r w:rsidRPr="005756CE">
              <w:rPr>
                <w:rFonts w:ascii="Cambria" w:hAnsi="Cambria"/>
                <w:sz w:val="20"/>
                <w:szCs w:val="20"/>
              </w:rPr>
              <w:t>1733</w:t>
            </w:r>
          </w:p>
        </w:tc>
        <w:tc>
          <w:tcPr>
            <w:tcW w:w="531" w:type="pct"/>
            <w:shd w:val="clear" w:color="auto" w:fill="FFFFFF"/>
          </w:tcPr>
          <w:p w14:paraId="03A21A31" w14:textId="77777777" w:rsidR="00A83FF9" w:rsidRPr="005756CE" w:rsidRDefault="00A83FF9" w:rsidP="001E71F8">
            <w:pPr>
              <w:spacing w:line="240" w:lineRule="auto"/>
              <w:jc w:val="center"/>
              <w:rPr>
                <w:rFonts w:ascii="Cambria" w:hAnsi="Cambria"/>
                <w:color w:val="FF0000"/>
                <w:sz w:val="20"/>
                <w:szCs w:val="20"/>
              </w:rPr>
            </w:pPr>
            <w:r w:rsidRPr="005756CE">
              <w:rPr>
                <w:rFonts w:ascii="Cambria" w:hAnsi="Cambria"/>
                <w:sz w:val="20"/>
                <w:szCs w:val="20"/>
              </w:rPr>
              <w:t>1183</w:t>
            </w:r>
          </w:p>
        </w:tc>
        <w:tc>
          <w:tcPr>
            <w:tcW w:w="531" w:type="pct"/>
            <w:shd w:val="clear" w:color="auto" w:fill="FFFFFF"/>
          </w:tcPr>
          <w:p w14:paraId="7CD38A63" w14:textId="77777777" w:rsidR="00A83FF9" w:rsidRPr="005756CE" w:rsidRDefault="00A83FF9" w:rsidP="001E71F8">
            <w:pPr>
              <w:spacing w:line="240" w:lineRule="auto"/>
              <w:jc w:val="center"/>
              <w:rPr>
                <w:rFonts w:ascii="Cambria" w:hAnsi="Cambria"/>
                <w:sz w:val="20"/>
                <w:szCs w:val="20"/>
              </w:rPr>
            </w:pPr>
            <w:r w:rsidRPr="005756CE">
              <w:rPr>
                <w:rFonts w:ascii="Cambria" w:hAnsi="Cambria"/>
                <w:sz w:val="20"/>
                <w:szCs w:val="20"/>
              </w:rPr>
              <w:t>1084</w:t>
            </w:r>
          </w:p>
        </w:tc>
        <w:tc>
          <w:tcPr>
            <w:tcW w:w="531" w:type="pct"/>
            <w:shd w:val="clear" w:color="auto" w:fill="FFFFFF"/>
          </w:tcPr>
          <w:p w14:paraId="5A70E7D5" w14:textId="77777777" w:rsidR="00A83FF9" w:rsidRPr="005756CE" w:rsidRDefault="00A83FF9" w:rsidP="001E71F8">
            <w:pPr>
              <w:spacing w:line="240" w:lineRule="auto"/>
              <w:jc w:val="center"/>
              <w:rPr>
                <w:rFonts w:ascii="Cambria" w:hAnsi="Cambria"/>
                <w:sz w:val="20"/>
                <w:szCs w:val="20"/>
              </w:rPr>
            </w:pPr>
            <w:r w:rsidRPr="005756CE">
              <w:rPr>
                <w:rFonts w:ascii="Cambria" w:hAnsi="Cambria"/>
                <w:sz w:val="20"/>
                <w:szCs w:val="20"/>
              </w:rPr>
              <w:t>1254</w:t>
            </w:r>
          </w:p>
        </w:tc>
      </w:tr>
      <w:tr w:rsidR="00A83FF9" w:rsidRPr="005756CE" w14:paraId="6F890F50" w14:textId="77777777" w:rsidTr="0025201E">
        <w:tc>
          <w:tcPr>
            <w:tcW w:w="751" w:type="pct"/>
            <w:shd w:val="clear" w:color="auto" w:fill="FFFFFF"/>
            <w:vAlign w:val="center"/>
            <w:hideMark/>
          </w:tcPr>
          <w:p w14:paraId="56E0D957" w14:textId="77777777" w:rsidR="00A83FF9" w:rsidRPr="005756CE" w:rsidRDefault="00A83FF9" w:rsidP="001E71F8">
            <w:pPr>
              <w:spacing w:line="240" w:lineRule="auto"/>
              <w:jc w:val="center"/>
              <w:rPr>
                <w:rFonts w:ascii="Cambria" w:hAnsi="Cambria"/>
                <w:color w:val="000000"/>
                <w:sz w:val="20"/>
                <w:szCs w:val="20"/>
              </w:rPr>
            </w:pPr>
            <w:r w:rsidRPr="005756CE">
              <w:rPr>
                <w:rFonts w:ascii="Cambria" w:hAnsi="Cambria"/>
                <w:color w:val="000000"/>
                <w:sz w:val="20"/>
                <w:szCs w:val="20"/>
              </w:rPr>
              <w:t>ATW</w:t>
            </w:r>
          </w:p>
        </w:tc>
        <w:tc>
          <w:tcPr>
            <w:tcW w:w="531" w:type="pct"/>
            <w:shd w:val="clear" w:color="auto" w:fill="FFFFFF"/>
            <w:hideMark/>
          </w:tcPr>
          <w:p w14:paraId="0AFECA22" w14:textId="77777777" w:rsidR="00A83FF9" w:rsidRPr="005756CE" w:rsidRDefault="00A83FF9" w:rsidP="001E71F8">
            <w:pPr>
              <w:spacing w:line="240" w:lineRule="auto"/>
              <w:jc w:val="center"/>
              <w:rPr>
                <w:rFonts w:ascii="Cambria" w:hAnsi="Cambria"/>
                <w:sz w:val="20"/>
                <w:szCs w:val="20"/>
              </w:rPr>
            </w:pPr>
            <w:r w:rsidRPr="005756CE">
              <w:rPr>
                <w:rFonts w:ascii="Cambria" w:hAnsi="Cambria"/>
                <w:sz w:val="20"/>
                <w:szCs w:val="20"/>
              </w:rPr>
              <w:t>1967</w:t>
            </w:r>
          </w:p>
        </w:tc>
        <w:tc>
          <w:tcPr>
            <w:tcW w:w="531" w:type="pct"/>
            <w:shd w:val="clear" w:color="auto" w:fill="FFFFFF"/>
            <w:hideMark/>
          </w:tcPr>
          <w:p w14:paraId="6B9D2090" w14:textId="77777777" w:rsidR="00A83FF9" w:rsidRPr="005756CE" w:rsidRDefault="00A83FF9" w:rsidP="001E71F8">
            <w:pPr>
              <w:spacing w:line="240" w:lineRule="auto"/>
              <w:jc w:val="center"/>
              <w:rPr>
                <w:rFonts w:ascii="Cambria" w:hAnsi="Cambria"/>
                <w:sz w:val="20"/>
                <w:szCs w:val="20"/>
              </w:rPr>
            </w:pPr>
            <w:r w:rsidRPr="005756CE">
              <w:rPr>
                <w:rFonts w:ascii="Cambria" w:hAnsi="Cambria"/>
                <w:sz w:val="20"/>
                <w:szCs w:val="20"/>
              </w:rPr>
              <w:t>1955</w:t>
            </w:r>
          </w:p>
        </w:tc>
        <w:tc>
          <w:tcPr>
            <w:tcW w:w="531" w:type="pct"/>
            <w:shd w:val="clear" w:color="auto" w:fill="FFFFFF"/>
            <w:hideMark/>
          </w:tcPr>
          <w:p w14:paraId="05F72695" w14:textId="77777777" w:rsidR="00A83FF9" w:rsidRPr="005756CE" w:rsidRDefault="00A83FF9" w:rsidP="001E71F8">
            <w:pPr>
              <w:spacing w:line="240" w:lineRule="auto"/>
              <w:jc w:val="center"/>
              <w:rPr>
                <w:rFonts w:ascii="Cambria" w:hAnsi="Cambria"/>
                <w:sz w:val="20"/>
                <w:szCs w:val="20"/>
              </w:rPr>
            </w:pPr>
            <w:r w:rsidRPr="005756CE">
              <w:rPr>
                <w:rFonts w:ascii="Cambria" w:hAnsi="Cambria"/>
                <w:sz w:val="20"/>
                <w:szCs w:val="20"/>
              </w:rPr>
              <w:t>1624</w:t>
            </w:r>
          </w:p>
        </w:tc>
        <w:tc>
          <w:tcPr>
            <w:tcW w:w="531" w:type="pct"/>
            <w:shd w:val="clear" w:color="auto" w:fill="FFFFFF"/>
            <w:hideMark/>
          </w:tcPr>
          <w:p w14:paraId="758FD5C0" w14:textId="77777777" w:rsidR="00A83FF9" w:rsidRPr="005756CE" w:rsidRDefault="00A83FF9" w:rsidP="001E71F8">
            <w:pPr>
              <w:spacing w:line="240" w:lineRule="auto"/>
              <w:jc w:val="center"/>
              <w:rPr>
                <w:rFonts w:ascii="Cambria" w:hAnsi="Cambria"/>
                <w:sz w:val="20"/>
                <w:szCs w:val="20"/>
              </w:rPr>
            </w:pPr>
            <w:r w:rsidRPr="005756CE">
              <w:rPr>
                <w:rFonts w:ascii="Cambria" w:hAnsi="Cambria"/>
                <w:sz w:val="20"/>
                <w:szCs w:val="20"/>
              </w:rPr>
              <w:t>1391</w:t>
            </w:r>
          </w:p>
        </w:tc>
        <w:tc>
          <w:tcPr>
            <w:tcW w:w="531" w:type="pct"/>
            <w:shd w:val="clear" w:color="auto" w:fill="FFFFFF"/>
          </w:tcPr>
          <w:p w14:paraId="2A082CB9" w14:textId="77777777" w:rsidR="00A83FF9" w:rsidRPr="005756CE" w:rsidRDefault="00A83FF9" w:rsidP="001E71F8">
            <w:pPr>
              <w:spacing w:line="240" w:lineRule="auto"/>
              <w:jc w:val="center"/>
              <w:rPr>
                <w:rFonts w:ascii="Cambria" w:hAnsi="Cambria"/>
                <w:sz w:val="20"/>
                <w:szCs w:val="20"/>
              </w:rPr>
            </w:pPr>
            <w:r w:rsidRPr="005756CE">
              <w:rPr>
                <w:rFonts w:ascii="Cambria" w:hAnsi="Cambria"/>
                <w:sz w:val="20"/>
                <w:szCs w:val="20"/>
              </w:rPr>
              <w:t>934</w:t>
            </w:r>
          </w:p>
        </w:tc>
        <w:tc>
          <w:tcPr>
            <w:tcW w:w="531" w:type="pct"/>
            <w:shd w:val="clear" w:color="auto" w:fill="FFFFFF"/>
          </w:tcPr>
          <w:p w14:paraId="16A8865B" w14:textId="77777777" w:rsidR="00A83FF9" w:rsidRPr="005756CE" w:rsidRDefault="00A83FF9" w:rsidP="001E71F8">
            <w:pPr>
              <w:spacing w:line="240" w:lineRule="auto"/>
              <w:jc w:val="center"/>
              <w:rPr>
                <w:rFonts w:ascii="Cambria" w:hAnsi="Cambria"/>
                <w:sz w:val="20"/>
                <w:szCs w:val="20"/>
              </w:rPr>
            </w:pPr>
            <w:r w:rsidRPr="005756CE">
              <w:rPr>
                <w:rFonts w:ascii="Cambria" w:hAnsi="Cambria"/>
                <w:sz w:val="20"/>
                <w:szCs w:val="20"/>
              </w:rPr>
              <w:t>1095</w:t>
            </w:r>
          </w:p>
        </w:tc>
        <w:tc>
          <w:tcPr>
            <w:tcW w:w="531" w:type="pct"/>
            <w:shd w:val="clear" w:color="auto" w:fill="FFFFFF"/>
          </w:tcPr>
          <w:p w14:paraId="5A372008" w14:textId="77777777" w:rsidR="00A83FF9" w:rsidRPr="005756CE" w:rsidRDefault="00A83FF9" w:rsidP="001E71F8">
            <w:pPr>
              <w:spacing w:line="240" w:lineRule="auto"/>
              <w:jc w:val="center"/>
              <w:rPr>
                <w:rFonts w:ascii="Cambria" w:hAnsi="Cambria"/>
                <w:sz w:val="20"/>
                <w:szCs w:val="20"/>
              </w:rPr>
            </w:pPr>
            <w:r w:rsidRPr="005756CE">
              <w:rPr>
                <w:rFonts w:ascii="Cambria" w:hAnsi="Cambria"/>
                <w:sz w:val="20"/>
                <w:szCs w:val="20"/>
              </w:rPr>
              <w:t>1267</w:t>
            </w:r>
          </w:p>
        </w:tc>
        <w:tc>
          <w:tcPr>
            <w:tcW w:w="531" w:type="pct"/>
            <w:shd w:val="clear" w:color="auto" w:fill="FFFFFF"/>
          </w:tcPr>
          <w:p w14:paraId="0FD4BDFB" w14:textId="77777777" w:rsidR="00A83FF9" w:rsidRPr="005756CE" w:rsidRDefault="00A83FF9" w:rsidP="001E71F8">
            <w:pPr>
              <w:spacing w:line="240" w:lineRule="auto"/>
              <w:jc w:val="center"/>
              <w:rPr>
                <w:rFonts w:ascii="Cambria" w:hAnsi="Cambria"/>
                <w:sz w:val="20"/>
                <w:szCs w:val="20"/>
              </w:rPr>
            </w:pPr>
            <w:r w:rsidRPr="005756CE">
              <w:rPr>
                <w:rFonts w:ascii="Cambria" w:hAnsi="Cambria"/>
                <w:sz w:val="20"/>
                <w:szCs w:val="20"/>
              </w:rPr>
              <w:t>1287</w:t>
            </w:r>
          </w:p>
        </w:tc>
      </w:tr>
    </w:tbl>
    <w:p w14:paraId="6E5A945B" w14:textId="75BD2BA0" w:rsidR="00356084" w:rsidRPr="005756CE" w:rsidRDefault="00356084"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0AB8D203" w14:textId="5093294B" w:rsidR="00083559" w:rsidRPr="005756CE" w:rsidRDefault="00083559" w:rsidP="001E71F8">
      <w:pPr>
        <w:spacing w:line="240" w:lineRule="auto"/>
        <w:rPr>
          <w:rFonts w:ascii="Cambria" w:hAnsi="Cambria"/>
          <w:sz w:val="20"/>
          <w:szCs w:val="20"/>
        </w:rPr>
      </w:pPr>
      <w:r w:rsidRPr="005756CE">
        <w:rPr>
          <w:rFonts w:ascii="Cambria" w:hAnsi="Cambria"/>
          <w:sz w:val="20"/>
          <w:szCs w:val="20"/>
        </w:rPr>
        <w:t>Données de la tâche 1 (données déclarées uniquement</w:t>
      </w:r>
      <w:r w:rsidR="009A2294" w:rsidRPr="005756CE">
        <w:rPr>
          <w:rFonts w:ascii="Cambria" w:hAnsi="Cambria"/>
          <w:sz w:val="20"/>
          <w:szCs w:val="20"/>
        </w:rPr>
        <w:t>) :</w:t>
      </w:r>
    </w:p>
    <w:p w14:paraId="6F5D7416" w14:textId="77777777" w:rsidR="00083559" w:rsidRPr="005756CE" w:rsidRDefault="00083559" w:rsidP="001E71F8">
      <w:pPr>
        <w:spacing w:line="240" w:lineRule="auto"/>
        <w:jc w:val="center"/>
        <w:rPr>
          <w:rFonts w:ascii="Cambria" w:hAnsi="Cambria"/>
          <w:b/>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05"/>
        <w:gridCol w:w="994"/>
        <w:gridCol w:w="993"/>
        <w:gridCol w:w="993"/>
        <w:gridCol w:w="993"/>
        <w:gridCol w:w="993"/>
        <w:gridCol w:w="993"/>
        <w:gridCol w:w="993"/>
        <w:gridCol w:w="993"/>
      </w:tblGrid>
      <w:tr w:rsidR="00083559" w:rsidRPr="005756CE" w14:paraId="4EC20351" w14:textId="77777777" w:rsidTr="0025201E">
        <w:tc>
          <w:tcPr>
            <w:tcW w:w="751" w:type="pct"/>
            <w:shd w:val="clear" w:color="auto" w:fill="FFFFFF"/>
            <w:vAlign w:val="center"/>
            <w:hideMark/>
          </w:tcPr>
          <w:p w14:paraId="6F3B5644" w14:textId="77777777" w:rsidR="00083559" w:rsidRPr="005756CE" w:rsidRDefault="00083559" w:rsidP="001E71F8">
            <w:pPr>
              <w:spacing w:line="240" w:lineRule="auto"/>
              <w:jc w:val="center"/>
              <w:rPr>
                <w:rFonts w:ascii="Cambria" w:hAnsi="Cambria"/>
                <w:i/>
                <w:iCs/>
                <w:sz w:val="20"/>
                <w:szCs w:val="20"/>
              </w:rPr>
            </w:pPr>
            <w:r w:rsidRPr="005756CE">
              <w:rPr>
                <w:rFonts w:ascii="Cambria" w:hAnsi="Cambria"/>
                <w:i/>
                <w:sz w:val="20"/>
                <w:szCs w:val="20"/>
              </w:rPr>
              <w:t>Voilier</w:t>
            </w:r>
          </w:p>
        </w:tc>
        <w:tc>
          <w:tcPr>
            <w:tcW w:w="531" w:type="pct"/>
            <w:shd w:val="clear" w:color="auto" w:fill="FFFFFF"/>
            <w:vAlign w:val="center"/>
            <w:hideMark/>
          </w:tcPr>
          <w:p w14:paraId="52696CA8" w14:textId="77777777" w:rsidR="00083559" w:rsidRPr="005756CE" w:rsidRDefault="00083559" w:rsidP="001E71F8">
            <w:pPr>
              <w:spacing w:line="240" w:lineRule="auto"/>
              <w:jc w:val="center"/>
              <w:rPr>
                <w:rFonts w:ascii="Cambria" w:hAnsi="Cambria"/>
                <w:i/>
                <w:iCs/>
                <w:sz w:val="20"/>
                <w:szCs w:val="20"/>
              </w:rPr>
            </w:pPr>
            <w:r w:rsidRPr="005756CE">
              <w:rPr>
                <w:rFonts w:ascii="Cambria" w:hAnsi="Cambria"/>
                <w:i/>
                <w:sz w:val="20"/>
                <w:szCs w:val="20"/>
              </w:rPr>
              <w:t>2017</w:t>
            </w:r>
          </w:p>
        </w:tc>
        <w:tc>
          <w:tcPr>
            <w:tcW w:w="531" w:type="pct"/>
            <w:shd w:val="clear" w:color="auto" w:fill="FFFFFF"/>
            <w:vAlign w:val="center"/>
            <w:hideMark/>
          </w:tcPr>
          <w:p w14:paraId="317A4FE9" w14:textId="77777777" w:rsidR="00083559" w:rsidRPr="005756CE" w:rsidRDefault="00083559" w:rsidP="001E71F8">
            <w:pPr>
              <w:spacing w:line="240" w:lineRule="auto"/>
              <w:jc w:val="center"/>
              <w:rPr>
                <w:rFonts w:ascii="Cambria" w:hAnsi="Cambria"/>
                <w:i/>
                <w:iCs/>
                <w:sz w:val="20"/>
                <w:szCs w:val="20"/>
              </w:rPr>
            </w:pPr>
            <w:r w:rsidRPr="005756CE">
              <w:rPr>
                <w:rFonts w:ascii="Cambria" w:hAnsi="Cambria"/>
                <w:i/>
                <w:sz w:val="20"/>
                <w:szCs w:val="20"/>
              </w:rPr>
              <w:t>2018</w:t>
            </w:r>
          </w:p>
        </w:tc>
        <w:tc>
          <w:tcPr>
            <w:tcW w:w="531" w:type="pct"/>
            <w:shd w:val="clear" w:color="auto" w:fill="FFFFFF"/>
            <w:vAlign w:val="center"/>
            <w:hideMark/>
          </w:tcPr>
          <w:p w14:paraId="3C58602E" w14:textId="77777777" w:rsidR="00083559" w:rsidRPr="005756CE" w:rsidRDefault="00083559" w:rsidP="001E71F8">
            <w:pPr>
              <w:spacing w:line="240" w:lineRule="auto"/>
              <w:jc w:val="center"/>
              <w:rPr>
                <w:rFonts w:ascii="Cambria" w:hAnsi="Cambria"/>
                <w:i/>
                <w:iCs/>
                <w:sz w:val="20"/>
                <w:szCs w:val="20"/>
              </w:rPr>
            </w:pPr>
            <w:r w:rsidRPr="005756CE">
              <w:rPr>
                <w:rFonts w:ascii="Cambria" w:hAnsi="Cambria"/>
                <w:i/>
                <w:sz w:val="20"/>
                <w:szCs w:val="20"/>
              </w:rPr>
              <w:t>2019</w:t>
            </w:r>
          </w:p>
        </w:tc>
        <w:tc>
          <w:tcPr>
            <w:tcW w:w="531" w:type="pct"/>
            <w:shd w:val="clear" w:color="auto" w:fill="FFFFFF"/>
            <w:vAlign w:val="center"/>
            <w:hideMark/>
          </w:tcPr>
          <w:p w14:paraId="256EA9F1" w14:textId="77777777" w:rsidR="00083559" w:rsidRPr="005756CE" w:rsidRDefault="00083559" w:rsidP="001E71F8">
            <w:pPr>
              <w:spacing w:line="240" w:lineRule="auto"/>
              <w:jc w:val="center"/>
              <w:rPr>
                <w:rFonts w:ascii="Cambria" w:hAnsi="Cambria"/>
                <w:i/>
                <w:iCs/>
                <w:sz w:val="20"/>
                <w:szCs w:val="20"/>
              </w:rPr>
            </w:pPr>
            <w:r w:rsidRPr="005756CE">
              <w:rPr>
                <w:rFonts w:ascii="Cambria" w:hAnsi="Cambria"/>
                <w:i/>
                <w:sz w:val="20"/>
                <w:szCs w:val="20"/>
              </w:rPr>
              <w:t>2020</w:t>
            </w:r>
          </w:p>
        </w:tc>
        <w:tc>
          <w:tcPr>
            <w:tcW w:w="531" w:type="pct"/>
            <w:shd w:val="clear" w:color="auto" w:fill="FFFFFF"/>
          </w:tcPr>
          <w:p w14:paraId="217A453D" w14:textId="77777777" w:rsidR="00083559" w:rsidRPr="005756CE" w:rsidRDefault="00083559" w:rsidP="001E71F8">
            <w:pPr>
              <w:spacing w:line="240" w:lineRule="auto"/>
              <w:jc w:val="center"/>
              <w:rPr>
                <w:rFonts w:ascii="Cambria" w:hAnsi="Cambria"/>
                <w:i/>
                <w:iCs/>
                <w:sz w:val="20"/>
                <w:szCs w:val="20"/>
              </w:rPr>
            </w:pPr>
            <w:r w:rsidRPr="005756CE">
              <w:rPr>
                <w:rFonts w:ascii="Cambria" w:hAnsi="Cambria"/>
                <w:i/>
                <w:sz w:val="20"/>
                <w:szCs w:val="20"/>
              </w:rPr>
              <w:t>2021</w:t>
            </w:r>
          </w:p>
        </w:tc>
        <w:tc>
          <w:tcPr>
            <w:tcW w:w="531" w:type="pct"/>
            <w:shd w:val="clear" w:color="auto" w:fill="FFFFFF"/>
          </w:tcPr>
          <w:p w14:paraId="6ABF01F6" w14:textId="77777777" w:rsidR="00083559" w:rsidRPr="005756CE" w:rsidRDefault="00083559" w:rsidP="001E71F8">
            <w:pPr>
              <w:spacing w:line="240" w:lineRule="auto"/>
              <w:jc w:val="center"/>
              <w:rPr>
                <w:rFonts w:ascii="Cambria" w:hAnsi="Cambria"/>
                <w:i/>
                <w:iCs/>
                <w:sz w:val="20"/>
                <w:szCs w:val="20"/>
              </w:rPr>
            </w:pPr>
            <w:r w:rsidRPr="005756CE">
              <w:rPr>
                <w:rFonts w:ascii="Cambria" w:hAnsi="Cambria"/>
                <w:i/>
                <w:sz w:val="20"/>
                <w:szCs w:val="20"/>
              </w:rPr>
              <w:t>2022</w:t>
            </w:r>
          </w:p>
        </w:tc>
        <w:tc>
          <w:tcPr>
            <w:tcW w:w="531" w:type="pct"/>
            <w:shd w:val="clear" w:color="auto" w:fill="FFFFFF"/>
          </w:tcPr>
          <w:p w14:paraId="3CBB1B2D" w14:textId="77777777" w:rsidR="00083559" w:rsidRPr="005756CE" w:rsidRDefault="00083559" w:rsidP="001E71F8">
            <w:pPr>
              <w:spacing w:line="240" w:lineRule="auto"/>
              <w:jc w:val="center"/>
              <w:rPr>
                <w:rFonts w:ascii="Cambria" w:hAnsi="Cambria"/>
                <w:i/>
                <w:iCs/>
                <w:sz w:val="20"/>
                <w:szCs w:val="20"/>
              </w:rPr>
            </w:pPr>
            <w:r w:rsidRPr="005756CE">
              <w:rPr>
                <w:rFonts w:ascii="Cambria" w:hAnsi="Cambria"/>
                <w:i/>
                <w:sz w:val="20"/>
                <w:szCs w:val="20"/>
              </w:rPr>
              <w:t>2023</w:t>
            </w:r>
          </w:p>
        </w:tc>
        <w:tc>
          <w:tcPr>
            <w:tcW w:w="531" w:type="pct"/>
            <w:shd w:val="clear" w:color="auto" w:fill="FFFFFF"/>
          </w:tcPr>
          <w:p w14:paraId="710E5AE5" w14:textId="77777777" w:rsidR="00083559" w:rsidRPr="005756CE" w:rsidRDefault="00083559" w:rsidP="001E71F8">
            <w:pPr>
              <w:spacing w:line="240" w:lineRule="auto"/>
              <w:jc w:val="center"/>
              <w:rPr>
                <w:rFonts w:ascii="Cambria" w:hAnsi="Cambria"/>
                <w:i/>
                <w:iCs/>
                <w:sz w:val="20"/>
                <w:szCs w:val="20"/>
              </w:rPr>
            </w:pPr>
            <w:r w:rsidRPr="005756CE">
              <w:rPr>
                <w:rFonts w:ascii="Cambria" w:hAnsi="Cambria"/>
                <w:i/>
                <w:sz w:val="20"/>
                <w:szCs w:val="20"/>
              </w:rPr>
              <w:t>2024</w:t>
            </w:r>
          </w:p>
        </w:tc>
      </w:tr>
      <w:tr w:rsidR="00083559" w:rsidRPr="005756CE" w14:paraId="294CDE91" w14:textId="77777777" w:rsidTr="0025201E">
        <w:tc>
          <w:tcPr>
            <w:tcW w:w="751" w:type="pct"/>
            <w:shd w:val="clear" w:color="auto" w:fill="FFFFFF"/>
            <w:vAlign w:val="center"/>
            <w:hideMark/>
          </w:tcPr>
          <w:p w14:paraId="04062BA5" w14:textId="77777777" w:rsidR="00083559" w:rsidRPr="005756CE" w:rsidRDefault="00083559" w:rsidP="001E71F8">
            <w:pPr>
              <w:spacing w:line="240" w:lineRule="auto"/>
              <w:jc w:val="center"/>
              <w:rPr>
                <w:rFonts w:ascii="Cambria" w:hAnsi="Cambria"/>
                <w:color w:val="000000"/>
                <w:sz w:val="20"/>
                <w:szCs w:val="20"/>
              </w:rPr>
            </w:pPr>
            <w:r w:rsidRPr="005756CE">
              <w:rPr>
                <w:rFonts w:ascii="Cambria" w:hAnsi="Cambria"/>
                <w:color w:val="000000"/>
                <w:sz w:val="20"/>
                <w:szCs w:val="20"/>
              </w:rPr>
              <w:t>ATE</w:t>
            </w:r>
          </w:p>
        </w:tc>
        <w:tc>
          <w:tcPr>
            <w:tcW w:w="531" w:type="pct"/>
            <w:shd w:val="clear" w:color="auto" w:fill="FFFFFF"/>
            <w:hideMark/>
          </w:tcPr>
          <w:p w14:paraId="7BC51E06" w14:textId="77777777" w:rsidR="00083559" w:rsidRPr="005756CE" w:rsidRDefault="00083559" w:rsidP="001E71F8">
            <w:pPr>
              <w:spacing w:line="240" w:lineRule="auto"/>
              <w:jc w:val="center"/>
              <w:rPr>
                <w:rFonts w:ascii="Cambria" w:hAnsi="Cambria"/>
                <w:sz w:val="20"/>
                <w:szCs w:val="20"/>
              </w:rPr>
            </w:pPr>
            <w:r w:rsidRPr="005756CE">
              <w:rPr>
                <w:rFonts w:ascii="Cambria" w:hAnsi="Cambria"/>
                <w:sz w:val="20"/>
                <w:szCs w:val="20"/>
              </w:rPr>
              <w:t>1631</w:t>
            </w:r>
          </w:p>
        </w:tc>
        <w:tc>
          <w:tcPr>
            <w:tcW w:w="531" w:type="pct"/>
            <w:shd w:val="clear" w:color="auto" w:fill="FFFFFF"/>
            <w:hideMark/>
          </w:tcPr>
          <w:p w14:paraId="541DB827" w14:textId="77777777" w:rsidR="00083559" w:rsidRPr="005756CE" w:rsidRDefault="00083559" w:rsidP="001E71F8">
            <w:pPr>
              <w:spacing w:line="240" w:lineRule="auto"/>
              <w:jc w:val="center"/>
              <w:rPr>
                <w:rFonts w:ascii="Cambria" w:hAnsi="Cambria"/>
                <w:sz w:val="20"/>
                <w:szCs w:val="20"/>
              </w:rPr>
            </w:pPr>
            <w:r w:rsidRPr="005756CE">
              <w:rPr>
                <w:rFonts w:ascii="Cambria" w:hAnsi="Cambria"/>
                <w:sz w:val="20"/>
                <w:szCs w:val="20"/>
              </w:rPr>
              <w:t>676</w:t>
            </w:r>
          </w:p>
        </w:tc>
        <w:tc>
          <w:tcPr>
            <w:tcW w:w="531" w:type="pct"/>
            <w:shd w:val="clear" w:color="auto" w:fill="FFFFFF"/>
            <w:hideMark/>
          </w:tcPr>
          <w:p w14:paraId="132E8045" w14:textId="77777777" w:rsidR="00083559" w:rsidRPr="005756CE" w:rsidRDefault="00083559" w:rsidP="001E71F8">
            <w:pPr>
              <w:spacing w:line="240" w:lineRule="auto"/>
              <w:jc w:val="center"/>
              <w:rPr>
                <w:rFonts w:ascii="Cambria" w:hAnsi="Cambria"/>
                <w:sz w:val="20"/>
                <w:szCs w:val="20"/>
              </w:rPr>
            </w:pPr>
            <w:r w:rsidRPr="005756CE">
              <w:rPr>
                <w:rFonts w:ascii="Cambria" w:hAnsi="Cambria"/>
                <w:sz w:val="20"/>
                <w:szCs w:val="20"/>
              </w:rPr>
              <w:t>1921</w:t>
            </w:r>
          </w:p>
        </w:tc>
        <w:tc>
          <w:tcPr>
            <w:tcW w:w="531" w:type="pct"/>
            <w:shd w:val="clear" w:color="auto" w:fill="FFFFFF"/>
            <w:hideMark/>
          </w:tcPr>
          <w:p w14:paraId="79FB9135" w14:textId="77777777" w:rsidR="00083559" w:rsidRPr="005756CE" w:rsidRDefault="00083559" w:rsidP="001E71F8">
            <w:pPr>
              <w:spacing w:line="240" w:lineRule="auto"/>
              <w:jc w:val="center"/>
              <w:rPr>
                <w:rFonts w:ascii="Cambria" w:hAnsi="Cambria"/>
                <w:sz w:val="20"/>
                <w:szCs w:val="20"/>
              </w:rPr>
            </w:pPr>
            <w:r w:rsidRPr="005756CE">
              <w:rPr>
                <w:rFonts w:ascii="Cambria" w:hAnsi="Cambria"/>
                <w:sz w:val="20"/>
                <w:szCs w:val="20"/>
              </w:rPr>
              <w:t>1208</w:t>
            </w:r>
          </w:p>
        </w:tc>
        <w:tc>
          <w:tcPr>
            <w:tcW w:w="531" w:type="pct"/>
            <w:shd w:val="clear" w:color="auto" w:fill="FFFFFF"/>
          </w:tcPr>
          <w:p w14:paraId="42FE9CA8" w14:textId="77777777" w:rsidR="00083559" w:rsidRPr="005756CE" w:rsidRDefault="00083559" w:rsidP="001E71F8">
            <w:pPr>
              <w:spacing w:line="240" w:lineRule="auto"/>
              <w:jc w:val="center"/>
              <w:rPr>
                <w:rFonts w:ascii="Cambria" w:hAnsi="Cambria"/>
                <w:sz w:val="20"/>
                <w:szCs w:val="20"/>
              </w:rPr>
            </w:pPr>
            <w:r w:rsidRPr="005756CE">
              <w:rPr>
                <w:rFonts w:ascii="Cambria" w:hAnsi="Cambria"/>
                <w:sz w:val="20"/>
                <w:szCs w:val="20"/>
              </w:rPr>
              <w:t>1730</w:t>
            </w:r>
          </w:p>
        </w:tc>
        <w:tc>
          <w:tcPr>
            <w:tcW w:w="531" w:type="pct"/>
            <w:shd w:val="clear" w:color="auto" w:fill="FFFFFF"/>
          </w:tcPr>
          <w:p w14:paraId="3CCCC35B" w14:textId="77777777" w:rsidR="00083559" w:rsidRPr="005756CE" w:rsidRDefault="00083559" w:rsidP="001E71F8">
            <w:pPr>
              <w:spacing w:line="240" w:lineRule="auto"/>
              <w:jc w:val="center"/>
              <w:rPr>
                <w:rFonts w:ascii="Cambria" w:hAnsi="Cambria"/>
                <w:color w:val="FF0000"/>
                <w:sz w:val="20"/>
                <w:szCs w:val="20"/>
              </w:rPr>
            </w:pPr>
            <w:r w:rsidRPr="005756CE">
              <w:rPr>
                <w:rFonts w:ascii="Cambria" w:hAnsi="Cambria"/>
                <w:sz w:val="20"/>
                <w:szCs w:val="20"/>
              </w:rPr>
              <w:t>1169</w:t>
            </w:r>
          </w:p>
        </w:tc>
        <w:tc>
          <w:tcPr>
            <w:tcW w:w="531" w:type="pct"/>
            <w:shd w:val="clear" w:color="auto" w:fill="FFFFFF"/>
          </w:tcPr>
          <w:p w14:paraId="166F4A3C" w14:textId="77777777" w:rsidR="00083559" w:rsidRPr="005756CE" w:rsidRDefault="00083559" w:rsidP="001E71F8">
            <w:pPr>
              <w:spacing w:line="240" w:lineRule="auto"/>
              <w:jc w:val="center"/>
              <w:rPr>
                <w:rFonts w:ascii="Cambria" w:hAnsi="Cambria"/>
                <w:sz w:val="20"/>
                <w:szCs w:val="20"/>
              </w:rPr>
            </w:pPr>
            <w:r w:rsidRPr="005756CE">
              <w:rPr>
                <w:rFonts w:ascii="Cambria" w:hAnsi="Cambria"/>
                <w:sz w:val="20"/>
                <w:szCs w:val="20"/>
              </w:rPr>
              <w:t>759</w:t>
            </w:r>
          </w:p>
        </w:tc>
        <w:tc>
          <w:tcPr>
            <w:tcW w:w="531" w:type="pct"/>
            <w:shd w:val="clear" w:color="auto" w:fill="FFFFFF"/>
          </w:tcPr>
          <w:p w14:paraId="467FA0E9" w14:textId="77777777" w:rsidR="00083559" w:rsidRPr="005756CE" w:rsidRDefault="00083559" w:rsidP="001E71F8">
            <w:pPr>
              <w:spacing w:line="240" w:lineRule="auto"/>
              <w:jc w:val="center"/>
              <w:rPr>
                <w:rFonts w:ascii="Cambria" w:hAnsi="Cambria"/>
                <w:sz w:val="20"/>
                <w:szCs w:val="20"/>
              </w:rPr>
            </w:pPr>
            <w:r w:rsidRPr="005756CE">
              <w:rPr>
                <w:rFonts w:ascii="Cambria" w:hAnsi="Cambria"/>
                <w:sz w:val="20"/>
                <w:szCs w:val="20"/>
              </w:rPr>
              <w:t>1163</w:t>
            </w:r>
          </w:p>
        </w:tc>
      </w:tr>
      <w:tr w:rsidR="00083559" w:rsidRPr="005756CE" w14:paraId="3D473AA5" w14:textId="77777777" w:rsidTr="0025201E">
        <w:tc>
          <w:tcPr>
            <w:tcW w:w="751" w:type="pct"/>
            <w:shd w:val="clear" w:color="auto" w:fill="FFFFFF"/>
            <w:vAlign w:val="center"/>
            <w:hideMark/>
          </w:tcPr>
          <w:p w14:paraId="050324F0" w14:textId="77777777" w:rsidR="00083559" w:rsidRPr="005756CE" w:rsidRDefault="00083559" w:rsidP="001E71F8">
            <w:pPr>
              <w:spacing w:line="240" w:lineRule="auto"/>
              <w:jc w:val="center"/>
              <w:rPr>
                <w:rFonts w:ascii="Cambria" w:hAnsi="Cambria"/>
                <w:color w:val="000000"/>
                <w:sz w:val="20"/>
                <w:szCs w:val="20"/>
              </w:rPr>
            </w:pPr>
            <w:r w:rsidRPr="005756CE">
              <w:rPr>
                <w:rFonts w:ascii="Cambria" w:hAnsi="Cambria"/>
                <w:color w:val="000000"/>
                <w:sz w:val="20"/>
                <w:szCs w:val="20"/>
              </w:rPr>
              <w:t>ATW</w:t>
            </w:r>
          </w:p>
        </w:tc>
        <w:tc>
          <w:tcPr>
            <w:tcW w:w="531" w:type="pct"/>
            <w:shd w:val="clear" w:color="auto" w:fill="FFFFFF"/>
            <w:hideMark/>
          </w:tcPr>
          <w:p w14:paraId="64ACD0DE" w14:textId="77777777" w:rsidR="00083559" w:rsidRPr="005756CE" w:rsidRDefault="00083559" w:rsidP="001E71F8">
            <w:pPr>
              <w:spacing w:line="240" w:lineRule="auto"/>
              <w:jc w:val="center"/>
              <w:rPr>
                <w:rFonts w:ascii="Cambria" w:hAnsi="Cambria"/>
                <w:sz w:val="20"/>
                <w:szCs w:val="20"/>
              </w:rPr>
            </w:pPr>
            <w:r w:rsidRPr="005756CE">
              <w:rPr>
                <w:rFonts w:ascii="Cambria" w:hAnsi="Cambria"/>
                <w:sz w:val="20"/>
                <w:szCs w:val="20"/>
              </w:rPr>
              <w:t>1933</w:t>
            </w:r>
          </w:p>
        </w:tc>
        <w:tc>
          <w:tcPr>
            <w:tcW w:w="531" w:type="pct"/>
            <w:shd w:val="clear" w:color="auto" w:fill="FFFFFF"/>
            <w:hideMark/>
          </w:tcPr>
          <w:p w14:paraId="54D5D201" w14:textId="77777777" w:rsidR="00083559" w:rsidRPr="005756CE" w:rsidRDefault="00083559" w:rsidP="001E71F8">
            <w:pPr>
              <w:spacing w:line="240" w:lineRule="auto"/>
              <w:jc w:val="center"/>
              <w:rPr>
                <w:rFonts w:ascii="Cambria" w:hAnsi="Cambria"/>
                <w:sz w:val="20"/>
                <w:szCs w:val="20"/>
              </w:rPr>
            </w:pPr>
            <w:r w:rsidRPr="005756CE">
              <w:rPr>
                <w:rFonts w:ascii="Cambria" w:hAnsi="Cambria"/>
                <w:sz w:val="20"/>
                <w:szCs w:val="20"/>
              </w:rPr>
              <w:t>1659</w:t>
            </w:r>
          </w:p>
        </w:tc>
        <w:tc>
          <w:tcPr>
            <w:tcW w:w="531" w:type="pct"/>
            <w:shd w:val="clear" w:color="auto" w:fill="FFFFFF"/>
            <w:hideMark/>
          </w:tcPr>
          <w:p w14:paraId="29E645C9" w14:textId="77777777" w:rsidR="00083559" w:rsidRPr="005756CE" w:rsidRDefault="00083559" w:rsidP="001E71F8">
            <w:pPr>
              <w:spacing w:line="240" w:lineRule="auto"/>
              <w:jc w:val="center"/>
              <w:rPr>
                <w:rFonts w:ascii="Cambria" w:hAnsi="Cambria"/>
                <w:sz w:val="20"/>
                <w:szCs w:val="20"/>
              </w:rPr>
            </w:pPr>
            <w:r w:rsidRPr="005756CE">
              <w:rPr>
                <w:rFonts w:ascii="Cambria" w:hAnsi="Cambria"/>
                <w:sz w:val="20"/>
                <w:szCs w:val="20"/>
              </w:rPr>
              <w:t>1395</w:t>
            </w:r>
          </w:p>
        </w:tc>
        <w:tc>
          <w:tcPr>
            <w:tcW w:w="531" w:type="pct"/>
            <w:shd w:val="clear" w:color="auto" w:fill="FFFFFF"/>
            <w:hideMark/>
          </w:tcPr>
          <w:p w14:paraId="020FE632" w14:textId="77777777" w:rsidR="00083559" w:rsidRPr="005756CE" w:rsidRDefault="00083559" w:rsidP="001E71F8">
            <w:pPr>
              <w:spacing w:line="240" w:lineRule="auto"/>
              <w:jc w:val="center"/>
              <w:rPr>
                <w:rFonts w:ascii="Cambria" w:hAnsi="Cambria"/>
                <w:sz w:val="20"/>
                <w:szCs w:val="20"/>
              </w:rPr>
            </w:pPr>
            <w:r w:rsidRPr="005756CE">
              <w:rPr>
                <w:rFonts w:ascii="Cambria" w:hAnsi="Cambria"/>
                <w:sz w:val="20"/>
                <w:szCs w:val="20"/>
              </w:rPr>
              <w:t>1391</w:t>
            </w:r>
          </w:p>
        </w:tc>
        <w:tc>
          <w:tcPr>
            <w:tcW w:w="531" w:type="pct"/>
            <w:shd w:val="clear" w:color="auto" w:fill="FFFFFF"/>
          </w:tcPr>
          <w:p w14:paraId="36FECC27" w14:textId="77777777" w:rsidR="00083559" w:rsidRPr="005756CE" w:rsidRDefault="00083559" w:rsidP="001E71F8">
            <w:pPr>
              <w:spacing w:line="240" w:lineRule="auto"/>
              <w:jc w:val="center"/>
              <w:rPr>
                <w:rFonts w:ascii="Cambria" w:hAnsi="Cambria"/>
                <w:sz w:val="20"/>
                <w:szCs w:val="20"/>
              </w:rPr>
            </w:pPr>
            <w:r w:rsidRPr="005756CE">
              <w:rPr>
                <w:rFonts w:ascii="Cambria" w:hAnsi="Cambria"/>
                <w:sz w:val="20"/>
                <w:szCs w:val="20"/>
              </w:rPr>
              <w:t>900</w:t>
            </w:r>
          </w:p>
        </w:tc>
        <w:tc>
          <w:tcPr>
            <w:tcW w:w="531" w:type="pct"/>
            <w:shd w:val="clear" w:color="auto" w:fill="FFFFFF"/>
          </w:tcPr>
          <w:p w14:paraId="67EAD2A7" w14:textId="77777777" w:rsidR="00083559" w:rsidRPr="005756CE" w:rsidRDefault="00083559" w:rsidP="001E71F8">
            <w:pPr>
              <w:spacing w:line="240" w:lineRule="auto"/>
              <w:jc w:val="center"/>
              <w:rPr>
                <w:rFonts w:ascii="Cambria" w:hAnsi="Cambria"/>
                <w:sz w:val="20"/>
                <w:szCs w:val="20"/>
              </w:rPr>
            </w:pPr>
            <w:r w:rsidRPr="005756CE">
              <w:rPr>
                <w:rFonts w:ascii="Cambria" w:hAnsi="Cambria"/>
                <w:sz w:val="20"/>
                <w:szCs w:val="20"/>
              </w:rPr>
              <w:t>1089</w:t>
            </w:r>
          </w:p>
        </w:tc>
        <w:tc>
          <w:tcPr>
            <w:tcW w:w="531" w:type="pct"/>
            <w:shd w:val="clear" w:color="auto" w:fill="FFFFFF"/>
          </w:tcPr>
          <w:p w14:paraId="36A04362" w14:textId="77777777" w:rsidR="00083559" w:rsidRPr="005756CE" w:rsidRDefault="00083559" w:rsidP="001E71F8">
            <w:pPr>
              <w:spacing w:line="240" w:lineRule="auto"/>
              <w:jc w:val="center"/>
              <w:rPr>
                <w:rFonts w:ascii="Cambria" w:hAnsi="Cambria"/>
                <w:sz w:val="20"/>
                <w:szCs w:val="20"/>
              </w:rPr>
            </w:pPr>
            <w:r w:rsidRPr="005756CE">
              <w:rPr>
                <w:rFonts w:ascii="Cambria" w:hAnsi="Cambria"/>
                <w:sz w:val="20"/>
                <w:szCs w:val="20"/>
              </w:rPr>
              <w:t>1265</w:t>
            </w:r>
          </w:p>
        </w:tc>
        <w:tc>
          <w:tcPr>
            <w:tcW w:w="531" w:type="pct"/>
            <w:shd w:val="clear" w:color="auto" w:fill="FFFFFF"/>
          </w:tcPr>
          <w:p w14:paraId="3D45E3F6" w14:textId="77777777" w:rsidR="00083559" w:rsidRPr="005756CE" w:rsidRDefault="00083559" w:rsidP="001E71F8">
            <w:pPr>
              <w:spacing w:line="240" w:lineRule="auto"/>
              <w:jc w:val="center"/>
              <w:rPr>
                <w:rFonts w:ascii="Cambria" w:hAnsi="Cambria"/>
                <w:sz w:val="20"/>
                <w:szCs w:val="20"/>
              </w:rPr>
            </w:pPr>
            <w:r w:rsidRPr="005756CE">
              <w:rPr>
                <w:rFonts w:ascii="Cambria" w:hAnsi="Cambria"/>
                <w:sz w:val="20"/>
                <w:szCs w:val="20"/>
              </w:rPr>
              <w:t>1180</w:t>
            </w:r>
          </w:p>
        </w:tc>
      </w:tr>
    </w:tbl>
    <w:p w14:paraId="70A1A374" w14:textId="77777777" w:rsidR="00083559" w:rsidRPr="005756CE" w:rsidRDefault="00083559" w:rsidP="001E71F8">
      <w:pPr>
        <w:spacing w:line="240" w:lineRule="auto"/>
        <w:jc w:val="both"/>
        <w:rPr>
          <w:rFonts w:ascii="Cambria" w:hAnsi="Cambria"/>
          <w:b/>
          <w:bCs/>
          <w:sz w:val="20"/>
          <w:szCs w:val="20"/>
          <w:lang w:val="en-IE"/>
        </w:rPr>
      </w:pPr>
    </w:p>
    <w:p w14:paraId="6749E470" w14:textId="504D3B5C" w:rsidR="00356084" w:rsidRPr="005756CE" w:rsidRDefault="00356084" w:rsidP="001E71F8">
      <w:pPr>
        <w:widowControl w:val="0"/>
        <w:autoSpaceDE w:val="0"/>
        <w:autoSpaceDN w:val="0"/>
        <w:adjustRightInd w:val="0"/>
        <w:spacing w:line="240" w:lineRule="auto"/>
        <w:jc w:val="both"/>
        <w:rPr>
          <w:rFonts w:ascii="Cambria" w:eastAsia="Times New Roman" w:hAnsi="Cambria"/>
          <w:color w:val="000000"/>
          <w:kern w:val="0"/>
          <w:sz w:val="20"/>
          <w:szCs w:val="20"/>
          <w14:ligatures w14:val="none"/>
        </w:rPr>
      </w:pPr>
      <w:r w:rsidRPr="005756CE">
        <w:rPr>
          <w:rFonts w:ascii="Cambria" w:hAnsi="Cambria"/>
          <w:color w:val="000000"/>
          <w:sz w:val="20"/>
          <w:szCs w:val="20"/>
        </w:rPr>
        <w:t xml:space="preserve">Les obligations en matière de déclaration de la tâche 1 sont examinées dans le cadre de la Rec. 11-15. La Recommandation prévoit que les CPC, à partir de 2017, décrivent dans leurs rapports annuels leurs programmes de collecte des données et les mesures prises en vue de mettre en œuvre cette Recommandation. Ces rapports sont inclus dans la feuille de contrôle s’appliquant aux istiophoridés (cf. Rec. 18-05 ci-dessous). </w:t>
      </w:r>
    </w:p>
    <w:p w14:paraId="3FCE7F07" w14:textId="38B0C981" w:rsidR="00C849C0" w:rsidRPr="005756CE" w:rsidRDefault="00C849C0" w:rsidP="001E71F8">
      <w:pPr>
        <w:spacing w:line="240" w:lineRule="auto"/>
        <w:rPr>
          <w:rFonts w:ascii="Cambria" w:hAnsi="Cambria"/>
          <w:i/>
          <w:sz w:val="20"/>
          <w:szCs w:val="20"/>
        </w:rPr>
      </w:pPr>
    </w:p>
    <w:p w14:paraId="63ADFA25" w14:textId="3DEB230C" w:rsidR="00356084" w:rsidRPr="005756CE" w:rsidRDefault="00356084" w:rsidP="001E71F8">
      <w:pPr>
        <w:widowControl w:val="0"/>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hAnsi="Cambria"/>
          <w:i/>
          <w:sz w:val="20"/>
          <w:szCs w:val="20"/>
        </w:rPr>
        <w:t xml:space="preserve">[18-05] </w:t>
      </w:r>
      <w:bookmarkStart w:id="12" w:name="_Hlk117848927"/>
      <w:r w:rsidRPr="005756CE">
        <w:rPr>
          <w:rFonts w:ascii="Cambria" w:eastAsia="Times New Roman" w:hAnsi="Cambria"/>
          <w:sz w:val="20"/>
          <w:szCs w:val="20"/>
        </w:rPr>
        <w:fldChar w:fldCharType="begin"/>
      </w:r>
      <w:r w:rsidRPr="005756CE">
        <w:rPr>
          <w:rFonts w:ascii="Cambria" w:eastAsia="Times New Roman" w:hAnsi="Cambria"/>
          <w:sz w:val="20"/>
          <w:szCs w:val="20"/>
        </w:rPr>
        <w:instrText>HYPERLINK "https://www.iccat.int/Documents/Recs/compendiopdf-f/2018-05-f.pdf" \t "_blank"</w:instrText>
      </w:r>
      <w:r w:rsidRPr="005756CE">
        <w:rPr>
          <w:rFonts w:ascii="Cambria" w:eastAsia="Times New Roman" w:hAnsi="Cambria"/>
          <w:sz w:val="20"/>
          <w:szCs w:val="20"/>
        </w:rPr>
      </w:r>
      <w:r w:rsidRPr="005756CE">
        <w:rPr>
          <w:rFonts w:ascii="Cambria" w:eastAsia="Times New Roman" w:hAnsi="Cambria"/>
          <w:sz w:val="20"/>
          <w:szCs w:val="20"/>
        </w:rPr>
        <w:fldChar w:fldCharType="separate"/>
      </w:r>
      <w:r w:rsidRPr="005756CE">
        <w:rPr>
          <w:rFonts w:ascii="Cambria" w:hAnsi="Cambria"/>
          <w:i/>
          <w:sz w:val="20"/>
          <w:szCs w:val="20"/>
        </w:rPr>
        <w:t>Recommandation de l’ICCAT en vue d’améliorer l’examen de l’application des mesures de conservation et de gestion s’appliquant aux istiophoridés capturés dans la zone de la Convention de l’ICCAT</w:t>
      </w:r>
      <w:r w:rsidRPr="005756CE">
        <w:rPr>
          <w:rFonts w:ascii="Cambria" w:eastAsia="Times New Roman" w:hAnsi="Cambria"/>
          <w:i/>
          <w:sz w:val="20"/>
          <w:szCs w:val="20"/>
        </w:rPr>
        <w:fldChar w:fldCharType="end"/>
      </w:r>
    </w:p>
    <w:p w14:paraId="24625807" w14:textId="77777777" w:rsidR="00356084" w:rsidRPr="005756CE" w:rsidRDefault="00356084" w:rsidP="001E71F8">
      <w:pPr>
        <w:widowControl w:val="0"/>
        <w:autoSpaceDE w:val="0"/>
        <w:autoSpaceDN w:val="0"/>
        <w:adjustRightInd w:val="0"/>
        <w:spacing w:line="240" w:lineRule="auto"/>
        <w:jc w:val="both"/>
        <w:rPr>
          <w:rFonts w:ascii="Cambria" w:eastAsia="Times New Roman" w:hAnsi="Cambria"/>
          <w:iCs/>
          <w:kern w:val="0"/>
          <w:sz w:val="20"/>
          <w:szCs w:val="20"/>
          <w14:ligatures w14:val="none"/>
        </w:rPr>
      </w:pPr>
    </w:p>
    <w:p w14:paraId="6BD7BE4F" w14:textId="6956DF46" w:rsidR="00356084" w:rsidRPr="005756CE" w:rsidRDefault="00356084" w:rsidP="001E71F8">
      <w:pPr>
        <w:spacing w:line="240" w:lineRule="auto"/>
        <w:jc w:val="both"/>
        <w:rPr>
          <w:rFonts w:ascii="Cambria" w:eastAsia="Times New Roman" w:hAnsi="Cambria"/>
          <w:iCs/>
          <w:kern w:val="0"/>
          <w:sz w:val="20"/>
          <w:szCs w:val="20"/>
          <w14:ligatures w14:val="none"/>
        </w:rPr>
      </w:pPr>
      <w:r w:rsidRPr="005756CE">
        <w:rPr>
          <w:rFonts w:ascii="Cambria" w:hAnsi="Cambria"/>
          <w:sz w:val="20"/>
          <w:szCs w:val="20"/>
        </w:rPr>
        <w:t xml:space="preserve">Des feuilles de contrôle révisées/actualisées pour les istiophoridés ont été reçues cette année de la part de </w:t>
      </w:r>
      <w:r w:rsidR="00F83F58" w:rsidRPr="005756CE">
        <w:rPr>
          <w:rFonts w:ascii="Cambria" w:hAnsi="Cambria"/>
          <w:sz w:val="20"/>
          <w:szCs w:val="20"/>
        </w:rPr>
        <w:t>2</w:t>
      </w:r>
      <w:r w:rsidRPr="005756CE">
        <w:rPr>
          <w:rFonts w:ascii="Cambria" w:hAnsi="Cambria"/>
          <w:sz w:val="20"/>
          <w:szCs w:val="20"/>
        </w:rPr>
        <w:t xml:space="preserve">0 CPC, </w:t>
      </w:r>
      <w:r w:rsidR="00F83F58" w:rsidRPr="005756CE">
        <w:rPr>
          <w:rFonts w:ascii="Cambria" w:hAnsi="Cambria"/>
          <w:sz w:val="20"/>
          <w:szCs w:val="20"/>
        </w:rPr>
        <w:t>quatre (4)</w:t>
      </w:r>
      <w:r w:rsidRPr="005756CE">
        <w:rPr>
          <w:rFonts w:ascii="Cambria" w:hAnsi="Cambria"/>
          <w:sz w:val="20"/>
          <w:szCs w:val="20"/>
        </w:rPr>
        <w:t xml:space="preserve"> soumissions ayant été faites après la date limite. Tre</w:t>
      </w:r>
      <w:r w:rsidR="006718B2" w:rsidRPr="005756CE">
        <w:rPr>
          <w:rFonts w:ascii="Cambria" w:hAnsi="Cambria"/>
          <w:sz w:val="20"/>
          <w:szCs w:val="20"/>
        </w:rPr>
        <w:t xml:space="preserve">nte-trois </w:t>
      </w:r>
      <w:r w:rsidRPr="005756CE">
        <w:rPr>
          <w:rFonts w:ascii="Cambria" w:hAnsi="Cambria"/>
          <w:sz w:val="20"/>
          <w:szCs w:val="20"/>
        </w:rPr>
        <w:t>(</w:t>
      </w:r>
      <w:r w:rsidR="006718B2" w:rsidRPr="005756CE">
        <w:rPr>
          <w:rFonts w:ascii="Cambria" w:hAnsi="Cambria"/>
          <w:sz w:val="20"/>
          <w:szCs w:val="20"/>
        </w:rPr>
        <w:t>3</w:t>
      </w:r>
      <w:r w:rsidRPr="005756CE">
        <w:rPr>
          <w:rFonts w:ascii="Cambria" w:hAnsi="Cambria"/>
          <w:sz w:val="20"/>
          <w:szCs w:val="20"/>
        </w:rPr>
        <w:t xml:space="preserve">3) CPC n'ont envoyé aucune </w:t>
      </w:r>
      <w:r w:rsidRPr="005756CE">
        <w:rPr>
          <w:rFonts w:ascii="Cambria" w:hAnsi="Cambria"/>
          <w:sz w:val="20"/>
          <w:szCs w:val="20"/>
        </w:rPr>
        <w:lastRenderedPageBreak/>
        <w:t>mise à jour des versions précédentes de l'année dernière (202</w:t>
      </w:r>
      <w:r w:rsidR="006718B2" w:rsidRPr="005756CE">
        <w:rPr>
          <w:rFonts w:ascii="Cambria" w:hAnsi="Cambria"/>
          <w:sz w:val="20"/>
          <w:szCs w:val="20"/>
        </w:rPr>
        <w:t>4</w:t>
      </w:r>
      <w:r w:rsidRPr="005756CE">
        <w:rPr>
          <w:rFonts w:ascii="Cambria" w:hAnsi="Cambria"/>
          <w:sz w:val="20"/>
          <w:szCs w:val="20"/>
        </w:rPr>
        <w:t xml:space="preserve">), </w:t>
      </w:r>
      <w:r w:rsidR="006718B2" w:rsidRPr="005756CE">
        <w:rPr>
          <w:rFonts w:ascii="Cambria" w:hAnsi="Cambria"/>
          <w:sz w:val="20"/>
          <w:szCs w:val="20"/>
        </w:rPr>
        <w:t>14</w:t>
      </w:r>
      <w:r w:rsidRPr="005756CE">
        <w:rPr>
          <w:rFonts w:ascii="Cambria" w:hAnsi="Cambria"/>
          <w:sz w:val="20"/>
          <w:szCs w:val="20"/>
        </w:rPr>
        <w:t xml:space="preserve"> </w:t>
      </w:r>
      <w:proofErr w:type="gramStart"/>
      <w:r w:rsidRPr="005756CE">
        <w:rPr>
          <w:rFonts w:ascii="Cambria" w:hAnsi="Cambria"/>
          <w:sz w:val="20"/>
          <w:szCs w:val="20"/>
        </w:rPr>
        <w:t>confirmant</w:t>
      </w:r>
      <w:proofErr w:type="gramEnd"/>
      <w:r w:rsidRPr="005756CE">
        <w:rPr>
          <w:rFonts w:ascii="Cambria" w:hAnsi="Cambria"/>
          <w:sz w:val="20"/>
          <w:szCs w:val="20"/>
        </w:rPr>
        <w:t xml:space="preserve"> que leurs feuilles de contrôle étaient inchangées </w:t>
      </w:r>
      <w:r w:rsidR="0006296A" w:rsidRPr="005756CE">
        <w:rPr>
          <w:rFonts w:ascii="Cambria" w:hAnsi="Cambria"/>
          <w:sz w:val="20"/>
          <w:szCs w:val="20"/>
        </w:rPr>
        <w:t xml:space="preserve">(Bolivie, Chine, Côte d'Ivoire, Union européenne, Islande, Liberia, Mexique, Nigeria, Norvège, Panama, Sénégal, St Vincent et les Grenadines, Tunisie et Türkiye) et 5 réutilisés pour cette année (Curaçao, Egypte, El Salvador, Ghana et Nicaragua). Cinq (5) </w:t>
      </w:r>
      <w:r w:rsidRPr="005756CE">
        <w:rPr>
          <w:rFonts w:ascii="Cambria" w:hAnsi="Cambria"/>
          <w:sz w:val="20"/>
          <w:szCs w:val="20"/>
        </w:rPr>
        <w:t>n'ont jamais soumis de feuilles de contrôle des istiophoridés (</w:t>
      </w:r>
      <w:r w:rsidR="00A36CEA" w:rsidRPr="005756CE">
        <w:rPr>
          <w:rFonts w:ascii="Cambria" w:hAnsi="Cambria"/>
          <w:sz w:val="20"/>
          <w:szCs w:val="20"/>
        </w:rPr>
        <w:t xml:space="preserve">Cuba, </w:t>
      </w:r>
      <w:r w:rsidRPr="005756CE">
        <w:rPr>
          <w:rFonts w:ascii="Cambria" w:hAnsi="Cambria"/>
          <w:sz w:val="20"/>
          <w:szCs w:val="20"/>
        </w:rPr>
        <w:t xml:space="preserve">Gambie, Grenade, Guinée-Bissau et Mauritanie). Celles-ci sont contenues dans </w:t>
      </w:r>
      <w:r w:rsidR="00C82D41" w:rsidRPr="005756CE">
        <w:rPr>
          <w:rFonts w:ascii="Cambria" w:hAnsi="Cambria"/>
          <w:sz w:val="20"/>
          <w:szCs w:val="20"/>
        </w:rPr>
        <w:t>« </w:t>
      </w:r>
      <w:r w:rsidRPr="005756CE">
        <w:rPr>
          <w:rFonts w:ascii="Cambria" w:hAnsi="Cambria"/>
          <w:sz w:val="20"/>
          <w:szCs w:val="20"/>
        </w:rPr>
        <w:t>les Feuilles de contrôle pour les istiophoridés reçues conformément à la Rec. 18-05</w:t>
      </w:r>
      <w:r w:rsidR="00C82D41" w:rsidRPr="005756CE">
        <w:rPr>
          <w:rFonts w:ascii="Cambria" w:hAnsi="Cambria"/>
          <w:sz w:val="20"/>
          <w:szCs w:val="20"/>
        </w:rPr>
        <w:t> »</w:t>
      </w:r>
      <w:r w:rsidRPr="005756CE">
        <w:rPr>
          <w:rFonts w:ascii="Cambria" w:hAnsi="Cambria"/>
          <w:sz w:val="20"/>
          <w:szCs w:val="20"/>
        </w:rPr>
        <w:t xml:space="preserve"> [COC_315/202</w:t>
      </w:r>
      <w:r w:rsidR="0006296A" w:rsidRPr="005756CE">
        <w:rPr>
          <w:rFonts w:ascii="Cambria" w:hAnsi="Cambria"/>
          <w:sz w:val="20"/>
          <w:szCs w:val="20"/>
        </w:rPr>
        <w:t>5</w:t>
      </w:r>
      <w:r w:rsidRPr="005756CE">
        <w:rPr>
          <w:rFonts w:ascii="Cambria" w:hAnsi="Cambria"/>
          <w:sz w:val="20"/>
          <w:szCs w:val="20"/>
        </w:rPr>
        <w:t>]. Le contenu des feuilles de contrôle sur les istiophoridés est résumé à l'annexe 1 du document COC_315/202</w:t>
      </w:r>
      <w:r w:rsidR="0006296A" w:rsidRPr="005756CE">
        <w:rPr>
          <w:rFonts w:ascii="Cambria" w:hAnsi="Cambria"/>
          <w:sz w:val="20"/>
          <w:szCs w:val="20"/>
        </w:rPr>
        <w:t>5</w:t>
      </w:r>
      <w:r w:rsidRPr="005756CE">
        <w:rPr>
          <w:rFonts w:ascii="Cambria" w:hAnsi="Cambria"/>
          <w:sz w:val="20"/>
          <w:szCs w:val="20"/>
        </w:rPr>
        <w:t>.</w:t>
      </w:r>
    </w:p>
    <w:p w14:paraId="58E578C4" w14:textId="3438C720" w:rsidR="00014BA9" w:rsidRPr="005756CE" w:rsidRDefault="00014BA9" w:rsidP="001E71F8">
      <w:pPr>
        <w:spacing w:line="240" w:lineRule="auto"/>
        <w:rPr>
          <w:rFonts w:ascii="Cambria" w:eastAsia="Times New Roman" w:hAnsi="Cambria"/>
          <w:iCs/>
          <w:kern w:val="0"/>
          <w:sz w:val="20"/>
          <w:szCs w:val="20"/>
          <w14:ligatures w14:val="none"/>
        </w:rPr>
      </w:pPr>
    </w:p>
    <w:p w14:paraId="452559F2" w14:textId="77777777" w:rsidR="00EA079C" w:rsidRPr="005756CE" w:rsidRDefault="00EA079C" w:rsidP="001E71F8">
      <w:pPr>
        <w:spacing w:line="240" w:lineRule="auto"/>
        <w:rPr>
          <w:rFonts w:ascii="Cambria" w:eastAsia="Times New Roman" w:hAnsi="Cambria"/>
          <w:iCs/>
          <w:kern w:val="0"/>
          <w:sz w:val="20"/>
          <w:szCs w:val="20"/>
          <w14:ligatures w14:val="none"/>
        </w:rPr>
      </w:pPr>
    </w:p>
    <w:bookmarkEnd w:id="12"/>
    <w:p w14:paraId="7656CC78" w14:textId="793EC4BC"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kern w:val="0"/>
          <w:sz w:val="20"/>
          <w:szCs w:val="20"/>
          <w14:ligatures w14:val="none"/>
        </w:rPr>
      </w:pPr>
      <w:r w:rsidRPr="005756CE">
        <w:rPr>
          <w:rFonts w:ascii="Cambria" w:hAnsi="Cambria"/>
          <w:b/>
          <w:sz w:val="20"/>
          <w:szCs w:val="20"/>
        </w:rPr>
        <w:t>SHK - REQUINS : Renards de mer (</w:t>
      </w:r>
      <w:r w:rsidR="00C82D41" w:rsidRPr="005756CE">
        <w:rPr>
          <w:rFonts w:ascii="Cambria" w:hAnsi="Cambria"/>
          <w:b/>
          <w:sz w:val="20"/>
          <w:szCs w:val="20"/>
        </w:rPr>
        <w:t>genre</w:t>
      </w:r>
      <w:r w:rsidRPr="005756CE">
        <w:rPr>
          <w:rFonts w:ascii="Cambria" w:hAnsi="Cambria"/>
          <w:b/>
          <w:sz w:val="20"/>
          <w:szCs w:val="20"/>
        </w:rPr>
        <w:t xml:space="preserve"> Alopias </w:t>
      </w:r>
      <w:proofErr w:type="spellStart"/>
      <w:r w:rsidRPr="005756CE">
        <w:rPr>
          <w:rFonts w:ascii="Cambria" w:hAnsi="Cambria"/>
          <w:b/>
          <w:sz w:val="20"/>
          <w:szCs w:val="20"/>
        </w:rPr>
        <w:t>spp</w:t>
      </w:r>
      <w:proofErr w:type="spellEnd"/>
      <w:r w:rsidRPr="005756CE">
        <w:rPr>
          <w:rFonts w:ascii="Cambria" w:hAnsi="Cambria"/>
          <w:b/>
          <w:sz w:val="20"/>
          <w:szCs w:val="20"/>
        </w:rPr>
        <w:t>), requin-taupe bleu (</w:t>
      </w:r>
      <w:proofErr w:type="spellStart"/>
      <w:r w:rsidRPr="005756CE">
        <w:rPr>
          <w:rFonts w:ascii="Cambria" w:hAnsi="Cambria"/>
          <w:b/>
          <w:i/>
          <w:sz w:val="20"/>
          <w:szCs w:val="20"/>
        </w:rPr>
        <w:t>Isurus</w:t>
      </w:r>
      <w:proofErr w:type="spellEnd"/>
      <w:r w:rsidRPr="005756CE">
        <w:rPr>
          <w:rFonts w:ascii="Cambria" w:hAnsi="Cambria"/>
          <w:b/>
          <w:i/>
          <w:sz w:val="20"/>
          <w:szCs w:val="20"/>
        </w:rPr>
        <w:t xml:space="preserve"> oxyrinchus</w:t>
      </w:r>
      <w:r w:rsidRPr="005756CE">
        <w:rPr>
          <w:rFonts w:ascii="Cambria" w:hAnsi="Cambria"/>
          <w:b/>
          <w:sz w:val="20"/>
          <w:szCs w:val="20"/>
        </w:rPr>
        <w:t>), requin océanique (</w:t>
      </w:r>
      <w:r w:rsidRPr="005756CE">
        <w:rPr>
          <w:rFonts w:ascii="Cambria" w:hAnsi="Cambria"/>
          <w:b/>
          <w:i/>
          <w:sz w:val="20"/>
          <w:szCs w:val="20"/>
        </w:rPr>
        <w:t>Carcharhinus longimanus</w:t>
      </w:r>
      <w:r w:rsidRPr="005756CE">
        <w:rPr>
          <w:rFonts w:ascii="Cambria" w:hAnsi="Cambria"/>
          <w:b/>
          <w:sz w:val="20"/>
          <w:szCs w:val="20"/>
        </w:rPr>
        <w:t>), requins marteau (</w:t>
      </w:r>
      <w:proofErr w:type="spellStart"/>
      <w:r w:rsidRPr="005756CE">
        <w:rPr>
          <w:rFonts w:ascii="Cambria" w:hAnsi="Cambria"/>
          <w:b/>
          <w:sz w:val="20"/>
          <w:szCs w:val="20"/>
        </w:rPr>
        <w:t>famil</w:t>
      </w:r>
      <w:r w:rsidR="00C82D41" w:rsidRPr="005756CE">
        <w:rPr>
          <w:rFonts w:ascii="Cambria" w:hAnsi="Cambria"/>
          <w:b/>
          <w:sz w:val="20"/>
          <w:szCs w:val="20"/>
        </w:rPr>
        <w:t>ie</w:t>
      </w:r>
      <w:proofErr w:type="spellEnd"/>
      <w:r w:rsidRPr="005756CE">
        <w:rPr>
          <w:rFonts w:ascii="Cambria" w:hAnsi="Cambria"/>
          <w:b/>
          <w:sz w:val="20"/>
          <w:szCs w:val="20"/>
        </w:rPr>
        <w:t xml:space="preserve"> </w:t>
      </w:r>
      <w:proofErr w:type="spellStart"/>
      <w:r w:rsidRPr="005756CE">
        <w:rPr>
          <w:rFonts w:ascii="Cambria" w:hAnsi="Cambria"/>
          <w:b/>
          <w:sz w:val="20"/>
          <w:szCs w:val="20"/>
        </w:rPr>
        <w:t>Sphyrnidae</w:t>
      </w:r>
      <w:proofErr w:type="spellEnd"/>
      <w:r w:rsidRPr="005756CE">
        <w:rPr>
          <w:rFonts w:ascii="Cambria" w:hAnsi="Cambria"/>
          <w:b/>
          <w:sz w:val="20"/>
          <w:szCs w:val="20"/>
        </w:rPr>
        <w:t>), requin soyeux (</w:t>
      </w:r>
      <w:r w:rsidRPr="005756CE">
        <w:rPr>
          <w:rFonts w:ascii="Cambria" w:hAnsi="Cambria"/>
          <w:b/>
          <w:i/>
          <w:sz w:val="20"/>
          <w:szCs w:val="20"/>
        </w:rPr>
        <w:t xml:space="preserve">Carcharhinus </w:t>
      </w:r>
      <w:proofErr w:type="spellStart"/>
      <w:r w:rsidRPr="005756CE">
        <w:rPr>
          <w:rFonts w:ascii="Cambria" w:hAnsi="Cambria"/>
          <w:b/>
          <w:i/>
          <w:sz w:val="20"/>
          <w:szCs w:val="20"/>
        </w:rPr>
        <w:t>falciformis</w:t>
      </w:r>
      <w:proofErr w:type="spellEnd"/>
      <w:r w:rsidRPr="005756CE">
        <w:rPr>
          <w:rFonts w:ascii="Cambria" w:hAnsi="Cambria"/>
          <w:b/>
          <w:sz w:val="20"/>
          <w:szCs w:val="20"/>
        </w:rPr>
        <w:t>), requin-taupe commun (</w:t>
      </w:r>
      <w:proofErr w:type="spellStart"/>
      <w:r w:rsidRPr="005756CE">
        <w:rPr>
          <w:rFonts w:ascii="Cambria" w:hAnsi="Cambria"/>
          <w:b/>
          <w:i/>
          <w:sz w:val="20"/>
          <w:szCs w:val="20"/>
        </w:rPr>
        <w:t>Lamna</w:t>
      </w:r>
      <w:proofErr w:type="spellEnd"/>
      <w:r w:rsidRPr="005756CE">
        <w:rPr>
          <w:rFonts w:ascii="Cambria" w:hAnsi="Cambria"/>
          <w:b/>
          <w:i/>
          <w:sz w:val="20"/>
          <w:szCs w:val="20"/>
        </w:rPr>
        <w:t xml:space="preserve"> nasus</w:t>
      </w:r>
      <w:r w:rsidRPr="005756CE">
        <w:rPr>
          <w:rFonts w:ascii="Cambria" w:hAnsi="Cambria"/>
          <w:b/>
          <w:sz w:val="20"/>
          <w:szCs w:val="20"/>
        </w:rPr>
        <w:t>), requin peau bleue (</w:t>
      </w:r>
      <w:proofErr w:type="spellStart"/>
      <w:r w:rsidRPr="005756CE">
        <w:rPr>
          <w:rFonts w:ascii="Cambria" w:hAnsi="Cambria"/>
          <w:b/>
          <w:i/>
          <w:sz w:val="20"/>
          <w:szCs w:val="20"/>
        </w:rPr>
        <w:t>Prionace</w:t>
      </w:r>
      <w:proofErr w:type="spellEnd"/>
      <w:r w:rsidRPr="005756CE">
        <w:rPr>
          <w:rFonts w:ascii="Cambria" w:hAnsi="Cambria"/>
          <w:b/>
          <w:i/>
          <w:sz w:val="20"/>
          <w:szCs w:val="20"/>
        </w:rPr>
        <w:t xml:space="preserve"> glauca</w:t>
      </w:r>
      <w:r w:rsidRPr="005756CE">
        <w:rPr>
          <w:rFonts w:ascii="Cambria" w:hAnsi="Cambria"/>
          <w:b/>
          <w:sz w:val="20"/>
          <w:szCs w:val="20"/>
        </w:rPr>
        <w:t>)</w:t>
      </w:r>
    </w:p>
    <w:p w14:paraId="7AEF0C8E"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kern w:val="0"/>
          <w:sz w:val="20"/>
          <w:szCs w:val="20"/>
          <w14:ligatures w14:val="none"/>
        </w:rPr>
      </w:pPr>
    </w:p>
    <w:p w14:paraId="3FC19241" w14:textId="77777777" w:rsidR="00356084" w:rsidRPr="005756CE" w:rsidRDefault="00356084" w:rsidP="001E71F8">
      <w:pPr>
        <w:widowControl w:val="0"/>
        <w:tabs>
          <w:tab w:val="left" w:pos="1276"/>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i/>
          <w:sz w:val="20"/>
          <w:szCs w:val="20"/>
        </w:rPr>
        <w:t>[04-10] Recommandation de l’ICCAT concernant la conservation des requins capturés en association avec les pêcheries gérées par l’ICCAT</w:t>
      </w:r>
    </w:p>
    <w:p w14:paraId="0014AC65" w14:textId="77777777" w:rsidR="00356084" w:rsidRPr="005756CE" w:rsidRDefault="00356084" w:rsidP="001E71F8">
      <w:pPr>
        <w:widowControl w:val="0"/>
        <w:tabs>
          <w:tab w:val="left" w:pos="1276"/>
          <w:tab w:val="left" w:leader="dot" w:pos="8222"/>
          <w:tab w:val="right" w:pos="8647"/>
        </w:tabs>
        <w:autoSpaceDE w:val="0"/>
        <w:autoSpaceDN w:val="0"/>
        <w:adjustRightInd w:val="0"/>
        <w:spacing w:line="240" w:lineRule="auto"/>
        <w:ind w:left="1417" w:hanging="1417"/>
        <w:rPr>
          <w:rFonts w:ascii="Cambria" w:eastAsia="Times New Roman" w:hAnsi="Cambria"/>
          <w:kern w:val="0"/>
          <w:sz w:val="20"/>
          <w:szCs w:val="20"/>
          <w14:ligatures w14:val="none"/>
        </w:rPr>
      </w:pPr>
    </w:p>
    <w:p w14:paraId="34265DEF" w14:textId="77777777" w:rsidR="00356084" w:rsidRPr="005756CE" w:rsidRDefault="00356084" w:rsidP="001E71F8">
      <w:pPr>
        <w:widowControl w:val="0"/>
        <w:tabs>
          <w:tab w:val="left" w:pos="1276"/>
          <w:tab w:val="left" w:leader="dot" w:pos="8222"/>
          <w:tab w:val="right" w:pos="8647"/>
        </w:tabs>
        <w:autoSpaceDE w:val="0"/>
        <w:autoSpaceDN w:val="0"/>
        <w:adjustRightInd w:val="0"/>
        <w:spacing w:line="240" w:lineRule="auto"/>
        <w:ind w:left="1417" w:hanging="1417"/>
        <w:rPr>
          <w:rFonts w:ascii="Cambria" w:eastAsia="Times New Roman" w:hAnsi="Cambria"/>
          <w:kern w:val="0"/>
          <w:sz w:val="20"/>
          <w:szCs w:val="20"/>
          <w14:ligatures w14:val="none"/>
        </w:rPr>
      </w:pPr>
      <w:r w:rsidRPr="005756CE">
        <w:rPr>
          <w:rFonts w:ascii="Cambria" w:hAnsi="Cambria"/>
          <w:sz w:val="20"/>
          <w:szCs w:val="20"/>
        </w:rPr>
        <w:t>Pour les informations déclarées, veuillez consulter la Rec. 18-06 ci-dessous.</w:t>
      </w:r>
    </w:p>
    <w:p w14:paraId="3EEE58FE" w14:textId="77777777" w:rsidR="00356084" w:rsidRPr="005756CE" w:rsidRDefault="00356084" w:rsidP="001E71F8">
      <w:pPr>
        <w:widowControl w:val="0"/>
        <w:tabs>
          <w:tab w:val="left" w:pos="1276"/>
          <w:tab w:val="left" w:leader="dot" w:pos="8222"/>
          <w:tab w:val="right" w:pos="8647"/>
        </w:tabs>
        <w:autoSpaceDE w:val="0"/>
        <w:autoSpaceDN w:val="0"/>
        <w:adjustRightInd w:val="0"/>
        <w:spacing w:line="240" w:lineRule="auto"/>
        <w:ind w:left="1417" w:hanging="992"/>
        <w:rPr>
          <w:rFonts w:ascii="Cambria" w:eastAsia="Times New Roman" w:hAnsi="Cambria"/>
          <w:kern w:val="0"/>
          <w:sz w:val="20"/>
          <w:szCs w:val="20"/>
          <w14:ligatures w14:val="none"/>
        </w:rPr>
      </w:pPr>
    </w:p>
    <w:p w14:paraId="58D8CE1B" w14:textId="77777777" w:rsidR="00356084" w:rsidRPr="005756CE" w:rsidRDefault="00356084" w:rsidP="001E71F8">
      <w:pPr>
        <w:widowControl w:val="0"/>
        <w:tabs>
          <w:tab w:val="left" w:pos="1276"/>
          <w:tab w:val="left" w:leader="dot" w:pos="8222"/>
          <w:tab w:val="right" w:pos="8647"/>
        </w:tabs>
        <w:autoSpaceDE w:val="0"/>
        <w:autoSpaceDN w:val="0"/>
        <w:adjustRightInd w:val="0"/>
        <w:spacing w:line="240" w:lineRule="auto"/>
        <w:ind w:left="709" w:hanging="709"/>
        <w:jc w:val="both"/>
        <w:rPr>
          <w:rFonts w:ascii="Cambria" w:eastAsia="Times New Roman" w:hAnsi="Cambria"/>
          <w:i/>
          <w:kern w:val="0"/>
          <w:sz w:val="20"/>
          <w:szCs w:val="20"/>
          <w14:ligatures w14:val="none"/>
        </w:rPr>
      </w:pPr>
      <w:r w:rsidRPr="005756CE">
        <w:rPr>
          <w:rFonts w:ascii="Cambria" w:hAnsi="Cambria"/>
          <w:i/>
          <w:sz w:val="20"/>
          <w:szCs w:val="20"/>
        </w:rPr>
        <w:t>[07-06] Recommandation supplémentaire de l’ICCAT concernant les requins</w:t>
      </w:r>
    </w:p>
    <w:p w14:paraId="1067C6BD" w14:textId="77777777" w:rsidR="00356084" w:rsidRPr="005756CE" w:rsidRDefault="00356084" w:rsidP="001E71F8">
      <w:pPr>
        <w:widowControl w:val="0"/>
        <w:tabs>
          <w:tab w:val="left" w:pos="1276"/>
          <w:tab w:val="left" w:leader="dot" w:pos="8222"/>
          <w:tab w:val="right" w:pos="8647"/>
        </w:tabs>
        <w:autoSpaceDE w:val="0"/>
        <w:autoSpaceDN w:val="0"/>
        <w:adjustRightInd w:val="0"/>
        <w:spacing w:line="240" w:lineRule="auto"/>
        <w:ind w:left="1417" w:hanging="992"/>
        <w:rPr>
          <w:rFonts w:ascii="Cambria" w:eastAsia="Times New Roman" w:hAnsi="Cambria"/>
          <w:i/>
          <w:kern w:val="0"/>
          <w:sz w:val="20"/>
          <w:szCs w:val="20"/>
          <w14:ligatures w14:val="none"/>
        </w:rPr>
      </w:pPr>
    </w:p>
    <w:p w14:paraId="78400DD5" w14:textId="77777777" w:rsidR="00356084" w:rsidRPr="005756CE" w:rsidRDefault="00356084" w:rsidP="001E71F8">
      <w:pPr>
        <w:widowControl w:val="0"/>
        <w:tabs>
          <w:tab w:val="left" w:pos="1276"/>
          <w:tab w:val="left" w:leader="dot" w:pos="8222"/>
          <w:tab w:val="right" w:pos="8647"/>
        </w:tabs>
        <w:autoSpaceDE w:val="0"/>
        <w:autoSpaceDN w:val="0"/>
        <w:adjustRightInd w:val="0"/>
        <w:spacing w:line="240" w:lineRule="auto"/>
        <w:ind w:left="1417" w:hanging="1417"/>
        <w:rPr>
          <w:rFonts w:ascii="Cambria" w:eastAsia="Times New Roman" w:hAnsi="Cambria"/>
          <w:kern w:val="0"/>
          <w:sz w:val="20"/>
          <w:szCs w:val="20"/>
          <w14:ligatures w14:val="none"/>
        </w:rPr>
      </w:pPr>
      <w:r w:rsidRPr="005756CE">
        <w:rPr>
          <w:rFonts w:ascii="Cambria" w:hAnsi="Cambria"/>
          <w:sz w:val="20"/>
          <w:szCs w:val="20"/>
        </w:rPr>
        <w:t>Pour les informations déclarées, veuillez consulter la Rec. 18-06 ci-dessous.</w:t>
      </w:r>
    </w:p>
    <w:p w14:paraId="4C5FA807"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5"/>
        <w:jc w:val="both"/>
        <w:rPr>
          <w:rFonts w:ascii="Cambria" w:eastAsia="Times New Roman" w:hAnsi="Cambria"/>
          <w:bCs/>
          <w:i/>
          <w:kern w:val="0"/>
          <w:sz w:val="20"/>
          <w:szCs w:val="20"/>
          <w14:ligatures w14:val="none"/>
        </w:rPr>
      </w:pPr>
    </w:p>
    <w:p w14:paraId="0CBDF3EE" w14:textId="77777777" w:rsidR="00356084" w:rsidRPr="005756CE" w:rsidRDefault="00356084" w:rsidP="001E71F8">
      <w:pPr>
        <w:widowControl w:val="0"/>
        <w:tabs>
          <w:tab w:val="left" w:pos="1276"/>
          <w:tab w:val="left" w:leader="dot" w:pos="8222"/>
          <w:tab w:val="right" w:pos="8647"/>
        </w:tabs>
        <w:autoSpaceDE w:val="0"/>
        <w:autoSpaceDN w:val="0"/>
        <w:adjustRightInd w:val="0"/>
        <w:spacing w:line="240" w:lineRule="auto"/>
        <w:jc w:val="both"/>
        <w:rPr>
          <w:rFonts w:ascii="Cambria" w:eastAsia="Times New Roman" w:hAnsi="Cambria"/>
          <w:bCs/>
          <w:i/>
          <w:kern w:val="0"/>
          <w:sz w:val="20"/>
          <w:szCs w:val="20"/>
          <w14:ligatures w14:val="none"/>
        </w:rPr>
      </w:pPr>
      <w:r w:rsidRPr="005756CE">
        <w:rPr>
          <w:rFonts w:ascii="Cambria" w:hAnsi="Cambria"/>
          <w:i/>
          <w:sz w:val="20"/>
          <w:szCs w:val="20"/>
        </w:rPr>
        <w:t>[09-07] Recommandation de l’ICCAT sur la conservation des renards de mer capturés en association avec les pêcheries dans la zone de la Convention de l’ICCAT</w:t>
      </w:r>
    </w:p>
    <w:p w14:paraId="6E43ADB3"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bCs/>
          <w:i/>
          <w:iCs/>
          <w:kern w:val="0"/>
          <w:sz w:val="20"/>
          <w:szCs w:val="20"/>
          <w14:ligatures w14:val="none"/>
        </w:rPr>
      </w:pPr>
    </w:p>
    <w:p w14:paraId="356BADBB"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 xml:space="preserve">Pour les informations déclarées, veuillez consulter la Rec. 18-06 ci-dessous. </w:t>
      </w:r>
    </w:p>
    <w:p w14:paraId="7EF4A297"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bCs/>
          <w:i/>
          <w:iCs/>
          <w:kern w:val="0"/>
          <w:sz w:val="20"/>
          <w:szCs w:val="20"/>
          <w14:ligatures w14:val="none"/>
        </w:rPr>
      </w:pPr>
    </w:p>
    <w:p w14:paraId="0A0E7BE3" w14:textId="77777777" w:rsidR="00356084" w:rsidRPr="005756CE" w:rsidRDefault="00356084" w:rsidP="001E71F8">
      <w:pPr>
        <w:widowControl w:val="0"/>
        <w:tabs>
          <w:tab w:val="left" w:pos="1276"/>
          <w:tab w:val="left" w:leader="dot" w:pos="8222"/>
          <w:tab w:val="right" w:pos="8647"/>
        </w:tabs>
        <w:autoSpaceDE w:val="0"/>
        <w:autoSpaceDN w:val="0"/>
        <w:adjustRightInd w:val="0"/>
        <w:spacing w:line="240" w:lineRule="auto"/>
        <w:jc w:val="both"/>
        <w:rPr>
          <w:rFonts w:ascii="Cambria" w:eastAsia="Times New Roman" w:hAnsi="Cambria"/>
          <w:bCs/>
          <w:i/>
          <w:iCs/>
          <w:kern w:val="0"/>
          <w:sz w:val="20"/>
          <w:szCs w:val="20"/>
          <w14:ligatures w14:val="none"/>
        </w:rPr>
      </w:pPr>
      <w:r w:rsidRPr="005756CE">
        <w:rPr>
          <w:rFonts w:ascii="Cambria" w:hAnsi="Cambria"/>
          <w:i/>
          <w:sz w:val="20"/>
          <w:szCs w:val="20"/>
        </w:rPr>
        <w:t>[10-07] Recommandation de l’ICCAT sur la conservation du requin océanique capturé en association avec les pêcheries dans la zone de la Convention de l’ICCAT</w:t>
      </w:r>
    </w:p>
    <w:p w14:paraId="68B35ED9"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bCs/>
          <w:i/>
          <w:iCs/>
          <w:kern w:val="0"/>
          <w:sz w:val="20"/>
          <w:szCs w:val="20"/>
          <w14:ligatures w14:val="none"/>
        </w:rPr>
      </w:pPr>
    </w:p>
    <w:p w14:paraId="444A8B31"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 xml:space="preserve">Pour les informations déclarées, veuillez consulter la Rec. 18-06 ci-dessous. </w:t>
      </w:r>
    </w:p>
    <w:p w14:paraId="7ACAA0E7"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bCs/>
          <w:i/>
          <w:iCs/>
          <w:kern w:val="0"/>
          <w:sz w:val="20"/>
          <w:szCs w:val="20"/>
          <w14:ligatures w14:val="none"/>
        </w:rPr>
      </w:pPr>
    </w:p>
    <w:p w14:paraId="4A8BB068" w14:textId="77777777" w:rsidR="00356084" w:rsidRPr="005756CE" w:rsidRDefault="00356084" w:rsidP="001E71F8">
      <w:pPr>
        <w:widowControl w:val="0"/>
        <w:tabs>
          <w:tab w:val="left" w:pos="1276"/>
          <w:tab w:val="left" w:leader="dot" w:pos="8222"/>
          <w:tab w:val="right" w:pos="8647"/>
        </w:tabs>
        <w:autoSpaceDE w:val="0"/>
        <w:autoSpaceDN w:val="0"/>
        <w:adjustRightInd w:val="0"/>
        <w:spacing w:line="240" w:lineRule="auto"/>
        <w:jc w:val="both"/>
        <w:rPr>
          <w:rFonts w:ascii="Cambria" w:eastAsia="Times New Roman" w:hAnsi="Cambria"/>
          <w:bCs/>
          <w:i/>
          <w:iCs/>
          <w:kern w:val="0"/>
          <w:sz w:val="20"/>
          <w:szCs w:val="20"/>
          <w14:ligatures w14:val="none"/>
        </w:rPr>
      </w:pPr>
      <w:r w:rsidRPr="005756CE">
        <w:rPr>
          <w:rFonts w:ascii="Cambria" w:hAnsi="Cambria"/>
          <w:i/>
          <w:sz w:val="20"/>
          <w:szCs w:val="20"/>
        </w:rPr>
        <w:t xml:space="preserve">[10-08] Recommandation de l’ICCAT sur le requin marteau (famille </w:t>
      </w:r>
      <w:proofErr w:type="spellStart"/>
      <w:r w:rsidRPr="005756CE">
        <w:rPr>
          <w:rFonts w:ascii="Cambria" w:hAnsi="Cambria"/>
          <w:i/>
          <w:sz w:val="20"/>
          <w:szCs w:val="20"/>
        </w:rPr>
        <w:t>Sphyrnidae</w:t>
      </w:r>
      <w:proofErr w:type="spellEnd"/>
      <w:r w:rsidRPr="005756CE">
        <w:rPr>
          <w:rFonts w:ascii="Cambria" w:hAnsi="Cambria"/>
          <w:i/>
          <w:sz w:val="20"/>
          <w:szCs w:val="20"/>
        </w:rPr>
        <w:t>) capturé en association avec les pêcheries gérées par l'ICCAT</w:t>
      </w:r>
    </w:p>
    <w:p w14:paraId="6BFB7499"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bCs/>
          <w:i/>
          <w:iCs/>
          <w:kern w:val="0"/>
          <w:sz w:val="20"/>
          <w:szCs w:val="20"/>
          <w14:ligatures w14:val="none"/>
        </w:rPr>
      </w:pPr>
    </w:p>
    <w:p w14:paraId="28B50439" w14:textId="364999F4"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Pour les informations déclarées, veuillez consulter la Rec. 18-06 ci-dessous.</w:t>
      </w:r>
    </w:p>
    <w:p w14:paraId="436FD540"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bCs/>
          <w:iCs/>
          <w:kern w:val="0"/>
          <w:sz w:val="20"/>
          <w:szCs w:val="20"/>
          <w14:ligatures w14:val="none"/>
        </w:rPr>
      </w:pPr>
    </w:p>
    <w:p w14:paraId="3454CA39" w14:textId="70A04451"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iCs/>
          <w:kern w:val="0"/>
          <w:sz w:val="20"/>
          <w:szCs w:val="20"/>
          <w14:ligatures w14:val="none"/>
        </w:rPr>
      </w:pPr>
      <w:r w:rsidRPr="005756CE">
        <w:rPr>
          <w:rFonts w:ascii="Cambria" w:hAnsi="Cambria"/>
          <w:i/>
          <w:sz w:val="20"/>
          <w:szCs w:val="20"/>
        </w:rPr>
        <w:t>[11-08] Recommandation de l’ICCAT sur la conservation du requin soyeux capturé en association avec les pêcheries de l’ICCAT</w:t>
      </w:r>
    </w:p>
    <w:p w14:paraId="33DEBB9C" w14:textId="77777777" w:rsidR="00356084" w:rsidRPr="005756CE" w:rsidRDefault="00356084" w:rsidP="001E71F8">
      <w:pPr>
        <w:widowControl w:val="0"/>
        <w:tabs>
          <w:tab w:val="left" w:pos="1276"/>
          <w:tab w:val="left" w:leader="dot" w:pos="8222"/>
          <w:tab w:val="right" w:pos="8647"/>
        </w:tabs>
        <w:autoSpaceDE w:val="0"/>
        <w:autoSpaceDN w:val="0"/>
        <w:adjustRightInd w:val="0"/>
        <w:spacing w:line="240" w:lineRule="auto"/>
        <w:ind w:left="709" w:hanging="709"/>
        <w:jc w:val="both"/>
        <w:rPr>
          <w:rFonts w:ascii="Cambria" w:eastAsia="Times New Roman" w:hAnsi="Cambria"/>
          <w:iCs/>
          <w:kern w:val="0"/>
          <w:sz w:val="20"/>
          <w:szCs w:val="20"/>
          <w14:ligatures w14:val="none"/>
        </w:rPr>
      </w:pPr>
    </w:p>
    <w:p w14:paraId="02D00D6B"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kern w:val="0"/>
          <w:sz w:val="20"/>
          <w:szCs w:val="20"/>
          <w14:ligatures w14:val="none"/>
        </w:rPr>
      </w:pPr>
      <w:r w:rsidRPr="005756CE">
        <w:rPr>
          <w:rFonts w:ascii="Cambria" w:hAnsi="Cambria"/>
          <w:sz w:val="20"/>
          <w:szCs w:val="20"/>
        </w:rPr>
        <w:t>Pour les informations déclarées, veuillez consulter la Rec. 18-06 ci-dessous.</w:t>
      </w:r>
    </w:p>
    <w:p w14:paraId="029F68C3"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Cs/>
          <w:kern w:val="0"/>
          <w:sz w:val="20"/>
          <w:szCs w:val="20"/>
          <w:lang w:eastAsia="en-GB"/>
          <w14:ligatures w14:val="none"/>
        </w:rPr>
      </w:pPr>
    </w:p>
    <w:p w14:paraId="3882BEBC" w14:textId="77777777" w:rsidR="00356084" w:rsidRPr="005756CE" w:rsidRDefault="00356084" w:rsidP="001E71F8">
      <w:pPr>
        <w:widowControl w:val="0"/>
        <w:tabs>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hAnsi="Cambria"/>
          <w:i/>
          <w:iCs/>
          <w:sz w:val="20"/>
          <w:szCs w:val="20"/>
        </w:rPr>
        <w:t>[15-06] Recommandation de l’ICCAT sur le requin-taupe commun capturé en association avec les pêcheries de l’ICCAT</w:t>
      </w:r>
    </w:p>
    <w:p w14:paraId="0ADBFE20" w14:textId="77777777" w:rsidR="00356084" w:rsidRPr="005756CE" w:rsidRDefault="00356084" w:rsidP="001E71F8">
      <w:pPr>
        <w:widowControl w:val="0"/>
        <w:tabs>
          <w:tab w:val="left" w:pos="1276"/>
          <w:tab w:val="left" w:leader="dot" w:pos="8222"/>
          <w:tab w:val="right" w:pos="8647"/>
        </w:tabs>
        <w:autoSpaceDE w:val="0"/>
        <w:autoSpaceDN w:val="0"/>
        <w:adjustRightInd w:val="0"/>
        <w:spacing w:line="240" w:lineRule="auto"/>
        <w:ind w:left="1417" w:hanging="992"/>
        <w:rPr>
          <w:rFonts w:ascii="Cambria" w:eastAsia="Times New Roman" w:hAnsi="Cambria"/>
          <w:kern w:val="0"/>
          <w:sz w:val="20"/>
          <w:szCs w:val="20"/>
          <w14:ligatures w14:val="none"/>
        </w:rPr>
      </w:pPr>
    </w:p>
    <w:p w14:paraId="34B0B691" w14:textId="40A3EB06" w:rsidR="00356084" w:rsidRPr="005756CE" w:rsidRDefault="00356084" w:rsidP="001E71F8">
      <w:pPr>
        <w:widowControl w:val="0"/>
        <w:tabs>
          <w:tab w:val="left" w:pos="1276"/>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Pour les informations déclarées, veuillez consulter la Rec. 18-06 ci-dessous.</w:t>
      </w:r>
    </w:p>
    <w:p w14:paraId="7A58A134"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left="1276" w:hanging="992"/>
        <w:rPr>
          <w:rFonts w:ascii="Cambria" w:eastAsia="Times New Roman" w:hAnsi="Cambria"/>
          <w:bCs/>
          <w:kern w:val="0"/>
          <w:sz w:val="20"/>
          <w:szCs w:val="20"/>
          <w:lang w:eastAsia="en-GB"/>
          <w14:ligatures w14:val="none"/>
        </w:rPr>
      </w:pPr>
    </w:p>
    <w:p w14:paraId="5E525935" w14:textId="06C19CAE"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hAnsi="Cambria"/>
          <w:i/>
          <w:iCs/>
          <w:sz w:val="20"/>
          <w:szCs w:val="20"/>
        </w:rPr>
        <w:t>[23-10] Recommandation de l'ICCAT remplaçant la Recommandation 19-07 sur des mesures de gestion pour la conservation du requin peau bleue de l’Atlantique Nord capturé en association avec les pêcheries de l’ICCAT)</w:t>
      </w:r>
    </w:p>
    <w:p w14:paraId="40FA6413" w14:textId="77777777" w:rsidR="009C7C25" w:rsidRPr="005756CE" w:rsidRDefault="009C7C25" w:rsidP="001E71F8">
      <w:pPr>
        <w:spacing w:line="240" w:lineRule="auto"/>
        <w:rPr>
          <w:rFonts w:ascii="Cambria" w:hAnsi="Cambria"/>
          <w:sz w:val="20"/>
          <w:szCs w:val="20"/>
        </w:rPr>
      </w:pPr>
    </w:p>
    <w:p w14:paraId="1105E5B2" w14:textId="1D02F109" w:rsidR="009C7C25" w:rsidRPr="005756CE" w:rsidRDefault="00280082"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L</w:t>
      </w:r>
      <w:r w:rsidR="009C7C25" w:rsidRPr="005756CE">
        <w:rPr>
          <w:rFonts w:ascii="Cambria" w:eastAsia="Times New Roman" w:hAnsi="Cambria"/>
          <w:kern w:val="0"/>
          <w:sz w:val="20"/>
          <w:szCs w:val="20"/>
          <w14:ligatures w14:val="none"/>
        </w:rPr>
        <w:t xml:space="preserve">a Commission </w:t>
      </w:r>
      <w:r w:rsidRPr="005756CE">
        <w:rPr>
          <w:rFonts w:ascii="Cambria" w:eastAsia="Times New Roman" w:hAnsi="Cambria"/>
          <w:kern w:val="0"/>
          <w:sz w:val="20"/>
          <w:szCs w:val="20"/>
          <w14:ligatures w14:val="none"/>
        </w:rPr>
        <w:t>a établi</w:t>
      </w:r>
      <w:r w:rsidR="00FA086E" w:rsidRPr="005756CE">
        <w:rPr>
          <w:rFonts w:ascii="Cambria" w:eastAsia="Times New Roman" w:hAnsi="Cambria"/>
          <w:kern w:val="0"/>
          <w:sz w:val="20"/>
          <w:szCs w:val="20"/>
          <w14:ligatures w14:val="none"/>
        </w:rPr>
        <w:t xml:space="preserve">, </w:t>
      </w:r>
      <w:r w:rsidR="009C7C25" w:rsidRPr="005756CE">
        <w:rPr>
          <w:rFonts w:ascii="Cambria" w:eastAsia="Times New Roman" w:hAnsi="Cambria"/>
          <w:kern w:val="0"/>
          <w:sz w:val="20"/>
          <w:szCs w:val="20"/>
          <w14:ligatures w14:val="none"/>
        </w:rPr>
        <w:t xml:space="preserve">lors de la 28ème réunion </w:t>
      </w:r>
      <w:r w:rsidR="004B484C" w:rsidRPr="005756CE">
        <w:rPr>
          <w:rFonts w:ascii="Cambria" w:eastAsia="Times New Roman" w:hAnsi="Cambria"/>
          <w:kern w:val="0"/>
          <w:sz w:val="20"/>
          <w:szCs w:val="20"/>
          <w14:ligatures w14:val="none"/>
        </w:rPr>
        <w:t>ordinaire</w:t>
      </w:r>
      <w:r w:rsidR="009C7C25" w:rsidRPr="005756CE">
        <w:rPr>
          <w:rFonts w:ascii="Cambria" w:eastAsia="Times New Roman" w:hAnsi="Cambria"/>
          <w:kern w:val="0"/>
          <w:sz w:val="20"/>
          <w:szCs w:val="20"/>
          <w14:ligatures w14:val="none"/>
        </w:rPr>
        <w:t xml:space="preserve"> de l’ICCAT</w:t>
      </w:r>
      <w:r w:rsidR="00FA086E" w:rsidRPr="005756CE">
        <w:rPr>
          <w:rFonts w:ascii="Cambria" w:eastAsia="Times New Roman" w:hAnsi="Cambria"/>
          <w:kern w:val="0"/>
          <w:sz w:val="20"/>
          <w:szCs w:val="20"/>
          <w14:ligatures w14:val="none"/>
        </w:rPr>
        <w:t>, un total des prises admissibles (TAC) annuel de 30.000 t pour le requin peau bleue de l'Atlantique Nord</w:t>
      </w:r>
      <w:r w:rsidR="006F31E9" w:rsidRPr="005756CE">
        <w:rPr>
          <w:rFonts w:ascii="Cambria" w:eastAsia="Times New Roman" w:hAnsi="Cambria"/>
          <w:kern w:val="0"/>
          <w:sz w:val="20"/>
          <w:szCs w:val="20"/>
          <w14:ligatures w14:val="none"/>
        </w:rPr>
        <w:t xml:space="preserve"> à compter de 2024.</w:t>
      </w:r>
    </w:p>
    <w:p w14:paraId="2A499064"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6335250B"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Si, au cours d'une année quelconque, le total des captures de requin peau bleue de l'Atlantique Nord dépasse le TAC, la Commission devra examiner la mise en œuvre de ces mesures.</w:t>
      </w:r>
    </w:p>
    <w:p w14:paraId="55BA5ED4" w14:textId="77777777" w:rsidR="00C42466" w:rsidRPr="005756CE" w:rsidRDefault="00C42466" w:rsidP="001E71F8">
      <w:pPr>
        <w:spacing w:line="240" w:lineRule="auto"/>
        <w:jc w:val="both"/>
        <w:rPr>
          <w:rFonts w:ascii="Cambria" w:hAnsi="Cambria"/>
          <w:sz w:val="20"/>
          <w:szCs w:val="20"/>
        </w:rPr>
      </w:pPr>
      <w:r w:rsidRPr="005756CE">
        <w:rPr>
          <w:rFonts w:ascii="Cambria" w:hAnsi="Cambria"/>
          <w:sz w:val="20"/>
          <w:szCs w:val="20"/>
        </w:rPr>
        <w:lastRenderedPageBreak/>
        <w:t xml:space="preserve">Les captures totales sont indiquées ci-dessous, ce qui montre que le stock n’a pas fait l’objet d’une surconsommation en 2024 : </w:t>
      </w:r>
    </w:p>
    <w:p w14:paraId="69D4C288" w14:textId="77777777" w:rsidR="00C42466" w:rsidRPr="005756CE" w:rsidRDefault="00C42466" w:rsidP="001E71F8">
      <w:pPr>
        <w:spacing w:line="240" w:lineRule="auto"/>
        <w:rPr>
          <w:rFonts w:ascii="Cambria" w:hAnsi="Cambria"/>
          <w:sz w:val="20"/>
          <w:szCs w:val="20"/>
        </w:rPr>
      </w:pPr>
    </w:p>
    <w:p w14:paraId="2237BB3E" w14:textId="313C63F2" w:rsidR="00C42466" w:rsidRPr="005756CE" w:rsidRDefault="00C42466" w:rsidP="001E71F8">
      <w:pPr>
        <w:spacing w:line="240" w:lineRule="auto"/>
        <w:rPr>
          <w:rFonts w:ascii="Cambria" w:hAnsi="Cambria"/>
          <w:sz w:val="20"/>
          <w:szCs w:val="20"/>
        </w:rPr>
      </w:pPr>
      <w:r w:rsidRPr="005756CE">
        <w:rPr>
          <w:rFonts w:ascii="Cambria" w:hAnsi="Cambria"/>
          <w:sz w:val="20"/>
          <w:szCs w:val="20"/>
        </w:rPr>
        <w:t>Données de la tâche 1 (données déclarées uniquement</w:t>
      </w:r>
      <w:r w:rsidR="006F31E9" w:rsidRPr="005756CE">
        <w:rPr>
          <w:rFonts w:ascii="Cambria" w:hAnsi="Cambria"/>
          <w:sz w:val="20"/>
          <w:szCs w:val="20"/>
        </w:rPr>
        <w:t>) :</w:t>
      </w:r>
    </w:p>
    <w:p w14:paraId="4F16F936" w14:textId="77777777" w:rsidR="00C42466" w:rsidRPr="005756CE" w:rsidRDefault="00C42466" w:rsidP="001E71F8">
      <w:pPr>
        <w:spacing w:line="240" w:lineRule="auto"/>
        <w:rPr>
          <w:rFonts w:ascii="Cambria" w:hAnsi="Cambri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54"/>
        <w:gridCol w:w="1361"/>
        <w:gridCol w:w="1359"/>
        <w:gridCol w:w="1359"/>
        <w:gridCol w:w="1359"/>
        <w:gridCol w:w="1358"/>
      </w:tblGrid>
      <w:tr w:rsidR="00C42466" w:rsidRPr="005756CE" w14:paraId="34EFB8DF" w14:textId="77777777" w:rsidTr="000949A9">
        <w:tc>
          <w:tcPr>
            <w:tcW w:w="1365" w:type="pct"/>
            <w:shd w:val="clear" w:color="auto" w:fill="FFFFFF"/>
            <w:vAlign w:val="center"/>
            <w:hideMark/>
          </w:tcPr>
          <w:p w14:paraId="3F637598" w14:textId="77777777" w:rsidR="00C42466" w:rsidRPr="005756CE" w:rsidRDefault="00C42466" w:rsidP="001E71F8">
            <w:pPr>
              <w:spacing w:line="240" w:lineRule="auto"/>
              <w:jc w:val="center"/>
              <w:rPr>
                <w:rFonts w:ascii="Cambria" w:hAnsi="Cambria"/>
                <w:i/>
                <w:iCs/>
                <w:sz w:val="20"/>
                <w:szCs w:val="20"/>
              </w:rPr>
            </w:pPr>
            <w:r w:rsidRPr="005756CE">
              <w:rPr>
                <w:rFonts w:ascii="Cambria" w:hAnsi="Cambria"/>
                <w:i/>
                <w:sz w:val="20"/>
                <w:szCs w:val="20"/>
              </w:rPr>
              <w:t>Requin peau bleue</w:t>
            </w:r>
          </w:p>
        </w:tc>
        <w:tc>
          <w:tcPr>
            <w:tcW w:w="728" w:type="pct"/>
            <w:shd w:val="clear" w:color="auto" w:fill="FFFFFF"/>
            <w:vAlign w:val="center"/>
            <w:hideMark/>
          </w:tcPr>
          <w:p w14:paraId="65A30E0D" w14:textId="77777777" w:rsidR="00C42466" w:rsidRPr="005756CE" w:rsidRDefault="00C42466" w:rsidP="001E71F8">
            <w:pPr>
              <w:spacing w:line="240" w:lineRule="auto"/>
              <w:jc w:val="center"/>
              <w:rPr>
                <w:rFonts w:ascii="Cambria" w:hAnsi="Cambria"/>
                <w:i/>
                <w:iCs/>
                <w:sz w:val="20"/>
                <w:szCs w:val="20"/>
              </w:rPr>
            </w:pPr>
            <w:r w:rsidRPr="005756CE">
              <w:rPr>
                <w:rFonts w:ascii="Cambria" w:hAnsi="Cambria"/>
                <w:i/>
                <w:sz w:val="20"/>
                <w:szCs w:val="20"/>
              </w:rPr>
              <w:t>2020</w:t>
            </w:r>
          </w:p>
        </w:tc>
        <w:tc>
          <w:tcPr>
            <w:tcW w:w="727" w:type="pct"/>
            <w:shd w:val="clear" w:color="auto" w:fill="FFFFFF"/>
          </w:tcPr>
          <w:p w14:paraId="3B5EEDA7" w14:textId="77777777" w:rsidR="00C42466" w:rsidRPr="005756CE" w:rsidRDefault="00C42466" w:rsidP="001E71F8">
            <w:pPr>
              <w:spacing w:line="240" w:lineRule="auto"/>
              <w:jc w:val="center"/>
              <w:rPr>
                <w:rFonts w:ascii="Cambria" w:hAnsi="Cambria"/>
                <w:i/>
                <w:iCs/>
                <w:sz w:val="20"/>
                <w:szCs w:val="20"/>
              </w:rPr>
            </w:pPr>
            <w:r w:rsidRPr="005756CE">
              <w:rPr>
                <w:rFonts w:ascii="Cambria" w:hAnsi="Cambria"/>
                <w:i/>
                <w:sz w:val="20"/>
                <w:szCs w:val="20"/>
              </w:rPr>
              <w:t>2021</w:t>
            </w:r>
          </w:p>
        </w:tc>
        <w:tc>
          <w:tcPr>
            <w:tcW w:w="727" w:type="pct"/>
            <w:shd w:val="clear" w:color="auto" w:fill="FFFFFF"/>
          </w:tcPr>
          <w:p w14:paraId="43CFECD8" w14:textId="77777777" w:rsidR="00C42466" w:rsidRPr="005756CE" w:rsidRDefault="00C42466" w:rsidP="001E71F8">
            <w:pPr>
              <w:spacing w:line="240" w:lineRule="auto"/>
              <w:jc w:val="center"/>
              <w:rPr>
                <w:rFonts w:ascii="Cambria" w:hAnsi="Cambria"/>
                <w:i/>
                <w:iCs/>
                <w:sz w:val="20"/>
                <w:szCs w:val="20"/>
              </w:rPr>
            </w:pPr>
            <w:r w:rsidRPr="005756CE">
              <w:rPr>
                <w:rFonts w:ascii="Cambria" w:hAnsi="Cambria"/>
                <w:i/>
                <w:sz w:val="20"/>
                <w:szCs w:val="20"/>
              </w:rPr>
              <w:t>2022</w:t>
            </w:r>
          </w:p>
        </w:tc>
        <w:tc>
          <w:tcPr>
            <w:tcW w:w="727" w:type="pct"/>
            <w:shd w:val="clear" w:color="auto" w:fill="FFFFFF"/>
          </w:tcPr>
          <w:p w14:paraId="1ABDF7C2" w14:textId="77777777" w:rsidR="00C42466" w:rsidRPr="005756CE" w:rsidRDefault="00C42466" w:rsidP="001E71F8">
            <w:pPr>
              <w:spacing w:line="240" w:lineRule="auto"/>
              <w:jc w:val="center"/>
              <w:rPr>
                <w:rFonts w:ascii="Cambria" w:hAnsi="Cambria"/>
                <w:i/>
                <w:iCs/>
                <w:sz w:val="20"/>
                <w:szCs w:val="20"/>
              </w:rPr>
            </w:pPr>
            <w:r w:rsidRPr="005756CE">
              <w:rPr>
                <w:rFonts w:ascii="Cambria" w:hAnsi="Cambria"/>
                <w:i/>
                <w:sz w:val="20"/>
                <w:szCs w:val="20"/>
              </w:rPr>
              <w:t>2023</w:t>
            </w:r>
          </w:p>
        </w:tc>
        <w:tc>
          <w:tcPr>
            <w:tcW w:w="726" w:type="pct"/>
            <w:shd w:val="clear" w:color="auto" w:fill="FFFFFF"/>
          </w:tcPr>
          <w:p w14:paraId="04D6866D" w14:textId="77777777" w:rsidR="00C42466" w:rsidRPr="005756CE" w:rsidRDefault="00C42466" w:rsidP="001E71F8">
            <w:pPr>
              <w:spacing w:line="240" w:lineRule="auto"/>
              <w:jc w:val="center"/>
              <w:rPr>
                <w:rFonts w:ascii="Cambria" w:hAnsi="Cambria"/>
                <w:i/>
                <w:iCs/>
                <w:sz w:val="20"/>
                <w:szCs w:val="20"/>
              </w:rPr>
            </w:pPr>
            <w:r w:rsidRPr="005756CE">
              <w:rPr>
                <w:rFonts w:ascii="Cambria" w:hAnsi="Cambria"/>
                <w:i/>
                <w:sz w:val="20"/>
                <w:szCs w:val="20"/>
              </w:rPr>
              <w:t>2024</w:t>
            </w:r>
          </w:p>
        </w:tc>
      </w:tr>
      <w:tr w:rsidR="00C42466" w:rsidRPr="005756CE" w14:paraId="4FB21C7D" w14:textId="77777777" w:rsidTr="000949A9">
        <w:tc>
          <w:tcPr>
            <w:tcW w:w="1365" w:type="pct"/>
            <w:shd w:val="clear" w:color="auto" w:fill="FFFFFF"/>
            <w:vAlign w:val="center"/>
            <w:hideMark/>
          </w:tcPr>
          <w:p w14:paraId="6B942278" w14:textId="77777777" w:rsidR="00C42466" w:rsidRPr="005756CE" w:rsidRDefault="00C42466" w:rsidP="001E71F8">
            <w:pPr>
              <w:spacing w:line="240" w:lineRule="auto"/>
              <w:jc w:val="center"/>
              <w:rPr>
                <w:rFonts w:ascii="Cambria" w:hAnsi="Cambria"/>
                <w:color w:val="000000"/>
                <w:sz w:val="20"/>
                <w:szCs w:val="20"/>
              </w:rPr>
            </w:pPr>
            <w:r w:rsidRPr="005756CE">
              <w:rPr>
                <w:rFonts w:ascii="Cambria" w:hAnsi="Cambria"/>
                <w:color w:val="000000"/>
                <w:sz w:val="20"/>
                <w:szCs w:val="20"/>
              </w:rPr>
              <w:t>ATN</w:t>
            </w:r>
          </w:p>
        </w:tc>
        <w:tc>
          <w:tcPr>
            <w:tcW w:w="728" w:type="pct"/>
            <w:shd w:val="clear" w:color="auto" w:fill="FFFFFF"/>
            <w:hideMark/>
          </w:tcPr>
          <w:p w14:paraId="2CFB3F2B" w14:textId="77777777" w:rsidR="00C42466" w:rsidRPr="005756CE" w:rsidRDefault="00C42466" w:rsidP="001E71F8">
            <w:pPr>
              <w:spacing w:line="240" w:lineRule="auto"/>
              <w:jc w:val="center"/>
              <w:rPr>
                <w:rFonts w:ascii="Cambria" w:hAnsi="Cambria"/>
                <w:sz w:val="20"/>
                <w:szCs w:val="20"/>
              </w:rPr>
            </w:pPr>
            <w:r w:rsidRPr="005756CE">
              <w:rPr>
                <w:rFonts w:ascii="Cambria" w:hAnsi="Cambria"/>
                <w:sz w:val="20"/>
                <w:szCs w:val="20"/>
              </w:rPr>
              <w:t>20949</w:t>
            </w:r>
          </w:p>
        </w:tc>
        <w:tc>
          <w:tcPr>
            <w:tcW w:w="727" w:type="pct"/>
            <w:shd w:val="clear" w:color="auto" w:fill="FFFFFF"/>
          </w:tcPr>
          <w:p w14:paraId="3DB32BEA" w14:textId="77777777" w:rsidR="00C42466" w:rsidRPr="005756CE" w:rsidRDefault="00C42466" w:rsidP="001E71F8">
            <w:pPr>
              <w:spacing w:line="240" w:lineRule="auto"/>
              <w:jc w:val="center"/>
              <w:rPr>
                <w:rFonts w:ascii="Cambria" w:hAnsi="Cambria"/>
                <w:sz w:val="20"/>
                <w:szCs w:val="20"/>
              </w:rPr>
            </w:pPr>
            <w:r w:rsidRPr="005756CE">
              <w:rPr>
                <w:rFonts w:ascii="Cambria" w:hAnsi="Cambria"/>
                <w:sz w:val="20"/>
                <w:szCs w:val="20"/>
              </w:rPr>
              <w:t>21631</w:t>
            </w:r>
          </w:p>
        </w:tc>
        <w:tc>
          <w:tcPr>
            <w:tcW w:w="727" w:type="pct"/>
            <w:shd w:val="clear" w:color="auto" w:fill="FFFFFF"/>
          </w:tcPr>
          <w:p w14:paraId="1DA87AF0" w14:textId="77777777" w:rsidR="00C42466" w:rsidRPr="005756CE" w:rsidRDefault="00C42466" w:rsidP="001E71F8">
            <w:pPr>
              <w:spacing w:line="240" w:lineRule="auto"/>
              <w:jc w:val="center"/>
              <w:rPr>
                <w:rFonts w:ascii="Cambria" w:hAnsi="Cambria"/>
                <w:sz w:val="20"/>
                <w:szCs w:val="20"/>
              </w:rPr>
            </w:pPr>
            <w:r w:rsidRPr="005756CE">
              <w:rPr>
                <w:rFonts w:ascii="Cambria" w:hAnsi="Cambria"/>
                <w:sz w:val="20"/>
                <w:szCs w:val="20"/>
              </w:rPr>
              <w:t>21846</w:t>
            </w:r>
          </w:p>
        </w:tc>
        <w:tc>
          <w:tcPr>
            <w:tcW w:w="727" w:type="pct"/>
            <w:shd w:val="clear" w:color="auto" w:fill="FFFFFF"/>
          </w:tcPr>
          <w:p w14:paraId="6381153D" w14:textId="77777777" w:rsidR="00C42466" w:rsidRPr="005756CE" w:rsidRDefault="00C42466" w:rsidP="001E71F8">
            <w:pPr>
              <w:spacing w:line="240" w:lineRule="auto"/>
              <w:jc w:val="center"/>
              <w:rPr>
                <w:rFonts w:ascii="Cambria" w:hAnsi="Cambria"/>
                <w:color w:val="FF0000"/>
                <w:sz w:val="20"/>
                <w:szCs w:val="20"/>
              </w:rPr>
            </w:pPr>
            <w:r w:rsidRPr="005756CE">
              <w:rPr>
                <w:rFonts w:ascii="Cambria" w:hAnsi="Cambria"/>
                <w:sz w:val="20"/>
                <w:szCs w:val="20"/>
              </w:rPr>
              <w:t>23780</w:t>
            </w:r>
          </w:p>
        </w:tc>
        <w:tc>
          <w:tcPr>
            <w:tcW w:w="726" w:type="pct"/>
            <w:shd w:val="clear" w:color="auto" w:fill="FFFFFF"/>
          </w:tcPr>
          <w:p w14:paraId="6A18AD02" w14:textId="77777777" w:rsidR="00C42466" w:rsidRPr="005756CE" w:rsidRDefault="00C42466" w:rsidP="001E71F8">
            <w:pPr>
              <w:spacing w:line="240" w:lineRule="auto"/>
              <w:jc w:val="center"/>
              <w:rPr>
                <w:rFonts w:ascii="Cambria" w:hAnsi="Cambria"/>
                <w:sz w:val="20"/>
                <w:szCs w:val="20"/>
              </w:rPr>
            </w:pPr>
            <w:r w:rsidRPr="005756CE">
              <w:rPr>
                <w:rFonts w:ascii="Cambria" w:hAnsi="Cambria"/>
                <w:sz w:val="20"/>
                <w:szCs w:val="20"/>
              </w:rPr>
              <w:t>24522</w:t>
            </w:r>
          </w:p>
        </w:tc>
      </w:tr>
    </w:tbl>
    <w:p w14:paraId="7EFBBD6D" w14:textId="77777777" w:rsidR="00C42466" w:rsidRPr="005756CE" w:rsidRDefault="00C42466" w:rsidP="001E71F8">
      <w:pPr>
        <w:spacing w:line="240" w:lineRule="auto"/>
        <w:jc w:val="both"/>
        <w:rPr>
          <w:rFonts w:ascii="Cambria" w:hAnsi="Cambria"/>
          <w:sz w:val="20"/>
          <w:szCs w:val="20"/>
          <w:lang w:val="en-GB"/>
        </w:rPr>
      </w:pPr>
    </w:p>
    <w:p w14:paraId="1A9EEC85" w14:textId="77777777" w:rsidR="00C42466" w:rsidRPr="005756CE" w:rsidRDefault="00C42466" w:rsidP="001E71F8">
      <w:pPr>
        <w:spacing w:line="240" w:lineRule="auto"/>
        <w:jc w:val="both"/>
        <w:rPr>
          <w:rFonts w:ascii="Cambria" w:hAnsi="Cambria"/>
          <w:color w:val="000000" w:themeColor="text1"/>
          <w:sz w:val="20"/>
          <w:szCs w:val="20"/>
        </w:rPr>
      </w:pPr>
      <w:r w:rsidRPr="005756CE">
        <w:rPr>
          <w:rFonts w:ascii="Cambria" w:hAnsi="Cambria"/>
          <w:color w:val="000000" w:themeColor="text1"/>
          <w:sz w:val="20"/>
          <w:szCs w:val="20"/>
        </w:rPr>
        <w:t xml:space="preserve">Les obligations en matière de déclaration de la tâche 1sont examinées en vertu de la Rec. 11-15. Aux termes de cette Recommandation, à partir de 2020, les CPC devront décrire, dans leurs rapports annuels, leurs programmes de collecte de données et les démarches entreprises en vue de mettre en œuvre la Recommandation. Ces rapports sont inclus dans les feuilles de contrôle de la mise en œuvre des mesures s’appliquant aux requins (cf. Rec. 18-06 ci-dessous). </w:t>
      </w:r>
    </w:p>
    <w:p w14:paraId="5DE46FC6" w14:textId="77777777" w:rsidR="00C42466" w:rsidRPr="005756CE" w:rsidRDefault="00C42466" w:rsidP="001E71F8">
      <w:pPr>
        <w:spacing w:line="240" w:lineRule="auto"/>
        <w:jc w:val="both"/>
        <w:rPr>
          <w:rFonts w:ascii="Cambria" w:hAnsi="Cambria"/>
          <w:bCs/>
          <w:i/>
          <w:sz w:val="20"/>
          <w:szCs w:val="20"/>
          <w:lang w:eastAsia="en-GB"/>
        </w:rPr>
      </w:pPr>
    </w:p>
    <w:p w14:paraId="1FA0E762" w14:textId="1096768D" w:rsidR="00C42466" w:rsidRPr="005756CE" w:rsidRDefault="00C42466" w:rsidP="001E71F8">
      <w:pPr>
        <w:tabs>
          <w:tab w:val="left" w:pos="1276"/>
          <w:tab w:val="left" w:pos="1418"/>
          <w:tab w:val="left" w:leader="dot" w:pos="8222"/>
          <w:tab w:val="right" w:pos="8647"/>
        </w:tabs>
        <w:spacing w:line="240" w:lineRule="auto"/>
        <w:jc w:val="both"/>
        <w:rPr>
          <w:rFonts w:ascii="Cambria" w:hAnsi="Cambria"/>
          <w:sz w:val="20"/>
          <w:szCs w:val="20"/>
        </w:rPr>
      </w:pPr>
      <w:r w:rsidRPr="005756CE">
        <w:rPr>
          <w:rFonts w:ascii="Cambria" w:hAnsi="Cambria"/>
          <w:b/>
          <w:bCs/>
          <w:sz w:val="20"/>
          <w:szCs w:val="20"/>
        </w:rPr>
        <w:t xml:space="preserve">Application des </w:t>
      </w:r>
      <w:r w:rsidRPr="005756CE">
        <w:rPr>
          <w:rFonts w:ascii="Cambria" w:hAnsi="Cambria"/>
          <w:b/>
          <w:bCs/>
          <w:i/>
          <w:sz w:val="20"/>
          <w:szCs w:val="20"/>
        </w:rPr>
        <w:t>quotas/li</w:t>
      </w:r>
      <w:r w:rsidRPr="005756CE">
        <w:rPr>
          <w:rFonts w:ascii="Cambria" w:hAnsi="Cambria"/>
          <w:b/>
          <w:i/>
          <w:sz w:val="20"/>
          <w:szCs w:val="20"/>
        </w:rPr>
        <w:t xml:space="preserve">mites de capture </w:t>
      </w:r>
      <w:r w:rsidRPr="005756CE">
        <w:rPr>
          <w:rFonts w:ascii="Cambria" w:hAnsi="Cambria"/>
          <w:sz w:val="20"/>
          <w:szCs w:val="20"/>
        </w:rPr>
        <w:t>: Veuillez consulter les</w:t>
      </w:r>
      <w:r w:rsidR="00A51F2C" w:rsidRPr="005756CE">
        <w:rPr>
          <w:rFonts w:ascii="Cambria" w:hAnsi="Cambria"/>
          <w:sz w:val="20"/>
          <w:szCs w:val="20"/>
        </w:rPr>
        <w:t xml:space="preserve"> </w:t>
      </w:r>
      <w:r w:rsidRPr="005756CE">
        <w:rPr>
          <w:rFonts w:ascii="Cambria" w:hAnsi="Cambria"/>
          <w:sz w:val="20"/>
          <w:szCs w:val="20"/>
        </w:rPr>
        <w:t>"Tableaux d'application 2024 reçus en 2025" [COC_304/2025].</w:t>
      </w:r>
    </w:p>
    <w:p w14:paraId="7AD95604" w14:textId="77777777" w:rsidR="00C42466" w:rsidRPr="005756CE" w:rsidRDefault="00C42466" w:rsidP="001E71F8">
      <w:pPr>
        <w:spacing w:line="240" w:lineRule="auto"/>
        <w:jc w:val="both"/>
        <w:rPr>
          <w:rFonts w:ascii="Cambria" w:hAnsi="Cambria"/>
          <w:bCs/>
          <w:i/>
          <w:sz w:val="20"/>
          <w:szCs w:val="20"/>
          <w:lang w:eastAsia="en-GB"/>
        </w:rPr>
      </w:pPr>
    </w:p>
    <w:p w14:paraId="7EC5D93A" w14:textId="29849E59" w:rsidR="00C42466" w:rsidRPr="005756CE" w:rsidRDefault="00C42466" w:rsidP="001E71F8">
      <w:pPr>
        <w:spacing w:line="240" w:lineRule="auto"/>
        <w:jc w:val="both"/>
        <w:rPr>
          <w:rFonts w:ascii="Cambria" w:hAnsi="Cambria"/>
          <w:sz w:val="20"/>
          <w:szCs w:val="20"/>
        </w:rPr>
      </w:pPr>
      <w:r w:rsidRPr="005756CE">
        <w:rPr>
          <w:rFonts w:ascii="Cambria" w:hAnsi="Cambria"/>
          <w:sz w:val="20"/>
          <w:szCs w:val="20"/>
        </w:rPr>
        <w:t xml:space="preserve">Veuillez consulter les « feuilles de contrôle s'appliquant </w:t>
      </w:r>
      <w:proofErr w:type="gramStart"/>
      <w:r w:rsidRPr="005756CE">
        <w:rPr>
          <w:rFonts w:ascii="Cambria" w:hAnsi="Cambria"/>
          <w:sz w:val="20"/>
          <w:szCs w:val="20"/>
        </w:rPr>
        <w:t>aux requins reçues</w:t>
      </w:r>
      <w:proofErr w:type="gramEnd"/>
      <w:r w:rsidRPr="005756CE">
        <w:rPr>
          <w:rFonts w:ascii="Cambria" w:hAnsi="Cambria"/>
          <w:sz w:val="20"/>
          <w:szCs w:val="20"/>
        </w:rPr>
        <w:t xml:space="preserve"> en vertu de la Rec. 18-06 » [COC_314/202</w:t>
      </w:r>
      <w:r w:rsidR="00067C9C" w:rsidRPr="005756CE">
        <w:rPr>
          <w:rFonts w:ascii="Cambria" w:hAnsi="Cambria"/>
          <w:sz w:val="20"/>
          <w:szCs w:val="20"/>
        </w:rPr>
        <w:t>5</w:t>
      </w:r>
      <w:r w:rsidRPr="005756CE">
        <w:rPr>
          <w:rFonts w:ascii="Cambria" w:hAnsi="Cambria"/>
          <w:sz w:val="20"/>
          <w:szCs w:val="20"/>
        </w:rPr>
        <w:t xml:space="preserve">] pour la mise en œuvre de ces mesures. </w:t>
      </w:r>
    </w:p>
    <w:p w14:paraId="072B76FE" w14:textId="77777777" w:rsidR="00C42466" w:rsidRPr="005756CE" w:rsidRDefault="00C42466" w:rsidP="001E71F8">
      <w:pPr>
        <w:spacing w:line="240" w:lineRule="auto"/>
        <w:rPr>
          <w:rFonts w:ascii="Cambria" w:hAnsi="Cambria"/>
          <w:sz w:val="20"/>
          <w:szCs w:val="20"/>
        </w:rPr>
      </w:pPr>
    </w:p>
    <w:p w14:paraId="29809790" w14:textId="77777777" w:rsidR="00C42466" w:rsidRPr="005756CE" w:rsidRDefault="00C42466" w:rsidP="001E71F8">
      <w:pPr>
        <w:tabs>
          <w:tab w:val="left" w:pos="1276"/>
          <w:tab w:val="left" w:pos="1418"/>
          <w:tab w:val="left" w:leader="dot" w:pos="8222"/>
          <w:tab w:val="right" w:pos="8647"/>
        </w:tabs>
        <w:spacing w:line="240" w:lineRule="auto"/>
        <w:jc w:val="both"/>
        <w:rPr>
          <w:rFonts w:ascii="Cambria" w:hAnsi="Cambria"/>
          <w:iCs/>
          <w:sz w:val="20"/>
          <w:szCs w:val="20"/>
        </w:rPr>
      </w:pPr>
      <w:r w:rsidRPr="005756CE">
        <w:rPr>
          <w:rFonts w:ascii="Cambria" w:hAnsi="Cambria"/>
          <w:i/>
          <w:sz w:val="20"/>
          <w:szCs w:val="20"/>
        </w:rPr>
        <w:t>[Rec. 23-11] Recommandation de l'ICCAT remplaçant la Recommandation 19-08 sur des mesures de gestion pour la conservation du requin peau bleue de l’Atlantique Sud capturé en association avec les pêcheries de l’ICCAT</w:t>
      </w:r>
    </w:p>
    <w:p w14:paraId="45432603" w14:textId="77777777" w:rsidR="00C42466" w:rsidRPr="005756CE" w:rsidRDefault="00C42466" w:rsidP="001E71F8">
      <w:pPr>
        <w:spacing w:line="240" w:lineRule="auto"/>
        <w:jc w:val="both"/>
        <w:rPr>
          <w:rFonts w:ascii="Cambria" w:hAnsi="Cambria"/>
          <w:bCs/>
          <w:i/>
          <w:sz w:val="20"/>
          <w:szCs w:val="20"/>
          <w:lang w:eastAsia="en-GB"/>
        </w:rPr>
      </w:pPr>
    </w:p>
    <w:p w14:paraId="3C160B7F" w14:textId="6C738753" w:rsidR="00C42466" w:rsidRPr="005756CE" w:rsidRDefault="003518B7" w:rsidP="001E71F8">
      <w:pPr>
        <w:spacing w:line="240" w:lineRule="auto"/>
        <w:jc w:val="both"/>
        <w:rPr>
          <w:rFonts w:ascii="Cambria" w:hAnsi="Cambria"/>
          <w:sz w:val="20"/>
          <w:szCs w:val="20"/>
        </w:rPr>
      </w:pPr>
      <w:r w:rsidRPr="005756CE">
        <w:rPr>
          <w:rFonts w:ascii="Cambria" w:hAnsi="Cambria"/>
          <w:sz w:val="20"/>
          <w:szCs w:val="20"/>
        </w:rPr>
        <w:t>L</w:t>
      </w:r>
      <w:r w:rsidR="00C42466" w:rsidRPr="005756CE">
        <w:rPr>
          <w:rFonts w:ascii="Cambria" w:hAnsi="Cambria"/>
          <w:sz w:val="20"/>
          <w:szCs w:val="20"/>
        </w:rPr>
        <w:t xml:space="preserve">a Commission </w:t>
      </w:r>
      <w:r w:rsidRPr="005756CE">
        <w:rPr>
          <w:rFonts w:ascii="Cambria" w:hAnsi="Cambria"/>
          <w:sz w:val="20"/>
          <w:szCs w:val="20"/>
        </w:rPr>
        <w:t xml:space="preserve">a établi, </w:t>
      </w:r>
      <w:r w:rsidR="00C42466" w:rsidRPr="005756CE">
        <w:rPr>
          <w:rFonts w:ascii="Cambria" w:hAnsi="Cambria"/>
          <w:sz w:val="20"/>
          <w:szCs w:val="20"/>
        </w:rPr>
        <w:t>lors de la 28ème réunion régulière de l’ICCAT</w:t>
      </w:r>
      <w:r w:rsidR="00470FAC" w:rsidRPr="005756CE">
        <w:rPr>
          <w:rFonts w:ascii="Cambria" w:hAnsi="Cambria"/>
          <w:sz w:val="20"/>
          <w:szCs w:val="20"/>
        </w:rPr>
        <w:t>, un nouveau total de prises admissibles (TAC) annuel de 27.711 t à partir de 2024.</w:t>
      </w:r>
    </w:p>
    <w:p w14:paraId="34C3C8C6" w14:textId="77777777" w:rsidR="00C42466" w:rsidRPr="005756CE" w:rsidRDefault="00C42466" w:rsidP="001E71F8">
      <w:pPr>
        <w:spacing w:line="240" w:lineRule="auto"/>
        <w:jc w:val="both"/>
        <w:rPr>
          <w:rFonts w:ascii="Cambria" w:hAnsi="Cambria"/>
          <w:sz w:val="20"/>
          <w:szCs w:val="20"/>
        </w:rPr>
      </w:pPr>
    </w:p>
    <w:p w14:paraId="7A67287A" w14:textId="0B5BA65E" w:rsidR="00C42466" w:rsidRPr="005756CE" w:rsidRDefault="00C42466" w:rsidP="001E71F8">
      <w:pPr>
        <w:spacing w:line="240" w:lineRule="auto"/>
        <w:jc w:val="both"/>
        <w:rPr>
          <w:rFonts w:ascii="Cambria" w:hAnsi="Cambria"/>
          <w:sz w:val="20"/>
          <w:szCs w:val="20"/>
        </w:rPr>
      </w:pPr>
      <w:r w:rsidRPr="005756CE">
        <w:rPr>
          <w:rFonts w:ascii="Cambria" w:hAnsi="Cambria"/>
          <w:sz w:val="20"/>
          <w:szCs w:val="20"/>
        </w:rPr>
        <w:t>La présente Recommandation devra être examinée à la lumière des résultats de la prochaine évaluation du stock de requin peau bleue de l'Atlantique Sud par le SCRS.</w:t>
      </w:r>
    </w:p>
    <w:p w14:paraId="6288BEFD" w14:textId="77777777" w:rsidR="00C42466" w:rsidRPr="005756CE" w:rsidRDefault="00C42466" w:rsidP="001E71F8">
      <w:pPr>
        <w:spacing w:line="240" w:lineRule="auto"/>
        <w:jc w:val="both"/>
        <w:rPr>
          <w:rFonts w:ascii="Cambria" w:hAnsi="Cambria"/>
          <w:sz w:val="20"/>
          <w:szCs w:val="20"/>
        </w:rPr>
      </w:pPr>
    </w:p>
    <w:p w14:paraId="3313D4B1" w14:textId="77777777" w:rsidR="00C42466" w:rsidRPr="005756CE" w:rsidRDefault="00C42466" w:rsidP="001E71F8">
      <w:pPr>
        <w:spacing w:line="240" w:lineRule="auto"/>
        <w:jc w:val="both"/>
        <w:rPr>
          <w:rFonts w:ascii="Cambria" w:hAnsi="Cambria"/>
          <w:sz w:val="20"/>
          <w:szCs w:val="20"/>
        </w:rPr>
      </w:pPr>
      <w:r w:rsidRPr="005756CE">
        <w:rPr>
          <w:rFonts w:ascii="Cambria" w:hAnsi="Cambria"/>
          <w:sz w:val="20"/>
          <w:szCs w:val="20"/>
        </w:rPr>
        <w:t xml:space="preserve">Les captures totales sont indiquées ci-dessous, ce qui montre que le stock n’a pas fait l’objet d’une surconsommation en 2024 : </w:t>
      </w:r>
    </w:p>
    <w:p w14:paraId="1AD3498B" w14:textId="77777777" w:rsidR="00C42466" w:rsidRPr="005756CE" w:rsidRDefault="00C42466" w:rsidP="001E71F8">
      <w:pPr>
        <w:spacing w:line="240" w:lineRule="auto"/>
        <w:rPr>
          <w:rFonts w:ascii="Cambria" w:hAnsi="Cambria"/>
          <w:sz w:val="20"/>
          <w:szCs w:val="20"/>
        </w:rPr>
      </w:pPr>
    </w:p>
    <w:p w14:paraId="36B918A9" w14:textId="77777777" w:rsidR="00C42466" w:rsidRPr="005756CE" w:rsidRDefault="00C42466" w:rsidP="001E71F8">
      <w:pPr>
        <w:spacing w:line="240" w:lineRule="auto"/>
        <w:rPr>
          <w:rFonts w:ascii="Cambria" w:hAnsi="Cambria"/>
          <w:sz w:val="20"/>
          <w:szCs w:val="20"/>
        </w:rPr>
      </w:pPr>
      <w:r w:rsidRPr="005756CE">
        <w:rPr>
          <w:rFonts w:ascii="Cambria" w:hAnsi="Cambria"/>
          <w:sz w:val="20"/>
          <w:szCs w:val="20"/>
        </w:rPr>
        <w:t>Données de la tâche 1 (données déclarées uniquement</w:t>
      </w:r>
      <w:proofErr w:type="gramStart"/>
      <w:r w:rsidRPr="005756CE">
        <w:rPr>
          <w:rFonts w:ascii="Cambria" w:hAnsi="Cambria"/>
          <w:sz w:val="20"/>
          <w:szCs w:val="20"/>
        </w:rPr>
        <w:t>):</w:t>
      </w:r>
      <w:proofErr w:type="gramEnd"/>
    </w:p>
    <w:p w14:paraId="75F3E9F3" w14:textId="77777777" w:rsidR="00C42466" w:rsidRPr="005756CE" w:rsidRDefault="00C42466" w:rsidP="001E71F8">
      <w:pPr>
        <w:spacing w:line="240" w:lineRule="auto"/>
        <w:rPr>
          <w:rFonts w:ascii="Cambria" w:hAnsi="Cambri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54"/>
        <w:gridCol w:w="1361"/>
        <w:gridCol w:w="1359"/>
        <w:gridCol w:w="1359"/>
        <w:gridCol w:w="1359"/>
        <w:gridCol w:w="1358"/>
      </w:tblGrid>
      <w:tr w:rsidR="00C42466" w:rsidRPr="005756CE" w14:paraId="45F16762" w14:textId="77777777" w:rsidTr="000949A9">
        <w:tc>
          <w:tcPr>
            <w:tcW w:w="1365" w:type="pct"/>
            <w:shd w:val="clear" w:color="auto" w:fill="FFFFFF"/>
            <w:vAlign w:val="center"/>
            <w:hideMark/>
          </w:tcPr>
          <w:p w14:paraId="29631853" w14:textId="77777777" w:rsidR="00C42466" w:rsidRPr="005756CE" w:rsidRDefault="00C42466" w:rsidP="001E71F8">
            <w:pPr>
              <w:spacing w:line="240" w:lineRule="auto"/>
              <w:jc w:val="center"/>
              <w:rPr>
                <w:rFonts w:ascii="Cambria" w:hAnsi="Cambria"/>
                <w:i/>
                <w:iCs/>
                <w:sz w:val="20"/>
                <w:szCs w:val="20"/>
              </w:rPr>
            </w:pPr>
            <w:r w:rsidRPr="005756CE">
              <w:rPr>
                <w:rFonts w:ascii="Cambria" w:hAnsi="Cambria"/>
                <w:i/>
                <w:sz w:val="20"/>
                <w:szCs w:val="20"/>
              </w:rPr>
              <w:t>Requin peau bleue</w:t>
            </w:r>
          </w:p>
        </w:tc>
        <w:tc>
          <w:tcPr>
            <w:tcW w:w="728" w:type="pct"/>
            <w:shd w:val="clear" w:color="auto" w:fill="FFFFFF"/>
            <w:vAlign w:val="center"/>
            <w:hideMark/>
          </w:tcPr>
          <w:p w14:paraId="59A8E42B" w14:textId="77777777" w:rsidR="00C42466" w:rsidRPr="005756CE" w:rsidRDefault="00C42466" w:rsidP="001E71F8">
            <w:pPr>
              <w:spacing w:line="240" w:lineRule="auto"/>
              <w:jc w:val="center"/>
              <w:rPr>
                <w:rFonts w:ascii="Cambria" w:hAnsi="Cambria"/>
                <w:i/>
                <w:iCs/>
                <w:sz w:val="20"/>
                <w:szCs w:val="20"/>
              </w:rPr>
            </w:pPr>
            <w:r w:rsidRPr="005756CE">
              <w:rPr>
                <w:rFonts w:ascii="Cambria" w:hAnsi="Cambria"/>
                <w:i/>
                <w:sz w:val="20"/>
                <w:szCs w:val="20"/>
              </w:rPr>
              <w:t>2020</w:t>
            </w:r>
          </w:p>
        </w:tc>
        <w:tc>
          <w:tcPr>
            <w:tcW w:w="727" w:type="pct"/>
            <w:shd w:val="clear" w:color="auto" w:fill="FFFFFF"/>
          </w:tcPr>
          <w:p w14:paraId="3F46326B" w14:textId="77777777" w:rsidR="00C42466" w:rsidRPr="005756CE" w:rsidRDefault="00C42466" w:rsidP="001E71F8">
            <w:pPr>
              <w:spacing w:line="240" w:lineRule="auto"/>
              <w:jc w:val="center"/>
              <w:rPr>
                <w:rFonts w:ascii="Cambria" w:hAnsi="Cambria"/>
                <w:i/>
                <w:iCs/>
                <w:sz w:val="20"/>
                <w:szCs w:val="20"/>
              </w:rPr>
            </w:pPr>
            <w:r w:rsidRPr="005756CE">
              <w:rPr>
                <w:rFonts w:ascii="Cambria" w:hAnsi="Cambria"/>
                <w:i/>
                <w:sz w:val="20"/>
                <w:szCs w:val="20"/>
              </w:rPr>
              <w:t>2021</w:t>
            </w:r>
          </w:p>
        </w:tc>
        <w:tc>
          <w:tcPr>
            <w:tcW w:w="727" w:type="pct"/>
            <w:shd w:val="clear" w:color="auto" w:fill="FFFFFF"/>
          </w:tcPr>
          <w:p w14:paraId="030902D3" w14:textId="77777777" w:rsidR="00C42466" w:rsidRPr="005756CE" w:rsidRDefault="00C42466" w:rsidP="001E71F8">
            <w:pPr>
              <w:spacing w:line="240" w:lineRule="auto"/>
              <w:jc w:val="center"/>
              <w:rPr>
                <w:rFonts w:ascii="Cambria" w:hAnsi="Cambria"/>
                <w:i/>
                <w:iCs/>
                <w:sz w:val="20"/>
                <w:szCs w:val="20"/>
              </w:rPr>
            </w:pPr>
            <w:r w:rsidRPr="005756CE">
              <w:rPr>
                <w:rFonts w:ascii="Cambria" w:hAnsi="Cambria"/>
                <w:i/>
                <w:sz w:val="20"/>
                <w:szCs w:val="20"/>
              </w:rPr>
              <w:t>2022</w:t>
            </w:r>
          </w:p>
        </w:tc>
        <w:tc>
          <w:tcPr>
            <w:tcW w:w="727" w:type="pct"/>
            <w:shd w:val="clear" w:color="auto" w:fill="FFFFFF"/>
          </w:tcPr>
          <w:p w14:paraId="0BBE04DD" w14:textId="77777777" w:rsidR="00C42466" w:rsidRPr="005756CE" w:rsidRDefault="00C42466" w:rsidP="001E71F8">
            <w:pPr>
              <w:spacing w:line="240" w:lineRule="auto"/>
              <w:jc w:val="center"/>
              <w:rPr>
                <w:rFonts w:ascii="Cambria" w:hAnsi="Cambria"/>
                <w:i/>
                <w:iCs/>
                <w:sz w:val="20"/>
                <w:szCs w:val="20"/>
              </w:rPr>
            </w:pPr>
            <w:r w:rsidRPr="005756CE">
              <w:rPr>
                <w:rFonts w:ascii="Cambria" w:hAnsi="Cambria"/>
                <w:i/>
                <w:sz w:val="20"/>
                <w:szCs w:val="20"/>
              </w:rPr>
              <w:t>2023</w:t>
            </w:r>
          </w:p>
        </w:tc>
        <w:tc>
          <w:tcPr>
            <w:tcW w:w="726" w:type="pct"/>
            <w:shd w:val="clear" w:color="auto" w:fill="FFFFFF"/>
          </w:tcPr>
          <w:p w14:paraId="13CD4C36" w14:textId="77777777" w:rsidR="00C42466" w:rsidRPr="005756CE" w:rsidRDefault="00C42466" w:rsidP="001E71F8">
            <w:pPr>
              <w:spacing w:line="240" w:lineRule="auto"/>
              <w:jc w:val="center"/>
              <w:rPr>
                <w:rFonts w:ascii="Cambria" w:hAnsi="Cambria"/>
                <w:i/>
                <w:iCs/>
                <w:sz w:val="20"/>
                <w:szCs w:val="20"/>
              </w:rPr>
            </w:pPr>
            <w:r w:rsidRPr="005756CE">
              <w:rPr>
                <w:rFonts w:ascii="Cambria" w:hAnsi="Cambria"/>
                <w:i/>
                <w:sz w:val="20"/>
                <w:szCs w:val="20"/>
              </w:rPr>
              <w:t>2024</w:t>
            </w:r>
          </w:p>
        </w:tc>
      </w:tr>
      <w:tr w:rsidR="00C42466" w:rsidRPr="005756CE" w14:paraId="200081ED" w14:textId="77777777" w:rsidTr="000949A9">
        <w:tc>
          <w:tcPr>
            <w:tcW w:w="1365" w:type="pct"/>
            <w:shd w:val="clear" w:color="auto" w:fill="FFFFFF"/>
            <w:vAlign w:val="center"/>
            <w:hideMark/>
          </w:tcPr>
          <w:p w14:paraId="5917F8E6" w14:textId="77777777" w:rsidR="00C42466" w:rsidRPr="005756CE" w:rsidRDefault="00C42466" w:rsidP="001E71F8">
            <w:pPr>
              <w:spacing w:line="240" w:lineRule="auto"/>
              <w:jc w:val="center"/>
              <w:rPr>
                <w:rFonts w:ascii="Cambria" w:hAnsi="Cambria"/>
                <w:color w:val="000000"/>
                <w:sz w:val="20"/>
                <w:szCs w:val="20"/>
              </w:rPr>
            </w:pPr>
            <w:r w:rsidRPr="005756CE">
              <w:rPr>
                <w:rFonts w:ascii="Cambria" w:hAnsi="Cambria"/>
                <w:color w:val="000000"/>
                <w:sz w:val="20"/>
                <w:szCs w:val="20"/>
              </w:rPr>
              <w:t>ATS</w:t>
            </w:r>
          </w:p>
        </w:tc>
        <w:tc>
          <w:tcPr>
            <w:tcW w:w="728" w:type="pct"/>
            <w:shd w:val="clear" w:color="auto" w:fill="FFFFFF"/>
            <w:hideMark/>
          </w:tcPr>
          <w:p w14:paraId="07B46D12" w14:textId="77777777" w:rsidR="00C42466" w:rsidRPr="005756CE" w:rsidRDefault="00C42466" w:rsidP="001E71F8">
            <w:pPr>
              <w:spacing w:line="240" w:lineRule="auto"/>
              <w:jc w:val="center"/>
              <w:rPr>
                <w:rFonts w:ascii="Cambria" w:hAnsi="Cambria"/>
                <w:sz w:val="20"/>
                <w:szCs w:val="20"/>
              </w:rPr>
            </w:pPr>
            <w:r w:rsidRPr="005756CE">
              <w:rPr>
                <w:rFonts w:ascii="Cambria" w:hAnsi="Cambria"/>
                <w:sz w:val="20"/>
                <w:szCs w:val="20"/>
              </w:rPr>
              <w:t>33688</w:t>
            </w:r>
          </w:p>
        </w:tc>
        <w:tc>
          <w:tcPr>
            <w:tcW w:w="727" w:type="pct"/>
            <w:shd w:val="clear" w:color="auto" w:fill="FFFFFF"/>
          </w:tcPr>
          <w:p w14:paraId="2FC8F307" w14:textId="77777777" w:rsidR="00C42466" w:rsidRPr="005756CE" w:rsidRDefault="00C42466" w:rsidP="001E71F8">
            <w:pPr>
              <w:spacing w:line="240" w:lineRule="auto"/>
              <w:jc w:val="center"/>
              <w:rPr>
                <w:rFonts w:ascii="Cambria" w:hAnsi="Cambria"/>
                <w:sz w:val="20"/>
                <w:szCs w:val="20"/>
              </w:rPr>
            </w:pPr>
            <w:r w:rsidRPr="005756CE">
              <w:rPr>
                <w:rFonts w:ascii="Cambria" w:hAnsi="Cambria"/>
                <w:sz w:val="20"/>
                <w:szCs w:val="20"/>
              </w:rPr>
              <w:t>33365</w:t>
            </w:r>
          </w:p>
        </w:tc>
        <w:tc>
          <w:tcPr>
            <w:tcW w:w="727" w:type="pct"/>
            <w:shd w:val="clear" w:color="auto" w:fill="FFFFFF"/>
          </w:tcPr>
          <w:p w14:paraId="4B2022D1" w14:textId="77777777" w:rsidR="00C42466" w:rsidRPr="005756CE" w:rsidRDefault="00C42466" w:rsidP="001E71F8">
            <w:pPr>
              <w:spacing w:line="240" w:lineRule="auto"/>
              <w:jc w:val="center"/>
              <w:rPr>
                <w:rFonts w:ascii="Cambria" w:hAnsi="Cambria"/>
                <w:sz w:val="20"/>
                <w:szCs w:val="20"/>
              </w:rPr>
            </w:pPr>
            <w:r w:rsidRPr="005756CE">
              <w:rPr>
                <w:rFonts w:ascii="Cambria" w:hAnsi="Cambria"/>
                <w:sz w:val="20"/>
                <w:szCs w:val="20"/>
              </w:rPr>
              <w:t>31629</w:t>
            </w:r>
          </w:p>
        </w:tc>
        <w:tc>
          <w:tcPr>
            <w:tcW w:w="727" w:type="pct"/>
            <w:shd w:val="clear" w:color="auto" w:fill="FFFFFF"/>
          </w:tcPr>
          <w:p w14:paraId="2AE48C83" w14:textId="77777777" w:rsidR="00C42466" w:rsidRPr="005756CE" w:rsidRDefault="00C42466" w:rsidP="001E71F8">
            <w:pPr>
              <w:spacing w:line="240" w:lineRule="auto"/>
              <w:jc w:val="center"/>
              <w:rPr>
                <w:rFonts w:ascii="Cambria" w:hAnsi="Cambria"/>
                <w:color w:val="FF0000"/>
                <w:sz w:val="20"/>
                <w:szCs w:val="20"/>
              </w:rPr>
            </w:pPr>
            <w:r w:rsidRPr="005756CE">
              <w:rPr>
                <w:rFonts w:ascii="Cambria" w:hAnsi="Cambria"/>
                <w:sz w:val="20"/>
                <w:szCs w:val="20"/>
              </w:rPr>
              <w:t>30472</w:t>
            </w:r>
          </w:p>
        </w:tc>
        <w:tc>
          <w:tcPr>
            <w:tcW w:w="726" w:type="pct"/>
            <w:shd w:val="clear" w:color="auto" w:fill="FFFFFF"/>
          </w:tcPr>
          <w:p w14:paraId="1CEF363D" w14:textId="77777777" w:rsidR="00C42466" w:rsidRPr="005756CE" w:rsidRDefault="00C42466" w:rsidP="001E71F8">
            <w:pPr>
              <w:spacing w:line="240" w:lineRule="auto"/>
              <w:jc w:val="center"/>
              <w:rPr>
                <w:rFonts w:ascii="Cambria" w:hAnsi="Cambria"/>
                <w:sz w:val="20"/>
                <w:szCs w:val="20"/>
              </w:rPr>
            </w:pPr>
            <w:r w:rsidRPr="005756CE">
              <w:rPr>
                <w:rFonts w:ascii="Cambria" w:hAnsi="Cambria"/>
                <w:sz w:val="20"/>
                <w:szCs w:val="20"/>
              </w:rPr>
              <w:t>24912</w:t>
            </w:r>
          </w:p>
        </w:tc>
      </w:tr>
    </w:tbl>
    <w:p w14:paraId="4E852AAD" w14:textId="77777777" w:rsidR="00C42466" w:rsidRPr="005756CE" w:rsidRDefault="00C42466" w:rsidP="001E71F8">
      <w:pPr>
        <w:spacing w:line="240" w:lineRule="auto"/>
        <w:jc w:val="both"/>
        <w:rPr>
          <w:rFonts w:ascii="Cambria" w:hAnsi="Cambria"/>
          <w:b/>
          <w:bCs/>
          <w:sz w:val="20"/>
          <w:szCs w:val="20"/>
          <w:lang w:val="en-IE"/>
        </w:rPr>
      </w:pPr>
    </w:p>
    <w:p w14:paraId="733AB0F2"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color w:val="000000"/>
          <w:kern w:val="0"/>
          <w:sz w:val="20"/>
          <w:szCs w:val="20"/>
          <w14:ligatures w14:val="none"/>
        </w:rPr>
      </w:pPr>
      <w:r w:rsidRPr="005756CE">
        <w:rPr>
          <w:rFonts w:ascii="Cambria" w:eastAsia="Times New Roman" w:hAnsi="Cambria"/>
          <w:color w:val="000000"/>
          <w:kern w:val="0"/>
          <w:sz w:val="20"/>
          <w:szCs w:val="20"/>
          <w14:ligatures w14:val="none"/>
        </w:rPr>
        <w:t xml:space="preserve">Les obligations en matière de déclaration de la tâche 1 sont examinées en vertu de la Rec. 11-15. Aux termes de cette Recommandation, à partir de 2020, les CPC devront décrire, dans leurs rapports annuels, leurs programmes de collecte de données et les démarches entreprises en vue de mettre en œuvre cette Recommandation. Ces rapports sont inclus dans les feuilles de contrôle de la mise en œuvre des mesures s’appliquant aux requins (cf. Rec. 18-06 ci-dessous). </w:t>
      </w:r>
    </w:p>
    <w:p w14:paraId="2DA324C2" w14:textId="77777777" w:rsidR="009C7C25" w:rsidRPr="005756CE" w:rsidRDefault="009C7C25" w:rsidP="001E71F8">
      <w:pPr>
        <w:spacing w:line="240" w:lineRule="auto"/>
        <w:jc w:val="both"/>
        <w:rPr>
          <w:rFonts w:ascii="Cambria" w:eastAsia="Times New Roman" w:hAnsi="Cambria"/>
          <w:bCs/>
          <w:i/>
          <w:kern w:val="0"/>
          <w:sz w:val="20"/>
          <w:szCs w:val="20"/>
          <w:lang w:eastAsia="en-GB"/>
          <w14:ligatures w14:val="none"/>
        </w:rPr>
      </w:pPr>
    </w:p>
    <w:p w14:paraId="5B7EBE13" w14:textId="77777777" w:rsidR="009C7C25" w:rsidRPr="005756CE" w:rsidRDefault="009C7C25" w:rsidP="001E71F8">
      <w:pPr>
        <w:widowControl w:val="0"/>
        <w:tabs>
          <w:tab w:val="left" w:pos="709"/>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i/>
          <w:kern w:val="0"/>
          <w:sz w:val="20"/>
          <w:szCs w:val="20"/>
          <w14:ligatures w14:val="none"/>
        </w:rPr>
      </w:pPr>
      <w:r w:rsidRPr="005756CE">
        <w:rPr>
          <w:rFonts w:ascii="Cambria" w:eastAsia="Times New Roman" w:hAnsi="Cambria"/>
          <w:i/>
          <w:kern w:val="0"/>
          <w:sz w:val="20"/>
          <w:szCs w:val="20"/>
          <w14:ligatures w14:val="none"/>
        </w:rPr>
        <w:t>[21 -09] Recommandation de l’ICCAT sur la conservation du stock de requin-taupe bleu de l'Atlantique Nord capturé en association avec les pêcheries de l’ICCAT</w:t>
      </w:r>
    </w:p>
    <w:p w14:paraId="284EC70E" w14:textId="77777777" w:rsidR="009C7C25" w:rsidRPr="005756CE" w:rsidRDefault="009C7C25" w:rsidP="001E71F8">
      <w:pPr>
        <w:widowControl w:val="0"/>
        <w:tabs>
          <w:tab w:val="left" w:pos="709"/>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i/>
          <w:kern w:val="0"/>
          <w:sz w:val="20"/>
          <w:szCs w:val="20"/>
          <w14:ligatures w14:val="none"/>
        </w:rPr>
      </w:pPr>
    </w:p>
    <w:p w14:paraId="713729FE"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eastAsia="Times New Roman" w:hAnsi="Cambria"/>
          <w:kern w:val="0"/>
          <w:sz w:val="20"/>
          <w:szCs w:val="20"/>
          <w14:ligatures w14:val="none"/>
        </w:rPr>
        <w:t>La mortalité totale par pêche du requin-taupe bleu de l'Atlantique Nord ne doit pas dépasser 250 tonnes jusqu'à ce qu'un nouvel avis du SCRS soit fourni à la Commission.</w:t>
      </w:r>
    </w:p>
    <w:p w14:paraId="6C52E12B"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Cs/>
          <w:kern w:val="0"/>
          <w:sz w:val="20"/>
          <w:szCs w:val="20"/>
          <w14:ligatures w14:val="none"/>
        </w:rPr>
      </w:pPr>
    </w:p>
    <w:p w14:paraId="42951E0A" w14:textId="5C23F159"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b/>
          <w:i/>
          <w:kern w:val="0"/>
          <w:sz w:val="20"/>
          <w:szCs w:val="20"/>
          <w14:ligatures w14:val="none"/>
        </w:rPr>
        <w:t xml:space="preserve">Rapports mensuels : </w:t>
      </w:r>
      <w:r w:rsidRPr="005756CE">
        <w:rPr>
          <w:rFonts w:ascii="Cambria" w:eastAsia="Times New Roman" w:hAnsi="Cambria"/>
          <w:kern w:val="0"/>
          <w:sz w:val="20"/>
          <w:szCs w:val="20"/>
          <w14:ligatures w14:val="none"/>
        </w:rPr>
        <w:t>Le montant total des rapports mensuels reçus des CPC pour 202</w:t>
      </w:r>
      <w:r w:rsidR="000C6C97" w:rsidRPr="005756CE">
        <w:rPr>
          <w:rFonts w:ascii="Cambria" w:eastAsia="Times New Roman" w:hAnsi="Cambria"/>
          <w:kern w:val="0"/>
          <w:sz w:val="20"/>
          <w:szCs w:val="20"/>
          <w14:ligatures w14:val="none"/>
        </w:rPr>
        <w:t>4</w:t>
      </w:r>
      <w:r w:rsidRPr="005756CE">
        <w:rPr>
          <w:rFonts w:ascii="Cambria" w:eastAsia="Times New Roman" w:hAnsi="Cambria"/>
          <w:kern w:val="0"/>
          <w:sz w:val="20"/>
          <w:szCs w:val="20"/>
          <w14:ligatures w14:val="none"/>
        </w:rPr>
        <w:t xml:space="preserve"> est indiqué ci-dessous, ainsi que les totaux de la tâche 1, d'où il ressort que le stock a fait l’objet d’une surconsommation en 202</w:t>
      </w:r>
      <w:r w:rsidR="000C6C97" w:rsidRPr="005756CE">
        <w:rPr>
          <w:rFonts w:ascii="Cambria" w:eastAsia="Times New Roman" w:hAnsi="Cambria"/>
          <w:kern w:val="0"/>
          <w:sz w:val="20"/>
          <w:szCs w:val="20"/>
          <w14:ligatures w14:val="none"/>
        </w:rPr>
        <w:t>4</w:t>
      </w:r>
      <w:r w:rsidRPr="005756CE">
        <w:rPr>
          <w:rFonts w:ascii="Cambria" w:eastAsia="Times New Roman" w:hAnsi="Cambria"/>
          <w:kern w:val="0"/>
          <w:sz w:val="20"/>
          <w:szCs w:val="20"/>
          <w14:ligatures w14:val="none"/>
        </w:rPr>
        <w:t>. Il existe une différence substantielle entre la quantité déclarée mensuellement et celle de la tâche</w:t>
      </w:r>
      <w:r w:rsidR="003B59EB"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1 étant donné que seules deux CPC ont soumis ces rapports mensuels en 202</w:t>
      </w:r>
      <w:r w:rsidR="000C6C97" w:rsidRPr="005756CE">
        <w:rPr>
          <w:rFonts w:ascii="Cambria" w:eastAsia="Times New Roman" w:hAnsi="Cambria"/>
          <w:kern w:val="0"/>
          <w:sz w:val="20"/>
          <w:szCs w:val="20"/>
          <w14:ligatures w14:val="none"/>
        </w:rPr>
        <w:t>4</w:t>
      </w:r>
      <w:r w:rsidRPr="005756CE">
        <w:rPr>
          <w:rFonts w:ascii="Cambria" w:eastAsia="Times New Roman" w:hAnsi="Cambria"/>
          <w:kern w:val="0"/>
          <w:sz w:val="20"/>
          <w:szCs w:val="20"/>
          <w14:ligatures w14:val="none"/>
        </w:rPr>
        <w:t xml:space="preserve">. </w:t>
      </w:r>
    </w:p>
    <w:p w14:paraId="7E9A385F" w14:textId="40132926" w:rsidR="007F1E96" w:rsidRPr="005756CE" w:rsidRDefault="007F1E96">
      <w:pPr>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br w:type="page"/>
      </w:r>
    </w:p>
    <w:p w14:paraId="3A1E61E2" w14:textId="77777777" w:rsidR="007E4C15" w:rsidRPr="005756CE" w:rsidRDefault="007E4C1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tbl>
      <w:tblPr>
        <w:tblW w:w="5000" w:type="pct"/>
        <w:tblLook w:val="04A0" w:firstRow="1" w:lastRow="0" w:firstColumn="1" w:lastColumn="0" w:noHBand="0" w:noVBand="1"/>
      </w:tblPr>
      <w:tblGrid>
        <w:gridCol w:w="1796"/>
        <w:gridCol w:w="2919"/>
        <w:gridCol w:w="3403"/>
        <w:gridCol w:w="1232"/>
      </w:tblGrid>
      <w:tr w:rsidR="009C7C25" w:rsidRPr="005756CE" w14:paraId="68BF41D4" w14:textId="77777777" w:rsidTr="003B59EB">
        <w:trPr>
          <w:trHeight w:val="602"/>
        </w:trPr>
        <w:tc>
          <w:tcPr>
            <w:tcW w:w="960" w:type="pct"/>
            <w:tcBorders>
              <w:top w:val="single" w:sz="4" w:space="0" w:color="auto"/>
              <w:left w:val="single" w:sz="4" w:space="0" w:color="auto"/>
              <w:bottom w:val="single" w:sz="4" w:space="0" w:color="auto"/>
              <w:right w:val="single" w:sz="4" w:space="0" w:color="auto"/>
            </w:tcBorders>
            <w:noWrap/>
            <w:vAlign w:val="center"/>
            <w:hideMark/>
          </w:tcPr>
          <w:p w14:paraId="515B4FE7" w14:textId="77777777" w:rsidR="009C7C25" w:rsidRPr="005756CE" w:rsidRDefault="009C7C25" w:rsidP="001E71F8">
            <w:pPr>
              <w:spacing w:line="240" w:lineRule="auto"/>
              <w:rPr>
                <w:rFonts w:ascii="Cambria" w:eastAsia="Times New Roman" w:hAnsi="Cambria"/>
                <w:i/>
                <w:iCs/>
                <w:color w:val="000000"/>
                <w:kern w:val="0"/>
                <w:sz w:val="20"/>
                <w:szCs w:val="20"/>
                <w14:ligatures w14:val="none"/>
              </w:rPr>
            </w:pPr>
            <w:r w:rsidRPr="005756CE">
              <w:rPr>
                <w:rFonts w:ascii="Cambria" w:eastAsia="Times New Roman" w:hAnsi="Cambria"/>
                <w:i/>
                <w:color w:val="000000"/>
                <w:kern w:val="0"/>
                <w:sz w:val="20"/>
                <w:szCs w:val="20"/>
                <w14:ligatures w14:val="none"/>
              </w:rPr>
              <w:t>Requin-taupe bleu</w:t>
            </w:r>
          </w:p>
        </w:tc>
        <w:tc>
          <w:tcPr>
            <w:tcW w:w="1561" w:type="pct"/>
            <w:tcBorders>
              <w:top w:val="single" w:sz="4" w:space="0" w:color="auto"/>
              <w:left w:val="nil"/>
              <w:bottom w:val="single" w:sz="4" w:space="0" w:color="auto"/>
              <w:right w:val="single" w:sz="4" w:space="0" w:color="auto"/>
            </w:tcBorders>
            <w:vAlign w:val="center"/>
            <w:hideMark/>
          </w:tcPr>
          <w:p w14:paraId="37153A58" w14:textId="07B0F5AF" w:rsidR="009C7C25" w:rsidRPr="005756CE" w:rsidRDefault="009C7C25" w:rsidP="001E71F8">
            <w:pPr>
              <w:spacing w:line="240" w:lineRule="auto"/>
              <w:jc w:val="center"/>
              <w:rPr>
                <w:rFonts w:ascii="Cambria" w:eastAsia="Times New Roman" w:hAnsi="Cambria" w:cs="Calibri"/>
                <w:i/>
                <w:iCs/>
                <w:color w:val="000000"/>
                <w:kern w:val="0"/>
                <w:sz w:val="20"/>
                <w:szCs w:val="20"/>
                <w14:ligatures w14:val="none"/>
              </w:rPr>
            </w:pPr>
            <w:r w:rsidRPr="005756CE">
              <w:rPr>
                <w:rFonts w:ascii="Cambria" w:eastAsia="Times New Roman" w:hAnsi="Cambria"/>
                <w:i/>
                <w:color w:val="000000"/>
                <w:kern w:val="0"/>
                <w:sz w:val="20"/>
                <w:szCs w:val="20"/>
                <w14:ligatures w14:val="none"/>
              </w:rPr>
              <w:t>Mortalité par pêche totale de 202</w:t>
            </w:r>
            <w:r w:rsidR="007E4C15" w:rsidRPr="005756CE">
              <w:rPr>
                <w:rFonts w:ascii="Cambria" w:eastAsia="Times New Roman" w:hAnsi="Cambria"/>
                <w:i/>
                <w:color w:val="000000"/>
                <w:kern w:val="0"/>
                <w:sz w:val="20"/>
                <w:szCs w:val="20"/>
                <w14:ligatures w14:val="none"/>
              </w:rPr>
              <w:t>4</w:t>
            </w:r>
            <w:r w:rsidRPr="005756CE">
              <w:rPr>
                <w:rFonts w:ascii="Cambria" w:eastAsia="Times New Roman" w:hAnsi="Cambria"/>
                <w:i/>
                <w:color w:val="000000"/>
                <w:kern w:val="0"/>
                <w:sz w:val="20"/>
                <w:szCs w:val="20"/>
                <w14:ligatures w14:val="none"/>
              </w:rPr>
              <w:t xml:space="preserve"> (t)</w:t>
            </w:r>
          </w:p>
        </w:tc>
        <w:tc>
          <w:tcPr>
            <w:tcW w:w="1820" w:type="pct"/>
            <w:tcBorders>
              <w:top w:val="single" w:sz="4" w:space="0" w:color="auto"/>
              <w:left w:val="nil"/>
              <w:bottom w:val="single" w:sz="4" w:space="0" w:color="auto"/>
              <w:right w:val="single" w:sz="4" w:space="0" w:color="auto"/>
            </w:tcBorders>
            <w:vAlign w:val="center"/>
            <w:hideMark/>
          </w:tcPr>
          <w:p w14:paraId="446C0B40" w14:textId="3A68AC6E" w:rsidR="009C7C25" w:rsidRPr="005756CE" w:rsidRDefault="009C7C25" w:rsidP="001E71F8">
            <w:pPr>
              <w:spacing w:line="240" w:lineRule="auto"/>
              <w:jc w:val="center"/>
              <w:rPr>
                <w:rFonts w:ascii="Cambria" w:eastAsia="Times New Roman" w:hAnsi="Cambria" w:cs="Calibri"/>
                <w:i/>
                <w:iCs/>
                <w:color w:val="000000"/>
                <w:kern w:val="0"/>
                <w:sz w:val="20"/>
                <w:szCs w:val="20"/>
                <w14:ligatures w14:val="none"/>
              </w:rPr>
            </w:pPr>
            <w:r w:rsidRPr="005756CE">
              <w:rPr>
                <w:rFonts w:ascii="Cambria" w:eastAsia="Times New Roman" w:hAnsi="Cambria"/>
                <w:i/>
                <w:color w:val="000000"/>
                <w:kern w:val="0"/>
                <w:sz w:val="20"/>
                <w:szCs w:val="20"/>
                <w14:ligatures w14:val="none"/>
              </w:rPr>
              <w:t>Captures totales de 202</w:t>
            </w:r>
            <w:r w:rsidR="007E4C15" w:rsidRPr="005756CE">
              <w:rPr>
                <w:rFonts w:ascii="Cambria" w:eastAsia="Times New Roman" w:hAnsi="Cambria"/>
                <w:i/>
                <w:color w:val="000000"/>
                <w:kern w:val="0"/>
                <w:sz w:val="20"/>
                <w:szCs w:val="20"/>
                <w14:ligatures w14:val="none"/>
              </w:rPr>
              <w:t>4</w:t>
            </w:r>
            <w:r w:rsidRPr="005756CE">
              <w:rPr>
                <w:rFonts w:ascii="Cambria" w:eastAsia="Times New Roman" w:hAnsi="Cambria"/>
                <w:i/>
                <w:color w:val="000000"/>
                <w:kern w:val="0"/>
                <w:sz w:val="20"/>
                <w:szCs w:val="20"/>
                <w14:ligatures w14:val="none"/>
              </w:rPr>
              <w:t xml:space="preserve"> </w:t>
            </w:r>
          </w:p>
          <w:p w14:paraId="7FF86273" w14:textId="77777777" w:rsidR="009C7C25" w:rsidRPr="005756CE" w:rsidRDefault="009C7C25" w:rsidP="001E71F8">
            <w:pPr>
              <w:spacing w:line="240" w:lineRule="auto"/>
              <w:jc w:val="center"/>
              <w:rPr>
                <w:rFonts w:ascii="Cambria" w:eastAsia="Times New Roman" w:hAnsi="Cambria" w:cs="Calibri"/>
                <w:i/>
                <w:iCs/>
                <w:color w:val="000000"/>
                <w:kern w:val="0"/>
                <w:sz w:val="20"/>
                <w:szCs w:val="20"/>
                <w14:ligatures w14:val="none"/>
              </w:rPr>
            </w:pPr>
            <w:proofErr w:type="gramStart"/>
            <w:r w:rsidRPr="005756CE">
              <w:rPr>
                <w:rFonts w:ascii="Cambria" w:eastAsia="Times New Roman" w:hAnsi="Cambria"/>
                <w:i/>
                <w:color w:val="000000"/>
                <w:kern w:val="0"/>
                <w:sz w:val="20"/>
                <w:szCs w:val="20"/>
                <w14:ligatures w14:val="none"/>
              </w:rPr>
              <w:t>déclarées</w:t>
            </w:r>
            <w:proofErr w:type="gramEnd"/>
            <w:r w:rsidRPr="005756CE">
              <w:rPr>
                <w:rFonts w:ascii="Cambria" w:eastAsia="Times New Roman" w:hAnsi="Cambria"/>
                <w:i/>
                <w:color w:val="000000"/>
                <w:kern w:val="0"/>
                <w:sz w:val="20"/>
                <w:szCs w:val="20"/>
                <w14:ligatures w14:val="none"/>
              </w:rPr>
              <w:t xml:space="preserve"> mensuellement (t)</w:t>
            </w:r>
          </w:p>
        </w:tc>
        <w:tc>
          <w:tcPr>
            <w:tcW w:w="659" w:type="pct"/>
            <w:tcBorders>
              <w:top w:val="single" w:sz="4" w:space="0" w:color="auto"/>
              <w:left w:val="nil"/>
              <w:bottom w:val="single" w:sz="4" w:space="0" w:color="auto"/>
              <w:right w:val="single" w:sz="4" w:space="0" w:color="auto"/>
            </w:tcBorders>
            <w:vAlign w:val="center"/>
            <w:hideMark/>
          </w:tcPr>
          <w:p w14:paraId="76E5CB90" w14:textId="7EE122A3" w:rsidR="009C7C25" w:rsidRPr="005756CE" w:rsidRDefault="009C7C25" w:rsidP="001E71F8">
            <w:pPr>
              <w:spacing w:line="240" w:lineRule="auto"/>
              <w:jc w:val="center"/>
              <w:rPr>
                <w:rFonts w:ascii="Cambria" w:eastAsia="Times New Roman" w:hAnsi="Cambria" w:cs="Calibri"/>
                <w:i/>
                <w:iCs/>
                <w:color w:val="000000"/>
                <w:kern w:val="0"/>
                <w:sz w:val="20"/>
                <w:szCs w:val="20"/>
                <w14:ligatures w14:val="none"/>
              </w:rPr>
            </w:pPr>
            <w:r w:rsidRPr="005756CE">
              <w:rPr>
                <w:rFonts w:ascii="Cambria" w:eastAsia="Times New Roman" w:hAnsi="Cambria"/>
                <w:i/>
                <w:color w:val="000000"/>
                <w:kern w:val="0"/>
                <w:sz w:val="20"/>
                <w:szCs w:val="20"/>
                <w14:ligatures w14:val="none"/>
              </w:rPr>
              <w:t>Tâche 1 de 202</w:t>
            </w:r>
            <w:r w:rsidR="00F24FF9" w:rsidRPr="005756CE">
              <w:rPr>
                <w:rFonts w:ascii="Cambria" w:eastAsia="Times New Roman" w:hAnsi="Cambria"/>
                <w:i/>
                <w:color w:val="000000"/>
                <w:kern w:val="0"/>
                <w:sz w:val="20"/>
                <w:szCs w:val="20"/>
                <w14:ligatures w14:val="none"/>
              </w:rPr>
              <w:t>4</w:t>
            </w:r>
            <w:r w:rsidRPr="005756CE">
              <w:rPr>
                <w:rFonts w:ascii="Cambria" w:eastAsia="Times New Roman" w:hAnsi="Cambria"/>
                <w:i/>
                <w:color w:val="000000"/>
                <w:kern w:val="0"/>
                <w:sz w:val="20"/>
                <w:szCs w:val="20"/>
                <w14:ligatures w14:val="none"/>
              </w:rPr>
              <w:t xml:space="preserve"> (t)</w:t>
            </w:r>
          </w:p>
        </w:tc>
      </w:tr>
      <w:tr w:rsidR="009C7C25" w:rsidRPr="005756CE" w14:paraId="67E45FA8" w14:textId="77777777" w:rsidTr="003B59EB">
        <w:trPr>
          <w:trHeight w:val="300"/>
        </w:trPr>
        <w:tc>
          <w:tcPr>
            <w:tcW w:w="960" w:type="pct"/>
            <w:tcBorders>
              <w:top w:val="nil"/>
              <w:left w:val="single" w:sz="4" w:space="0" w:color="auto"/>
              <w:bottom w:val="single" w:sz="4" w:space="0" w:color="auto"/>
              <w:right w:val="single" w:sz="4" w:space="0" w:color="auto"/>
            </w:tcBorders>
            <w:noWrap/>
            <w:vAlign w:val="center"/>
            <w:hideMark/>
          </w:tcPr>
          <w:p w14:paraId="0C4D5F39" w14:textId="77777777" w:rsidR="009C7C25" w:rsidRPr="005756CE" w:rsidRDefault="009C7C25" w:rsidP="001E71F8">
            <w:pPr>
              <w:spacing w:line="240" w:lineRule="auto"/>
              <w:jc w:val="center"/>
              <w:rPr>
                <w:rFonts w:ascii="Cambria" w:eastAsia="Times New Roman" w:hAnsi="Cambria"/>
                <w:color w:val="000000"/>
                <w:kern w:val="0"/>
                <w:sz w:val="20"/>
                <w:szCs w:val="20"/>
                <w14:ligatures w14:val="none"/>
              </w:rPr>
            </w:pPr>
            <w:r w:rsidRPr="005756CE">
              <w:rPr>
                <w:rFonts w:ascii="Cambria" w:eastAsia="Times New Roman" w:hAnsi="Cambria"/>
                <w:color w:val="000000"/>
                <w:kern w:val="0"/>
                <w:sz w:val="20"/>
                <w:szCs w:val="20"/>
                <w14:ligatures w14:val="none"/>
              </w:rPr>
              <w:t>ATN</w:t>
            </w:r>
          </w:p>
        </w:tc>
        <w:tc>
          <w:tcPr>
            <w:tcW w:w="1561" w:type="pct"/>
            <w:tcBorders>
              <w:top w:val="nil"/>
              <w:left w:val="nil"/>
              <w:bottom w:val="single" w:sz="4" w:space="0" w:color="auto"/>
              <w:right w:val="single" w:sz="4" w:space="0" w:color="auto"/>
            </w:tcBorders>
            <w:vAlign w:val="center"/>
            <w:hideMark/>
          </w:tcPr>
          <w:p w14:paraId="0F4AD531" w14:textId="77777777" w:rsidR="009C7C25" w:rsidRPr="005756CE" w:rsidRDefault="009C7C25" w:rsidP="001E71F8">
            <w:pPr>
              <w:spacing w:line="240" w:lineRule="auto"/>
              <w:jc w:val="center"/>
              <w:rPr>
                <w:rFonts w:ascii="Cambria" w:eastAsia="Times New Roman" w:hAnsi="Cambria"/>
                <w:color w:val="000000"/>
                <w:kern w:val="0"/>
                <w:sz w:val="20"/>
                <w:szCs w:val="20"/>
                <w14:ligatures w14:val="none"/>
              </w:rPr>
            </w:pPr>
            <w:r w:rsidRPr="005756CE">
              <w:rPr>
                <w:rFonts w:ascii="Cambria" w:eastAsia="Times New Roman" w:hAnsi="Cambria"/>
                <w:color w:val="000000"/>
                <w:kern w:val="0"/>
                <w:sz w:val="20"/>
                <w:szCs w:val="20"/>
                <w14:ligatures w14:val="none"/>
              </w:rPr>
              <w:t>250</w:t>
            </w:r>
          </w:p>
        </w:tc>
        <w:tc>
          <w:tcPr>
            <w:tcW w:w="1820" w:type="pct"/>
            <w:tcBorders>
              <w:top w:val="nil"/>
              <w:left w:val="nil"/>
              <w:bottom w:val="single" w:sz="4" w:space="0" w:color="auto"/>
              <w:right w:val="single" w:sz="4" w:space="0" w:color="auto"/>
            </w:tcBorders>
            <w:vAlign w:val="center"/>
            <w:hideMark/>
          </w:tcPr>
          <w:p w14:paraId="44E17737" w14:textId="23E5E953" w:rsidR="009C7C25" w:rsidRPr="005756CE" w:rsidRDefault="009C7C25" w:rsidP="001E71F8">
            <w:pPr>
              <w:spacing w:line="240" w:lineRule="auto"/>
              <w:jc w:val="center"/>
              <w:rPr>
                <w:rFonts w:ascii="Cambria" w:eastAsia="Times New Roman" w:hAnsi="Cambria"/>
                <w:color w:val="000000"/>
                <w:kern w:val="0"/>
                <w:sz w:val="20"/>
                <w:szCs w:val="20"/>
                <w14:ligatures w14:val="none"/>
              </w:rPr>
            </w:pPr>
            <w:r w:rsidRPr="005756CE">
              <w:rPr>
                <w:rFonts w:ascii="Cambria" w:eastAsia="Times New Roman" w:hAnsi="Cambria"/>
                <w:color w:val="000000"/>
                <w:kern w:val="0"/>
                <w:sz w:val="20"/>
                <w:szCs w:val="20"/>
                <w14:ligatures w14:val="none"/>
              </w:rPr>
              <w:t>0,</w:t>
            </w:r>
            <w:r w:rsidR="00601080" w:rsidRPr="005756CE">
              <w:rPr>
                <w:rFonts w:ascii="Cambria" w:eastAsia="Times New Roman" w:hAnsi="Cambria"/>
                <w:color w:val="000000"/>
                <w:kern w:val="0"/>
                <w:sz w:val="20"/>
                <w:szCs w:val="20"/>
                <w14:ligatures w14:val="none"/>
              </w:rPr>
              <w:t>0</w:t>
            </w:r>
          </w:p>
        </w:tc>
        <w:tc>
          <w:tcPr>
            <w:tcW w:w="659" w:type="pct"/>
            <w:tcBorders>
              <w:top w:val="nil"/>
              <w:left w:val="nil"/>
              <w:bottom w:val="single" w:sz="4" w:space="0" w:color="auto"/>
              <w:right w:val="single" w:sz="4" w:space="0" w:color="auto"/>
            </w:tcBorders>
            <w:vAlign w:val="center"/>
            <w:hideMark/>
          </w:tcPr>
          <w:p w14:paraId="18A75E96" w14:textId="7377788F" w:rsidR="009C7C25" w:rsidRPr="005756CE" w:rsidRDefault="00F24FF9" w:rsidP="001E71F8">
            <w:pPr>
              <w:spacing w:line="240" w:lineRule="auto"/>
              <w:jc w:val="center"/>
              <w:rPr>
                <w:rFonts w:ascii="Cambria" w:eastAsia="Times New Roman" w:hAnsi="Cambria"/>
                <w:color w:val="000000"/>
                <w:kern w:val="0"/>
                <w:sz w:val="20"/>
                <w:szCs w:val="20"/>
                <w14:ligatures w14:val="none"/>
              </w:rPr>
            </w:pPr>
            <w:r w:rsidRPr="005756CE">
              <w:rPr>
                <w:rFonts w:ascii="Cambria" w:eastAsia="Times New Roman" w:hAnsi="Cambria"/>
                <w:color w:val="000000"/>
                <w:kern w:val="0"/>
                <w:sz w:val="20"/>
                <w:szCs w:val="20"/>
                <w14:ligatures w14:val="none"/>
              </w:rPr>
              <w:t>938,2</w:t>
            </w:r>
          </w:p>
        </w:tc>
      </w:tr>
    </w:tbl>
    <w:p w14:paraId="3F368E97"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Cs/>
          <w:kern w:val="0"/>
          <w:sz w:val="20"/>
          <w:szCs w:val="20"/>
          <w:lang w:val="en-GB"/>
          <w14:ligatures w14:val="none"/>
        </w:rPr>
      </w:pPr>
    </w:p>
    <w:p w14:paraId="2B09198A" w14:textId="1AD99AD1" w:rsidR="009C7C25" w:rsidRPr="005756CE" w:rsidRDefault="009A380E" w:rsidP="001E71F8">
      <w:pPr>
        <w:spacing w:line="240" w:lineRule="auto"/>
        <w:jc w:val="both"/>
        <w:rPr>
          <w:rFonts w:ascii="Cambria" w:eastAsia="Times New Roman" w:hAnsi="Cambria"/>
          <w:color w:val="000000"/>
          <w:kern w:val="0"/>
          <w:sz w:val="20"/>
          <w:szCs w:val="20"/>
          <w14:ligatures w14:val="none"/>
        </w:rPr>
      </w:pPr>
      <w:r w:rsidRPr="005756CE">
        <w:rPr>
          <w:rFonts w:ascii="Cambria" w:hAnsi="Cambria"/>
          <w:color w:val="000000" w:themeColor="text1"/>
          <w:sz w:val="20"/>
          <w:szCs w:val="20"/>
        </w:rPr>
        <w:t xml:space="preserve">Veuillez noter que les rejets vivants (DL) sont exclus et que les données de la tâche 1 de ST02 excluent les reports. </w:t>
      </w:r>
      <w:r w:rsidR="009C7C25" w:rsidRPr="005756CE">
        <w:rPr>
          <w:rFonts w:ascii="Cambria" w:eastAsia="Times New Roman" w:hAnsi="Cambria"/>
          <w:color w:val="000000"/>
          <w:kern w:val="0"/>
          <w:sz w:val="20"/>
          <w:szCs w:val="20"/>
          <w14:ligatures w14:val="none"/>
        </w:rPr>
        <w:t xml:space="preserve">Les obligations en matière de déclaration de la tâche 1 sont examinées en vertu de la Rec. 11-15. La Recommandation impose aux CPC, à partir de 2020, de fournir dans leur rapport annuel des informations sur la manière dont cette Recommandation est mise en œuvre.  Ces rapports sont inclus dans les feuilles de contrôle de la mise en œuvre des mesures s’appliquant aux requins (cf. Rec. 18-06 ci-dessous). </w:t>
      </w:r>
    </w:p>
    <w:p w14:paraId="17257F14" w14:textId="77777777" w:rsidR="009C7C25" w:rsidRPr="005756CE" w:rsidRDefault="009C7C25" w:rsidP="001E71F8">
      <w:pPr>
        <w:widowControl w:val="0"/>
        <w:tabs>
          <w:tab w:val="left" w:pos="709"/>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i/>
          <w:kern w:val="0"/>
          <w:sz w:val="20"/>
          <w:szCs w:val="20"/>
          <w14:ligatures w14:val="none"/>
        </w:rPr>
      </w:pPr>
    </w:p>
    <w:p w14:paraId="1488E1BC" w14:textId="77777777" w:rsidR="009C7C25" w:rsidRPr="005756CE" w:rsidRDefault="009C7C25" w:rsidP="001E71F8">
      <w:pPr>
        <w:widowControl w:val="0"/>
        <w:tabs>
          <w:tab w:val="left" w:pos="709"/>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i/>
          <w:kern w:val="0"/>
          <w:sz w:val="20"/>
          <w:szCs w:val="20"/>
          <w14:ligatures w14:val="none"/>
        </w:rPr>
      </w:pPr>
      <w:r w:rsidRPr="005756CE">
        <w:rPr>
          <w:rFonts w:ascii="Cambria" w:eastAsia="Times New Roman" w:hAnsi="Cambria"/>
          <w:i/>
          <w:kern w:val="0"/>
          <w:sz w:val="20"/>
          <w:szCs w:val="20"/>
          <w14:ligatures w14:val="none"/>
        </w:rPr>
        <w:t xml:space="preserve">[22-11] </w:t>
      </w:r>
      <w:hyperlink r:id="rId24" w:tgtFrame="_blank" w:history="1">
        <w:r w:rsidRPr="005756CE">
          <w:rPr>
            <w:rFonts w:ascii="Cambria" w:eastAsia="Times New Roman" w:hAnsi="Cambria"/>
            <w:i/>
            <w:kern w:val="0"/>
            <w:sz w:val="20"/>
            <w:szCs w:val="20"/>
            <w14:ligatures w14:val="none"/>
          </w:rPr>
          <w:t>Recommandation de l’ICCAT sur la conservation du stock de requin-taupe bleu de l'Atlantique Sud capturé en association avec les pêcheries de l’ICCAT</w:t>
        </w:r>
      </w:hyperlink>
    </w:p>
    <w:p w14:paraId="62489700" w14:textId="77777777" w:rsidR="009C7C25" w:rsidRPr="005756CE" w:rsidRDefault="009C7C25" w:rsidP="001E71F8">
      <w:pPr>
        <w:widowControl w:val="0"/>
        <w:tabs>
          <w:tab w:val="left" w:pos="709"/>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i/>
          <w:kern w:val="0"/>
          <w:sz w:val="20"/>
          <w:szCs w:val="20"/>
          <w14:ligatures w14:val="none"/>
        </w:rPr>
      </w:pPr>
    </w:p>
    <w:p w14:paraId="5762B566" w14:textId="7B8B29AD" w:rsidR="00B82785" w:rsidRPr="005756CE" w:rsidRDefault="009C7C25" w:rsidP="001E71F8">
      <w:pPr>
        <w:spacing w:line="240" w:lineRule="auto"/>
        <w:jc w:val="both"/>
        <w:rPr>
          <w:rFonts w:ascii="Cambria" w:hAnsi="Cambria"/>
          <w:sz w:val="20"/>
          <w:szCs w:val="20"/>
        </w:rPr>
      </w:pPr>
      <w:r w:rsidRPr="005756CE">
        <w:rPr>
          <w:rFonts w:ascii="Cambria" w:eastAsia="Times New Roman" w:hAnsi="Cambria"/>
          <w:kern w:val="0"/>
          <w:sz w:val="20"/>
          <w:szCs w:val="20"/>
          <w14:ligatures w14:val="none"/>
        </w:rPr>
        <w:t>Une tolérance de rétention totale de 1.295 t pour le requin-taupe bleu de l'Atlantique Sud a été établie pour 2023 et 2024. L'objectif est que cette tolérance de rétention, combinée à la somme de la mortalité après remise à l'eau et des rejets morts estimés, donne lieu à une mortalité totale inférieure à celle recommandée dans l'avis du SCRS.</w:t>
      </w:r>
      <w:r w:rsidR="00B82785" w:rsidRPr="005756CE">
        <w:rPr>
          <w:rFonts w:ascii="Cambria" w:hAnsi="Cambria"/>
          <w:sz w:val="20"/>
          <w:szCs w:val="20"/>
        </w:rPr>
        <w:t xml:space="preserve"> La Commission devra réexaminer cette mesure au plus tard lors de sa réunion annuelle de 2025 afin d'envisager des mesures supplémentaires pour réduire la mortalité totale par pêche.</w:t>
      </w:r>
    </w:p>
    <w:p w14:paraId="15D5D390" w14:textId="00D5E28D"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7D50DBDA" w14:textId="17C8E975"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b/>
          <w:i/>
          <w:kern w:val="0"/>
          <w:sz w:val="20"/>
          <w:szCs w:val="20"/>
          <w14:ligatures w14:val="none"/>
        </w:rPr>
        <w:t xml:space="preserve">Rapports mensuels : </w:t>
      </w:r>
      <w:r w:rsidRPr="005756CE">
        <w:rPr>
          <w:rFonts w:ascii="Cambria" w:eastAsia="Times New Roman" w:hAnsi="Cambria"/>
          <w:kern w:val="0"/>
          <w:sz w:val="20"/>
          <w:szCs w:val="20"/>
          <w14:ligatures w14:val="none"/>
        </w:rPr>
        <w:t>Le montant total des rapports mensuels reçus des CPC pour 202</w:t>
      </w:r>
      <w:r w:rsidR="00B82785" w:rsidRPr="005756CE">
        <w:rPr>
          <w:rFonts w:ascii="Cambria" w:eastAsia="Times New Roman" w:hAnsi="Cambria"/>
          <w:kern w:val="0"/>
          <w:sz w:val="20"/>
          <w:szCs w:val="20"/>
          <w14:ligatures w14:val="none"/>
        </w:rPr>
        <w:t>4</w:t>
      </w:r>
      <w:r w:rsidRPr="005756CE">
        <w:rPr>
          <w:rFonts w:ascii="Cambria" w:eastAsia="Times New Roman" w:hAnsi="Cambria"/>
          <w:kern w:val="0"/>
          <w:sz w:val="20"/>
          <w:szCs w:val="20"/>
          <w14:ligatures w14:val="none"/>
        </w:rPr>
        <w:t xml:space="preserve"> est indiqué ci-dessous, ainsi que les totaux de la tâche 1, d'où il ressort que le stock n’a pas fait l’objet d’une surconsommation en 202</w:t>
      </w:r>
      <w:r w:rsidR="00B82785" w:rsidRPr="005756CE">
        <w:rPr>
          <w:rFonts w:ascii="Cambria" w:eastAsia="Times New Roman" w:hAnsi="Cambria"/>
          <w:kern w:val="0"/>
          <w:sz w:val="20"/>
          <w:szCs w:val="20"/>
          <w14:ligatures w14:val="none"/>
        </w:rPr>
        <w:t>4</w:t>
      </w:r>
      <w:r w:rsidRPr="005756CE">
        <w:rPr>
          <w:rFonts w:ascii="Cambria" w:eastAsia="Times New Roman" w:hAnsi="Cambria"/>
          <w:kern w:val="0"/>
          <w:sz w:val="20"/>
          <w:szCs w:val="20"/>
          <w14:ligatures w14:val="none"/>
        </w:rPr>
        <w:t xml:space="preserve">. Il existe une différence substantielle entre la quantité déclarée mensuellement et celle de la tâche 1 étant donné que seules </w:t>
      </w:r>
      <w:r w:rsidR="00653A1A" w:rsidRPr="005756CE">
        <w:rPr>
          <w:rFonts w:ascii="Cambria" w:eastAsia="Times New Roman" w:hAnsi="Cambria"/>
          <w:kern w:val="0"/>
          <w:sz w:val="20"/>
          <w:szCs w:val="20"/>
          <w14:ligatures w14:val="none"/>
        </w:rPr>
        <w:t>quatre</w:t>
      </w:r>
      <w:r w:rsidRPr="005756CE">
        <w:rPr>
          <w:rFonts w:ascii="Cambria" w:eastAsia="Times New Roman" w:hAnsi="Cambria"/>
          <w:kern w:val="0"/>
          <w:sz w:val="20"/>
          <w:szCs w:val="20"/>
          <w14:ligatures w14:val="none"/>
        </w:rPr>
        <w:t xml:space="preserve"> CPC ont soumis ces rapports mensuels en 202</w:t>
      </w:r>
      <w:r w:rsidR="00653A1A" w:rsidRPr="005756CE">
        <w:rPr>
          <w:rFonts w:ascii="Cambria" w:eastAsia="Times New Roman" w:hAnsi="Cambria"/>
          <w:kern w:val="0"/>
          <w:sz w:val="20"/>
          <w:szCs w:val="20"/>
          <w14:ligatures w14:val="none"/>
        </w:rPr>
        <w:t>4</w:t>
      </w:r>
      <w:r w:rsidRPr="005756CE">
        <w:rPr>
          <w:rFonts w:ascii="Cambria" w:eastAsia="Times New Roman" w:hAnsi="Cambria"/>
          <w:kern w:val="0"/>
          <w:sz w:val="20"/>
          <w:szCs w:val="20"/>
          <w14:ligatures w14:val="none"/>
        </w:rPr>
        <w:t xml:space="preserve">. </w:t>
      </w:r>
    </w:p>
    <w:p w14:paraId="220F2EF0"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tbl>
      <w:tblPr>
        <w:tblW w:w="5000" w:type="pct"/>
        <w:tblLook w:val="04A0" w:firstRow="1" w:lastRow="0" w:firstColumn="1" w:lastColumn="0" w:noHBand="0" w:noVBand="1"/>
      </w:tblPr>
      <w:tblGrid>
        <w:gridCol w:w="1740"/>
        <w:gridCol w:w="2896"/>
        <w:gridCol w:w="3016"/>
        <w:gridCol w:w="1698"/>
      </w:tblGrid>
      <w:tr w:rsidR="009C7C25" w:rsidRPr="005756CE" w14:paraId="7E4CE91F" w14:textId="77777777" w:rsidTr="00C17F97">
        <w:trPr>
          <w:trHeight w:val="602"/>
        </w:trPr>
        <w:tc>
          <w:tcPr>
            <w:tcW w:w="843" w:type="pct"/>
            <w:tcBorders>
              <w:top w:val="single" w:sz="4" w:space="0" w:color="auto"/>
              <w:left w:val="single" w:sz="4" w:space="0" w:color="auto"/>
              <w:bottom w:val="single" w:sz="4" w:space="0" w:color="auto"/>
              <w:right w:val="single" w:sz="4" w:space="0" w:color="auto"/>
            </w:tcBorders>
            <w:noWrap/>
            <w:vAlign w:val="center"/>
            <w:hideMark/>
          </w:tcPr>
          <w:p w14:paraId="3B8860AA" w14:textId="77777777" w:rsidR="009C7C25" w:rsidRPr="005756CE" w:rsidRDefault="009C7C25" w:rsidP="001E71F8">
            <w:pPr>
              <w:spacing w:line="240" w:lineRule="auto"/>
              <w:rPr>
                <w:rFonts w:ascii="Cambria" w:eastAsia="Times New Roman" w:hAnsi="Cambria"/>
                <w:i/>
                <w:iCs/>
                <w:color w:val="000000"/>
                <w:kern w:val="0"/>
                <w:sz w:val="20"/>
                <w:szCs w:val="20"/>
                <w14:ligatures w14:val="none"/>
              </w:rPr>
            </w:pPr>
            <w:r w:rsidRPr="005756CE">
              <w:rPr>
                <w:rFonts w:ascii="Cambria" w:eastAsia="Times New Roman" w:hAnsi="Cambria"/>
                <w:i/>
                <w:color w:val="000000"/>
                <w:kern w:val="0"/>
                <w:sz w:val="20"/>
                <w:szCs w:val="20"/>
                <w14:ligatures w14:val="none"/>
              </w:rPr>
              <w:t>Requin-taupe bleu</w:t>
            </w:r>
          </w:p>
        </w:tc>
        <w:tc>
          <w:tcPr>
            <w:tcW w:w="1578" w:type="pct"/>
            <w:tcBorders>
              <w:top w:val="single" w:sz="4" w:space="0" w:color="auto"/>
              <w:left w:val="nil"/>
              <w:bottom w:val="single" w:sz="4" w:space="0" w:color="auto"/>
              <w:right w:val="single" w:sz="4" w:space="0" w:color="auto"/>
            </w:tcBorders>
            <w:vAlign w:val="center"/>
            <w:hideMark/>
          </w:tcPr>
          <w:p w14:paraId="79F12B6D" w14:textId="4D3056B3" w:rsidR="009C7C25" w:rsidRPr="005756CE" w:rsidRDefault="009C7C25" w:rsidP="001E71F8">
            <w:pPr>
              <w:spacing w:line="240" w:lineRule="auto"/>
              <w:jc w:val="center"/>
              <w:rPr>
                <w:rFonts w:ascii="Cambria" w:eastAsia="Times New Roman" w:hAnsi="Cambria" w:cs="Calibri"/>
                <w:i/>
                <w:iCs/>
                <w:color w:val="000000"/>
                <w:kern w:val="0"/>
                <w:sz w:val="20"/>
                <w:szCs w:val="20"/>
                <w14:ligatures w14:val="none"/>
              </w:rPr>
            </w:pPr>
            <w:r w:rsidRPr="005756CE">
              <w:rPr>
                <w:rFonts w:ascii="Cambria" w:eastAsia="Times New Roman" w:hAnsi="Cambria"/>
                <w:i/>
                <w:color w:val="000000"/>
                <w:kern w:val="0"/>
                <w:sz w:val="20"/>
                <w:szCs w:val="20"/>
                <w14:ligatures w14:val="none"/>
              </w:rPr>
              <w:t>Total 202</w:t>
            </w:r>
            <w:r w:rsidR="00653A1A" w:rsidRPr="005756CE">
              <w:rPr>
                <w:rFonts w:ascii="Cambria" w:eastAsia="Times New Roman" w:hAnsi="Cambria"/>
                <w:i/>
                <w:color w:val="000000"/>
                <w:kern w:val="0"/>
                <w:sz w:val="20"/>
                <w:szCs w:val="20"/>
                <w14:ligatures w14:val="none"/>
              </w:rPr>
              <w:t>4</w:t>
            </w:r>
            <w:r w:rsidRPr="005756CE">
              <w:rPr>
                <w:rFonts w:ascii="Cambria" w:eastAsia="Times New Roman" w:hAnsi="Cambria"/>
                <w:i/>
                <w:color w:val="000000"/>
                <w:kern w:val="0"/>
                <w:sz w:val="20"/>
                <w:szCs w:val="20"/>
                <w14:ligatures w14:val="none"/>
              </w:rPr>
              <w:t xml:space="preserve"> </w:t>
            </w:r>
          </w:p>
          <w:p w14:paraId="341BF45A" w14:textId="77777777" w:rsidR="009C7C25" w:rsidRPr="005756CE" w:rsidRDefault="009C7C25" w:rsidP="001E71F8">
            <w:pPr>
              <w:spacing w:line="240" w:lineRule="auto"/>
              <w:jc w:val="center"/>
              <w:rPr>
                <w:rFonts w:ascii="Cambria" w:eastAsia="Times New Roman" w:hAnsi="Cambria" w:cs="Calibri"/>
                <w:i/>
                <w:iCs/>
                <w:color w:val="000000"/>
                <w:kern w:val="0"/>
                <w:sz w:val="20"/>
                <w:szCs w:val="20"/>
                <w14:ligatures w14:val="none"/>
              </w:rPr>
            </w:pPr>
            <w:proofErr w:type="gramStart"/>
            <w:r w:rsidRPr="005756CE">
              <w:rPr>
                <w:rFonts w:ascii="Cambria" w:eastAsia="Times New Roman" w:hAnsi="Cambria"/>
                <w:i/>
                <w:color w:val="000000"/>
                <w:kern w:val="0"/>
                <w:sz w:val="20"/>
                <w:szCs w:val="20"/>
                <w14:ligatures w14:val="none"/>
              </w:rPr>
              <w:t>tolérance</w:t>
            </w:r>
            <w:proofErr w:type="gramEnd"/>
            <w:r w:rsidRPr="005756CE">
              <w:rPr>
                <w:rFonts w:ascii="Cambria" w:eastAsia="Times New Roman" w:hAnsi="Cambria"/>
                <w:i/>
                <w:color w:val="000000"/>
                <w:kern w:val="0"/>
                <w:sz w:val="20"/>
                <w:szCs w:val="20"/>
                <w14:ligatures w14:val="none"/>
              </w:rPr>
              <w:t xml:space="preserve"> de rétention (t)</w:t>
            </w:r>
          </w:p>
        </w:tc>
        <w:tc>
          <w:tcPr>
            <w:tcW w:w="1642" w:type="pct"/>
            <w:tcBorders>
              <w:top w:val="single" w:sz="4" w:space="0" w:color="auto"/>
              <w:left w:val="nil"/>
              <w:bottom w:val="single" w:sz="4" w:space="0" w:color="auto"/>
              <w:right w:val="single" w:sz="4" w:space="0" w:color="auto"/>
            </w:tcBorders>
            <w:vAlign w:val="center"/>
            <w:hideMark/>
          </w:tcPr>
          <w:p w14:paraId="2F79EEFF" w14:textId="5155FF6C" w:rsidR="009C7C25" w:rsidRPr="005756CE" w:rsidRDefault="009C7C25" w:rsidP="001E71F8">
            <w:pPr>
              <w:spacing w:line="240" w:lineRule="auto"/>
              <w:jc w:val="center"/>
              <w:rPr>
                <w:rFonts w:ascii="Cambria" w:eastAsia="Times New Roman" w:hAnsi="Cambria" w:cs="Calibri"/>
                <w:i/>
                <w:iCs/>
                <w:color w:val="000000"/>
                <w:kern w:val="0"/>
                <w:sz w:val="20"/>
                <w:szCs w:val="20"/>
                <w14:ligatures w14:val="none"/>
              </w:rPr>
            </w:pPr>
            <w:r w:rsidRPr="005756CE">
              <w:rPr>
                <w:rFonts w:ascii="Cambria" w:eastAsia="Times New Roman" w:hAnsi="Cambria"/>
                <w:i/>
                <w:color w:val="000000"/>
                <w:kern w:val="0"/>
                <w:sz w:val="20"/>
                <w:szCs w:val="20"/>
                <w14:ligatures w14:val="none"/>
              </w:rPr>
              <w:t>Captures totales de 202</w:t>
            </w:r>
            <w:r w:rsidR="00653A1A" w:rsidRPr="005756CE">
              <w:rPr>
                <w:rFonts w:ascii="Cambria" w:eastAsia="Times New Roman" w:hAnsi="Cambria"/>
                <w:i/>
                <w:color w:val="000000"/>
                <w:kern w:val="0"/>
                <w:sz w:val="20"/>
                <w:szCs w:val="20"/>
                <w14:ligatures w14:val="none"/>
              </w:rPr>
              <w:t>4</w:t>
            </w:r>
            <w:r w:rsidRPr="005756CE">
              <w:rPr>
                <w:rFonts w:ascii="Cambria" w:eastAsia="Times New Roman" w:hAnsi="Cambria"/>
                <w:i/>
                <w:color w:val="000000"/>
                <w:kern w:val="0"/>
                <w:sz w:val="20"/>
                <w:szCs w:val="20"/>
                <w14:ligatures w14:val="none"/>
              </w:rPr>
              <w:t xml:space="preserve"> </w:t>
            </w:r>
          </w:p>
          <w:p w14:paraId="73D27F5B" w14:textId="77777777" w:rsidR="009C7C25" w:rsidRPr="005756CE" w:rsidRDefault="009C7C25" w:rsidP="001E71F8">
            <w:pPr>
              <w:spacing w:line="240" w:lineRule="auto"/>
              <w:jc w:val="center"/>
              <w:rPr>
                <w:rFonts w:ascii="Cambria" w:eastAsia="Times New Roman" w:hAnsi="Cambria" w:cs="Calibri"/>
                <w:i/>
                <w:iCs/>
                <w:color w:val="000000"/>
                <w:kern w:val="0"/>
                <w:sz w:val="20"/>
                <w:szCs w:val="20"/>
                <w14:ligatures w14:val="none"/>
              </w:rPr>
            </w:pPr>
            <w:proofErr w:type="gramStart"/>
            <w:r w:rsidRPr="005756CE">
              <w:rPr>
                <w:rFonts w:ascii="Cambria" w:eastAsia="Times New Roman" w:hAnsi="Cambria"/>
                <w:i/>
                <w:color w:val="000000"/>
                <w:kern w:val="0"/>
                <w:sz w:val="20"/>
                <w:szCs w:val="20"/>
                <w14:ligatures w14:val="none"/>
              </w:rPr>
              <w:t>déclarées</w:t>
            </w:r>
            <w:proofErr w:type="gramEnd"/>
            <w:r w:rsidRPr="005756CE">
              <w:rPr>
                <w:rFonts w:ascii="Cambria" w:eastAsia="Times New Roman" w:hAnsi="Cambria"/>
                <w:i/>
                <w:color w:val="000000"/>
                <w:kern w:val="0"/>
                <w:sz w:val="20"/>
                <w:szCs w:val="20"/>
                <w14:ligatures w14:val="none"/>
              </w:rPr>
              <w:t xml:space="preserve"> mensuellement (t)</w:t>
            </w:r>
          </w:p>
        </w:tc>
        <w:tc>
          <w:tcPr>
            <w:tcW w:w="937" w:type="pct"/>
            <w:tcBorders>
              <w:top w:val="single" w:sz="4" w:space="0" w:color="auto"/>
              <w:left w:val="nil"/>
              <w:bottom w:val="single" w:sz="4" w:space="0" w:color="auto"/>
              <w:right w:val="single" w:sz="4" w:space="0" w:color="auto"/>
            </w:tcBorders>
            <w:vAlign w:val="center"/>
            <w:hideMark/>
          </w:tcPr>
          <w:p w14:paraId="6D6CB447" w14:textId="61D382E1" w:rsidR="009C7C25" w:rsidRPr="005756CE" w:rsidRDefault="009C7C25" w:rsidP="001E71F8">
            <w:pPr>
              <w:spacing w:line="240" w:lineRule="auto"/>
              <w:jc w:val="center"/>
              <w:rPr>
                <w:rFonts w:ascii="Cambria" w:eastAsia="Times New Roman" w:hAnsi="Cambria" w:cs="Calibri"/>
                <w:i/>
                <w:iCs/>
                <w:color w:val="000000"/>
                <w:kern w:val="0"/>
                <w:sz w:val="20"/>
                <w:szCs w:val="20"/>
                <w14:ligatures w14:val="none"/>
              </w:rPr>
            </w:pPr>
            <w:r w:rsidRPr="005756CE">
              <w:rPr>
                <w:rFonts w:ascii="Cambria" w:eastAsia="Times New Roman" w:hAnsi="Cambria"/>
                <w:i/>
                <w:color w:val="000000"/>
                <w:kern w:val="0"/>
                <w:sz w:val="20"/>
                <w:szCs w:val="20"/>
                <w14:ligatures w14:val="none"/>
              </w:rPr>
              <w:t>Tâche 1 de 202</w:t>
            </w:r>
            <w:r w:rsidR="00653A1A" w:rsidRPr="005756CE">
              <w:rPr>
                <w:rFonts w:ascii="Cambria" w:eastAsia="Times New Roman" w:hAnsi="Cambria"/>
                <w:i/>
                <w:color w:val="000000"/>
                <w:kern w:val="0"/>
                <w:sz w:val="20"/>
                <w:szCs w:val="20"/>
                <w14:ligatures w14:val="none"/>
              </w:rPr>
              <w:t>4</w:t>
            </w:r>
            <w:r w:rsidRPr="005756CE">
              <w:rPr>
                <w:rFonts w:ascii="Cambria" w:eastAsia="Times New Roman" w:hAnsi="Cambria"/>
                <w:i/>
                <w:color w:val="000000"/>
                <w:kern w:val="0"/>
                <w:sz w:val="20"/>
                <w:szCs w:val="20"/>
                <w14:ligatures w14:val="none"/>
              </w:rPr>
              <w:t xml:space="preserve"> (t)</w:t>
            </w:r>
          </w:p>
        </w:tc>
      </w:tr>
      <w:tr w:rsidR="009C7C25" w:rsidRPr="005756CE" w14:paraId="10371A33" w14:textId="77777777" w:rsidTr="00C17F97">
        <w:trPr>
          <w:trHeight w:val="300"/>
        </w:trPr>
        <w:tc>
          <w:tcPr>
            <w:tcW w:w="843" w:type="pct"/>
            <w:tcBorders>
              <w:top w:val="nil"/>
              <w:left w:val="single" w:sz="4" w:space="0" w:color="auto"/>
              <w:bottom w:val="single" w:sz="4" w:space="0" w:color="auto"/>
              <w:right w:val="single" w:sz="4" w:space="0" w:color="auto"/>
            </w:tcBorders>
            <w:noWrap/>
            <w:vAlign w:val="center"/>
            <w:hideMark/>
          </w:tcPr>
          <w:p w14:paraId="679848AA" w14:textId="77777777" w:rsidR="009C7C25" w:rsidRPr="005756CE" w:rsidRDefault="009C7C25" w:rsidP="001E71F8">
            <w:pPr>
              <w:spacing w:line="240" w:lineRule="auto"/>
              <w:jc w:val="center"/>
              <w:rPr>
                <w:rFonts w:ascii="Cambria" w:eastAsia="Times New Roman" w:hAnsi="Cambria"/>
                <w:color w:val="000000"/>
                <w:kern w:val="0"/>
                <w:sz w:val="20"/>
                <w:szCs w:val="20"/>
                <w14:ligatures w14:val="none"/>
              </w:rPr>
            </w:pPr>
            <w:r w:rsidRPr="005756CE">
              <w:rPr>
                <w:rFonts w:ascii="Cambria" w:eastAsia="Times New Roman" w:hAnsi="Cambria"/>
                <w:color w:val="000000"/>
                <w:kern w:val="0"/>
                <w:sz w:val="20"/>
                <w:szCs w:val="20"/>
                <w14:ligatures w14:val="none"/>
              </w:rPr>
              <w:t>ATS</w:t>
            </w:r>
          </w:p>
        </w:tc>
        <w:tc>
          <w:tcPr>
            <w:tcW w:w="1578" w:type="pct"/>
            <w:tcBorders>
              <w:top w:val="nil"/>
              <w:left w:val="nil"/>
              <w:bottom w:val="single" w:sz="4" w:space="0" w:color="auto"/>
              <w:right w:val="single" w:sz="4" w:space="0" w:color="auto"/>
            </w:tcBorders>
            <w:vAlign w:val="center"/>
            <w:hideMark/>
          </w:tcPr>
          <w:p w14:paraId="58288C14" w14:textId="77777777" w:rsidR="009C7C25" w:rsidRPr="005756CE" w:rsidRDefault="009C7C25" w:rsidP="001E71F8">
            <w:pPr>
              <w:spacing w:line="240" w:lineRule="auto"/>
              <w:jc w:val="center"/>
              <w:rPr>
                <w:rFonts w:ascii="Cambria" w:eastAsia="Times New Roman" w:hAnsi="Cambria"/>
                <w:color w:val="000000"/>
                <w:kern w:val="0"/>
                <w:sz w:val="20"/>
                <w:szCs w:val="20"/>
                <w14:ligatures w14:val="none"/>
              </w:rPr>
            </w:pPr>
            <w:r w:rsidRPr="005756CE">
              <w:rPr>
                <w:rFonts w:ascii="Cambria" w:eastAsia="Times New Roman" w:hAnsi="Cambria"/>
                <w:color w:val="000000"/>
                <w:kern w:val="0"/>
                <w:sz w:val="20"/>
                <w:szCs w:val="20"/>
                <w14:ligatures w14:val="none"/>
              </w:rPr>
              <w:t>1.295</w:t>
            </w:r>
          </w:p>
        </w:tc>
        <w:tc>
          <w:tcPr>
            <w:tcW w:w="1642" w:type="pct"/>
            <w:tcBorders>
              <w:top w:val="nil"/>
              <w:left w:val="nil"/>
              <w:bottom w:val="single" w:sz="4" w:space="0" w:color="auto"/>
              <w:right w:val="single" w:sz="4" w:space="0" w:color="auto"/>
            </w:tcBorders>
            <w:vAlign w:val="center"/>
            <w:hideMark/>
          </w:tcPr>
          <w:p w14:paraId="2692D1CE" w14:textId="788F1C8D" w:rsidR="009C7C25" w:rsidRPr="005756CE" w:rsidRDefault="009C7C25" w:rsidP="001E71F8">
            <w:pPr>
              <w:spacing w:line="240" w:lineRule="auto"/>
              <w:jc w:val="center"/>
              <w:rPr>
                <w:rFonts w:ascii="Cambria" w:eastAsia="Times New Roman" w:hAnsi="Cambria"/>
                <w:color w:val="000000"/>
                <w:kern w:val="0"/>
                <w:sz w:val="20"/>
                <w:szCs w:val="20"/>
                <w14:ligatures w14:val="none"/>
              </w:rPr>
            </w:pPr>
            <w:r w:rsidRPr="005756CE">
              <w:rPr>
                <w:rFonts w:ascii="Cambria" w:eastAsia="Times New Roman" w:hAnsi="Cambria"/>
                <w:color w:val="000000"/>
                <w:kern w:val="0"/>
                <w:sz w:val="20"/>
                <w:szCs w:val="20"/>
                <w14:ligatures w14:val="none"/>
              </w:rPr>
              <w:t>1</w:t>
            </w:r>
            <w:r w:rsidR="00653A1A" w:rsidRPr="005756CE">
              <w:rPr>
                <w:rFonts w:ascii="Cambria" w:eastAsia="Times New Roman" w:hAnsi="Cambria"/>
                <w:color w:val="000000"/>
                <w:kern w:val="0"/>
                <w:sz w:val="20"/>
                <w:szCs w:val="20"/>
                <w14:ligatures w14:val="none"/>
              </w:rPr>
              <w:t>48</w:t>
            </w:r>
          </w:p>
        </w:tc>
        <w:tc>
          <w:tcPr>
            <w:tcW w:w="937" w:type="pct"/>
            <w:tcBorders>
              <w:top w:val="nil"/>
              <w:left w:val="nil"/>
              <w:bottom w:val="single" w:sz="4" w:space="0" w:color="auto"/>
              <w:right w:val="single" w:sz="4" w:space="0" w:color="auto"/>
            </w:tcBorders>
            <w:vAlign w:val="center"/>
            <w:hideMark/>
          </w:tcPr>
          <w:p w14:paraId="69878CF2" w14:textId="465824CB" w:rsidR="009C7C25" w:rsidRPr="005756CE" w:rsidRDefault="00316C4E" w:rsidP="001E71F8">
            <w:pPr>
              <w:spacing w:line="240" w:lineRule="auto"/>
              <w:jc w:val="center"/>
              <w:rPr>
                <w:rFonts w:ascii="Cambria" w:eastAsia="Times New Roman" w:hAnsi="Cambria"/>
                <w:color w:val="000000"/>
                <w:kern w:val="0"/>
                <w:sz w:val="20"/>
                <w:szCs w:val="20"/>
                <w14:ligatures w14:val="none"/>
              </w:rPr>
            </w:pPr>
            <w:r w:rsidRPr="005756CE">
              <w:rPr>
                <w:rFonts w:ascii="Cambria" w:eastAsia="Times New Roman" w:hAnsi="Cambria"/>
                <w:kern w:val="0"/>
                <w:sz w:val="20"/>
                <w:szCs w:val="20"/>
                <w14:ligatures w14:val="none"/>
              </w:rPr>
              <w:t>730,7</w:t>
            </w:r>
          </w:p>
        </w:tc>
      </w:tr>
    </w:tbl>
    <w:p w14:paraId="2CF4DACA"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Cs/>
          <w:kern w:val="0"/>
          <w:sz w:val="20"/>
          <w:szCs w:val="20"/>
          <w:lang w:val="en-GB"/>
          <w14:ligatures w14:val="none"/>
        </w:rPr>
      </w:pPr>
    </w:p>
    <w:p w14:paraId="487A3D11" w14:textId="4E440C1B" w:rsidR="009C7C25" w:rsidRPr="005756CE" w:rsidRDefault="0072297D" w:rsidP="001E71F8">
      <w:pPr>
        <w:spacing w:line="240" w:lineRule="auto"/>
        <w:jc w:val="both"/>
        <w:rPr>
          <w:rFonts w:ascii="Cambria" w:eastAsia="Times New Roman" w:hAnsi="Cambria"/>
          <w:color w:val="000000"/>
          <w:kern w:val="0"/>
          <w:sz w:val="20"/>
          <w:szCs w:val="20"/>
          <w14:ligatures w14:val="none"/>
        </w:rPr>
      </w:pPr>
      <w:r w:rsidRPr="005756CE">
        <w:rPr>
          <w:rFonts w:ascii="Cambria" w:hAnsi="Cambria"/>
          <w:sz w:val="20"/>
          <w:szCs w:val="20"/>
        </w:rPr>
        <w:t xml:space="preserve">Veuillez noter </w:t>
      </w:r>
      <w:r w:rsidRPr="005756CE">
        <w:rPr>
          <w:rFonts w:ascii="Cambria" w:hAnsi="Cambria"/>
          <w:color w:val="000000" w:themeColor="text1"/>
          <w:sz w:val="20"/>
          <w:szCs w:val="20"/>
        </w:rPr>
        <w:t xml:space="preserve">que les rejets vivants (DL) sont exclus et que les données de la tâche 1 de ST02 excluent les reports. </w:t>
      </w:r>
      <w:r w:rsidR="009C7C25" w:rsidRPr="005756CE">
        <w:rPr>
          <w:rFonts w:ascii="Cambria" w:eastAsia="Times New Roman" w:hAnsi="Cambria"/>
          <w:color w:val="000000"/>
          <w:kern w:val="0"/>
          <w:sz w:val="20"/>
          <w:szCs w:val="20"/>
          <w14:ligatures w14:val="none"/>
        </w:rPr>
        <w:t xml:space="preserve">Les obligations en matière de déclaration de la tâche 1 sont examinées en vertu de la Rec. 11-15. La Recommandation impose aux CPC, à partir de 2020, de fournir dans leur rapport annuel des informations sur la manière dont cette Recommandation est mise en œuvre.  Ces rapports sont inclus dans les feuilles de contrôle de la mise en œuvre des mesures s’appliquant aux requins (cf. Rec. 18-06 ci-dessous). </w:t>
      </w:r>
    </w:p>
    <w:p w14:paraId="14858C2C"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left="1276" w:hanging="851"/>
        <w:rPr>
          <w:rFonts w:ascii="Cambria" w:eastAsia="Times New Roman" w:hAnsi="Cambria"/>
          <w:bCs/>
          <w:kern w:val="0"/>
          <w:sz w:val="20"/>
          <w:szCs w:val="20"/>
          <w14:ligatures w14:val="none"/>
        </w:rPr>
      </w:pPr>
    </w:p>
    <w:p w14:paraId="625F230A" w14:textId="77777777" w:rsidR="009C7C25" w:rsidRPr="005756CE" w:rsidRDefault="009C7C25" w:rsidP="001E71F8">
      <w:pPr>
        <w:widowControl w:val="0"/>
        <w:tabs>
          <w:tab w:val="left" w:pos="709"/>
          <w:tab w:val="left" w:pos="1418"/>
          <w:tab w:val="left" w:leader="dot" w:pos="8222"/>
          <w:tab w:val="right" w:pos="8647"/>
        </w:tabs>
        <w:autoSpaceDE w:val="0"/>
        <w:autoSpaceDN w:val="0"/>
        <w:adjustRightInd w:val="0"/>
        <w:spacing w:line="240" w:lineRule="auto"/>
        <w:jc w:val="both"/>
        <w:rPr>
          <w:rFonts w:ascii="Cambria" w:eastAsia="Times New Roman" w:hAnsi="Cambria"/>
          <w:bCs/>
          <w:i/>
          <w:kern w:val="0"/>
          <w:sz w:val="20"/>
          <w:szCs w:val="20"/>
          <w14:ligatures w14:val="none"/>
        </w:rPr>
      </w:pPr>
      <w:r w:rsidRPr="005756CE">
        <w:rPr>
          <w:rFonts w:ascii="Cambria" w:eastAsia="Times New Roman" w:hAnsi="Cambria"/>
          <w:i/>
          <w:kern w:val="0"/>
          <w:sz w:val="20"/>
          <w:szCs w:val="20"/>
          <w14:ligatures w14:val="none"/>
        </w:rPr>
        <w:t xml:space="preserve">[18-06] </w:t>
      </w:r>
      <w:hyperlink r:id="rId25" w:tgtFrame="_blank" w:history="1">
        <w:r w:rsidRPr="005756CE">
          <w:rPr>
            <w:rFonts w:ascii="Cambria" w:eastAsia="Times New Roman" w:hAnsi="Cambria"/>
            <w:i/>
            <w:kern w:val="0"/>
            <w:sz w:val="20"/>
            <w:szCs w:val="20"/>
            <w14:ligatures w14:val="none"/>
          </w:rPr>
          <w:t>Recommandation de l’ICCAT remplaçant la Recommandation 16-13 en vue d'améliorer l'examen de l'application des mesures de conservation et de gestion s'appliquant aux requins capturés en association avec les pêcheries de l’ICCAT</w:t>
        </w:r>
      </w:hyperlink>
      <w:r w:rsidRPr="005756CE">
        <w:rPr>
          <w:rFonts w:ascii="Cambria" w:eastAsia="Times New Roman" w:hAnsi="Cambria"/>
          <w:i/>
          <w:kern w:val="0"/>
          <w:sz w:val="20"/>
          <w:szCs w:val="20"/>
          <w14:ligatures w14:val="none"/>
        </w:rPr>
        <w:t xml:space="preserve"> </w:t>
      </w:r>
    </w:p>
    <w:p w14:paraId="76D0132B"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left="1135" w:hanging="851"/>
        <w:rPr>
          <w:rFonts w:ascii="Cambria" w:eastAsia="Times New Roman" w:hAnsi="Cambria"/>
          <w:bCs/>
          <w:kern w:val="0"/>
          <w:sz w:val="20"/>
          <w:szCs w:val="20"/>
          <w14:ligatures w14:val="none"/>
        </w:rPr>
      </w:pPr>
    </w:p>
    <w:p w14:paraId="277C3EFA" w14:textId="5A323236" w:rsidR="009C7C25" w:rsidRPr="005756CE" w:rsidRDefault="009C7C25" w:rsidP="001E71F8">
      <w:pPr>
        <w:spacing w:line="240" w:lineRule="auto"/>
        <w:jc w:val="both"/>
        <w:rPr>
          <w:rFonts w:ascii="Cambria" w:eastAsia="Times New Roman" w:hAnsi="Cambria"/>
          <w:iCs/>
          <w:kern w:val="0"/>
          <w:sz w:val="20"/>
          <w:szCs w:val="20"/>
          <w14:ligatures w14:val="none"/>
        </w:rPr>
      </w:pPr>
      <w:r w:rsidRPr="005756CE">
        <w:rPr>
          <w:rFonts w:ascii="Cambria" w:eastAsia="Times New Roman" w:hAnsi="Cambria"/>
          <w:kern w:val="0"/>
          <w:sz w:val="20"/>
          <w:szCs w:val="20"/>
          <w14:ligatures w14:val="none"/>
        </w:rPr>
        <w:t>Cette année, 4</w:t>
      </w:r>
      <w:r w:rsidR="0000645B"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 xml:space="preserve"> CPC ont envoyé des feuilles de contrôle s’appliquant aux requins révisées/mises à jour, </w:t>
      </w:r>
      <w:r w:rsidR="0000645B" w:rsidRPr="005756CE">
        <w:rPr>
          <w:rFonts w:ascii="Cambria" w:eastAsia="Times New Roman" w:hAnsi="Cambria"/>
          <w:kern w:val="0"/>
          <w:sz w:val="20"/>
          <w:szCs w:val="20"/>
          <w14:ligatures w14:val="none"/>
        </w:rPr>
        <w:t xml:space="preserve">9 </w:t>
      </w:r>
      <w:r w:rsidRPr="005756CE">
        <w:rPr>
          <w:rFonts w:ascii="Cambria" w:eastAsia="Times New Roman" w:hAnsi="Cambria"/>
          <w:kern w:val="0"/>
          <w:sz w:val="20"/>
          <w:szCs w:val="20"/>
          <w14:ligatures w14:val="none"/>
        </w:rPr>
        <w:t xml:space="preserve">d'entre elles ayant été soumises après la date limite. </w:t>
      </w:r>
      <w:r w:rsidR="00E445EE" w:rsidRPr="005756CE">
        <w:rPr>
          <w:rFonts w:ascii="Cambria" w:hAnsi="Cambria"/>
          <w:sz w:val="20"/>
          <w:szCs w:val="20"/>
        </w:rPr>
        <w:t xml:space="preserve">Six (6) CPC n'ont pas envoyé de mises à jour des versions précédentes de l'année dernière (2024) (Guatemala, Libye, Sierra Leone, République arabe syrienne, Trinité-et-Tobago et </w:t>
      </w:r>
      <w:proofErr w:type="spellStart"/>
      <w:r w:rsidR="00E445EE" w:rsidRPr="005756CE">
        <w:rPr>
          <w:rFonts w:ascii="Cambria" w:hAnsi="Cambria"/>
          <w:sz w:val="20"/>
          <w:szCs w:val="20"/>
        </w:rPr>
        <w:t>Guyan</w:t>
      </w:r>
      <w:r w:rsidR="005B6C14" w:rsidRPr="005756CE">
        <w:rPr>
          <w:rFonts w:ascii="Cambria" w:hAnsi="Cambria"/>
          <w:sz w:val="20"/>
          <w:szCs w:val="20"/>
        </w:rPr>
        <w:t>A</w:t>
      </w:r>
      <w:proofErr w:type="spellEnd"/>
      <w:r w:rsidR="00E445EE" w:rsidRPr="005756CE">
        <w:rPr>
          <w:rFonts w:ascii="Cambria" w:hAnsi="Cambria"/>
          <w:sz w:val="20"/>
          <w:szCs w:val="20"/>
        </w:rPr>
        <w:t xml:space="preserve">). Sept (7) </w:t>
      </w:r>
      <w:r w:rsidRPr="005756CE">
        <w:rPr>
          <w:rFonts w:ascii="Cambria" w:eastAsia="Times New Roman" w:hAnsi="Cambria"/>
          <w:kern w:val="0"/>
          <w:sz w:val="20"/>
          <w:szCs w:val="20"/>
          <w14:ligatures w14:val="none"/>
        </w:rPr>
        <w:t xml:space="preserve">CPC n'ont jamais soumis de feuilles de contrôle s’appliquant aux requins (Gambie, Grenade, Guinée-Bissau, </w:t>
      </w:r>
      <w:r w:rsidR="00E37577" w:rsidRPr="005756CE">
        <w:rPr>
          <w:rFonts w:ascii="Cambria" w:eastAsia="Times New Roman" w:hAnsi="Cambria"/>
          <w:kern w:val="0"/>
          <w:sz w:val="20"/>
          <w:szCs w:val="20"/>
          <w14:ligatures w14:val="none"/>
        </w:rPr>
        <w:t xml:space="preserve">Guinée équatoriale, </w:t>
      </w:r>
      <w:r w:rsidRPr="005756CE">
        <w:rPr>
          <w:rFonts w:ascii="Cambria" w:eastAsia="Times New Roman" w:hAnsi="Cambria"/>
          <w:kern w:val="0"/>
          <w:sz w:val="20"/>
          <w:szCs w:val="20"/>
          <w14:ligatures w14:val="none"/>
        </w:rPr>
        <w:t>Mauritanie</w:t>
      </w:r>
      <w:r w:rsidR="00E37577" w:rsidRPr="005756CE">
        <w:rPr>
          <w:rFonts w:ascii="Cambria" w:eastAsia="Times New Roman" w:hAnsi="Cambria"/>
          <w:kern w:val="0"/>
          <w:sz w:val="20"/>
          <w:szCs w:val="20"/>
          <w14:ligatures w14:val="none"/>
        </w:rPr>
        <w:t>,</w:t>
      </w:r>
      <w:r w:rsidRPr="005756CE">
        <w:rPr>
          <w:rFonts w:ascii="Cambria" w:eastAsia="Times New Roman" w:hAnsi="Cambria"/>
          <w:kern w:val="0"/>
          <w:sz w:val="20"/>
          <w:szCs w:val="20"/>
          <w14:ligatures w14:val="none"/>
        </w:rPr>
        <w:t xml:space="preserve"> São Tomé e Principe</w:t>
      </w:r>
      <w:r w:rsidR="00FA6A6E" w:rsidRPr="005756CE">
        <w:rPr>
          <w:rFonts w:ascii="Cambria" w:eastAsia="Times New Roman" w:hAnsi="Cambria"/>
          <w:kern w:val="0"/>
          <w:sz w:val="20"/>
          <w:szCs w:val="20"/>
          <w14:ligatures w14:val="none"/>
        </w:rPr>
        <w:t xml:space="preserve"> et Cuba</w:t>
      </w:r>
      <w:r w:rsidRPr="005756CE">
        <w:rPr>
          <w:rFonts w:ascii="Cambria" w:eastAsia="Times New Roman" w:hAnsi="Cambria"/>
          <w:kern w:val="0"/>
          <w:sz w:val="20"/>
          <w:szCs w:val="20"/>
          <w14:ligatures w14:val="none"/>
        </w:rPr>
        <w:t xml:space="preserve">). Celles-ci se trouvent dans les « Feuilles de contrôle s'appliquant </w:t>
      </w:r>
      <w:proofErr w:type="gramStart"/>
      <w:r w:rsidRPr="005756CE">
        <w:rPr>
          <w:rFonts w:ascii="Cambria" w:eastAsia="Times New Roman" w:hAnsi="Cambria"/>
          <w:kern w:val="0"/>
          <w:sz w:val="20"/>
          <w:szCs w:val="20"/>
          <w14:ligatures w14:val="none"/>
        </w:rPr>
        <w:t>aux requins reçues</w:t>
      </w:r>
      <w:proofErr w:type="gramEnd"/>
      <w:r w:rsidRPr="005756CE">
        <w:rPr>
          <w:rFonts w:ascii="Cambria" w:eastAsia="Times New Roman" w:hAnsi="Cambria"/>
          <w:kern w:val="0"/>
          <w:sz w:val="20"/>
          <w:szCs w:val="20"/>
          <w14:ligatures w14:val="none"/>
        </w:rPr>
        <w:t xml:space="preserve"> en vertu de la Rec. 18-06 » [COC_314/202</w:t>
      </w:r>
      <w:r w:rsidR="00FA6A6E"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 Le contenu de ces feuilles de contrôle s’appliquant aux requins est résumé à l'annexe 1 du COC_314/202</w:t>
      </w:r>
      <w:r w:rsidR="00FA6A6E"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w:t>
      </w:r>
    </w:p>
    <w:p w14:paraId="6B981D01" w14:textId="6823CD25" w:rsidR="009C7C25" w:rsidRPr="005756CE" w:rsidRDefault="009C7C25" w:rsidP="001E71F8">
      <w:pPr>
        <w:spacing w:line="240" w:lineRule="auto"/>
        <w:rPr>
          <w:rFonts w:ascii="Cambria" w:eastAsia="Times New Roman" w:hAnsi="Cambria"/>
          <w:b/>
          <w:kern w:val="0"/>
          <w:sz w:val="20"/>
          <w:szCs w:val="20"/>
          <w14:ligatures w14:val="none"/>
        </w:rPr>
      </w:pPr>
    </w:p>
    <w:p w14:paraId="526EFDD7" w14:textId="120E0C7B" w:rsidR="00FA0C6A" w:rsidRDefault="00FA0C6A">
      <w:pPr>
        <w:rPr>
          <w:rFonts w:ascii="Cambria" w:eastAsia="Times New Roman" w:hAnsi="Cambria"/>
          <w:b/>
          <w:kern w:val="0"/>
          <w:sz w:val="20"/>
          <w:szCs w:val="20"/>
          <w14:ligatures w14:val="none"/>
        </w:rPr>
      </w:pPr>
      <w:r>
        <w:rPr>
          <w:rFonts w:ascii="Cambria" w:eastAsia="Times New Roman" w:hAnsi="Cambria"/>
          <w:b/>
          <w:kern w:val="0"/>
          <w:sz w:val="20"/>
          <w:szCs w:val="20"/>
          <w14:ligatures w14:val="none"/>
        </w:rPr>
        <w:br w:type="page"/>
      </w:r>
    </w:p>
    <w:p w14:paraId="40017E76" w14:textId="77777777" w:rsidR="005A3C53" w:rsidRPr="005756CE" w:rsidRDefault="005A3C53">
      <w:pPr>
        <w:rPr>
          <w:rFonts w:ascii="Cambria" w:eastAsia="Times New Roman" w:hAnsi="Cambria"/>
          <w:b/>
          <w:kern w:val="0"/>
          <w:sz w:val="20"/>
          <w:szCs w:val="20"/>
          <w14:ligatures w14:val="none"/>
        </w:rPr>
      </w:pPr>
    </w:p>
    <w:p w14:paraId="459D8D8C" w14:textId="0AA76233"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
          <w:kern w:val="0"/>
          <w:sz w:val="20"/>
          <w:szCs w:val="20"/>
          <w14:ligatures w14:val="none"/>
        </w:rPr>
      </w:pPr>
      <w:r w:rsidRPr="005756CE">
        <w:rPr>
          <w:rFonts w:ascii="Cambria" w:eastAsia="Times New Roman" w:hAnsi="Cambria"/>
          <w:b/>
          <w:kern w:val="0"/>
          <w:sz w:val="20"/>
          <w:szCs w:val="20"/>
          <w14:ligatures w14:val="none"/>
        </w:rPr>
        <w:t>BYC - ESPÈCES DE PRISES ACCESSOIRES</w:t>
      </w:r>
    </w:p>
    <w:p w14:paraId="484C1A23"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kern w:val="0"/>
          <w:sz w:val="20"/>
          <w:szCs w:val="20"/>
          <w14:ligatures w14:val="none"/>
        </w:rPr>
      </w:pPr>
    </w:p>
    <w:p w14:paraId="2A93883C" w14:textId="007247A6" w:rsidR="009C7C25" w:rsidRPr="005756CE" w:rsidRDefault="009C7C25" w:rsidP="00FC4802">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Cs/>
          <w:i/>
          <w:kern w:val="0"/>
          <w:sz w:val="20"/>
          <w:szCs w:val="20"/>
          <w14:ligatures w14:val="none"/>
        </w:rPr>
      </w:pPr>
      <w:r w:rsidRPr="005756CE">
        <w:rPr>
          <w:rFonts w:ascii="Cambria" w:eastAsia="Times New Roman" w:hAnsi="Cambria"/>
          <w:i/>
          <w:kern w:val="0"/>
          <w:sz w:val="20"/>
          <w:szCs w:val="20"/>
          <w14:ligatures w14:val="none"/>
        </w:rPr>
        <w:t>[07-07]</w:t>
      </w:r>
      <w:r w:rsidR="00FC4802" w:rsidRPr="005756CE">
        <w:rPr>
          <w:rFonts w:ascii="Cambria" w:eastAsia="Times New Roman" w:hAnsi="Cambria"/>
          <w:i/>
          <w:kern w:val="0"/>
          <w:sz w:val="20"/>
          <w:szCs w:val="20"/>
          <w14:ligatures w14:val="none"/>
        </w:rPr>
        <w:t xml:space="preserve"> </w:t>
      </w:r>
      <w:r w:rsidRPr="005756CE">
        <w:rPr>
          <w:rFonts w:ascii="Cambria" w:eastAsia="Times New Roman" w:hAnsi="Cambria"/>
          <w:i/>
          <w:kern w:val="0"/>
          <w:sz w:val="20"/>
          <w:szCs w:val="20"/>
          <w14:ligatures w14:val="none"/>
        </w:rPr>
        <w:t>Recommandation de l’ICCAT sur la réduction des captures accidentelles d’oiseaux de mer dans les pêcheries palangrières</w:t>
      </w:r>
    </w:p>
    <w:p w14:paraId="78DE1F44"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bCs/>
          <w:i/>
          <w:kern w:val="0"/>
          <w:sz w:val="20"/>
          <w:szCs w:val="20"/>
          <w14:ligatures w14:val="none"/>
        </w:rPr>
      </w:pPr>
    </w:p>
    <w:p w14:paraId="7C6259C1"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Veuillez consulter la Rec. 11-09 ci-dessous. Le Secrétariat de l’ICCAT réitère sa suggestion visant à combiner ces deux Recommandations. </w:t>
      </w:r>
    </w:p>
    <w:p w14:paraId="641A2A3C"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Cs/>
          <w:iCs/>
          <w:kern w:val="0"/>
          <w:sz w:val="20"/>
          <w:szCs w:val="20"/>
          <w14:ligatures w14:val="none"/>
        </w:rPr>
      </w:pPr>
    </w:p>
    <w:p w14:paraId="52C17BFA" w14:textId="6D0B5EEB" w:rsidR="00C321EA" w:rsidRPr="005756CE" w:rsidRDefault="004404C3"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Cs/>
          <w:i/>
          <w:kern w:val="0"/>
          <w:sz w:val="20"/>
          <w:szCs w:val="20"/>
          <w14:ligatures w14:val="none"/>
        </w:rPr>
      </w:pPr>
      <w:r w:rsidRPr="005756CE">
        <w:rPr>
          <w:rFonts w:ascii="Cambria" w:hAnsi="Cambria"/>
          <w:bCs/>
          <w:i/>
          <w:sz w:val="20"/>
          <w:szCs w:val="20"/>
        </w:rPr>
        <w:t>[11-09</w:t>
      </w:r>
      <w:r w:rsidRPr="005756CE">
        <w:rPr>
          <w:rFonts w:ascii="Cambria" w:hAnsi="Cambria"/>
          <w:bCs/>
          <w:iCs/>
          <w:sz w:val="20"/>
          <w:szCs w:val="20"/>
        </w:rPr>
        <w:t xml:space="preserve">] </w:t>
      </w:r>
      <w:r w:rsidR="00C321EA" w:rsidRPr="005756CE">
        <w:rPr>
          <w:rFonts w:ascii="Cambria" w:hAnsi="Cambria"/>
          <w:i/>
          <w:sz w:val="20"/>
          <w:szCs w:val="20"/>
        </w:rPr>
        <w:t>Recommandation supplémentaire de l'ICCAT sur la réduction des captures accidentelles d’oiseaux de mer dans les pêcheries palangrières de l'ICCAT</w:t>
      </w:r>
    </w:p>
    <w:p w14:paraId="7D83F4F0" w14:textId="77777777" w:rsidR="004404C3" w:rsidRPr="005756CE" w:rsidRDefault="004404C3"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43EFAF03" w14:textId="399BAB3E" w:rsidR="00547119" w:rsidRPr="005756CE" w:rsidRDefault="00547119" w:rsidP="001E71F8">
      <w:pPr>
        <w:tabs>
          <w:tab w:val="left" w:pos="1276"/>
          <w:tab w:val="left" w:pos="1418"/>
          <w:tab w:val="left" w:leader="dot" w:pos="8222"/>
          <w:tab w:val="right" w:pos="8647"/>
        </w:tabs>
        <w:spacing w:line="240" w:lineRule="auto"/>
        <w:jc w:val="both"/>
        <w:rPr>
          <w:rFonts w:ascii="Cambria" w:hAnsi="Cambria"/>
          <w:bCs/>
          <w:sz w:val="20"/>
          <w:szCs w:val="20"/>
        </w:rPr>
        <w:sectPr w:rsidR="00547119" w:rsidRPr="005756CE" w:rsidSect="00547119">
          <w:headerReference w:type="default" r:id="rId26"/>
          <w:footerReference w:type="default" r:id="rId27"/>
          <w:pgSz w:w="12240" w:h="15840"/>
          <w:pgMar w:top="1440" w:right="1440" w:bottom="1440" w:left="1440" w:header="708" w:footer="708" w:gutter="0"/>
          <w:cols w:space="708"/>
          <w:docGrid w:linePitch="360"/>
        </w:sectPr>
      </w:pPr>
    </w:p>
    <w:p w14:paraId="5D19D703" w14:textId="24052D69" w:rsidR="00547119" w:rsidRPr="005756CE" w:rsidRDefault="005A4EE0" w:rsidP="001E71F8">
      <w:pPr>
        <w:tabs>
          <w:tab w:val="left" w:pos="1276"/>
          <w:tab w:val="left" w:pos="1418"/>
          <w:tab w:val="left" w:leader="dot" w:pos="8222"/>
          <w:tab w:val="right" w:pos="8647"/>
        </w:tabs>
        <w:spacing w:line="240" w:lineRule="auto"/>
        <w:jc w:val="both"/>
        <w:rPr>
          <w:rFonts w:ascii="Cambria" w:hAnsi="Cambria"/>
          <w:bCs/>
          <w:sz w:val="20"/>
          <w:szCs w:val="20"/>
        </w:rPr>
      </w:pPr>
      <w:r w:rsidRPr="005756CE">
        <w:rPr>
          <w:rFonts w:ascii="Cambria" w:hAnsi="Cambria"/>
          <w:sz w:val="20"/>
          <w:szCs w:val="20"/>
        </w:rPr>
        <w:lastRenderedPageBreak/>
        <w:t>Les prises accessoires d'oiseaux de mer sont incluses dans le « Rapport de 2025 du Secrétariat sur la recherche et les statistiques de l’ICCAT » [PLE_105/2025]. Les mesures d’atténuation et les autres mesures communiquées par les CPC pour 2024 par le biais du formulaire CP44 en 2025 sont indiquées ci-après :</w:t>
      </w:r>
    </w:p>
    <w:p w14:paraId="435A6E86" w14:textId="77777777" w:rsidR="00547119" w:rsidRPr="005756CE" w:rsidRDefault="00547119" w:rsidP="001E71F8">
      <w:pPr>
        <w:spacing w:line="240" w:lineRule="auto"/>
        <w:jc w:val="both"/>
        <w:rPr>
          <w:rFonts w:ascii="Cambria" w:hAnsi="Cambria"/>
          <w:b/>
          <w:bCs/>
          <w:sz w:val="20"/>
          <w:szCs w:val="20"/>
        </w:rPr>
      </w:pPr>
    </w:p>
    <w:tbl>
      <w:tblPr>
        <w:tblW w:w="47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1802"/>
        <w:gridCol w:w="1393"/>
        <w:gridCol w:w="3065"/>
        <w:gridCol w:w="44"/>
        <w:gridCol w:w="3358"/>
      </w:tblGrid>
      <w:tr w:rsidR="00516043" w:rsidRPr="00516043" w14:paraId="2DAFF1F6" w14:textId="77777777" w:rsidTr="00516043">
        <w:trPr>
          <w:trHeight w:val="19"/>
          <w:tblHeader/>
          <w:jc w:val="center"/>
        </w:trPr>
        <w:tc>
          <w:tcPr>
            <w:tcW w:w="515" w:type="pct"/>
            <w:vAlign w:val="center"/>
            <w:hideMark/>
          </w:tcPr>
          <w:p w14:paraId="7F4EDBC0" w14:textId="77777777" w:rsidR="00547119" w:rsidRPr="00516043" w:rsidRDefault="00547119" w:rsidP="001E71F8">
            <w:pPr>
              <w:spacing w:line="240" w:lineRule="auto"/>
              <w:jc w:val="center"/>
              <w:rPr>
                <w:rFonts w:ascii="Cambria" w:hAnsi="Cambria"/>
                <w:b/>
                <w:i/>
                <w:color w:val="000000"/>
                <w:sz w:val="20"/>
                <w:szCs w:val="20"/>
              </w:rPr>
            </w:pPr>
            <w:r w:rsidRPr="00516043">
              <w:rPr>
                <w:rFonts w:ascii="Cambria" w:hAnsi="Cambria"/>
                <w:b/>
                <w:i/>
                <w:color w:val="000000"/>
                <w:sz w:val="20"/>
                <w:szCs w:val="20"/>
              </w:rPr>
              <w:t>CPC</w:t>
            </w:r>
          </w:p>
        </w:tc>
        <w:tc>
          <w:tcPr>
            <w:tcW w:w="566" w:type="pct"/>
            <w:vAlign w:val="center"/>
            <w:hideMark/>
          </w:tcPr>
          <w:p w14:paraId="0F51431F" w14:textId="77777777" w:rsidR="00547119" w:rsidRPr="00516043" w:rsidRDefault="00547119" w:rsidP="001E71F8">
            <w:pPr>
              <w:spacing w:line="240" w:lineRule="auto"/>
              <w:jc w:val="center"/>
              <w:rPr>
                <w:rFonts w:ascii="Cambria" w:hAnsi="Cambria"/>
                <w:b/>
                <w:i/>
                <w:color w:val="000000"/>
                <w:sz w:val="20"/>
                <w:szCs w:val="20"/>
              </w:rPr>
            </w:pPr>
            <w:r w:rsidRPr="00516043">
              <w:rPr>
                <w:rFonts w:ascii="Cambria" w:hAnsi="Cambria"/>
                <w:b/>
                <w:i/>
                <w:color w:val="000000"/>
                <w:sz w:val="20"/>
                <w:szCs w:val="20"/>
              </w:rPr>
              <w:t>Mouillage de nuit avec un éclairage du pont minimal.</w:t>
            </w:r>
          </w:p>
        </w:tc>
        <w:tc>
          <w:tcPr>
            <w:tcW w:w="731" w:type="pct"/>
            <w:vAlign w:val="center"/>
            <w:hideMark/>
          </w:tcPr>
          <w:p w14:paraId="3B88C52B" w14:textId="77777777" w:rsidR="00547119" w:rsidRPr="00516043" w:rsidRDefault="00547119" w:rsidP="001E71F8">
            <w:pPr>
              <w:spacing w:line="240" w:lineRule="auto"/>
              <w:jc w:val="center"/>
              <w:rPr>
                <w:rFonts w:ascii="Cambria" w:hAnsi="Cambria"/>
                <w:b/>
                <w:i/>
                <w:color w:val="000000"/>
                <w:sz w:val="20"/>
                <w:szCs w:val="20"/>
              </w:rPr>
            </w:pPr>
            <w:r w:rsidRPr="00516043">
              <w:rPr>
                <w:rFonts w:ascii="Cambria" w:hAnsi="Cambria"/>
                <w:b/>
                <w:i/>
                <w:color w:val="000000"/>
                <w:sz w:val="20"/>
                <w:szCs w:val="20"/>
              </w:rPr>
              <w:t xml:space="preserve">Lignes d'effarouchement des oiseaux </w:t>
            </w:r>
          </w:p>
          <w:p w14:paraId="0900D259" w14:textId="6BE917BA" w:rsidR="00547119" w:rsidRPr="00516043" w:rsidRDefault="00485772" w:rsidP="001E71F8">
            <w:pPr>
              <w:spacing w:line="240" w:lineRule="auto"/>
              <w:jc w:val="center"/>
              <w:rPr>
                <w:rFonts w:ascii="Cambria" w:hAnsi="Cambria"/>
                <w:b/>
                <w:i/>
                <w:color w:val="000000"/>
                <w:sz w:val="20"/>
                <w:szCs w:val="20"/>
              </w:rPr>
            </w:pPr>
            <w:r w:rsidRPr="00516043">
              <w:rPr>
                <w:rFonts w:ascii="Cambria" w:hAnsi="Cambria"/>
                <w:b/>
                <w:i/>
                <w:color w:val="000000"/>
                <w:sz w:val="20"/>
                <w:szCs w:val="20"/>
              </w:rPr>
              <w:t>(</w:t>
            </w:r>
            <w:proofErr w:type="gramStart"/>
            <w:r w:rsidRPr="00516043">
              <w:rPr>
                <w:rFonts w:ascii="Cambria" w:hAnsi="Cambria"/>
                <w:b/>
                <w:i/>
                <w:color w:val="000000"/>
                <w:sz w:val="20"/>
                <w:szCs w:val="20"/>
              </w:rPr>
              <w:t>l</w:t>
            </w:r>
            <w:r w:rsidR="00547119" w:rsidRPr="00516043">
              <w:rPr>
                <w:rFonts w:ascii="Cambria" w:hAnsi="Cambria"/>
                <w:b/>
                <w:i/>
                <w:color w:val="000000"/>
                <w:sz w:val="20"/>
                <w:szCs w:val="20"/>
              </w:rPr>
              <w:t>ignes</w:t>
            </w:r>
            <w:proofErr w:type="gramEnd"/>
            <w:r w:rsidR="00547119" w:rsidRPr="00516043">
              <w:rPr>
                <w:rFonts w:ascii="Cambria" w:hAnsi="Cambria"/>
                <w:b/>
                <w:i/>
                <w:color w:val="000000"/>
                <w:sz w:val="20"/>
                <w:szCs w:val="20"/>
              </w:rPr>
              <w:t xml:space="preserve"> </w:t>
            </w:r>
            <w:proofErr w:type="spellStart"/>
            <w:r w:rsidR="00547119" w:rsidRPr="00516043">
              <w:rPr>
                <w:rFonts w:ascii="Cambria" w:hAnsi="Cambria"/>
                <w:b/>
                <w:i/>
                <w:color w:val="000000"/>
                <w:sz w:val="20"/>
                <w:szCs w:val="20"/>
              </w:rPr>
              <w:t>tori</w:t>
            </w:r>
            <w:proofErr w:type="spellEnd"/>
            <w:r w:rsidRPr="00516043">
              <w:rPr>
                <w:rFonts w:ascii="Cambria" w:hAnsi="Cambria"/>
                <w:b/>
                <w:i/>
                <w:color w:val="000000"/>
                <w:sz w:val="20"/>
                <w:szCs w:val="20"/>
              </w:rPr>
              <w:t>)</w:t>
            </w:r>
          </w:p>
        </w:tc>
        <w:tc>
          <w:tcPr>
            <w:tcW w:w="565" w:type="pct"/>
            <w:vAlign w:val="center"/>
            <w:hideMark/>
          </w:tcPr>
          <w:p w14:paraId="7F925DFF" w14:textId="77777777" w:rsidR="00547119" w:rsidRPr="00516043" w:rsidRDefault="00547119" w:rsidP="001E71F8">
            <w:pPr>
              <w:spacing w:line="240" w:lineRule="auto"/>
              <w:jc w:val="center"/>
              <w:rPr>
                <w:rFonts w:ascii="Cambria" w:hAnsi="Cambria"/>
                <w:b/>
                <w:i/>
                <w:color w:val="000000"/>
                <w:sz w:val="20"/>
                <w:szCs w:val="20"/>
              </w:rPr>
            </w:pPr>
            <w:r w:rsidRPr="00516043">
              <w:rPr>
                <w:rFonts w:ascii="Cambria" w:hAnsi="Cambria"/>
                <w:b/>
                <w:i/>
                <w:color w:val="000000"/>
                <w:sz w:val="20"/>
                <w:szCs w:val="20"/>
              </w:rPr>
              <w:t>Lestage des avançons</w:t>
            </w:r>
          </w:p>
        </w:tc>
        <w:tc>
          <w:tcPr>
            <w:tcW w:w="1261" w:type="pct"/>
            <w:gridSpan w:val="2"/>
            <w:vAlign w:val="center"/>
            <w:hideMark/>
          </w:tcPr>
          <w:p w14:paraId="2D2CEC49" w14:textId="77777777" w:rsidR="00547119" w:rsidRPr="00516043" w:rsidRDefault="00547119" w:rsidP="001E71F8">
            <w:pPr>
              <w:spacing w:line="240" w:lineRule="auto"/>
              <w:jc w:val="center"/>
              <w:rPr>
                <w:rFonts w:ascii="Cambria" w:hAnsi="Cambria"/>
                <w:b/>
                <w:i/>
                <w:color w:val="000000"/>
                <w:sz w:val="20"/>
                <w:szCs w:val="20"/>
              </w:rPr>
            </w:pPr>
            <w:r w:rsidRPr="00516043">
              <w:rPr>
                <w:rFonts w:ascii="Cambria" w:hAnsi="Cambria"/>
                <w:b/>
                <w:i/>
                <w:color w:val="000000"/>
                <w:sz w:val="20"/>
                <w:szCs w:val="20"/>
              </w:rPr>
              <w:t>État des plans d’action nationaux (NPOA) concernant les oiseaux de mer</w:t>
            </w:r>
          </w:p>
        </w:tc>
        <w:tc>
          <w:tcPr>
            <w:tcW w:w="1362" w:type="pct"/>
            <w:vAlign w:val="center"/>
            <w:hideMark/>
          </w:tcPr>
          <w:p w14:paraId="2F716EAF" w14:textId="77777777" w:rsidR="00547119" w:rsidRPr="00516043" w:rsidRDefault="00547119" w:rsidP="001E71F8">
            <w:pPr>
              <w:spacing w:line="240" w:lineRule="auto"/>
              <w:jc w:val="center"/>
              <w:rPr>
                <w:rFonts w:ascii="Cambria" w:hAnsi="Cambria"/>
                <w:b/>
                <w:i/>
                <w:color w:val="000000"/>
                <w:sz w:val="20"/>
                <w:szCs w:val="20"/>
              </w:rPr>
            </w:pPr>
            <w:r w:rsidRPr="00516043">
              <w:rPr>
                <w:rFonts w:ascii="Cambria" w:hAnsi="Cambria"/>
                <w:b/>
                <w:i/>
                <w:color w:val="000000"/>
                <w:sz w:val="20"/>
                <w:szCs w:val="20"/>
              </w:rPr>
              <w:t>Observations</w:t>
            </w:r>
          </w:p>
        </w:tc>
      </w:tr>
      <w:tr w:rsidR="00516043" w:rsidRPr="00516043" w14:paraId="4897A0C0" w14:textId="77777777" w:rsidTr="00516043">
        <w:trPr>
          <w:trHeight w:val="19"/>
          <w:jc w:val="center"/>
        </w:trPr>
        <w:tc>
          <w:tcPr>
            <w:tcW w:w="515" w:type="pct"/>
            <w:vAlign w:val="center"/>
          </w:tcPr>
          <w:p w14:paraId="51E241A8" w14:textId="77777777" w:rsidR="00547119" w:rsidRPr="00516043" w:rsidRDefault="00547119" w:rsidP="001E71F8">
            <w:pPr>
              <w:spacing w:line="240" w:lineRule="auto"/>
              <w:rPr>
                <w:rFonts w:ascii="Cambria" w:hAnsi="Cambria" w:cs="Calibri"/>
                <w:b/>
                <w:bCs/>
                <w:color w:val="000000"/>
                <w:sz w:val="20"/>
                <w:szCs w:val="20"/>
              </w:rPr>
            </w:pPr>
            <w:r w:rsidRPr="00516043">
              <w:rPr>
                <w:rFonts w:ascii="Cambria" w:hAnsi="Cambria"/>
                <w:b/>
                <w:color w:val="000000"/>
                <w:sz w:val="20"/>
                <w:szCs w:val="20"/>
              </w:rPr>
              <w:t>Belize</w:t>
            </w:r>
          </w:p>
        </w:tc>
        <w:tc>
          <w:tcPr>
            <w:tcW w:w="566" w:type="pct"/>
            <w:vAlign w:val="center"/>
          </w:tcPr>
          <w:p w14:paraId="6FFDBB52" w14:textId="77777777" w:rsidR="00547119" w:rsidRPr="00516043" w:rsidRDefault="00547119" w:rsidP="001E71F8">
            <w:pPr>
              <w:spacing w:line="240" w:lineRule="auto"/>
              <w:jc w:val="center"/>
              <w:rPr>
                <w:rFonts w:ascii="Cambria" w:hAnsi="Cambria" w:cstheme="minorHAnsi"/>
                <w:color w:val="000000"/>
                <w:sz w:val="20"/>
                <w:szCs w:val="20"/>
              </w:rPr>
            </w:pPr>
            <w:r w:rsidRPr="00516043">
              <w:rPr>
                <w:rFonts w:ascii="Cambria" w:hAnsi="Cambria"/>
                <w:color w:val="000000"/>
                <w:sz w:val="20"/>
                <w:szCs w:val="20"/>
              </w:rPr>
              <w:t>Oui</w:t>
            </w:r>
          </w:p>
        </w:tc>
        <w:tc>
          <w:tcPr>
            <w:tcW w:w="731" w:type="pct"/>
            <w:vAlign w:val="center"/>
          </w:tcPr>
          <w:p w14:paraId="74082B34" w14:textId="77777777" w:rsidR="00547119" w:rsidRPr="00516043" w:rsidRDefault="00547119" w:rsidP="001E71F8">
            <w:pPr>
              <w:spacing w:line="240" w:lineRule="auto"/>
              <w:jc w:val="center"/>
              <w:rPr>
                <w:rFonts w:ascii="Cambria" w:hAnsi="Cambria" w:cstheme="minorHAnsi"/>
                <w:color w:val="000000"/>
                <w:sz w:val="20"/>
                <w:szCs w:val="20"/>
              </w:rPr>
            </w:pPr>
            <w:r w:rsidRPr="00516043">
              <w:rPr>
                <w:rFonts w:ascii="Cambria" w:hAnsi="Cambria"/>
                <w:color w:val="000000"/>
                <w:sz w:val="20"/>
                <w:szCs w:val="20"/>
              </w:rPr>
              <w:t>Oui</w:t>
            </w:r>
          </w:p>
        </w:tc>
        <w:tc>
          <w:tcPr>
            <w:tcW w:w="565" w:type="pct"/>
            <w:vAlign w:val="center"/>
          </w:tcPr>
          <w:p w14:paraId="786E51D0" w14:textId="77777777" w:rsidR="00547119" w:rsidRPr="00516043" w:rsidRDefault="00547119" w:rsidP="001E71F8">
            <w:pPr>
              <w:spacing w:line="240" w:lineRule="auto"/>
              <w:jc w:val="center"/>
              <w:rPr>
                <w:rFonts w:ascii="Cambria" w:hAnsi="Cambria" w:cstheme="minorHAnsi"/>
                <w:color w:val="000000"/>
                <w:sz w:val="20"/>
                <w:szCs w:val="20"/>
              </w:rPr>
            </w:pPr>
            <w:r w:rsidRPr="00516043">
              <w:rPr>
                <w:rFonts w:ascii="Cambria" w:hAnsi="Cambria"/>
                <w:color w:val="000000"/>
                <w:sz w:val="20"/>
                <w:szCs w:val="20"/>
              </w:rPr>
              <w:t>Oui</w:t>
            </w:r>
          </w:p>
        </w:tc>
        <w:tc>
          <w:tcPr>
            <w:tcW w:w="1261" w:type="pct"/>
            <w:gridSpan w:val="2"/>
            <w:vAlign w:val="center"/>
          </w:tcPr>
          <w:p w14:paraId="3B45965E" w14:textId="77777777" w:rsidR="00547119" w:rsidRPr="00516043" w:rsidRDefault="00547119" w:rsidP="001E71F8">
            <w:pPr>
              <w:spacing w:line="240" w:lineRule="auto"/>
              <w:jc w:val="both"/>
              <w:rPr>
                <w:rFonts w:ascii="Cambria" w:hAnsi="Cambria" w:cstheme="minorHAnsi"/>
                <w:color w:val="000000"/>
                <w:sz w:val="20"/>
                <w:szCs w:val="20"/>
              </w:rPr>
            </w:pPr>
            <w:r w:rsidRPr="00516043">
              <w:rPr>
                <w:rFonts w:ascii="Cambria" w:hAnsi="Cambria"/>
                <w:sz w:val="20"/>
                <w:szCs w:val="20"/>
              </w:rPr>
              <w:t>Le NPOA pour les oiseaux de mer a été adopté en 2016.</w:t>
            </w:r>
          </w:p>
        </w:tc>
        <w:tc>
          <w:tcPr>
            <w:tcW w:w="1362" w:type="pct"/>
          </w:tcPr>
          <w:p w14:paraId="77A66D16" w14:textId="0AA93661" w:rsidR="00547119" w:rsidRPr="00516043" w:rsidRDefault="00547119" w:rsidP="004402B7">
            <w:pPr>
              <w:spacing w:line="240" w:lineRule="auto"/>
              <w:jc w:val="both"/>
              <w:rPr>
                <w:rFonts w:ascii="Cambria" w:hAnsi="Cambria"/>
                <w:sz w:val="20"/>
                <w:szCs w:val="20"/>
              </w:rPr>
            </w:pPr>
            <w:r w:rsidRPr="00516043">
              <w:rPr>
                <w:rFonts w:ascii="Cambria" w:hAnsi="Cambria"/>
                <w:sz w:val="20"/>
                <w:szCs w:val="20"/>
              </w:rPr>
              <w:t xml:space="preserve">Une circulaire juridiquement contraignante a été émise conformément à cette exigence.  Une ou plusieurs de ces </w:t>
            </w:r>
            <w:r w:rsidR="00AE5AA1" w:rsidRPr="00516043">
              <w:rPr>
                <w:rFonts w:ascii="Cambria" w:hAnsi="Cambria"/>
                <w:sz w:val="20"/>
                <w:szCs w:val="20"/>
              </w:rPr>
              <w:t xml:space="preserve">trois </w:t>
            </w:r>
            <w:r w:rsidRPr="00516043">
              <w:rPr>
                <w:rFonts w:ascii="Cambria" w:hAnsi="Cambria"/>
                <w:sz w:val="20"/>
                <w:szCs w:val="20"/>
              </w:rPr>
              <w:t xml:space="preserve">mesures doivent être utilisées à bord des navires.  Ces exigences sont également reflétées dans notre NPOA pour les oiseaux de mer. </w:t>
            </w:r>
          </w:p>
          <w:p w14:paraId="46B3D622" w14:textId="77777777" w:rsidR="00547119" w:rsidRPr="00516043" w:rsidRDefault="00547119" w:rsidP="001E71F8">
            <w:pPr>
              <w:spacing w:line="240" w:lineRule="auto"/>
              <w:rPr>
                <w:rFonts w:ascii="Cambria" w:hAnsi="Cambria"/>
                <w:sz w:val="20"/>
                <w:szCs w:val="20"/>
              </w:rPr>
            </w:pPr>
          </w:p>
          <w:p w14:paraId="7C2ABAFA" w14:textId="77777777" w:rsidR="00547119" w:rsidRPr="00516043" w:rsidRDefault="00547119" w:rsidP="001E71F8">
            <w:pPr>
              <w:spacing w:line="240" w:lineRule="auto"/>
              <w:rPr>
                <w:rFonts w:ascii="Cambria" w:hAnsi="Cambria"/>
                <w:sz w:val="20"/>
                <w:szCs w:val="20"/>
              </w:rPr>
            </w:pPr>
            <w:r w:rsidRPr="00516043">
              <w:rPr>
                <w:rFonts w:ascii="Cambria" w:hAnsi="Cambria"/>
                <w:sz w:val="20"/>
                <w:szCs w:val="20"/>
              </w:rPr>
              <w:t>Zone : FAO 31 &amp; 34</w:t>
            </w:r>
          </w:p>
          <w:p w14:paraId="0E5406DA" w14:textId="77777777" w:rsidR="00547119" w:rsidRPr="00516043" w:rsidRDefault="00547119" w:rsidP="001E71F8">
            <w:pPr>
              <w:spacing w:line="240" w:lineRule="auto"/>
              <w:rPr>
                <w:rFonts w:ascii="Cambria" w:hAnsi="Cambria" w:cstheme="minorHAnsi"/>
                <w:color w:val="000000"/>
                <w:sz w:val="20"/>
                <w:szCs w:val="20"/>
                <w:lang w:val="en-US" w:eastAsia="en-GB"/>
              </w:rPr>
            </w:pPr>
          </w:p>
        </w:tc>
      </w:tr>
      <w:tr w:rsidR="00516043" w:rsidRPr="00516043" w14:paraId="5EBB778C" w14:textId="77777777" w:rsidTr="00516043">
        <w:trPr>
          <w:trHeight w:val="19"/>
          <w:jc w:val="center"/>
        </w:trPr>
        <w:tc>
          <w:tcPr>
            <w:tcW w:w="515" w:type="pct"/>
            <w:vAlign w:val="center"/>
          </w:tcPr>
          <w:p w14:paraId="7BFED17E" w14:textId="77777777" w:rsidR="00547119" w:rsidRPr="00516043" w:rsidRDefault="00547119" w:rsidP="001E71F8">
            <w:pPr>
              <w:spacing w:line="240" w:lineRule="auto"/>
              <w:rPr>
                <w:rFonts w:ascii="Cambria" w:hAnsi="Cambria" w:cs="Calibri"/>
                <w:b/>
                <w:bCs/>
                <w:color w:val="000000"/>
                <w:sz w:val="20"/>
                <w:szCs w:val="20"/>
              </w:rPr>
            </w:pPr>
            <w:r w:rsidRPr="00516043">
              <w:rPr>
                <w:rFonts w:ascii="Cambria" w:hAnsi="Cambria"/>
                <w:b/>
                <w:color w:val="000000"/>
                <w:sz w:val="20"/>
                <w:szCs w:val="20"/>
              </w:rPr>
              <w:t>Taipei chinois</w:t>
            </w:r>
          </w:p>
        </w:tc>
        <w:tc>
          <w:tcPr>
            <w:tcW w:w="566" w:type="pct"/>
            <w:vAlign w:val="center"/>
          </w:tcPr>
          <w:p w14:paraId="79B7D69E" w14:textId="77777777" w:rsidR="00547119" w:rsidRPr="00516043" w:rsidRDefault="00547119" w:rsidP="001E71F8">
            <w:pPr>
              <w:spacing w:line="240" w:lineRule="auto"/>
              <w:jc w:val="center"/>
              <w:rPr>
                <w:rFonts w:ascii="Cambria" w:hAnsi="Cambria" w:cstheme="minorHAnsi"/>
                <w:color w:val="000000"/>
                <w:sz w:val="20"/>
                <w:szCs w:val="20"/>
              </w:rPr>
            </w:pPr>
            <w:r w:rsidRPr="00516043">
              <w:rPr>
                <w:rFonts w:ascii="Cambria" w:hAnsi="Cambria"/>
                <w:color w:val="000000"/>
                <w:sz w:val="20"/>
                <w:szCs w:val="20"/>
              </w:rPr>
              <w:t>Oui</w:t>
            </w:r>
          </w:p>
        </w:tc>
        <w:tc>
          <w:tcPr>
            <w:tcW w:w="731" w:type="pct"/>
            <w:vAlign w:val="center"/>
          </w:tcPr>
          <w:p w14:paraId="1CB15161" w14:textId="77777777" w:rsidR="00547119" w:rsidRPr="00516043" w:rsidRDefault="00547119" w:rsidP="001E71F8">
            <w:pPr>
              <w:spacing w:line="240" w:lineRule="auto"/>
              <w:jc w:val="center"/>
              <w:rPr>
                <w:rFonts w:ascii="Cambria" w:hAnsi="Cambria" w:cstheme="minorHAnsi"/>
                <w:color w:val="000000"/>
                <w:sz w:val="20"/>
                <w:szCs w:val="20"/>
              </w:rPr>
            </w:pPr>
            <w:r w:rsidRPr="00516043">
              <w:rPr>
                <w:rFonts w:ascii="Cambria" w:hAnsi="Cambria"/>
                <w:color w:val="000000"/>
                <w:sz w:val="20"/>
                <w:szCs w:val="20"/>
              </w:rPr>
              <w:t>Oui</w:t>
            </w:r>
          </w:p>
        </w:tc>
        <w:tc>
          <w:tcPr>
            <w:tcW w:w="565" w:type="pct"/>
            <w:vAlign w:val="center"/>
          </w:tcPr>
          <w:p w14:paraId="598BB1F4" w14:textId="77777777" w:rsidR="00547119" w:rsidRPr="00516043" w:rsidRDefault="00547119" w:rsidP="001E71F8">
            <w:pPr>
              <w:spacing w:line="240" w:lineRule="auto"/>
              <w:jc w:val="center"/>
              <w:rPr>
                <w:rFonts w:ascii="Cambria" w:hAnsi="Cambria" w:cstheme="minorHAnsi"/>
                <w:color w:val="000000"/>
                <w:sz w:val="20"/>
                <w:szCs w:val="20"/>
              </w:rPr>
            </w:pPr>
            <w:r w:rsidRPr="00516043">
              <w:rPr>
                <w:rFonts w:ascii="Cambria" w:hAnsi="Cambria"/>
                <w:color w:val="000000"/>
                <w:sz w:val="20"/>
                <w:szCs w:val="20"/>
              </w:rPr>
              <w:t>Oui</w:t>
            </w:r>
          </w:p>
        </w:tc>
        <w:tc>
          <w:tcPr>
            <w:tcW w:w="1261" w:type="pct"/>
            <w:gridSpan w:val="2"/>
            <w:vAlign w:val="center"/>
          </w:tcPr>
          <w:p w14:paraId="5F36D4ED" w14:textId="77777777" w:rsidR="00547119" w:rsidRPr="00516043" w:rsidRDefault="00547119" w:rsidP="004402B7">
            <w:pPr>
              <w:snapToGrid w:val="0"/>
              <w:spacing w:line="240" w:lineRule="auto"/>
              <w:jc w:val="both"/>
              <w:rPr>
                <w:rFonts w:ascii="Cambria" w:eastAsiaTheme="minorEastAsia" w:hAnsi="Cambria"/>
                <w:sz w:val="20"/>
                <w:szCs w:val="20"/>
              </w:rPr>
            </w:pPr>
            <w:r w:rsidRPr="00516043">
              <w:rPr>
                <w:rFonts w:ascii="Cambria" w:hAnsi="Cambria"/>
                <w:sz w:val="20"/>
                <w:szCs w:val="20"/>
              </w:rPr>
              <w:t xml:space="preserve">En 2006, nous avons adopté la première édition du NPOA-Oiseaux de mer qui inclut les trois mesures d’atténuation (filage de nuit, lignes </w:t>
            </w:r>
            <w:proofErr w:type="spellStart"/>
            <w:r w:rsidRPr="00516043">
              <w:rPr>
                <w:rFonts w:ascii="Cambria" w:hAnsi="Cambria"/>
                <w:sz w:val="20"/>
                <w:szCs w:val="20"/>
              </w:rPr>
              <w:t>tori</w:t>
            </w:r>
            <w:proofErr w:type="spellEnd"/>
            <w:r w:rsidRPr="00516043">
              <w:rPr>
                <w:rFonts w:ascii="Cambria" w:hAnsi="Cambria"/>
                <w:sz w:val="20"/>
                <w:szCs w:val="20"/>
              </w:rPr>
              <w:t xml:space="preserve"> et lestage des avançons) requises par l’ICCAT. </w:t>
            </w:r>
          </w:p>
          <w:p w14:paraId="55936888" w14:textId="77777777" w:rsidR="00547119" w:rsidRPr="00516043" w:rsidRDefault="00547119" w:rsidP="004402B7">
            <w:pPr>
              <w:spacing w:line="240" w:lineRule="auto"/>
              <w:jc w:val="both"/>
              <w:rPr>
                <w:rFonts w:ascii="Cambria" w:hAnsi="Cambria" w:cstheme="minorHAnsi"/>
                <w:color w:val="000000"/>
                <w:sz w:val="20"/>
                <w:szCs w:val="20"/>
              </w:rPr>
            </w:pPr>
            <w:r w:rsidRPr="00516043">
              <w:rPr>
                <w:rFonts w:ascii="Cambria" w:hAnsi="Cambria"/>
                <w:sz w:val="20"/>
                <w:szCs w:val="20"/>
              </w:rPr>
              <w:t>En 2014, nous avons révisé de manière approfondie le NPOA-Oiseaux de mer afin d’atteindre l’objectif de réduire la capture accidentelle d’oiseaux de mer dans les pêcheries palangrières.</w:t>
            </w:r>
          </w:p>
        </w:tc>
        <w:tc>
          <w:tcPr>
            <w:tcW w:w="1362" w:type="pct"/>
          </w:tcPr>
          <w:p w14:paraId="131DFA7B" w14:textId="77777777" w:rsidR="00547119" w:rsidRPr="00516043" w:rsidRDefault="00547119" w:rsidP="001E71F8">
            <w:pPr>
              <w:spacing w:line="240" w:lineRule="auto"/>
              <w:jc w:val="both"/>
              <w:rPr>
                <w:rFonts w:ascii="Cambria" w:eastAsiaTheme="minorEastAsia" w:hAnsi="Cambria"/>
                <w:sz w:val="20"/>
                <w:szCs w:val="20"/>
              </w:rPr>
            </w:pPr>
            <w:r w:rsidRPr="00516043">
              <w:rPr>
                <w:rFonts w:ascii="Cambria" w:hAnsi="Cambria"/>
                <w:sz w:val="20"/>
                <w:szCs w:val="20"/>
              </w:rPr>
              <w:t>Nous encourageons nos navires de pêche pêchant dans la zone située au sud de 20°S à adopter la mesure du mouillage nocturne avec un minimum d'éclairage sur le pont.</w:t>
            </w:r>
          </w:p>
          <w:p w14:paraId="001F08B2" w14:textId="77777777" w:rsidR="00547119" w:rsidRPr="00516043" w:rsidRDefault="00547119" w:rsidP="001E71F8">
            <w:pPr>
              <w:spacing w:line="240" w:lineRule="auto"/>
              <w:jc w:val="both"/>
              <w:rPr>
                <w:rFonts w:ascii="Cambria" w:eastAsiaTheme="minorEastAsia" w:hAnsi="Cambria"/>
                <w:sz w:val="20"/>
                <w:szCs w:val="20"/>
                <w:lang w:eastAsia="zh-TW"/>
              </w:rPr>
            </w:pPr>
          </w:p>
          <w:p w14:paraId="419D3722" w14:textId="77777777" w:rsidR="00547119" w:rsidRPr="00516043" w:rsidRDefault="00547119" w:rsidP="001E71F8">
            <w:pPr>
              <w:spacing w:line="240" w:lineRule="auto"/>
              <w:jc w:val="both"/>
              <w:rPr>
                <w:rFonts w:ascii="Cambria" w:hAnsi="Cambria" w:cstheme="minorHAnsi"/>
                <w:color w:val="000000"/>
                <w:sz w:val="20"/>
                <w:szCs w:val="20"/>
              </w:rPr>
            </w:pPr>
            <w:r w:rsidRPr="00516043">
              <w:rPr>
                <w:rFonts w:ascii="Cambria" w:hAnsi="Cambria"/>
                <w:color w:val="000000"/>
                <w:sz w:val="20"/>
                <w:szCs w:val="20"/>
              </w:rPr>
              <w:t>Tout navire de pêche pêchant dans la zone située au Sud de 20°</w:t>
            </w:r>
            <w:proofErr w:type="spellStart"/>
            <w:r w:rsidRPr="00516043">
              <w:rPr>
                <w:rFonts w:ascii="Cambria" w:hAnsi="Cambria"/>
                <w:color w:val="000000"/>
                <w:sz w:val="20"/>
                <w:szCs w:val="20"/>
              </w:rPr>
              <w:t>S est</w:t>
            </w:r>
            <w:proofErr w:type="spellEnd"/>
            <w:r w:rsidRPr="00516043">
              <w:rPr>
                <w:rFonts w:ascii="Cambria" w:hAnsi="Cambria"/>
                <w:color w:val="000000"/>
                <w:sz w:val="20"/>
                <w:szCs w:val="20"/>
              </w:rPr>
              <w:t xml:space="preserve"> tenu d'utiliser des lignes de </w:t>
            </w:r>
            <w:proofErr w:type="spellStart"/>
            <w:r w:rsidRPr="00516043">
              <w:rPr>
                <w:rFonts w:ascii="Cambria" w:hAnsi="Cambria"/>
                <w:color w:val="000000"/>
                <w:sz w:val="20"/>
                <w:szCs w:val="20"/>
              </w:rPr>
              <w:t>tori</w:t>
            </w:r>
            <w:proofErr w:type="spellEnd"/>
            <w:r w:rsidRPr="00516043">
              <w:rPr>
                <w:rFonts w:ascii="Cambria" w:hAnsi="Cambria"/>
                <w:color w:val="000000"/>
                <w:sz w:val="20"/>
                <w:szCs w:val="20"/>
              </w:rPr>
              <w:t xml:space="preserve"> pendant la pêche et d'avoir à bord au moins un jeu de rechange.</w:t>
            </w:r>
          </w:p>
          <w:p w14:paraId="4758DC1C" w14:textId="77777777" w:rsidR="00547119" w:rsidRPr="00516043" w:rsidRDefault="00547119" w:rsidP="001E71F8">
            <w:pPr>
              <w:spacing w:line="240" w:lineRule="auto"/>
              <w:jc w:val="both"/>
              <w:rPr>
                <w:rFonts w:ascii="Cambria" w:hAnsi="Cambria" w:cstheme="minorHAnsi"/>
                <w:color w:val="000000"/>
                <w:sz w:val="20"/>
                <w:szCs w:val="20"/>
                <w:lang w:eastAsia="en-GB"/>
              </w:rPr>
            </w:pPr>
          </w:p>
          <w:p w14:paraId="3700EE59" w14:textId="77777777" w:rsidR="00547119" w:rsidRPr="00516043" w:rsidRDefault="00547119" w:rsidP="001E71F8">
            <w:pPr>
              <w:spacing w:line="240" w:lineRule="auto"/>
              <w:jc w:val="both"/>
              <w:rPr>
                <w:rFonts w:ascii="Cambria" w:hAnsi="Cambria" w:cstheme="minorHAnsi"/>
                <w:color w:val="000000"/>
                <w:sz w:val="20"/>
                <w:szCs w:val="20"/>
              </w:rPr>
            </w:pPr>
            <w:r w:rsidRPr="00516043">
              <w:rPr>
                <w:rFonts w:ascii="Cambria" w:hAnsi="Cambria"/>
                <w:color w:val="000000"/>
                <w:sz w:val="20"/>
                <w:szCs w:val="20"/>
              </w:rPr>
              <w:t>Tout navire de pêche pêchant dans la zone située au Sud de 25°</w:t>
            </w:r>
            <w:proofErr w:type="spellStart"/>
            <w:r w:rsidRPr="00516043">
              <w:rPr>
                <w:rFonts w:ascii="Cambria" w:hAnsi="Cambria"/>
                <w:color w:val="000000"/>
                <w:sz w:val="20"/>
                <w:szCs w:val="20"/>
              </w:rPr>
              <w:t>S est</w:t>
            </w:r>
            <w:proofErr w:type="spellEnd"/>
            <w:r w:rsidRPr="00516043">
              <w:rPr>
                <w:rFonts w:ascii="Cambria" w:hAnsi="Cambria"/>
                <w:color w:val="000000"/>
                <w:sz w:val="20"/>
                <w:szCs w:val="20"/>
              </w:rPr>
              <w:t xml:space="preserve"> tenu d'utiliser, en plus des lignes </w:t>
            </w:r>
            <w:proofErr w:type="spellStart"/>
            <w:r w:rsidRPr="00516043">
              <w:rPr>
                <w:rFonts w:ascii="Cambria" w:hAnsi="Cambria"/>
                <w:color w:val="000000"/>
                <w:sz w:val="20"/>
                <w:szCs w:val="20"/>
              </w:rPr>
              <w:t>tori</w:t>
            </w:r>
            <w:proofErr w:type="spellEnd"/>
            <w:r w:rsidRPr="00516043">
              <w:rPr>
                <w:rFonts w:ascii="Cambria" w:hAnsi="Cambria"/>
                <w:color w:val="000000"/>
                <w:sz w:val="20"/>
                <w:szCs w:val="20"/>
              </w:rPr>
              <w:t>, des avançons lestés pendant la pêche.</w:t>
            </w:r>
          </w:p>
          <w:p w14:paraId="39C48D72" w14:textId="77777777" w:rsidR="00547119" w:rsidRPr="00516043" w:rsidRDefault="00547119" w:rsidP="001E71F8">
            <w:pPr>
              <w:spacing w:line="240" w:lineRule="auto"/>
              <w:jc w:val="both"/>
              <w:rPr>
                <w:rFonts w:ascii="Cambria" w:hAnsi="Cambria" w:cstheme="minorHAnsi"/>
                <w:color w:val="000000"/>
                <w:sz w:val="20"/>
                <w:szCs w:val="20"/>
                <w:lang w:eastAsia="en-GB"/>
              </w:rPr>
            </w:pPr>
          </w:p>
          <w:p w14:paraId="44732255" w14:textId="77777777" w:rsidR="00547119" w:rsidRPr="00516043" w:rsidRDefault="00547119" w:rsidP="001E71F8">
            <w:pPr>
              <w:spacing w:line="240" w:lineRule="auto"/>
              <w:jc w:val="both"/>
              <w:rPr>
                <w:rFonts w:ascii="Cambria" w:hAnsi="Cambria" w:cstheme="minorHAnsi"/>
                <w:color w:val="000000"/>
                <w:sz w:val="20"/>
                <w:szCs w:val="20"/>
              </w:rPr>
            </w:pPr>
            <w:r w:rsidRPr="00516043">
              <w:rPr>
                <w:rFonts w:ascii="Cambria" w:hAnsi="Cambria"/>
                <w:color w:val="000000"/>
                <w:sz w:val="20"/>
                <w:szCs w:val="20"/>
              </w:rPr>
              <w:t xml:space="preserve">Comme le montre l'appendice de notre réglementation nationale, nous </w:t>
            </w:r>
            <w:r w:rsidRPr="00516043">
              <w:rPr>
                <w:rFonts w:ascii="Cambria" w:hAnsi="Cambria"/>
                <w:color w:val="000000"/>
                <w:sz w:val="20"/>
                <w:szCs w:val="20"/>
              </w:rPr>
              <w:lastRenderedPageBreak/>
              <w:t xml:space="preserve">spécifions les exigences pour les lignes </w:t>
            </w:r>
            <w:proofErr w:type="spellStart"/>
            <w:r w:rsidRPr="00516043">
              <w:rPr>
                <w:rFonts w:ascii="Cambria" w:hAnsi="Cambria"/>
                <w:color w:val="000000"/>
                <w:sz w:val="20"/>
                <w:szCs w:val="20"/>
              </w:rPr>
              <w:t>tori</w:t>
            </w:r>
            <w:proofErr w:type="spellEnd"/>
            <w:r w:rsidRPr="00516043">
              <w:rPr>
                <w:rFonts w:ascii="Cambria" w:hAnsi="Cambria"/>
                <w:color w:val="000000"/>
                <w:sz w:val="20"/>
                <w:szCs w:val="20"/>
              </w:rPr>
              <w:t xml:space="preserve"> et les avançons lestés conformément aux normes techniques minimales de l’ICCAT.</w:t>
            </w:r>
          </w:p>
          <w:p w14:paraId="0FF90181" w14:textId="77777777" w:rsidR="00547119" w:rsidRPr="00516043" w:rsidRDefault="00547119" w:rsidP="001E71F8">
            <w:pPr>
              <w:spacing w:line="240" w:lineRule="auto"/>
              <w:jc w:val="both"/>
              <w:rPr>
                <w:rFonts w:ascii="Cambria" w:hAnsi="Cambria" w:cstheme="minorHAnsi"/>
                <w:color w:val="000000"/>
                <w:sz w:val="20"/>
                <w:szCs w:val="20"/>
                <w:lang w:eastAsia="en-GB"/>
              </w:rPr>
            </w:pPr>
          </w:p>
        </w:tc>
      </w:tr>
      <w:tr w:rsidR="00516043" w:rsidRPr="00516043" w14:paraId="4DF67ADB" w14:textId="77777777" w:rsidTr="00516043">
        <w:trPr>
          <w:trHeight w:val="19"/>
          <w:jc w:val="center"/>
        </w:trPr>
        <w:tc>
          <w:tcPr>
            <w:tcW w:w="515" w:type="pct"/>
            <w:vAlign w:val="center"/>
          </w:tcPr>
          <w:p w14:paraId="58E60CDA" w14:textId="5442B010" w:rsidR="00F50B10" w:rsidRPr="00516043" w:rsidRDefault="00F50B10" w:rsidP="00F50B10">
            <w:pPr>
              <w:spacing w:line="240" w:lineRule="auto"/>
              <w:rPr>
                <w:rFonts w:ascii="Cambria" w:hAnsi="Cambria" w:cs="Calibri"/>
                <w:b/>
                <w:bCs/>
                <w:color w:val="000000"/>
                <w:sz w:val="20"/>
                <w:szCs w:val="20"/>
              </w:rPr>
            </w:pPr>
            <w:r w:rsidRPr="00516043">
              <w:rPr>
                <w:rFonts w:ascii="Cambria" w:hAnsi="Cambria"/>
                <w:b/>
                <w:color w:val="000000"/>
                <w:sz w:val="20"/>
                <w:szCs w:val="20"/>
              </w:rPr>
              <w:lastRenderedPageBreak/>
              <w:t>Costa Rica</w:t>
            </w:r>
          </w:p>
        </w:tc>
        <w:tc>
          <w:tcPr>
            <w:tcW w:w="566" w:type="pct"/>
            <w:vAlign w:val="center"/>
          </w:tcPr>
          <w:p w14:paraId="0C87DC9E" w14:textId="106F53C5" w:rsidR="00F50B10" w:rsidRPr="00516043" w:rsidRDefault="00F50B10" w:rsidP="00516043">
            <w:pPr>
              <w:jc w:val="both"/>
              <w:rPr>
                <w:rFonts w:ascii="Cambria" w:hAnsi="Cambria" w:cstheme="minorHAnsi"/>
                <w:color w:val="000000"/>
                <w:sz w:val="20"/>
                <w:szCs w:val="20"/>
              </w:rPr>
            </w:pPr>
            <w:r w:rsidRPr="00516043">
              <w:rPr>
                <w:rFonts w:ascii="Cambria" w:hAnsi="Cambria"/>
                <w:sz w:val="20"/>
                <w:szCs w:val="20"/>
              </w:rPr>
              <w:t>Non applicable car il n'y a pas d'interaction avec les oiseaux de mer dans les activités de pêche de la flottille artisanale.</w:t>
            </w:r>
          </w:p>
        </w:tc>
        <w:tc>
          <w:tcPr>
            <w:tcW w:w="731" w:type="pct"/>
            <w:vAlign w:val="center"/>
          </w:tcPr>
          <w:p w14:paraId="53274F92" w14:textId="59D000C1" w:rsidR="00F50B10" w:rsidRPr="00516043" w:rsidRDefault="00F50B10" w:rsidP="00F50B10">
            <w:pPr>
              <w:spacing w:line="240" w:lineRule="auto"/>
              <w:jc w:val="both"/>
              <w:rPr>
                <w:rFonts w:ascii="Cambria" w:hAnsi="Cambria" w:cstheme="minorHAnsi"/>
                <w:color w:val="000000"/>
                <w:sz w:val="20"/>
                <w:szCs w:val="20"/>
                <w:lang w:eastAsia="en-GB"/>
              </w:rPr>
            </w:pPr>
            <w:r w:rsidRPr="00516043">
              <w:rPr>
                <w:rFonts w:ascii="Cambria" w:hAnsi="Cambria"/>
                <w:sz w:val="20"/>
                <w:szCs w:val="20"/>
              </w:rPr>
              <w:t>Non applicable car il n'y a pas d'interaction avec les oiseaux de mer dans les activités de pêche de la flottille artisanale.</w:t>
            </w:r>
          </w:p>
        </w:tc>
        <w:tc>
          <w:tcPr>
            <w:tcW w:w="565" w:type="pct"/>
            <w:vAlign w:val="center"/>
          </w:tcPr>
          <w:p w14:paraId="26247A65" w14:textId="1BB9DF81" w:rsidR="00F50B10" w:rsidRPr="00516043" w:rsidRDefault="00F50B10" w:rsidP="00F50B10">
            <w:pPr>
              <w:spacing w:line="240" w:lineRule="auto"/>
              <w:jc w:val="both"/>
              <w:rPr>
                <w:rFonts w:ascii="Cambria" w:hAnsi="Cambria" w:cstheme="minorHAnsi"/>
                <w:color w:val="000000"/>
                <w:sz w:val="20"/>
                <w:szCs w:val="20"/>
                <w:lang w:eastAsia="en-GB"/>
              </w:rPr>
            </w:pPr>
            <w:r w:rsidRPr="00516043">
              <w:rPr>
                <w:rFonts w:ascii="Cambria" w:hAnsi="Cambria"/>
                <w:sz w:val="20"/>
                <w:szCs w:val="20"/>
              </w:rPr>
              <w:t>Non applicable car il n'y a pas d'interaction avec les oiseaux de mer dans les activités de pêche de la flottille artisanale.</w:t>
            </w:r>
          </w:p>
        </w:tc>
        <w:tc>
          <w:tcPr>
            <w:tcW w:w="1261" w:type="pct"/>
            <w:gridSpan w:val="2"/>
            <w:vAlign w:val="center"/>
          </w:tcPr>
          <w:p w14:paraId="44C02736" w14:textId="77777777" w:rsidR="00F50B10" w:rsidRPr="00516043" w:rsidRDefault="00F50B10" w:rsidP="00F50B10">
            <w:pPr>
              <w:jc w:val="both"/>
              <w:rPr>
                <w:rFonts w:ascii="Cambria" w:hAnsi="Cambria"/>
                <w:sz w:val="20"/>
                <w:szCs w:val="20"/>
              </w:rPr>
            </w:pPr>
            <w:r w:rsidRPr="00516043">
              <w:rPr>
                <w:rFonts w:ascii="Cambria" w:hAnsi="Cambria"/>
                <w:sz w:val="20"/>
                <w:szCs w:val="20"/>
              </w:rPr>
              <w:t>Non applicable car il n'y a pas d'interaction avec les oiseaux de mer dans les activités de pêche de la flottille artisanale.</w:t>
            </w:r>
          </w:p>
          <w:p w14:paraId="60782CD0" w14:textId="77777777" w:rsidR="00F50B10" w:rsidRPr="00516043" w:rsidRDefault="00F50B10" w:rsidP="00F50B10">
            <w:pPr>
              <w:spacing w:line="240" w:lineRule="auto"/>
              <w:jc w:val="both"/>
              <w:rPr>
                <w:rFonts w:ascii="Cambria" w:hAnsi="Cambria" w:cstheme="minorHAnsi"/>
                <w:color w:val="000000"/>
                <w:sz w:val="20"/>
                <w:szCs w:val="20"/>
                <w:lang w:eastAsia="en-GB"/>
              </w:rPr>
            </w:pPr>
          </w:p>
        </w:tc>
        <w:tc>
          <w:tcPr>
            <w:tcW w:w="1362" w:type="pct"/>
          </w:tcPr>
          <w:p w14:paraId="7D5C0345" w14:textId="77777777" w:rsidR="00F50B10" w:rsidRPr="00516043" w:rsidRDefault="00F50B10" w:rsidP="00F50B10">
            <w:pPr>
              <w:spacing w:line="240" w:lineRule="auto"/>
              <w:rPr>
                <w:rFonts w:ascii="Cambria" w:hAnsi="Cambria" w:cstheme="minorHAnsi"/>
                <w:color w:val="000000"/>
                <w:sz w:val="20"/>
                <w:szCs w:val="20"/>
                <w:lang w:eastAsia="en-GB"/>
              </w:rPr>
            </w:pPr>
          </w:p>
        </w:tc>
      </w:tr>
      <w:tr w:rsidR="00516043" w:rsidRPr="00516043" w14:paraId="3B590F81" w14:textId="77777777" w:rsidTr="00516043">
        <w:trPr>
          <w:trHeight w:val="19"/>
          <w:jc w:val="center"/>
        </w:trPr>
        <w:tc>
          <w:tcPr>
            <w:tcW w:w="515" w:type="pct"/>
            <w:vAlign w:val="center"/>
          </w:tcPr>
          <w:p w14:paraId="03D40917" w14:textId="0F991A5E" w:rsidR="005F4B89" w:rsidRPr="00516043" w:rsidRDefault="005F4B89" w:rsidP="005F4B89">
            <w:pPr>
              <w:spacing w:line="240" w:lineRule="auto"/>
              <w:rPr>
                <w:rFonts w:ascii="Cambria" w:hAnsi="Cambria" w:cs="Calibri"/>
                <w:b/>
                <w:bCs/>
                <w:color w:val="000000"/>
                <w:sz w:val="20"/>
                <w:szCs w:val="20"/>
              </w:rPr>
            </w:pPr>
            <w:proofErr w:type="spellStart"/>
            <w:r w:rsidRPr="00516043">
              <w:rPr>
                <w:rFonts w:ascii="Cambria" w:eastAsia="Times New Roman" w:hAnsi="Cambria" w:cs="Calibri"/>
                <w:b/>
                <w:bCs/>
                <w:color w:val="000000"/>
                <w:kern w:val="0"/>
                <w:sz w:val="20"/>
                <w:szCs w:val="20"/>
                <w:lang w:val="es-ES_tradnl" w:eastAsia="en-GB"/>
                <w14:ligatures w14:val="none"/>
              </w:rPr>
              <w:t>Côte</w:t>
            </w:r>
            <w:proofErr w:type="spellEnd"/>
            <w:r w:rsidRPr="00516043">
              <w:rPr>
                <w:rFonts w:ascii="Cambria" w:eastAsia="Times New Roman" w:hAnsi="Cambria" w:cs="Calibri"/>
                <w:b/>
                <w:bCs/>
                <w:color w:val="000000"/>
                <w:kern w:val="0"/>
                <w:sz w:val="20"/>
                <w:szCs w:val="20"/>
                <w:lang w:val="es-ES_tradnl" w:eastAsia="en-GB"/>
                <w14:ligatures w14:val="none"/>
              </w:rPr>
              <w:t xml:space="preserve"> </w:t>
            </w:r>
            <w:proofErr w:type="spellStart"/>
            <w:r w:rsidRPr="00516043">
              <w:rPr>
                <w:rFonts w:ascii="Cambria" w:eastAsia="Times New Roman" w:hAnsi="Cambria" w:cs="Calibri"/>
                <w:b/>
                <w:bCs/>
                <w:color w:val="000000"/>
                <w:kern w:val="0"/>
                <w:sz w:val="20"/>
                <w:szCs w:val="20"/>
                <w:lang w:val="es-ES_tradnl" w:eastAsia="en-GB"/>
                <w14:ligatures w14:val="none"/>
              </w:rPr>
              <w:t>d’Ivoire</w:t>
            </w:r>
            <w:proofErr w:type="spellEnd"/>
          </w:p>
        </w:tc>
        <w:tc>
          <w:tcPr>
            <w:tcW w:w="566" w:type="pct"/>
            <w:vAlign w:val="center"/>
          </w:tcPr>
          <w:p w14:paraId="786D6F8C" w14:textId="1B8D55C1" w:rsidR="005F4B89" w:rsidRPr="00516043" w:rsidRDefault="005F4B89" w:rsidP="005F4B89">
            <w:pPr>
              <w:spacing w:line="240" w:lineRule="auto"/>
              <w:jc w:val="center"/>
              <w:rPr>
                <w:rFonts w:ascii="Cambria" w:hAnsi="Cambria"/>
                <w:sz w:val="20"/>
                <w:szCs w:val="20"/>
              </w:rPr>
            </w:pPr>
            <w:proofErr w:type="spellStart"/>
            <w:r w:rsidRPr="00516043">
              <w:rPr>
                <w:rFonts w:ascii="Cambria" w:eastAsia="Times New Roman" w:hAnsi="Cambria"/>
                <w:kern w:val="0"/>
                <w:sz w:val="20"/>
                <w:szCs w:val="20"/>
                <w:lang w:val="es-ES_tradnl"/>
                <w14:ligatures w14:val="none"/>
              </w:rPr>
              <w:t>Oui</w:t>
            </w:r>
            <w:proofErr w:type="spellEnd"/>
          </w:p>
        </w:tc>
        <w:tc>
          <w:tcPr>
            <w:tcW w:w="731" w:type="pct"/>
            <w:vAlign w:val="center"/>
          </w:tcPr>
          <w:p w14:paraId="195D56E8" w14:textId="181F9F50" w:rsidR="005F4B89" w:rsidRPr="00516043" w:rsidRDefault="005F4B89" w:rsidP="005F4B89">
            <w:pPr>
              <w:spacing w:line="240" w:lineRule="auto"/>
              <w:jc w:val="both"/>
              <w:rPr>
                <w:rFonts w:ascii="Cambria" w:hAnsi="Cambria"/>
                <w:sz w:val="20"/>
                <w:szCs w:val="20"/>
              </w:rPr>
            </w:pPr>
            <w:r w:rsidRPr="00516043">
              <w:rPr>
                <w:rFonts w:ascii="Cambria" w:eastAsia="Times New Roman" w:hAnsi="Cambria"/>
                <w:kern w:val="0"/>
                <w:sz w:val="20"/>
                <w:szCs w:val="20"/>
                <w:lang w:val="es-ES_tradnl"/>
                <w14:ligatures w14:val="none"/>
              </w:rPr>
              <w:t xml:space="preserve">Non </w:t>
            </w:r>
            <w:proofErr w:type="spellStart"/>
            <w:r w:rsidRPr="00516043">
              <w:rPr>
                <w:rFonts w:ascii="Cambria" w:eastAsia="Times New Roman" w:hAnsi="Cambria"/>
                <w:kern w:val="0"/>
                <w:sz w:val="20"/>
                <w:szCs w:val="20"/>
                <w:lang w:val="es-ES_tradnl"/>
                <w14:ligatures w14:val="none"/>
              </w:rPr>
              <w:t>appliqué</w:t>
            </w:r>
            <w:proofErr w:type="spellEnd"/>
          </w:p>
        </w:tc>
        <w:tc>
          <w:tcPr>
            <w:tcW w:w="565" w:type="pct"/>
            <w:vAlign w:val="center"/>
          </w:tcPr>
          <w:p w14:paraId="2CDBBE4D" w14:textId="102F7D82" w:rsidR="005F4B89" w:rsidRPr="00516043" w:rsidRDefault="005F4B89" w:rsidP="005F4B89">
            <w:pPr>
              <w:spacing w:line="240" w:lineRule="auto"/>
              <w:jc w:val="center"/>
              <w:rPr>
                <w:rFonts w:ascii="Cambria" w:hAnsi="Cambria"/>
                <w:sz w:val="20"/>
                <w:szCs w:val="20"/>
              </w:rPr>
            </w:pPr>
            <w:proofErr w:type="spellStart"/>
            <w:r w:rsidRPr="00516043">
              <w:rPr>
                <w:rFonts w:ascii="Cambria" w:eastAsia="Times New Roman" w:hAnsi="Cambria"/>
                <w:kern w:val="0"/>
                <w:sz w:val="20"/>
                <w:szCs w:val="20"/>
                <w:lang w:val="es-ES_tradnl"/>
                <w14:ligatures w14:val="none"/>
              </w:rPr>
              <w:t>Oui</w:t>
            </w:r>
            <w:proofErr w:type="spellEnd"/>
          </w:p>
        </w:tc>
        <w:tc>
          <w:tcPr>
            <w:tcW w:w="1261" w:type="pct"/>
            <w:gridSpan w:val="2"/>
            <w:vAlign w:val="center"/>
          </w:tcPr>
          <w:p w14:paraId="05205669" w14:textId="08EE959C" w:rsidR="005F4B89" w:rsidRPr="00516043" w:rsidRDefault="005F4B89" w:rsidP="005F4B89">
            <w:pPr>
              <w:spacing w:line="240" w:lineRule="auto"/>
              <w:jc w:val="both"/>
              <w:rPr>
                <w:rFonts w:ascii="Cambria" w:hAnsi="Cambria"/>
                <w:sz w:val="20"/>
                <w:szCs w:val="20"/>
              </w:rPr>
            </w:pPr>
            <w:r w:rsidRPr="00516043">
              <w:rPr>
                <w:rFonts w:ascii="Cambria" w:eastAsia="Times New Roman" w:hAnsi="Cambria"/>
                <w:kern w:val="0"/>
                <w:sz w:val="20"/>
                <w:szCs w:val="20"/>
                <w14:ligatures w14:val="none"/>
              </w:rPr>
              <w:t>Aucun plan d'action national n'est actuellement en place.</w:t>
            </w:r>
          </w:p>
        </w:tc>
        <w:tc>
          <w:tcPr>
            <w:tcW w:w="1362" w:type="pct"/>
            <w:vAlign w:val="center"/>
          </w:tcPr>
          <w:p w14:paraId="43EE29AF" w14:textId="77777777" w:rsidR="005F4B89" w:rsidRPr="00516043" w:rsidRDefault="005F4B89" w:rsidP="005F4B89">
            <w:pPr>
              <w:widowControl w:val="0"/>
              <w:numPr>
                <w:ilvl w:val="0"/>
                <w:numId w:val="17"/>
              </w:numPr>
              <w:autoSpaceDE w:val="0"/>
              <w:autoSpaceDN w:val="0"/>
              <w:adjustRightInd w:val="0"/>
              <w:spacing w:line="240" w:lineRule="auto"/>
              <w:rPr>
                <w:rFonts w:ascii="Cambria" w:eastAsiaTheme="minorEastAsia" w:hAnsi="Cambria"/>
                <w:kern w:val="0"/>
                <w:sz w:val="20"/>
                <w:szCs w:val="20"/>
                <w:lang w:eastAsia="zh-TW"/>
                <w14:ligatures w14:val="none"/>
              </w:rPr>
            </w:pPr>
            <w:r w:rsidRPr="00516043">
              <w:rPr>
                <w:rFonts w:ascii="Cambria" w:eastAsiaTheme="minorEastAsia" w:hAnsi="Cambria"/>
                <w:kern w:val="0"/>
                <w:sz w:val="20"/>
                <w:szCs w:val="20"/>
                <w:lang w:eastAsia="zh-TW"/>
                <w14:ligatures w14:val="none"/>
              </w:rPr>
              <w:t>Travail de nuit et à l'arrière avec un éclairage minimal (zone où l'appât est lancé)</w:t>
            </w:r>
          </w:p>
          <w:p w14:paraId="22C1F844" w14:textId="77777777" w:rsidR="005F4B89" w:rsidRPr="00516043" w:rsidRDefault="005F4B89" w:rsidP="005F4B89">
            <w:pPr>
              <w:widowControl w:val="0"/>
              <w:autoSpaceDE w:val="0"/>
              <w:autoSpaceDN w:val="0"/>
              <w:adjustRightInd w:val="0"/>
              <w:spacing w:line="240" w:lineRule="auto"/>
              <w:ind w:left="360"/>
              <w:contextualSpacing/>
              <w:rPr>
                <w:rFonts w:ascii="Cambria" w:eastAsiaTheme="minorEastAsia" w:hAnsi="Cambria"/>
                <w:kern w:val="0"/>
                <w:sz w:val="20"/>
                <w:szCs w:val="20"/>
                <w:lang w:eastAsia="zh-TW"/>
                <w14:ligatures w14:val="none"/>
              </w:rPr>
            </w:pPr>
            <w:r w:rsidRPr="00516043">
              <w:rPr>
                <w:rFonts w:ascii="Cambria" w:eastAsiaTheme="minorEastAsia" w:hAnsi="Cambria"/>
                <w:kern w:val="0"/>
                <w:sz w:val="20"/>
                <w:szCs w:val="20"/>
                <w:lang w:eastAsia="zh-TW"/>
                <w14:ligatures w14:val="none"/>
              </w:rPr>
              <w:t>Les prises accessoires d'oiseaux marins par les palangriers de surface sont extrêmement faibles.</w:t>
            </w:r>
          </w:p>
          <w:p w14:paraId="065E0C71" w14:textId="77777777" w:rsidR="005F4B89" w:rsidRPr="00516043" w:rsidRDefault="005F4B89" w:rsidP="005F4B89">
            <w:pPr>
              <w:widowControl w:val="0"/>
              <w:autoSpaceDE w:val="0"/>
              <w:autoSpaceDN w:val="0"/>
              <w:adjustRightInd w:val="0"/>
              <w:spacing w:line="240" w:lineRule="auto"/>
              <w:ind w:left="360"/>
              <w:contextualSpacing/>
              <w:rPr>
                <w:rFonts w:ascii="Cambria" w:eastAsiaTheme="minorEastAsia" w:hAnsi="Cambria"/>
                <w:kern w:val="0"/>
                <w:sz w:val="20"/>
                <w:szCs w:val="20"/>
                <w:lang w:eastAsia="zh-TW"/>
                <w14:ligatures w14:val="none"/>
              </w:rPr>
            </w:pPr>
          </w:p>
          <w:p w14:paraId="61100651" w14:textId="77777777" w:rsidR="005F4B89" w:rsidRPr="00516043" w:rsidRDefault="005F4B89" w:rsidP="005F4B89">
            <w:pPr>
              <w:widowControl w:val="0"/>
              <w:numPr>
                <w:ilvl w:val="0"/>
                <w:numId w:val="17"/>
              </w:numPr>
              <w:autoSpaceDE w:val="0"/>
              <w:autoSpaceDN w:val="0"/>
              <w:adjustRightInd w:val="0"/>
              <w:spacing w:line="240" w:lineRule="auto"/>
              <w:rPr>
                <w:rFonts w:ascii="Cambria" w:eastAsiaTheme="minorEastAsia" w:hAnsi="Cambria"/>
                <w:kern w:val="0"/>
                <w:sz w:val="20"/>
                <w:szCs w:val="20"/>
                <w:lang w:eastAsia="zh-TW"/>
                <w14:ligatures w14:val="none"/>
              </w:rPr>
            </w:pPr>
            <w:r w:rsidRPr="00516043">
              <w:rPr>
                <w:rFonts w:ascii="Cambria" w:eastAsiaTheme="minorEastAsia" w:hAnsi="Cambria"/>
                <w:kern w:val="0"/>
                <w:sz w:val="20"/>
                <w:szCs w:val="20"/>
                <w:lang w:eastAsia="zh-TW"/>
                <w14:ligatures w14:val="none"/>
              </w:rPr>
              <w:t xml:space="preserve">Non appliqué. </w:t>
            </w:r>
          </w:p>
          <w:p w14:paraId="3ECF4544" w14:textId="77777777" w:rsidR="005F4B89" w:rsidRPr="00516043" w:rsidRDefault="005F4B89" w:rsidP="005F4B89">
            <w:pPr>
              <w:widowControl w:val="0"/>
              <w:autoSpaceDE w:val="0"/>
              <w:autoSpaceDN w:val="0"/>
              <w:adjustRightInd w:val="0"/>
              <w:spacing w:line="240" w:lineRule="auto"/>
              <w:ind w:left="360"/>
              <w:contextualSpacing/>
              <w:rPr>
                <w:rFonts w:ascii="Cambria" w:eastAsiaTheme="minorEastAsia" w:hAnsi="Cambria"/>
                <w:kern w:val="0"/>
                <w:sz w:val="20"/>
                <w:szCs w:val="20"/>
                <w:lang w:eastAsia="zh-TW"/>
                <w14:ligatures w14:val="none"/>
              </w:rPr>
            </w:pPr>
            <w:r w:rsidRPr="00516043">
              <w:rPr>
                <w:rFonts w:ascii="Cambria" w:eastAsiaTheme="minorEastAsia" w:hAnsi="Cambria"/>
                <w:kern w:val="0"/>
                <w:sz w:val="20"/>
                <w:szCs w:val="20"/>
                <w:lang w:eastAsia="zh-TW"/>
                <w14:ligatures w14:val="none"/>
              </w:rPr>
              <w:t>Les prises accessoires d'oiseaux marins par les palangriers de surface sont extrêmement faibles.</w:t>
            </w:r>
          </w:p>
          <w:p w14:paraId="30A11480" w14:textId="77777777" w:rsidR="005F4B89" w:rsidRPr="00516043" w:rsidRDefault="005F4B89" w:rsidP="005F4B89">
            <w:pPr>
              <w:widowControl w:val="0"/>
              <w:autoSpaceDE w:val="0"/>
              <w:autoSpaceDN w:val="0"/>
              <w:adjustRightInd w:val="0"/>
              <w:spacing w:line="240" w:lineRule="auto"/>
              <w:ind w:left="360"/>
              <w:contextualSpacing/>
              <w:rPr>
                <w:rFonts w:ascii="Cambria" w:eastAsiaTheme="minorEastAsia" w:hAnsi="Cambria"/>
                <w:kern w:val="0"/>
                <w:sz w:val="20"/>
                <w:szCs w:val="20"/>
                <w:lang w:eastAsia="zh-TW"/>
                <w14:ligatures w14:val="none"/>
              </w:rPr>
            </w:pPr>
          </w:p>
          <w:p w14:paraId="2E9C4153" w14:textId="77777777" w:rsidR="005F4B89" w:rsidRPr="00516043" w:rsidRDefault="005F4B89" w:rsidP="005F4B89">
            <w:pPr>
              <w:widowControl w:val="0"/>
              <w:numPr>
                <w:ilvl w:val="0"/>
                <w:numId w:val="17"/>
              </w:numPr>
              <w:autoSpaceDE w:val="0"/>
              <w:autoSpaceDN w:val="0"/>
              <w:adjustRightInd w:val="0"/>
              <w:snapToGrid w:val="0"/>
              <w:spacing w:after="120" w:line="240" w:lineRule="auto"/>
              <w:rPr>
                <w:rFonts w:ascii="Cambria" w:eastAsiaTheme="minorEastAsia" w:hAnsi="Cambria"/>
                <w:kern w:val="0"/>
                <w:sz w:val="20"/>
                <w:szCs w:val="20"/>
                <w:lang w:eastAsia="zh-TW"/>
                <w14:ligatures w14:val="none"/>
              </w:rPr>
            </w:pPr>
            <w:r w:rsidRPr="00516043">
              <w:rPr>
                <w:rFonts w:ascii="Cambria" w:eastAsiaTheme="minorEastAsia" w:hAnsi="Cambria"/>
                <w:kern w:val="0"/>
                <w:sz w:val="20"/>
                <w:szCs w:val="20"/>
                <w:lang w:eastAsia="zh-TW"/>
                <w14:ligatures w14:val="none"/>
              </w:rPr>
              <w:t xml:space="preserve">Augmenter la vitesse d'immersion des hameçons appâtés et réduire leur temps </w:t>
            </w:r>
            <w:r w:rsidRPr="00516043">
              <w:rPr>
                <w:rFonts w:ascii="Cambria" w:eastAsiaTheme="minorEastAsia" w:hAnsi="Cambria"/>
                <w:kern w:val="0"/>
                <w:sz w:val="20"/>
                <w:szCs w:val="20"/>
                <w:lang w:eastAsia="zh-TW"/>
                <w14:ligatures w14:val="none"/>
              </w:rPr>
              <w:lastRenderedPageBreak/>
              <w:t>d'exposition aux oiseaux marins à l'aide d'une lance à appâts automatique et augmenter le poids des lignes secondaires.</w:t>
            </w:r>
          </w:p>
          <w:p w14:paraId="3B82EA4A" w14:textId="77777777" w:rsidR="005F4B89" w:rsidRPr="00516043" w:rsidRDefault="005F4B89" w:rsidP="005F4B89">
            <w:pPr>
              <w:widowControl w:val="0"/>
              <w:autoSpaceDE w:val="0"/>
              <w:autoSpaceDN w:val="0"/>
              <w:adjustRightInd w:val="0"/>
              <w:spacing w:line="240" w:lineRule="auto"/>
              <w:ind w:left="360"/>
              <w:contextualSpacing/>
              <w:rPr>
                <w:rFonts w:ascii="Cambria" w:eastAsiaTheme="minorEastAsia" w:hAnsi="Cambria"/>
                <w:kern w:val="0"/>
                <w:sz w:val="20"/>
                <w:szCs w:val="20"/>
                <w:lang w:eastAsia="zh-TW"/>
                <w14:ligatures w14:val="none"/>
              </w:rPr>
            </w:pPr>
            <w:r w:rsidRPr="00516043">
              <w:rPr>
                <w:rFonts w:ascii="Cambria" w:eastAsiaTheme="minorEastAsia" w:hAnsi="Cambria"/>
                <w:kern w:val="0"/>
                <w:sz w:val="20"/>
                <w:szCs w:val="20"/>
                <w:lang w:eastAsia="zh-TW"/>
                <w14:ligatures w14:val="none"/>
              </w:rPr>
              <w:t>Les prises accessoires d'oiseaux marins par les palangriers de surface sont extrêmement faibles.</w:t>
            </w:r>
          </w:p>
          <w:p w14:paraId="2862EA42" w14:textId="77777777" w:rsidR="005F4B89" w:rsidRPr="00516043" w:rsidRDefault="005F4B89" w:rsidP="005F4B89">
            <w:pPr>
              <w:widowControl w:val="0"/>
              <w:autoSpaceDE w:val="0"/>
              <w:autoSpaceDN w:val="0"/>
              <w:adjustRightInd w:val="0"/>
              <w:spacing w:line="240" w:lineRule="auto"/>
              <w:rPr>
                <w:rFonts w:ascii="Cambria" w:eastAsiaTheme="minorEastAsia" w:hAnsi="Cambria"/>
                <w:kern w:val="0"/>
                <w:sz w:val="20"/>
                <w:szCs w:val="20"/>
                <w:lang w:eastAsia="zh-TW"/>
                <w14:ligatures w14:val="none"/>
              </w:rPr>
            </w:pPr>
          </w:p>
          <w:p w14:paraId="449FA3BB" w14:textId="0461D59E" w:rsidR="005F4B89" w:rsidRPr="00516043" w:rsidRDefault="006E0137" w:rsidP="005F4B89">
            <w:pPr>
              <w:spacing w:line="240" w:lineRule="auto"/>
              <w:rPr>
                <w:rFonts w:ascii="Cambria" w:hAnsi="Cambria" w:cstheme="minorHAnsi"/>
                <w:color w:val="000000"/>
                <w:sz w:val="20"/>
                <w:szCs w:val="20"/>
                <w:lang w:eastAsia="en-GB"/>
              </w:rPr>
            </w:pPr>
            <w:r w:rsidRPr="00516043">
              <w:rPr>
                <w:rFonts w:ascii="Cambria" w:eastAsiaTheme="minorEastAsia" w:hAnsi="Cambria"/>
                <w:kern w:val="0"/>
                <w:sz w:val="20"/>
                <w:szCs w:val="20"/>
                <w:lang w:eastAsia="zh-TW"/>
                <w14:ligatures w14:val="none"/>
              </w:rPr>
              <w:t>Zone</w:t>
            </w:r>
            <w:r w:rsidR="005F4B89" w:rsidRPr="00516043">
              <w:rPr>
                <w:rFonts w:ascii="Cambria" w:eastAsiaTheme="minorEastAsia" w:hAnsi="Cambria"/>
                <w:kern w:val="0"/>
                <w:sz w:val="20"/>
                <w:szCs w:val="20"/>
                <w:lang w:eastAsia="zh-TW"/>
                <w14:ligatures w14:val="none"/>
              </w:rPr>
              <w:t> : Atlantique nord</w:t>
            </w:r>
          </w:p>
        </w:tc>
      </w:tr>
      <w:tr w:rsidR="00516043" w:rsidRPr="00516043" w14:paraId="4157F9F0" w14:textId="77777777" w:rsidTr="00516043">
        <w:trPr>
          <w:trHeight w:val="19"/>
          <w:jc w:val="center"/>
        </w:trPr>
        <w:tc>
          <w:tcPr>
            <w:tcW w:w="515" w:type="pct"/>
            <w:vAlign w:val="center"/>
          </w:tcPr>
          <w:p w14:paraId="62B4A825" w14:textId="61B46A3D" w:rsidR="00547119" w:rsidRPr="00516043" w:rsidRDefault="00547119" w:rsidP="001E71F8">
            <w:pPr>
              <w:spacing w:line="240" w:lineRule="auto"/>
              <w:rPr>
                <w:rFonts w:ascii="Cambria" w:hAnsi="Cambria" w:cs="Calibri"/>
                <w:b/>
                <w:bCs/>
                <w:color w:val="000000"/>
                <w:sz w:val="20"/>
                <w:szCs w:val="20"/>
              </w:rPr>
            </w:pPr>
            <w:r w:rsidRPr="00516043">
              <w:rPr>
                <w:rFonts w:ascii="Cambria" w:hAnsi="Cambria"/>
                <w:b/>
                <w:color w:val="000000"/>
                <w:sz w:val="20"/>
                <w:szCs w:val="20"/>
              </w:rPr>
              <w:lastRenderedPageBreak/>
              <w:t>UE</w:t>
            </w:r>
          </w:p>
        </w:tc>
        <w:tc>
          <w:tcPr>
            <w:tcW w:w="566" w:type="pct"/>
            <w:vAlign w:val="center"/>
          </w:tcPr>
          <w:p w14:paraId="47A37CF1" w14:textId="27FAD7D5" w:rsidR="00547119" w:rsidRPr="00516043" w:rsidRDefault="00547119" w:rsidP="001E71F8">
            <w:pPr>
              <w:spacing w:line="240" w:lineRule="auto"/>
              <w:jc w:val="both"/>
              <w:rPr>
                <w:rFonts w:ascii="Cambria" w:hAnsi="Cambria"/>
                <w:sz w:val="20"/>
                <w:szCs w:val="20"/>
              </w:rPr>
            </w:pPr>
            <w:r w:rsidRPr="00516043">
              <w:rPr>
                <w:rFonts w:ascii="Cambria" w:hAnsi="Cambria"/>
                <w:sz w:val="20"/>
                <w:szCs w:val="20"/>
              </w:rPr>
              <w:t xml:space="preserve">Le mouillage nocturne des filets n'est généralement pas </w:t>
            </w:r>
            <w:r w:rsidR="00015F16" w:rsidRPr="00516043">
              <w:rPr>
                <w:rFonts w:ascii="Cambria" w:hAnsi="Cambria"/>
                <w:sz w:val="20"/>
                <w:szCs w:val="20"/>
              </w:rPr>
              <w:t>utilisé</w:t>
            </w:r>
            <w:r w:rsidRPr="00516043">
              <w:rPr>
                <w:rFonts w:ascii="Cambria" w:hAnsi="Cambria"/>
                <w:sz w:val="20"/>
                <w:szCs w:val="20"/>
              </w:rPr>
              <w:t xml:space="preserve"> pour la plupart des opérations à la palangre de surface et de fond.</w:t>
            </w:r>
          </w:p>
        </w:tc>
        <w:tc>
          <w:tcPr>
            <w:tcW w:w="731" w:type="pct"/>
            <w:vAlign w:val="center"/>
          </w:tcPr>
          <w:p w14:paraId="65FCF9CC" w14:textId="77777777" w:rsidR="00547119" w:rsidRPr="00516043" w:rsidRDefault="00547119" w:rsidP="001E71F8">
            <w:pPr>
              <w:spacing w:line="240" w:lineRule="auto"/>
              <w:jc w:val="both"/>
              <w:rPr>
                <w:rFonts w:ascii="Cambria" w:hAnsi="Cambria"/>
                <w:sz w:val="20"/>
                <w:szCs w:val="20"/>
              </w:rPr>
            </w:pPr>
            <w:r w:rsidRPr="00516043">
              <w:rPr>
                <w:rFonts w:ascii="Cambria" w:hAnsi="Cambria"/>
                <w:sz w:val="20"/>
                <w:szCs w:val="20"/>
              </w:rPr>
              <w:t>Non appliqué</w:t>
            </w:r>
          </w:p>
        </w:tc>
        <w:tc>
          <w:tcPr>
            <w:tcW w:w="565" w:type="pct"/>
            <w:vAlign w:val="center"/>
          </w:tcPr>
          <w:p w14:paraId="3507F58E" w14:textId="77777777" w:rsidR="00547119" w:rsidRPr="00516043" w:rsidRDefault="00547119" w:rsidP="001E71F8">
            <w:pPr>
              <w:spacing w:line="240" w:lineRule="auto"/>
              <w:jc w:val="both"/>
              <w:rPr>
                <w:rFonts w:ascii="Cambria" w:hAnsi="Cambria"/>
                <w:sz w:val="20"/>
                <w:szCs w:val="20"/>
              </w:rPr>
            </w:pPr>
            <w:r w:rsidRPr="00516043">
              <w:rPr>
                <w:rFonts w:ascii="Cambria" w:hAnsi="Cambria"/>
                <w:sz w:val="20"/>
                <w:szCs w:val="20"/>
              </w:rPr>
              <w:t>Le lestage des lignes est utilisé dans les palangres de fond, mais il ne l'est généralement pas dans les palangres de surface.</w:t>
            </w:r>
          </w:p>
        </w:tc>
        <w:tc>
          <w:tcPr>
            <w:tcW w:w="1243" w:type="pct"/>
            <w:vAlign w:val="center"/>
          </w:tcPr>
          <w:p w14:paraId="0D641863" w14:textId="77777777" w:rsidR="00547119" w:rsidRPr="00516043" w:rsidRDefault="00547119" w:rsidP="001E71F8">
            <w:pPr>
              <w:spacing w:line="240" w:lineRule="auto"/>
              <w:jc w:val="both"/>
              <w:rPr>
                <w:rFonts w:ascii="Cambria" w:hAnsi="Cambria"/>
                <w:sz w:val="20"/>
                <w:szCs w:val="20"/>
              </w:rPr>
            </w:pPr>
            <w:r w:rsidRPr="00516043">
              <w:rPr>
                <w:rFonts w:ascii="Cambria" w:hAnsi="Cambria"/>
                <w:sz w:val="20"/>
                <w:szCs w:val="20"/>
              </w:rPr>
              <w:t>Aucun plan national d'action n'est actuellement en vigueur.</w:t>
            </w:r>
          </w:p>
        </w:tc>
        <w:tc>
          <w:tcPr>
            <w:tcW w:w="1380" w:type="pct"/>
            <w:gridSpan w:val="2"/>
          </w:tcPr>
          <w:p w14:paraId="54085299" w14:textId="77777777" w:rsidR="00547119" w:rsidRPr="00516043" w:rsidRDefault="00547119" w:rsidP="001E71F8">
            <w:pPr>
              <w:pStyle w:val="ListParagraph"/>
              <w:numPr>
                <w:ilvl w:val="0"/>
                <w:numId w:val="13"/>
              </w:numPr>
              <w:autoSpaceDE w:val="0"/>
              <w:autoSpaceDN w:val="0"/>
              <w:adjustRightInd w:val="0"/>
              <w:spacing w:line="240" w:lineRule="auto"/>
              <w:contextualSpacing/>
              <w:jc w:val="both"/>
              <w:rPr>
                <w:rFonts w:ascii="Cambria" w:hAnsi="Cambria"/>
                <w:color w:val="1C283D"/>
                <w:sz w:val="20"/>
                <w:szCs w:val="20"/>
              </w:rPr>
            </w:pPr>
            <w:r w:rsidRPr="00516043">
              <w:rPr>
                <w:rFonts w:ascii="Cambria" w:hAnsi="Cambria"/>
                <w:color w:val="1C283D"/>
                <w:sz w:val="20"/>
                <w:szCs w:val="20"/>
              </w:rPr>
              <w:t>Bien que le mouillage nocturne avec un éclairage minimal du pont ne soit généralement pas appliqué, les captures accidentelles d'oiseaux de mer à la palangre de surface et la palangre de fond sont extrêmement faibles.</w:t>
            </w:r>
          </w:p>
          <w:p w14:paraId="5E55A01B" w14:textId="77777777" w:rsidR="00547119" w:rsidRPr="00516043" w:rsidRDefault="00547119" w:rsidP="001E71F8">
            <w:pPr>
              <w:pStyle w:val="ListParagraph"/>
              <w:numPr>
                <w:ilvl w:val="0"/>
                <w:numId w:val="13"/>
              </w:numPr>
              <w:autoSpaceDE w:val="0"/>
              <w:autoSpaceDN w:val="0"/>
              <w:adjustRightInd w:val="0"/>
              <w:spacing w:line="240" w:lineRule="auto"/>
              <w:contextualSpacing/>
              <w:jc w:val="both"/>
              <w:rPr>
                <w:rFonts w:ascii="Cambria" w:hAnsi="Cambria"/>
                <w:color w:val="1C283D"/>
                <w:sz w:val="20"/>
                <w:szCs w:val="20"/>
              </w:rPr>
            </w:pPr>
            <w:r w:rsidRPr="00516043">
              <w:rPr>
                <w:rFonts w:ascii="Cambria" w:hAnsi="Cambria"/>
                <w:color w:val="1C283D"/>
                <w:sz w:val="20"/>
                <w:szCs w:val="20"/>
              </w:rPr>
              <w:t xml:space="preserve">Bien que les lignes d'effarouchement des oiseaux (lignes </w:t>
            </w:r>
            <w:proofErr w:type="spellStart"/>
            <w:r w:rsidRPr="00516043">
              <w:rPr>
                <w:rFonts w:ascii="Cambria" w:hAnsi="Cambria"/>
                <w:color w:val="1C283D"/>
                <w:sz w:val="20"/>
                <w:szCs w:val="20"/>
              </w:rPr>
              <w:t>tori</w:t>
            </w:r>
            <w:proofErr w:type="spellEnd"/>
            <w:r w:rsidRPr="00516043">
              <w:rPr>
                <w:rFonts w:ascii="Cambria" w:hAnsi="Cambria"/>
                <w:color w:val="1C283D"/>
                <w:sz w:val="20"/>
                <w:szCs w:val="20"/>
              </w:rPr>
              <w:t>) ne soient pas utilisées, les captures accidentelles d'oiseaux de mer à la palangre de surface et à la palangre de fond sont extrêmement faibles.</w:t>
            </w:r>
          </w:p>
          <w:p w14:paraId="15EC1490" w14:textId="77563889" w:rsidR="00547119" w:rsidRPr="00516043" w:rsidRDefault="00547119" w:rsidP="001E71F8">
            <w:pPr>
              <w:pStyle w:val="ListParagraph"/>
              <w:numPr>
                <w:ilvl w:val="0"/>
                <w:numId w:val="13"/>
              </w:numPr>
              <w:autoSpaceDE w:val="0"/>
              <w:autoSpaceDN w:val="0"/>
              <w:adjustRightInd w:val="0"/>
              <w:spacing w:line="240" w:lineRule="auto"/>
              <w:contextualSpacing/>
              <w:jc w:val="both"/>
              <w:rPr>
                <w:rFonts w:ascii="Cambria" w:hAnsi="Cambria"/>
                <w:color w:val="1C283D"/>
                <w:sz w:val="20"/>
                <w:szCs w:val="20"/>
              </w:rPr>
            </w:pPr>
            <w:r w:rsidRPr="00516043">
              <w:rPr>
                <w:rFonts w:ascii="Cambria" w:hAnsi="Cambria"/>
                <w:color w:val="1C283D"/>
                <w:sz w:val="20"/>
                <w:szCs w:val="20"/>
              </w:rPr>
              <w:t xml:space="preserve">Lestage des lignes appliqué à toutes les opérations à la palangre de fond. Le lestage des lignes n'est généralement pas </w:t>
            </w:r>
            <w:proofErr w:type="gramStart"/>
            <w:r w:rsidRPr="00516043">
              <w:rPr>
                <w:rFonts w:ascii="Cambria" w:hAnsi="Cambria"/>
                <w:color w:val="1C283D"/>
                <w:sz w:val="20"/>
                <w:szCs w:val="20"/>
              </w:rPr>
              <w:t>appliquée</w:t>
            </w:r>
            <w:proofErr w:type="gramEnd"/>
            <w:r w:rsidRPr="00516043">
              <w:rPr>
                <w:rFonts w:ascii="Cambria" w:hAnsi="Cambria"/>
                <w:color w:val="1C283D"/>
                <w:sz w:val="20"/>
                <w:szCs w:val="20"/>
              </w:rPr>
              <w:t xml:space="preserve"> aux palangres de surface. Les prises accessoires d’oiseaux de mer réalisées par les </w:t>
            </w:r>
            <w:r w:rsidRPr="00516043">
              <w:rPr>
                <w:rFonts w:ascii="Cambria" w:hAnsi="Cambria"/>
                <w:color w:val="1C283D"/>
                <w:sz w:val="20"/>
                <w:szCs w:val="20"/>
              </w:rPr>
              <w:lastRenderedPageBreak/>
              <w:t>palangres de surface et de fond sont extrêmement faibles.</w:t>
            </w:r>
          </w:p>
          <w:p w14:paraId="1CDD893E" w14:textId="77777777" w:rsidR="00547119" w:rsidRPr="00516043" w:rsidRDefault="00547119" w:rsidP="001E71F8">
            <w:pPr>
              <w:spacing w:line="240" w:lineRule="auto"/>
              <w:jc w:val="both"/>
              <w:rPr>
                <w:rFonts w:ascii="Cambria" w:hAnsi="Cambria"/>
                <w:color w:val="1C283D"/>
                <w:sz w:val="20"/>
                <w:szCs w:val="20"/>
                <w:lang w:eastAsia="en-GB"/>
              </w:rPr>
            </w:pPr>
          </w:p>
          <w:p w14:paraId="3B121FBA" w14:textId="5F91F07B" w:rsidR="00547119" w:rsidRPr="00516043" w:rsidRDefault="00547119" w:rsidP="00153AC2">
            <w:pPr>
              <w:spacing w:line="240" w:lineRule="auto"/>
              <w:rPr>
                <w:rFonts w:ascii="Cambria" w:hAnsi="Cambria"/>
                <w:color w:val="1C283D"/>
                <w:sz w:val="20"/>
                <w:szCs w:val="20"/>
                <w:lang w:val="en-GB" w:eastAsia="en-GB"/>
              </w:rPr>
            </w:pPr>
            <w:r w:rsidRPr="00516043">
              <w:rPr>
                <w:rFonts w:ascii="Cambria" w:hAnsi="Cambria"/>
                <w:color w:val="1C283D"/>
                <w:sz w:val="20"/>
                <w:szCs w:val="20"/>
              </w:rPr>
              <w:t>Zone : Méditerranée centrale</w:t>
            </w:r>
          </w:p>
        </w:tc>
      </w:tr>
      <w:tr w:rsidR="00516043" w:rsidRPr="00516043" w14:paraId="3CE37021" w14:textId="77777777" w:rsidTr="00516043">
        <w:trPr>
          <w:trHeight w:val="19"/>
          <w:jc w:val="center"/>
        </w:trPr>
        <w:tc>
          <w:tcPr>
            <w:tcW w:w="515" w:type="pct"/>
            <w:vAlign w:val="center"/>
          </w:tcPr>
          <w:p w14:paraId="671C3E15" w14:textId="77777777" w:rsidR="00547119" w:rsidRPr="00516043" w:rsidRDefault="00547119" w:rsidP="001E71F8">
            <w:pPr>
              <w:spacing w:line="240" w:lineRule="auto"/>
              <w:rPr>
                <w:rFonts w:ascii="Cambria" w:hAnsi="Cambria" w:cs="Calibri"/>
                <w:b/>
                <w:bCs/>
                <w:color w:val="000000"/>
                <w:sz w:val="20"/>
                <w:szCs w:val="20"/>
              </w:rPr>
            </w:pPr>
            <w:r w:rsidRPr="00516043">
              <w:rPr>
                <w:rFonts w:ascii="Cambria" w:hAnsi="Cambria"/>
                <w:b/>
                <w:color w:val="000000"/>
                <w:sz w:val="20"/>
                <w:szCs w:val="20"/>
              </w:rPr>
              <w:lastRenderedPageBreak/>
              <w:t>Japon</w:t>
            </w:r>
          </w:p>
        </w:tc>
        <w:tc>
          <w:tcPr>
            <w:tcW w:w="566" w:type="pct"/>
            <w:vAlign w:val="center"/>
          </w:tcPr>
          <w:p w14:paraId="418699EC" w14:textId="77777777" w:rsidR="00547119" w:rsidRPr="00516043" w:rsidRDefault="00547119" w:rsidP="001E71F8">
            <w:pPr>
              <w:spacing w:line="240" w:lineRule="auto"/>
              <w:jc w:val="center"/>
              <w:rPr>
                <w:rFonts w:ascii="Cambria" w:hAnsi="Cambria" w:cstheme="minorHAnsi"/>
                <w:color w:val="000000"/>
                <w:sz w:val="20"/>
                <w:szCs w:val="20"/>
              </w:rPr>
            </w:pPr>
            <w:r w:rsidRPr="00516043">
              <w:rPr>
                <w:rFonts w:ascii="Cambria" w:hAnsi="Cambria"/>
                <w:color w:val="000000"/>
                <w:sz w:val="20"/>
                <w:szCs w:val="20"/>
              </w:rPr>
              <w:t>Oui</w:t>
            </w:r>
          </w:p>
        </w:tc>
        <w:tc>
          <w:tcPr>
            <w:tcW w:w="731" w:type="pct"/>
            <w:vAlign w:val="center"/>
          </w:tcPr>
          <w:p w14:paraId="63CBDAF5" w14:textId="77777777" w:rsidR="00547119" w:rsidRPr="00516043" w:rsidRDefault="00547119" w:rsidP="001E71F8">
            <w:pPr>
              <w:spacing w:line="240" w:lineRule="auto"/>
              <w:jc w:val="center"/>
              <w:rPr>
                <w:rFonts w:ascii="Cambria" w:hAnsi="Cambria" w:cstheme="minorHAnsi"/>
                <w:color w:val="000000"/>
                <w:sz w:val="20"/>
                <w:szCs w:val="20"/>
              </w:rPr>
            </w:pPr>
            <w:r w:rsidRPr="00516043">
              <w:rPr>
                <w:rFonts w:ascii="Cambria" w:hAnsi="Cambria"/>
                <w:color w:val="000000"/>
                <w:sz w:val="20"/>
                <w:szCs w:val="20"/>
              </w:rPr>
              <w:t>Oui</w:t>
            </w:r>
          </w:p>
        </w:tc>
        <w:tc>
          <w:tcPr>
            <w:tcW w:w="565" w:type="pct"/>
            <w:vAlign w:val="center"/>
          </w:tcPr>
          <w:p w14:paraId="1E9BDC3F" w14:textId="77777777" w:rsidR="00547119" w:rsidRPr="00516043" w:rsidRDefault="00547119" w:rsidP="001E71F8">
            <w:pPr>
              <w:spacing w:line="240" w:lineRule="auto"/>
              <w:jc w:val="center"/>
              <w:rPr>
                <w:rFonts w:ascii="Cambria" w:hAnsi="Cambria" w:cstheme="minorHAnsi"/>
                <w:color w:val="000000"/>
                <w:sz w:val="20"/>
                <w:szCs w:val="20"/>
              </w:rPr>
            </w:pPr>
            <w:r w:rsidRPr="00516043">
              <w:rPr>
                <w:rFonts w:ascii="Cambria" w:hAnsi="Cambria"/>
                <w:color w:val="000000"/>
                <w:sz w:val="20"/>
                <w:szCs w:val="20"/>
              </w:rPr>
              <w:t>Oui</w:t>
            </w:r>
          </w:p>
        </w:tc>
        <w:tc>
          <w:tcPr>
            <w:tcW w:w="1243" w:type="pct"/>
            <w:vAlign w:val="center"/>
          </w:tcPr>
          <w:p w14:paraId="5C5D1E4C" w14:textId="77777777" w:rsidR="00547119" w:rsidRPr="00516043" w:rsidRDefault="00547119" w:rsidP="00A07D26">
            <w:pPr>
              <w:spacing w:line="240" w:lineRule="auto"/>
              <w:ind w:right="60"/>
              <w:jc w:val="both"/>
              <w:rPr>
                <w:rFonts w:ascii="Cambria" w:hAnsi="Cambria" w:cstheme="minorHAnsi"/>
                <w:color w:val="000000"/>
                <w:sz w:val="20"/>
                <w:szCs w:val="20"/>
              </w:rPr>
            </w:pPr>
            <w:r w:rsidRPr="00516043">
              <w:rPr>
                <w:rFonts w:ascii="Cambria" w:hAnsi="Cambria"/>
                <w:color w:val="000000"/>
                <w:sz w:val="20"/>
                <w:szCs w:val="20"/>
              </w:rPr>
              <w:t>Voir</w:t>
            </w:r>
            <w:r w:rsidRPr="00516043">
              <w:rPr>
                <w:rFonts w:ascii="Cambria" w:hAnsi="Cambria"/>
                <w:b/>
                <w:color w:val="000000"/>
                <w:sz w:val="20"/>
                <w:szCs w:val="20"/>
              </w:rPr>
              <w:t xml:space="preserve"> l’ANNEXE 10 </w:t>
            </w:r>
            <w:r w:rsidRPr="00516043">
              <w:rPr>
                <w:rFonts w:ascii="Cambria" w:hAnsi="Cambria"/>
                <w:color w:val="000000"/>
                <w:sz w:val="20"/>
                <w:szCs w:val="20"/>
              </w:rPr>
              <w:t>au COC-303</w:t>
            </w:r>
          </w:p>
        </w:tc>
        <w:tc>
          <w:tcPr>
            <w:tcW w:w="1380" w:type="pct"/>
            <w:gridSpan w:val="2"/>
          </w:tcPr>
          <w:p w14:paraId="7B603966" w14:textId="77777777" w:rsidR="00547119" w:rsidRPr="00516043" w:rsidRDefault="00547119" w:rsidP="001E71F8">
            <w:pPr>
              <w:spacing w:line="240" w:lineRule="auto"/>
              <w:jc w:val="both"/>
              <w:rPr>
                <w:rFonts w:ascii="Cambria" w:eastAsiaTheme="minorEastAsia" w:hAnsi="Cambria"/>
                <w:sz w:val="20"/>
                <w:szCs w:val="20"/>
              </w:rPr>
            </w:pPr>
            <w:r w:rsidRPr="00516043">
              <w:rPr>
                <w:rFonts w:ascii="Cambria" w:hAnsi="Cambria"/>
                <w:sz w:val="20"/>
                <w:szCs w:val="20"/>
              </w:rPr>
              <w:t>Requis par Arrêté ministériel nº57</w:t>
            </w:r>
          </w:p>
          <w:p w14:paraId="3586FE8F" w14:textId="77777777" w:rsidR="00547119" w:rsidRPr="00516043" w:rsidRDefault="00547119" w:rsidP="001E71F8">
            <w:pPr>
              <w:spacing w:line="240" w:lineRule="auto"/>
              <w:jc w:val="both"/>
              <w:rPr>
                <w:rFonts w:ascii="Cambria" w:eastAsiaTheme="minorEastAsia" w:hAnsi="Cambria"/>
                <w:sz w:val="20"/>
                <w:szCs w:val="20"/>
                <w:lang w:eastAsia="ja-JP"/>
              </w:rPr>
            </w:pPr>
          </w:p>
          <w:p w14:paraId="16E07B35" w14:textId="332369B9" w:rsidR="00547119" w:rsidRPr="00516043" w:rsidRDefault="00547119" w:rsidP="001E71F8">
            <w:pPr>
              <w:spacing w:line="240" w:lineRule="auto"/>
              <w:jc w:val="both"/>
              <w:rPr>
                <w:rFonts w:ascii="Cambria" w:hAnsi="Cambria" w:cstheme="minorHAnsi"/>
                <w:color w:val="000000"/>
                <w:sz w:val="20"/>
                <w:szCs w:val="20"/>
              </w:rPr>
            </w:pPr>
            <w:r w:rsidRPr="00516043">
              <w:rPr>
                <w:rFonts w:ascii="Cambria" w:hAnsi="Cambria"/>
                <w:sz w:val="20"/>
                <w:szCs w:val="20"/>
              </w:rPr>
              <w:t xml:space="preserve">Zone : </w:t>
            </w:r>
            <w:r w:rsidRPr="00516043">
              <w:rPr>
                <w:rFonts w:ascii="Cambria" w:hAnsi="Cambria"/>
                <w:color w:val="000000"/>
                <w:sz w:val="20"/>
                <w:szCs w:val="20"/>
              </w:rPr>
              <w:t xml:space="preserve">Au </w:t>
            </w:r>
            <w:r w:rsidR="00F604E1" w:rsidRPr="00516043">
              <w:rPr>
                <w:rFonts w:ascii="Cambria" w:hAnsi="Cambria"/>
                <w:color w:val="000000"/>
                <w:sz w:val="20"/>
                <w:szCs w:val="20"/>
              </w:rPr>
              <w:t>S</w:t>
            </w:r>
            <w:r w:rsidRPr="00516043">
              <w:rPr>
                <w:rFonts w:ascii="Cambria" w:hAnsi="Cambria"/>
                <w:color w:val="000000"/>
                <w:sz w:val="20"/>
                <w:szCs w:val="20"/>
              </w:rPr>
              <w:t>ud de 25 degrés S, il est nécessaire d'utiliser au moins deux mesures d'atténuation sur les trois énumérées ici (conformément à la Rec.</w:t>
            </w:r>
            <w:r w:rsidR="00F604E1" w:rsidRPr="00516043">
              <w:rPr>
                <w:rFonts w:ascii="Cambria" w:hAnsi="Cambria"/>
                <w:color w:val="000000"/>
                <w:sz w:val="20"/>
                <w:szCs w:val="20"/>
              </w:rPr>
              <w:t> </w:t>
            </w:r>
            <w:r w:rsidRPr="00516043">
              <w:rPr>
                <w:rFonts w:ascii="Cambria" w:hAnsi="Cambria"/>
                <w:color w:val="000000"/>
                <w:sz w:val="20"/>
                <w:szCs w:val="20"/>
              </w:rPr>
              <w:t xml:space="preserve">11-09). Dans la zone située au </w:t>
            </w:r>
            <w:r w:rsidR="00AA4BFD" w:rsidRPr="00516043">
              <w:rPr>
                <w:rFonts w:ascii="Cambria" w:hAnsi="Cambria"/>
                <w:color w:val="000000"/>
                <w:sz w:val="20"/>
                <w:szCs w:val="20"/>
              </w:rPr>
              <w:t>S</w:t>
            </w:r>
            <w:r w:rsidRPr="00516043">
              <w:rPr>
                <w:rFonts w:ascii="Cambria" w:hAnsi="Cambria"/>
                <w:color w:val="000000"/>
                <w:sz w:val="20"/>
                <w:szCs w:val="20"/>
              </w:rPr>
              <w:t xml:space="preserve">ud de 20 degrés S et au </w:t>
            </w:r>
            <w:r w:rsidR="00AA4BFD" w:rsidRPr="00516043">
              <w:rPr>
                <w:rFonts w:ascii="Cambria" w:hAnsi="Cambria"/>
                <w:color w:val="000000"/>
                <w:sz w:val="20"/>
                <w:szCs w:val="20"/>
              </w:rPr>
              <w:t>N</w:t>
            </w:r>
            <w:r w:rsidRPr="00516043">
              <w:rPr>
                <w:rFonts w:ascii="Cambria" w:hAnsi="Cambria"/>
                <w:color w:val="000000"/>
                <w:sz w:val="20"/>
                <w:szCs w:val="20"/>
              </w:rPr>
              <w:t xml:space="preserve">ord de 25 degrés S, il est nécessaire d'utiliser la ligne </w:t>
            </w:r>
            <w:proofErr w:type="spellStart"/>
            <w:r w:rsidRPr="00516043">
              <w:rPr>
                <w:rFonts w:ascii="Cambria" w:hAnsi="Cambria"/>
                <w:color w:val="000000"/>
                <w:sz w:val="20"/>
                <w:szCs w:val="20"/>
              </w:rPr>
              <w:t>tori</w:t>
            </w:r>
            <w:proofErr w:type="spellEnd"/>
            <w:r w:rsidRPr="00516043">
              <w:rPr>
                <w:rFonts w:ascii="Cambria" w:hAnsi="Cambria"/>
                <w:color w:val="000000"/>
                <w:sz w:val="20"/>
                <w:szCs w:val="20"/>
              </w:rPr>
              <w:t xml:space="preserve"> (conformément à la Rec.</w:t>
            </w:r>
            <w:r w:rsidR="00AA4BFD" w:rsidRPr="00516043">
              <w:rPr>
                <w:rFonts w:ascii="Cambria" w:hAnsi="Cambria"/>
                <w:color w:val="000000"/>
                <w:sz w:val="20"/>
                <w:szCs w:val="20"/>
              </w:rPr>
              <w:t> </w:t>
            </w:r>
            <w:r w:rsidRPr="00516043">
              <w:rPr>
                <w:rFonts w:ascii="Cambria" w:hAnsi="Cambria"/>
                <w:color w:val="000000"/>
                <w:sz w:val="20"/>
                <w:szCs w:val="20"/>
              </w:rPr>
              <w:t>07-07).</w:t>
            </w:r>
          </w:p>
        </w:tc>
      </w:tr>
      <w:tr w:rsidR="00516043" w:rsidRPr="00516043" w14:paraId="120BA01B" w14:textId="77777777" w:rsidTr="00516043">
        <w:trPr>
          <w:trHeight w:val="19"/>
          <w:jc w:val="center"/>
        </w:trPr>
        <w:tc>
          <w:tcPr>
            <w:tcW w:w="515" w:type="pct"/>
            <w:vAlign w:val="center"/>
          </w:tcPr>
          <w:p w14:paraId="7C516D96" w14:textId="77777777" w:rsidR="00547119" w:rsidRPr="00516043" w:rsidRDefault="00547119" w:rsidP="001E71F8">
            <w:pPr>
              <w:spacing w:line="240" w:lineRule="auto"/>
              <w:rPr>
                <w:rFonts w:ascii="Cambria" w:hAnsi="Cambria" w:cs="Calibri"/>
                <w:b/>
                <w:bCs/>
                <w:color w:val="000000"/>
                <w:sz w:val="20"/>
                <w:szCs w:val="20"/>
              </w:rPr>
            </w:pPr>
            <w:r w:rsidRPr="00516043">
              <w:rPr>
                <w:rFonts w:ascii="Cambria" w:hAnsi="Cambria"/>
                <w:b/>
                <w:color w:val="000000"/>
                <w:sz w:val="20"/>
                <w:szCs w:val="20"/>
              </w:rPr>
              <w:t>Corée</w:t>
            </w:r>
          </w:p>
        </w:tc>
        <w:tc>
          <w:tcPr>
            <w:tcW w:w="566" w:type="pct"/>
            <w:vAlign w:val="center"/>
          </w:tcPr>
          <w:p w14:paraId="5AE61E42" w14:textId="77777777" w:rsidR="00547119" w:rsidRPr="00516043" w:rsidRDefault="00547119" w:rsidP="001E71F8">
            <w:pPr>
              <w:spacing w:line="240" w:lineRule="auto"/>
              <w:jc w:val="center"/>
              <w:rPr>
                <w:rFonts w:ascii="Cambria" w:hAnsi="Cambria" w:cstheme="minorHAnsi"/>
                <w:color w:val="000000"/>
                <w:sz w:val="20"/>
                <w:szCs w:val="20"/>
              </w:rPr>
            </w:pPr>
            <w:r w:rsidRPr="00516043">
              <w:rPr>
                <w:rFonts w:ascii="Cambria" w:hAnsi="Cambria"/>
                <w:color w:val="000000"/>
                <w:sz w:val="20"/>
                <w:szCs w:val="20"/>
              </w:rPr>
              <w:t>Oui</w:t>
            </w:r>
          </w:p>
        </w:tc>
        <w:tc>
          <w:tcPr>
            <w:tcW w:w="731" w:type="pct"/>
            <w:vAlign w:val="center"/>
          </w:tcPr>
          <w:p w14:paraId="4923B31A" w14:textId="77777777" w:rsidR="00547119" w:rsidRPr="00516043" w:rsidRDefault="00547119" w:rsidP="001E71F8">
            <w:pPr>
              <w:spacing w:line="240" w:lineRule="auto"/>
              <w:jc w:val="center"/>
              <w:rPr>
                <w:rFonts w:ascii="Cambria" w:hAnsi="Cambria" w:cstheme="minorHAnsi"/>
                <w:color w:val="000000"/>
                <w:sz w:val="20"/>
                <w:szCs w:val="20"/>
              </w:rPr>
            </w:pPr>
            <w:r w:rsidRPr="00516043">
              <w:rPr>
                <w:rFonts w:ascii="Cambria" w:hAnsi="Cambria"/>
                <w:color w:val="000000"/>
                <w:sz w:val="20"/>
                <w:szCs w:val="20"/>
              </w:rPr>
              <w:t>Oui</w:t>
            </w:r>
          </w:p>
        </w:tc>
        <w:tc>
          <w:tcPr>
            <w:tcW w:w="565" w:type="pct"/>
            <w:vAlign w:val="center"/>
          </w:tcPr>
          <w:p w14:paraId="799AC036" w14:textId="77777777" w:rsidR="00547119" w:rsidRPr="00516043" w:rsidRDefault="00547119" w:rsidP="001E71F8">
            <w:pPr>
              <w:spacing w:line="240" w:lineRule="auto"/>
              <w:jc w:val="center"/>
              <w:rPr>
                <w:rFonts w:ascii="Cambria" w:hAnsi="Cambria" w:cstheme="minorHAnsi"/>
                <w:color w:val="000000"/>
                <w:sz w:val="20"/>
                <w:szCs w:val="20"/>
              </w:rPr>
            </w:pPr>
            <w:r w:rsidRPr="00516043">
              <w:rPr>
                <w:rFonts w:ascii="Cambria" w:hAnsi="Cambria"/>
                <w:color w:val="000000"/>
                <w:sz w:val="20"/>
                <w:szCs w:val="20"/>
              </w:rPr>
              <w:t>Oui</w:t>
            </w:r>
          </w:p>
        </w:tc>
        <w:tc>
          <w:tcPr>
            <w:tcW w:w="1243" w:type="pct"/>
          </w:tcPr>
          <w:p w14:paraId="40CCDAAB" w14:textId="77777777" w:rsidR="00547119" w:rsidRPr="00516043" w:rsidRDefault="00547119" w:rsidP="001E71F8">
            <w:pPr>
              <w:spacing w:line="240" w:lineRule="auto"/>
              <w:jc w:val="both"/>
              <w:rPr>
                <w:rFonts w:ascii="Cambria" w:hAnsi="Cambria"/>
                <w:sz w:val="20"/>
                <w:szCs w:val="20"/>
              </w:rPr>
            </w:pPr>
            <w:r w:rsidRPr="00516043">
              <w:rPr>
                <w:rFonts w:ascii="Cambria" w:hAnsi="Cambria"/>
                <w:sz w:val="20"/>
                <w:szCs w:val="20"/>
              </w:rPr>
              <w:t>La République de Corée a élaboré son Plan d'action national pour la réduction des captures accidentelles d'oiseaux de mer par les palangriers (NPOA-Oiseaux de mer) en 2014 et veille à ce que les palangriers battant pavillon coréen respectent le NPOA-Oiseaux de mer. Le NPOA peut être consulté sur le site web de la FAO :</w:t>
            </w:r>
          </w:p>
          <w:p w14:paraId="0DEDA020" w14:textId="44E8CC72" w:rsidR="00547119" w:rsidRPr="00516043" w:rsidRDefault="00090420" w:rsidP="001E71F8">
            <w:pPr>
              <w:spacing w:line="240" w:lineRule="auto"/>
              <w:jc w:val="both"/>
              <w:rPr>
                <w:rFonts w:ascii="Cambria" w:hAnsi="Cambria" w:cstheme="minorHAnsi"/>
                <w:color w:val="000000"/>
                <w:sz w:val="20"/>
                <w:szCs w:val="20"/>
              </w:rPr>
            </w:pPr>
            <w:hyperlink r:id="rId28" w:history="1">
              <w:r w:rsidRPr="00516043">
                <w:rPr>
                  <w:rStyle w:val="Hyperlink"/>
                  <w:szCs w:val="20"/>
                </w:rPr>
                <w:t>https://www.fao.org/fishery/fr/publications/92760</w:t>
              </w:r>
            </w:hyperlink>
          </w:p>
        </w:tc>
        <w:tc>
          <w:tcPr>
            <w:tcW w:w="1380" w:type="pct"/>
            <w:gridSpan w:val="2"/>
          </w:tcPr>
          <w:p w14:paraId="7024A278" w14:textId="77777777" w:rsidR="00547119" w:rsidRPr="00516043" w:rsidRDefault="00547119" w:rsidP="001E71F8">
            <w:pPr>
              <w:spacing w:line="240" w:lineRule="auto"/>
              <w:jc w:val="both"/>
              <w:rPr>
                <w:rFonts w:ascii="Cambria" w:eastAsiaTheme="minorEastAsia" w:hAnsi="Cambria"/>
                <w:sz w:val="20"/>
                <w:szCs w:val="20"/>
              </w:rPr>
            </w:pPr>
            <w:r w:rsidRPr="00516043">
              <w:rPr>
                <w:rFonts w:ascii="Cambria" w:hAnsi="Cambria"/>
                <w:sz w:val="20"/>
                <w:szCs w:val="20"/>
              </w:rPr>
              <w:t xml:space="preserve">Conformément aux exigences du tableau 1 de la Rec. 11-09, les palangriers coréens utilisent des lignes lestées et des lignes </w:t>
            </w:r>
            <w:proofErr w:type="spellStart"/>
            <w:r w:rsidRPr="00516043">
              <w:rPr>
                <w:rFonts w:ascii="Cambria" w:hAnsi="Cambria"/>
                <w:sz w:val="20"/>
                <w:szCs w:val="20"/>
              </w:rPr>
              <w:t>tori</w:t>
            </w:r>
            <w:proofErr w:type="spellEnd"/>
            <w:r w:rsidRPr="00516043">
              <w:rPr>
                <w:rFonts w:ascii="Cambria" w:hAnsi="Cambria"/>
                <w:sz w:val="20"/>
                <w:szCs w:val="20"/>
              </w:rPr>
              <w:t xml:space="preserve"> ou le mouillage nocturne.</w:t>
            </w:r>
          </w:p>
          <w:p w14:paraId="4879D44C" w14:textId="77777777" w:rsidR="00547119" w:rsidRPr="00516043" w:rsidRDefault="00547119" w:rsidP="001E71F8">
            <w:pPr>
              <w:spacing w:line="240" w:lineRule="auto"/>
              <w:jc w:val="both"/>
              <w:rPr>
                <w:rFonts w:ascii="Cambria" w:eastAsiaTheme="minorEastAsia" w:hAnsi="Cambria"/>
                <w:sz w:val="20"/>
                <w:szCs w:val="20"/>
                <w:lang w:eastAsia="ko-KR"/>
              </w:rPr>
            </w:pPr>
          </w:p>
          <w:p w14:paraId="04D24772" w14:textId="77777777" w:rsidR="00547119" w:rsidRPr="00516043" w:rsidRDefault="00547119" w:rsidP="001E71F8">
            <w:pPr>
              <w:spacing w:line="240" w:lineRule="auto"/>
              <w:jc w:val="both"/>
              <w:rPr>
                <w:rFonts w:ascii="Cambria" w:hAnsi="Cambria" w:cstheme="minorHAnsi"/>
                <w:color w:val="000000"/>
                <w:sz w:val="20"/>
                <w:szCs w:val="20"/>
              </w:rPr>
            </w:pPr>
            <w:r w:rsidRPr="00516043">
              <w:rPr>
                <w:rFonts w:ascii="Cambria" w:hAnsi="Cambria"/>
                <w:sz w:val="20"/>
                <w:szCs w:val="20"/>
              </w:rPr>
              <w:t xml:space="preserve">Zone : </w:t>
            </w:r>
            <w:r w:rsidRPr="00516043">
              <w:rPr>
                <w:rFonts w:ascii="Cambria" w:hAnsi="Cambria"/>
                <w:color w:val="000000"/>
                <w:sz w:val="20"/>
                <w:szCs w:val="20"/>
              </w:rPr>
              <w:t>Toutes les zones relevant de l’ICCAT</w:t>
            </w:r>
          </w:p>
        </w:tc>
      </w:tr>
      <w:tr w:rsidR="00516043" w:rsidRPr="00516043" w14:paraId="2881C594" w14:textId="77777777" w:rsidTr="00516043">
        <w:trPr>
          <w:trHeight w:val="19"/>
          <w:jc w:val="center"/>
        </w:trPr>
        <w:tc>
          <w:tcPr>
            <w:tcW w:w="515" w:type="pct"/>
            <w:vAlign w:val="center"/>
          </w:tcPr>
          <w:p w14:paraId="6309EE6B" w14:textId="77777777" w:rsidR="00547119" w:rsidRPr="00516043" w:rsidRDefault="00547119" w:rsidP="001E71F8">
            <w:pPr>
              <w:spacing w:line="240" w:lineRule="auto"/>
              <w:rPr>
                <w:rFonts w:ascii="Cambria" w:hAnsi="Cambria" w:cs="Calibri"/>
                <w:b/>
                <w:bCs/>
                <w:color w:val="000000"/>
                <w:sz w:val="20"/>
                <w:szCs w:val="20"/>
              </w:rPr>
            </w:pPr>
            <w:r w:rsidRPr="00516043">
              <w:rPr>
                <w:rFonts w:ascii="Cambria" w:hAnsi="Cambria"/>
                <w:b/>
                <w:color w:val="000000"/>
                <w:sz w:val="20"/>
                <w:szCs w:val="20"/>
              </w:rPr>
              <w:t>Saint-Vincent-et-les-Grenadines</w:t>
            </w:r>
          </w:p>
        </w:tc>
        <w:tc>
          <w:tcPr>
            <w:tcW w:w="566" w:type="pct"/>
          </w:tcPr>
          <w:p w14:paraId="0F0C6B12" w14:textId="77777777" w:rsidR="00547119" w:rsidRPr="00516043" w:rsidRDefault="00547119" w:rsidP="001E71F8">
            <w:pPr>
              <w:spacing w:line="240" w:lineRule="auto"/>
              <w:jc w:val="both"/>
              <w:rPr>
                <w:rFonts w:ascii="Cambria" w:hAnsi="Cambria" w:cstheme="minorHAnsi"/>
                <w:color w:val="000000"/>
                <w:sz w:val="20"/>
                <w:szCs w:val="20"/>
              </w:rPr>
            </w:pPr>
            <w:r w:rsidRPr="00516043">
              <w:rPr>
                <w:rFonts w:ascii="Cambria" w:hAnsi="Cambria"/>
                <w:sz w:val="20"/>
                <w:szCs w:val="20"/>
              </w:rPr>
              <w:t>Cette mesure n'a pas encore été mise en œuvre.</w:t>
            </w:r>
          </w:p>
        </w:tc>
        <w:tc>
          <w:tcPr>
            <w:tcW w:w="731" w:type="pct"/>
          </w:tcPr>
          <w:p w14:paraId="6A74501A" w14:textId="77777777" w:rsidR="00547119" w:rsidRPr="00516043" w:rsidRDefault="00547119" w:rsidP="001E71F8">
            <w:pPr>
              <w:spacing w:line="240" w:lineRule="auto"/>
              <w:jc w:val="both"/>
              <w:rPr>
                <w:rFonts w:ascii="Cambria" w:hAnsi="Cambria" w:cstheme="minorHAnsi"/>
                <w:color w:val="000000"/>
                <w:sz w:val="20"/>
                <w:szCs w:val="20"/>
              </w:rPr>
            </w:pPr>
            <w:r w:rsidRPr="00516043">
              <w:rPr>
                <w:rFonts w:ascii="Cambria" w:hAnsi="Cambria"/>
                <w:sz w:val="20"/>
                <w:szCs w:val="20"/>
              </w:rPr>
              <w:t>Cette mesure n'a pas encore été mise en œuvre.</w:t>
            </w:r>
          </w:p>
        </w:tc>
        <w:tc>
          <w:tcPr>
            <w:tcW w:w="565" w:type="pct"/>
          </w:tcPr>
          <w:p w14:paraId="0B31E8FD" w14:textId="77777777" w:rsidR="00547119" w:rsidRPr="00516043" w:rsidRDefault="00547119" w:rsidP="001E71F8">
            <w:pPr>
              <w:spacing w:line="240" w:lineRule="auto"/>
              <w:jc w:val="both"/>
              <w:rPr>
                <w:rFonts w:ascii="Cambria" w:hAnsi="Cambria" w:cstheme="minorHAnsi"/>
                <w:color w:val="000000"/>
                <w:sz w:val="20"/>
                <w:szCs w:val="20"/>
              </w:rPr>
            </w:pPr>
            <w:r w:rsidRPr="00516043">
              <w:rPr>
                <w:rFonts w:ascii="Cambria" w:hAnsi="Cambria"/>
                <w:sz w:val="20"/>
                <w:szCs w:val="20"/>
              </w:rPr>
              <w:t>Cette mesure n'a pas encore été mise en œuvre.</w:t>
            </w:r>
          </w:p>
        </w:tc>
        <w:tc>
          <w:tcPr>
            <w:tcW w:w="1243" w:type="pct"/>
          </w:tcPr>
          <w:p w14:paraId="14C3E8D6" w14:textId="77777777" w:rsidR="00547119" w:rsidRPr="00516043" w:rsidRDefault="00547119" w:rsidP="001E71F8">
            <w:pPr>
              <w:spacing w:line="240" w:lineRule="auto"/>
              <w:jc w:val="both"/>
              <w:rPr>
                <w:rFonts w:ascii="Cambria" w:hAnsi="Cambria" w:cstheme="minorHAnsi"/>
                <w:color w:val="000000"/>
                <w:sz w:val="20"/>
                <w:szCs w:val="20"/>
              </w:rPr>
            </w:pPr>
            <w:r w:rsidRPr="00516043">
              <w:rPr>
                <w:rFonts w:ascii="Cambria" w:hAnsi="Cambria"/>
                <w:color w:val="000000"/>
                <w:sz w:val="20"/>
                <w:szCs w:val="20"/>
              </w:rPr>
              <w:t>Des travaux ont été réalisés au niveau national pour la conservation et la protection des oiseaux de mer, mais il n'existe actuellement aucun plan d'action national.</w:t>
            </w:r>
          </w:p>
        </w:tc>
        <w:tc>
          <w:tcPr>
            <w:tcW w:w="1380" w:type="pct"/>
            <w:gridSpan w:val="2"/>
          </w:tcPr>
          <w:p w14:paraId="3AC812B0" w14:textId="77777777" w:rsidR="00547119" w:rsidRPr="00516043" w:rsidRDefault="00547119" w:rsidP="001E71F8">
            <w:pPr>
              <w:spacing w:line="240" w:lineRule="auto"/>
              <w:rPr>
                <w:rFonts w:ascii="Cambria" w:hAnsi="Cambria"/>
                <w:sz w:val="20"/>
                <w:szCs w:val="20"/>
              </w:rPr>
            </w:pPr>
          </w:p>
        </w:tc>
      </w:tr>
      <w:tr w:rsidR="00516043" w:rsidRPr="00516043" w14:paraId="276C2B43" w14:textId="77777777" w:rsidTr="00516043">
        <w:trPr>
          <w:trHeight w:val="19"/>
          <w:jc w:val="center"/>
        </w:trPr>
        <w:tc>
          <w:tcPr>
            <w:tcW w:w="515" w:type="pct"/>
            <w:vAlign w:val="center"/>
          </w:tcPr>
          <w:p w14:paraId="158577DD" w14:textId="77777777" w:rsidR="00547119" w:rsidRPr="00516043" w:rsidRDefault="00547119" w:rsidP="001E71F8">
            <w:pPr>
              <w:spacing w:line="240" w:lineRule="auto"/>
              <w:rPr>
                <w:rFonts w:ascii="Cambria" w:hAnsi="Cambria" w:cs="Calibri"/>
                <w:b/>
                <w:bCs/>
                <w:color w:val="000000"/>
                <w:sz w:val="20"/>
                <w:szCs w:val="20"/>
              </w:rPr>
            </w:pPr>
            <w:r w:rsidRPr="00516043">
              <w:rPr>
                <w:rFonts w:ascii="Cambria" w:hAnsi="Cambria"/>
                <w:b/>
                <w:color w:val="000000"/>
                <w:sz w:val="20"/>
                <w:szCs w:val="20"/>
              </w:rPr>
              <w:lastRenderedPageBreak/>
              <w:t>Afrique du Sud</w:t>
            </w:r>
          </w:p>
        </w:tc>
        <w:tc>
          <w:tcPr>
            <w:tcW w:w="566" w:type="pct"/>
            <w:vAlign w:val="center"/>
          </w:tcPr>
          <w:p w14:paraId="3C541C7F" w14:textId="77777777" w:rsidR="00547119" w:rsidRPr="00516043" w:rsidRDefault="00547119" w:rsidP="001E71F8">
            <w:pPr>
              <w:spacing w:line="240" w:lineRule="auto"/>
              <w:jc w:val="center"/>
              <w:rPr>
                <w:rFonts w:ascii="Cambria" w:hAnsi="Cambria" w:cstheme="minorHAnsi"/>
                <w:color w:val="000000"/>
                <w:sz w:val="20"/>
                <w:szCs w:val="20"/>
              </w:rPr>
            </w:pPr>
            <w:r w:rsidRPr="00516043">
              <w:rPr>
                <w:rFonts w:ascii="Cambria" w:hAnsi="Cambria"/>
                <w:color w:val="000000"/>
                <w:sz w:val="20"/>
                <w:szCs w:val="20"/>
              </w:rPr>
              <w:t>Oui</w:t>
            </w:r>
          </w:p>
        </w:tc>
        <w:tc>
          <w:tcPr>
            <w:tcW w:w="731" w:type="pct"/>
            <w:vAlign w:val="center"/>
          </w:tcPr>
          <w:p w14:paraId="01D60B5B" w14:textId="77777777" w:rsidR="00547119" w:rsidRPr="00516043" w:rsidRDefault="00547119" w:rsidP="001E71F8">
            <w:pPr>
              <w:spacing w:line="240" w:lineRule="auto"/>
              <w:jc w:val="center"/>
              <w:rPr>
                <w:rFonts w:ascii="Cambria" w:hAnsi="Cambria" w:cstheme="minorHAnsi"/>
                <w:color w:val="000000"/>
                <w:sz w:val="20"/>
                <w:szCs w:val="20"/>
              </w:rPr>
            </w:pPr>
            <w:r w:rsidRPr="00516043">
              <w:rPr>
                <w:rFonts w:ascii="Cambria" w:hAnsi="Cambria"/>
                <w:color w:val="000000"/>
                <w:sz w:val="20"/>
                <w:szCs w:val="20"/>
              </w:rPr>
              <w:t>Oui</w:t>
            </w:r>
          </w:p>
        </w:tc>
        <w:tc>
          <w:tcPr>
            <w:tcW w:w="565" w:type="pct"/>
            <w:vAlign w:val="center"/>
          </w:tcPr>
          <w:p w14:paraId="0B7E6606" w14:textId="77777777" w:rsidR="00547119" w:rsidRPr="00516043" w:rsidRDefault="00547119" w:rsidP="001E71F8">
            <w:pPr>
              <w:spacing w:line="240" w:lineRule="auto"/>
              <w:jc w:val="center"/>
              <w:rPr>
                <w:rFonts w:ascii="Cambria" w:hAnsi="Cambria" w:cstheme="minorHAnsi"/>
                <w:color w:val="000000"/>
                <w:sz w:val="20"/>
                <w:szCs w:val="20"/>
              </w:rPr>
            </w:pPr>
            <w:r w:rsidRPr="00516043">
              <w:rPr>
                <w:rFonts w:ascii="Cambria" w:hAnsi="Cambria"/>
                <w:color w:val="000000"/>
                <w:sz w:val="20"/>
                <w:szCs w:val="20"/>
              </w:rPr>
              <w:t>Oui</w:t>
            </w:r>
          </w:p>
        </w:tc>
        <w:tc>
          <w:tcPr>
            <w:tcW w:w="1243" w:type="pct"/>
            <w:vAlign w:val="center"/>
          </w:tcPr>
          <w:p w14:paraId="0B1C9DFF" w14:textId="0244EFDE" w:rsidR="00547119" w:rsidRPr="00516043" w:rsidRDefault="00547119" w:rsidP="001E71F8">
            <w:pPr>
              <w:spacing w:line="240" w:lineRule="auto"/>
              <w:jc w:val="both"/>
              <w:rPr>
                <w:rFonts w:ascii="Cambria" w:hAnsi="Cambria"/>
                <w:color w:val="000000"/>
                <w:sz w:val="20"/>
                <w:szCs w:val="20"/>
              </w:rPr>
            </w:pPr>
            <w:r w:rsidRPr="00516043">
              <w:rPr>
                <w:rFonts w:ascii="Cambria" w:hAnsi="Cambria"/>
                <w:color w:val="000000"/>
                <w:sz w:val="20"/>
                <w:szCs w:val="20"/>
              </w:rPr>
              <w:t>Publié en 2008 et en cours de révision</w:t>
            </w:r>
          </w:p>
        </w:tc>
        <w:tc>
          <w:tcPr>
            <w:tcW w:w="1380" w:type="pct"/>
            <w:gridSpan w:val="2"/>
          </w:tcPr>
          <w:p w14:paraId="63E5F161" w14:textId="77777777" w:rsidR="00547119" w:rsidRPr="00516043" w:rsidRDefault="00547119" w:rsidP="001E71F8">
            <w:pPr>
              <w:spacing w:line="240" w:lineRule="auto"/>
              <w:rPr>
                <w:rFonts w:ascii="Cambria" w:hAnsi="Cambria"/>
                <w:sz w:val="20"/>
                <w:szCs w:val="20"/>
              </w:rPr>
            </w:pPr>
            <w:r w:rsidRPr="00516043">
              <w:rPr>
                <w:rFonts w:ascii="Cambria" w:hAnsi="Cambria"/>
                <w:sz w:val="20"/>
                <w:szCs w:val="20"/>
              </w:rPr>
              <w:t>Fait partie des conditions des permis (section 22.2)</w:t>
            </w:r>
          </w:p>
          <w:p w14:paraId="0769F834" w14:textId="77777777" w:rsidR="00547119" w:rsidRPr="00516043" w:rsidRDefault="00547119" w:rsidP="001E71F8">
            <w:pPr>
              <w:spacing w:line="240" w:lineRule="auto"/>
              <w:rPr>
                <w:rFonts w:ascii="Cambria" w:hAnsi="Cambria"/>
                <w:color w:val="000000"/>
                <w:sz w:val="20"/>
                <w:szCs w:val="20"/>
              </w:rPr>
            </w:pPr>
          </w:p>
          <w:p w14:paraId="076386EF" w14:textId="77777777" w:rsidR="00547119" w:rsidRPr="00516043" w:rsidRDefault="00547119" w:rsidP="001E71F8">
            <w:pPr>
              <w:spacing w:line="240" w:lineRule="auto"/>
              <w:rPr>
                <w:rFonts w:ascii="Cambria" w:hAnsi="Cambria"/>
                <w:color w:val="000000"/>
                <w:sz w:val="20"/>
                <w:szCs w:val="20"/>
              </w:rPr>
            </w:pPr>
            <w:r w:rsidRPr="00516043">
              <w:rPr>
                <w:rFonts w:ascii="Cambria" w:hAnsi="Cambria"/>
                <w:color w:val="000000"/>
                <w:sz w:val="20"/>
                <w:szCs w:val="20"/>
              </w:rPr>
              <w:t>Zone :</w:t>
            </w:r>
          </w:p>
          <w:p w14:paraId="103C4077" w14:textId="77777777" w:rsidR="00547119" w:rsidRPr="00516043" w:rsidRDefault="00547119" w:rsidP="001E71F8">
            <w:pPr>
              <w:pStyle w:val="ListParagraph"/>
              <w:numPr>
                <w:ilvl w:val="0"/>
                <w:numId w:val="15"/>
              </w:numPr>
              <w:spacing w:line="240" w:lineRule="auto"/>
              <w:rPr>
                <w:rFonts w:ascii="Cambria" w:hAnsi="Cambria"/>
                <w:color w:val="000000"/>
                <w:sz w:val="20"/>
                <w:szCs w:val="20"/>
              </w:rPr>
            </w:pPr>
            <w:r w:rsidRPr="00516043">
              <w:rPr>
                <w:rFonts w:ascii="Cambria" w:hAnsi="Cambria"/>
                <w:color w:val="000000"/>
                <w:sz w:val="20"/>
                <w:szCs w:val="20"/>
              </w:rPr>
              <w:t>Mouillage de nuit avec un éclairage du pont minimal.</w:t>
            </w:r>
          </w:p>
          <w:p w14:paraId="7281CD33" w14:textId="77777777" w:rsidR="00547119" w:rsidRPr="00516043" w:rsidRDefault="00547119" w:rsidP="001E71F8">
            <w:pPr>
              <w:pStyle w:val="ListParagraph"/>
              <w:spacing w:line="240" w:lineRule="auto"/>
              <w:ind w:left="360"/>
              <w:rPr>
                <w:rFonts w:ascii="Cambria" w:hAnsi="Cambria"/>
                <w:color w:val="000000"/>
                <w:sz w:val="20"/>
                <w:szCs w:val="20"/>
              </w:rPr>
            </w:pPr>
            <w:r w:rsidRPr="00516043">
              <w:rPr>
                <w:rFonts w:ascii="Cambria" w:hAnsi="Cambria"/>
                <w:color w:val="000000"/>
                <w:sz w:val="20"/>
                <w:szCs w:val="20"/>
              </w:rPr>
              <w:t xml:space="preserve">(ZEE) </w:t>
            </w:r>
          </w:p>
          <w:p w14:paraId="78AA11AA" w14:textId="77777777" w:rsidR="00547119" w:rsidRPr="00516043" w:rsidRDefault="00547119" w:rsidP="001E71F8">
            <w:pPr>
              <w:pStyle w:val="ListParagraph"/>
              <w:numPr>
                <w:ilvl w:val="0"/>
                <w:numId w:val="15"/>
              </w:numPr>
              <w:spacing w:line="240" w:lineRule="auto"/>
              <w:rPr>
                <w:rFonts w:ascii="Cambria" w:hAnsi="Cambria"/>
                <w:color w:val="000000"/>
                <w:sz w:val="20"/>
                <w:szCs w:val="20"/>
              </w:rPr>
            </w:pPr>
            <w:r w:rsidRPr="00516043">
              <w:rPr>
                <w:rFonts w:ascii="Cambria" w:hAnsi="Cambria"/>
                <w:color w:val="000000"/>
                <w:sz w:val="20"/>
                <w:szCs w:val="20"/>
              </w:rPr>
              <w:t>Lignes d'effarouchement des oiseaux (lignes Tori) (ZEE et haute mer)</w:t>
            </w:r>
          </w:p>
          <w:p w14:paraId="269B1B1F" w14:textId="6C0A935D" w:rsidR="00547119" w:rsidRPr="00516043" w:rsidRDefault="00547119" w:rsidP="00516043">
            <w:pPr>
              <w:pStyle w:val="ListParagraph"/>
              <w:numPr>
                <w:ilvl w:val="0"/>
                <w:numId w:val="15"/>
              </w:numPr>
              <w:spacing w:line="240" w:lineRule="auto"/>
              <w:rPr>
                <w:rFonts w:ascii="Cambria" w:hAnsi="Cambria"/>
                <w:color w:val="000000"/>
                <w:sz w:val="20"/>
                <w:szCs w:val="20"/>
              </w:rPr>
            </w:pPr>
            <w:r w:rsidRPr="00516043">
              <w:rPr>
                <w:rFonts w:ascii="Cambria" w:hAnsi="Cambria"/>
                <w:color w:val="000000"/>
                <w:sz w:val="20"/>
                <w:szCs w:val="20"/>
              </w:rPr>
              <w:t>Lestage des lignes (ZEE et haute mer)</w:t>
            </w:r>
          </w:p>
        </w:tc>
      </w:tr>
      <w:tr w:rsidR="00516043" w:rsidRPr="00516043" w14:paraId="6B9129DC" w14:textId="77777777" w:rsidTr="00516043">
        <w:trPr>
          <w:trHeight w:val="19"/>
          <w:jc w:val="center"/>
        </w:trPr>
        <w:tc>
          <w:tcPr>
            <w:tcW w:w="515" w:type="pct"/>
            <w:vAlign w:val="center"/>
          </w:tcPr>
          <w:p w14:paraId="7BC46940" w14:textId="77777777" w:rsidR="00547119" w:rsidRPr="00516043" w:rsidRDefault="00547119" w:rsidP="001E71F8">
            <w:pPr>
              <w:spacing w:line="240" w:lineRule="auto"/>
              <w:rPr>
                <w:rFonts w:ascii="Cambria" w:hAnsi="Cambria" w:cs="Calibri"/>
                <w:b/>
                <w:bCs/>
                <w:color w:val="000000"/>
                <w:sz w:val="20"/>
                <w:szCs w:val="20"/>
              </w:rPr>
            </w:pPr>
            <w:r w:rsidRPr="00516043">
              <w:rPr>
                <w:rFonts w:ascii="Cambria" w:hAnsi="Cambria"/>
                <w:b/>
                <w:color w:val="000000"/>
                <w:sz w:val="20"/>
                <w:szCs w:val="20"/>
              </w:rPr>
              <w:t>Türkiye</w:t>
            </w:r>
          </w:p>
        </w:tc>
        <w:tc>
          <w:tcPr>
            <w:tcW w:w="566" w:type="pct"/>
          </w:tcPr>
          <w:p w14:paraId="3906BA21" w14:textId="77777777" w:rsidR="00547119" w:rsidRPr="00516043" w:rsidRDefault="00547119" w:rsidP="001E71F8">
            <w:pPr>
              <w:spacing w:line="240" w:lineRule="auto"/>
              <w:jc w:val="both"/>
              <w:rPr>
                <w:rFonts w:ascii="Cambria" w:hAnsi="Cambria" w:cstheme="minorHAnsi"/>
                <w:color w:val="000000"/>
                <w:sz w:val="20"/>
                <w:szCs w:val="20"/>
              </w:rPr>
            </w:pPr>
            <w:r w:rsidRPr="00516043">
              <w:rPr>
                <w:rFonts w:ascii="Cambria" w:hAnsi="Cambria"/>
                <w:color w:val="000000"/>
                <w:sz w:val="20"/>
                <w:szCs w:val="20"/>
              </w:rPr>
              <w:t>Mis en œuvre partiellement</w:t>
            </w:r>
          </w:p>
        </w:tc>
        <w:tc>
          <w:tcPr>
            <w:tcW w:w="731" w:type="pct"/>
          </w:tcPr>
          <w:p w14:paraId="521F63D2" w14:textId="77777777" w:rsidR="00547119" w:rsidRPr="00516043" w:rsidRDefault="00547119" w:rsidP="001E71F8">
            <w:pPr>
              <w:spacing w:line="240" w:lineRule="auto"/>
              <w:jc w:val="both"/>
              <w:rPr>
                <w:rFonts w:ascii="Cambria" w:hAnsi="Cambria"/>
                <w:color w:val="000000"/>
                <w:sz w:val="20"/>
                <w:szCs w:val="20"/>
              </w:rPr>
            </w:pPr>
            <w:r w:rsidRPr="00516043">
              <w:rPr>
                <w:rFonts w:ascii="Cambria" w:hAnsi="Cambria"/>
                <w:color w:val="000000"/>
                <w:sz w:val="20"/>
                <w:szCs w:val="20"/>
              </w:rPr>
              <w:t xml:space="preserve">Il n’existe pas d’obligation juridique, mis en œuvre à titre volontaire.  </w:t>
            </w:r>
          </w:p>
        </w:tc>
        <w:tc>
          <w:tcPr>
            <w:tcW w:w="565" w:type="pct"/>
          </w:tcPr>
          <w:p w14:paraId="19455558" w14:textId="77777777" w:rsidR="00547119" w:rsidRPr="00516043" w:rsidRDefault="00547119" w:rsidP="001E71F8">
            <w:pPr>
              <w:spacing w:line="240" w:lineRule="auto"/>
              <w:jc w:val="both"/>
              <w:rPr>
                <w:rFonts w:ascii="Cambria" w:hAnsi="Cambria"/>
                <w:color w:val="000000"/>
                <w:sz w:val="20"/>
                <w:szCs w:val="20"/>
              </w:rPr>
            </w:pPr>
            <w:r w:rsidRPr="00516043">
              <w:rPr>
                <w:rFonts w:ascii="Cambria" w:hAnsi="Cambria"/>
                <w:color w:val="000000"/>
                <w:sz w:val="20"/>
                <w:szCs w:val="20"/>
              </w:rPr>
              <w:t xml:space="preserve">Il n’existe pas d’obligation juridique, mis en œuvre à titre volontaire.  </w:t>
            </w:r>
          </w:p>
        </w:tc>
        <w:tc>
          <w:tcPr>
            <w:tcW w:w="1243" w:type="pct"/>
          </w:tcPr>
          <w:p w14:paraId="13E7D395" w14:textId="77777777" w:rsidR="00547119" w:rsidRPr="00516043" w:rsidRDefault="00547119" w:rsidP="00F646BC">
            <w:pPr>
              <w:pStyle w:val="ListParagraph"/>
              <w:numPr>
                <w:ilvl w:val="0"/>
                <w:numId w:val="16"/>
              </w:numPr>
              <w:spacing w:line="240" w:lineRule="auto"/>
              <w:ind w:left="120" w:hanging="120"/>
              <w:jc w:val="both"/>
              <w:rPr>
                <w:rFonts w:ascii="Cambria" w:hAnsi="Cambria"/>
                <w:color w:val="000000"/>
                <w:sz w:val="20"/>
                <w:szCs w:val="20"/>
              </w:rPr>
            </w:pPr>
            <w:r w:rsidRPr="00516043">
              <w:rPr>
                <w:rFonts w:ascii="Cambria" w:hAnsi="Cambria"/>
                <w:color w:val="000000"/>
                <w:sz w:val="20"/>
                <w:szCs w:val="20"/>
              </w:rPr>
              <w:t xml:space="preserve">Divers organismes ont lancé des projets visant à créer les bases d'un inventaire des zones importantes pour la conservation des oiseaux marins (IBA) et à former le personnel et les bénévoles aux méthodes de recherche et de conservation des oiseaux marins. </w:t>
            </w:r>
          </w:p>
          <w:p w14:paraId="3FACC0F6" w14:textId="1A3B7142" w:rsidR="00547119" w:rsidRPr="00516043" w:rsidRDefault="00547119" w:rsidP="00F646BC">
            <w:pPr>
              <w:pStyle w:val="ListParagraph"/>
              <w:numPr>
                <w:ilvl w:val="0"/>
                <w:numId w:val="16"/>
              </w:numPr>
              <w:spacing w:line="240" w:lineRule="auto"/>
              <w:ind w:left="120" w:hanging="120"/>
              <w:jc w:val="both"/>
              <w:rPr>
                <w:rFonts w:ascii="Cambria" w:hAnsi="Cambria"/>
                <w:color w:val="000000"/>
                <w:sz w:val="20"/>
                <w:szCs w:val="20"/>
              </w:rPr>
            </w:pPr>
            <w:r w:rsidRPr="00516043">
              <w:rPr>
                <w:rFonts w:ascii="Cambria" w:hAnsi="Cambria"/>
                <w:color w:val="000000"/>
                <w:sz w:val="20"/>
                <w:szCs w:val="20"/>
              </w:rPr>
              <w:t>Le ministère de l'Agriculture et des Forêts (Direction générale de la pêche et de l'aquaculture) a lancé un vaste programme visant à éliminer les « filets fantômes » et la pêche fantôme dans les principaux sites côtiers de Türkiye.</w:t>
            </w:r>
          </w:p>
          <w:p w14:paraId="6173824B" w14:textId="4709414E" w:rsidR="00547119" w:rsidRPr="00516043" w:rsidRDefault="00547119" w:rsidP="00F646BC">
            <w:pPr>
              <w:pStyle w:val="ListParagraph"/>
              <w:numPr>
                <w:ilvl w:val="0"/>
                <w:numId w:val="16"/>
              </w:numPr>
              <w:spacing w:line="240" w:lineRule="auto"/>
              <w:ind w:left="120" w:hanging="120"/>
              <w:jc w:val="both"/>
              <w:rPr>
                <w:rFonts w:ascii="Cambria" w:hAnsi="Cambria"/>
                <w:color w:val="000000"/>
                <w:sz w:val="20"/>
                <w:szCs w:val="20"/>
              </w:rPr>
            </w:pPr>
            <w:r w:rsidRPr="00516043">
              <w:rPr>
                <w:rFonts w:ascii="Cambria" w:hAnsi="Cambria"/>
                <w:color w:val="000000"/>
                <w:sz w:val="20"/>
                <w:szCs w:val="20"/>
              </w:rPr>
              <w:t xml:space="preserve">Lors de la phase de mise en œuvre du projet « Nettoyer les mers en ôtant les filets de pêche abandonnés », 801 millions de </w:t>
            </w:r>
            <w:r w:rsidRPr="00516043">
              <w:rPr>
                <w:rFonts w:ascii="Cambria" w:hAnsi="Cambria"/>
                <w:color w:val="000000"/>
                <w:sz w:val="20"/>
                <w:szCs w:val="20"/>
              </w:rPr>
              <w:lastRenderedPageBreak/>
              <w:t>m</w:t>
            </w:r>
            <w:r w:rsidRPr="00516043">
              <w:rPr>
                <w:rFonts w:ascii="Cambria" w:hAnsi="Cambria"/>
                <w:color w:val="000000"/>
                <w:sz w:val="20"/>
                <w:szCs w:val="20"/>
                <w:vertAlign w:val="superscript"/>
              </w:rPr>
              <w:t>2</w:t>
            </w:r>
            <w:r w:rsidRPr="00516043">
              <w:rPr>
                <w:rFonts w:ascii="Cambria" w:hAnsi="Cambria"/>
                <w:color w:val="000000"/>
                <w:sz w:val="20"/>
                <w:szCs w:val="20"/>
              </w:rPr>
              <w:t xml:space="preserve"> d’eaux intérieures et de zones marines ont été draguées et un total de 2.885.000 m</w:t>
            </w:r>
            <w:r w:rsidRPr="00516043">
              <w:rPr>
                <w:rFonts w:ascii="Cambria" w:hAnsi="Cambria"/>
                <w:color w:val="000000"/>
                <w:sz w:val="20"/>
                <w:szCs w:val="20"/>
                <w:vertAlign w:val="superscript"/>
              </w:rPr>
              <w:t>2</w:t>
            </w:r>
            <w:r w:rsidRPr="00516043">
              <w:rPr>
                <w:rFonts w:ascii="Cambria" w:hAnsi="Cambria"/>
                <w:color w:val="000000"/>
                <w:sz w:val="20"/>
                <w:szCs w:val="20"/>
              </w:rPr>
              <w:t xml:space="preserve"> de filets de pêche et 103.551 morceaux de casiers et d’engins de pêche ont été extraits des eaux intérieures et des zones marines au cours de la période 2014-2025.</w:t>
            </w:r>
            <w:r w:rsidR="003126FC" w:rsidRPr="00516043">
              <w:rPr>
                <w:rFonts w:ascii="Cambria" w:hAnsi="Cambria"/>
                <w:color w:val="000000"/>
                <w:sz w:val="20"/>
                <w:szCs w:val="20"/>
              </w:rPr>
              <w:t xml:space="preserve"> </w:t>
            </w:r>
            <w:r w:rsidRPr="00516043">
              <w:rPr>
                <w:rFonts w:ascii="Cambria" w:hAnsi="Cambria"/>
                <w:color w:val="000000"/>
                <w:sz w:val="20"/>
                <w:szCs w:val="20"/>
              </w:rPr>
              <w:t>L'extraction des filets et engins de pêche fantômes des milieux aquatiques a permis d'éviter la perte d'environ 9,6 millions d'organismes aquatiques.</w:t>
            </w:r>
          </w:p>
          <w:p w14:paraId="275A6ACA" w14:textId="3F7AD79B" w:rsidR="00547119" w:rsidRPr="00516043" w:rsidRDefault="00547119" w:rsidP="00F646BC">
            <w:pPr>
              <w:pStyle w:val="ListParagraph"/>
              <w:numPr>
                <w:ilvl w:val="0"/>
                <w:numId w:val="16"/>
              </w:numPr>
              <w:spacing w:line="240" w:lineRule="auto"/>
              <w:ind w:left="120" w:hanging="120"/>
              <w:jc w:val="both"/>
              <w:rPr>
                <w:rFonts w:ascii="Cambria" w:hAnsi="Cambria"/>
                <w:color w:val="000000"/>
                <w:sz w:val="20"/>
                <w:szCs w:val="20"/>
              </w:rPr>
            </w:pPr>
            <w:r w:rsidRPr="00516043">
              <w:rPr>
                <w:rFonts w:ascii="Cambria" w:hAnsi="Cambria"/>
                <w:color w:val="000000"/>
                <w:sz w:val="20"/>
                <w:szCs w:val="20"/>
              </w:rPr>
              <w:t xml:space="preserve">Le projet intitulé </w:t>
            </w:r>
            <w:r w:rsidR="0018128B" w:rsidRPr="00516043">
              <w:rPr>
                <w:rFonts w:ascii="Cambria" w:hAnsi="Cambria"/>
                <w:color w:val="000000"/>
                <w:sz w:val="20"/>
                <w:szCs w:val="20"/>
              </w:rPr>
              <w:t>« </w:t>
            </w:r>
            <w:proofErr w:type="spellStart"/>
            <w:r w:rsidRPr="00516043">
              <w:rPr>
                <w:rFonts w:ascii="Cambria" w:hAnsi="Cambria"/>
                <w:color w:val="000000"/>
                <w:sz w:val="20"/>
                <w:szCs w:val="20"/>
              </w:rPr>
              <w:t>Understanding</w:t>
            </w:r>
            <w:proofErr w:type="spellEnd"/>
            <w:r w:rsidRPr="00516043">
              <w:rPr>
                <w:rFonts w:ascii="Cambria" w:hAnsi="Cambria"/>
                <w:color w:val="000000"/>
                <w:sz w:val="20"/>
                <w:szCs w:val="20"/>
              </w:rPr>
              <w:t xml:space="preserve"> multi-taxa '</w:t>
            </w:r>
            <w:proofErr w:type="spellStart"/>
            <w:r w:rsidRPr="00516043">
              <w:rPr>
                <w:rFonts w:ascii="Cambria" w:hAnsi="Cambria"/>
                <w:color w:val="000000"/>
                <w:sz w:val="20"/>
                <w:szCs w:val="20"/>
              </w:rPr>
              <w:t>bycatch</w:t>
            </w:r>
            <w:proofErr w:type="spellEnd"/>
            <w:r w:rsidRPr="00516043">
              <w:rPr>
                <w:rFonts w:ascii="Cambria" w:hAnsi="Cambria"/>
                <w:color w:val="000000"/>
                <w:sz w:val="20"/>
                <w:szCs w:val="20"/>
              </w:rPr>
              <w:t xml:space="preserve">' of </w:t>
            </w:r>
            <w:proofErr w:type="spellStart"/>
            <w:r w:rsidRPr="00516043">
              <w:rPr>
                <w:rFonts w:ascii="Cambria" w:hAnsi="Cambria"/>
                <w:color w:val="000000"/>
                <w:sz w:val="20"/>
                <w:szCs w:val="20"/>
              </w:rPr>
              <w:t>vulnerable</w:t>
            </w:r>
            <w:proofErr w:type="spellEnd"/>
            <w:r w:rsidRPr="00516043">
              <w:rPr>
                <w:rFonts w:ascii="Cambria" w:hAnsi="Cambria"/>
                <w:color w:val="000000"/>
                <w:sz w:val="20"/>
                <w:szCs w:val="20"/>
              </w:rPr>
              <w:t xml:space="preserve"> </w:t>
            </w:r>
            <w:proofErr w:type="spellStart"/>
            <w:r w:rsidRPr="00516043">
              <w:rPr>
                <w:rFonts w:ascii="Cambria" w:hAnsi="Cambria"/>
                <w:color w:val="000000"/>
                <w:sz w:val="20"/>
                <w:szCs w:val="20"/>
              </w:rPr>
              <w:t>species</w:t>
            </w:r>
            <w:proofErr w:type="spellEnd"/>
            <w:r w:rsidRPr="00516043">
              <w:rPr>
                <w:rFonts w:ascii="Cambria" w:hAnsi="Cambria"/>
                <w:color w:val="000000"/>
                <w:sz w:val="20"/>
                <w:szCs w:val="20"/>
              </w:rPr>
              <w:t xml:space="preserve"> and </w:t>
            </w:r>
            <w:proofErr w:type="spellStart"/>
            <w:r w:rsidRPr="00516043">
              <w:rPr>
                <w:rFonts w:ascii="Cambria" w:hAnsi="Cambria"/>
                <w:color w:val="000000"/>
                <w:sz w:val="20"/>
                <w:szCs w:val="20"/>
              </w:rPr>
              <w:t>testing</w:t>
            </w:r>
            <w:proofErr w:type="spellEnd"/>
            <w:r w:rsidRPr="00516043">
              <w:rPr>
                <w:rFonts w:ascii="Cambria" w:hAnsi="Cambria"/>
                <w:color w:val="000000"/>
                <w:sz w:val="20"/>
                <w:szCs w:val="20"/>
              </w:rPr>
              <w:t xml:space="preserve"> mitigation a collaborative </w:t>
            </w:r>
            <w:proofErr w:type="spellStart"/>
            <w:r w:rsidRPr="00516043">
              <w:rPr>
                <w:rFonts w:ascii="Cambria" w:hAnsi="Cambria"/>
                <w:color w:val="000000"/>
                <w:sz w:val="20"/>
                <w:szCs w:val="20"/>
              </w:rPr>
              <w:t>approach</w:t>
            </w:r>
            <w:proofErr w:type="spellEnd"/>
            <w:r w:rsidR="0018128B" w:rsidRPr="00516043">
              <w:rPr>
                <w:rFonts w:ascii="Cambria" w:hAnsi="Cambria"/>
                <w:color w:val="000000"/>
                <w:sz w:val="20"/>
                <w:szCs w:val="20"/>
              </w:rPr>
              <w:t> »</w:t>
            </w:r>
            <w:r w:rsidRPr="00516043">
              <w:rPr>
                <w:rFonts w:ascii="Cambria" w:hAnsi="Cambria"/>
                <w:color w:val="000000"/>
                <w:sz w:val="20"/>
                <w:szCs w:val="20"/>
              </w:rPr>
              <w:t xml:space="preserve"> a été mis en œuvre avec les partenaires du projet ACCOBAMS, CGPM, IUCN Med, MEDASSET, RAC/SPA dans le bassin méditerranéen. La durée du projet est de septembre 2017 à octobre 2022.</w:t>
            </w:r>
          </w:p>
          <w:p w14:paraId="52BF7E4E" w14:textId="77777777" w:rsidR="00547119" w:rsidRPr="00516043" w:rsidRDefault="00547119" w:rsidP="00F646BC">
            <w:pPr>
              <w:pStyle w:val="ListParagraph"/>
              <w:spacing w:line="240" w:lineRule="auto"/>
              <w:ind w:left="120" w:hanging="120"/>
              <w:jc w:val="both"/>
              <w:rPr>
                <w:rFonts w:ascii="Cambria" w:hAnsi="Cambria"/>
                <w:color w:val="000000"/>
                <w:sz w:val="20"/>
                <w:szCs w:val="20"/>
              </w:rPr>
            </w:pPr>
          </w:p>
          <w:p w14:paraId="175D55A6" w14:textId="38054939" w:rsidR="00547119" w:rsidRPr="00516043" w:rsidRDefault="00EC05B9" w:rsidP="00F646BC">
            <w:pPr>
              <w:spacing w:line="240" w:lineRule="auto"/>
              <w:ind w:left="120" w:hanging="120"/>
              <w:jc w:val="both"/>
              <w:rPr>
                <w:rFonts w:ascii="Cambria" w:hAnsi="Cambria"/>
                <w:color w:val="000000"/>
                <w:sz w:val="20"/>
                <w:szCs w:val="20"/>
              </w:rPr>
            </w:pPr>
            <w:r>
              <w:rPr>
                <w:rFonts w:ascii="Cambria" w:hAnsi="Cambria"/>
                <w:color w:val="000000"/>
                <w:sz w:val="20"/>
                <w:szCs w:val="20"/>
              </w:rPr>
              <w:tab/>
            </w:r>
            <w:r w:rsidR="00547119" w:rsidRPr="00516043">
              <w:rPr>
                <w:rFonts w:ascii="Cambria" w:hAnsi="Cambria"/>
                <w:color w:val="000000"/>
                <w:sz w:val="20"/>
                <w:szCs w:val="20"/>
              </w:rPr>
              <w:t xml:space="preserve">Les objectifs du projet sont de développer une méthode standard de collecte de données pour déterminer les taux de capture d'espèces non ciblées par les engins de pêche largement utilisés (chalut </w:t>
            </w:r>
            <w:r w:rsidR="00547119" w:rsidRPr="00516043">
              <w:rPr>
                <w:rFonts w:ascii="Cambria" w:hAnsi="Cambria"/>
                <w:color w:val="000000"/>
                <w:sz w:val="20"/>
                <w:szCs w:val="20"/>
              </w:rPr>
              <w:lastRenderedPageBreak/>
              <w:t xml:space="preserve">démersal, filets maillants, palangres) dans le bassin méditerranéen, de contribuer au développement d'exemples de bonnes pratiques qui réduiront les taux de prises accessoires de mammifères marins, d'oiseaux marins, de tortues de mer et de poissons cartilagineux avec la participation de toutes les parties prenantes concernées. </w:t>
            </w:r>
          </w:p>
          <w:p w14:paraId="72AB7693" w14:textId="77777777" w:rsidR="00547119" w:rsidRPr="00516043" w:rsidRDefault="00547119" w:rsidP="00F646BC">
            <w:pPr>
              <w:pStyle w:val="ListParagraph"/>
              <w:spacing w:line="240" w:lineRule="auto"/>
              <w:ind w:left="120" w:hanging="120"/>
              <w:jc w:val="both"/>
              <w:rPr>
                <w:rFonts w:ascii="Cambria" w:hAnsi="Cambria"/>
                <w:color w:val="000000"/>
                <w:sz w:val="20"/>
                <w:szCs w:val="20"/>
              </w:rPr>
            </w:pPr>
          </w:p>
          <w:p w14:paraId="76C8081C" w14:textId="3DD6E9EC" w:rsidR="00547119" w:rsidRPr="00516043" w:rsidRDefault="00EC05B9" w:rsidP="00F646BC">
            <w:pPr>
              <w:spacing w:line="240" w:lineRule="auto"/>
              <w:ind w:left="120" w:hanging="120"/>
              <w:jc w:val="both"/>
              <w:rPr>
                <w:rFonts w:ascii="Cambria" w:hAnsi="Cambria"/>
                <w:color w:val="000000"/>
                <w:sz w:val="20"/>
                <w:szCs w:val="20"/>
              </w:rPr>
            </w:pPr>
            <w:r>
              <w:rPr>
                <w:rFonts w:ascii="Cambria" w:hAnsi="Cambria"/>
                <w:color w:val="000000"/>
                <w:sz w:val="20"/>
                <w:szCs w:val="20"/>
              </w:rPr>
              <w:tab/>
            </w:r>
            <w:r w:rsidR="00547119" w:rsidRPr="00516043">
              <w:rPr>
                <w:rFonts w:ascii="Cambria" w:hAnsi="Cambria"/>
                <w:color w:val="000000"/>
                <w:sz w:val="20"/>
                <w:szCs w:val="20"/>
              </w:rPr>
              <w:t xml:space="preserve">Dans le cadre de ce projet, la collecte des données sur les prises accessoires d’espèces sensibles et des études d’expérimentations de méthodes d’atténuation des prises accessoires </w:t>
            </w:r>
            <w:proofErr w:type="gramStart"/>
            <w:r w:rsidR="00547119" w:rsidRPr="00516043">
              <w:rPr>
                <w:rFonts w:ascii="Cambria" w:hAnsi="Cambria"/>
                <w:color w:val="000000"/>
                <w:sz w:val="20"/>
                <w:szCs w:val="20"/>
              </w:rPr>
              <w:t>ont</w:t>
            </w:r>
            <w:proofErr w:type="gramEnd"/>
            <w:r w:rsidR="00547119" w:rsidRPr="00516043">
              <w:rPr>
                <w:rFonts w:ascii="Cambria" w:hAnsi="Cambria"/>
                <w:color w:val="000000"/>
                <w:sz w:val="20"/>
                <w:szCs w:val="20"/>
              </w:rPr>
              <w:t xml:space="preserve"> </w:t>
            </w:r>
            <w:r w:rsidR="00B51372" w:rsidRPr="00516043">
              <w:rPr>
                <w:rFonts w:ascii="Cambria" w:hAnsi="Cambria"/>
                <w:color w:val="000000"/>
                <w:sz w:val="20"/>
                <w:szCs w:val="20"/>
              </w:rPr>
              <w:t xml:space="preserve">été </w:t>
            </w:r>
            <w:r w:rsidR="00547119" w:rsidRPr="00516043">
              <w:rPr>
                <w:rFonts w:ascii="Cambria" w:hAnsi="Cambria"/>
                <w:color w:val="000000"/>
                <w:sz w:val="20"/>
                <w:szCs w:val="20"/>
              </w:rPr>
              <w:t>réalisées. En outre, un manuel de bonnes pratiques de manipulation des oiseaux de mer et un guide d’identification des espèces vulnérables capturées de façon accidentelle en Méditerranée ont été préparés à l’attention des pêcheurs et des chargés d’inspection.</w:t>
            </w:r>
          </w:p>
          <w:p w14:paraId="72EC229D" w14:textId="77777777" w:rsidR="00547119" w:rsidRPr="00516043" w:rsidRDefault="00547119" w:rsidP="00F646BC">
            <w:pPr>
              <w:pStyle w:val="ListParagraph"/>
              <w:spacing w:line="240" w:lineRule="auto"/>
              <w:ind w:left="120" w:hanging="120"/>
              <w:jc w:val="both"/>
              <w:rPr>
                <w:rFonts w:ascii="Cambria" w:hAnsi="Cambria"/>
                <w:color w:val="000000"/>
                <w:sz w:val="20"/>
                <w:szCs w:val="20"/>
              </w:rPr>
            </w:pPr>
          </w:p>
          <w:p w14:paraId="67F8D865" w14:textId="78D8D0E2" w:rsidR="00547119" w:rsidRPr="00516043" w:rsidRDefault="00EC05B9" w:rsidP="00F646BC">
            <w:pPr>
              <w:spacing w:line="240" w:lineRule="auto"/>
              <w:ind w:left="120" w:hanging="120"/>
              <w:jc w:val="both"/>
              <w:rPr>
                <w:rFonts w:ascii="Cambria" w:hAnsi="Cambria"/>
                <w:color w:val="000000"/>
                <w:sz w:val="20"/>
                <w:szCs w:val="20"/>
              </w:rPr>
            </w:pPr>
            <w:r>
              <w:rPr>
                <w:rFonts w:ascii="Cambria" w:hAnsi="Cambria"/>
                <w:color w:val="000000"/>
                <w:sz w:val="20"/>
                <w:szCs w:val="20"/>
              </w:rPr>
              <w:tab/>
            </w:r>
            <w:r w:rsidR="00547119" w:rsidRPr="00516043">
              <w:rPr>
                <w:rFonts w:ascii="Cambria" w:hAnsi="Cambria"/>
                <w:color w:val="000000"/>
                <w:sz w:val="20"/>
                <w:szCs w:val="20"/>
              </w:rPr>
              <w:t xml:space="preserve">L’étude « Effets des </w:t>
            </w:r>
            <w:proofErr w:type="spellStart"/>
            <w:r w:rsidR="00547119" w:rsidRPr="00516043">
              <w:rPr>
                <w:rFonts w:ascii="Cambria" w:hAnsi="Cambria"/>
                <w:color w:val="000000"/>
                <w:sz w:val="20"/>
                <w:szCs w:val="20"/>
              </w:rPr>
              <w:t>écho-sondeurs</w:t>
            </w:r>
            <w:proofErr w:type="spellEnd"/>
            <w:r w:rsidR="00547119" w:rsidRPr="00516043">
              <w:rPr>
                <w:rFonts w:ascii="Cambria" w:hAnsi="Cambria"/>
                <w:color w:val="000000"/>
                <w:sz w:val="20"/>
                <w:szCs w:val="20"/>
              </w:rPr>
              <w:t xml:space="preserve"> PAL pour réduire les prises accessoires de </w:t>
            </w:r>
            <w:r w:rsidR="00547119" w:rsidRPr="00516043">
              <w:rPr>
                <w:rFonts w:ascii="Cambria" w:hAnsi="Cambria"/>
                <w:color w:val="000000"/>
                <w:sz w:val="20"/>
                <w:szCs w:val="20"/>
              </w:rPr>
              <w:lastRenderedPageBreak/>
              <w:t>mammifères marins (cétacés) dans les pêcheries de filet maillant de turbot dans la mer Noire » a été achevée en juin 2022. Il a été observé que les dispositifs PAL réduisaient le volume de capture de plongeon arctique (</w:t>
            </w:r>
            <w:proofErr w:type="spellStart"/>
            <w:r w:rsidR="00547119" w:rsidRPr="00516043">
              <w:rPr>
                <w:rFonts w:ascii="Cambria" w:hAnsi="Cambria"/>
                <w:i/>
                <w:iCs/>
                <w:color w:val="000000"/>
                <w:sz w:val="20"/>
                <w:szCs w:val="20"/>
              </w:rPr>
              <w:t>Gavia</w:t>
            </w:r>
            <w:proofErr w:type="spellEnd"/>
            <w:r w:rsidR="00547119" w:rsidRPr="00516043">
              <w:rPr>
                <w:rFonts w:ascii="Cambria" w:hAnsi="Cambria"/>
                <w:i/>
                <w:iCs/>
                <w:color w:val="000000"/>
                <w:sz w:val="20"/>
                <w:szCs w:val="20"/>
              </w:rPr>
              <w:t xml:space="preserve"> </w:t>
            </w:r>
            <w:proofErr w:type="spellStart"/>
            <w:r w:rsidR="00547119" w:rsidRPr="00516043">
              <w:rPr>
                <w:rFonts w:ascii="Cambria" w:hAnsi="Cambria"/>
                <w:i/>
                <w:iCs/>
                <w:color w:val="000000"/>
                <w:sz w:val="20"/>
                <w:szCs w:val="20"/>
              </w:rPr>
              <w:t>arctica</w:t>
            </w:r>
            <w:proofErr w:type="spellEnd"/>
            <w:r w:rsidR="00547119" w:rsidRPr="00516043">
              <w:rPr>
                <w:rFonts w:ascii="Cambria" w:hAnsi="Cambria"/>
                <w:color w:val="000000"/>
                <w:sz w:val="20"/>
                <w:szCs w:val="20"/>
              </w:rPr>
              <w:t>) de 89,2% par rapport au groupe témoin.</w:t>
            </w:r>
          </w:p>
          <w:p w14:paraId="5092822B" w14:textId="77777777" w:rsidR="00547119" w:rsidRPr="00516043" w:rsidRDefault="00547119" w:rsidP="00F646BC">
            <w:pPr>
              <w:pStyle w:val="ListParagraph"/>
              <w:spacing w:line="240" w:lineRule="auto"/>
              <w:ind w:left="120" w:hanging="120"/>
              <w:jc w:val="both"/>
              <w:rPr>
                <w:rFonts w:ascii="Cambria" w:hAnsi="Cambria"/>
                <w:color w:val="000000"/>
                <w:sz w:val="20"/>
                <w:szCs w:val="20"/>
              </w:rPr>
            </w:pPr>
          </w:p>
          <w:p w14:paraId="3861BBC2" w14:textId="30D25940" w:rsidR="00547119" w:rsidRPr="00516043" w:rsidRDefault="00EC05B9" w:rsidP="00F646BC">
            <w:pPr>
              <w:spacing w:line="240" w:lineRule="auto"/>
              <w:ind w:left="120" w:hanging="120"/>
              <w:jc w:val="both"/>
              <w:rPr>
                <w:rFonts w:ascii="Cambria" w:hAnsi="Cambria"/>
                <w:color w:val="000000"/>
                <w:sz w:val="20"/>
                <w:szCs w:val="20"/>
              </w:rPr>
            </w:pPr>
            <w:r>
              <w:rPr>
                <w:rFonts w:ascii="Cambria" w:hAnsi="Cambria"/>
                <w:color w:val="000000"/>
                <w:sz w:val="20"/>
                <w:szCs w:val="20"/>
              </w:rPr>
              <w:tab/>
            </w:r>
            <w:r w:rsidR="00547119" w:rsidRPr="00516043">
              <w:rPr>
                <w:rFonts w:ascii="Cambria" w:hAnsi="Cambria"/>
                <w:color w:val="000000"/>
                <w:sz w:val="20"/>
                <w:szCs w:val="20"/>
              </w:rPr>
              <w:t>L'article 18 de la Notification ministérielle sur la réglementation de la pêche commerciale (n°</w:t>
            </w:r>
            <w:r w:rsidR="00AC0282" w:rsidRPr="00516043">
              <w:rPr>
                <w:rFonts w:ascii="Cambria" w:hAnsi="Cambria"/>
                <w:color w:val="000000"/>
                <w:sz w:val="20"/>
                <w:szCs w:val="20"/>
              </w:rPr>
              <w:t> </w:t>
            </w:r>
            <w:r w:rsidR="00547119" w:rsidRPr="00516043">
              <w:rPr>
                <w:rFonts w:ascii="Cambria" w:hAnsi="Cambria"/>
                <w:color w:val="000000"/>
                <w:sz w:val="20"/>
                <w:szCs w:val="20"/>
              </w:rPr>
              <w:t xml:space="preserve">2024/20), entrée en vigueur le 11 août 2024 et couvrant la période 2024-2028, stipule qu'en cas de capture accidentelle d'espèces interdites et d'oiseaux de mer au cours d'opérations de pêche commerciale, ces espèces devront obligatoirement être remises à l'eau vivantes et indemnes. </w:t>
            </w:r>
          </w:p>
          <w:p w14:paraId="186CC72A" w14:textId="10B6BC80" w:rsidR="00547119" w:rsidRPr="00516043" w:rsidRDefault="00EC05B9" w:rsidP="00F646BC">
            <w:pPr>
              <w:spacing w:line="240" w:lineRule="auto"/>
              <w:ind w:left="120" w:hanging="120"/>
              <w:jc w:val="both"/>
              <w:rPr>
                <w:rFonts w:ascii="Cambria" w:hAnsi="Cambria"/>
                <w:color w:val="000000"/>
                <w:sz w:val="20"/>
                <w:szCs w:val="20"/>
              </w:rPr>
            </w:pPr>
            <w:r>
              <w:rPr>
                <w:rFonts w:ascii="Cambria" w:hAnsi="Cambria"/>
                <w:color w:val="000000"/>
                <w:sz w:val="20"/>
                <w:szCs w:val="20"/>
              </w:rPr>
              <w:tab/>
            </w:r>
            <w:r w:rsidR="00547119" w:rsidRPr="00516043">
              <w:rPr>
                <w:rFonts w:ascii="Cambria" w:hAnsi="Cambria"/>
                <w:color w:val="000000"/>
                <w:sz w:val="20"/>
                <w:szCs w:val="20"/>
              </w:rPr>
              <w:t xml:space="preserve">La manipulation, le traitement et la remise en liberté des espèces capturées accidentellement dans ce champ d'application devront être effectués conformément aux "Lignes directrices pour la protection des espèces vulnérables" publiées par la </w:t>
            </w:r>
            <w:r w:rsidR="00547119" w:rsidRPr="00516043">
              <w:rPr>
                <w:rFonts w:ascii="Cambria" w:hAnsi="Cambria"/>
                <w:color w:val="000000"/>
                <w:sz w:val="20"/>
                <w:szCs w:val="20"/>
              </w:rPr>
              <w:lastRenderedPageBreak/>
              <w:t xml:space="preserve">direction générale de la pêche et de l'aquaculture du ministère de l'agriculture et de la sylviculture. </w:t>
            </w:r>
          </w:p>
          <w:p w14:paraId="202146E3" w14:textId="77777777" w:rsidR="00547119" w:rsidRPr="00516043" w:rsidRDefault="00547119" w:rsidP="00F646BC">
            <w:pPr>
              <w:pStyle w:val="ListParagraph"/>
              <w:spacing w:line="240" w:lineRule="auto"/>
              <w:ind w:left="120" w:hanging="120"/>
              <w:jc w:val="both"/>
              <w:rPr>
                <w:rFonts w:ascii="Cambria" w:hAnsi="Cambria"/>
                <w:color w:val="000000"/>
                <w:sz w:val="20"/>
                <w:szCs w:val="20"/>
              </w:rPr>
            </w:pPr>
          </w:p>
          <w:p w14:paraId="37A947E2" w14:textId="4D6A4295" w:rsidR="00547119" w:rsidRPr="00516043" w:rsidRDefault="00EC05B9" w:rsidP="00F646BC">
            <w:pPr>
              <w:spacing w:line="240" w:lineRule="auto"/>
              <w:ind w:left="120" w:hanging="120"/>
              <w:jc w:val="both"/>
              <w:rPr>
                <w:rFonts w:ascii="Cambria" w:hAnsi="Cambria"/>
                <w:color w:val="000000"/>
                <w:sz w:val="20"/>
                <w:szCs w:val="20"/>
              </w:rPr>
            </w:pPr>
            <w:r>
              <w:rPr>
                <w:rFonts w:ascii="Cambria" w:hAnsi="Cambria"/>
                <w:color w:val="000000"/>
                <w:sz w:val="20"/>
                <w:szCs w:val="20"/>
              </w:rPr>
              <w:tab/>
            </w:r>
            <w:r w:rsidR="00547119" w:rsidRPr="00516043">
              <w:rPr>
                <w:rFonts w:ascii="Cambria" w:hAnsi="Cambria"/>
                <w:color w:val="000000"/>
                <w:sz w:val="20"/>
                <w:szCs w:val="20"/>
              </w:rPr>
              <w:t>Les lignes directrices susmentionnées sur la mise en œuvre pratique de la manipulation, de la libération et de la protection des espèces vulnérables dans les cas de prises accessoires ont été préparées et mises en pratique sur la base des lignes directrices pertinentes de la FAO, des résultats du projet sur les prises accessoires en Méditerranée et des recommandations connexes de l’ICCAT.</w:t>
            </w:r>
          </w:p>
        </w:tc>
        <w:tc>
          <w:tcPr>
            <w:tcW w:w="1380" w:type="pct"/>
            <w:gridSpan w:val="2"/>
          </w:tcPr>
          <w:p w14:paraId="743785A3" w14:textId="77777777" w:rsidR="00547119" w:rsidRPr="00516043" w:rsidRDefault="00547119" w:rsidP="00514ED1">
            <w:pPr>
              <w:spacing w:line="240" w:lineRule="auto"/>
              <w:jc w:val="both"/>
              <w:rPr>
                <w:rFonts w:ascii="Cambria" w:hAnsi="Cambria"/>
                <w:color w:val="1C283D"/>
                <w:sz w:val="20"/>
                <w:szCs w:val="20"/>
              </w:rPr>
            </w:pPr>
            <w:r w:rsidRPr="00516043">
              <w:rPr>
                <w:rFonts w:ascii="Cambria" w:hAnsi="Cambria"/>
                <w:color w:val="1C283D"/>
                <w:sz w:val="20"/>
                <w:szCs w:val="20"/>
              </w:rPr>
              <w:lastRenderedPageBreak/>
              <w:t>Conformément à l'article 14 et à l'article 15 de la Notification nº6/1 réglementant la pêche commerciale (2024-2028), les palangres, les filets maillants et les filets emmêlants devant être posés (ancrés) en mer doivent être marqués avec un drapeau / flotteur de signalisation de jour et avec une bouée lumineuse de nuit.</w:t>
            </w:r>
          </w:p>
          <w:p w14:paraId="110EA492" w14:textId="77777777" w:rsidR="00547119" w:rsidRPr="00516043" w:rsidRDefault="00547119" w:rsidP="001E71F8">
            <w:pPr>
              <w:spacing w:line="240" w:lineRule="auto"/>
              <w:rPr>
                <w:rFonts w:ascii="Cambria" w:hAnsi="Cambria"/>
                <w:color w:val="1C283D"/>
                <w:sz w:val="20"/>
                <w:szCs w:val="20"/>
              </w:rPr>
            </w:pPr>
          </w:p>
          <w:p w14:paraId="79CC2D4F" w14:textId="77777777" w:rsidR="00547119" w:rsidRPr="00516043" w:rsidRDefault="00547119" w:rsidP="001E71F8">
            <w:pPr>
              <w:spacing w:line="240" w:lineRule="auto"/>
              <w:rPr>
                <w:rFonts w:ascii="Cambria" w:hAnsi="Cambria"/>
                <w:color w:val="000000"/>
                <w:sz w:val="20"/>
                <w:szCs w:val="20"/>
              </w:rPr>
            </w:pPr>
            <w:r w:rsidRPr="00516043">
              <w:rPr>
                <w:rFonts w:ascii="Cambria" w:hAnsi="Cambria"/>
                <w:color w:val="000000"/>
                <w:sz w:val="20"/>
                <w:szCs w:val="20"/>
              </w:rPr>
              <w:t>Zone :</w:t>
            </w:r>
          </w:p>
          <w:p w14:paraId="28F3195A" w14:textId="77777777" w:rsidR="00547119" w:rsidRPr="00516043" w:rsidRDefault="00547119" w:rsidP="001E71F8">
            <w:pPr>
              <w:pStyle w:val="ListParagraph"/>
              <w:numPr>
                <w:ilvl w:val="0"/>
                <w:numId w:val="15"/>
              </w:numPr>
              <w:spacing w:line="240" w:lineRule="auto"/>
              <w:rPr>
                <w:rFonts w:ascii="Cambria" w:hAnsi="Cambria"/>
                <w:color w:val="000000"/>
                <w:sz w:val="20"/>
                <w:szCs w:val="20"/>
              </w:rPr>
            </w:pPr>
            <w:r w:rsidRPr="00516043">
              <w:rPr>
                <w:rFonts w:ascii="Cambria" w:hAnsi="Cambria"/>
                <w:color w:val="000000"/>
                <w:sz w:val="20"/>
                <w:szCs w:val="20"/>
              </w:rPr>
              <w:t>Mouillage de nuit avec un éclairage du pont minimal.</w:t>
            </w:r>
          </w:p>
          <w:p w14:paraId="112049AC" w14:textId="77777777" w:rsidR="00547119" w:rsidRPr="00516043" w:rsidRDefault="00547119" w:rsidP="001E71F8">
            <w:pPr>
              <w:pStyle w:val="ListParagraph"/>
              <w:spacing w:line="240" w:lineRule="auto"/>
              <w:ind w:left="360"/>
              <w:rPr>
                <w:rFonts w:ascii="Cambria" w:hAnsi="Cambria"/>
                <w:color w:val="000000"/>
                <w:sz w:val="20"/>
                <w:szCs w:val="20"/>
              </w:rPr>
            </w:pPr>
            <w:r w:rsidRPr="00516043">
              <w:rPr>
                <w:rFonts w:ascii="Cambria" w:hAnsi="Cambria"/>
                <w:color w:val="000000"/>
                <w:sz w:val="20"/>
                <w:szCs w:val="20"/>
              </w:rPr>
              <w:t xml:space="preserve">(Toutes les zones de pêche) </w:t>
            </w:r>
          </w:p>
          <w:p w14:paraId="1EB6F2E6" w14:textId="77777777" w:rsidR="00547119" w:rsidRPr="00516043" w:rsidRDefault="00547119" w:rsidP="001E71F8">
            <w:pPr>
              <w:spacing w:line="240" w:lineRule="auto"/>
              <w:rPr>
                <w:rFonts w:ascii="Cambria" w:hAnsi="Cambria"/>
                <w:color w:val="000000"/>
                <w:sz w:val="20"/>
                <w:szCs w:val="20"/>
              </w:rPr>
            </w:pPr>
          </w:p>
        </w:tc>
      </w:tr>
    </w:tbl>
    <w:p w14:paraId="18242A15" w14:textId="77777777" w:rsidR="00547119" w:rsidRPr="005756CE" w:rsidRDefault="00547119" w:rsidP="001E71F8">
      <w:pPr>
        <w:spacing w:line="240" w:lineRule="auto"/>
        <w:jc w:val="both"/>
        <w:rPr>
          <w:rFonts w:ascii="Cambria" w:hAnsi="Cambria"/>
          <w:b/>
          <w:bCs/>
          <w:sz w:val="20"/>
          <w:szCs w:val="20"/>
        </w:rPr>
      </w:pPr>
    </w:p>
    <w:p w14:paraId="341DD5ED" w14:textId="77777777" w:rsidR="00D52F1A" w:rsidRPr="005756CE" w:rsidRDefault="00D52F1A" w:rsidP="00D52F1A">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eastAsia="Times New Roman" w:hAnsi="Cambria"/>
          <w:iCs/>
          <w:kern w:val="0"/>
          <w:sz w:val="20"/>
          <w:szCs w:val="20"/>
          <w14:ligatures w14:val="none"/>
        </w:rPr>
        <w:t>En outre, certaines CPC qui ne pêchent pas au Sud du 20e parallèle Sud ni en Méditerranée ont indiqué dans leurs rapports annuels qu'un plan d'action national pour les oiseaux de mer était en place.</w:t>
      </w:r>
    </w:p>
    <w:p w14:paraId="4A104E38" w14:textId="77777777" w:rsidR="00D52F1A" w:rsidRPr="005756CE" w:rsidRDefault="00D52F1A" w:rsidP="001E71F8">
      <w:pPr>
        <w:spacing w:line="240" w:lineRule="auto"/>
        <w:jc w:val="both"/>
        <w:rPr>
          <w:rFonts w:ascii="Cambria" w:hAnsi="Cambria"/>
          <w:b/>
          <w:bCs/>
          <w:sz w:val="20"/>
          <w:szCs w:val="20"/>
        </w:rPr>
      </w:pPr>
    </w:p>
    <w:p w14:paraId="7A882A92" w14:textId="77777777" w:rsidR="00D52F1A" w:rsidRPr="005756CE" w:rsidRDefault="00D52F1A" w:rsidP="001E71F8">
      <w:pPr>
        <w:spacing w:line="240" w:lineRule="auto"/>
        <w:jc w:val="both"/>
        <w:rPr>
          <w:rFonts w:ascii="Cambria" w:hAnsi="Cambria"/>
          <w:b/>
          <w:bCs/>
          <w:sz w:val="20"/>
          <w:szCs w:val="20"/>
        </w:rPr>
      </w:pPr>
    </w:p>
    <w:p w14:paraId="3AFFC1A0" w14:textId="77777777" w:rsidR="00D52F1A" w:rsidRPr="005756CE" w:rsidRDefault="00D52F1A" w:rsidP="001E71F8">
      <w:pPr>
        <w:spacing w:line="240" w:lineRule="auto"/>
        <w:jc w:val="both"/>
        <w:rPr>
          <w:rFonts w:ascii="Cambria" w:hAnsi="Cambria"/>
          <w:b/>
          <w:bCs/>
          <w:sz w:val="20"/>
          <w:szCs w:val="20"/>
        </w:rPr>
        <w:sectPr w:rsidR="00D52F1A" w:rsidRPr="005756CE" w:rsidSect="00547119">
          <w:pgSz w:w="15840" w:h="12240" w:orient="landscape"/>
          <w:pgMar w:top="1440" w:right="1440" w:bottom="1440" w:left="1440" w:header="709" w:footer="709" w:gutter="0"/>
          <w:cols w:space="708"/>
          <w:docGrid w:linePitch="360"/>
        </w:sectPr>
      </w:pPr>
    </w:p>
    <w:p w14:paraId="53A70862" w14:textId="65C81853" w:rsidR="00294135" w:rsidRPr="005756CE" w:rsidRDefault="00F06557"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lastRenderedPageBreak/>
        <w:t xml:space="preserve">[11-10] </w:t>
      </w:r>
      <w:r w:rsidRPr="005756CE">
        <w:rPr>
          <w:rFonts w:ascii="Cambria" w:hAnsi="Cambria"/>
          <w:i/>
          <w:sz w:val="20"/>
          <w:szCs w:val="20"/>
        </w:rPr>
        <w:t>Recommandation de l’ICCAT sur la collecte d'informations et l’harmonisation des données sur les prises accessoires et les rejets dans les pêcheries de l’ICCAT</w:t>
      </w:r>
    </w:p>
    <w:p w14:paraId="5C608EA6" w14:textId="77777777" w:rsidR="00281313" w:rsidRPr="005756CE" w:rsidRDefault="00281313" w:rsidP="001E71F8">
      <w:pPr>
        <w:widowControl w:val="0"/>
        <w:autoSpaceDE w:val="0"/>
        <w:autoSpaceDN w:val="0"/>
        <w:adjustRightInd w:val="0"/>
        <w:spacing w:line="240" w:lineRule="auto"/>
        <w:jc w:val="both"/>
        <w:rPr>
          <w:rFonts w:ascii="Cambria" w:eastAsia="Times New Roman" w:hAnsi="Cambria"/>
          <w:b/>
          <w:bCs/>
          <w:kern w:val="0"/>
          <w:sz w:val="20"/>
          <w:szCs w:val="20"/>
          <w14:ligatures w14:val="none"/>
        </w:rPr>
      </w:pPr>
    </w:p>
    <w:p w14:paraId="7F4D645F" w14:textId="77777777" w:rsidR="00281313" w:rsidRPr="005756CE" w:rsidRDefault="00281313" w:rsidP="001E71F8">
      <w:pPr>
        <w:widowControl w:val="0"/>
        <w:tabs>
          <w:tab w:val="left" w:pos="1276"/>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Veuillez consulter la Rec. 16-14 et le "Rapport 2025 du Secrétariat de l'ICCAT sur la recherche et les statistiques" [PLE_105/2025] pour les informations relatives à cette Recommandation.</w:t>
      </w:r>
    </w:p>
    <w:p w14:paraId="57108A32" w14:textId="77777777" w:rsidR="00281313" w:rsidRPr="005756CE" w:rsidRDefault="00281313" w:rsidP="001E71F8">
      <w:pPr>
        <w:widowControl w:val="0"/>
        <w:tabs>
          <w:tab w:val="left" w:pos="1276"/>
          <w:tab w:val="left" w:pos="1418"/>
          <w:tab w:val="left" w:leader="dot" w:pos="8222"/>
          <w:tab w:val="right" w:pos="8647"/>
        </w:tabs>
        <w:autoSpaceDE w:val="0"/>
        <w:autoSpaceDN w:val="0"/>
        <w:adjustRightInd w:val="0"/>
        <w:spacing w:line="240" w:lineRule="auto"/>
        <w:ind w:left="1276" w:hanging="851"/>
        <w:jc w:val="both"/>
        <w:rPr>
          <w:rFonts w:ascii="Cambria" w:eastAsia="Times New Roman" w:hAnsi="Cambria"/>
          <w:kern w:val="0"/>
          <w:sz w:val="20"/>
          <w:szCs w:val="20"/>
          <w14:ligatures w14:val="none"/>
        </w:rPr>
      </w:pPr>
    </w:p>
    <w:p w14:paraId="30927968" w14:textId="77777777" w:rsidR="00281313" w:rsidRPr="005756CE" w:rsidRDefault="00281313"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[Rec. 22-12]</w:t>
      </w:r>
      <w:r w:rsidRPr="005756CE">
        <w:rPr>
          <w:rFonts w:ascii="Cambria" w:eastAsia="Times New Roman" w:hAnsi="Cambria"/>
          <w:i/>
          <w:iCs/>
          <w:kern w:val="0"/>
          <w:sz w:val="20"/>
          <w:szCs w:val="20"/>
          <w14:ligatures w14:val="none"/>
        </w:rPr>
        <w:t xml:space="preserve"> Recommandation de l’ICCAT sur les prises accessoires de tortues marines capturées en association avec les pêcheries de l’ICCAT (combine, simplifie et amende les Recommandations 10-09 et 13-11)</w:t>
      </w:r>
      <w:r w:rsidRPr="005756CE">
        <w:rPr>
          <w:rFonts w:ascii="Cambria" w:eastAsia="Times New Roman" w:hAnsi="Cambria"/>
          <w:kern w:val="0"/>
          <w:sz w:val="20"/>
          <w:szCs w:val="20"/>
          <w14:ligatures w14:val="none"/>
        </w:rPr>
        <w:t xml:space="preserve">, telle qu'amendée par la [Rec. 23-13] </w:t>
      </w:r>
      <w:r w:rsidRPr="005756CE">
        <w:rPr>
          <w:rFonts w:ascii="Cambria" w:eastAsia="Times New Roman" w:hAnsi="Cambria"/>
          <w:i/>
          <w:iCs/>
          <w:kern w:val="0"/>
          <w:sz w:val="20"/>
          <w:szCs w:val="20"/>
          <w14:ligatures w14:val="none"/>
        </w:rPr>
        <w:t>Recommandation supplémentaire de l’ICCAT amendant la Recommandation 22-12 sur les prises accessoires de tortues marines capturées en association avec les pêcheries de l’ICCAT</w:t>
      </w:r>
      <w:r w:rsidRPr="005756CE">
        <w:rPr>
          <w:rFonts w:ascii="Cambria" w:eastAsia="Times New Roman" w:hAnsi="Cambria"/>
          <w:kern w:val="0"/>
          <w:sz w:val="20"/>
          <w:szCs w:val="20"/>
          <w14:ligatures w14:val="none"/>
        </w:rPr>
        <w:t>)</w:t>
      </w:r>
    </w:p>
    <w:p w14:paraId="7E484B11" w14:textId="77777777" w:rsidR="00281313" w:rsidRPr="005756CE" w:rsidRDefault="00281313" w:rsidP="001E71F8">
      <w:pPr>
        <w:widowControl w:val="0"/>
        <w:autoSpaceDE w:val="0"/>
        <w:autoSpaceDN w:val="0"/>
        <w:adjustRightInd w:val="0"/>
        <w:spacing w:line="240" w:lineRule="auto"/>
        <w:jc w:val="both"/>
        <w:rPr>
          <w:rFonts w:ascii="Cambria" w:eastAsia="Times New Roman" w:hAnsi="Cambria"/>
          <w:b/>
          <w:bCs/>
          <w:kern w:val="0"/>
          <w:sz w:val="20"/>
          <w:szCs w:val="20"/>
          <w14:ligatures w14:val="none"/>
        </w:rPr>
      </w:pPr>
    </w:p>
    <w:p w14:paraId="58CC4054" w14:textId="77777777" w:rsidR="000543D1" w:rsidRPr="005756CE" w:rsidRDefault="000543D1" w:rsidP="001E71F8">
      <w:pPr>
        <w:widowControl w:val="0"/>
        <w:tabs>
          <w:tab w:val="left" w:pos="1276"/>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bookmarkStart w:id="14" w:name="_Hlk86071566"/>
      <w:r w:rsidRPr="005756CE">
        <w:rPr>
          <w:rFonts w:ascii="Cambria" w:eastAsia="Times New Roman" w:hAnsi="Cambria"/>
          <w:kern w:val="0"/>
          <w:sz w:val="20"/>
          <w:szCs w:val="20"/>
          <w14:ligatures w14:val="none"/>
        </w:rPr>
        <w:t xml:space="preserve">En 2021, le Secrétariat de l’ICCAT a recommandé que les CPC citent leur législation dans leurs rapports annuels étant donné qu’il a noté que l'applicabilité des exigences relatives à l’optimisation de la survie des tortues marines ne dépend pas de l'ampleur des interactions ; c’est-à-dire que cela devrait être mis en œuvre par tous ceux qui pratiquent la pêche à la senne et/ou à la palangre. Certaines CPC, mais pas toutes, se sont conformées à cette Recommandation. </w:t>
      </w:r>
      <w:bookmarkStart w:id="15" w:name="_Hlk147757496"/>
      <w:r w:rsidRPr="005756CE">
        <w:rPr>
          <w:rFonts w:ascii="Cambria" w:eastAsia="Times New Roman" w:hAnsi="Cambria"/>
          <w:kern w:val="0"/>
          <w:sz w:val="20"/>
          <w:szCs w:val="20"/>
          <w14:ligatures w14:val="none"/>
        </w:rPr>
        <w:t>L’extrait complet des réponses saisies dans le Système intégré de gestion en ligne (IOMS) de l’ICCAT pour M : BYC01 est disponible à l’</w:t>
      </w:r>
      <w:r w:rsidRPr="005756CE">
        <w:rPr>
          <w:rFonts w:ascii="Cambria" w:eastAsia="Times New Roman" w:hAnsi="Cambria"/>
          <w:b/>
          <w:bCs/>
          <w:kern w:val="0"/>
          <w:sz w:val="20"/>
          <w:szCs w:val="20"/>
          <w14:ligatures w14:val="none"/>
        </w:rPr>
        <w:t xml:space="preserve">annexe </w:t>
      </w:r>
      <w:r w:rsidRPr="005756CE">
        <w:rPr>
          <w:rFonts w:ascii="Cambria" w:eastAsia="Times New Roman" w:hAnsi="Cambria"/>
          <w:b/>
          <w:kern w:val="0"/>
          <w:sz w:val="20"/>
          <w:szCs w:val="20"/>
          <w14:ligatures w14:val="none"/>
        </w:rPr>
        <w:t>9.</w:t>
      </w:r>
    </w:p>
    <w:bookmarkEnd w:id="15"/>
    <w:p w14:paraId="1ED58CC0" w14:textId="77777777" w:rsidR="000543D1" w:rsidRPr="005756CE" w:rsidRDefault="000543D1" w:rsidP="001E71F8">
      <w:pPr>
        <w:widowControl w:val="0"/>
        <w:tabs>
          <w:tab w:val="left" w:pos="1276"/>
          <w:tab w:val="left" w:leader="dot" w:pos="8222"/>
          <w:tab w:val="right" w:pos="8647"/>
        </w:tabs>
        <w:autoSpaceDE w:val="0"/>
        <w:autoSpaceDN w:val="0"/>
        <w:adjustRightInd w:val="0"/>
        <w:spacing w:line="240" w:lineRule="auto"/>
        <w:jc w:val="both"/>
        <w:rPr>
          <w:rFonts w:ascii="Cambria" w:eastAsia="Times New Roman" w:hAnsi="Cambria"/>
          <w:bCs/>
          <w:i/>
          <w:iCs/>
          <w:kern w:val="0"/>
          <w:sz w:val="20"/>
          <w:szCs w:val="20"/>
          <w14:ligatures w14:val="none"/>
        </w:rPr>
      </w:pPr>
    </w:p>
    <w:p w14:paraId="1FA8DC09" w14:textId="5FA8C26A" w:rsidR="00EB7A29" w:rsidRPr="005756CE" w:rsidRDefault="002B6827"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kern w:val="0"/>
          <w:sz w:val="20"/>
          <w:szCs w:val="20"/>
          <w14:ligatures w14:val="none"/>
        </w:rPr>
        <w:t>(</w:t>
      </w:r>
      <w:r w:rsidR="00EB7A29" w:rsidRPr="005756CE">
        <w:rPr>
          <w:rFonts w:ascii="Cambria" w:eastAsia="Times New Roman" w:hAnsi="Cambria"/>
          <w:kern w:val="0"/>
          <w:sz w:val="20"/>
          <w:szCs w:val="20"/>
          <w14:ligatures w14:val="none"/>
        </w:rPr>
        <w:t xml:space="preserve">[24-12] </w:t>
      </w:r>
      <w:r w:rsidR="00EB7A29" w:rsidRPr="005756CE">
        <w:rPr>
          <w:rFonts w:ascii="Cambria" w:eastAsia="Times New Roman" w:hAnsi="Cambria"/>
          <w:i/>
          <w:kern w:val="0"/>
          <w:sz w:val="20"/>
          <w:szCs w:val="20"/>
          <w14:ligatures w14:val="none"/>
        </w:rPr>
        <w:t xml:space="preserve">Recommandation de l’ICCAT remplaçant la Recommandation 23-14 sur les raies mobulidées (famille </w:t>
      </w:r>
      <w:proofErr w:type="spellStart"/>
      <w:r w:rsidR="00EB7A29" w:rsidRPr="005756CE">
        <w:rPr>
          <w:rFonts w:ascii="Cambria" w:eastAsia="Times New Roman" w:hAnsi="Cambria"/>
          <w:i/>
          <w:kern w:val="0"/>
          <w:sz w:val="20"/>
          <w:szCs w:val="20"/>
          <w14:ligatures w14:val="none"/>
        </w:rPr>
        <w:t>Mobulidae</w:t>
      </w:r>
      <w:proofErr w:type="spellEnd"/>
      <w:r w:rsidR="00EB7A29" w:rsidRPr="005756CE">
        <w:rPr>
          <w:rFonts w:ascii="Cambria" w:eastAsia="Times New Roman" w:hAnsi="Cambria"/>
          <w:i/>
          <w:kern w:val="0"/>
          <w:sz w:val="20"/>
          <w:szCs w:val="20"/>
          <w14:ligatures w14:val="none"/>
        </w:rPr>
        <w:t>) capturées en association avec les pêcheries de l’ICCAT</w:t>
      </w:r>
    </w:p>
    <w:p w14:paraId="2C0E18AB" w14:textId="77777777" w:rsidR="00EB7A29" w:rsidRPr="005756CE" w:rsidRDefault="00EB7A29"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33D511F8" w14:textId="683737C5" w:rsidR="00EB7A29" w:rsidRPr="005756CE" w:rsidRDefault="00EB7A29" w:rsidP="001E71F8">
      <w:pPr>
        <w:widowControl w:val="0"/>
        <w:autoSpaceDE w:val="0"/>
        <w:autoSpaceDN w:val="0"/>
        <w:adjustRightInd w:val="0"/>
        <w:spacing w:line="240" w:lineRule="auto"/>
        <w:jc w:val="both"/>
        <w:rPr>
          <w:rFonts w:ascii="Cambria" w:eastAsia="Times New Roman" w:hAnsi="Cambria"/>
          <w:b/>
          <w:bCs/>
          <w:kern w:val="0"/>
          <w:sz w:val="20"/>
          <w:szCs w:val="20"/>
          <w14:ligatures w14:val="none"/>
        </w:rPr>
      </w:pPr>
      <w:r w:rsidRPr="005756CE">
        <w:rPr>
          <w:rFonts w:ascii="Cambria" w:eastAsia="Times New Roman" w:hAnsi="Cambria"/>
          <w:kern w:val="0"/>
          <w:sz w:val="20"/>
          <w:szCs w:val="20"/>
          <w14:ligatures w14:val="none"/>
        </w:rPr>
        <w:t xml:space="preserve">Les prises accessoires de raies mobulidées (famille des </w:t>
      </w:r>
      <w:proofErr w:type="spellStart"/>
      <w:r w:rsidRPr="005756CE">
        <w:rPr>
          <w:rFonts w:ascii="Cambria" w:eastAsia="Times New Roman" w:hAnsi="Cambria"/>
          <w:kern w:val="0"/>
          <w:sz w:val="20"/>
          <w:szCs w:val="20"/>
          <w14:ligatures w14:val="none"/>
        </w:rPr>
        <w:t>Mobulidae</w:t>
      </w:r>
      <w:proofErr w:type="spellEnd"/>
      <w:r w:rsidRPr="005756CE">
        <w:rPr>
          <w:rFonts w:ascii="Cambria" w:eastAsia="Times New Roman" w:hAnsi="Cambria"/>
          <w:kern w:val="0"/>
          <w:sz w:val="20"/>
          <w:szCs w:val="20"/>
          <w14:ligatures w14:val="none"/>
        </w:rPr>
        <w:t>), le cas échéant, seront incluses dans les futures versions de l’ICCAT.</w:t>
      </w:r>
      <w:r w:rsidR="002B6827" w:rsidRPr="005756CE">
        <w:rPr>
          <w:rFonts w:ascii="Cambria" w:eastAsia="Times New Roman" w:hAnsi="Cambria"/>
          <w:kern w:val="0"/>
          <w:sz w:val="20"/>
          <w:szCs w:val="20"/>
          <w14:ligatures w14:val="none"/>
        </w:rPr>
        <w:t>)</w:t>
      </w:r>
    </w:p>
    <w:p w14:paraId="54E0D521" w14:textId="77777777" w:rsidR="00EB7A29" w:rsidRPr="005756CE" w:rsidRDefault="00EB7A29" w:rsidP="001E71F8">
      <w:pPr>
        <w:widowControl w:val="0"/>
        <w:tabs>
          <w:tab w:val="left" w:pos="1276"/>
          <w:tab w:val="left" w:leader="dot" w:pos="8222"/>
          <w:tab w:val="right" w:pos="8647"/>
        </w:tabs>
        <w:autoSpaceDE w:val="0"/>
        <w:autoSpaceDN w:val="0"/>
        <w:adjustRightInd w:val="0"/>
        <w:spacing w:line="240" w:lineRule="auto"/>
        <w:jc w:val="both"/>
        <w:rPr>
          <w:rFonts w:ascii="Cambria" w:eastAsia="Times New Roman" w:hAnsi="Cambria"/>
          <w:bCs/>
          <w:i/>
          <w:iCs/>
          <w:kern w:val="0"/>
          <w:sz w:val="20"/>
          <w:szCs w:val="20"/>
          <w14:ligatures w14:val="none"/>
        </w:rPr>
      </w:pPr>
    </w:p>
    <w:bookmarkEnd w:id="14"/>
    <w:p w14:paraId="643FB661"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kern w:val="0"/>
          <w:sz w:val="20"/>
          <w:szCs w:val="20"/>
          <w14:ligatures w14:val="none"/>
        </w:rPr>
      </w:pPr>
    </w:p>
    <w:p w14:paraId="1786F0FB" w14:textId="77777777" w:rsidR="009C7C25" w:rsidRPr="005756CE" w:rsidRDefault="009C7C25" w:rsidP="001E71F8">
      <w:pPr>
        <w:autoSpaceDE w:val="0"/>
        <w:autoSpaceDN w:val="0"/>
        <w:adjustRightInd w:val="0"/>
        <w:spacing w:line="240" w:lineRule="auto"/>
        <w:rPr>
          <w:rFonts w:ascii="Cambria" w:eastAsia="Times New Roman" w:hAnsi="Cambria"/>
          <w:b/>
          <w:color w:val="000000"/>
          <w:kern w:val="0"/>
          <w:sz w:val="20"/>
          <w:szCs w:val="20"/>
          <w:lang w:eastAsia="tr-TR"/>
          <w14:ligatures w14:val="none"/>
        </w:rPr>
      </w:pPr>
      <w:r w:rsidRPr="005756CE">
        <w:rPr>
          <w:rFonts w:ascii="Cambria" w:eastAsia="Times New Roman" w:hAnsi="Cambria"/>
          <w:b/>
          <w:color w:val="000000"/>
          <w:kern w:val="0"/>
          <w:sz w:val="20"/>
          <w:szCs w:val="20"/>
          <w:lang w:eastAsia="tr-TR"/>
          <w14:ligatures w14:val="none"/>
        </w:rPr>
        <w:t>SUIVI ET APPLICATION</w:t>
      </w:r>
    </w:p>
    <w:p w14:paraId="2ED79989"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
          <w:bCs/>
          <w:kern w:val="0"/>
          <w:sz w:val="20"/>
          <w:szCs w:val="20"/>
          <w14:ligatures w14:val="none"/>
        </w:rPr>
      </w:pPr>
    </w:p>
    <w:p w14:paraId="2029FA22" w14:textId="77777777" w:rsidR="009C7C25" w:rsidRPr="005756CE" w:rsidRDefault="009C7C25" w:rsidP="001E71F8">
      <w:pPr>
        <w:keepNext/>
        <w:widowControl w:val="0"/>
        <w:tabs>
          <w:tab w:val="left" w:pos="1276"/>
          <w:tab w:val="left" w:pos="1418"/>
          <w:tab w:val="left" w:leader="dot" w:pos="8222"/>
          <w:tab w:val="right" w:pos="8647"/>
        </w:tabs>
        <w:autoSpaceDE w:val="0"/>
        <w:autoSpaceDN w:val="0"/>
        <w:adjustRightInd w:val="0"/>
        <w:spacing w:line="240" w:lineRule="auto"/>
        <w:outlineLvl w:val="6"/>
        <w:rPr>
          <w:rFonts w:ascii="Cambria" w:eastAsia="Times New Roman" w:hAnsi="Cambria"/>
          <w:b/>
          <w:bCs/>
          <w:kern w:val="0"/>
          <w:sz w:val="20"/>
          <w:szCs w:val="20"/>
          <w14:ligatures w14:val="none"/>
        </w:rPr>
      </w:pPr>
      <w:r w:rsidRPr="005756CE">
        <w:rPr>
          <w:rFonts w:ascii="Cambria" w:eastAsia="Times New Roman" w:hAnsi="Cambria"/>
          <w:b/>
          <w:bCs/>
          <w:kern w:val="0"/>
          <w:sz w:val="20"/>
          <w:szCs w:val="20"/>
          <w14:ligatures w14:val="none"/>
        </w:rPr>
        <w:t>GEN - QUESTIONS D’ORDRE GÉNÉRAL</w:t>
      </w:r>
    </w:p>
    <w:p w14:paraId="056DAA45"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kern w:val="0"/>
          <w:sz w:val="20"/>
          <w:szCs w:val="20"/>
          <w14:ligatures w14:val="none"/>
        </w:rPr>
      </w:pPr>
    </w:p>
    <w:p w14:paraId="5B29CA38" w14:textId="77777777" w:rsidR="009C7C25" w:rsidRPr="005756CE" w:rsidRDefault="009C7C25" w:rsidP="001E71F8">
      <w:pPr>
        <w:widowControl w:val="0"/>
        <w:tabs>
          <w:tab w:val="left" w:pos="851"/>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[96-14] Recommandation de l’ICCAT sur l’application dans les pêcheries de thon rouge et d’espadon de l’Atlantique Nord</w:t>
      </w:r>
    </w:p>
    <w:p w14:paraId="6D3FA62D"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3CE9ABAD" w14:textId="7C0C1450" w:rsidR="003B59EB"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Les informations relatives à l’application des réglementations de tailles minimales sont communiquées dans les </w:t>
      </w:r>
      <w:r w:rsidR="003B59EB" w:rsidRPr="005756CE">
        <w:rPr>
          <w:rFonts w:ascii="Cambria" w:hAnsi="Cambria"/>
          <w:sz w:val="20"/>
          <w:szCs w:val="20"/>
        </w:rPr>
        <w:t>« Tableaux d’application de 202</w:t>
      </w:r>
      <w:r w:rsidR="002A6474" w:rsidRPr="005756CE">
        <w:rPr>
          <w:rFonts w:ascii="Cambria" w:hAnsi="Cambria"/>
          <w:sz w:val="20"/>
          <w:szCs w:val="20"/>
        </w:rPr>
        <w:t>4</w:t>
      </w:r>
      <w:r w:rsidR="003B59EB" w:rsidRPr="005756CE">
        <w:rPr>
          <w:rFonts w:ascii="Cambria" w:hAnsi="Cambria"/>
          <w:sz w:val="20"/>
          <w:szCs w:val="20"/>
        </w:rPr>
        <w:t xml:space="preserve"> reçus en 202</w:t>
      </w:r>
      <w:r w:rsidR="002A6474" w:rsidRPr="005756CE">
        <w:rPr>
          <w:rFonts w:ascii="Cambria" w:hAnsi="Cambria"/>
          <w:sz w:val="20"/>
          <w:szCs w:val="20"/>
        </w:rPr>
        <w:t>5</w:t>
      </w:r>
      <w:r w:rsidR="003B59EB" w:rsidRPr="005756CE">
        <w:rPr>
          <w:rFonts w:ascii="Cambria" w:hAnsi="Cambria"/>
          <w:sz w:val="20"/>
          <w:szCs w:val="20"/>
        </w:rPr>
        <w:t> » [COC-304/202</w:t>
      </w:r>
      <w:r w:rsidR="002A6474" w:rsidRPr="005756CE">
        <w:rPr>
          <w:rFonts w:ascii="Cambria" w:hAnsi="Cambria"/>
          <w:sz w:val="20"/>
          <w:szCs w:val="20"/>
        </w:rPr>
        <w:t>5</w:t>
      </w:r>
      <w:r w:rsidR="003B59EB" w:rsidRPr="005756CE">
        <w:rPr>
          <w:rFonts w:ascii="Cambria" w:hAnsi="Cambria"/>
          <w:sz w:val="20"/>
          <w:szCs w:val="20"/>
        </w:rPr>
        <w:t>).</w:t>
      </w:r>
    </w:p>
    <w:p w14:paraId="7A1E1C2D"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702BE47A"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i/>
          <w:kern w:val="0"/>
          <w:sz w:val="20"/>
          <w:szCs w:val="20"/>
          <w14:ligatures w14:val="none"/>
        </w:rPr>
        <w:t>[96-15] Résolution de l’ICCAT concernant la pêche aux grands filets pélagiques dérivants</w:t>
      </w:r>
    </w:p>
    <w:p w14:paraId="5EE91F85"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kern w:val="0"/>
          <w:sz w:val="20"/>
          <w:szCs w:val="20"/>
          <w14:ligatures w14:val="none"/>
        </w:rPr>
      </w:pPr>
    </w:p>
    <w:p w14:paraId="306B0D41"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Pour de plus informations, veuillez consulter la Rec. 08-09. </w:t>
      </w:r>
    </w:p>
    <w:p w14:paraId="15E84B96" w14:textId="77777777" w:rsidR="009C7C25" w:rsidRPr="005756CE" w:rsidRDefault="009C7C25" w:rsidP="00EC05B9">
      <w:pPr>
        <w:widowControl w:val="0"/>
        <w:tabs>
          <w:tab w:val="left" w:pos="1276"/>
          <w:tab w:val="left" w:pos="1418"/>
          <w:tab w:val="left" w:leader="dot" w:pos="8222"/>
          <w:tab w:val="right" w:pos="8647"/>
        </w:tabs>
        <w:autoSpaceDE w:val="0"/>
        <w:autoSpaceDN w:val="0"/>
        <w:adjustRightInd w:val="0"/>
        <w:spacing w:line="240" w:lineRule="auto"/>
        <w:ind w:firstLine="426"/>
        <w:jc w:val="both"/>
        <w:rPr>
          <w:rFonts w:ascii="Cambria" w:eastAsia="Times New Roman" w:hAnsi="Cambria"/>
          <w:kern w:val="0"/>
          <w:sz w:val="20"/>
          <w:szCs w:val="20"/>
          <w14:ligatures w14:val="none"/>
        </w:rPr>
      </w:pPr>
    </w:p>
    <w:p w14:paraId="0BA86C39" w14:textId="77777777" w:rsidR="009C7C25" w:rsidRPr="005756CE" w:rsidRDefault="009C7C25" w:rsidP="00EC05B9">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[97-01] Recommandation de l’ICCAT visant à accroître l’application des réglementations de taille minimum</w:t>
      </w:r>
    </w:p>
    <w:p w14:paraId="574C790F" w14:textId="77777777" w:rsidR="009C7C25" w:rsidRPr="005756CE" w:rsidRDefault="009C7C25" w:rsidP="00EC05B9">
      <w:pPr>
        <w:widowControl w:val="0"/>
        <w:tabs>
          <w:tab w:val="left" w:pos="709"/>
          <w:tab w:val="left" w:pos="1276"/>
          <w:tab w:val="left" w:pos="1418"/>
          <w:tab w:val="left" w:leader="dot" w:pos="8222"/>
          <w:tab w:val="right" w:pos="8647"/>
        </w:tabs>
        <w:autoSpaceDE w:val="0"/>
        <w:autoSpaceDN w:val="0"/>
        <w:adjustRightInd w:val="0"/>
        <w:spacing w:line="240" w:lineRule="auto"/>
        <w:ind w:firstLine="426"/>
        <w:jc w:val="both"/>
        <w:rPr>
          <w:rFonts w:ascii="Cambria" w:eastAsia="Times New Roman" w:hAnsi="Cambria"/>
          <w:kern w:val="0"/>
          <w:sz w:val="20"/>
          <w:szCs w:val="20"/>
          <w14:ligatures w14:val="none"/>
        </w:rPr>
      </w:pPr>
    </w:p>
    <w:p w14:paraId="69CB7556" w14:textId="0FAA7600" w:rsidR="003B59EB" w:rsidRPr="005756CE" w:rsidRDefault="003B59EB" w:rsidP="00EC05B9">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Les informations relatives à l’application des réglementations de tailles minimales sont communiquées dans les </w:t>
      </w:r>
      <w:r w:rsidRPr="005756CE">
        <w:rPr>
          <w:rFonts w:ascii="Cambria" w:hAnsi="Cambria"/>
          <w:sz w:val="20"/>
          <w:szCs w:val="20"/>
        </w:rPr>
        <w:t>« Tableaux d’application de 202</w:t>
      </w:r>
      <w:r w:rsidR="005E2B7E" w:rsidRPr="005756CE">
        <w:rPr>
          <w:rFonts w:ascii="Cambria" w:hAnsi="Cambria"/>
          <w:sz w:val="20"/>
          <w:szCs w:val="20"/>
        </w:rPr>
        <w:t>4</w:t>
      </w:r>
      <w:r w:rsidRPr="005756CE">
        <w:rPr>
          <w:rFonts w:ascii="Cambria" w:hAnsi="Cambria"/>
          <w:sz w:val="20"/>
          <w:szCs w:val="20"/>
        </w:rPr>
        <w:t xml:space="preserve"> reçus en 202</w:t>
      </w:r>
      <w:r w:rsidR="00753C3F" w:rsidRPr="005756CE">
        <w:rPr>
          <w:rFonts w:ascii="Cambria" w:hAnsi="Cambria"/>
          <w:sz w:val="20"/>
          <w:szCs w:val="20"/>
        </w:rPr>
        <w:t>5</w:t>
      </w:r>
      <w:r w:rsidRPr="005756CE">
        <w:rPr>
          <w:rFonts w:ascii="Cambria" w:hAnsi="Cambria"/>
          <w:sz w:val="20"/>
          <w:szCs w:val="20"/>
        </w:rPr>
        <w:t> » [COC-304/202</w:t>
      </w:r>
      <w:r w:rsidR="00753C3F" w:rsidRPr="005756CE">
        <w:rPr>
          <w:rFonts w:ascii="Cambria" w:hAnsi="Cambria"/>
          <w:sz w:val="20"/>
          <w:szCs w:val="20"/>
        </w:rPr>
        <w:t>5</w:t>
      </w:r>
      <w:r w:rsidRPr="005756CE">
        <w:rPr>
          <w:rFonts w:ascii="Cambria" w:hAnsi="Cambria"/>
          <w:sz w:val="20"/>
          <w:szCs w:val="20"/>
        </w:rPr>
        <w:t>).</w:t>
      </w:r>
    </w:p>
    <w:p w14:paraId="7505FA6A" w14:textId="77777777" w:rsidR="009C7C25" w:rsidRPr="005756CE" w:rsidRDefault="009C7C25" w:rsidP="00EC05B9">
      <w:pPr>
        <w:widowControl w:val="0"/>
        <w:tabs>
          <w:tab w:val="left" w:pos="1276"/>
          <w:tab w:val="left" w:pos="1418"/>
          <w:tab w:val="left" w:leader="dot" w:pos="8222"/>
          <w:tab w:val="right" w:pos="8647"/>
        </w:tabs>
        <w:autoSpaceDE w:val="0"/>
        <w:autoSpaceDN w:val="0"/>
        <w:adjustRightInd w:val="0"/>
        <w:spacing w:line="240" w:lineRule="auto"/>
        <w:ind w:firstLine="426"/>
        <w:jc w:val="both"/>
        <w:rPr>
          <w:rFonts w:ascii="Cambria" w:eastAsia="Times New Roman" w:hAnsi="Cambria"/>
          <w:kern w:val="0"/>
          <w:sz w:val="20"/>
          <w:szCs w:val="20"/>
          <w14:ligatures w14:val="none"/>
        </w:rPr>
      </w:pPr>
    </w:p>
    <w:p w14:paraId="0164A37B" w14:textId="77777777" w:rsidR="009C7C25" w:rsidRPr="005756CE" w:rsidRDefault="009C7C25" w:rsidP="00EC05B9">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[97-08] Recommandation de l’ICCAT sur l’application dans la pêcherie d’espadon de l’Atlantique Sud</w:t>
      </w:r>
    </w:p>
    <w:p w14:paraId="0CE0599D" w14:textId="77777777" w:rsidR="009C7C25" w:rsidRPr="005756CE" w:rsidRDefault="009C7C25" w:rsidP="00EC05B9">
      <w:pPr>
        <w:widowControl w:val="0"/>
        <w:tabs>
          <w:tab w:val="left" w:pos="1276"/>
          <w:tab w:val="left" w:pos="1418"/>
          <w:tab w:val="left" w:leader="dot" w:pos="8222"/>
          <w:tab w:val="right" w:pos="8647"/>
        </w:tabs>
        <w:autoSpaceDE w:val="0"/>
        <w:autoSpaceDN w:val="0"/>
        <w:adjustRightInd w:val="0"/>
        <w:spacing w:line="240" w:lineRule="auto"/>
        <w:ind w:firstLine="426"/>
        <w:jc w:val="both"/>
        <w:rPr>
          <w:rFonts w:ascii="Cambria" w:eastAsia="Times New Roman" w:hAnsi="Cambria"/>
          <w:kern w:val="0"/>
          <w:sz w:val="20"/>
          <w:szCs w:val="20"/>
          <w14:ligatures w14:val="none"/>
        </w:rPr>
      </w:pPr>
    </w:p>
    <w:p w14:paraId="15DA8ACB" w14:textId="77777777" w:rsidR="009C7C25" w:rsidRPr="005756CE" w:rsidRDefault="009C7C25" w:rsidP="00EC05B9">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Le Secrétariat de l'ICCAT n'a rien à déclarer pour le moment.</w:t>
      </w:r>
    </w:p>
    <w:p w14:paraId="7C0B59E8" w14:textId="77777777" w:rsidR="009C7C25" w:rsidRPr="005756CE" w:rsidRDefault="009C7C25" w:rsidP="00EC05B9">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5A851EC4" w14:textId="77777777" w:rsidR="009C7C25" w:rsidRPr="005756CE" w:rsidRDefault="009C7C25" w:rsidP="00EC05B9">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[98-11] Recommandation de l'ICCAT sur l’interdiction concernant les débarquements et transbordements de bateaux de Parties non-contractantes identifiés comme ayant commis une infraction grave</w:t>
      </w:r>
    </w:p>
    <w:p w14:paraId="3FFA22A4" w14:textId="77777777" w:rsidR="009C7C25" w:rsidRPr="005756CE" w:rsidRDefault="009C7C25" w:rsidP="00EC05B9">
      <w:pPr>
        <w:widowControl w:val="0"/>
        <w:tabs>
          <w:tab w:val="left" w:pos="1276"/>
          <w:tab w:val="left" w:pos="1418"/>
          <w:tab w:val="left" w:leader="dot" w:pos="8222"/>
          <w:tab w:val="right" w:pos="8647"/>
        </w:tabs>
        <w:autoSpaceDE w:val="0"/>
        <w:autoSpaceDN w:val="0"/>
        <w:adjustRightInd w:val="0"/>
        <w:spacing w:line="240" w:lineRule="auto"/>
        <w:ind w:firstLine="426"/>
        <w:jc w:val="both"/>
        <w:rPr>
          <w:rFonts w:ascii="Cambria" w:eastAsia="Times New Roman" w:hAnsi="Cambria"/>
          <w:kern w:val="0"/>
          <w:sz w:val="20"/>
          <w:szCs w:val="20"/>
          <w14:ligatures w14:val="none"/>
        </w:rPr>
      </w:pPr>
    </w:p>
    <w:p w14:paraId="7A0FB475" w14:textId="77777777" w:rsidR="009C7C25" w:rsidRPr="005756CE" w:rsidRDefault="009C7C25" w:rsidP="00EC05B9">
      <w:pPr>
        <w:widowControl w:val="0"/>
        <w:tabs>
          <w:tab w:val="left" w:pos="284"/>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Le Secrétariat de l'ICCAT n'a rien à déclarer pour le moment.</w:t>
      </w:r>
    </w:p>
    <w:p w14:paraId="478AE643" w14:textId="77777777" w:rsidR="009C7C25" w:rsidRPr="005756CE" w:rsidRDefault="009C7C25" w:rsidP="00EC05B9">
      <w:pPr>
        <w:widowControl w:val="0"/>
        <w:tabs>
          <w:tab w:val="left" w:pos="284"/>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36B078A0" w14:textId="77777777" w:rsidR="009C7C25" w:rsidRPr="005756CE" w:rsidRDefault="009C7C25" w:rsidP="00EC05B9">
      <w:pPr>
        <w:widowControl w:val="0"/>
        <w:tabs>
          <w:tab w:val="left" w:pos="709"/>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[00-14] Recommandation de l’ICCAT sur l’application des mesures de gestion définissant des quotas et/ou limites de capture</w:t>
      </w:r>
    </w:p>
    <w:p w14:paraId="2B105543" w14:textId="77777777" w:rsidR="009C7C25" w:rsidRPr="005756CE" w:rsidRDefault="009C7C25" w:rsidP="00EC05B9">
      <w:pPr>
        <w:widowControl w:val="0"/>
        <w:tabs>
          <w:tab w:val="left" w:pos="1276"/>
          <w:tab w:val="left" w:pos="1418"/>
          <w:tab w:val="left" w:leader="dot" w:pos="8222"/>
          <w:tab w:val="right" w:pos="8647"/>
        </w:tabs>
        <w:autoSpaceDE w:val="0"/>
        <w:autoSpaceDN w:val="0"/>
        <w:adjustRightInd w:val="0"/>
        <w:spacing w:line="240" w:lineRule="auto"/>
        <w:ind w:firstLine="426"/>
        <w:jc w:val="both"/>
        <w:rPr>
          <w:rFonts w:ascii="Cambria" w:eastAsia="Times New Roman" w:hAnsi="Cambria"/>
          <w:kern w:val="0"/>
          <w:sz w:val="20"/>
          <w:szCs w:val="20"/>
          <w14:ligatures w14:val="none"/>
        </w:rPr>
      </w:pPr>
    </w:p>
    <w:p w14:paraId="2CA3BB97" w14:textId="3A7DFB1B" w:rsidR="009C7C25" w:rsidRPr="005756CE" w:rsidRDefault="009C7C25" w:rsidP="00EC05B9">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eastAsia="Times New Roman" w:hAnsi="Cambria"/>
          <w:kern w:val="0"/>
          <w:sz w:val="20"/>
          <w:szCs w:val="20"/>
          <w14:ligatures w14:val="none"/>
        </w:rPr>
        <w:t xml:space="preserve">Les CPC ont mis en œuvre la Rec. 00-14, et ont déclaré, par le biais du formulaire CP13, leurs sous/surconsommations pour les espèces faisant l'objet d'une gestion de quota/limite de capture. Celles-ci sont présentées dans les </w:t>
      </w:r>
      <w:r w:rsidR="003B59EB" w:rsidRPr="005756CE">
        <w:rPr>
          <w:rFonts w:ascii="Cambria" w:hAnsi="Cambria"/>
          <w:sz w:val="20"/>
          <w:szCs w:val="20"/>
        </w:rPr>
        <w:t>« Tableaux d’application de 202</w:t>
      </w:r>
      <w:r w:rsidR="001B3D34" w:rsidRPr="005756CE">
        <w:rPr>
          <w:rFonts w:ascii="Cambria" w:hAnsi="Cambria"/>
          <w:sz w:val="20"/>
          <w:szCs w:val="20"/>
        </w:rPr>
        <w:t>4</w:t>
      </w:r>
      <w:r w:rsidR="003B59EB" w:rsidRPr="005756CE">
        <w:rPr>
          <w:rFonts w:ascii="Cambria" w:hAnsi="Cambria"/>
          <w:sz w:val="20"/>
          <w:szCs w:val="20"/>
        </w:rPr>
        <w:t xml:space="preserve"> reçus en 202</w:t>
      </w:r>
      <w:r w:rsidR="001B3D34" w:rsidRPr="005756CE">
        <w:rPr>
          <w:rFonts w:ascii="Cambria" w:hAnsi="Cambria"/>
          <w:sz w:val="20"/>
          <w:szCs w:val="20"/>
        </w:rPr>
        <w:t>5</w:t>
      </w:r>
      <w:r w:rsidR="003B59EB" w:rsidRPr="005756CE">
        <w:rPr>
          <w:rFonts w:ascii="Cambria" w:hAnsi="Cambria"/>
          <w:sz w:val="20"/>
          <w:szCs w:val="20"/>
        </w:rPr>
        <w:t> » [COC-304/202</w:t>
      </w:r>
      <w:r w:rsidR="001B3D34" w:rsidRPr="005756CE">
        <w:rPr>
          <w:rFonts w:ascii="Cambria" w:hAnsi="Cambria"/>
          <w:sz w:val="20"/>
          <w:szCs w:val="20"/>
        </w:rPr>
        <w:t>5</w:t>
      </w:r>
      <w:r w:rsidR="003B59EB" w:rsidRPr="005756CE">
        <w:rPr>
          <w:rFonts w:ascii="Cambria" w:hAnsi="Cambria"/>
          <w:sz w:val="20"/>
          <w:szCs w:val="20"/>
        </w:rPr>
        <w:t>).</w:t>
      </w:r>
    </w:p>
    <w:p w14:paraId="2B1A61FD" w14:textId="77777777" w:rsidR="009C7C25" w:rsidRPr="005756CE" w:rsidRDefault="009C7C25" w:rsidP="001E71F8">
      <w:pPr>
        <w:widowControl w:val="0"/>
        <w:tabs>
          <w:tab w:val="left" w:pos="284"/>
          <w:tab w:val="left" w:pos="1276"/>
          <w:tab w:val="left" w:pos="1418"/>
          <w:tab w:val="left" w:leader="dot" w:pos="8222"/>
          <w:tab w:val="right" w:pos="8647"/>
        </w:tabs>
        <w:autoSpaceDE w:val="0"/>
        <w:autoSpaceDN w:val="0"/>
        <w:adjustRightInd w:val="0"/>
        <w:spacing w:line="240" w:lineRule="auto"/>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lastRenderedPageBreak/>
        <w:t>[01-12] Recommandation de l’ICCAT sur l’ajustement temporaire de quotas</w:t>
      </w:r>
    </w:p>
    <w:p w14:paraId="2E2DEB8C"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75E9D490" w14:textId="6FA758B2"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hAnsi="Cambria"/>
          <w:sz w:val="20"/>
          <w:szCs w:val="20"/>
        </w:rPr>
      </w:pPr>
      <w:r w:rsidRPr="005756CE">
        <w:rPr>
          <w:rFonts w:ascii="Cambria" w:eastAsia="Times New Roman" w:hAnsi="Cambria"/>
          <w:kern w:val="0"/>
          <w:sz w:val="20"/>
          <w:szCs w:val="20"/>
          <w14:ligatures w14:val="none"/>
        </w:rPr>
        <w:t>Les ajustements autorisés sont inclus dans diverses Recommandations et sont reflétés dans les</w:t>
      </w:r>
      <w:r w:rsidR="003B59EB" w:rsidRPr="005756CE">
        <w:rPr>
          <w:rFonts w:ascii="Cambria" w:eastAsia="Times New Roman" w:hAnsi="Cambria"/>
          <w:kern w:val="0"/>
          <w:sz w:val="20"/>
          <w:szCs w:val="20"/>
          <w14:ligatures w14:val="none"/>
        </w:rPr>
        <w:t xml:space="preserve"> </w:t>
      </w:r>
      <w:r w:rsidR="003B59EB" w:rsidRPr="005756CE">
        <w:rPr>
          <w:rFonts w:ascii="Cambria" w:hAnsi="Cambria"/>
          <w:sz w:val="20"/>
          <w:szCs w:val="20"/>
        </w:rPr>
        <w:t>« Tableaux d’application de 202</w:t>
      </w:r>
      <w:r w:rsidR="002065A9" w:rsidRPr="005756CE">
        <w:rPr>
          <w:rFonts w:ascii="Cambria" w:hAnsi="Cambria"/>
          <w:sz w:val="20"/>
          <w:szCs w:val="20"/>
        </w:rPr>
        <w:t>4</w:t>
      </w:r>
      <w:r w:rsidR="003B59EB" w:rsidRPr="005756CE">
        <w:rPr>
          <w:rFonts w:ascii="Cambria" w:hAnsi="Cambria"/>
          <w:sz w:val="20"/>
          <w:szCs w:val="20"/>
        </w:rPr>
        <w:t xml:space="preserve"> reçus en 202</w:t>
      </w:r>
      <w:r w:rsidR="002065A9" w:rsidRPr="005756CE">
        <w:rPr>
          <w:rFonts w:ascii="Cambria" w:hAnsi="Cambria"/>
          <w:sz w:val="20"/>
          <w:szCs w:val="20"/>
        </w:rPr>
        <w:t>5</w:t>
      </w:r>
      <w:r w:rsidR="003B59EB" w:rsidRPr="005756CE">
        <w:rPr>
          <w:rFonts w:ascii="Cambria" w:hAnsi="Cambria"/>
          <w:sz w:val="20"/>
          <w:szCs w:val="20"/>
        </w:rPr>
        <w:t> » [COC-304/202</w:t>
      </w:r>
      <w:r w:rsidR="002065A9" w:rsidRPr="005756CE">
        <w:rPr>
          <w:rFonts w:ascii="Cambria" w:hAnsi="Cambria"/>
          <w:sz w:val="20"/>
          <w:szCs w:val="20"/>
        </w:rPr>
        <w:t>5</w:t>
      </w:r>
      <w:r w:rsidR="003B59EB" w:rsidRPr="005756CE">
        <w:rPr>
          <w:rFonts w:ascii="Cambria" w:hAnsi="Cambria"/>
          <w:sz w:val="20"/>
          <w:szCs w:val="20"/>
        </w:rPr>
        <w:t>).</w:t>
      </w:r>
    </w:p>
    <w:p w14:paraId="221BFF62" w14:textId="77777777" w:rsidR="003B59EB" w:rsidRPr="005756CE" w:rsidRDefault="003B59EB"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268C95F8" w14:textId="272124BA" w:rsidR="009C7C25" w:rsidRPr="005756CE" w:rsidRDefault="009C7C25" w:rsidP="001E71F8">
      <w:pPr>
        <w:widowControl w:val="0"/>
        <w:tabs>
          <w:tab w:val="left" w:pos="709"/>
          <w:tab w:val="left" w:pos="1276"/>
          <w:tab w:val="left" w:pos="1418"/>
          <w:tab w:val="left" w:leader="dot" w:pos="8222"/>
          <w:tab w:val="right" w:pos="8647"/>
        </w:tabs>
        <w:autoSpaceDE w:val="0"/>
        <w:autoSpaceDN w:val="0"/>
        <w:adjustRightInd w:val="0"/>
        <w:spacing w:line="240" w:lineRule="auto"/>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[01-18]</w:t>
      </w:r>
      <w:r w:rsidRPr="005756CE">
        <w:rPr>
          <w:rFonts w:ascii="Cambria" w:eastAsia="Times New Roman" w:hAnsi="Cambria"/>
          <w:i/>
          <w:kern w:val="0"/>
          <w:sz w:val="20"/>
          <w:szCs w:val="20"/>
          <w14:ligatures w14:val="none"/>
        </w:rPr>
        <w:tab/>
        <w:t xml:space="preserve">Résolution de l’ICCAT pour mieux définir la portée de la pêche IUU </w:t>
      </w:r>
    </w:p>
    <w:p w14:paraId="7A621618" w14:textId="77777777" w:rsidR="009C7C25" w:rsidRPr="005756CE" w:rsidRDefault="009C7C25" w:rsidP="001E71F8">
      <w:pPr>
        <w:widowControl w:val="0"/>
        <w:tabs>
          <w:tab w:val="left" w:pos="709"/>
          <w:tab w:val="left" w:pos="1276"/>
          <w:tab w:val="left" w:pos="1418"/>
          <w:tab w:val="left" w:leader="dot" w:pos="8222"/>
          <w:tab w:val="right" w:pos="8647"/>
        </w:tabs>
        <w:autoSpaceDE w:val="0"/>
        <w:autoSpaceDN w:val="0"/>
        <w:adjustRightInd w:val="0"/>
        <w:spacing w:line="240" w:lineRule="auto"/>
        <w:rPr>
          <w:rFonts w:ascii="Cambria" w:eastAsia="Times New Roman" w:hAnsi="Cambria"/>
          <w:i/>
          <w:kern w:val="0"/>
          <w:sz w:val="20"/>
          <w:szCs w:val="20"/>
          <w14:ligatures w14:val="none"/>
        </w:rPr>
      </w:pPr>
    </w:p>
    <w:p w14:paraId="1FF6901B" w14:textId="111F1083" w:rsidR="009C7C25" w:rsidRPr="005756CE" w:rsidRDefault="009C7C25" w:rsidP="001E71F8">
      <w:pPr>
        <w:widowControl w:val="0"/>
        <w:tabs>
          <w:tab w:val="left" w:pos="709"/>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Voir le document "Rec. 23-16 : Projet de liste de 202</w:t>
      </w:r>
      <w:r w:rsidR="002065A9"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 xml:space="preserve"> des navires présumés avoir exercé des activités de pêche IUU » [PWG_405/202</w:t>
      </w:r>
      <w:r w:rsidR="002C06D9"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w:t>
      </w:r>
    </w:p>
    <w:p w14:paraId="5103192D" w14:textId="77777777" w:rsidR="009C7C25" w:rsidRPr="005756CE" w:rsidRDefault="009C7C25" w:rsidP="001E71F8">
      <w:pPr>
        <w:widowControl w:val="0"/>
        <w:tabs>
          <w:tab w:val="left" w:pos="709"/>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7EE9A41E" w14:textId="0BAA43DD" w:rsidR="009C7C25" w:rsidRPr="005756CE" w:rsidRDefault="009C7C25" w:rsidP="001E71F8">
      <w:pPr>
        <w:widowControl w:val="0"/>
        <w:tabs>
          <w:tab w:val="left" w:pos="709"/>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[03-12]</w:t>
      </w:r>
      <w:r w:rsidRPr="005756CE">
        <w:rPr>
          <w:rFonts w:ascii="Cambria" w:eastAsia="Times New Roman" w:hAnsi="Cambria"/>
          <w:i/>
          <w:kern w:val="0"/>
          <w:sz w:val="20"/>
          <w:szCs w:val="20"/>
          <w14:ligatures w14:val="none"/>
        </w:rPr>
        <w:tab/>
        <w:t>Recommandation de l’ICCAT relative aux devoirs des Parties contractantes et Parties, Entités ou Entités de pêche non-contractantes coopérantes en ce qui concerne leurs bateaux pêchant dans la zone de la Convention ICCAT</w:t>
      </w:r>
    </w:p>
    <w:p w14:paraId="644A0BC2"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kern w:val="0"/>
          <w:sz w:val="20"/>
          <w:szCs w:val="20"/>
          <w14:ligatures w14:val="none"/>
        </w:rPr>
      </w:pPr>
    </w:p>
    <w:p w14:paraId="07B1EADF" w14:textId="77777777" w:rsidR="009C7C25" w:rsidRPr="005756CE" w:rsidRDefault="009C7C25" w:rsidP="001E71F8">
      <w:pPr>
        <w:widowControl w:val="0"/>
        <w:tabs>
          <w:tab w:val="left" w:pos="709"/>
          <w:tab w:val="left" w:pos="1276"/>
          <w:tab w:val="left" w:pos="1418"/>
          <w:tab w:val="left" w:leader="dot" w:pos="8222"/>
          <w:tab w:val="right" w:pos="8647"/>
        </w:tabs>
        <w:autoSpaceDE w:val="0"/>
        <w:autoSpaceDN w:val="0"/>
        <w:adjustRightInd w:val="0"/>
        <w:spacing w:line="240" w:lineRule="auto"/>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Le Secrétariat de l'ICCAT n'a rien à déclarer pour le moment.</w:t>
      </w:r>
    </w:p>
    <w:p w14:paraId="4F8C14DF"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kern w:val="0"/>
          <w:sz w:val="20"/>
          <w:szCs w:val="20"/>
          <w14:ligatures w14:val="none"/>
        </w:rPr>
      </w:pPr>
    </w:p>
    <w:p w14:paraId="4C09A121"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[03-13] Recommandation de l’ICCAT relative à l’enregistrement des captures par les navires de pêche dans la zone de la Convention ICCAT</w:t>
      </w:r>
    </w:p>
    <w:p w14:paraId="28773AF8" w14:textId="77777777" w:rsidR="009C7C25" w:rsidRPr="005756CE" w:rsidRDefault="009C7C25" w:rsidP="001E71F8">
      <w:pPr>
        <w:widowControl w:val="0"/>
        <w:tabs>
          <w:tab w:val="left" w:pos="709"/>
          <w:tab w:val="left" w:pos="1276"/>
          <w:tab w:val="left" w:pos="1418"/>
          <w:tab w:val="left" w:leader="dot" w:pos="8222"/>
          <w:tab w:val="right" w:pos="8647"/>
        </w:tabs>
        <w:autoSpaceDE w:val="0"/>
        <w:autoSpaceDN w:val="0"/>
        <w:adjustRightInd w:val="0"/>
        <w:spacing w:line="240" w:lineRule="auto"/>
        <w:rPr>
          <w:rFonts w:ascii="Cambria" w:eastAsia="Times New Roman" w:hAnsi="Cambria"/>
          <w:kern w:val="0"/>
          <w:sz w:val="20"/>
          <w:szCs w:val="20"/>
          <w14:ligatures w14:val="none"/>
        </w:rPr>
      </w:pPr>
    </w:p>
    <w:p w14:paraId="011DF69E" w14:textId="1DFA1CED" w:rsidR="009C7C25" w:rsidRPr="005756CE" w:rsidRDefault="009C7C25" w:rsidP="001E71F8">
      <w:pPr>
        <w:widowControl w:val="0"/>
        <w:tabs>
          <w:tab w:val="left" w:pos="709"/>
          <w:tab w:val="left" w:pos="1276"/>
          <w:tab w:val="left" w:pos="1418"/>
          <w:tab w:val="left" w:leader="dot" w:pos="8222"/>
          <w:tab w:val="right" w:pos="8647"/>
        </w:tabs>
        <w:autoSpaceDE w:val="0"/>
        <w:autoSpaceDN w:val="0"/>
        <w:adjustRightInd w:val="0"/>
        <w:spacing w:line="240" w:lineRule="auto"/>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Le Secrétariat de l'ICCAT n'a rien à déclarer pour le moment.</w:t>
      </w:r>
    </w:p>
    <w:p w14:paraId="758AB98D"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65FD523A"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 xml:space="preserve">[03-16] Recommandation de l’ICCAT visant à adopter des mesures supplémentaires contre la pêche illicite, non déclarée et non réglementée (IUU) </w:t>
      </w:r>
    </w:p>
    <w:p w14:paraId="42487820"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71354388" w14:textId="77777777" w:rsidR="009C7C25" w:rsidRPr="005756CE" w:rsidRDefault="009C7C25" w:rsidP="001E71F8">
      <w:pPr>
        <w:widowControl w:val="0"/>
        <w:tabs>
          <w:tab w:val="left" w:pos="709"/>
          <w:tab w:val="left" w:pos="1276"/>
          <w:tab w:val="left" w:pos="1418"/>
          <w:tab w:val="left" w:leader="dot" w:pos="8222"/>
          <w:tab w:val="right" w:pos="8647"/>
        </w:tabs>
        <w:autoSpaceDE w:val="0"/>
        <w:autoSpaceDN w:val="0"/>
        <w:adjustRightInd w:val="0"/>
        <w:spacing w:line="240" w:lineRule="auto"/>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Le Secrétariat de l'ICCAT n'a rien à déclarer pour le moment.</w:t>
      </w:r>
    </w:p>
    <w:p w14:paraId="236CA56E" w14:textId="77777777" w:rsidR="009C7C25" w:rsidRPr="005756CE" w:rsidRDefault="009C7C25" w:rsidP="001E71F8">
      <w:pPr>
        <w:widowControl w:val="0"/>
        <w:tabs>
          <w:tab w:val="left" w:pos="709"/>
          <w:tab w:val="left" w:pos="1276"/>
          <w:tab w:val="left" w:pos="1418"/>
          <w:tab w:val="left" w:leader="dot" w:pos="8222"/>
          <w:tab w:val="right" w:pos="8647"/>
        </w:tabs>
        <w:autoSpaceDE w:val="0"/>
        <w:autoSpaceDN w:val="0"/>
        <w:adjustRightInd w:val="0"/>
        <w:spacing w:line="240" w:lineRule="auto"/>
        <w:rPr>
          <w:rFonts w:ascii="Cambria" w:eastAsia="Times New Roman" w:hAnsi="Cambria"/>
          <w:kern w:val="0"/>
          <w:sz w:val="20"/>
          <w:szCs w:val="20"/>
          <w14:ligatures w14:val="none"/>
        </w:rPr>
      </w:pPr>
    </w:p>
    <w:p w14:paraId="1A132B87"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iCs/>
          <w:kern w:val="0"/>
          <w:sz w:val="20"/>
          <w:szCs w:val="20"/>
          <w14:ligatures w14:val="none"/>
        </w:rPr>
      </w:pPr>
      <w:r w:rsidRPr="005756CE">
        <w:rPr>
          <w:rFonts w:ascii="Cambria" w:eastAsia="Times New Roman" w:hAnsi="Cambria"/>
          <w:i/>
          <w:iCs/>
          <w:kern w:val="0"/>
          <w:sz w:val="20"/>
          <w:szCs w:val="20"/>
          <w14:ligatures w14:val="none"/>
        </w:rPr>
        <w:t>[04-12] Recommandation de l’ICCAT visant à adopter des mesures concernant les activités de la pêche sportive et récréative en Méditerranée</w:t>
      </w:r>
    </w:p>
    <w:p w14:paraId="6C79A737"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iCs/>
          <w:kern w:val="0"/>
          <w:sz w:val="20"/>
          <w:szCs w:val="20"/>
          <w14:ligatures w14:val="none"/>
        </w:rPr>
      </w:pPr>
    </w:p>
    <w:p w14:paraId="1210ECA2"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Les CPC devront prendre les mesures nécessaires pour que les données de capture de la pêche sportive et récréative soient collectées et transmises au SCRS. </w:t>
      </w:r>
    </w:p>
    <w:p w14:paraId="2E52BBE0"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36FE3C9E"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[06-13] Recommandation de l’ICCAT concernant des mesures commerciales</w:t>
      </w:r>
    </w:p>
    <w:p w14:paraId="526854BC"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left="1276" w:hanging="851"/>
        <w:rPr>
          <w:rFonts w:ascii="Cambria" w:eastAsia="Times New Roman" w:hAnsi="Cambria"/>
          <w:kern w:val="0"/>
          <w:sz w:val="20"/>
          <w:szCs w:val="20"/>
          <w14:ligatures w14:val="none"/>
        </w:rPr>
      </w:pPr>
    </w:p>
    <w:p w14:paraId="07879A40" w14:textId="6295C37F"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color w:val="000000"/>
          <w:kern w:val="0"/>
          <w:sz w:val="20"/>
          <w:szCs w:val="20"/>
          <w14:ligatures w14:val="none"/>
        </w:rPr>
      </w:pPr>
      <w:r w:rsidRPr="005756CE">
        <w:rPr>
          <w:rFonts w:ascii="Cambria" w:eastAsia="Times New Roman" w:hAnsi="Cambria"/>
          <w:kern w:val="0"/>
          <w:sz w:val="20"/>
          <w:szCs w:val="20"/>
          <w14:ligatures w14:val="none"/>
        </w:rPr>
        <w:t>Les formulaires complétés comportant des informations sur les importations et les débarquements ont été soumis conformément à cette mesure, dans les délais impartis, par la Chine, le Taipei chinois, El Salvador, le Japon, la Corée (</w:t>
      </w:r>
      <w:proofErr w:type="spellStart"/>
      <w:r w:rsidRPr="005756CE">
        <w:rPr>
          <w:rFonts w:ascii="Cambria" w:eastAsia="Times New Roman" w:hAnsi="Cambria"/>
          <w:kern w:val="0"/>
          <w:sz w:val="20"/>
          <w:szCs w:val="20"/>
          <w14:ligatures w14:val="none"/>
        </w:rPr>
        <w:t>Rép</w:t>
      </w:r>
      <w:proofErr w:type="spellEnd"/>
      <w:r w:rsidRPr="005756CE">
        <w:rPr>
          <w:rFonts w:ascii="Cambria" w:eastAsia="Times New Roman" w:hAnsi="Cambria"/>
          <w:kern w:val="0"/>
          <w:sz w:val="20"/>
          <w:szCs w:val="20"/>
          <w14:ligatures w14:val="none"/>
        </w:rPr>
        <w:t>.),</w:t>
      </w:r>
      <w:r w:rsidR="00D17387" w:rsidRPr="005756CE">
        <w:rPr>
          <w:rFonts w:ascii="Cambria" w:eastAsia="Times New Roman" w:hAnsi="Cambria"/>
          <w:kern w:val="0"/>
          <w:sz w:val="20"/>
          <w:szCs w:val="20"/>
          <w14:ligatures w14:val="none"/>
        </w:rPr>
        <w:t xml:space="preserve"> </w:t>
      </w:r>
      <w:r w:rsidR="00EA2F08" w:rsidRPr="005756CE">
        <w:rPr>
          <w:rFonts w:ascii="Cambria" w:eastAsia="Times New Roman" w:hAnsi="Cambria"/>
          <w:kern w:val="0"/>
          <w:sz w:val="20"/>
          <w:szCs w:val="20"/>
          <w14:ligatures w14:val="none"/>
        </w:rPr>
        <w:t>St-Vincent et les Grenadines,</w:t>
      </w:r>
      <w:r w:rsidRPr="005756CE">
        <w:rPr>
          <w:rFonts w:ascii="Cambria" w:eastAsia="Times New Roman" w:hAnsi="Cambria"/>
          <w:kern w:val="0"/>
          <w:sz w:val="20"/>
          <w:szCs w:val="20"/>
          <w14:ligatures w14:val="none"/>
        </w:rPr>
        <w:t xml:space="preserve"> </w:t>
      </w:r>
      <w:r w:rsidR="00867E37" w:rsidRPr="005756CE">
        <w:rPr>
          <w:rFonts w:ascii="Cambria" w:eastAsia="Times New Roman" w:hAnsi="Cambria"/>
          <w:kern w:val="0"/>
          <w:sz w:val="20"/>
          <w:szCs w:val="20"/>
          <w14:ligatures w14:val="none"/>
        </w:rPr>
        <w:t xml:space="preserve">l’Union européenne, </w:t>
      </w:r>
      <w:r w:rsidRPr="005756CE">
        <w:rPr>
          <w:rFonts w:ascii="Cambria" w:eastAsia="Times New Roman" w:hAnsi="Cambria"/>
          <w:kern w:val="0"/>
          <w:sz w:val="20"/>
          <w:szCs w:val="20"/>
          <w14:ligatures w14:val="none"/>
        </w:rPr>
        <w:t xml:space="preserve">la Türkiye et le Royaume-Uni. Les </w:t>
      </w:r>
      <w:r w:rsidRPr="005756CE">
        <w:rPr>
          <w:rFonts w:ascii="Cambria" w:eastAsia="Times New Roman" w:hAnsi="Cambria"/>
          <w:color w:val="000000"/>
          <w:kern w:val="0"/>
          <w:sz w:val="20"/>
          <w:szCs w:val="20"/>
          <w14:ligatures w14:val="none"/>
        </w:rPr>
        <w:t>informations soumises par les CPC sont incluses à l’</w:t>
      </w:r>
      <w:r w:rsidRPr="005756CE">
        <w:rPr>
          <w:rFonts w:ascii="Cambria" w:eastAsia="Times New Roman" w:hAnsi="Cambria"/>
          <w:b/>
          <w:color w:val="000000"/>
          <w:kern w:val="0"/>
          <w:sz w:val="20"/>
          <w:szCs w:val="20"/>
          <w14:ligatures w14:val="none"/>
        </w:rPr>
        <w:t>annexe 1</w:t>
      </w:r>
      <w:r w:rsidRPr="005756CE">
        <w:rPr>
          <w:rFonts w:ascii="Cambria" w:eastAsia="Times New Roman" w:hAnsi="Cambria"/>
          <w:color w:val="000000"/>
          <w:kern w:val="0"/>
          <w:sz w:val="20"/>
          <w:szCs w:val="20"/>
          <w14:ligatures w14:val="none"/>
        </w:rPr>
        <w:t>.</w:t>
      </w:r>
    </w:p>
    <w:p w14:paraId="78353694"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left="1276" w:hanging="851"/>
        <w:rPr>
          <w:rFonts w:ascii="Cambria" w:eastAsia="Times New Roman" w:hAnsi="Cambria"/>
          <w:kern w:val="0"/>
          <w:sz w:val="20"/>
          <w:szCs w:val="20"/>
          <w14:ligatures w14:val="none"/>
        </w:rPr>
      </w:pPr>
    </w:p>
    <w:p w14:paraId="2C7BC7D9" w14:textId="77777777" w:rsidR="009C7C25" w:rsidRPr="005756CE" w:rsidRDefault="009C7C25" w:rsidP="001E71F8">
      <w:pPr>
        <w:widowControl w:val="0"/>
        <w:autoSpaceDE w:val="0"/>
        <w:autoSpaceDN w:val="0"/>
        <w:adjustRightInd w:val="0"/>
        <w:spacing w:line="240" w:lineRule="auto"/>
        <w:ind w:right="3"/>
        <w:jc w:val="both"/>
        <w:rPr>
          <w:rFonts w:ascii="Cambria" w:eastAsia="Times New Roman" w:hAnsi="Cambria"/>
          <w:iCs/>
          <w:kern w:val="0"/>
          <w:sz w:val="20"/>
          <w:szCs w:val="20"/>
          <w14:ligatures w14:val="none"/>
        </w:rPr>
      </w:pPr>
      <w:r w:rsidRPr="005756CE">
        <w:rPr>
          <w:rFonts w:ascii="Cambria" w:eastAsia="Times New Roman" w:hAnsi="Cambria"/>
          <w:i/>
          <w:kern w:val="0"/>
          <w:sz w:val="20"/>
          <w:szCs w:val="20"/>
          <w14:ligatures w14:val="none"/>
        </w:rPr>
        <w:t>[22-14] Recommandation de l’ICCAT remplaçant la Recommandation 06-14 visant à promouvoir l’application des mesures de conservation et de gestion de l’ICCAT par les ressortissants des Parties contractantes et des Parties, Entités ou Entités de pêche non contractantes coopérantes</w:t>
      </w:r>
    </w:p>
    <w:p w14:paraId="23AEA1E1" w14:textId="77777777" w:rsidR="009C7C25" w:rsidRPr="005756CE" w:rsidRDefault="009C7C25" w:rsidP="001E71F8">
      <w:pPr>
        <w:widowControl w:val="0"/>
        <w:tabs>
          <w:tab w:val="left" w:pos="1276"/>
        </w:tabs>
        <w:autoSpaceDE w:val="0"/>
        <w:autoSpaceDN w:val="0"/>
        <w:adjustRightInd w:val="0"/>
        <w:spacing w:line="240" w:lineRule="auto"/>
        <w:ind w:left="432" w:right="432"/>
        <w:rPr>
          <w:rFonts w:ascii="Cambria" w:eastAsia="Times New Roman" w:hAnsi="Cambria"/>
          <w:i/>
          <w:kern w:val="0"/>
          <w:sz w:val="20"/>
          <w:szCs w:val="20"/>
          <w14:ligatures w14:val="none"/>
        </w:rPr>
      </w:pPr>
    </w:p>
    <w:p w14:paraId="7D850A9A"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Le Secrétariat de l'ICCAT n'a rien à déclarer pour le moment.</w:t>
      </w:r>
    </w:p>
    <w:p w14:paraId="73F4BC4A" w14:textId="77777777" w:rsidR="009C7C25" w:rsidRPr="005756CE" w:rsidRDefault="009C7C25" w:rsidP="001E71F8">
      <w:pPr>
        <w:widowControl w:val="0"/>
        <w:tabs>
          <w:tab w:val="left" w:pos="1276"/>
        </w:tabs>
        <w:autoSpaceDE w:val="0"/>
        <w:autoSpaceDN w:val="0"/>
        <w:adjustRightInd w:val="0"/>
        <w:spacing w:line="240" w:lineRule="auto"/>
        <w:ind w:left="432" w:right="432"/>
        <w:rPr>
          <w:rFonts w:ascii="Cambria" w:eastAsia="Times New Roman" w:hAnsi="Cambria"/>
          <w:i/>
          <w:kern w:val="0"/>
          <w:sz w:val="20"/>
          <w:szCs w:val="20"/>
          <w14:ligatures w14:val="none"/>
        </w:rPr>
      </w:pPr>
    </w:p>
    <w:p w14:paraId="0EE856F3" w14:textId="77777777" w:rsidR="009C7C25" w:rsidRPr="005756CE" w:rsidRDefault="009C7C25" w:rsidP="001E71F8">
      <w:pPr>
        <w:widowControl w:val="0"/>
        <w:autoSpaceDE w:val="0"/>
        <w:autoSpaceDN w:val="0"/>
        <w:adjustRightInd w:val="0"/>
        <w:spacing w:line="240" w:lineRule="auto"/>
        <w:ind w:right="3"/>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(21-16) Recommandation de l’ICCAT amendant la Recommandation 07-08 concernant un format et un protocole d’échange des données en ce qui concerne le système de surveillance des navires (VMS) dans la zone de la Convention de l’ICCAT pour la pêche du thon rouge</w:t>
      </w:r>
    </w:p>
    <w:p w14:paraId="025C69B2" w14:textId="77777777" w:rsidR="009C7C25" w:rsidRPr="005756CE" w:rsidRDefault="009C7C25" w:rsidP="001E71F8">
      <w:pPr>
        <w:widowControl w:val="0"/>
        <w:tabs>
          <w:tab w:val="left" w:pos="1276"/>
        </w:tabs>
        <w:autoSpaceDE w:val="0"/>
        <w:autoSpaceDN w:val="0"/>
        <w:adjustRightInd w:val="0"/>
        <w:spacing w:line="240" w:lineRule="auto"/>
        <w:ind w:left="1272" w:right="432" w:hanging="840"/>
        <w:jc w:val="both"/>
        <w:rPr>
          <w:rFonts w:ascii="Cambria" w:eastAsia="Times New Roman" w:hAnsi="Cambria"/>
          <w:i/>
          <w:kern w:val="0"/>
          <w:sz w:val="20"/>
          <w:szCs w:val="20"/>
          <w14:ligatures w14:val="none"/>
        </w:rPr>
      </w:pPr>
    </w:p>
    <w:p w14:paraId="2E4F74BB"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Le Secrétariat de l'ICCAT n'a rien à déclarer pour le moment.</w:t>
      </w:r>
    </w:p>
    <w:p w14:paraId="393E0413" w14:textId="77777777" w:rsidR="009C7C25" w:rsidRPr="005756CE" w:rsidRDefault="009C7C25" w:rsidP="001E71F8">
      <w:pPr>
        <w:widowControl w:val="0"/>
        <w:tabs>
          <w:tab w:val="left" w:pos="1276"/>
        </w:tabs>
        <w:autoSpaceDE w:val="0"/>
        <w:autoSpaceDN w:val="0"/>
        <w:adjustRightInd w:val="0"/>
        <w:spacing w:line="240" w:lineRule="auto"/>
        <w:ind w:left="1272" w:right="432" w:hanging="840"/>
        <w:jc w:val="both"/>
        <w:rPr>
          <w:rFonts w:ascii="Cambria" w:eastAsia="Times New Roman" w:hAnsi="Cambria"/>
          <w:i/>
          <w:kern w:val="0"/>
          <w:sz w:val="20"/>
          <w:szCs w:val="20"/>
          <w14:ligatures w14:val="none"/>
        </w:rPr>
      </w:pPr>
    </w:p>
    <w:p w14:paraId="1B2F2B17" w14:textId="77777777" w:rsidR="009C7C25" w:rsidRPr="005756CE" w:rsidRDefault="009C7C25" w:rsidP="001E71F8">
      <w:pPr>
        <w:widowControl w:val="0"/>
        <w:autoSpaceDE w:val="0"/>
        <w:autoSpaceDN w:val="0"/>
        <w:adjustRightInd w:val="0"/>
        <w:spacing w:line="240" w:lineRule="auto"/>
        <w:ind w:right="3"/>
        <w:jc w:val="both"/>
        <w:rPr>
          <w:rFonts w:ascii="Cambria" w:eastAsia="Times New Roman" w:hAnsi="Cambria"/>
          <w:bCs/>
          <w:i/>
          <w:kern w:val="0"/>
          <w:sz w:val="20"/>
          <w:szCs w:val="20"/>
          <w14:ligatures w14:val="none"/>
        </w:rPr>
      </w:pPr>
      <w:r w:rsidRPr="005756CE">
        <w:rPr>
          <w:rFonts w:ascii="Cambria" w:eastAsia="Times New Roman" w:hAnsi="Cambria"/>
          <w:i/>
          <w:kern w:val="0"/>
          <w:sz w:val="20"/>
          <w:szCs w:val="20"/>
          <w14:ligatures w14:val="none"/>
        </w:rPr>
        <w:t>[08-09] Recommandation de l’ICCAT visant à établir un processus aux fins de l’examen et de la déclaration des informations sur l’application</w:t>
      </w:r>
    </w:p>
    <w:p w14:paraId="7B94D131" w14:textId="77777777" w:rsidR="009C7C25" w:rsidRPr="005756CE" w:rsidRDefault="009C7C25" w:rsidP="001E71F8">
      <w:pPr>
        <w:widowControl w:val="0"/>
        <w:tabs>
          <w:tab w:val="left" w:pos="1276"/>
        </w:tabs>
        <w:autoSpaceDE w:val="0"/>
        <w:autoSpaceDN w:val="0"/>
        <w:adjustRightInd w:val="0"/>
        <w:spacing w:line="240" w:lineRule="auto"/>
        <w:ind w:left="1272" w:right="432" w:hanging="840"/>
        <w:jc w:val="both"/>
        <w:rPr>
          <w:rFonts w:ascii="Cambria" w:eastAsia="Times New Roman" w:hAnsi="Cambria"/>
          <w:bCs/>
          <w:i/>
          <w:kern w:val="0"/>
          <w:sz w:val="20"/>
          <w:szCs w:val="20"/>
          <w14:ligatures w14:val="none"/>
        </w:rPr>
      </w:pPr>
    </w:p>
    <w:p w14:paraId="172A3BB7" w14:textId="1671C361"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Les informations soumises par les CPC et les organisations non-gouvernementales (ONG) conjointement avec les réponses reçues à cette date sont disponibles dans le COC_312/202</w:t>
      </w:r>
      <w:r w:rsidR="008D3B0B"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w:t>
      </w:r>
    </w:p>
    <w:p w14:paraId="4A419925"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i/>
          <w:iCs/>
          <w:kern w:val="0"/>
          <w:sz w:val="20"/>
          <w:szCs w:val="20"/>
          <w14:ligatures w14:val="none"/>
        </w:rPr>
      </w:pPr>
    </w:p>
    <w:p w14:paraId="519D0D16"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bCs/>
          <w:kern w:val="0"/>
          <w:sz w:val="20"/>
          <w:szCs w:val="20"/>
          <w14:ligatures w14:val="none"/>
        </w:rPr>
      </w:pPr>
      <w:r w:rsidRPr="005756CE">
        <w:rPr>
          <w:rFonts w:ascii="Cambria" w:eastAsia="Times New Roman" w:hAnsi="Cambria"/>
          <w:i/>
          <w:kern w:val="0"/>
          <w:sz w:val="20"/>
          <w:szCs w:val="20"/>
          <w14:ligatures w14:val="none"/>
        </w:rPr>
        <w:t>[11-11] Recommandation de l'ICCAT visant à clarifier la mise en œuvre des recommandations d’application et aux fins de l’élaboration de l’annexe d’application</w:t>
      </w:r>
    </w:p>
    <w:p w14:paraId="119E09F7" w14:textId="065F105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eastAsia="Times New Roman" w:hAnsi="Cambria"/>
          <w:kern w:val="0"/>
          <w:sz w:val="20"/>
          <w:szCs w:val="20"/>
          <w14:ligatures w14:val="none"/>
        </w:rPr>
        <w:lastRenderedPageBreak/>
        <w:t>Les tableaux d’application sont contenus dans les</w:t>
      </w:r>
      <w:r w:rsidR="003B59EB" w:rsidRPr="005756CE">
        <w:rPr>
          <w:rFonts w:ascii="Cambria" w:eastAsia="Times New Roman" w:hAnsi="Cambria"/>
          <w:kern w:val="0"/>
          <w:sz w:val="20"/>
          <w:szCs w:val="20"/>
          <w14:ligatures w14:val="none"/>
        </w:rPr>
        <w:t xml:space="preserve"> </w:t>
      </w:r>
      <w:r w:rsidR="003B59EB" w:rsidRPr="005756CE">
        <w:rPr>
          <w:rFonts w:ascii="Cambria" w:hAnsi="Cambria"/>
          <w:sz w:val="20"/>
          <w:szCs w:val="20"/>
        </w:rPr>
        <w:t>« Tableaux d’application de 202</w:t>
      </w:r>
      <w:r w:rsidR="00D7364F" w:rsidRPr="005756CE">
        <w:rPr>
          <w:rFonts w:ascii="Cambria" w:hAnsi="Cambria"/>
          <w:sz w:val="20"/>
          <w:szCs w:val="20"/>
        </w:rPr>
        <w:t>4</w:t>
      </w:r>
      <w:r w:rsidR="003B59EB" w:rsidRPr="005756CE">
        <w:rPr>
          <w:rFonts w:ascii="Cambria" w:hAnsi="Cambria"/>
          <w:sz w:val="20"/>
          <w:szCs w:val="20"/>
        </w:rPr>
        <w:t xml:space="preserve"> reçus en 202</w:t>
      </w:r>
      <w:r w:rsidR="00124576" w:rsidRPr="005756CE">
        <w:rPr>
          <w:rFonts w:ascii="Cambria" w:hAnsi="Cambria"/>
          <w:sz w:val="20"/>
          <w:szCs w:val="20"/>
        </w:rPr>
        <w:t>5</w:t>
      </w:r>
      <w:r w:rsidR="003B59EB" w:rsidRPr="005756CE">
        <w:rPr>
          <w:rFonts w:ascii="Cambria" w:hAnsi="Cambria"/>
          <w:sz w:val="20"/>
          <w:szCs w:val="20"/>
        </w:rPr>
        <w:t> » [COC-304/202</w:t>
      </w:r>
      <w:r w:rsidR="00F16014" w:rsidRPr="005756CE">
        <w:rPr>
          <w:rFonts w:ascii="Cambria" w:hAnsi="Cambria"/>
          <w:sz w:val="20"/>
          <w:szCs w:val="20"/>
        </w:rPr>
        <w:t>5</w:t>
      </w:r>
      <w:r w:rsidR="003B59EB" w:rsidRPr="005756CE">
        <w:rPr>
          <w:rFonts w:ascii="Cambria" w:hAnsi="Cambria"/>
          <w:sz w:val="20"/>
          <w:szCs w:val="20"/>
        </w:rPr>
        <w:t>).</w:t>
      </w:r>
    </w:p>
    <w:p w14:paraId="385E2A41" w14:textId="77803DF9" w:rsidR="003B59EB" w:rsidRPr="005756CE" w:rsidRDefault="003B59EB" w:rsidP="001E71F8">
      <w:pPr>
        <w:spacing w:line="240" w:lineRule="auto"/>
        <w:rPr>
          <w:rFonts w:ascii="Cambria" w:eastAsia="Times New Roman" w:hAnsi="Cambria"/>
          <w:i/>
          <w:kern w:val="0"/>
          <w:sz w:val="20"/>
          <w:szCs w:val="20"/>
          <w14:ligatures w14:val="none"/>
        </w:rPr>
      </w:pPr>
    </w:p>
    <w:p w14:paraId="16E2C51A" w14:textId="1F3466F3" w:rsidR="009C7C25" w:rsidRPr="005756CE" w:rsidRDefault="009C7C25" w:rsidP="001E71F8">
      <w:pPr>
        <w:widowControl w:val="0"/>
        <w:tabs>
          <w:tab w:val="left" w:pos="1276"/>
          <w:tab w:val="left" w:pos="1418"/>
          <w:tab w:val="left" w:leader="dot" w:pos="9072"/>
        </w:tabs>
        <w:autoSpaceDE w:val="0"/>
        <w:autoSpaceDN w:val="0"/>
        <w:adjustRightInd w:val="0"/>
        <w:spacing w:line="240" w:lineRule="auto"/>
        <w:jc w:val="both"/>
        <w:rPr>
          <w:rFonts w:ascii="Cambria" w:eastAsia="Times New Roman" w:hAnsi="Cambria"/>
          <w:i/>
          <w:iCs/>
          <w:kern w:val="0"/>
          <w:sz w:val="20"/>
          <w:szCs w:val="20"/>
          <w14:ligatures w14:val="none"/>
        </w:rPr>
      </w:pPr>
      <w:r w:rsidRPr="005756CE">
        <w:rPr>
          <w:rFonts w:ascii="Cambria" w:eastAsia="Times New Roman" w:hAnsi="Cambria"/>
          <w:i/>
          <w:kern w:val="0"/>
          <w:sz w:val="20"/>
          <w:szCs w:val="20"/>
          <w14:ligatures w14:val="none"/>
        </w:rPr>
        <w:t>[11-15] Recommandation de l’ICCAT sur les pénalisations applicables en cas de non-respect des obligations en matière de déclaration</w:t>
      </w:r>
    </w:p>
    <w:p w14:paraId="14B02355"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iCs/>
          <w:kern w:val="0"/>
          <w:sz w:val="20"/>
          <w:szCs w:val="20"/>
          <w14:ligatures w14:val="none"/>
        </w:rPr>
      </w:pPr>
    </w:p>
    <w:p w14:paraId="44481FC9" w14:textId="5BC989DE" w:rsidR="009C7C25" w:rsidRPr="005756CE" w:rsidRDefault="003B59EB"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eastAsia="Times New Roman" w:hAnsi="Cambria"/>
          <w:kern w:val="0"/>
          <w:sz w:val="20"/>
          <w:szCs w:val="20"/>
          <w14:ligatures w14:val="none"/>
        </w:rPr>
        <w:t>À</w:t>
      </w:r>
      <w:r w:rsidR="009C7C25" w:rsidRPr="005756CE">
        <w:rPr>
          <w:rFonts w:ascii="Cambria" w:eastAsia="Times New Roman" w:hAnsi="Cambria"/>
          <w:kern w:val="0"/>
          <w:sz w:val="20"/>
          <w:szCs w:val="20"/>
          <w14:ligatures w14:val="none"/>
        </w:rPr>
        <w:t xml:space="preserve"> la suite de la réunion de la Commission de 202</w:t>
      </w:r>
      <w:r w:rsidR="00124576" w:rsidRPr="005756CE">
        <w:rPr>
          <w:rFonts w:ascii="Cambria" w:eastAsia="Times New Roman" w:hAnsi="Cambria"/>
          <w:kern w:val="0"/>
          <w:sz w:val="20"/>
          <w:szCs w:val="20"/>
          <w14:ligatures w14:val="none"/>
        </w:rPr>
        <w:t>4</w:t>
      </w:r>
      <w:r w:rsidR="009C7C25" w:rsidRPr="005756CE">
        <w:rPr>
          <w:rFonts w:ascii="Cambria" w:eastAsia="Times New Roman" w:hAnsi="Cambria"/>
          <w:kern w:val="0"/>
          <w:sz w:val="20"/>
          <w:szCs w:val="20"/>
          <w14:ligatures w14:val="none"/>
        </w:rPr>
        <w:t>, l'interdiction a été imposée à la Guinée-Bissau</w:t>
      </w:r>
      <w:r w:rsidR="004E11A8" w:rsidRPr="005756CE">
        <w:rPr>
          <w:rFonts w:ascii="Cambria" w:eastAsia="Times New Roman" w:hAnsi="Cambria"/>
          <w:kern w:val="0"/>
          <w:sz w:val="20"/>
          <w:szCs w:val="20"/>
          <w14:ligatures w14:val="none"/>
        </w:rPr>
        <w:t xml:space="preserve"> et au Nigeria</w:t>
      </w:r>
      <w:r w:rsidR="009C7C25" w:rsidRPr="005756CE">
        <w:rPr>
          <w:rFonts w:ascii="Cambria" w:eastAsia="Times New Roman" w:hAnsi="Cambria"/>
          <w:kern w:val="0"/>
          <w:sz w:val="20"/>
          <w:szCs w:val="20"/>
          <w14:ligatures w14:val="none"/>
        </w:rPr>
        <w:t xml:space="preserve">. Le Secrétariat de l’ICCAT est heureux d’informer que l’interdiction a depuis lors été levée pour </w:t>
      </w:r>
      <w:r w:rsidR="00E201BA" w:rsidRPr="005756CE">
        <w:rPr>
          <w:rFonts w:ascii="Cambria" w:eastAsia="Times New Roman" w:hAnsi="Cambria"/>
          <w:kern w:val="0"/>
          <w:sz w:val="20"/>
          <w:szCs w:val="20"/>
          <w14:ligatures w14:val="none"/>
        </w:rPr>
        <w:t>les deux CPC</w:t>
      </w:r>
      <w:r w:rsidR="009C7C25" w:rsidRPr="005756CE">
        <w:rPr>
          <w:rFonts w:ascii="Cambria" w:eastAsia="Times New Roman" w:hAnsi="Cambria"/>
          <w:kern w:val="0"/>
          <w:sz w:val="20"/>
          <w:szCs w:val="20"/>
          <w14:ligatures w14:val="none"/>
        </w:rPr>
        <w:t xml:space="preserve"> étant donné qu’</w:t>
      </w:r>
      <w:r w:rsidR="00E201BA" w:rsidRPr="005756CE">
        <w:rPr>
          <w:rFonts w:ascii="Cambria" w:eastAsia="Times New Roman" w:hAnsi="Cambria"/>
          <w:kern w:val="0"/>
          <w:sz w:val="20"/>
          <w:szCs w:val="20"/>
          <w14:ligatures w14:val="none"/>
        </w:rPr>
        <w:t xml:space="preserve">elles avaient </w:t>
      </w:r>
      <w:r w:rsidR="009C7C25" w:rsidRPr="005756CE">
        <w:rPr>
          <w:rFonts w:ascii="Cambria" w:eastAsia="Times New Roman" w:hAnsi="Cambria"/>
          <w:kern w:val="0"/>
          <w:sz w:val="20"/>
          <w:szCs w:val="20"/>
          <w14:ligatures w14:val="none"/>
        </w:rPr>
        <w:t>soumis les données manquantes en 202</w:t>
      </w:r>
      <w:r w:rsidR="00E201BA" w:rsidRPr="005756CE">
        <w:rPr>
          <w:rFonts w:ascii="Cambria" w:eastAsia="Times New Roman" w:hAnsi="Cambria"/>
          <w:kern w:val="0"/>
          <w:sz w:val="20"/>
          <w:szCs w:val="20"/>
          <w14:ligatures w14:val="none"/>
        </w:rPr>
        <w:t>5</w:t>
      </w:r>
      <w:r w:rsidR="009C7C25" w:rsidRPr="005756CE">
        <w:rPr>
          <w:rFonts w:ascii="Cambria" w:eastAsia="Times New Roman" w:hAnsi="Cambria"/>
          <w:kern w:val="0"/>
          <w:sz w:val="20"/>
          <w:szCs w:val="20"/>
          <w14:ligatures w14:val="none"/>
        </w:rPr>
        <w:t>.</w:t>
      </w:r>
    </w:p>
    <w:p w14:paraId="1DF84CCB"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jc w:val="both"/>
        <w:rPr>
          <w:rFonts w:ascii="Cambria" w:eastAsia="Times New Roman" w:hAnsi="Cambria"/>
          <w:iCs/>
          <w:kern w:val="0"/>
          <w:sz w:val="20"/>
          <w:szCs w:val="20"/>
          <w14:ligatures w14:val="none"/>
        </w:rPr>
      </w:pPr>
    </w:p>
    <w:p w14:paraId="52725DF1" w14:textId="77777777" w:rsidR="0068777C" w:rsidRPr="005756CE" w:rsidRDefault="0068777C" w:rsidP="001E71F8">
      <w:pPr>
        <w:tabs>
          <w:tab w:val="left" w:pos="1276"/>
          <w:tab w:val="left" w:pos="1418"/>
          <w:tab w:val="left" w:leader="dot" w:pos="8222"/>
          <w:tab w:val="right" w:pos="8647"/>
        </w:tabs>
        <w:spacing w:line="240" w:lineRule="auto"/>
        <w:jc w:val="both"/>
        <w:rPr>
          <w:rFonts w:ascii="Cambria" w:hAnsi="Cambria"/>
          <w:iCs/>
          <w:sz w:val="20"/>
          <w:szCs w:val="20"/>
          <w:u w:val="single"/>
        </w:rPr>
      </w:pPr>
      <w:r w:rsidRPr="005756CE">
        <w:rPr>
          <w:rFonts w:ascii="Cambria" w:hAnsi="Cambria"/>
          <w:sz w:val="20"/>
          <w:szCs w:val="20"/>
        </w:rPr>
        <w:t xml:space="preserve">Aucune statistique de la tâche 1 pour 2024 n'avait été reçue au cours de 2025 de Cuba, du Gabon, de la Guyana, de la Guinée équatoriale, de Sierra Leone ou du Royaume-Uni (R-U - Îles Vierges britanniques) en date du 17 octobre 2025, comme indiqué à </w:t>
      </w:r>
      <w:r w:rsidRPr="005756CE">
        <w:rPr>
          <w:rFonts w:ascii="Cambria" w:hAnsi="Cambria"/>
          <w:b/>
          <w:sz w:val="20"/>
          <w:szCs w:val="20"/>
        </w:rPr>
        <w:t>l'annexe 3.</w:t>
      </w:r>
      <w:r w:rsidRPr="005756CE">
        <w:rPr>
          <w:rFonts w:ascii="Cambria" w:hAnsi="Cambria"/>
          <w:sz w:val="20"/>
          <w:szCs w:val="20"/>
        </w:rPr>
        <w:t xml:space="preserve"> En outre, certaines données ou confirmations de captures nulles (cellules blanches dans l'</w:t>
      </w:r>
      <w:r w:rsidRPr="005756CE">
        <w:rPr>
          <w:rFonts w:ascii="Cambria" w:hAnsi="Cambria"/>
          <w:b/>
          <w:bCs/>
          <w:sz w:val="20"/>
          <w:szCs w:val="20"/>
        </w:rPr>
        <w:t>appendice 3</w:t>
      </w:r>
      <w:r w:rsidRPr="005756CE">
        <w:rPr>
          <w:rFonts w:ascii="Cambria" w:hAnsi="Cambria"/>
          <w:sz w:val="20"/>
          <w:szCs w:val="20"/>
        </w:rPr>
        <w:t>) font défaut pour l'Union européenne (UE-Pays-Bas), la Grenade, la Corée, le Liberia et la Russie.</w:t>
      </w:r>
    </w:p>
    <w:p w14:paraId="713A73E5" w14:textId="77D21B68"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jc w:val="both"/>
        <w:rPr>
          <w:rFonts w:ascii="Cambria" w:eastAsia="Times New Roman" w:hAnsi="Cambria"/>
          <w:iCs/>
          <w:kern w:val="0"/>
          <w:sz w:val="20"/>
          <w:szCs w:val="20"/>
          <w14:ligatures w14:val="none"/>
        </w:rPr>
      </w:pPr>
    </w:p>
    <w:p w14:paraId="6A7D14B8" w14:textId="31693B36"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eastAsia="Times New Roman" w:hAnsi="Cambria"/>
          <w:kern w:val="0"/>
          <w:sz w:val="20"/>
          <w:szCs w:val="20"/>
          <w14:ligatures w14:val="none"/>
        </w:rPr>
        <w:t>L’historique des interdictions appliquées figure à l’</w:t>
      </w:r>
      <w:r w:rsidRPr="005756CE">
        <w:rPr>
          <w:rFonts w:ascii="Cambria" w:eastAsia="Times New Roman" w:hAnsi="Cambria"/>
          <w:b/>
          <w:bCs/>
          <w:kern w:val="0"/>
          <w:sz w:val="20"/>
          <w:szCs w:val="20"/>
          <w14:ligatures w14:val="none"/>
        </w:rPr>
        <w:t>annexe 8</w:t>
      </w:r>
      <w:r w:rsidRPr="005756CE">
        <w:rPr>
          <w:rFonts w:ascii="Cambria" w:eastAsia="Times New Roman" w:hAnsi="Cambria"/>
          <w:kern w:val="0"/>
          <w:sz w:val="20"/>
          <w:szCs w:val="20"/>
          <w14:ligatures w14:val="none"/>
        </w:rPr>
        <w:t>.</w:t>
      </w:r>
    </w:p>
    <w:p w14:paraId="5B90D2D9"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p>
    <w:p w14:paraId="5E35437A" w14:textId="3D4528E4"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eastAsia="Times New Roman" w:hAnsi="Cambria"/>
          <w:i/>
          <w:iCs/>
          <w:kern w:val="0"/>
          <w:sz w:val="20"/>
          <w:szCs w:val="20"/>
          <w14:ligatures w14:val="none"/>
        </w:rPr>
        <w:t>[</w:t>
      </w:r>
      <w:r w:rsidR="0068777C" w:rsidRPr="005756CE">
        <w:rPr>
          <w:rFonts w:ascii="Cambria" w:eastAsia="Times New Roman" w:hAnsi="Cambria"/>
          <w:i/>
          <w:iCs/>
          <w:kern w:val="0"/>
          <w:sz w:val="20"/>
          <w:szCs w:val="20"/>
          <w14:ligatures w14:val="none"/>
        </w:rPr>
        <w:t>Rec.</w:t>
      </w:r>
      <w:r w:rsidRPr="005756CE">
        <w:rPr>
          <w:rFonts w:ascii="Cambria" w:eastAsia="Times New Roman" w:hAnsi="Cambria"/>
          <w:i/>
          <w:iCs/>
          <w:kern w:val="0"/>
          <w:sz w:val="20"/>
          <w:szCs w:val="20"/>
          <w14:ligatures w14:val="none"/>
        </w:rPr>
        <w:t xml:space="preserve"> 23-16] Recommandation de l’ICCAT amendant la Recommandation 21-13 établissant une liste de navires présumés avoir exercé des activités de pêche illicites, non déclarées et non règlementées)</w:t>
      </w:r>
    </w:p>
    <w:p w14:paraId="3C6A96D5"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p>
    <w:p w14:paraId="6029385A" w14:textId="025A25CE"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eastAsia="Times New Roman" w:hAnsi="Cambria"/>
          <w:kern w:val="0"/>
          <w:sz w:val="20"/>
          <w:szCs w:val="20"/>
          <w14:ligatures w14:val="none"/>
        </w:rPr>
        <w:t>Les informations recueillies par le Secrétariat de l’ICCAT depuis la réunion de la Commission de 202</w:t>
      </w:r>
      <w:r w:rsidR="000C27FC" w:rsidRPr="005756CE">
        <w:rPr>
          <w:rFonts w:ascii="Cambria" w:eastAsia="Times New Roman" w:hAnsi="Cambria"/>
          <w:kern w:val="0"/>
          <w:sz w:val="20"/>
          <w:szCs w:val="20"/>
          <w14:ligatures w14:val="none"/>
        </w:rPr>
        <w:t>4</w:t>
      </w:r>
      <w:r w:rsidRPr="005756CE">
        <w:rPr>
          <w:rFonts w:ascii="Cambria" w:eastAsia="Times New Roman" w:hAnsi="Cambria"/>
          <w:kern w:val="0"/>
          <w:sz w:val="20"/>
          <w:szCs w:val="20"/>
          <w14:ligatures w14:val="none"/>
        </w:rPr>
        <w:t xml:space="preserve"> sont présentées dans le document « Rec. 23-16 :  Projet de liste de 202</w:t>
      </w:r>
      <w:r w:rsidR="004561CC"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 xml:space="preserve"> des navires présumés avoir exercé des activités de pêche IUU » [PWG_405/202</w:t>
      </w:r>
      <w:r w:rsidR="000C27FC"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 xml:space="preserve">]. Il est à noter que le système actuel d’inscription croisée pose de grandes difficultés pour s’assurer de l’exactitude des informations étant donné qu’il n’existe pas de présentation standard des informations provenant des ORGP concernées. </w:t>
      </w:r>
    </w:p>
    <w:p w14:paraId="2863BFC5"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iCs/>
          <w:kern w:val="0"/>
          <w:sz w:val="20"/>
          <w:szCs w:val="20"/>
          <w14:ligatures w14:val="none"/>
        </w:rPr>
      </w:pPr>
    </w:p>
    <w:p w14:paraId="3DF5BAEA" w14:textId="48EC3FFC"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eastAsia="Times New Roman" w:hAnsi="Cambria"/>
          <w:i/>
          <w:iCs/>
          <w:kern w:val="0"/>
          <w:sz w:val="20"/>
          <w:szCs w:val="20"/>
          <w14:ligatures w14:val="none"/>
        </w:rPr>
        <w:t>[</w:t>
      </w:r>
      <w:r w:rsidR="004561CC" w:rsidRPr="005756CE">
        <w:rPr>
          <w:rFonts w:ascii="Cambria" w:eastAsia="Times New Roman" w:hAnsi="Cambria"/>
          <w:i/>
          <w:iCs/>
          <w:kern w:val="0"/>
          <w:sz w:val="20"/>
          <w:szCs w:val="20"/>
          <w14:ligatures w14:val="none"/>
        </w:rPr>
        <w:t xml:space="preserve">Rec. </w:t>
      </w:r>
      <w:r w:rsidRPr="005756CE">
        <w:rPr>
          <w:rFonts w:ascii="Cambria" w:eastAsia="Times New Roman" w:hAnsi="Cambria"/>
          <w:i/>
          <w:iCs/>
          <w:kern w:val="0"/>
          <w:sz w:val="20"/>
          <w:szCs w:val="20"/>
          <w14:ligatures w14:val="none"/>
        </w:rPr>
        <w:t xml:space="preserve">23-17] </w:t>
      </w:r>
      <w:r w:rsidRPr="005756CE">
        <w:rPr>
          <w:rFonts w:ascii="Cambria" w:eastAsia="Times New Roman" w:hAnsi="Cambria"/>
          <w:i/>
          <w:kern w:val="0"/>
          <w:sz w:val="20"/>
          <w:szCs w:val="20"/>
          <w14:ligatures w14:val="none"/>
        </w:rPr>
        <w:t>Recommandation de l’ICCAT amendant la Recommandation 18-09 concernant des mesures du ressort de l’État du port visant à prévenir, contrecarrer et éliminer la pêche illicite, non déclarée et non règlementée</w:t>
      </w:r>
    </w:p>
    <w:p w14:paraId="17106A6B"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iCs/>
          <w:kern w:val="0"/>
          <w:sz w:val="20"/>
          <w:szCs w:val="20"/>
          <w14:ligatures w14:val="none"/>
        </w:rPr>
      </w:pPr>
    </w:p>
    <w:p w14:paraId="6BCF4251"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eastAsia="Times New Roman" w:hAnsi="Cambria"/>
          <w:kern w:val="0"/>
          <w:sz w:val="20"/>
          <w:szCs w:val="20"/>
          <w14:ligatures w14:val="none"/>
        </w:rPr>
        <w:t xml:space="preserve">Les informations relatives aux points de contact pour l’AREP et aux rapports reçus sont publiées sur la partie protégée par mot de passe du </w:t>
      </w:r>
      <w:hyperlink r:id="rId29" w:history="1">
        <w:r w:rsidRPr="005756CE">
          <w:rPr>
            <w:rFonts w:ascii="Cambria" w:eastAsia="Times New Roman" w:hAnsi="Cambria"/>
            <w:color w:val="0000FF"/>
            <w:kern w:val="0"/>
            <w:sz w:val="20"/>
            <w:szCs w:val="20"/>
            <w14:ligatures w14:val="none"/>
          </w:rPr>
          <w:t>site web de l’ICCAT</w:t>
        </w:r>
      </w:hyperlink>
      <w:r w:rsidRPr="005756CE">
        <w:rPr>
          <w:rFonts w:ascii="Cambria" w:eastAsia="Times New Roman" w:hAnsi="Cambria"/>
          <w:kern w:val="0"/>
          <w:sz w:val="20"/>
          <w:szCs w:val="20"/>
          <w14:ligatures w14:val="none"/>
        </w:rPr>
        <w:t>, ainsi que toutes les infractions signalées et les mesures prises. Dans certains cas, il n’est pas clair d’après les rapports si les infractions ont eu lieu et si/dans quelle mesure ces infractions sont en lien avec les exigences de l’ICCAT :</w:t>
      </w:r>
    </w:p>
    <w:p w14:paraId="7D334CC3" w14:textId="77777777" w:rsidR="00364180" w:rsidRPr="005756CE" w:rsidRDefault="00364180"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bookmarkStart w:id="16" w:name="_Hlk149727171"/>
    </w:p>
    <w:p w14:paraId="23CF04CF" w14:textId="1E74765D"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Deux rapports d'inspection portuaire contenant des infractions ont été soumis au Secrétariat de l’ICCAT depuis novembre 202</w:t>
      </w:r>
      <w:r w:rsidR="00364180" w:rsidRPr="005756CE">
        <w:rPr>
          <w:rFonts w:ascii="Cambria" w:eastAsia="Times New Roman" w:hAnsi="Cambria"/>
          <w:kern w:val="0"/>
          <w:sz w:val="20"/>
          <w:szCs w:val="20"/>
          <w14:ligatures w14:val="none"/>
        </w:rPr>
        <w:t>4</w:t>
      </w:r>
      <w:r w:rsidRPr="005756CE">
        <w:rPr>
          <w:rFonts w:ascii="Cambria" w:eastAsia="Times New Roman" w:hAnsi="Cambria"/>
          <w:kern w:val="0"/>
          <w:sz w:val="20"/>
          <w:szCs w:val="20"/>
          <w14:ligatures w14:val="none"/>
        </w:rPr>
        <w:t>.</w:t>
      </w:r>
    </w:p>
    <w:bookmarkEnd w:id="16"/>
    <w:p w14:paraId="57F833A4"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67E20E7D" w14:textId="6183B25B"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La Rec. </w:t>
      </w:r>
      <w:r w:rsidR="00364180" w:rsidRPr="005756CE">
        <w:rPr>
          <w:rFonts w:ascii="Cambria" w:eastAsia="Times New Roman" w:hAnsi="Cambria"/>
          <w:kern w:val="0"/>
          <w:sz w:val="20"/>
          <w:szCs w:val="20"/>
          <w14:ligatures w14:val="none"/>
        </w:rPr>
        <w:t>23-17</w:t>
      </w:r>
      <w:r w:rsidRPr="005756CE">
        <w:rPr>
          <w:rFonts w:ascii="Cambria" w:eastAsia="Times New Roman" w:hAnsi="Cambria"/>
          <w:kern w:val="0"/>
          <w:sz w:val="20"/>
          <w:szCs w:val="20"/>
          <w14:ligatures w14:val="none"/>
        </w:rPr>
        <w:t xml:space="preserve"> prévoit que la soumission de rapports d'inspection dans lesquels aucune infraction n'a été constatée est volontaire. Le </w:t>
      </w:r>
      <w:r w:rsidRPr="005756CE">
        <w:rPr>
          <w:rFonts w:ascii="Cambria" w:eastAsia="Times New Roman" w:hAnsi="Cambria"/>
          <w:b/>
          <w:bCs/>
          <w:kern w:val="0"/>
          <w:sz w:val="20"/>
          <w:szCs w:val="20"/>
          <w14:ligatures w14:val="none"/>
        </w:rPr>
        <w:t>tableau 3</w:t>
      </w:r>
      <w:r w:rsidRPr="005756CE">
        <w:rPr>
          <w:rFonts w:ascii="Cambria" w:eastAsia="Times New Roman" w:hAnsi="Cambria"/>
          <w:kern w:val="0"/>
          <w:sz w:val="20"/>
          <w:szCs w:val="20"/>
          <w14:ligatures w14:val="none"/>
        </w:rPr>
        <w:t xml:space="preserve"> fournit un résumé des rapports reçus.</w:t>
      </w:r>
      <w:r w:rsidRPr="005756CE">
        <w:rPr>
          <w:rFonts w:ascii="Cambria" w:eastAsia="Times New Roman" w:hAnsi="Cambria"/>
          <w:b/>
          <w:kern w:val="0"/>
          <w:sz w:val="20"/>
          <w:szCs w:val="20"/>
          <w14:ligatures w14:val="none"/>
        </w:rPr>
        <w:t xml:space="preserve">  </w:t>
      </w:r>
      <w:r w:rsidRPr="005756CE">
        <w:rPr>
          <w:rFonts w:ascii="Cambria" w:eastAsia="Times New Roman" w:hAnsi="Cambria"/>
          <w:kern w:val="0"/>
          <w:sz w:val="20"/>
          <w:szCs w:val="20"/>
          <w14:ligatures w14:val="none"/>
        </w:rPr>
        <w:t xml:space="preserve">Dans de nombreux cas, les rapports sont reçus en retard et le Secrétariat de l’ICCAT a noté que les exemplaires des rapports n’ont pas été mis à la disposition des États du pavillon dans tous les cas. </w:t>
      </w:r>
    </w:p>
    <w:p w14:paraId="6652D189"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26A8AB77" w14:textId="4DE66F42"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b/>
          <w:bCs/>
          <w:i/>
          <w:kern w:val="0"/>
          <w:sz w:val="20"/>
          <w:szCs w:val="20"/>
          <w14:ligatures w14:val="none"/>
        </w:rPr>
        <w:t xml:space="preserve">Déclaration des ports désignés en vertu de la Rec. </w:t>
      </w:r>
      <w:r w:rsidR="00364180" w:rsidRPr="005756CE">
        <w:rPr>
          <w:rFonts w:ascii="Cambria" w:eastAsia="Times New Roman" w:hAnsi="Cambria"/>
          <w:b/>
          <w:bCs/>
          <w:i/>
          <w:kern w:val="0"/>
          <w:sz w:val="20"/>
          <w:szCs w:val="20"/>
          <w14:ligatures w14:val="none"/>
        </w:rPr>
        <w:t>23</w:t>
      </w:r>
      <w:r w:rsidRPr="005756CE">
        <w:rPr>
          <w:rFonts w:ascii="Cambria" w:eastAsia="Times New Roman" w:hAnsi="Cambria"/>
          <w:b/>
          <w:bCs/>
          <w:i/>
          <w:kern w:val="0"/>
          <w:sz w:val="20"/>
          <w:szCs w:val="20"/>
          <w14:ligatures w14:val="none"/>
        </w:rPr>
        <w:t>-</w:t>
      </w:r>
      <w:r w:rsidR="00364180" w:rsidRPr="005756CE">
        <w:rPr>
          <w:rFonts w:ascii="Cambria" w:eastAsia="Times New Roman" w:hAnsi="Cambria"/>
          <w:b/>
          <w:bCs/>
          <w:i/>
          <w:kern w:val="0"/>
          <w:sz w:val="20"/>
          <w:szCs w:val="20"/>
          <w14:ligatures w14:val="none"/>
        </w:rPr>
        <w:t>17</w:t>
      </w:r>
      <w:r w:rsidR="003B59EB" w:rsidRPr="005756CE">
        <w:rPr>
          <w:rFonts w:ascii="Cambria" w:eastAsia="Times New Roman" w:hAnsi="Cambria"/>
          <w:b/>
          <w:bCs/>
          <w:i/>
          <w:kern w:val="0"/>
          <w:sz w:val="20"/>
          <w:szCs w:val="20"/>
          <w14:ligatures w14:val="none"/>
        </w:rPr>
        <w:t xml:space="preserve"> : </w:t>
      </w:r>
      <w:r w:rsidRPr="005756CE">
        <w:rPr>
          <w:rFonts w:ascii="Cambria" w:eastAsia="Times New Roman" w:hAnsi="Cambria"/>
          <w:kern w:val="0"/>
          <w:sz w:val="20"/>
          <w:szCs w:val="20"/>
          <w14:ligatures w14:val="none"/>
        </w:rPr>
        <w:t xml:space="preserve">Le Registre ICCAT des ports dans lesquels les navires étrangers peuvent entrer est publié sur le  </w:t>
      </w:r>
      <w:hyperlink r:id="rId30" w:history="1">
        <w:r w:rsidRPr="005756CE">
          <w:rPr>
            <w:rFonts w:ascii="Cambria" w:eastAsia="Times New Roman" w:hAnsi="Cambria"/>
            <w:color w:val="0000FF"/>
            <w:kern w:val="0"/>
            <w:sz w:val="20"/>
            <w:szCs w:val="20"/>
            <w14:ligatures w14:val="none"/>
          </w:rPr>
          <w:t>site web de l’ICCAT</w:t>
        </w:r>
      </w:hyperlink>
      <w:r w:rsidRPr="005756CE">
        <w:rPr>
          <w:rFonts w:ascii="Cambria" w:eastAsia="Times New Roman" w:hAnsi="Cambria"/>
          <w:kern w:val="0"/>
          <w:sz w:val="20"/>
          <w:szCs w:val="20"/>
          <w14:ligatures w14:val="none"/>
        </w:rPr>
        <w:fldChar w:fldCharType="begin"/>
      </w:r>
      <w:r w:rsidRPr="005756CE">
        <w:rPr>
          <w:rFonts w:ascii="Cambria" w:eastAsia="Times New Roman" w:hAnsi="Cambria"/>
          <w:kern w:val="0"/>
          <w:sz w:val="20"/>
          <w:szCs w:val="20"/>
          <w14:ligatures w14:val="none"/>
        </w:rPr>
        <w:instrText xml:space="preserve"> "http://www.iccat.int/en/Ports.asp" </w:instrText>
      </w:r>
      <w:r w:rsidRPr="005756CE">
        <w:rPr>
          <w:rFonts w:ascii="Cambria" w:eastAsia="Times New Roman" w:hAnsi="Cambria"/>
          <w:kern w:val="0"/>
          <w:sz w:val="20"/>
          <w:szCs w:val="20"/>
          <w14:ligatures w14:val="none"/>
        </w:rPr>
        <w:fldChar w:fldCharType="separate"/>
      </w:r>
      <w:r w:rsidRPr="005756CE">
        <w:rPr>
          <w:rFonts w:ascii="Cambria" w:eastAsia="Times New Roman" w:hAnsi="Cambria"/>
          <w:color w:val="0000FF"/>
          <w:kern w:val="0"/>
          <w:sz w:val="20"/>
          <w:szCs w:val="20"/>
          <w14:ligatures w14:val="none"/>
        </w:rPr>
        <w:t>www.iccat.int/en/Ports.asp</w:t>
      </w:r>
      <w:r w:rsidRPr="005756CE">
        <w:rPr>
          <w:rFonts w:ascii="Cambria" w:eastAsia="Times New Roman" w:hAnsi="Cambria"/>
          <w:color w:val="0000FF"/>
          <w:kern w:val="0"/>
          <w:sz w:val="20"/>
          <w:szCs w:val="20"/>
          <w14:ligatures w14:val="none"/>
        </w:rPr>
        <w:fldChar w:fldCharType="end"/>
      </w:r>
      <w:r w:rsidRPr="005756CE">
        <w:rPr>
          <w:rFonts w:ascii="Cambria" w:eastAsia="Times New Roman" w:hAnsi="Cambria"/>
          <w:kern w:val="0"/>
          <w:sz w:val="20"/>
          <w:szCs w:val="20"/>
          <w14:ligatures w14:val="none"/>
        </w:rPr>
        <w:t xml:space="preserve">. </w:t>
      </w:r>
    </w:p>
    <w:p w14:paraId="2FC6C382"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77470C71" w14:textId="5D9C99F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 xml:space="preserve">[21-14] </w:t>
      </w:r>
      <w:r w:rsidRPr="005756CE">
        <w:rPr>
          <w:rFonts w:ascii="Cambria" w:eastAsia="Times New Roman" w:hAnsi="Cambria"/>
          <w:i/>
          <w:iCs/>
          <w:kern w:val="0"/>
          <w:sz w:val="20"/>
          <w:szCs w:val="20"/>
          <w14:ligatures w14:val="none"/>
        </w:rPr>
        <w:t>Recommandation de l’ICCAT amendant la Recommandation 13-13 concernant l’établissement d’un registre ICCAT de navires de 20 mètres ou plus de longueur hors-tout autorisés à opérer dans la zone de la Convention</w:t>
      </w:r>
    </w:p>
    <w:p w14:paraId="7BB5506B"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77D72EE0" w14:textId="77777777" w:rsidR="00C54FDD" w:rsidRPr="005756CE" w:rsidRDefault="00C54FDD" w:rsidP="001E71F8">
      <w:pPr>
        <w:spacing w:line="240" w:lineRule="auto"/>
        <w:jc w:val="both"/>
        <w:rPr>
          <w:rFonts w:ascii="Cambria" w:hAnsi="Cambria"/>
          <w:sz w:val="20"/>
          <w:szCs w:val="20"/>
        </w:rPr>
      </w:pPr>
      <w:r w:rsidRPr="005756CE">
        <w:rPr>
          <w:rFonts w:ascii="Cambria" w:hAnsi="Cambria"/>
          <w:sz w:val="20"/>
          <w:szCs w:val="20"/>
        </w:rPr>
        <w:t>Après consultation du Président du Comité d’application des mesures de conservation et de gestion, le Secrétariat a désactivé un navire battant pavillon capverdien et un navire battant pavillon algérien de 20 m ou plus pour lesquels les numéros OMI étaient manquants, à l'exclusion des navires exemptés (par exemple, les navires en bois ou non commerciaux).</w:t>
      </w:r>
    </w:p>
    <w:p w14:paraId="75DB255C" w14:textId="66A58B20"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59A9F9CE" w14:textId="56ED4CC9"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Le Belize </w:t>
      </w:r>
      <w:r w:rsidR="004B5101" w:rsidRPr="005756CE">
        <w:rPr>
          <w:rFonts w:ascii="Cambria" w:eastAsia="Times New Roman" w:hAnsi="Cambria"/>
          <w:kern w:val="0"/>
          <w:sz w:val="20"/>
          <w:szCs w:val="20"/>
          <w14:ligatures w14:val="none"/>
        </w:rPr>
        <w:t>a</w:t>
      </w:r>
      <w:r w:rsidRPr="005756CE">
        <w:rPr>
          <w:rFonts w:ascii="Cambria" w:eastAsia="Times New Roman" w:hAnsi="Cambria"/>
          <w:kern w:val="0"/>
          <w:sz w:val="20"/>
          <w:szCs w:val="20"/>
          <w14:ligatures w14:val="none"/>
        </w:rPr>
        <w:t xml:space="preserve"> soumis des actualisations des rapports sur les mesures internes</w:t>
      </w:r>
      <w:r w:rsidR="00CC260A" w:rsidRPr="005756CE">
        <w:rPr>
          <w:rFonts w:ascii="Cambria" w:eastAsia="Times New Roman" w:hAnsi="Cambria"/>
          <w:kern w:val="0"/>
          <w:sz w:val="20"/>
          <w:szCs w:val="20"/>
          <w14:ligatures w14:val="none"/>
        </w:rPr>
        <w:t>,</w:t>
      </w:r>
      <w:r w:rsidRPr="005756CE">
        <w:rPr>
          <w:rFonts w:ascii="Cambria" w:eastAsia="Times New Roman" w:hAnsi="Cambria"/>
          <w:kern w:val="0"/>
          <w:sz w:val="20"/>
          <w:szCs w:val="20"/>
          <w14:ligatures w14:val="none"/>
        </w:rPr>
        <w:t xml:space="preserve"> présentés dans le formulaire CP10</w:t>
      </w:r>
      <w:r w:rsidR="00CC260A" w:rsidRPr="005756CE">
        <w:rPr>
          <w:rFonts w:ascii="Cambria" w:eastAsia="Times New Roman" w:hAnsi="Cambria"/>
          <w:kern w:val="0"/>
          <w:sz w:val="20"/>
          <w:szCs w:val="20"/>
          <w14:ligatures w14:val="none"/>
        </w:rPr>
        <w:t xml:space="preserve"> ou dans un autre format</w:t>
      </w:r>
      <w:r w:rsidRPr="005756CE">
        <w:rPr>
          <w:rFonts w:ascii="Cambria" w:eastAsia="Times New Roman" w:hAnsi="Cambria"/>
          <w:kern w:val="0"/>
          <w:sz w:val="20"/>
          <w:szCs w:val="20"/>
          <w14:ligatures w14:val="none"/>
        </w:rPr>
        <w:t>. Elles sont incluses à l’</w:t>
      </w:r>
      <w:r w:rsidRPr="005756CE">
        <w:rPr>
          <w:rFonts w:ascii="Cambria" w:eastAsia="Times New Roman" w:hAnsi="Cambria"/>
          <w:b/>
          <w:bCs/>
          <w:kern w:val="0"/>
          <w:sz w:val="20"/>
          <w:szCs w:val="20"/>
          <w14:ligatures w14:val="none"/>
        </w:rPr>
        <w:t>annexe 2</w:t>
      </w:r>
      <w:r w:rsidRPr="005756CE">
        <w:rPr>
          <w:rFonts w:ascii="Cambria" w:eastAsia="Times New Roman" w:hAnsi="Cambria"/>
          <w:kern w:val="0"/>
          <w:sz w:val="20"/>
          <w:szCs w:val="20"/>
          <w14:ligatures w14:val="none"/>
        </w:rPr>
        <w:t>.</w:t>
      </w:r>
    </w:p>
    <w:p w14:paraId="68E13C0F"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kern w:val="0"/>
          <w:sz w:val="20"/>
          <w:szCs w:val="20"/>
          <w14:ligatures w14:val="none"/>
        </w:rPr>
      </w:pPr>
    </w:p>
    <w:p w14:paraId="23C9FEB1"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i/>
          <w:color w:val="000000"/>
          <w:kern w:val="0"/>
          <w:sz w:val="20"/>
          <w:szCs w:val="20"/>
          <w14:ligatures w14:val="none"/>
        </w:rPr>
      </w:pPr>
      <w:bookmarkStart w:id="17" w:name="_Hlk147930313"/>
      <w:r w:rsidRPr="005756CE">
        <w:rPr>
          <w:rFonts w:ascii="Cambria" w:eastAsia="Times New Roman" w:hAnsi="Cambria"/>
          <w:i/>
          <w:kern w:val="0"/>
          <w:sz w:val="20"/>
          <w:szCs w:val="20"/>
          <w14:ligatures w14:val="none"/>
        </w:rPr>
        <w:lastRenderedPageBreak/>
        <w:t>[13-14] Recommandation de l’ICCAT concernant l’affrètement de navires de pêche</w:t>
      </w:r>
    </w:p>
    <w:p w14:paraId="173C8DB7"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i/>
          <w:color w:val="000000"/>
          <w:kern w:val="0"/>
          <w:sz w:val="20"/>
          <w:szCs w:val="20"/>
          <w:lang w:eastAsia="es-ES"/>
          <w14:ligatures w14:val="none"/>
        </w:rPr>
      </w:pPr>
    </w:p>
    <w:p w14:paraId="09156EEA" w14:textId="004FB3B9"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color w:val="000000"/>
          <w:kern w:val="0"/>
          <w:sz w:val="20"/>
          <w:szCs w:val="20"/>
          <w14:ligatures w14:val="none"/>
        </w:rPr>
      </w:pPr>
      <w:r w:rsidRPr="005756CE">
        <w:rPr>
          <w:rFonts w:ascii="Cambria" w:eastAsia="Times New Roman" w:hAnsi="Cambria"/>
          <w:color w:val="000000"/>
          <w:kern w:val="0"/>
          <w:sz w:val="20"/>
          <w:szCs w:val="20"/>
          <w14:ligatures w14:val="none"/>
        </w:rPr>
        <w:t>Les rapports récapitulatifs d’affrètement sont inclus à l’</w:t>
      </w:r>
      <w:r w:rsidRPr="005756CE">
        <w:rPr>
          <w:rFonts w:ascii="Cambria" w:eastAsia="Times New Roman" w:hAnsi="Cambria"/>
          <w:b/>
          <w:bCs/>
          <w:color w:val="000000"/>
          <w:kern w:val="0"/>
          <w:sz w:val="20"/>
          <w:szCs w:val="20"/>
          <w14:ligatures w14:val="none"/>
        </w:rPr>
        <w:t>appendice</w:t>
      </w:r>
      <w:r w:rsidRPr="005756CE">
        <w:rPr>
          <w:rFonts w:ascii="Cambria" w:eastAsia="Times New Roman" w:hAnsi="Cambria"/>
          <w:b/>
          <w:color w:val="000000"/>
          <w:kern w:val="0"/>
          <w:sz w:val="20"/>
          <w:szCs w:val="20"/>
          <w14:ligatures w14:val="none"/>
        </w:rPr>
        <w:t xml:space="preserve"> 2</w:t>
      </w:r>
      <w:r w:rsidRPr="005756CE">
        <w:rPr>
          <w:rFonts w:ascii="Cambria" w:eastAsia="Times New Roman" w:hAnsi="Cambria"/>
          <w:color w:val="000000"/>
          <w:kern w:val="0"/>
          <w:sz w:val="20"/>
          <w:szCs w:val="20"/>
          <w14:ligatures w14:val="none"/>
        </w:rPr>
        <w:t xml:space="preserve"> (seulement affrétés par la Namibie pour 202</w:t>
      </w:r>
      <w:r w:rsidR="00550A1E" w:rsidRPr="005756CE">
        <w:rPr>
          <w:rFonts w:ascii="Cambria" w:eastAsia="Times New Roman" w:hAnsi="Cambria"/>
          <w:color w:val="000000"/>
          <w:kern w:val="0"/>
          <w:sz w:val="20"/>
          <w:szCs w:val="20"/>
          <w14:ligatures w14:val="none"/>
        </w:rPr>
        <w:t>4</w:t>
      </w:r>
      <w:r w:rsidRPr="005756CE">
        <w:rPr>
          <w:rFonts w:ascii="Cambria" w:eastAsia="Times New Roman" w:hAnsi="Cambria"/>
          <w:color w:val="000000"/>
          <w:kern w:val="0"/>
          <w:sz w:val="20"/>
          <w:szCs w:val="20"/>
          <w14:ligatures w14:val="none"/>
        </w:rPr>
        <w:t xml:space="preserve">) et le tableau résumant les accords d’affrètement déclarés au </w:t>
      </w:r>
      <w:r w:rsidRPr="005756CE">
        <w:rPr>
          <w:rFonts w:ascii="Cambria" w:eastAsia="Times New Roman" w:hAnsi="Cambria"/>
          <w:b/>
          <w:bCs/>
          <w:color w:val="000000"/>
          <w:kern w:val="0"/>
          <w:sz w:val="20"/>
          <w:szCs w:val="20"/>
          <w14:ligatures w14:val="none"/>
        </w:rPr>
        <w:t xml:space="preserve">tableau </w:t>
      </w:r>
      <w:r w:rsidRPr="005756CE">
        <w:rPr>
          <w:rFonts w:ascii="Cambria" w:eastAsia="Times New Roman" w:hAnsi="Cambria"/>
          <w:b/>
          <w:color w:val="000000"/>
          <w:kern w:val="0"/>
          <w:sz w:val="20"/>
          <w:szCs w:val="20"/>
          <w14:ligatures w14:val="none"/>
        </w:rPr>
        <w:t>10.</w:t>
      </w:r>
      <w:r w:rsidRPr="005756CE">
        <w:rPr>
          <w:rFonts w:ascii="Cambria" w:eastAsia="Times New Roman" w:hAnsi="Cambria"/>
          <w:color w:val="000000"/>
          <w:kern w:val="0"/>
          <w:sz w:val="20"/>
          <w:szCs w:val="20"/>
          <w14:ligatures w14:val="none"/>
        </w:rPr>
        <w:t xml:space="preserve"> </w:t>
      </w:r>
      <w:r w:rsidRPr="005756CE">
        <w:rPr>
          <w:rFonts w:ascii="Cambria" w:eastAsia="Times New Roman" w:hAnsi="Cambria"/>
          <w:kern w:val="0"/>
          <w:sz w:val="20"/>
          <w:szCs w:val="20"/>
          <w14:ligatures w14:val="none"/>
        </w:rPr>
        <w:t>Bien que le formulaire CP53 mis en place en 2021 ait été correctement intégré par les parties participant aux accords d’affrètement, améliorant la coordination et le traitement des données, des difficultés subsistent en ce qui concerne les dates limites de réception des informations en temps opportun</w:t>
      </w:r>
      <w:bookmarkStart w:id="18" w:name="_Hlk118104939"/>
      <w:r w:rsidRPr="005756CE">
        <w:rPr>
          <w:rFonts w:ascii="Cambria" w:eastAsia="Times New Roman" w:hAnsi="Cambria"/>
          <w:color w:val="000000"/>
          <w:kern w:val="0"/>
          <w:sz w:val="20"/>
          <w:szCs w:val="20"/>
          <w14:ligatures w14:val="none"/>
        </w:rPr>
        <w:t>.</w:t>
      </w:r>
    </w:p>
    <w:p w14:paraId="164CBAC9"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color w:val="000000"/>
          <w:kern w:val="0"/>
          <w:sz w:val="20"/>
          <w:szCs w:val="20"/>
          <w:lang w:eastAsia="es-ES"/>
          <w14:ligatures w14:val="none"/>
        </w:rPr>
      </w:pPr>
    </w:p>
    <w:p w14:paraId="58B1C989" w14:textId="19C35D46" w:rsidR="006A1647" w:rsidRPr="005756CE" w:rsidRDefault="006A1647" w:rsidP="00757EEE">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Les extraits des rapports annuels </w:t>
      </w:r>
      <w:r w:rsidR="00757EEE" w:rsidRPr="005756CE">
        <w:rPr>
          <w:rFonts w:ascii="Cambria" w:eastAsia="Times New Roman" w:hAnsi="Cambria"/>
          <w:kern w:val="0"/>
          <w:sz w:val="20"/>
          <w:szCs w:val="20"/>
          <w14:ligatures w14:val="none"/>
        </w:rPr>
        <w:t xml:space="preserve">(IOMS) </w:t>
      </w:r>
      <w:r w:rsidRPr="005756CE">
        <w:rPr>
          <w:rFonts w:ascii="Cambria" w:eastAsia="Times New Roman" w:hAnsi="Cambria"/>
          <w:kern w:val="0"/>
          <w:sz w:val="20"/>
          <w:szCs w:val="20"/>
          <w14:ligatures w14:val="none"/>
        </w:rPr>
        <w:t>d’autres CPC concernant des accords d’accès sont indiqués ci-après.</w:t>
      </w:r>
    </w:p>
    <w:p w14:paraId="378D760B" w14:textId="77777777" w:rsidR="006A1647" w:rsidRPr="005756CE" w:rsidRDefault="006A1647"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color w:val="000000"/>
          <w:kern w:val="0"/>
          <w:sz w:val="20"/>
          <w:szCs w:val="20"/>
          <w:lang w:eastAsia="es-ES"/>
          <w14:ligatures w14:val="none"/>
        </w:rPr>
      </w:pP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6771"/>
      </w:tblGrid>
      <w:tr w:rsidR="006A1647" w:rsidRPr="005756CE" w14:paraId="6E16A66A" w14:textId="77777777" w:rsidTr="000949A9">
        <w:trPr>
          <w:trHeight w:val="295"/>
        </w:trPr>
        <w:tc>
          <w:tcPr>
            <w:tcW w:w="2389" w:type="dxa"/>
            <w:noWrap/>
            <w:hideMark/>
          </w:tcPr>
          <w:p w14:paraId="48F665B4" w14:textId="77777777" w:rsidR="006A1647" w:rsidRPr="005756CE" w:rsidRDefault="006A1647" w:rsidP="001E71F8">
            <w:pPr>
              <w:widowControl w:val="0"/>
              <w:autoSpaceDE w:val="0"/>
              <w:autoSpaceDN w:val="0"/>
              <w:adjustRightInd w:val="0"/>
              <w:spacing w:line="240" w:lineRule="auto"/>
              <w:rPr>
                <w:rFonts w:ascii="Cambria" w:eastAsia="Times New Roman" w:hAnsi="Cambria" w:cs="Calibri"/>
                <w:i/>
                <w:iCs/>
                <w:color w:val="000000"/>
                <w:kern w:val="0"/>
                <w:sz w:val="20"/>
                <w:szCs w:val="20"/>
                <w14:ligatures w14:val="none"/>
              </w:rPr>
            </w:pPr>
            <w:r w:rsidRPr="005756CE">
              <w:rPr>
                <w:rFonts w:ascii="Cambria" w:eastAsia="Times New Roman" w:hAnsi="Cambria"/>
                <w:i/>
                <w:color w:val="000000"/>
                <w:kern w:val="0"/>
                <w:sz w:val="20"/>
                <w:szCs w:val="20"/>
                <w14:ligatures w14:val="none"/>
              </w:rPr>
              <w:t>CPC</w:t>
            </w:r>
          </w:p>
        </w:tc>
        <w:tc>
          <w:tcPr>
            <w:tcW w:w="6771" w:type="dxa"/>
            <w:hideMark/>
          </w:tcPr>
          <w:p w14:paraId="2FA87ED6" w14:textId="77777777" w:rsidR="006A1647" w:rsidRPr="005756CE" w:rsidRDefault="006A1647" w:rsidP="001E71F8">
            <w:pPr>
              <w:widowControl w:val="0"/>
              <w:autoSpaceDE w:val="0"/>
              <w:autoSpaceDN w:val="0"/>
              <w:adjustRightInd w:val="0"/>
              <w:spacing w:line="240" w:lineRule="auto"/>
              <w:rPr>
                <w:rFonts w:ascii="Cambria" w:eastAsia="Times New Roman" w:hAnsi="Cambria" w:cs="Calibri"/>
                <w:i/>
                <w:iCs/>
                <w:color w:val="000000"/>
                <w:kern w:val="0"/>
                <w:sz w:val="20"/>
                <w:szCs w:val="20"/>
                <w14:ligatures w14:val="none"/>
              </w:rPr>
            </w:pPr>
            <w:r w:rsidRPr="005756CE">
              <w:rPr>
                <w:rFonts w:ascii="Cambria" w:eastAsia="Times New Roman" w:hAnsi="Cambria"/>
                <w:i/>
                <w:color w:val="000000"/>
                <w:kern w:val="0"/>
                <w:sz w:val="20"/>
                <w:szCs w:val="20"/>
                <w14:ligatures w14:val="none"/>
              </w:rPr>
              <w:t>Réponse</w:t>
            </w:r>
          </w:p>
        </w:tc>
      </w:tr>
      <w:tr w:rsidR="006A1647" w:rsidRPr="005756CE" w14:paraId="2A1A2C20" w14:textId="77777777" w:rsidTr="000949A9">
        <w:trPr>
          <w:trHeight w:val="311"/>
        </w:trPr>
        <w:tc>
          <w:tcPr>
            <w:tcW w:w="2389" w:type="dxa"/>
            <w:noWrap/>
            <w:hideMark/>
          </w:tcPr>
          <w:p w14:paraId="75FB2611" w14:textId="77777777" w:rsidR="006A1647" w:rsidRPr="005756CE" w:rsidRDefault="006A1647" w:rsidP="001E71F8">
            <w:pPr>
              <w:widowControl w:val="0"/>
              <w:autoSpaceDE w:val="0"/>
              <w:autoSpaceDN w:val="0"/>
              <w:adjustRightInd w:val="0"/>
              <w:spacing w:line="240" w:lineRule="auto"/>
              <w:rPr>
                <w:rFonts w:ascii="Cambria" w:eastAsia="Times New Roman" w:hAnsi="Cambria" w:cs="Calibri"/>
                <w:color w:val="000000"/>
                <w:kern w:val="0"/>
                <w:sz w:val="20"/>
                <w:szCs w:val="20"/>
                <w14:ligatures w14:val="none"/>
              </w:rPr>
            </w:pPr>
            <w:r w:rsidRPr="005756CE">
              <w:rPr>
                <w:rFonts w:ascii="Cambria" w:eastAsia="Times New Roman" w:hAnsi="Cambria"/>
                <w:color w:val="000000"/>
                <w:kern w:val="0"/>
                <w:sz w:val="20"/>
                <w:szCs w:val="20"/>
                <w14:ligatures w14:val="none"/>
              </w:rPr>
              <w:t>Namibie</w:t>
            </w:r>
          </w:p>
        </w:tc>
        <w:tc>
          <w:tcPr>
            <w:tcW w:w="6771" w:type="dxa"/>
            <w:hideMark/>
          </w:tcPr>
          <w:p w14:paraId="3EF05A3B" w14:textId="77777777" w:rsidR="006A1647" w:rsidRPr="005756CE" w:rsidRDefault="006A1647" w:rsidP="001E71F8">
            <w:pPr>
              <w:spacing w:line="240" w:lineRule="auto"/>
              <w:jc w:val="both"/>
              <w:rPr>
                <w:rFonts w:ascii="Cambria" w:eastAsia="Times New Roman" w:hAnsi="Cambria" w:cs="Calibri"/>
                <w:kern w:val="0"/>
                <w:sz w:val="20"/>
                <w:szCs w:val="20"/>
                <w14:ligatures w14:val="none"/>
              </w:rPr>
            </w:pPr>
            <w:r w:rsidRPr="005756CE">
              <w:rPr>
                <w:rFonts w:ascii="Cambria" w:eastAsia="Times New Roman" w:hAnsi="Cambria"/>
                <w:kern w:val="0"/>
                <w:sz w:val="20"/>
                <w:szCs w:val="20"/>
                <w14:ligatures w14:val="none"/>
              </w:rPr>
              <w:t>Diverses dates de déclaration</w:t>
            </w:r>
          </w:p>
          <w:p w14:paraId="25C24D3F" w14:textId="77777777" w:rsidR="006A1647" w:rsidRPr="005756CE" w:rsidRDefault="006A1647" w:rsidP="001E71F8">
            <w:pPr>
              <w:widowControl w:val="0"/>
              <w:autoSpaceDE w:val="0"/>
              <w:autoSpaceDN w:val="0"/>
              <w:adjustRightInd w:val="0"/>
              <w:spacing w:line="240" w:lineRule="auto"/>
              <w:jc w:val="both"/>
              <w:rPr>
                <w:rFonts w:ascii="Cambria" w:eastAsia="Times New Roman" w:hAnsi="Cambria" w:cs="Calibri"/>
                <w:color w:val="000000"/>
                <w:kern w:val="0"/>
                <w:sz w:val="20"/>
                <w:szCs w:val="20"/>
                <w:lang w:val="en-GB"/>
                <w14:ligatures w14:val="none"/>
              </w:rPr>
            </w:pPr>
          </w:p>
        </w:tc>
      </w:tr>
    </w:tbl>
    <w:p w14:paraId="491B90FB" w14:textId="77777777" w:rsidR="006A1647" w:rsidRPr="005756CE" w:rsidRDefault="006A1647"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color w:val="000000"/>
          <w:kern w:val="0"/>
          <w:sz w:val="20"/>
          <w:szCs w:val="20"/>
          <w:lang w:val="en-GB" w:eastAsia="es-ES"/>
          <w14:ligatures w14:val="none"/>
        </w:rPr>
      </w:pPr>
    </w:p>
    <w:p w14:paraId="18A67834"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i/>
          <w:iCs/>
          <w:kern w:val="0"/>
          <w:sz w:val="20"/>
          <w:szCs w:val="20"/>
          <w14:ligatures w14:val="none"/>
        </w:rPr>
      </w:pPr>
      <w:bookmarkStart w:id="19" w:name="_Hlk180407505"/>
      <w:bookmarkStart w:id="20" w:name="_Hlk23162797"/>
      <w:bookmarkStart w:id="21" w:name="_Hlk147932149"/>
      <w:bookmarkEnd w:id="17"/>
      <w:bookmarkEnd w:id="18"/>
      <w:r w:rsidRPr="005756CE">
        <w:rPr>
          <w:rFonts w:ascii="Cambria" w:eastAsia="Times New Roman" w:hAnsi="Cambria"/>
          <w:i/>
          <w:kern w:val="0"/>
          <w:sz w:val="20"/>
          <w:szCs w:val="20"/>
          <w14:ligatures w14:val="none"/>
        </w:rPr>
        <w:t xml:space="preserve">[14-07] Recommandation de l'ICCAT sur des accords d'accès </w:t>
      </w:r>
    </w:p>
    <w:bookmarkEnd w:id="19"/>
    <w:p w14:paraId="455E2BCC"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i/>
          <w:iCs/>
          <w:kern w:val="0"/>
          <w:sz w:val="20"/>
          <w:szCs w:val="20"/>
          <w14:ligatures w14:val="none"/>
        </w:rPr>
      </w:pPr>
    </w:p>
    <w:p w14:paraId="48C300D5" w14:textId="31EE301A"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eastAsia="Times New Roman" w:hAnsi="Cambria"/>
          <w:kern w:val="0"/>
          <w:sz w:val="20"/>
          <w:szCs w:val="20"/>
          <w14:ligatures w14:val="none"/>
        </w:rPr>
        <w:t xml:space="preserve">Depuis la dernière réunion de la Commission, </w:t>
      </w:r>
      <w:r w:rsidR="006A1647" w:rsidRPr="005756CE">
        <w:rPr>
          <w:rFonts w:ascii="Cambria" w:eastAsia="Times New Roman" w:hAnsi="Cambria"/>
          <w:kern w:val="0"/>
          <w:sz w:val="20"/>
          <w:szCs w:val="20"/>
          <w14:ligatures w14:val="none"/>
        </w:rPr>
        <w:t>la Côte d’Ivoire</w:t>
      </w:r>
      <w:r w:rsidRPr="005756CE">
        <w:rPr>
          <w:rFonts w:ascii="Cambria" w:eastAsia="Times New Roman" w:hAnsi="Cambria"/>
          <w:kern w:val="0"/>
          <w:sz w:val="20"/>
          <w:szCs w:val="20"/>
          <w14:ligatures w14:val="none"/>
        </w:rPr>
        <w:t>, l'Union européenne, le Maroc</w:t>
      </w:r>
      <w:r w:rsidR="006A1647" w:rsidRPr="005756CE">
        <w:rPr>
          <w:rFonts w:ascii="Cambria" w:eastAsia="Times New Roman" w:hAnsi="Cambria"/>
          <w:kern w:val="0"/>
          <w:sz w:val="20"/>
          <w:szCs w:val="20"/>
          <w14:ligatures w14:val="none"/>
        </w:rPr>
        <w:t xml:space="preserve"> </w:t>
      </w:r>
      <w:r w:rsidRPr="005756CE">
        <w:rPr>
          <w:rFonts w:ascii="Cambria" w:eastAsia="Times New Roman" w:hAnsi="Cambria"/>
          <w:kern w:val="0"/>
          <w:sz w:val="20"/>
          <w:szCs w:val="20"/>
          <w14:ligatures w14:val="none"/>
        </w:rPr>
        <w:t>et le Royaume-Uni ont fourni des informations actualisées sur les accords d'accès en cours. Certains accords déclarés au cours des années précédentes étaient pluriannuels et sont toujours en cours. La liste complète des accords d’accès se trouve à l’</w:t>
      </w:r>
      <w:r w:rsidRPr="005756CE">
        <w:rPr>
          <w:rFonts w:ascii="Cambria" w:eastAsia="Times New Roman" w:hAnsi="Cambria"/>
          <w:b/>
          <w:bCs/>
          <w:kern w:val="0"/>
          <w:sz w:val="20"/>
          <w:szCs w:val="20"/>
          <w14:ligatures w14:val="none"/>
        </w:rPr>
        <w:t>annexe 6</w:t>
      </w:r>
      <w:r w:rsidRPr="005756CE">
        <w:rPr>
          <w:rFonts w:ascii="Cambria" w:eastAsia="Times New Roman" w:hAnsi="Cambria"/>
          <w:kern w:val="0"/>
          <w:sz w:val="20"/>
          <w:szCs w:val="20"/>
          <w14:ligatures w14:val="none"/>
        </w:rPr>
        <w:t>.</w:t>
      </w:r>
    </w:p>
    <w:p w14:paraId="7C03CF68"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iCs/>
          <w:kern w:val="0"/>
          <w:sz w:val="20"/>
          <w:szCs w:val="20"/>
          <w14:ligatures w14:val="none"/>
        </w:rPr>
      </w:pPr>
    </w:p>
    <w:bookmarkEnd w:id="20"/>
    <w:p w14:paraId="3938B56E"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color w:val="000000"/>
          <w:kern w:val="0"/>
          <w:sz w:val="20"/>
          <w:szCs w:val="20"/>
          <w14:ligatures w14:val="none"/>
        </w:rPr>
      </w:pPr>
      <w:r w:rsidRPr="005756CE">
        <w:rPr>
          <w:rFonts w:ascii="Cambria" w:eastAsia="Times New Roman" w:hAnsi="Cambria"/>
          <w:kern w:val="0"/>
          <w:sz w:val="20"/>
          <w:szCs w:val="20"/>
          <w14:ligatures w14:val="none"/>
        </w:rPr>
        <w:t>Afin d’éviter toute confusion avec la déclaration de la tâche 1, le Secrétariat de l’ICCAT a publié un formulaire de déclaration révisé pour la soumission des informations concernant les accords d’accès, tant pour l’accord en lui-même que pour les captures réalisées dans le cadre de cet accord (cf. CP39) en 2020, mais cette section sur la déclaration des captures n’est actuellement pas utilisée par les CPC.</w:t>
      </w:r>
      <w:bookmarkEnd w:id="21"/>
      <w:r w:rsidRPr="005756CE">
        <w:rPr>
          <w:rFonts w:ascii="Cambria" w:eastAsia="Times New Roman" w:hAnsi="Cambria"/>
          <w:color w:val="000000"/>
          <w:kern w:val="0"/>
          <w:sz w:val="20"/>
          <w:szCs w:val="20"/>
          <w14:ligatures w14:val="none"/>
        </w:rPr>
        <w:t xml:space="preserve"> </w:t>
      </w:r>
    </w:p>
    <w:p w14:paraId="4F94FF1F" w14:textId="77777777" w:rsidR="009C7C25" w:rsidRPr="005756CE" w:rsidRDefault="009C7C25" w:rsidP="001E71F8">
      <w:pPr>
        <w:widowControl w:val="0"/>
        <w:autoSpaceDE w:val="0"/>
        <w:autoSpaceDN w:val="0"/>
        <w:adjustRightInd w:val="0"/>
        <w:spacing w:line="240" w:lineRule="auto"/>
        <w:rPr>
          <w:rFonts w:ascii="Cambria" w:eastAsia="Times New Roman" w:hAnsi="Cambria"/>
          <w:kern w:val="0"/>
          <w:sz w:val="20"/>
          <w:szCs w:val="20"/>
          <w14:ligatures w14:val="none"/>
        </w:rPr>
      </w:pPr>
    </w:p>
    <w:p w14:paraId="220C3103"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Les extraits des rapports annuels d’autres CPC (IOMS) concernant des accords d’accès sont indiqués ci-après.</w:t>
      </w:r>
    </w:p>
    <w:p w14:paraId="48C11762" w14:textId="77777777" w:rsidR="009C7C25" w:rsidRPr="005756CE" w:rsidRDefault="009C7C25" w:rsidP="001E71F8">
      <w:pPr>
        <w:widowControl w:val="0"/>
        <w:autoSpaceDE w:val="0"/>
        <w:autoSpaceDN w:val="0"/>
        <w:adjustRightInd w:val="0"/>
        <w:spacing w:line="240" w:lineRule="auto"/>
        <w:rPr>
          <w:rFonts w:ascii="Cambria" w:eastAsia="Times New Roman" w:hAnsi="Cambria"/>
          <w:kern w:val="0"/>
          <w:sz w:val="20"/>
          <w:szCs w:val="20"/>
          <w14:ligatures w14:val="none"/>
        </w:rPr>
      </w:pP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747"/>
      </w:tblGrid>
      <w:tr w:rsidR="00D90E89" w:rsidRPr="005756CE" w14:paraId="4796AA5C" w14:textId="77777777" w:rsidTr="000949A9">
        <w:trPr>
          <w:trHeight w:val="295"/>
        </w:trPr>
        <w:tc>
          <w:tcPr>
            <w:tcW w:w="1413" w:type="dxa"/>
            <w:noWrap/>
            <w:hideMark/>
          </w:tcPr>
          <w:p w14:paraId="1CDAB566" w14:textId="77777777" w:rsidR="00D90E89" w:rsidRPr="005756CE" w:rsidRDefault="00D90E89" w:rsidP="001E71F8">
            <w:pPr>
              <w:spacing w:line="240" w:lineRule="auto"/>
              <w:rPr>
                <w:rFonts w:ascii="Cambria" w:hAnsi="Cambria" w:cs="Calibri"/>
                <w:i/>
                <w:iCs/>
                <w:color w:val="000000"/>
                <w:sz w:val="20"/>
                <w:szCs w:val="20"/>
              </w:rPr>
            </w:pPr>
            <w:r w:rsidRPr="005756CE">
              <w:rPr>
                <w:rFonts w:ascii="Cambria" w:hAnsi="Cambria"/>
                <w:i/>
                <w:color w:val="000000"/>
                <w:sz w:val="20"/>
                <w:szCs w:val="20"/>
              </w:rPr>
              <w:t>CPC</w:t>
            </w:r>
          </w:p>
        </w:tc>
        <w:tc>
          <w:tcPr>
            <w:tcW w:w="7747" w:type="dxa"/>
            <w:hideMark/>
          </w:tcPr>
          <w:p w14:paraId="0D6DC7CD" w14:textId="77777777" w:rsidR="00D90E89" w:rsidRPr="005756CE" w:rsidRDefault="00D90E89" w:rsidP="001E71F8">
            <w:pPr>
              <w:spacing w:line="240" w:lineRule="auto"/>
              <w:rPr>
                <w:rFonts w:ascii="Cambria" w:hAnsi="Cambria" w:cs="Calibri"/>
                <w:i/>
                <w:iCs/>
                <w:color w:val="000000"/>
                <w:sz w:val="20"/>
                <w:szCs w:val="20"/>
              </w:rPr>
            </w:pPr>
            <w:r w:rsidRPr="005756CE">
              <w:rPr>
                <w:rFonts w:ascii="Cambria" w:hAnsi="Cambria"/>
                <w:i/>
                <w:color w:val="000000"/>
                <w:sz w:val="20"/>
                <w:szCs w:val="20"/>
              </w:rPr>
              <w:t>Réponse</w:t>
            </w:r>
          </w:p>
        </w:tc>
      </w:tr>
      <w:tr w:rsidR="00D90E89" w:rsidRPr="005756CE" w14:paraId="7C50F9F6" w14:textId="77777777" w:rsidTr="000949A9">
        <w:trPr>
          <w:trHeight w:val="311"/>
        </w:trPr>
        <w:tc>
          <w:tcPr>
            <w:tcW w:w="1413" w:type="dxa"/>
            <w:noWrap/>
            <w:hideMark/>
          </w:tcPr>
          <w:p w14:paraId="7A126FAC" w14:textId="77777777" w:rsidR="00D90E89" w:rsidRPr="005756CE" w:rsidRDefault="00D90E89" w:rsidP="001E71F8">
            <w:pPr>
              <w:spacing w:line="240" w:lineRule="auto"/>
              <w:rPr>
                <w:rFonts w:ascii="Cambria" w:hAnsi="Cambria" w:cs="Calibri"/>
                <w:color w:val="000000"/>
                <w:sz w:val="20"/>
                <w:szCs w:val="20"/>
              </w:rPr>
            </w:pPr>
            <w:r w:rsidRPr="005756CE">
              <w:rPr>
                <w:rFonts w:ascii="Cambria" w:hAnsi="Cambria"/>
                <w:color w:val="000000"/>
                <w:sz w:val="20"/>
                <w:szCs w:val="20"/>
              </w:rPr>
              <w:t>Cabo Verde</w:t>
            </w:r>
          </w:p>
        </w:tc>
        <w:tc>
          <w:tcPr>
            <w:tcW w:w="7747" w:type="dxa"/>
            <w:hideMark/>
          </w:tcPr>
          <w:p w14:paraId="6A56A59B" w14:textId="77777777" w:rsidR="0070402A" w:rsidRPr="005756CE" w:rsidRDefault="00D90E89" w:rsidP="001E71F8">
            <w:pPr>
              <w:spacing w:line="240" w:lineRule="auto"/>
              <w:jc w:val="both"/>
              <w:rPr>
                <w:rFonts w:ascii="Cambria" w:hAnsi="Cambria"/>
                <w:sz w:val="20"/>
                <w:szCs w:val="20"/>
              </w:rPr>
            </w:pPr>
            <w:r w:rsidRPr="005756CE">
              <w:rPr>
                <w:rFonts w:ascii="Cambria" w:hAnsi="Cambria"/>
                <w:sz w:val="20"/>
                <w:szCs w:val="20"/>
              </w:rPr>
              <w:t>Dans le cadre des accords d'accès à la pêche entre le Cabo Verde et les pays tiers, les entités suivantes sont autorisées à opérer dans la Zone Economique Exclusive (ZEE) du Cabo Verde :</w:t>
            </w:r>
          </w:p>
          <w:p w14:paraId="30531B09" w14:textId="3AE12509" w:rsidR="00D90E89" w:rsidRPr="005756CE" w:rsidRDefault="00D90E89" w:rsidP="001E71F8">
            <w:pPr>
              <w:spacing w:line="240" w:lineRule="auto"/>
              <w:jc w:val="both"/>
              <w:rPr>
                <w:rFonts w:ascii="Cambria" w:hAnsi="Cambria" w:cs="Calibri"/>
                <w:sz w:val="20"/>
                <w:szCs w:val="20"/>
              </w:rPr>
            </w:pPr>
            <w:r w:rsidRPr="005756CE">
              <w:rPr>
                <w:rFonts w:ascii="Cambria" w:hAnsi="Cambria"/>
                <w:sz w:val="20"/>
                <w:szCs w:val="20"/>
              </w:rPr>
              <w:t>a) Union européenne - 56 licences de pêche : 24 pour les thoniers senneurs, 10 pour les thoniers canneurs et 22 pour les palangriers. Cet accord est valable de 2024 à 2029.</w:t>
            </w:r>
            <w:r w:rsidRPr="005756CE">
              <w:rPr>
                <w:rFonts w:ascii="Cambria" w:hAnsi="Cambria"/>
                <w:sz w:val="20"/>
                <w:szCs w:val="20"/>
              </w:rPr>
              <w:br/>
              <w:t>b) Sénégal - 8 licences de pêche : 1 pour un thonier canneur et 7 pour des thoniers senneurs.</w:t>
            </w:r>
            <w:r w:rsidRPr="005756CE">
              <w:rPr>
                <w:rFonts w:ascii="Cambria" w:hAnsi="Cambria"/>
                <w:sz w:val="20"/>
                <w:szCs w:val="20"/>
              </w:rPr>
              <w:br/>
              <w:t>c) Japon - 42 licences de pêche pour les palangriers</w:t>
            </w:r>
          </w:p>
          <w:p w14:paraId="7F41045A" w14:textId="77777777" w:rsidR="00D90E89" w:rsidRPr="005756CE" w:rsidRDefault="00D90E89" w:rsidP="001E71F8">
            <w:pPr>
              <w:spacing w:line="240" w:lineRule="auto"/>
              <w:jc w:val="both"/>
              <w:rPr>
                <w:rFonts w:ascii="Cambria" w:hAnsi="Cambria" w:cs="Calibri"/>
                <w:color w:val="000000"/>
                <w:sz w:val="20"/>
                <w:szCs w:val="20"/>
              </w:rPr>
            </w:pPr>
          </w:p>
        </w:tc>
      </w:tr>
      <w:tr w:rsidR="00D90E89" w:rsidRPr="005756CE" w14:paraId="649C687F" w14:textId="77777777" w:rsidTr="000949A9">
        <w:trPr>
          <w:trHeight w:val="257"/>
        </w:trPr>
        <w:tc>
          <w:tcPr>
            <w:tcW w:w="1413" w:type="dxa"/>
            <w:noWrap/>
          </w:tcPr>
          <w:p w14:paraId="49924994" w14:textId="77777777" w:rsidR="00D90E89" w:rsidRPr="005756CE" w:rsidRDefault="00D90E89" w:rsidP="001E71F8">
            <w:pPr>
              <w:spacing w:line="240" w:lineRule="auto"/>
              <w:rPr>
                <w:rFonts w:ascii="Cambria" w:hAnsi="Cambria" w:cs="Calibri"/>
                <w:color w:val="000000"/>
                <w:sz w:val="20"/>
                <w:szCs w:val="20"/>
              </w:rPr>
            </w:pPr>
            <w:r w:rsidRPr="005756CE">
              <w:rPr>
                <w:rFonts w:ascii="Cambria" w:hAnsi="Cambria"/>
                <w:color w:val="000000"/>
                <w:sz w:val="20"/>
                <w:szCs w:val="20"/>
              </w:rPr>
              <w:t>Côte d’Ivoire</w:t>
            </w:r>
          </w:p>
        </w:tc>
        <w:tc>
          <w:tcPr>
            <w:tcW w:w="7747" w:type="dxa"/>
          </w:tcPr>
          <w:p w14:paraId="0C1D8C4F" w14:textId="77777777" w:rsidR="00D90E89" w:rsidRPr="005756CE" w:rsidRDefault="00D90E89" w:rsidP="001E71F8">
            <w:pPr>
              <w:spacing w:line="240" w:lineRule="auto"/>
              <w:jc w:val="both"/>
              <w:rPr>
                <w:rFonts w:ascii="Cambria" w:hAnsi="Cambria" w:cs="Calibri"/>
                <w:color w:val="000000"/>
                <w:sz w:val="20"/>
                <w:szCs w:val="20"/>
              </w:rPr>
            </w:pPr>
            <w:r w:rsidRPr="005756CE">
              <w:rPr>
                <w:rFonts w:ascii="Cambria" w:hAnsi="Cambria"/>
                <w:color w:val="000000"/>
                <w:sz w:val="20"/>
                <w:szCs w:val="20"/>
              </w:rPr>
              <w:t>Résumé envoyé le 15 septembre 2025</w:t>
            </w:r>
          </w:p>
        </w:tc>
      </w:tr>
      <w:tr w:rsidR="00D90E89" w:rsidRPr="005756CE" w14:paraId="366318C4" w14:textId="77777777" w:rsidTr="000949A9">
        <w:trPr>
          <w:trHeight w:val="257"/>
        </w:trPr>
        <w:tc>
          <w:tcPr>
            <w:tcW w:w="1413" w:type="dxa"/>
            <w:noWrap/>
            <w:hideMark/>
          </w:tcPr>
          <w:p w14:paraId="5F61BA02" w14:textId="77777777" w:rsidR="00D90E89" w:rsidRPr="005756CE" w:rsidRDefault="00D90E89" w:rsidP="001E71F8">
            <w:pPr>
              <w:spacing w:line="240" w:lineRule="auto"/>
              <w:rPr>
                <w:rFonts w:ascii="Cambria" w:hAnsi="Cambria" w:cs="Calibri"/>
                <w:color w:val="000000"/>
                <w:sz w:val="20"/>
                <w:szCs w:val="20"/>
              </w:rPr>
            </w:pPr>
            <w:r w:rsidRPr="005756CE">
              <w:rPr>
                <w:rFonts w:ascii="Cambria" w:hAnsi="Cambria"/>
                <w:color w:val="000000"/>
                <w:sz w:val="20"/>
                <w:szCs w:val="20"/>
              </w:rPr>
              <w:t>UE</w:t>
            </w:r>
          </w:p>
        </w:tc>
        <w:tc>
          <w:tcPr>
            <w:tcW w:w="7747" w:type="dxa"/>
            <w:hideMark/>
          </w:tcPr>
          <w:p w14:paraId="4329D1D1" w14:textId="77777777" w:rsidR="00D90E89" w:rsidRPr="005756CE" w:rsidRDefault="00D90E89" w:rsidP="001E71F8">
            <w:pPr>
              <w:spacing w:line="240" w:lineRule="auto"/>
              <w:jc w:val="both"/>
              <w:rPr>
                <w:rFonts w:ascii="Cambria" w:hAnsi="Cambria"/>
                <w:color w:val="000000"/>
                <w:sz w:val="20"/>
                <w:szCs w:val="20"/>
              </w:rPr>
            </w:pPr>
            <w:r w:rsidRPr="005756CE">
              <w:rPr>
                <w:rFonts w:ascii="Cambria" w:hAnsi="Cambria"/>
                <w:color w:val="000000"/>
                <w:sz w:val="20"/>
                <w:szCs w:val="20"/>
              </w:rPr>
              <w:t>Résumé envoyé le 25 juillet 2025</w:t>
            </w:r>
          </w:p>
        </w:tc>
      </w:tr>
      <w:tr w:rsidR="00D90E89" w:rsidRPr="005756CE" w14:paraId="6B01D76D" w14:textId="77777777" w:rsidTr="000949A9">
        <w:trPr>
          <w:trHeight w:val="255"/>
        </w:trPr>
        <w:tc>
          <w:tcPr>
            <w:tcW w:w="1413" w:type="dxa"/>
            <w:noWrap/>
          </w:tcPr>
          <w:p w14:paraId="12B9E8E1" w14:textId="77777777" w:rsidR="00D90E89" w:rsidRPr="005756CE" w:rsidRDefault="00D90E89" w:rsidP="001E71F8">
            <w:pPr>
              <w:spacing w:line="240" w:lineRule="auto"/>
              <w:rPr>
                <w:rFonts w:ascii="Cambria" w:hAnsi="Cambria" w:cs="Calibri"/>
                <w:color w:val="000000"/>
                <w:sz w:val="20"/>
                <w:szCs w:val="20"/>
              </w:rPr>
            </w:pPr>
            <w:r w:rsidRPr="005756CE">
              <w:rPr>
                <w:rFonts w:ascii="Cambria" w:hAnsi="Cambria"/>
                <w:color w:val="000000"/>
                <w:sz w:val="20"/>
                <w:szCs w:val="20"/>
              </w:rPr>
              <w:t>Maroc</w:t>
            </w:r>
          </w:p>
        </w:tc>
        <w:tc>
          <w:tcPr>
            <w:tcW w:w="7747" w:type="dxa"/>
          </w:tcPr>
          <w:p w14:paraId="0127B2C5" w14:textId="77777777" w:rsidR="00D90E89" w:rsidRPr="005756CE" w:rsidRDefault="00D90E89" w:rsidP="001E71F8">
            <w:pPr>
              <w:spacing w:line="240" w:lineRule="auto"/>
              <w:jc w:val="both"/>
              <w:rPr>
                <w:rFonts w:ascii="Cambria" w:hAnsi="Cambria"/>
                <w:color w:val="000000"/>
                <w:sz w:val="20"/>
                <w:szCs w:val="20"/>
              </w:rPr>
            </w:pPr>
            <w:r w:rsidRPr="005756CE">
              <w:rPr>
                <w:rFonts w:ascii="Cambria" w:hAnsi="Cambria"/>
                <w:color w:val="000000"/>
                <w:sz w:val="20"/>
                <w:szCs w:val="20"/>
              </w:rPr>
              <w:t xml:space="preserve">Résumé envoyé le 4 juillet 2025 </w:t>
            </w:r>
          </w:p>
        </w:tc>
      </w:tr>
      <w:tr w:rsidR="00D90E89" w:rsidRPr="005756CE" w14:paraId="6F57CE89" w14:textId="77777777" w:rsidTr="000949A9">
        <w:trPr>
          <w:trHeight w:val="684"/>
        </w:trPr>
        <w:tc>
          <w:tcPr>
            <w:tcW w:w="1413" w:type="dxa"/>
            <w:noWrap/>
            <w:hideMark/>
          </w:tcPr>
          <w:p w14:paraId="40B262B7" w14:textId="77777777" w:rsidR="00D90E89" w:rsidRPr="005756CE" w:rsidRDefault="00D90E89" w:rsidP="001E71F8">
            <w:pPr>
              <w:spacing w:line="240" w:lineRule="auto"/>
              <w:rPr>
                <w:rFonts w:ascii="Cambria" w:hAnsi="Cambria" w:cs="Calibri"/>
                <w:color w:val="000000"/>
                <w:sz w:val="20"/>
                <w:szCs w:val="20"/>
              </w:rPr>
            </w:pPr>
            <w:r w:rsidRPr="005756CE">
              <w:rPr>
                <w:rFonts w:ascii="Cambria" w:hAnsi="Cambria"/>
                <w:color w:val="000000"/>
                <w:sz w:val="20"/>
                <w:szCs w:val="20"/>
              </w:rPr>
              <w:t>Royaume-Uni</w:t>
            </w:r>
          </w:p>
        </w:tc>
        <w:tc>
          <w:tcPr>
            <w:tcW w:w="7747" w:type="dxa"/>
            <w:hideMark/>
          </w:tcPr>
          <w:p w14:paraId="1681DE13" w14:textId="6D52B42A" w:rsidR="00D90E89" w:rsidRPr="005756CE" w:rsidRDefault="00D90E89" w:rsidP="001E71F8">
            <w:pPr>
              <w:spacing w:line="240" w:lineRule="auto"/>
              <w:jc w:val="both"/>
              <w:rPr>
                <w:rFonts w:ascii="Cambria" w:hAnsi="Cambria"/>
                <w:sz w:val="20"/>
                <w:szCs w:val="20"/>
              </w:rPr>
            </w:pPr>
            <w:r w:rsidRPr="005756CE">
              <w:rPr>
                <w:rFonts w:ascii="Cambria" w:hAnsi="Cambria"/>
                <w:sz w:val="20"/>
                <w:szCs w:val="20"/>
              </w:rPr>
              <w:t>Le</w:t>
            </w:r>
            <w:r w:rsidR="00855A28" w:rsidRPr="005756CE">
              <w:rPr>
                <w:rFonts w:ascii="Cambria" w:hAnsi="Cambria"/>
                <w:sz w:val="20"/>
                <w:szCs w:val="20"/>
              </w:rPr>
              <w:t xml:space="preserve"> </w:t>
            </w:r>
            <w:r w:rsidRPr="005756CE">
              <w:rPr>
                <w:rFonts w:ascii="Cambria" w:hAnsi="Cambria"/>
                <w:sz w:val="20"/>
                <w:szCs w:val="20"/>
              </w:rPr>
              <w:t>25 juillet 2025, RU Met a soumis le CP39-AccAgr (formulaire B) contenant le résumé des activités et des captures pour l'accord d'accès réciproque de 2024 pour le germon de l'Atlantique Nord avec l'Union européenne (UE).</w:t>
            </w:r>
          </w:p>
          <w:p w14:paraId="0F313F58" w14:textId="77777777" w:rsidR="00D90E89" w:rsidRPr="005756CE" w:rsidRDefault="00D90E89" w:rsidP="001E71F8">
            <w:pPr>
              <w:spacing w:line="240" w:lineRule="auto"/>
              <w:jc w:val="both"/>
              <w:rPr>
                <w:rFonts w:ascii="Cambria" w:hAnsi="Cambria" w:cs="Calibri"/>
                <w:color w:val="000000"/>
                <w:sz w:val="20"/>
                <w:szCs w:val="20"/>
              </w:rPr>
            </w:pPr>
          </w:p>
        </w:tc>
      </w:tr>
    </w:tbl>
    <w:p w14:paraId="3AB13AFA" w14:textId="77777777" w:rsidR="009C7C25" w:rsidRPr="005756CE" w:rsidRDefault="009C7C25" w:rsidP="001E71F8">
      <w:pPr>
        <w:widowControl w:val="0"/>
        <w:autoSpaceDE w:val="0"/>
        <w:autoSpaceDN w:val="0"/>
        <w:adjustRightInd w:val="0"/>
        <w:spacing w:line="240" w:lineRule="auto"/>
        <w:rPr>
          <w:rFonts w:ascii="Cambria" w:eastAsia="Times New Roman" w:hAnsi="Cambria"/>
          <w:kern w:val="0"/>
          <w:sz w:val="20"/>
          <w:szCs w:val="20"/>
          <w14:ligatures w14:val="none"/>
        </w:rPr>
      </w:pPr>
    </w:p>
    <w:p w14:paraId="72A6B008" w14:textId="79E516F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[18-10]</w:t>
      </w:r>
      <w:r w:rsidRPr="005756CE">
        <w:rPr>
          <w:rFonts w:ascii="Cambria" w:eastAsia="Times New Roman" w:hAnsi="Cambria"/>
          <w:kern w:val="0"/>
          <w:sz w:val="20"/>
          <w:szCs w:val="20"/>
          <w14:ligatures w14:val="none"/>
        </w:rPr>
        <w:t xml:space="preserve"> </w:t>
      </w:r>
      <w:hyperlink r:id="rId31" w:tgtFrame="_blank" w:history="1">
        <w:r w:rsidRPr="005756CE">
          <w:rPr>
            <w:rFonts w:ascii="Cambria" w:eastAsia="Times New Roman" w:hAnsi="Cambria"/>
            <w:i/>
            <w:kern w:val="0"/>
            <w:sz w:val="20"/>
            <w:szCs w:val="20"/>
            <w14:ligatures w14:val="none"/>
          </w:rPr>
          <w:t>Recommandation de l’ICCAT concernant des normes minimales pour des systèmes de surveillance des bateaux dans la zone de la Convention de l’ICCAT</w:t>
        </w:r>
      </w:hyperlink>
    </w:p>
    <w:p w14:paraId="7FBC19BD"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kern w:val="0"/>
          <w:sz w:val="20"/>
          <w:szCs w:val="20"/>
          <w14:ligatures w14:val="none"/>
        </w:rPr>
      </w:pPr>
    </w:p>
    <w:p w14:paraId="6E346B28" w14:textId="127CE180"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La Recommandation actuelle ne comporte aucune exigence de déclaration directe. Pour les questions d’application de la mise en œuvre du VMS, veuillez-vous référer à la Rec. </w:t>
      </w:r>
      <w:r w:rsidR="00522530" w:rsidRPr="005756CE">
        <w:rPr>
          <w:rFonts w:ascii="Cambria" w:eastAsia="Times New Roman" w:hAnsi="Cambria"/>
          <w:kern w:val="0"/>
          <w:sz w:val="20"/>
          <w:szCs w:val="20"/>
          <w14:ligatures w14:val="none"/>
        </w:rPr>
        <w:t>24</w:t>
      </w:r>
      <w:r w:rsidRPr="005756CE">
        <w:rPr>
          <w:rFonts w:ascii="Cambria" w:eastAsia="Times New Roman" w:hAnsi="Cambria"/>
          <w:kern w:val="0"/>
          <w:sz w:val="20"/>
          <w:szCs w:val="20"/>
          <w14:ligatures w14:val="none"/>
        </w:rPr>
        <w:t>-0</w:t>
      </w:r>
      <w:r w:rsidR="00522530"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 xml:space="preserve">. </w:t>
      </w:r>
    </w:p>
    <w:p w14:paraId="1C250408" w14:textId="121226D7" w:rsidR="008768FF" w:rsidRPr="005756CE" w:rsidRDefault="008768FF">
      <w:pPr>
        <w:rPr>
          <w:rFonts w:ascii="Cambria" w:eastAsia="Times New Roman" w:hAnsi="Cambria"/>
          <w:i/>
          <w:kern w:val="0"/>
          <w:sz w:val="20"/>
          <w:szCs w:val="20"/>
          <w14:ligatures w14:val="none"/>
        </w:rPr>
      </w:pPr>
    </w:p>
    <w:p w14:paraId="0F0A2E1B" w14:textId="4906923D"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[15-09] Résolution de l'ICCAT établissant des directives aux fins de la mise en œuvre de la Recommandation 11-15 de l’ICCAT sur les pénalisations applicables en cas de non-respect des obligations de déclaration</w:t>
      </w:r>
    </w:p>
    <w:p w14:paraId="14977896"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kern w:val="0"/>
          <w:sz w:val="20"/>
          <w:szCs w:val="20"/>
          <w14:ligatures w14:val="none"/>
        </w:rPr>
      </w:pPr>
    </w:p>
    <w:p w14:paraId="11F9BD81"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Veuillez consulter la Rec. 11-15 ci-dessus.</w:t>
      </w:r>
    </w:p>
    <w:p w14:paraId="390C56F3"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lastRenderedPageBreak/>
        <w:t>[16-14] Recommandation de l’ICCAT visant à établir des normes minimales pour les programmes d’observateurs scientifiques à bord de navires de pêche</w:t>
      </w:r>
    </w:p>
    <w:p w14:paraId="29707288"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kern w:val="0"/>
          <w:sz w:val="20"/>
          <w:szCs w:val="20"/>
          <w14:ligatures w14:val="none"/>
        </w:rPr>
      </w:pPr>
    </w:p>
    <w:p w14:paraId="59E6A578" w14:textId="7CCB5B24" w:rsidR="009C7C25" w:rsidRPr="005756CE" w:rsidRDefault="009C7C25" w:rsidP="001E71F8">
      <w:pPr>
        <w:widowControl w:val="0"/>
        <w:autoSpaceDE w:val="0"/>
        <w:autoSpaceDN w:val="0"/>
        <w:adjustRightInd w:val="0"/>
        <w:spacing w:line="240" w:lineRule="auto"/>
        <w:jc w:val="both"/>
        <w:rPr>
          <w:rFonts w:ascii="Cambria" w:eastAsia="Times New Roman" w:hAnsi="Cambria"/>
          <w:bCs/>
          <w:iCs/>
          <w:kern w:val="0"/>
          <w:sz w:val="20"/>
          <w:szCs w:val="20"/>
          <w14:ligatures w14:val="none"/>
        </w:rPr>
      </w:pPr>
      <w:r w:rsidRPr="005756CE">
        <w:rPr>
          <w:rFonts w:ascii="Cambria" w:eastAsia="Times New Roman" w:hAnsi="Cambria"/>
          <w:kern w:val="0"/>
          <w:sz w:val="20"/>
          <w:szCs w:val="20"/>
          <w14:ligatures w14:val="none"/>
        </w:rPr>
        <w:t xml:space="preserve">Plusieurs CPC ont indiqué avoir rencontré des difficultés dans la mise en œuvre des programmes d’observateurs scientifiques. Un résumé des programmes d'observateurs des CPC figure dans le </w:t>
      </w:r>
      <w:r w:rsidR="003B59EB"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Rapport de 202</w:t>
      </w:r>
      <w:r w:rsidR="009B0778"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 xml:space="preserve"> du Secrétariat de l'ICCAT sur la recherche et les statistiques</w:t>
      </w:r>
      <w:r w:rsidR="003B59EB"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 xml:space="preserve"> [PLE_105/202</w:t>
      </w:r>
      <w:r w:rsidR="009B0778"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 xml:space="preserve">] et dans les </w:t>
      </w:r>
      <w:r w:rsidR="003B59EB"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Informations sur la mise en œuvre des programmes d'observateurs scientifiques communiquées par les CPC</w:t>
      </w:r>
      <w:r w:rsidR="003B59EB"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 xml:space="preserve"> [COC_318/202</w:t>
      </w:r>
      <w:r w:rsidR="009B0778"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w:t>
      </w:r>
    </w:p>
    <w:p w14:paraId="0066D32D"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bCs/>
          <w:iCs/>
          <w:kern w:val="0"/>
          <w:sz w:val="20"/>
          <w:szCs w:val="20"/>
          <w14:ligatures w14:val="none"/>
        </w:rPr>
      </w:pPr>
    </w:p>
    <w:p w14:paraId="03C00C04"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iCs/>
          <w:kern w:val="0"/>
          <w:sz w:val="20"/>
          <w:szCs w:val="20"/>
          <w14:ligatures w14:val="none"/>
        </w:rPr>
      </w:pPr>
      <w:r w:rsidRPr="005756CE">
        <w:rPr>
          <w:rFonts w:ascii="Cambria" w:eastAsia="Times New Roman" w:hAnsi="Cambria"/>
          <w:i/>
          <w:kern w:val="0"/>
          <w:sz w:val="20"/>
          <w:szCs w:val="20"/>
          <w14:ligatures w14:val="none"/>
        </w:rPr>
        <w:t>[21-15] Recommandation de l’ICCAT sur le transbordement</w:t>
      </w:r>
    </w:p>
    <w:p w14:paraId="0DA1B81C" w14:textId="77777777" w:rsidR="0096241C" w:rsidRPr="005756CE" w:rsidRDefault="0096241C" w:rsidP="001E71F8">
      <w:pPr>
        <w:spacing w:line="240" w:lineRule="auto"/>
        <w:jc w:val="both"/>
        <w:rPr>
          <w:rFonts w:ascii="Cambria" w:hAnsi="Cambria"/>
          <w:b/>
          <w:bCs/>
          <w:sz w:val="20"/>
          <w:szCs w:val="20"/>
        </w:rPr>
      </w:pPr>
    </w:p>
    <w:p w14:paraId="1020D507" w14:textId="77777777" w:rsidR="0096241C" w:rsidRPr="005756CE" w:rsidRDefault="0096241C" w:rsidP="001E71F8">
      <w:pPr>
        <w:tabs>
          <w:tab w:val="left" w:pos="1276"/>
          <w:tab w:val="left" w:pos="1418"/>
          <w:tab w:val="left" w:leader="dot" w:pos="8222"/>
          <w:tab w:val="right" w:pos="8647"/>
        </w:tabs>
        <w:spacing w:line="240" w:lineRule="auto"/>
        <w:jc w:val="both"/>
        <w:rPr>
          <w:rFonts w:ascii="Cambria" w:hAnsi="Cambria"/>
          <w:bCs/>
          <w:sz w:val="20"/>
          <w:szCs w:val="20"/>
        </w:rPr>
      </w:pPr>
      <w:r w:rsidRPr="005756CE">
        <w:rPr>
          <w:rFonts w:ascii="Cambria" w:hAnsi="Cambria"/>
          <w:sz w:val="20"/>
          <w:szCs w:val="20"/>
        </w:rPr>
        <w:t>(</w:t>
      </w:r>
      <w:proofErr w:type="gramStart"/>
      <w:r w:rsidRPr="005756CE">
        <w:rPr>
          <w:rFonts w:ascii="Cambria" w:hAnsi="Cambria"/>
          <w:sz w:val="20"/>
          <w:szCs w:val="20"/>
        </w:rPr>
        <w:t>remplacée</w:t>
      </w:r>
      <w:proofErr w:type="gramEnd"/>
      <w:r w:rsidRPr="005756CE">
        <w:rPr>
          <w:rFonts w:ascii="Cambria" w:hAnsi="Cambria"/>
          <w:color w:val="000000"/>
          <w:sz w:val="20"/>
          <w:szCs w:val="20"/>
        </w:rPr>
        <w:t xml:space="preserve"> par la [Rec. 24-15]</w:t>
      </w:r>
      <w:r w:rsidRPr="005756CE">
        <w:rPr>
          <w:rFonts w:ascii="Cambria" w:hAnsi="Cambria"/>
          <w:i/>
          <w:iCs/>
          <w:color w:val="000000"/>
          <w:sz w:val="20"/>
          <w:szCs w:val="20"/>
        </w:rPr>
        <w:t xml:space="preserve"> Recommandation de l’ICCAT amendant la Recommandation 21-15 sur le transbordement</w:t>
      </w:r>
      <w:r w:rsidRPr="005756CE">
        <w:rPr>
          <w:rFonts w:ascii="Cambria" w:hAnsi="Cambria"/>
          <w:color w:val="000000"/>
          <w:sz w:val="20"/>
          <w:szCs w:val="20"/>
        </w:rPr>
        <w:t>)</w:t>
      </w:r>
    </w:p>
    <w:p w14:paraId="6616A415" w14:textId="77777777" w:rsidR="0096241C" w:rsidRPr="005756CE" w:rsidRDefault="0096241C"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1560249D"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Les navires de charge et les LPLV associés sont publiés sur le site web de l’ICCAT dans le </w:t>
      </w:r>
      <w:hyperlink r:id="rId32" w:history="1">
        <w:r w:rsidRPr="005756CE">
          <w:rPr>
            <w:rFonts w:ascii="Cambria" w:eastAsia="Times New Roman" w:hAnsi="Cambria"/>
            <w:color w:val="0000FF"/>
            <w:kern w:val="0"/>
            <w:sz w:val="20"/>
            <w:szCs w:val="20"/>
            <w14:ligatures w14:val="none"/>
          </w:rPr>
          <w:t>Registre ICCAT des navires</w:t>
        </w:r>
      </w:hyperlink>
      <w:r w:rsidRPr="005756CE">
        <w:rPr>
          <w:rFonts w:ascii="Cambria" w:eastAsia="Times New Roman" w:hAnsi="Cambria"/>
          <w:kern w:val="0"/>
          <w:sz w:val="20"/>
          <w:szCs w:val="20"/>
          <w14:ligatures w14:val="none"/>
        </w:rPr>
        <w:t xml:space="preserve"> </w:t>
      </w:r>
    </w:p>
    <w:p w14:paraId="24695A5A"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6"/>
        <w:jc w:val="both"/>
        <w:rPr>
          <w:rFonts w:ascii="Cambria" w:eastAsia="Times New Roman" w:hAnsi="Cambria"/>
          <w:b/>
          <w:kern w:val="0"/>
          <w:sz w:val="20"/>
          <w:szCs w:val="20"/>
          <w14:ligatures w14:val="none"/>
        </w:rPr>
      </w:pPr>
    </w:p>
    <w:p w14:paraId="78BBF4D3" w14:textId="303E4720"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Le document </w:t>
      </w:r>
      <w:r w:rsidR="003B59EB" w:rsidRPr="005756CE">
        <w:rPr>
          <w:rFonts w:ascii="Cambria" w:eastAsia="Times New Roman" w:hAnsi="Cambria"/>
          <w:kern w:val="0"/>
          <w:sz w:val="20"/>
          <w:szCs w:val="20"/>
          <w14:ligatures w14:val="none"/>
        </w:rPr>
        <w:t xml:space="preserve">« Rapport sur la mise en œuvre du programme régional d’observateurs de l’ICCAT (ROP) pour les transbordements </w:t>
      </w:r>
      <w:r w:rsidR="00034117" w:rsidRPr="005756CE">
        <w:rPr>
          <w:rFonts w:ascii="Cambria" w:eastAsia="Times New Roman" w:hAnsi="Cambria"/>
          <w:kern w:val="0"/>
          <w:sz w:val="20"/>
          <w:szCs w:val="20"/>
          <w14:ligatures w14:val="none"/>
        </w:rPr>
        <w:t>202</w:t>
      </w:r>
      <w:r w:rsidR="0096241C" w:rsidRPr="005756CE">
        <w:rPr>
          <w:rFonts w:ascii="Cambria" w:eastAsia="Times New Roman" w:hAnsi="Cambria"/>
          <w:kern w:val="0"/>
          <w:sz w:val="20"/>
          <w:szCs w:val="20"/>
          <w14:ligatures w14:val="none"/>
        </w:rPr>
        <w:t>4</w:t>
      </w:r>
      <w:r w:rsidR="003B59EB" w:rsidRPr="005756CE">
        <w:rPr>
          <w:rFonts w:ascii="Cambria" w:eastAsia="Times New Roman" w:hAnsi="Cambria"/>
          <w:kern w:val="0"/>
          <w:sz w:val="20"/>
          <w:szCs w:val="20"/>
          <w14:ligatures w14:val="none"/>
        </w:rPr>
        <w:t>/202</w:t>
      </w:r>
      <w:r w:rsidR="0096241C" w:rsidRPr="005756CE">
        <w:rPr>
          <w:rFonts w:ascii="Cambria" w:eastAsia="Times New Roman" w:hAnsi="Cambria"/>
          <w:kern w:val="0"/>
          <w:sz w:val="20"/>
          <w:szCs w:val="20"/>
          <w14:ligatures w14:val="none"/>
        </w:rPr>
        <w:t>5</w:t>
      </w:r>
      <w:r w:rsidR="003B59EB" w:rsidRPr="005756CE">
        <w:rPr>
          <w:rFonts w:ascii="Cambria" w:eastAsia="Times New Roman" w:hAnsi="Cambria"/>
          <w:kern w:val="0"/>
          <w:sz w:val="20"/>
          <w:szCs w:val="20"/>
          <w14:ligatures w14:val="none"/>
        </w:rPr>
        <w:t> » (</w:t>
      </w:r>
      <w:r w:rsidRPr="005756CE">
        <w:rPr>
          <w:rFonts w:ascii="Cambria" w:eastAsia="Times New Roman" w:hAnsi="Cambria"/>
          <w:kern w:val="0"/>
          <w:sz w:val="20"/>
          <w:szCs w:val="20"/>
          <w14:ligatures w14:val="none"/>
        </w:rPr>
        <w:t>PWG-402/202</w:t>
      </w:r>
      <w:r w:rsidR="002B6061" w:rsidRPr="005756CE">
        <w:rPr>
          <w:rFonts w:ascii="Cambria" w:eastAsia="Times New Roman" w:hAnsi="Cambria"/>
          <w:kern w:val="0"/>
          <w:sz w:val="20"/>
          <w:szCs w:val="20"/>
          <w14:ligatures w14:val="none"/>
        </w:rPr>
        <w:t>5</w:t>
      </w:r>
      <w:r w:rsidR="003B59EB" w:rsidRPr="005756CE">
        <w:rPr>
          <w:rFonts w:ascii="Cambria" w:eastAsia="Times New Roman" w:hAnsi="Cambria"/>
          <w:kern w:val="0"/>
          <w:sz w:val="20"/>
          <w:szCs w:val="20"/>
          <w14:ligatures w14:val="none"/>
        </w:rPr>
        <w:t>)</w:t>
      </w:r>
      <w:r w:rsidRPr="005756CE">
        <w:rPr>
          <w:rFonts w:ascii="Cambria" w:eastAsia="Times New Roman" w:hAnsi="Cambria"/>
          <w:kern w:val="0"/>
          <w:sz w:val="20"/>
          <w:szCs w:val="20"/>
          <w14:ligatures w14:val="none"/>
        </w:rPr>
        <w:t xml:space="preserve"> comporte des informations supplémentaires. Les PNC déclarées par les observateurs et les réponses des CPC sont incluses dans le document </w:t>
      </w:r>
      <w:r w:rsidR="00034117" w:rsidRPr="005756CE">
        <w:rPr>
          <w:rFonts w:ascii="Cambria" w:eastAsia="Times New Roman" w:hAnsi="Cambria"/>
          <w:kern w:val="0"/>
          <w:sz w:val="20"/>
          <w:szCs w:val="20"/>
          <w14:ligatures w14:val="none"/>
        </w:rPr>
        <w:t xml:space="preserve">« Questions de non-application potentielle découlant du Programme régional d’observateurs de l’ICCAT et Réponses » </w:t>
      </w:r>
      <w:r w:rsidR="003B59EB" w:rsidRPr="005756CE">
        <w:rPr>
          <w:rFonts w:ascii="Cambria" w:eastAsia="Times New Roman" w:hAnsi="Cambria"/>
          <w:kern w:val="0"/>
          <w:sz w:val="20"/>
          <w:szCs w:val="20"/>
          <w14:ligatures w14:val="none"/>
        </w:rPr>
        <w:t>(</w:t>
      </w:r>
      <w:r w:rsidRPr="005756CE">
        <w:rPr>
          <w:rFonts w:ascii="Cambria" w:eastAsia="Times New Roman" w:hAnsi="Cambria"/>
          <w:kern w:val="0"/>
          <w:sz w:val="20"/>
          <w:szCs w:val="20"/>
          <w14:ligatures w14:val="none"/>
        </w:rPr>
        <w:t>COC-305/</w:t>
      </w:r>
      <w:r w:rsidR="002B6061" w:rsidRPr="005756CE">
        <w:rPr>
          <w:rFonts w:ascii="Cambria" w:eastAsia="Times New Roman" w:hAnsi="Cambria"/>
          <w:kern w:val="0"/>
          <w:sz w:val="20"/>
          <w:szCs w:val="20"/>
          <w14:ligatures w14:val="none"/>
        </w:rPr>
        <w:t>2025</w:t>
      </w:r>
      <w:r w:rsidR="003B59EB" w:rsidRPr="005756CE">
        <w:rPr>
          <w:rFonts w:ascii="Cambria" w:eastAsia="Times New Roman" w:hAnsi="Cambria"/>
          <w:kern w:val="0"/>
          <w:sz w:val="20"/>
          <w:szCs w:val="20"/>
          <w14:ligatures w14:val="none"/>
        </w:rPr>
        <w:t>)</w:t>
      </w:r>
      <w:r w:rsidRPr="005756CE">
        <w:rPr>
          <w:rFonts w:ascii="Cambria" w:eastAsia="Times New Roman" w:hAnsi="Cambria"/>
          <w:kern w:val="0"/>
          <w:sz w:val="20"/>
          <w:szCs w:val="20"/>
          <w14:ligatures w14:val="none"/>
        </w:rPr>
        <w:t>.</w:t>
      </w:r>
      <w:r w:rsidRPr="005756CE">
        <w:rPr>
          <w:rFonts w:ascii="Cambria" w:eastAsia="Times New Roman" w:hAnsi="Cambria"/>
          <w:b/>
          <w:kern w:val="0"/>
          <w:sz w:val="20"/>
          <w:szCs w:val="20"/>
          <w14:ligatures w14:val="none"/>
        </w:rPr>
        <w:t xml:space="preserve"> </w:t>
      </w:r>
      <w:r w:rsidRPr="005756CE">
        <w:rPr>
          <w:rFonts w:ascii="Cambria" w:eastAsia="Times New Roman" w:hAnsi="Cambria"/>
          <w:kern w:val="0"/>
          <w:sz w:val="20"/>
          <w:szCs w:val="20"/>
          <w14:ligatures w14:val="none"/>
        </w:rPr>
        <w:t xml:space="preserve">Les rapports des observateurs ont été publiés sur le </w:t>
      </w:r>
      <w:hyperlink r:id="rId33" w:history="1">
        <w:r w:rsidRPr="005756CE">
          <w:rPr>
            <w:rFonts w:ascii="Cambria" w:eastAsia="Times New Roman" w:hAnsi="Cambria"/>
            <w:color w:val="0000FF"/>
            <w:kern w:val="0"/>
            <w:sz w:val="20"/>
            <w:szCs w:val="20"/>
            <w14:ligatures w14:val="none"/>
          </w:rPr>
          <w:t>Site web de l’ICCAT</w:t>
        </w:r>
      </w:hyperlink>
      <w:r w:rsidRPr="005756CE">
        <w:rPr>
          <w:rFonts w:ascii="Cambria" w:eastAsia="Times New Roman" w:hAnsi="Cambria"/>
          <w:kern w:val="0"/>
          <w:sz w:val="20"/>
          <w:szCs w:val="20"/>
          <w14:ligatures w14:val="none"/>
        </w:rPr>
        <w:t xml:space="preserve"> comme le requiert la Recommandation.</w:t>
      </w:r>
    </w:p>
    <w:p w14:paraId="5DAC4374"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34A49C46" w14:textId="5F276FEF"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Ces dernières années, plusieurs déclarations de transbordement ont été soumises sans être conformes à une exigence spécifique. Il est donc très difficile pour le Secrétariat de l’ICCAT de déterminer quels documents sont conformes aux recommandations de l’ICCAT. Le problème est aggravé par le fait que quelques CPC continuent à soumettre des informations non requises, ce qui crée une charge supplémentaire importante pour le Secrétariat de l'ICCAT en termes d'enregistrement et d'examen des soumissions non pertinentes. Cela empêche également de traiter correctement les informations pertinentes. Souvent, cela est dû au fait que le Secrétariat de l’ICCAT est inutilement mis en copie de ce type de communication, ce qui pourrait clairement être évité</w:t>
      </w:r>
      <w:r w:rsidR="00034117" w:rsidRPr="005756CE">
        <w:rPr>
          <w:rFonts w:ascii="Cambria" w:eastAsia="Times New Roman" w:hAnsi="Cambria"/>
          <w:kern w:val="0"/>
          <w:sz w:val="20"/>
          <w:szCs w:val="20"/>
          <w14:ligatures w14:val="none"/>
        </w:rPr>
        <w:t>.</w:t>
      </w:r>
    </w:p>
    <w:p w14:paraId="2A0BE8D2" w14:textId="77777777" w:rsidR="009C7C25" w:rsidRPr="005756CE" w:rsidRDefault="009C7C25" w:rsidP="001E71F8">
      <w:pPr>
        <w:widowControl w:val="0"/>
        <w:autoSpaceDE w:val="0"/>
        <w:autoSpaceDN w:val="0"/>
        <w:adjustRightInd w:val="0"/>
        <w:spacing w:line="240" w:lineRule="auto"/>
        <w:rPr>
          <w:rFonts w:ascii="Cambria" w:eastAsia="Times New Roman" w:hAnsi="Cambria"/>
          <w:kern w:val="0"/>
          <w:sz w:val="20"/>
          <w:szCs w:val="20"/>
          <w14:ligatures w14:val="none"/>
        </w:rPr>
      </w:pPr>
    </w:p>
    <w:p w14:paraId="25EF8D64" w14:textId="77777777" w:rsidR="009C7C25" w:rsidRPr="005756CE" w:rsidRDefault="009C7C25" w:rsidP="001E71F8">
      <w:pPr>
        <w:widowControl w:val="0"/>
        <w:pBdr>
          <w:top w:val="single" w:sz="4" w:space="1" w:color="auto"/>
          <w:left w:val="single" w:sz="4" w:space="0" w:color="auto"/>
          <w:bottom w:val="single" w:sz="4" w:space="1" w:color="auto"/>
          <w:right w:val="single" w:sz="4" w:space="4" w:color="auto"/>
        </w:pBdr>
        <w:autoSpaceDE w:val="0"/>
        <w:autoSpaceDN w:val="0"/>
        <w:adjustRightInd w:val="0"/>
        <w:spacing w:line="240" w:lineRule="auto"/>
        <w:jc w:val="both"/>
        <w:rPr>
          <w:rFonts w:ascii="Cambria" w:eastAsia="Times New Roman" w:hAnsi="Cambria"/>
          <w:kern w:val="0"/>
          <w:sz w:val="20"/>
          <w:szCs w:val="20"/>
          <w14:ligatures w14:val="none"/>
        </w:rPr>
      </w:pPr>
      <w:bookmarkStart w:id="22" w:name="_Hlk173150431"/>
      <w:r w:rsidRPr="005756CE">
        <w:rPr>
          <w:rFonts w:ascii="Cambria" w:eastAsia="Times New Roman" w:hAnsi="Cambria"/>
          <w:b/>
          <w:bCs/>
          <w:kern w:val="0"/>
          <w:sz w:val="20"/>
          <w:szCs w:val="20"/>
          <w14:ligatures w14:val="none"/>
        </w:rPr>
        <w:t>Demande du Secrétariat de l’ICCAT :</w:t>
      </w:r>
      <w:r w:rsidRPr="005756CE">
        <w:rPr>
          <w:rFonts w:ascii="Cambria" w:eastAsia="Times New Roman" w:hAnsi="Cambria"/>
          <w:kern w:val="0"/>
          <w:sz w:val="20"/>
          <w:szCs w:val="20"/>
          <w14:ligatures w14:val="none"/>
        </w:rPr>
        <w:t xml:space="preserve"> Les CPC devraient se limiter à soumettre au Secrétariat de l'ICCAT uniquement la documentation requise par la Recommandation et elles devraient utiliser les formats approuvés par l'ICCAT, le cas échéant. </w:t>
      </w:r>
    </w:p>
    <w:bookmarkEnd w:id="22"/>
    <w:p w14:paraId="72100BA5"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6C9B9C5E"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iCs/>
          <w:kern w:val="0"/>
          <w:sz w:val="20"/>
          <w:szCs w:val="20"/>
          <w14:ligatures w14:val="none"/>
        </w:rPr>
        <w:t>[19-17]</w:t>
      </w:r>
      <w:r w:rsidRPr="005756CE">
        <w:rPr>
          <w:rFonts w:ascii="Cambria" w:eastAsia="Times New Roman" w:hAnsi="Cambria"/>
          <w:kern w:val="0"/>
          <w:sz w:val="20"/>
          <w:szCs w:val="20"/>
          <w14:ligatures w14:val="none"/>
        </w:rPr>
        <w:t xml:space="preserve"> </w:t>
      </w:r>
      <w:r w:rsidRPr="005756CE">
        <w:rPr>
          <w:rFonts w:ascii="Cambria" w:eastAsia="Times New Roman" w:hAnsi="Cambria"/>
          <w:i/>
          <w:iCs/>
          <w:kern w:val="0"/>
          <w:sz w:val="20"/>
          <w:szCs w:val="20"/>
          <w14:ligatures w14:val="none"/>
        </w:rPr>
        <w:t>Résolution de l'ICCAT amendant la Résolution (18-11) de l'ICCAT établissant un programme pilote pour l'échange volontaire de personnel d'inspection dans les pêcheries gérées par l'ICCAT.</w:t>
      </w:r>
    </w:p>
    <w:p w14:paraId="28CAC3DA"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
          <w:kern w:val="0"/>
          <w:sz w:val="20"/>
          <w:szCs w:val="20"/>
          <w14:ligatures w14:val="none"/>
        </w:rPr>
      </w:pPr>
    </w:p>
    <w:p w14:paraId="05C845DC"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Cs/>
          <w:color w:val="0000FF"/>
          <w:kern w:val="0"/>
          <w:sz w:val="20"/>
          <w:szCs w:val="20"/>
          <w14:ligatures w14:val="none"/>
        </w:rPr>
      </w:pPr>
      <w:r w:rsidRPr="005756CE">
        <w:rPr>
          <w:rFonts w:ascii="Cambria" w:eastAsia="Times New Roman" w:hAnsi="Cambria"/>
          <w:kern w:val="0"/>
          <w:sz w:val="20"/>
          <w:szCs w:val="20"/>
          <w14:ligatures w14:val="none"/>
        </w:rPr>
        <w:t xml:space="preserve">Les points de contact ont été publiés sur le </w:t>
      </w:r>
      <w:hyperlink r:id="rId34" w:history="1">
        <w:r w:rsidRPr="005756CE">
          <w:rPr>
            <w:rFonts w:ascii="Cambria" w:eastAsia="Times New Roman" w:hAnsi="Cambria"/>
            <w:color w:val="0000FF"/>
            <w:kern w:val="0"/>
            <w:sz w:val="20"/>
            <w:szCs w:val="20"/>
            <w14:ligatures w14:val="none"/>
          </w:rPr>
          <w:t>Site web de l’ICCAT</w:t>
        </w:r>
      </w:hyperlink>
      <w:r w:rsidRPr="005756CE">
        <w:rPr>
          <w:rFonts w:ascii="Cambria" w:eastAsia="Times New Roman" w:hAnsi="Cambria"/>
          <w:kern w:val="0"/>
          <w:sz w:val="20"/>
          <w:szCs w:val="20"/>
          <w14:ligatures w14:val="none"/>
        </w:rPr>
        <w:t xml:space="preserve">. </w:t>
      </w:r>
    </w:p>
    <w:p w14:paraId="6F2CBD38"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2264054E"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eastAsia="Times New Roman" w:hAnsi="Cambria"/>
          <w:i/>
          <w:kern w:val="0"/>
          <w:sz w:val="20"/>
          <w:szCs w:val="20"/>
          <w14:ligatures w14:val="none"/>
        </w:rPr>
        <w:t>[19-09] Recommandation de l’ICCAT sur l'observation des navires</w:t>
      </w:r>
    </w:p>
    <w:p w14:paraId="722C53D4"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22EC6680" w14:textId="5A059B81" w:rsidR="00D857E4" w:rsidRPr="005756CE" w:rsidRDefault="00D857E4" w:rsidP="001E71F8">
      <w:pPr>
        <w:tabs>
          <w:tab w:val="left" w:pos="1276"/>
          <w:tab w:val="left" w:pos="1418"/>
          <w:tab w:val="left" w:leader="dot" w:pos="8222"/>
          <w:tab w:val="right" w:pos="8647"/>
        </w:tabs>
        <w:spacing w:line="240" w:lineRule="auto"/>
        <w:jc w:val="both"/>
        <w:rPr>
          <w:rStyle w:val="Strong"/>
          <w:rFonts w:ascii="Cambria" w:hAnsi="Cambria"/>
          <w:b w:val="0"/>
          <w:bCs w:val="0"/>
          <w:sz w:val="20"/>
          <w:szCs w:val="20"/>
        </w:rPr>
      </w:pPr>
      <w:r w:rsidRPr="005756CE">
        <w:rPr>
          <w:rStyle w:val="ui-provider"/>
          <w:rFonts w:ascii="Cambria" w:hAnsi="Cambria"/>
          <w:sz w:val="20"/>
          <w:szCs w:val="20"/>
        </w:rPr>
        <w:t>L'Union européenne a signalé dix-sept (17) observations de navires sous pavillon de l’Albanie (3), du Maroc (4), du Sénégal (1), de l'Algérie (6), de UE-Italie (2) et de UE-Malte (1). Ces informations, ainsi que leurs réponses le cas échéant, figurent dans</w:t>
      </w:r>
      <w:r w:rsidRPr="005756CE">
        <w:rPr>
          <w:rStyle w:val="ui-provider"/>
          <w:rFonts w:ascii="Cambria" w:hAnsi="Cambria"/>
          <w:b/>
          <w:sz w:val="20"/>
          <w:szCs w:val="20"/>
        </w:rPr>
        <w:t xml:space="preserve"> </w:t>
      </w:r>
      <w:r w:rsidRPr="005756CE">
        <w:rPr>
          <w:rStyle w:val="Strong"/>
          <w:rFonts w:ascii="Cambria" w:hAnsi="Cambria"/>
          <w:sz w:val="20"/>
          <w:szCs w:val="20"/>
        </w:rPr>
        <w:t>l'appendice 5</w:t>
      </w:r>
      <w:r w:rsidRPr="005756CE">
        <w:rPr>
          <w:rFonts w:ascii="Cambria" w:hAnsi="Cambria"/>
          <w:sz w:val="20"/>
          <w:szCs w:val="20"/>
        </w:rPr>
        <w:t>.</w:t>
      </w:r>
      <w:r w:rsidRPr="005756CE">
        <w:rPr>
          <w:rStyle w:val="Strong"/>
          <w:rFonts w:ascii="Cambria" w:hAnsi="Cambria"/>
          <w:sz w:val="20"/>
          <w:szCs w:val="20"/>
        </w:rPr>
        <w:t xml:space="preserve"> </w:t>
      </w:r>
    </w:p>
    <w:p w14:paraId="2998EBB2" w14:textId="65B319A9"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3726779C"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eastAsia="Times New Roman" w:hAnsi="Cambria"/>
          <w:i/>
          <w:iCs/>
          <w:kern w:val="0"/>
          <w:sz w:val="20"/>
          <w:szCs w:val="20"/>
          <w14:ligatures w14:val="none"/>
        </w:rPr>
        <w:t xml:space="preserve">[19-10] </w:t>
      </w:r>
      <w:hyperlink r:id="rId35" w:tgtFrame="_blank" w:history="1">
        <w:r w:rsidRPr="005756CE">
          <w:rPr>
            <w:rFonts w:ascii="Cambria" w:eastAsia="Times New Roman" w:hAnsi="Cambria"/>
            <w:i/>
            <w:kern w:val="0"/>
            <w:sz w:val="20"/>
            <w:szCs w:val="20"/>
            <w14:ligatures w14:val="none"/>
          </w:rPr>
          <w:t>Recommandation de l’ICCAT visant à protéger la santé et à garantir la sécurité des observateurs dans le cadre des programmes régionaux d’observateurs de l'ICCAT</w:t>
        </w:r>
      </w:hyperlink>
      <w:r w:rsidRPr="005756CE">
        <w:rPr>
          <w:rFonts w:ascii="Cambria" w:eastAsia="Times New Roman" w:hAnsi="Cambria"/>
          <w:i/>
          <w:kern w:val="0"/>
          <w:sz w:val="20"/>
          <w:szCs w:val="20"/>
          <w14:ligatures w14:val="none"/>
        </w:rPr>
        <w:t xml:space="preserve"> </w:t>
      </w:r>
    </w:p>
    <w:p w14:paraId="59C76746"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Cs/>
          <w:kern w:val="0"/>
          <w:sz w:val="20"/>
          <w:szCs w:val="20"/>
          <w14:ligatures w14:val="none"/>
        </w:rPr>
      </w:pPr>
    </w:p>
    <w:p w14:paraId="51D1CCD5" w14:textId="515E1B7A" w:rsidR="009C7C25" w:rsidRPr="005756CE" w:rsidRDefault="00034117"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À</w:t>
      </w:r>
      <w:r w:rsidR="009C7C25" w:rsidRPr="005756CE">
        <w:rPr>
          <w:rFonts w:ascii="Cambria" w:eastAsia="Times New Roman" w:hAnsi="Cambria"/>
          <w:kern w:val="0"/>
          <w:sz w:val="20"/>
          <w:szCs w:val="20"/>
          <w14:ligatures w14:val="none"/>
        </w:rPr>
        <w:t xml:space="preserve"> ce jour, </w:t>
      </w:r>
      <w:r w:rsidR="009C7C25" w:rsidRPr="005756CE">
        <w:rPr>
          <w:rFonts w:ascii="Cambria" w:eastAsia="Times New Roman" w:hAnsi="Cambria"/>
          <w:color w:val="0000FF"/>
          <w:kern w:val="0"/>
          <w:sz w:val="20"/>
          <w:szCs w:val="20"/>
          <w14:ligatures w14:val="none"/>
        </w:rPr>
        <w:t>1</w:t>
      </w:r>
      <w:r w:rsidR="003F7EBE" w:rsidRPr="005756CE">
        <w:rPr>
          <w:rFonts w:ascii="Cambria" w:eastAsia="Times New Roman" w:hAnsi="Cambria"/>
          <w:color w:val="0000FF"/>
          <w:kern w:val="0"/>
          <w:sz w:val="20"/>
          <w:szCs w:val="20"/>
          <w14:ligatures w14:val="none"/>
        </w:rPr>
        <w:t>8</w:t>
      </w:r>
      <w:r w:rsidR="009C7C25" w:rsidRPr="005756CE">
        <w:rPr>
          <w:rFonts w:ascii="Cambria" w:eastAsia="Times New Roman" w:hAnsi="Cambria"/>
          <w:color w:val="0000FF"/>
          <w:kern w:val="0"/>
          <w:sz w:val="20"/>
          <w:szCs w:val="20"/>
          <w14:ligatures w14:val="none"/>
        </w:rPr>
        <w:t xml:space="preserve"> Plans d'action d'urgence</w:t>
      </w:r>
      <w:r w:rsidR="009C7C25" w:rsidRPr="005756CE">
        <w:rPr>
          <w:rFonts w:ascii="Cambria" w:eastAsia="Times New Roman" w:hAnsi="Cambria"/>
          <w:kern w:val="0"/>
          <w:sz w:val="20"/>
          <w:szCs w:val="20"/>
          <w14:ligatures w14:val="none"/>
        </w:rPr>
        <w:t xml:space="preserve"> ont été reçus et publiés.</w:t>
      </w:r>
    </w:p>
    <w:p w14:paraId="78ABF080"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Cs/>
          <w:kern w:val="0"/>
          <w:sz w:val="20"/>
          <w:szCs w:val="20"/>
          <w14:ligatures w14:val="none"/>
        </w:rPr>
      </w:pPr>
    </w:p>
    <w:p w14:paraId="773658A1" w14:textId="0BF12EAC" w:rsidR="009C7C25" w:rsidRPr="005756CE" w:rsidRDefault="009C7C25" w:rsidP="001E71F8">
      <w:pPr>
        <w:widowControl w:val="0"/>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[19-11]</w:t>
      </w:r>
      <w:r w:rsidRPr="005756CE">
        <w:rPr>
          <w:rFonts w:ascii="Cambria" w:eastAsia="Times New Roman" w:hAnsi="Cambria"/>
          <w:kern w:val="0"/>
          <w:sz w:val="20"/>
          <w:szCs w:val="20"/>
          <w14:ligatures w14:val="none"/>
        </w:rPr>
        <w:t xml:space="preserve"> </w:t>
      </w:r>
      <w:hyperlink r:id="rId36" w:tgtFrame="_blank" w:history="1">
        <w:r w:rsidRPr="005756CE">
          <w:rPr>
            <w:rFonts w:ascii="Cambria" w:eastAsia="Times New Roman" w:hAnsi="Cambria"/>
            <w:i/>
            <w:iCs/>
            <w:kern w:val="0"/>
            <w:sz w:val="20"/>
            <w:szCs w:val="20"/>
            <w14:ligatures w14:val="none"/>
          </w:rPr>
          <w:t>Recommandation de l’ICCAT sur les engins de pêche abandonnés, perdus ou rejetés de quelque autre manière</w:t>
        </w:r>
      </w:hyperlink>
    </w:p>
    <w:p w14:paraId="7AF31BAF"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
          <w:kern w:val="0"/>
          <w:sz w:val="20"/>
          <w:szCs w:val="20"/>
          <w14:ligatures w14:val="none"/>
        </w:rPr>
      </w:pPr>
    </w:p>
    <w:p w14:paraId="5B7A0AE0"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eastAsia="Times New Roman" w:hAnsi="Cambria"/>
          <w:kern w:val="0"/>
          <w:sz w:val="20"/>
          <w:szCs w:val="20"/>
          <w14:ligatures w14:val="none"/>
        </w:rPr>
        <w:t>Aucune information n'a été soumise à ce jour.</w:t>
      </w:r>
    </w:p>
    <w:p w14:paraId="7400086A"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Cs/>
          <w:kern w:val="0"/>
          <w:sz w:val="20"/>
          <w:szCs w:val="20"/>
          <w14:ligatures w14:val="none"/>
        </w:rPr>
      </w:pPr>
    </w:p>
    <w:p w14:paraId="4D8E55E4" w14:textId="77777777" w:rsidR="00EC05B9" w:rsidRDefault="00EC05B9">
      <w:pPr>
        <w:rPr>
          <w:rFonts w:ascii="Cambria" w:eastAsia="Times New Roman" w:hAnsi="Cambria"/>
          <w:i/>
          <w:iCs/>
          <w:kern w:val="0"/>
          <w:sz w:val="20"/>
          <w:szCs w:val="20"/>
          <w14:ligatures w14:val="none"/>
        </w:rPr>
      </w:pPr>
      <w:r>
        <w:rPr>
          <w:rFonts w:ascii="Cambria" w:eastAsia="Times New Roman" w:hAnsi="Cambria"/>
          <w:i/>
          <w:iCs/>
          <w:kern w:val="0"/>
          <w:sz w:val="20"/>
          <w:szCs w:val="20"/>
          <w14:ligatures w14:val="none"/>
        </w:rPr>
        <w:br w:type="page"/>
      </w:r>
    </w:p>
    <w:p w14:paraId="404FD0EE" w14:textId="351DA6A2" w:rsidR="009C7C25" w:rsidRPr="005756CE" w:rsidRDefault="009C7C25" w:rsidP="001E71F8">
      <w:pPr>
        <w:widowControl w:val="0"/>
        <w:autoSpaceDE w:val="0"/>
        <w:autoSpaceDN w:val="0"/>
        <w:adjustRightInd w:val="0"/>
        <w:spacing w:line="240" w:lineRule="auto"/>
        <w:jc w:val="both"/>
        <w:rPr>
          <w:rFonts w:ascii="Cambria" w:eastAsia="Times New Roman" w:hAnsi="Cambria"/>
          <w:i/>
          <w:iCs/>
          <w:kern w:val="0"/>
          <w:sz w:val="20"/>
          <w:szCs w:val="20"/>
          <w14:ligatures w14:val="none"/>
        </w:rPr>
      </w:pPr>
      <w:r w:rsidRPr="005756CE">
        <w:rPr>
          <w:rFonts w:ascii="Cambria" w:eastAsia="Times New Roman" w:hAnsi="Cambria"/>
          <w:i/>
          <w:iCs/>
          <w:kern w:val="0"/>
          <w:sz w:val="20"/>
          <w:szCs w:val="20"/>
          <w14:ligatures w14:val="none"/>
        </w:rPr>
        <w:lastRenderedPageBreak/>
        <w:t>[23-18] Recommandation de l’ICCAT visant à établir des normes minimales et des exigences du programme aux fins de l'utilisation des systèmes de surveillance électronique (EMS) dans les pêcheries de l’ICCAT</w:t>
      </w:r>
    </w:p>
    <w:p w14:paraId="510F0F34"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
          <w:kern w:val="0"/>
          <w:sz w:val="20"/>
          <w:szCs w:val="20"/>
          <w14:ligatures w14:val="none"/>
        </w:rPr>
      </w:pPr>
    </w:p>
    <w:p w14:paraId="49C72870"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eastAsia="Times New Roman" w:hAnsi="Cambria"/>
          <w:kern w:val="0"/>
          <w:sz w:val="20"/>
          <w:szCs w:val="20"/>
          <w14:ligatures w14:val="none"/>
        </w:rPr>
        <w:t>Aucune information n'a été soumise à ce jour.</w:t>
      </w:r>
    </w:p>
    <w:p w14:paraId="786735C3"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Cs/>
          <w:kern w:val="0"/>
          <w:sz w:val="20"/>
          <w:szCs w:val="20"/>
          <w14:ligatures w14:val="none"/>
        </w:rPr>
      </w:pPr>
    </w:p>
    <w:p w14:paraId="2A867B51" w14:textId="77777777" w:rsidR="009C7C25" w:rsidRPr="005756CE" w:rsidRDefault="009C7C25" w:rsidP="001E71F8">
      <w:pPr>
        <w:widowControl w:val="0"/>
        <w:autoSpaceDE w:val="0"/>
        <w:autoSpaceDN w:val="0"/>
        <w:adjustRightInd w:val="0"/>
        <w:spacing w:line="240" w:lineRule="auto"/>
        <w:rPr>
          <w:rFonts w:ascii="Cambria" w:eastAsia="Times New Roman" w:hAnsi="Cambria"/>
          <w:kern w:val="0"/>
          <w:sz w:val="20"/>
          <w:szCs w:val="20"/>
          <w14:ligatures w14:val="none"/>
        </w:rPr>
      </w:pPr>
    </w:p>
    <w:p w14:paraId="0435A779" w14:textId="77777777" w:rsidR="009C7C25" w:rsidRPr="005756CE" w:rsidRDefault="009C7C25" w:rsidP="001E71F8">
      <w:pPr>
        <w:keepNext/>
        <w:widowControl w:val="0"/>
        <w:tabs>
          <w:tab w:val="left" w:pos="1276"/>
          <w:tab w:val="left" w:pos="1418"/>
          <w:tab w:val="left" w:leader="dot" w:pos="8222"/>
          <w:tab w:val="right" w:pos="8647"/>
        </w:tabs>
        <w:autoSpaceDE w:val="0"/>
        <w:autoSpaceDN w:val="0"/>
        <w:adjustRightInd w:val="0"/>
        <w:spacing w:line="240" w:lineRule="auto"/>
        <w:outlineLvl w:val="6"/>
        <w:rPr>
          <w:rFonts w:ascii="Cambria" w:eastAsia="Times New Roman" w:hAnsi="Cambria"/>
          <w:b/>
          <w:bCs/>
          <w:kern w:val="0"/>
          <w:sz w:val="20"/>
          <w:szCs w:val="20"/>
          <w14:ligatures w14:val="none"/>
        </w:rPr>
      </w:pPr>
      <w:r w:rsidRPr="005756CE">
        <w:rPr>
          <w:rFonts w:ascii="Cambria" w:eastAsia="Times New Roman" w:hAnsi="Cambria"/>
          <w:b/>
          <w:bCs/>
          <w:kern w:val="0"/>
          <w:sz w:val="20"/>
          <w:szCs w:val="20"/>
          <w14:ligatures w14:val="none"/>
        </w:rPr>
        <w:t>SANC - SANCTIONS, MESURES LIÉES AU COMMERCE</w:t>
      </w:r>
    </w:p>
    <w:p w14:paraId="196686A8"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strike/>
          <w:kern w:val="0"/>
          <w:sz w:val="20"/>
          <w:szCs w:val="20"/>
          <w14:ligatures w14:val="none"/>
        </w:rPr>
      </w:pPr>
    </w:p>
    <w:p w14:paraId="0D488944" w14:textId="1E9FDD58"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Aucune mesure actuellement active</w:t>
      </w:r>
      <w:r w:rsidR="00034117" w:rsidRPr="005756CE">
        <w:rPr>
          <w:rFonts w:ascii="Cambria" w:eastAsia="Times New Roman" w:hAnsi="Cambria"/>
          <w:kern w:val="0"/>
          <w:sz w:val="20"/>
          <w:szCs w:val="20"/>
          <w14:ligatures w14:val="none"/>
        </w:rPr>
        <w:t>.</w:t>
      </w:r>
    </w:p>
    <w:p w14:paraId="32C6ABF4"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kern w:val="0"/>
          <w:sz w:val="20"/>
          <w:szCs w:val="20"/>
          <w14:ligatures w14:val="none"/>
        </w:rPr>
      </w:pPr>
    </w:p>
    <w:p w14:paraId="0ABF769A"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kern w:val="0"/>
          <w:sz w:val="20"/>
          <w:szCs w:val="20"/>
          <w14:ligatures w14:val="none"/>
        </w:rPr>
      </w:pPr>
    </w:p>
    <w:p w14:paraId="6E35A5F1" w14:textId="75FB4518" w:rsidR="009C7C25" w:rsidRPr="005756CE" w:rsidRDefault="009C7C25" w:rsidP="001E71F8">
      <w:pPr>
        <w:keepNext/>
        <w:widowControl w:val="0"/>
        <w:tabs>
          <w:tab w:val="left" w:pos="1276"/>
          <w:tab w:val="left" w:pos="1418"/>
          <w:tab w:val="left" w:leader="dot" w:pos="8222"/>
          <w:tab w:val="right" w:pos="8647"/>
        </w:tabs>
        <w:autoSpaceDE w:val="0"/>
        <w:autoSpaceDN w:val="0"/>
        <w:adjustRightInd w:val="0"/>
        <w:spacing w:line="240" w:lineRule="auto"/>
        <w:outlineLvl w:val="6"/>
        <w:rPr>
          <w:rFonts w:ascii="Cambria" w:eastAsia="Times New Roman" w:hAnsi="Cambria"/>
          <w:b/>
          <w:bCs/>
          <w:kern w:val="0"/>
          <w:sz w:val="20"/>
          <w:szCs w:val="20"/>
          <w14:ligatures w14:val="none"/>
        </w:rPr>
      </w:pPr>
      <w:r w:rsidRPr="005756CE">
        <w:rPr>
          <w:rFonts w:ascii="Cambria" w:eastAsia="Times New Roman" w:hAnsi="Cambria"/>
          <w:b/>
          <w:bCs/>
          <w:kern w:val="0"/>
          <w:sz w:val="20"/>
          <w:szCs w:val="20"/>
          <w14:ligatures w14:val="none"/>
        </w:rPr>
        <w:t>SDP - PROGRAMMES DE DOCUMENTS STATISTIQUES</w:t>
      </w:r>
    </w:p>
    <w:p w14:paraId="1B2C1101"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kern w:val="0"/>
          <w:sz w:val="20"/>
          <w:szCs w:val="20"/>
          <w14:ligatures w14:val="none"/>
        </w:rPr>
      </w:pPr>
    </w:p>
    <w:p w14:paraId="04950FFC"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 xml:space="preserve">[01-21] Recommandation de l’ICCAT concernant le Programme ICCAT de Document statistique thon obèse </w:t>
      </w:r>
    </w:p>
    <w:p w14:paraId="6592E7FF"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i/>
          <w:kern w:val="0"/>
          <w:sz w:val="20"/>
          <w:szCs w:val="20"/>
          <w14:ligatures w14:val="none"/>
        </w:rPr>
      </w:pPr>
    </w:p>
    <w:p w14:paraId="4FDB1D58" w14:textId="46B6AB1B"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Des informations peuvent être trouvées dans le </w:t>
      </w:r>
      <w:r w:rsidR="00034117"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Rapport du Secrétariat de l'ICCAT au Groupe de travail permanent pour l'amélioration des statistiques et des mesures de conservation de l'ICCAT (PWG)</w:t>
      </w:r>
      <w:r w:rsidR="00034117"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 xml:space="preserve"> [PWG_401/202</w:t>
      </w:r>
      <w:r w:rsidR="003F7EBE"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 xml:space="preserve">] et le </w:t>
      </w:r>
      <w:r w:rsidR="00034117"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 xml:space="preserve">Rapport de </w:t>
      </w:r>
      <w:r w:rsidR="003F7EBE" w:rsidRPr="005756CE">
        <w:rPr>
          <w:rFonts w:ascii="Cambria" w:eastAsia="Times New Roman" w:hAnsi="Cambria"/>
          <w:kern w:val="0"/>
          <w:sz w:val="20"/>
          <w:szCs w:val="20"/>
          <w14:ligatures w14:val="none"/>
        </w:rPr>
        <w:t xml:space="preserve">2025 </w:t>
      </w:r>
      <w:r w:rsidRPr="005756CE">
        <w:rPr>
          <w:rFonts w:ascii="Cambria" w:eastAsia="Times New Roman" w:hAnsi="Cambria"/>
          <w:kern w:val="0"/>
          <w:sz w:val="20"/>
          <w:szCs w:val="20"/>
          <w14:ligatures w14:val="none"/>
        </w:rPr>
        <w:t>du Secrétariat de l'ICCAT sur la recherche et les statistiques</w:t>
      </w:r>
      <w:r w:rsidR="00034117"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 xml:space="preserve"> [PLE_105/</w:t>
      </w:r>
      <w:r w:rsidR="003F7EBE" w:rsidRPr="005756CE">
        <w:rPr>
          <w:rFonts w:ascii="Cambria" w:eastAsia="Times New Roman" w:hAnsi="Cambria"/>
          <w:kern w:val="0"/>
          <w:sz w:val="20"/>
          <w:szCs w:val="20"/>
          <w14:ligatures w14:val="none"/>
        </w:rPr>
        <w:t>2025</w:t>
      </w:r>
      <w:r w:rsidRPr="005756CE">
        <w:rPr>
          <w:rFonts w:ascii="Cambria" w:eastAsia="Times New Roman" w:hAnsi="Cambria"/>
          <w:kern w:val="0"/>
          <w:sz w:val="20"/>
          <w:szCs w:val="20"/>
          <w14:ligatures w14:val="none"/>
        </w:rPr>
        <w:t xml:space="preserve">]. </w:t>
      </w:r>
    </w:p>
    <w:p w14:paraId="24018E8A"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kern w:val="0"/>
          <w:sz w:val="20"/>
          <w:szCs w:val="20"/>
          <w14:ligatures w14:val="none"/>
        </w:rPr>
      </w:pPr>
    </w:p>
    <w:p w14:paraId="6AC6083E"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[01-22] Recommandation de l’ICCAT portant création d’un Programme de Document Statistique Espadon</w:t>
      </w:r>
    </w:p>
    <w:p w14:paraId="4A3710A2"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i/>
          <w:kern w:val="0"/>
          <w:sz w:val="20"/>
          <w:szCs w:val="20"/>
          <w14:ligatures w14:val="none"/>
        </w:rPr>
      </w:pPr>
    </w:p>
    <w:p w14:paraId="0366B27D" w14:textId="68CEFB48" w:rsidR="00034117" w:rsidRPr="005756CE" w:rsidRDefault="009C7C25" w:rsidP="001E71F8">
      <w:pPr>
        <w:widowControl w:val="0"/>
        <w:tabs>
          <w:tab w:val="left" w:pos="300"/>
          <w:tab w:val="left" w:pos="700"/>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Les importations et réexportations de thon obèse et d’espadon de pavillon inconnu et/ou de zone inconnue continuent à être déclarées par une CPC. </w:t>
      </w:r>
    </w:p>
    <w:p w14:paraId="54460CE0" w14:textId="77777777" w:rsidR="003F7EBE" w:rsidRPr="005756CE" w:rsidRDefault="003F7EBE" w:rsidP="001E71F8">
      <w:pPr>
        <w:widowControl w:val="0"/>
        <w:tabs>
          <w:tab w:val="left" w:pos="300"/>
          <w:tab w:val="left" w:pos="700"/>
        </w:tabs>
        <w:autoSpaceDE w:val="0"/>
        <w:autoSpaceDN w:val="0"/>
        <w:adjustRightInd w:val="0"/>
        <w:spacing w:line="240" w:lineRule="auto"/>
        <w:jc w:val="both"/>
        <w:rPr>
          <w:rFonts w:ascii="Cambria" w:eastAsia="Times New Roman" w:hAnsi="Cambria"/>
          <w:kern w:val="0"/>
          <w:sz w:val="20"/>
          <w:szCs w:val="20"/>
          <w14:ligatures w14:val="none"/>
        </w:rPr>
      </w:pPr>
    </w:p>
    <w:p w14:paraId="41BC1EF7" w14:textId="0C44E5CA" w:rsidR="00034117" w:rsidRPr="005756CE" w:rsidRDefault="00034117"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Des informations peuvent être trouvées dans le « Rapport du Secrétariat de l'ICCAT au Groupe de travail permanent pour l'amélioration des statistiques et des mesures de conservation de l'ICCAT (PWG) » [PWG_401/</w:t>
      </w:r>
      <w:r w:rsidR="003F7EBE" w:rsidRPr="005756CE">
        <w:rPr>
          <w:rFonts w:ascii="Cambria" w:eastAsia="Times New Roman" w:hAnsi="Cambria"/>
          <w:kern w:val="0"/>
          <w:sz w:val="20"/>
          <w:szCs w:val="20"/>
          <w14:ligatures w14:val="none"/>
        </w:rPr>
        <w:t>2025</w:t>
      </w:r>
      <w:r w:rsidRPr="005756CE">
        <w:rPr>
          <w:rFonts w:ascii="Cambria" w:eastAsia="Times New Roman" w:hAnsi="Cambria"/>
          <w:kern w:val="0"/>
          <w:sz w:val="20"/>
          <w:szCs w:val="20"/>
          <w14:ligatures w14:val="none"/>
        </w:rPr>
        <w:t>] et le « Rapport de 202</w:t>
      </w:r>
      <w:r w:rsidR="00E561E4"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 xml:space="preserve"> du Secrétariat de l'ICCAT sur la recherche et les statistiques » [PLE_105/</w:t>
      </w:r>
      <w:r w:rsidR="003F7EBE" w:rsidRPr="005756CE">
        <w:rPr>
          <w:rFonts w:ascii="Cambria" w:eastAsia="Times New Roman" w:hAnsi="Cambria"/>
          <w:kern w:val="0"/>
          <w:sz w:val="20"/>
          <w:szCs w:val="20"/>
          <w14:ligatures w14:val="none"/>
        </w:rPr>
        <w:t>2025</w:t>
      </w:r>
      <w:r w:rsidRPr="005756CE">
        <w:rPr>
          <w:rFonts w:ascii="Cambria" w:eastAsia="Times New Roman" w:hAnsi="Cambria"/>
          <w:kern w:val="0"/>
          <w:sz w:val="20"/>
          <w:szCs w:val="20"/>
          <w14:ligatures w14:val="none"/>
        </w:rPr>
        <w:t xml:space="preserve">]. </w:t>
      </w:r>
    </w:p>
    <w:p w14:paraId="492EC5A8"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374264A7" w14:textId="7FC5B63F"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w:t>
      </w:r>
      <w:r w:rsidR="003F7EBE" w:rsidRPr="005756CE">
        <w:rPr>
          <w:rFonts w:ascii="Cambria" w:eastAsia="Times New Roman" w:hAnsi="Cambria"/>
          <w:i/>
          <w:kern w:val="0"/>
          <w:sz w:val="20"/>
          <w:szCs w:val="20"/>
          <w14:ligatures w14:val="none"/>
        </w:rPr>
        <w:t xml:space="preserve">Rec. </w:t>
      </w:r>
      <w:r w:rsidRPr="005756CE">
        <w:rPr>
          <w:rFonts w:ascii="Cambria" w:eastAsia="Times New Roman" w:hAnsi="Cambria"/>
          <w:i/>
          <w:kern w:val="0"/>
          <w:sz w:val="20"/>
          <w:szCs w:val="20"/>
          <w14:ligatures w14:val="none"/>
        </w:rPr>
        <w:t xml:space="preserve">23-21] </w:t>
      </w:r>
      <w:r w:rsidRPr="005756CE">
        <w:rPr>
          <w:rFonts w:ascii="Cambria" w:eastAsia="Times New Roman" w:hAnsi="Cambria"/>
          <w:i/>
          <w:iCs/>
          <w:kern w:val="0"/>
          <w:sz w:val="20"/>
          <w:szCs w:val="20"/>
          <w14:ligatures w14:val="none"/>
        </w:rPr>
        <w:t>Recommandation de l’ICCAT amendant et remplaçant la Recommandation 18-13 sur un programme ICCAT de documentation des captures de thon rouge</w:t>
      </w:r>
    </w:p>
    <w:p w14:paraId="091C2D64"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19061D30" w14:textId="476AF5CD"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Veuillez consulter le </w:t>
      </w:r>
      <w:r w:rsidR="00034117"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Rapport du Secrétariat au Groupe de travail permanent pour l'amélioration des statistiques et des mesures de conservation de l'ICCAT (PWG)</w:t>
      </w:r>
      <w:r w:rsidR="00034117"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 xml:space="preserve"> [PWG_401/</w:t>
      </w:r>
      <w:r w:rsidR="004E14A7" w:rsidRPr="005756CE">
        <w:rPr>
          <w:rFonts w:ascii="Cambria" w:eastAsia="Times New Roman" w:hAnsi="Cambria"/>
          <w:kern w:val="0"/>
          <w:sz w:val="20"/>
          <w:szCs w:val="20"/>
          <w14:ligatures w14:val="none"/>
        </w:rPr>
        <w:t>2025</w:t>
      </w:r>
      <w:r w:rsidRPr="005756CE">
        <w:rPr>
          <w:rFonts w:ascii="Cambria" w:eastAsia="Times New Roman" w:hAnsi="Cambria"/>
          <w:kern w:val="0"/>
          <w:sz w:val="20"/>
          <w:szCs w:val="20"/>
          <w14:ligatures w14:val="none"/>
        </w:rPr>
        <w:t xml:space="preserve">] pour obtenir des informations sur la mise en œuvre de la Rec. </w:t>
      </w:r>
      <w:r w:rsidR="004E14A7" w:rsidRPr="005756CE">
        <w:rPr>
          <w:rFonts w:ascii="Cambria" w:eastAsia="Times New Roman" w:hAnsi="Cambria"/>
          <w:kern w:val="0"/>
          <w:sz w:val="20"/>
          <w:szCs w:val="20"/>
          <w14:ligatures w14:val="none"/>
        </w:rPr>
        <w:t>23</w:t>
      </w:r>
      <w:r w:rsidRPr="005756CE">
        <w:rPr>
          <w:rFonts w:ascii="Cambria" w:eastAsia="Times New Roman" w:hAnsi="Cambria"/>
          <w:kern w:val="0"/>
          <w:sz w:val="20"/>
          <w:szCs w:val="20"/>
          <w14:ligatures w14:val="none"/>
        </w:rPr>
        <w:t>-</w:t>
      </w:r>
      <w:r w:rsidR="004E14A7" w:rsidRPr="005756CE">
        <w:rPr>
          <w:rFonts w:ascii="Cambria" w:eastAsia="Times New Roman" w:hAnsi="Cambria"/>
          <w:kern w:val="0"/>
          <w:sz w:val="20"/>
          <w:szCs w:val="20"/>
          <w14:ligatures w14:val="none"/>
        </w:rPr>
        <w:t>2</w:t>
      </w:r>
      <w:r w:rsidRPr="005756CE">
        <w:rPr>
          <w:rFonts w:ascii="Cambria" w:eastAsia="Times New Roman" w:hAnsi="Cambria"/>
          <w:kern w:val="0"/>
          <w:sz w:val="20"/>
          <w:szCs w:val="20"/>
          <w14:ligatures w14:val="none"/>
        </w:rPr>
        <w:t>1 dans le cadre du système eBCD. Il convient aussi de se reporter à la Rec. 22-16 ci-dessous.</w:t>
      </w:r>
    </w:p>
    <w:p w14:paraId="750B8EC6" w14:textId="30240439" w:rsidR="009C7C25" w:rsidRPr="005756CE" w:rsidRDefault="00034117" w:rsidP="001E71F8">
      <w:pPr>
        <w:widowControl w:val="0"/>
        <w:autoSpaceDE w:val="0"/>
        <w:autoSpaceDN w:val="0"/>
        <w:adjustRightInd w:val="0"/>
        <w:spacing w:line="240" w:lineRule="auto"/>
        <w:rPr>
          <w:rFonts w:ascii="Cambria" w:eastAsia="Times New Roman" w:hAnsi="Cambria"/>
          <w:i/>
          <w:kern w:val="0"/>
          <w:sz w:val="20"/>
          <w:szCs w:val="20"/>
          <w14:ligatures w14:val="none"/>
        </w:rPr>
      </w:pPr>
      <w:r w:rsidRPr="005756CE">
        <w:rPr>
          <w:rFonts w:ascii="Cambria" w:eastAsia="Times New Roman" w:hAnsi="Cambria"/>
          <w:noProof/>
          <w:kern w:val="0"/>
          <w:sz w:val="20"/>
          <w:szCs w:val="20"/>
          <w14:ligatures w14:val="none"/>
        </w:rPr>
        <mc:AlternateContent>
          <mc:Choice Requires="wps">
            <w:drawing>
              <wp:anchor distT="45720" distB="45720" distL="114300" distR="114300" simplePos="0" relativeHeight="251664384" behindDoc="0" locked="0" layoutInCell="1" allowOverlap="1" wp14:anchorId="6EADE12D" wp14:editId="1F4246B7">
                <wp:simplePos x="0" y="0"/>
                <wp:positionH relativeFrom="margin">
                  <wp:posOffset>9525</wp:posOffset>
                </wp:positionH>
                <wp:positionV relativeFrom="paragraph">
                  <wp:posOffset>266611</wp:posOffset>
                </wp:positionV>
                <wp:extent cx="5734050" cy="1404620"/>
                <wp:effectExtent l="0" t="0" r="19050" b="26670"/>
                <wp:wrapTopAndBottom/>
                <wp:docPr id="1349137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rgbClr val="FFFFFF"/>
                        </a:solidFill>
                        <a:ln w="9525">
                          <a:solidFill>
                            <a:srgbClr val="000000"/>
                          </a:solidFill>
                          <a:miter lim="800000"/>
                          <a:headEnd/>
                          <a:tailEnd/>
                        </a:ln>
                      </wps:spPr>
                      <wps:txbx>
                        <w:txbxContent>
                          <w:p w14:paraId="0E831C18" w14:textId="77777777" w:rsidR="00E561E4" w:rsidRDefault="00B07023" w:rsidP="00E561E4">
                            <w:pPr>
                              <w:spacing w:line="240" w:lineRule="auto"/>
                              <w:jc w:val="both"/>
                              <w:rPr>
                                <w:rFonts w:ascii="Cambria" w:hAnsi="Cambria"/>
                                <w:sz w:val="20"/>
                                <w:szCs w:val="20"/>
                              </w:rPr>
                            </w:pPr>
                            <w:r w:rsidRPr="00E561E4">
                              <w:rPr>
                                <w:rFonts w:ascii="Cambria" w:hAnsi="Cambria"/>
                                <w:b/>
                                <w:bCs/>
                                <w:sz w:val="20"/>
                                <w:szCs w:val="20"/>
                              </w:rPr>
                              <w:t>Demandes du Secrétariat de l’ICCAT :</w:t>
                            </w:r>
                            <w:r w:rsidRPr="00E561E4">
                              <w:rPr>
                                <w:rFonts w:ascii="Cambria" w:hAnsi="Cambria"/>
                                <w:sz w:val="20"/>
                                <w:szCs w:val="20"/>
                              </w:rPr>
                              <w:t xml:space="preserve"> Les CPC devraient se limiter à soumettre au Secrétariat de l'ICCAT l'information sur les sceaux de validation et les signatures pour le document statistique de l’ICCAT pour le thon obèse/espadon et les programmes de documentation des captures de thon rouge de l'ICCAT, en utilisant les formats approuvés par l'ICCAT.</w:t>
                            </w:r>
                          </w:p>
                          <w:p w14:paraId="6DFC3DD2" w14:textId="77777777" w:rsidR="00E561E4" w:rsidRDefault="00E561E4" w:rsidP="00E561E4">
                            <w:pPr>
                              <w:spacing w:line="240" w:lineRule="auto"/>
                              <w:jc w:val="both"/>
                              <w:rPr>
                                <w:rFonts w:ascii="Cambria" w:hAnsi="Cambria"/>
                                <w:sz w:val="20"/>
                                <w:szCs w:val="20"/>
                              </w:rPr>
                            </w:pPr>
                          </w:p>
                          <w:p w14:paraId="1225C384" w14:textId="56D96B75" w:rsidR="00B07023" w:rsidRPr="00EC05B9" w:rsidRDefault="00B07023" w:rsidP="00E561E4">
                            <w:pPr>
                              <w:spacing w:line="240" w:lineRule="auto"/>
                              <w:jc w:val="both"/>
                              <w:rPr>
                                <w:rFonts w:ascii="Cambria" w:hAnsi="Cambria"/>
                                <w:sz w:val="20"/>
                                <w:szCs w:val="20"/>
                              </w:rPr>
                            </w:pPr>
                            <w:r w:rsidRPr="00EC05B9">
                              <w:rPr>
                                <w:rFonts w:ascii="Cambria" w:hAnsi="Cambria"/>
                                <w:sz w:val="20"/>
                                <w:szCs w:val="20"/>
                              </w:rPr>
                              <w:t>En 2025, le Secrétariat a été contacté au sujet de problèmes concernant des expéditions de germon de l'Atlantique Sud capturé par des navires de pêche battant pavillon de CPC de l’ICCAT. Ces expéditions étaient accompagnées de documents statistiques portant la mention "Document statistique de l'ICCAT sur le germon".</w:t>
                            </w:r>
                          </w:p>
                          <w:p w14:paraId="4DCA5055" w14:textId="77777777" w:rsidR="00B07023" w:rsidRPr="00EC05B9" w:rsidRDefault="00B07023" w:rsidP="00E561E4">
                            <w:pPr>
                              <w:spacing w:line="240" w:lineRule="auto"/>
                              <w:jc w:val="both"/>
                              <w:rPr>
                                <w:rFonts w:ascii="Cambria" w:hAnsi="Cambria"/>
                                <w:sz w:val="20"/>
                                <w:szCs w:val="20"/>
                              </w:rPr>
                            </w:pPr>
                          </w:p>
                          <w:p w14:paraId="65789B40" w14:textId="77777777" w:rsidR="00B07023" w:rsidRPr="00EC05B9" w:rsidRDefault="00B07023" w:rsidP="00E561E4">
                            <w:pPr>
                              <w:spacing w:line="240" w:lineRule="auto"/>
                              <w:jc w:val="both"/>
                              <w:rPr>
                                <w:rFonts w:ascii="Cambria" w:hAnsi="Cambria"/>
                                <w:sz w:val="20"/>
                                <w:szCs w:val="20"/>
                              </w:rPr>
                            </w:pPr>
                            <w:r w:rsidRPr="00EC05B9">
                              <w:rPr>
                                <w:rFonts w:ascii="Cambria" w:hAnsi="Cambria"/>
                                <w:sz w:val="20"/>
                                <w:szCs w:val="20"/>
                              </w:rPr>
                              <w:t>Le Programme de Document Statistique (SDP) de l’ICCAT, mis en œuvre depuis 2002, ne couvre que le thon obèse (BET), conformément aux dispositions de la Recommandation 01-21, et l'espadon (SWO), conformément à la Recommandation 01-22. Le SDP de l’ICCAT ne couvre aucune autre espèce de thonidés de l’ICCAT, y compris le germon.</w:t>
                            </w:r>
                          </w:p>
                          <w:p w14:paraId="5EE8E64D" w14:textId="77777777" w:rsidR="00B07023" w:rsidRPr="00EC05B9" w:rsidRDefault="00B07023" w:rsidP="00E561E4">
                            <w:pPr>
                              <w:spacing w:line="240" w:lineRule="auto"/>
                              <w:jc w:val="both"/>
                              <w:rPr>
                                <w:rFonts w:ascii="Cambria" w:hAnsi="Cambria"/>
                                <w:sz w:val="20"/>
                                <w:szCs w:val="20"/>
                              </w:rPr>
                            </w:pPr>
                          </w:p>
                          <w:p w14:paraId="753BC51D" w14:textId="6FAF68A8" w:rsidR="009C7C25" w:rsidRPr="00E561E4" w:rsidRDefault="00B07023" w:rsidP="00E561E4">
                            <w:pPr>
                              <w:spacing w:line="240" w:lineRule="auto"/>
                              <w:jc w:val="both"/>
                              <w:rPr>
                                <w:rFonts w:ascii="Cambria" w:hAnsi="Cambria"/>
                                <w:sz w:val="20"/>
                                <w:szCs w:val="20"/>
                              </w:rPr>
                            </w:pPr>
                            <w:r w:rsidRPr="00EC05B9">
                              <w:rPr>
                                <w:rFonts w:ascii="Cambria" w:hAnsi="Cambria"/>
                                <w:sz w:val="20"/>
                                <w:szCs w:val="20"/>
                              </w:rPr>
                              <w:t>Le Secrétariat demande aux CPC de bien vouloir s'abstenir d'émettre de telles certifications contenant toute référence à l'ICCAT, étant donné que cela pourrait conduire les destinataires à se méprendre sur la validité des documents.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ADE12D" id="_x0000_s1027" type="#_x0000_t202" style="position:absolute;margin-left:.75pt;margin-top:21pt;width:451.5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">
                <v:textbox style="mso-fit-shape-to-text:t">
                  <w:txbxContent>
                    <w:p w14:paraId="0E831C18" w14:textId="77777777" w:rsidR="00E561E4" w:rsidRDefault="00B07023" w:rsidP="00E561E4">
                      <w:pPr>
                        <w:spacing w:line="240" w:lineRule="auto"/>
                        <w:jc w:val="both"/>
                        <w:rPr>
                          <w:rFonts w:ascii="Cambria" w:hAnsi="Cambria"/>
                          <w:sz w:val="20"/>
                          <w:szCs w:val="20"/>
                        </w:rPr>
                      </w:pPr>
                      <w:r w:rsidRPr="00E561E4">
                        <w:rPr>
                          <w:rFonts w:ascii="Cambria" w:hAnsi="Cambria"/>
                          <w:b/>
                          <w:bCs/>
                          <w:sz w:val="20"/>
                          <w:szCs w:val="20"/>
                        </w:rPr>
                        <w:t>Demandes du Secrétariat de l’ICCAT :</w:t>
                      </w:r>
                      <w:r w:rsidRPr="00E561E4">
                        <w:rPr>
                          <w:rFonts w:ascii="Cambria" w:hAnsi="Cambria"/>
                          <w:sz w:val="20"/>
                          <w:szCs w:val="20"/>
                        </w:rPr>
                        <w:t xml:space="preserve"> Les CPC devraient se limiter à soumettre au Secrétariat de l'ICCAT l'information sur les sceaux de validation et les signatures pour le document statistique de l’ICCAT pour le thon obèse/espadon et les programmes de documentation des captures de thon rouge de l'ICCAT, en utilisant les formats approuvés par l'ICCAT.</w:t>
                      </w:r>
                    </w:p>
                    <w:p w14:paraId="6DFC3DD2" w14:textId="77777777" w:rsidR="00E561E4" w:rsidRDefault="00E561E4" w:rsidP="00E561E4">
                      <w:pPr>
                        <w:spacing w:line="240" w:lineRule="auto"/>
                        <w:jc w:val="both"/>
                        <w:rPr>
                          <w:rFonts w:ascii="Cambria" w:hAnsi="Cambria"/>
                          <w:sz w:val="20"/>
                          <w:szCs w:val="20"/>
                        </w:rPr>
                      </w:pPr>
                    </w:p>
                    <w:p w14:paraId="1225C384" w14:textId="56D96B75" w:rsidR="00B07023" w:rsidRPr="00EC05B9" w:rsidRDefault="00B07023" w:rsidP="00E561E4">
                      <w:pPr>
                        <w:spacing w:line="240" w:lineRule="auto"/>
                        <w:jc w:val="both"/>
                        <w:rPr>
                          <w:rFonts w:ascii="Cambria" w:hAnsi="Cambria"/>
                          <w:sz w:val="20"/>
                          <w:szCs w:val="20"/>
                        </w:rPr>
                      </w:pPr>
                      <w:r w:rsidRPr="00EC05B9">
                        <w:rPr>
                          <w:rFonts w:ascii="Cambria" w:hAnsi="Cambria"/>
                          <w:sz w:val="20"/>
                          <w:szCs w:val="20"/>
                        </w:rPr>
                        <w:t>En 2025, le Secrétariat a été contacté au sujet de problèmes concernant des expéditions de germon de l'Atlantique Sud capturé par des navires de pêche battant pavillon de CPC de l’ICCAT. Ces expéditions étaient accompagnées de documents statistiques portant la mention "Document statistique de l'ICCAT sur le germon".</w:t>
                      </w:r>
                    </w:p>
                    <w:p w14:paraId="4DCA5055" w14:textId="77777777" w:rsidR="00B07023" w:rsidRPr="00EC05B9" w:rsidRDefault="00B07023" w:rsidP="00E561E4">
                      <w:pPr>
                        <w:spacing w:line="240" w:lineRule="auto"/>
                        <w:jc w:val="both"/>
                        <w:rPr>
                          <w:rFonts w:ascii="Cambria" w:hAnsi="Cambria"/>
                          <w:sz w:val="20"/>
                          <w:szCs w:val="20"/>
                        </w:rPr>
                      </w:pPr>
                    </w:p>
                    <w:p w14:paraId="65789B40" w14:textId="77777777" w:rsidR="00B07023" w:rsidRPr="00EC05B9" w:rsidRDefault="00B07023" w:rsidP="00E561E4">
                      <w:pPr>
                        <w:spacing w:line="240" w:lineRule="auto"/>
                        <w:jc w:val="both"/>
                        <w:rPr>
                          <w:rFonts w:ascii="Cambria" w:hAnsi="Cambria"/>
                          <w:sz w:val="20"/>
                          <w:szCs w:val="20"/>
                        </w:rPr>
                      </w:pPr>
                      <w:r w:rsidRPr="00EC05B9">
                        <w:rPr>
                          <w:rFonts w:ascii="Cambria" w:hAnsi="Cambria"/>
                          <w:sz w:val="20"/>
                          <w:szCs w:val="20"/>
                        </w:rPr>
                        <w:t>Le Programme de Document Statistique (SDP) de l’ICCAT, mis en œuvre depuis 2002, ne couvre que le thon obèse (BET), conformément aux dispositions de la Recommandation 01-21, et l'espadon (SWO), conformément à la Recommandation 01-22. Le SDP de l’ICCAT ne couvre aucune autre espèce de thonidés de l’ICCAT, y compris le germon.</w:t>
                      </w:r>
                    </w:p>
                    <w:p w14:paraId="5EE8E64D" w14:textId="77777777" w:rsidR="00B07023" w:rsidRPr="00EC05B9" w:rsidRDefault="00B07023" w:rsidP="00E561E4">
                      <w:pPr>
                        <w:spacing w:line="240" w:lineRule="auto"/>
                        <w:jc w:val="both"/>
                        <w:rPr>
                          <w:rFonts w:ascii="Cambria" w:hAnsi="Cambria"/>
                          <w:sz w:val="20"/>
                          <w:szCs w:val="20"/>
                        </w:rPr>
                      </w:pPr>
                    </w:p>
                    <w:p w14:paraId="753BC51D" w14:textId="6FAF68A8" w:rsidR="009C7C25" w:rsidRPr="00E561E4" w:rsidRDefault="00B07023" w:rsidP="00E561E4">
                      <w:pPr>
                        <w:spacing w:line="240" w:lineRule="auto"/>
                        <w:jc w:val="both"/>
                        <w:rPr>
                          <w:rFonts w:ascii="Cambria" w:hAnsi="Cambria"/>
                          <w:sz w:val="20"/>
                          <w:szCs w:val="20"/>
                        </w:rPr>
                      </w:pPr>
                      <w:r w:rsidRPr="00EC05B9">
                        <w:rPr>
                          <w:rFonts w:ascii="Cambria" w:hAnsi="Cambria"/>
                          <w:sz w:val="20"/>
                          <w:szCs w:val="20"/>
                        </w:rPr>
                        <w:t>Le Secrétariat demande aux CPC de bien vouloir s'abstenir d'émettre de telles certifications contenant toute référence à l'ICCAT, étant donné que cela pourrait conduire les destinataires à se méprendre sur la validité des documents.</w:t>
                      </w:r>
                    </w:p>
                  </w:txbxContent>
                </v:textbox>
                <w10:wrap type="topAndBottom" anchorx="margin"/>
              </v:shape>
            </w:pict>
          </mc:Fallback>
        </mc:AlternateContent>
      </w:r>
    </w:p>
    <w:p w14:paraId="0ED91D24" w14:textId="77777777" w:rsidR="00034117" w:rsidRPr="005756CE" w:rsidRDefault="00034117" w:rsidP="001E71F8">
      <w:pPr>
        <w:widowControl w:val="0"/>
        <w:autoSpaceDE w:val="0"/>
        <w:autoSpaceDN w:val="0"/>
        <w:adjustRightInd w:val="0"/>
        <w:spacing w:line="240" w:lineRule="auto"/>
        <w:rPr>
          <w:rFonts w:ascii="Cambria" w:eastAsia="Times New Roman" w:hAnsi="Cambria"/>
          <w:i/>
          <w:kern w:val="0"/>
          <w:sz w:val="20"/>
          <w:szCs w:val="20"/>
          <w14:ligatures w14:val="none"/>
        </w:rPr>
      </w:pPr>
    </w:p>
    <w:p w14:paraId="5771353E" w14:textId="17FAE2BD" w:rsidR="009C7C25" w:rsidRPr="005756CE" w:rsidRDefault="009C7C25" w:rsidP="001E71F8">
      <w:pPr>
        <w:widowControl w:val="0"/>
        <w:autoSpaceDE w:val="0"/>
        <w:autoSpaceDN w:val="0"/>
        <w:adjustRightInd w:val="0"/>
        <w:spacing w:line="240" w:lineRule="auto"/>
        <w:rPr>
          <w:rFonts w:ascii="Cambria" w:eastAsia="Times New Roman" w:hAnsi="Cambria"/>
          <w:iCs/>
          <w:kern w:val="0"/>
          <w:sz w:val="20"/>
          <w:szCs w:val="20"/>
          <w14:ligatures w14:val="none"/>
        </w:rPr>
      </w:pPr>
      <w:r w:rsidRPr="005756CE">
        <w:rPr>
          <w:rFonts w:ascii="Cambria" w:eastAsia="Times New Roman" w:hAnsi="Cambria"/>
          <w:i/>
          <w:kern w:val="0"/>
          <w:sz w:val="20"/>
          <w:szCs w:val="20"/>
          <w14:ligatures w14:val="none"/>
        </w:rPr>
        <w:lastRenderedPageBreak/>
        <w:t>[22-16]</w:t>
      </w:r>
      <w:r w:rsidRPr="005756CE">
        <w:rPr>
          <w:rFonts w:ascii="Cambria" w:eastAsia="Times New Roman" w:hAnsi="Cambria"/>
          <w:i/>
          <w:kern w:val="0"/>
          <w:sz w:val="20"/>
          <w:szCs w:val="20"/>
          <w14:ligatures w14:val="none"/>
        </w:rPr>
        <w:tab/>
        <w:t>Recommandation de l’ICCAT amendant la Recommandation 21-18 concernant l’application du système eBCD</w:t>
      </w:r>
    </w:p>
    <w:p w14:paraId="2D147A58" w14:textId="77777777" w:rsidR="009C7C25" w:rsidRPr="005756CE" w:rsidRDefault="009C7C25" w:rsidP="001E71F8">
      <w:pPr>
        <w:widowControl w:val="0"/>
        <w:autoSpaceDE w:val="0"/>
        <w:autoSpaceDN w:val="0"/>
        <w:adjustRightInd w:val="0"/>
        <w:spacing w:line="240" w:lineRule="auto"/>
        <w:rPr>
          <w:rFonts w:ascii="Cambria" w:eastAsia="Times New Roman" w:hAnsi="Cambria"/>
          <w:i/>
          <w:kern w:val="0"/>
          <w:sz w:val="20"/>
          <w:szCs w:val="20"/>
          <w14:ligatures w14:val="none"/>
        </w:rPr>
      </w:pPr>
    </w:p>
    <w:p w14:paraId="6413BA8A" w14:textId="77777777" w:rsidR="00A33750" w:rsidRPr="005756CE" w:rsidRDefault="00A33750" w:rsidP="001E71F8">
      <w:pPr>
        <w:tabs>
          <w:tab w:val="left" w:pos="1276"/>
          <w:tab w:val="left" w:pos="1418"/>
          <w:tab w:val="left" w:leader="dot" w:pos="8222"/>
          <w:tab w:val="right" w:pos="8647"/>
        </w:tabs>
        <w:spacing w:line="240" w:lineRule="auto"/>
        <w:jc w:val="both"/>
        <w:rPr>
          <w:rFonts w:ascii="Cambria" w:hAnsi="Cambria"/>
          <w:bCs/>
          <w:sz w:val="20"/>
          <w:szCs w:val="20"/>
        </w:rPr>
      </w:pPr>
      <w:r w:rsidRPr="005756CE">
        <w:rPr>
          <w:rFonts w:ascii="Cambria" w:hAnsi="Cambria"/>
          <w:sz w:val="20"/>
          <w:szCs w:val="20"/>
        </w:rPr>
        <w:t>(</w:t>
      </w:r>
      <w:proofErr w:type="gramStart"/>
      <w:r w:rsidRPr="005756CE">
        <w:rPr>
          <w:rFonts w:ascii="Cambria" w:hAnsi="Cambria"/>
          <w:sz w:val="20"/>
          <w:szCs w:val="20"/>
        </w:rPr>
        <w:t>remplacée</w:t>
      </w:r>
      <w:proofErr w:type="gramEnd"/>
      <w:r w:rsidRPr="005756CE">
        <w:rPr>
          <w:rFonts w:ascii="Cambria" w:hAnsi="Cambria"/>
          <w:sz w:val="20"/>
          <w:szCs w:val="20"/>
        </w:rPr>
        <w:t xml:space="preserve"> par la [Rec.</w:t>
      </w:r>
      <w:r w:rsidRPr="005756CE">
        <w:rPr>
          <w:rFonts w:ascii="Cambria" w:hAnsi="Cambria"/>
          <w:color w:val="000000"/>
          <w:sz w:val="20"/>
          <w:szCs w:val="20"/>
        </w:rPr>
        <w:t xml:space="preserve"> 24-16] </w:t>
      </w:r>
      <w:r w:rsidRPr="005756CE">
        <w:rPr>
          <w:rFonts w:ascii="Cambria" w:hAnsi="Cambria"/>
          <w:i/>
          <w:iCs/>
          <w:color w:val="000000"/>
          <w:sz w:val="20"/>
          <w:szCs w:val="20"/>
        </w:rPr>
        <w:t>Recommandation de l’ICCAT amendant la Recommandation 22-16 amendant la Recommandation 21-18 concernant l’application du système eBCD)</w:t>
      </w:r>
    </w:p>
    <w:p w14:paraId="13695ADA" w14:textId="4A10081A" w:rsidR="00E52B72" w:rsidRPr="005756CE" w:rsidRDefault="00E52B72" w:rsidP="001E71F8">
      <w:pPr>
        <w:widowControl w:val="0"/>
        <w:autoSpaceDE w:val="0"/>
        <w:autoSpaceDN w:val="0"/>
        <w:adjustRightInd w:val="0"/>
        <w:spacing w:line="240" w:lineRule="auto"/>
        <w:rPr>
          <w:rFonts w:ascii="Cambria" w:eastAsia="Times New Roman" w:hAnsi="Cambria"/>
          <w:i/>
          <w:kern w:val="0"/>
          <w:sz w:val="20"/>
          <w:szCs w:val="20"/>
          <w14:ligatures w14:val="none"/>
        </w:rPr>
      </w:pPr>
    </w:p>
    <w:p w14:paraId="05A64E40" w14:textId="0FE4D9DB" w:rsidR="009C7C25" w:rsidRPr="005756CE" w:rsidRDefault="009C7C25" w:rsidP="001E71F8">
      <w:pPr>
        <w:spacing w:line="240" w:lineRule="auto"/>
        <w:jc w:val="both"/>
        <w:rPr>
          <w:rFonts w:ascii="Cambria" w:eastAsia="Times New Roman" w:hAnsi="Cambria"/>
          <w:bCs/>
          <w:kern w:val="0"/>
          <w:sz w:val="20"/>
          <w:szCs w:val="20"/>
          <w14:ligatures w14:val="none"/>
        </w:rPr>
      </w:pPr>
      <w:r w:rsidRPr="005756CE">
        <w:rPr>
          <w:rFonts w:ascii="Cambria" w:eastAsia="Times New Roman" w:hAnsi="Cambria"/>
          <w:kern w:val="0"/>
          <w:sz w:val="20"/>
          <w:szCs w:val="20"/>
          <w14:ligatures w14:val="none"/>
        </w:rPr>
        <w:t xml:space="preserve">Conformément aux dispositions de l’annexe 3 de la Rec. 22-16, en dehors des heures de bureau du Secrétariat et des heures d'assistance technique comprises dans le contrat avec le consortium, toute CPC peut auto-enregistrer un incident sur la </w:t>
      </w:r>
      <w:hyperlink r:id="rId37" w:history="1">
        <w:r w:rsidR="00034117" w:rsidRPr="005756CE">
          <w:rPr>
            <w:rFonts w:ascii="Cambria" w:eastAsia="Times New Roman" w:hAnsi="Cambria"/>
            <w:color w:val="0000FF"/>
            <w:kern w:val="0"/>
            <w:sz w:val="20"/>
            <w:szCs w:val="20"/>
            <w14:ligatures w14:val="none"/>
          </w:rPr>
          <w:t xml:space="preserve">page </w:t>
        </w:r>
        <w:r w:rsidRPr="005756CE">
          <w:rPr>
            <w:rFonts w:ascii="Cambria" w:eastAsia="Times New Roman" w:hAnsi="Cambria"/>
            <w:color w:val="0000FF"/>
            <w:kern w:val="0"/>
            <w:sz w:val="20"/>
            <w:szCs w:val="20"/>
            <w14:ligatures w14:val="none"/>
          </w:rPr>
          <w:t>web de l’ICCAT</w:t>
        </w:r>
      </w:hyperlink>
      <w:r w:rsidRPr="005756CE">
        <w:rPr>
          <w:rFonts w:ascii="Cambria" w:eastAsia="Times New Roman" w:hAnsi="Cambria"/>
          <w:kern w:val="0"/>
          <w:sz w:val="20"/>
          <w:szCs w:val="20"/>
          <w14:ligatures w14:val="none"/>
        </w:rPr>
        <w:t xml:space="preserve"> afin d’informer toutes les CPC de l’emploi temporaire du BCD sur </w:t>
      </w:r>
      <w:r w:rsidR="00034117" w:rsidRPr="005756CE">
        <w:rPr>
          <w:rFonts w:ascii="Cambria" w:eastAsia="Times New Roman" w:hAnsi="Cambria"/>
          <w:kern w:val="0"/>
          <w:sz w:val="20"/>
          <w:szCs w:val="20"/>
          <w14:ligatures w14:val="none"/>
        </w:rPr>
        <w:t>papier</w:t>
      </w:r>
      <w:r w:rsidRPr="005756CE">
        <w:rPr>
          <w:rFonts w:ascii="Cambria" w:eastAsia="Times New Roman" w:hAnsi="Cambria"/>
          <w:kern w:val="0"/>
          <w:sz w:val="20"/>
          <w:szCs w:val="20"/>
          <w14:ligatures w14:val="none"/>
        </w:rPr>
        <w:t xml:space="preserve">. De plus amples informations sur les systèmes eBCD figurent dans le </w:t>
      </w:r>
      <w:r w:rsidR="00034117"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Rapport du Secrétariat au Groupe de travail permanent pour l'amélioration des statistiques et des mesures de conservation de l'ICCAT (PWG)</w:t>
      </w:r>
      <w:r w:rsidR="00034117"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 xml:space="preserve"> [PWG_401/202</w:t>
      </w:r>
      <w:r w:rsidR="00A33750"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 xml:space="preserve">] et le </w:t>
      </w:r>
      <w:r w:rsidR="00034117"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Rapport de la première réunion du Groupe de travail CDS</w:t>
      </w:r>
      <w:r w:rsidR="00034117" w:rsidRPr="005756CE">
        <w:rPr>
          <w:rFonts w:ascii="Cambria" w:eastAsia="Times New Roman" w:hAnsi="Cambria"/>
          <w:kern w:val="0"/>
          <w:sz w:val="20"/>
          <w:szCs w:val="20"/>
          <w14:ligatures w14:val="none"/>
        </w:rPr>
        <w:t> »</w:t>
      </w:r>
      <w:r w:rsidRPr="005756CE">
        <w:rPr>
          <w:rFonts w:ascii="Cambria" w:eastAsia="Times New Roman" w:hAnsi="Cambria"/>
          <w:color w:val="000000"/>
          <w:kern w:val="0"/>
          <w:sz w:val="20"/>
          <w:szCs w:val="20"/>
          <w14:ligatures w14:val="none"/>
        </w:rPr>
        <w:t xml:space="preserve"> [</w:t>
      </w:r>
      <w:r w:rsidRPr="005756CE">
        <w:rPr>
          <w:rFonts w:ascii="Cambria" w:eastAsia="Times New Roman" w:hAnsi="Cambria"/>
          <w:kern w:val="0"/>
          <w:sz w:val="20"/>
          <w:szCs w:val="20"/>
          <w14:ligatures w14:val="none"/>
        </w:rPr>
        <w:t>PWG_403/</w:t>
      </w:r>
      <w:r w:rsidR="00A33750" w:rsidRPr="005756CE">
        <w:rPr>
          <w:rFonts w:ascii="Cambria" w:eastAsia="Times New Roman" w:hAnsi="Cambria"/>
          <w:kern w:val="0"/>
          <w:sz w:val="20"/>
          <w:szCs w:val="20"/>
          <w14:ligatures w14:val="none"/>
        </w:rPr>
        <w:t>2025</w:t>
      </w:r>
      <w:r w:rsidRPr="005756CE">
        <w:rPr>
          <w:rFonts w:ascii="Cambria" w:eastAsia="Times New Roman" w:hAnsi="Cambria"/>
          <w:kern w:val="0"/>
          <w:sz w:val="20"/>
          <w:szCs w:val="20"/>
          <w14:ligatures w14:val="none"/>
        </w:rPr>
        <w:t>].</w:t>
      </w:r>
    </w:p>
    <w:p w14:paraId="58149D47"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p>
    <w:p w14:paraId="29E29731" w14:textId="1E8117F3" w:rsidR="009C7C25" w:rsidRPr="005756CE" w:rsidRDefault="009C7C25" w:rsidP="001E71F8">
      <w:pPr>
        <w:spacing w:line="240" w:lineRule="auto"/>
        <w:jc w:val="both"/>
        <w:rPr>
          <w:rFonts w:ascii="Cambria" w:eastAsia="Times New Roman" w:hAnsi="Cambria"/>
          <w:bCs/>
          <w:kern w:val="0"/>
          <w:sz w:val="20"/>
          <w:szCs w:val="20"/>
          <w14:ligatures w14:val="none"/>
        </w:rPr>
      </w:pPr>
      <w:r w:rsidRPr="005756CE">
        <w:rPr>
          <w:rFonts w:ascii="Cambria" w:eastAsia="Times New Roman" w:hAnsi="Cambria"/>
          <w:kern w:val="0"/>
          <w:sz w:val="20"/>
          <w:szCs w:val="20"/>
          <w14:ligatures w14:val="none"/>
        </w:rPr>
        <w:t>Le rapport sur la dérogation autorisée au titre du paragraphe 5b) est disponible en tant que « Rapport sur la mise en œuvre de la dérogation de validation des BCD pour les opérations commerciales de thon rouge entre les États membres de l'UE en 202</w:t>
      </w:r>
      <w:r w:rsidR="00A33750" w:rsidRPr="005756CE">
        <w:rPr>
          <w:rFonts w:ascii="Cambria" w:eastAsia="Times New Roman" w:hAnsi="Cambria"/>
          <w:kern w:val="0"/>
          <w:sz w:val="20"/>
          <w:szCs w:val="20"/>
          <w14:ligatures w14:val="none"/>
        </w:rPr>
        <w:t>4</w:t>
      </w:r>
      <w:r w:rsidRPr="005756CE">
        <w:rPr>
          <w:rFonts w:ascii="Cambria" w:eastAsia="Times New Roman" w:hAnsi="Cambria"/>
          <w:kern w:val="0"/>
          <w:sz w:val="20"/>
          <w:szCs w:val="20"/>
          <w14:ligatures w14:val="none"/>
        </w:rPr>
        <w:t xml:space="preserve"> (paragraphe 5b de la Recommandation 2</w:t>
      </w:r>
      <w:r w:rsidR="00A33750" w:rsidRPr="005756CE">
        <w:rPr>
          <w:rFonts w:ascii="Cambria" w:eastAsia="Times New Roman" w:hAnsi="Cambria"/>
          <w:kern w:val="0"/>
          <w:sz w:val="20"/>
          <w:szCs w:val="20"/>
          <w14:ligatures w14:val="none"/>
        </w:rPr>
        <w:t>4</w:t>
      </w:r>
      <w:r w:rsidRPr="005756CE">
        <w:rPr>
          <w:rFonts w:ascii="Cambria" w:eastAsia="Times New Roman" w:hAnsi="Cambria"/>
          <w:kern w:val="0"/>
          <w:sz w:val="20"/>
          <w:szCs w:val="20"/>
          <w14:ligatures w14:val="none"/>
        </w:rPr>
        <w:t>-16 de l’ICCAT)</w:t>
      </w:r>
      <w:r w:rsidR="00F82E0B"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 [PWG_410/</w:t>
      </w:r>
      <w:r w:rsidR="00A33750" w:rsidRPr="005756CE">
        <w:rPr>
          <w:rFonts w:ascii="Cambria" w:eastAsia="Times New Roman" w:hAnsi="Cambria"/>
          <w:kern w:val="0"/>
          <w:sz w:val="20"/>
          <w:szCs w:val="20"/>
          <w14:ligatures w14:val="none"/>
        </w:rPr>
        <w:t>2025</w:t>
      </w:r>
      <w:r w:rsidRPr="005756CE">
        <w:rPr>
          <w:rFonts w:ascii="Cambria" w:eastAsia="Times New Roman" w:hAnsi="Cambria"/>
          <w:kern w:val="0"/>
          <w:sz w:val="20"/>
          <w:szCs w:val="20"/>
          <w14:ligatures w14:val="none"/>
        </w:rPr>
        <w:t>].</w:t>
      </w:r>
    </w:p>
    <w:p w14:paraId="74CF09F1"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bCs/>
          <w:kern w:val="0"/>
          <w:sz w:val="20"/>
          <w:szCs w:val="20"/>
          <w14:ligatures w14:val="none"/>
        </w:rPr>
      </w:pPr>
    </w:p>
    <w:p w14:paraId="45BD45E8"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bCs/>
          <w:kern w:val="0"/>
          <w:sz w:val="20"/>
          <w:szCs w:val="20"/>
          <w14:ligatures w14:val="none"/>
        </w:rPr>
      </w:pPr>
    </w:p>
    <w:p w14:paraId="092FA9BB"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bCs/>
          <w:kern w:val="0"/>
          <w:sz w:val="20"/>
          <w:szCs w:val="20"/>
          <w14:ligatures w14:val="none"/>
        </w:rPr>
      </w:pPr>
      <w:r w:rsidRPr="005756CE">
        <w:rPr>
          <w:rFonts w:ascii="Cambria" w:eastAsia="Times New Roman" w:hAnsi="Cambria"/>
          <w:b/>
          <w:kern w:val="0"/>
          <w:sz w:val="20"/>
          <w:szCs w:val="20"/>
          <w14:ligatures w14:val="none"/>
        </w:rPr>
        <w:t>TOR - TERMES DE RÉFÉRENCE</w:t>
      </w:r>
    </w:p>
    <w:p w14:paraId="048F1340"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kern w:val="0"/>
          <w:sz w:val="20"/>
          <w:szCs w:val="20"/>
          <w14:ligatures w14:val="none"/>
        </w:rPr>
      </w:pPr>
    </w:p>
    <w:p w14:paraId="7FE22715"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i/>
          <w:iCs/>
          <w:kern w:val="0"/>
          <w:sz w:val="20"/>
          <w:szCs w:val="20"/>
          <w14:ligatures w14:val="none"/>
        </w:rPr>
      </w:pPr>
      <w:r w:rsidRPr="005756CE">
        <w:rPr>
          <w:rFonts w:ascii="Cambria" w:eastAsia="Times New Roman" w:hAnsi="Cambria"/>
          <w:i/>
          <w:kern w:val="0"/>
          <w:sz w:val="20"/>
          <w:szCs w:val="20"/>
          <w14:ligatures w14:val="none"/>
        </w:rPr>
        <w:t>[16-19] Recommandation de l’ICCAT concernant l'élaboration d'un système de déclaration en ligne</w:t>
      </w:r>
    </w:p>
    <w:p w14:paraId="2202509C"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kern w:val="0"/>
          <w:sz w:val="20"/>
          <w:szCs w:val="20"/>
          <w14:ligatures w14:val="none"/>
        </w:rPr>
      </w:pPr>
    </w:p>
    <w:p w14:paraId="4DDB2D70" w14:textId="4E2E9352"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eastAsia="Times New Roman" w:hAnsi="Cambria"/>
          <w:kern w:val="0"/>
          <w:sz w:val="20"/>
          <w:szCs w:val="20"/>
          <w14:ligatures w14:val="none"/>
        </w:rPr>
        <w:t>Les informations relatives aux avancées à ce jour sont incluses dans le document COC_302/</w:t>
      </w:r>
      <w:r w:rsidR="00C740A9" w:rsidRPr="005756CE">
        <w:rPr>
          <w:rFonts w:ascii="Cambria" w:eastAsia="Times New Roman" w:hAnsi="Cambria"/>
          <w:kern w:val="0"/>
          <w:sz w:val="20"/>
          <w:szCs w:val="20"/>
          <w14:ligatures w14:val="none"/>
        </w:rPr>
        <w:t xml:space="preserve">2025 </w:t>
      </w:r>
      <w:r w:rsidRPr="005756CE">
        <w:rPr>
          <w:rFonts w:ascii="Cambria" w:eastAsia="Times New Roman" w:hAnsi="Cambria"/>
          <w:kern w:val="0"/>
          <w:sz w:val="20"/>
          <w:szCs w:val="20"/>
          <w14:ligatures w14:val="none"/>
        </w:rPr>
        <w:t xml:space="preserve">et la Réf. 23-24 ci-dessous. </w:t>
      </w:r>
    </w:p>
    <w:p w14:paraId="6C6B0770" w14:textId="77777777" w:rsidR="009C7C25" w:rsidRPr="005756CE" w:rsidRDefault="009C7C25" w:rsidP="001E71F8">
      <w:pPr>
        <w:widowControl w:val="0"/>
        <w:autoSpaceDE w:val="0"/>
        <w:autoSpaceDN w:val="0"/>
        <w:adjustRightInd w:val="0"/>
        <w:spacing w:line="240" w:lineRule="auto"/>
        <w:rPr>
          <w:rFonts w:ascii="Cambria" w:eastAsia="Times New Roman" w:hAnsi="Cambria"/>
          <w:kern w:val="0"/>
          <w:sz w:val="20"/>
          <w:szCs w:val="20"/>
          <w14:ligatures w14:val="none"/>
        </w:rPr>
      </w:pPr>
    </w:p>
    <w:p w14:paraId="3198B29A" w14:textId="69EB2A60" w:rsidR="00034117" w:rsidRPr="005756CE" w:rsidRDefault="00034117" w:rsidP="001E71F8">
      <w:pPr>
        <w:spacing w:line="240" w:lineRule="auto"/>
        <w:rPr>
          <w:rFonts w:ascii="Cambria" w:eastAsia="Times New Roman" w:hAnsi="Cambria"/>
          <w:b/>
          <w:bCs/>
          <w:kern w:val="0"/>
          <w:sz w:val="20"/>
          <w:szCs w:val="20"/>
          <w14:ligatures w14:val="none"/>
        </w:rPr>
      </w:pPr>
    </w:p>
    <w:p w14:paraId="3BFB7990" w14:textId="7B2ABCC4" w:rsidR="009C7C25" w:rsidRPr="005756CE" w:rsidRDefault="009C7C25" w:rsidP="001E71F8">
      <w:pPr>
        <w:keepNext/>
        <w:widowControl w:val="0"/>
        <w:tabs>
          <w:tab w:val="left" w:pos="1276"/>
          <w:tab w:val="left" w:pos="1418"/>
          <w:tab w:val="left" w:leader="dot" w:pos="8222"/>
          <w:tab w:val="right" w:pos="8647"/>
        </w:tabs>
        <w:autoSpaceDE w:val="0"/>
        <w:autoSpaceDN w:val="0"/>
        <w:adjustRightInd w:val="0"/>
        <w:spacing w:line="240" w:lineRule="auto"/>
        <w:outlineLvl w:val="6"/>
        <w:rPr>
          <w:rFonts w:ascii="Cambria" w:eastAsia="Times New Roman" w:hAnsi="Cambria"/>
          <w:b/>
          <w:bCs/>
          <w:kern w:val="0"/>
          <w:sz w:val="20"/>
          <w:szCs w:val="20"/>
          <w14:ligatures w14:val="none"/>
        </w:rPr>
      </w:pPr>
      <w:r w:rsidRPr="005756CE">
        <w:rPr>
          <w:rFonts w:ascii="Cambria" w:eastAsia="Times New Roman" w:hAnsi="Cambria"/>
          <w:b/>
          <w:bCs/>
          <w:kern w:val="0"/>
          <w:sz w:val="20"/>
          <w:szCs w:val="20"/>
          <w14:ligatures w14:val="none"/>
        </w:rPr>
        <w:t>MISC - DIVERS</w:t>
      </w:r>
    </w:p>
    <w:p w14:paraId="39734D59" w14:textId="77777777" w:rsidR="009C7C25" w:rsidRPr="005756CE" w:rsidRDefault="009C7C25" w:rsidP="001E71F8">
      <w:pPr>
        <w:widowControl w:val="0"/>
        <w:autoSpaceDE w:val="0"/>
        <w:autoSpaceDN w:val="0"/>
        <w:adjustRightInd w:val="0"/>
        <w:spacing w:line="240" w:lineRule="auto"/>
        <w:rPr>
          <w:rFonts w:ascii="Cambria" w:eastAsia="Times New Roman" w:hAnsi="Cambria"/>
          <w:kern w:val="0"/>
          <w:sz w:val="20"/>
          <w:szCs w:val="20"/>
          <w14:ligatures w14:val="none"/>
        </w:rPr>
      </w:pPr>
    </w:p>
    <w:p w14:paraId="176B267A"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[99-07] Résolution de l’ICCAT concernant l'amélioration des statistiques sur la pêche sportive</w:t>
      </w:r>
    </w:p>
    <w:p w14:paraId="04AFD351"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i/>
          <w:kern w:val="0"/>
          <w:sz w:val="20"/>
          <w:szCs w:val="20"/>
          <w14:ligatures w14:val="none"/>
        </w:rPr>
      </w:pPr>
    </w:p>
    <w:p w14:paraId="684A785B" w14:textId="20EA302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Les informations sont incluses dans les Rapports annuels </w:t>
      </w:r>
      <w:r w:rsidR="00034117" w:rsidRPr="005756CE">
        <w:rPr>
          <w:rFonts w:ascii="Cambria" w:eastAsia="Times New Roman" w:hAnsi="Cambria"/>
          <w:kern w:val="0"/>
          <w:sz w:val="20"/>
          <w:szCs w:val="20"/>
          <w14:ligatures w14:val="none"/>
        </w:rPr>
        <w:t xml:space="preserve">des CPC </w:t>
      </w:r>
      <w:r w:rsidRPr="005756CE">
        <w:rPr>
          <w:rFonts w:ascii="Cambria" w:eastAsia="Times New Roman" w:hAnsi="Cambria"/>
          <w:kern w:val="0"/>
          <w:sz w:val="20"/>
          <w:szCs w:val="20"/>
          <w14:ligatures w14:val="none"/>
        </w:rPr>
        <w:t>(COC_301/</w:t>
      </w:r>
      <w:r w:rsidR="00C740A9" w:rsidRPr="005756CE">
        <w:rPr>
          <w:rFonts w:ascii="Cambria" w:eastAsia="Times New Roman" w:hAnsi="Cambria"/>
          <w:kern w:val="0"/>
          <w:sz w:val="20"/>
          <w:szCs w:val="20"/>
          <w14:ligatures w14:val="none"/>
        </w:rPr>
        <w:t>2025</w:t>
      </w:r>
      <w:r w:rsidRPr="005756CE">
        <w:rPr>
          <w:rFonts w:ascii="Cambria" w:eastAsia="Times New Roman" w:hAnsi="Cambria"/>
          <w:kern w:val="0"/>
          <w:sz w:val="20"/>
          <w:szCs w:val="20"/>
          <w14:ligatures w14:val="none"/>
        </w:rPr>
        <w:t xml:space="preserve">) et dans les statistiques de tâche 1. Le libellé de la Résolution étant vague (« </w:t>
      </w:r>
      <w:r w:rsidRPr="005756CE">
        <w:rPr>
          <w:rFonts w:ascii="Cambria" w:eastAsia="Times New Roman" w:hAnsi="Cambria"/>
          <w:i/>
          <w:iCs/>
          <w:kern w:val="0"/>
          <w:sz w:val="20"/>
          <w:szCs w:val="20"/>
          <w14:ligatures w14:val="none"/>
        </w:rPr>
        <w:t>chaque CPC fournira au SCRS des données spécifiques sur les espèces qui permettront à la Commission de déterminer indépendamment la magnitude de la pêche sportive de chaque espèce de thonidés et espèce voisine de l’Atlantique</w:t>
      </w:r>
      <w:r w:rsidRPr="005756CE">
        <w:rPr>
          <w:rFonts w:ascii="Cambria" w:eastAsia="Times New Roman" w:hAnsi="Cambria"/>
          <w:kern w:val="0"/>
          <w:sz w:val="20"/>
          <w:szCs w:val="20"/>
          <w14:ligatures w14:val="none"/>
        </w:rPr>
        <w:t> »), la Commission pourrait souhaiter mieux définir les informations requises.</w:t>
      </w:r>
    </w:p>
    <w:p w14:paraId="0BF8222A"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jc w:val="both"/>
        <w:rPr>
          <w:rFonts w:ascii="Cambria" w:eastAsia="Times New Roman" w:hAnsi="Cambria"/>
          <w:kern w:val="0"/>
          <w:sz w:val="20"/>
          <w:szCs w:val="20"/>
          <w14:ligatures w14:val="none"/>
        </w:rPr>
      </w:pPr>
    </w:p>
    <w:p w14:paraId="49435656"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eastAsia="Times New Roman" w:hAnsi="Cambria"/>
          <w:i/>
          <w:kern w:val="0"/>
          <w:sz w:val="20"/>
          <w:szCs w:val="20"/>
          <w14:ligatures w14:val="none"/>
        </w:rPr>
        <w:t>[21-24] Recommandation de l’ICCAT remplaçant la Recommandation 03-20 sur les critères visant à l’octroi du statut de Partie, Entité ou Entité de pêche non contractante coopérante à l’ICCAT</w:t>
      </w:r>
    </w:p>
    <w:p w14:paraId="3753FA1C"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jc w:val="both"/>
        <w:rPr>
          <w:rFonts w:ascii="Cambria" w:eastAsia="Times New Roman" w:hAnsi="Cambria"/>
          <w:kern w:val="0"/>
          <w:sz w:val="20"/>
          <w:szCs w:val="20"/>
          <w14:ligatures w14:val="none"/>
        </w:rPr>
      </w:pPr>
    </w:p>
    <w:p w14:paraId="52786659" w14:textId="0B3F5FAB" w:rsidR="00034117" w:rsidRPr="005756CE" w:rsidRDefault="009C7C25" w:rsidP="001E71F8">
      <w:pPr>
        <w:widowControl w:val="0"/>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eastAsia="Times New Roman" w:hAnsi="Cambria"/>
          <w:kern w:val="0"/>
          <w:sz w:val="20"/>
          <w:szCs w:val="20"/>
          <w14:ligatures w14:val="none"/>
        </w:rPr>
        <w:t>La Bolivie, la Guyana, le Suriname et le Taipei chinois jouissent actuellement du statut de coopérant. L’examen de l’application par les Parties, Entités ou Entités de pêche non contractantes coopérantes est inclus dans le document</w:t>
      </w:r>
      <w:r w:rsidR="00B62757" w:rsidRPr="005756CE">
        <w:rPr>
          <w:rFonts w:ascii="Cambria" w:eastAsia="Times New Roman" w:hAnsi="Cambria"/>
          <w:kern w:val="0"/>
          <w:sz w:val="20"/>
          <w:szCs w:val="20"/>
          <w14:ligatures w14:val="none"/>
        </w:rPr>
        <w:t xml:space="preserve"> </w:t>
      </w:r>
      <w:r w:rsidR="00034117" w:rsidRPr="005756CE">
        <w:rPr>
          <w:rFonts w:ascii="Cambria" w:hAnsi="Cambria"/>
          <w:sz w:val="20"/>
          <w:szCs w:val="20"/>
        </w:rPr>
        <w:t>(« Projet de tableaux récapitulatifs de l’application » [COC_308/</w:t>
      </w:r>
      <w:r w:rsidR="00C740A9" w:rsidRPr="005756CE">
        <w:rPr>
          <w:rFonts w:ascii="Cambria" w:eastAsia="Times New Roman" w:hAnsi="Cambria"/>
          <w:kern w:val="0"/>
          <w:sz w:val="20"/>
          <w:szCs w:val="20"/>
          <w14:ligatures w14:val="none"/>
        </w:rPr>
        <w:t>2025</w:t>
      </w:r>
      <w:r w:rsidR="00034117" w:rsidRPr="005756CE">
        <w:rPr>
          <w:rFonts w:ascii="Cambria" w:hAnsi="Cambria"/>
          <w:sz w:val="20"/>
          <w:szCs w:val="20"/>
        </w:rPr>
        <w:t>]).</w:t>
      </w:r>
    </w:p>
    <w:p w14:paraId="6B3AD0C8"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p>
    <w:p w14:paraId="4A687860"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eastAsia="Times New Roman" w:hAnsi="Cambria"/>
          <w:i/>
          <w:kern w:val="0"/>
          <w:sz w:val="20"/>
          <w:szCs w:val="20"/>
          <w14:ligatures w14:val="none"/>
        </w:rPr>
        <w:t xml:space="preserve">[05-09] Recommandation de l’ICCAT sur le respect des obligations en matière de déclaration des statistiques </w:t>
      </w:r>
    </w:p>
    <w:p w14:paraId="24DECE1F"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12964D89" w14:textId="69AE0346"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Veuillez consulter le </w:t>
      </w:r>
      <w:r w:rsidR="00034117" w:rsidRPr="005756CE">
        <w:rPr>
          <w:rFonts w:ascii="Cambria" w:eastAsia="Times New Roman" w:hAnsi="Cambria"/>
          <w:kern w:val="0"/>
          <w:sz w:val="20"/>
          <w:szCs w:val="20"/>
          <w14:ligatures w14:val="none"/>
        </w:rPr>
        <w:t xml:space="preserve">« Rapport de </w:t>
      </w:r>
      <w:r w:rsidR="00C740A9" w:rsidRPr="005756CE">
        <w:rPr>
          <w:rFonts w:ascii="Cambria" w:eastAsia="Times New Roman" w:hAnsi="Cambria"/>
          <w:kern w:val="0"/>
          <w:sz w:val="20"/>
          <w:szCs w:val="20"/>
          <w14:ligatures w14:val="none"/>
        </w:rPr>
        <w:t>2025</w:t>
      </w:r>
      <w:r w:rsidR="00034117" w:rsidRPr="005756CE">
        <w:rPr>
          <w:rFonts w:ascii="Cambria" w:eastAsia="Times New Roman" w:hAnsi="Cambria"/>
          <w:kern w:val="0"/>
          <w:sz w:val="20"/>
          <w:szCs w:val="20"/>
          <w14:ligatures w14:val="none"/>
        </w:rPr>
        <w:t>du Secrétariat sur la recherche et les statistiques » (</w:t>
      </w:r>
      <w:r w:rsidRPr="005756CE">
        <w:rPr>
          <w:rFonts w:ascii="Cambria" w:eastAsia="Times New Roman" w:hAnsi="Cambria"/>
          <w:kern w:val="0"/>
          <w:sz w:val="20"/>
          <w:szCs w:val="20"/>
          <w14:ligatures w14:val="none"/>
        </w:rPr>
        <w:t>PLE_105/202</w:t>
      </w:r>
      <w:r w:rsidR="005A5857" w:rsidRPr="005756CE">
        <w:rPr>
          <w:rFonts w:ascii="Cambria" w:eastAsia="Times New Roman" w:hAnsi="Cambria"/>
          <w:kern w:val="0"/>
          <w:sz w:val="20"/>
          <w:szCs w:val="20"/>
          <w14:ligatures w14:val="none"/>
        </w:rPr>
        <w:t>5</w:t>
      </w:r>
      <w:r w:rsidR="00034117" w:rsidRPr="005756CE">
        <w:rPr>
          <w:rFonts w:ascii="Cambria" w:eastAsia="Times New Roman" w:hAnsi="Cambria"/>
          <w:kern w:val="0"/>
          <w:sz w:val="20"/>
          <w:szCs w:val="20"/>
          <w14:ligatures w14:val="none"/>
        </w:rPr>
        <w:t>)</w:t>
      </w:r>
      <w:r w:rsidRPr="005756CE">
        <w:rPr>
          <w:rFonts w:ascii="Cambria" w:eastAsia="Times New Roman" w:hAnsi="Cambria"/>
          <w:kern w:val="0"/>
          <w:sz w:val="20"/>
          <w:szCs w:val="20"/>
          <w14:ligatures w14:val="none"/>
        </w:rPr>
        <w:t xml:space="preserve"> pour plus de détails sur la déclaration des statistiques, ainsi que la Rec. 11-15 ci-dessus. Les Parties non contractantes suivantes ont fourni des données cette année : </w:t>
      </w:r>
      <w:r w:rsidR="006B7073" w:rsidRPr="005756CE">
        <w:rPr>
          <w:rFonts w:ascii="Cambria" w:eastAsia="Times New Roman" w:hAnsi="Cambria"/>
          <w:kern w:val="0"/>
          <w:sz w:val="20"/>
          <w:szCs w:val="20"/>
          <w14:ligatures w14:val="none"/>
        </w:rPr>
        <w:t xml:space="preserve">Dominique, </w:t>
      </w:r>
      <w:r w:rsidRPr="005756CE">
        <w:rPr>
          <w:rFonts w:ascii="Cambria" w:eastAsia="Times New Roman" w:hAnsi="Cambria"/>
          <w:kern w:val="0"/>
          <w:sz w:val="20"/>
          <w:szCs w:val="20"/>
          <w14:ligatures w14:val="none"/>
        </w:rPr>
        <w:t xml:space="preserve">Gibraltar et </w:t>
      </w:r>
      <w:r w:rsidR="006B7073" w:rsidRPr="005756CE">
        <w:rPr>
          <w:rFonts w:ascii="Cambria" w:eastAsia="Times New Roman" w:hAnsi="Cambria"/>
          <w:kern w:val="0"/>
          <w:sz w:val="20"/>
          <w:szCs w:val="20"/>
          <w14:ligatures w14:val="none"/>
        </w:rPr>
        <w:t>la Jamaïque</w:t>
      </w:r>
      <w:r w:rsidRPr="005756CE">
        <w:rPr>
          <w:rFonts w:ascii="Cambria" w:eastAsia="Times New Roman" w:hAnsi="Cambria"/>
          <w:kern w:val="0"/>
          <w:sz w:val="20"/>
          <w:szCs w:val="20"/>
          <w14:ligatures w14:val="none"/>
        </w:rPr>
        <w:t>.</w:t>
      </w:r>
    </w:p>
    <w:p w14:paraId="2B29452E"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694FC954"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bookmarkStart w:id="23" w:name="_Hlk180407301"/>
      <w:r w:rsidRPr="005756CE">
        <w:rPr>
          <w:rFonts w:ascii="Cambria" w:eastAsia="Times New Roman" w:hAnsi="Cambria"/>
          <w:i/>
          <w:kern w:val="0"/>
          <w:sz w:val="20"/>
          <w:szCs w:val="20"/>
          <w14:ligatures w14:val="none"/>
        </w:rPr>
        <w:t xml:space="preserve">[05-11] Résolution de l’ICCAT sur le </w:t>
      </w:r>
      <w:proofErr w:type="spellStart"/>
      <w:r w:rsidRPr="005756CE">
        <w:rPr>
          <w:rFonts w:ascii="Cambria" w:eastAsia="Times New Roman" w:hAnsi="Cambria"/>
          <w:i/>
          <w:kern w:val="0"/>
          <w:sz w:val="20"/>
          <w:szCs w:val="20"/>
          <w14:ligatures w14:val="none"/>
        </w:rPr>
        <w:t>Sargassum</w:t>
      </w:r>
      <w:proofErr w:type="spellEnd"/>
      <w:r w:rsidRPr="005756CE">
        <w:rPr>
          <w:rFonts w:ascii="Cambria" w:eastAsia="Times New Roman" w:hAnsi="Cambria"/>
          <w:i/>
          <w:kern w:val="0"/>
          <w:sz w:val="20"/>
          <w:szCs w:val="20"/>
          <w14:ligatures w14:val="none"/>
        </w:rPr>
        <w:t xml:space="preserve"> pélagique</w:t>
      </w:r>
    </w:p>
    <w:p w14:paraId="34EB90A1"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4C1846A8" w14:textId="0E56ECE3" w:rsidR="009C7C25" w:rsidRPr="005756CE" w:rsidRDefault="009C7C25" w:rsidP="001E71F8">
      <w:pPr>
        <w:autoSpaceDE w:val="0"/>
        <w:autoSpaceDN w:val="0"/>
        <w:adjustRightInd w:val="0"/>
        <w:spacing w:line="240" w:lineRule="auto"/>
        <w:jc w:val="both"/>
        <w:rPr>
          <w:rFonts w:ascii="Cambria" w:eastAsia="Times New Roman" w:hAnsi="Cambria" w:cs="Calibri"/>
          <w:color w:val="000000"/>
          <w:kern w:val="0"/>
          <w:sz w:val="20"/>
          <w:szCs w:val="20"/>
          <w:lang w:eastAsia="tr-TR"/>
          <w14:ligatures w14:val="none"/>
        </w:rPr>
      </w:pPr>
      <w:r w:rsidRPr="005756CE">
        <w:rPr>
          <w:rFonts w:ascii="Cambria" w:eastAsia="Times New Roman" w:hAnsi="Cambria"/>
          <w:color w:val="000000"/>
          <w:kern w:val="0"/>
          <w:sz w:val="20"/>
          <w:szCs w:val="20"/>
          <w:lang w:eastAsia="tr-TR"/>
          <w14:ligatures w14:val="none"/>
        </w:rPr>
        <w:t xml:space="preserve">Le Secrétariat de l'ICCAT n'a rien à déclarer </w:t>
      </w:r>
      <w:r w:rsidR="006B7073" w:rsidRPr="005756CE">
        <w:rPr>
          <w:rFonts w:ascii="Cambria" w:eastAsia="Times New Roman" w:hAnsi="Cambria"/>
          <w:color w:val="000000"/>
          <w:kern w:val="0"/>
          <w:sz w:val="20"/>
          <w:szCs w:val="20"/>
          <w:lang w:eastAsia="tr-TR"/>
          <w14:ligatures w14:val="none"/>
        </w:rPr>
        <w:t>actuellement</w:t>
      </w:r>
      <w:r w:rsidRPr="005756CE">
        <w:rPr>
          <w:rFonts w:ascii="Cambria" w:eastAsia="Times New Roman" w:hAnsi="Cambria"/>
          <w:color w:val="000000"/>
          <w:kern w:val="0"/>
          <w:sz w:val="20"/>
          <w:szCs w:val="20"/>
          <w:lang w:eastAsia="tr-TR"/>
          <w14:ligatures w14:val="none"/>
        </w:rPr>
        <w:t>. La Barbade a inclus certaines informations dans ses rapports annuels.</w:t>
      </w:r>
    </w:p>
    <w:bookmarkEnd w:id="23"/>
    <w:p w14:paraId="5A5B7086"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00F8A830" w14:textId="39AC0B7D"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bookmarkStart w:id="24" w:name="_Hlk180407383"/>
      <w:r w:rsidRPr="005756CE">
        <w:rPr>
          <w:rFonts w:ascii="Cambria" w:eastAsia="Times New Roman" w:hAnsi="Cambria"/>
          <w:i/>
          <w:kern w:val="0"/>
          <w:sz w:val="20"/>
          <w:szCs w:val="20"/>
          <w14:ligatures w14:val="none"/>
        </w:rPr>
        <w:t>[</w:t>
      </w:r>
      <w:r w:rsidR="00106F0F" w:rsidRPr="005756CE">
        <w:rPr>
          <w:rFonts w:ascii="Cambria" w:eastAsia="Times New Roman" w:hAnsi="Cambria"/>
          <w:i/>
          <w:kern w:val="0"/>
          <w:sz w:val="20"/>
          <w:szCs w:val="20"/>
          <w14:ligatures w14:val="none"/>
        </w:rPr>
        <w:t xml:space="preserve">Réf. </w:t>
      </w:r>
      <w:r w:rsidRPr="005756CE">
        <w:rPr>
          <w:rFonts w:ascii="Cambria" w:eastAsia="Times New Roman" w:hAnsi="Cambria"/>
          <w:i/>
          <w:kern w:val="0"/>
          <w:sz w:val="20"/>
          <w:szCs w:val="20"/>
          <w14:ligatures w14:val="none"/>
        </w:rPr>
        <w:t>23-24] Directives révisées concernant la préparation des rapports annuels</w:t>
      </w:r>
    </w:p>
    <w:bookmarkEnd w:id="24"/>
    <w:p w14:paraId="5E58F54E"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15C79033" w14:textId="4EB3CABB" w:rsidR="009C7C25" w:rsidRPr="005756CE" w:rsidRDefault="008B2890" w:rsidP="001E71F8">
      <w:pPr>
        <w:spacing w:line="240" w:lineRule="auto"/>
        <w:jc w:val="both"/>
        <w:rPr>
          <w:rFonts w:ascii="Cambria" w:hAnsi="Cambria"/>
          <w:bCs/>
          <w:sz w:val="20"/>
          <w:szCs w:val="20"/>
        </w:rPr>
      </w:pPr>
      <w:r w:rsidRPr="005756CE">
        <w:rPr>
          <w:rFonts w:ascii="Cambria" w:hAnsi="Cambria"/>
          <w:sz w:val="20"/>
          <w:szCs w:val="20"/>
        </w:rPr>
        <w:lastRenderedPageBreak/>
        <w:t>Un problème récurrent depuis plusieurs années est que de nombreuses CPC soumettent les segments Microsoft Word et les informations à l'IOMS sans lire attentivement les questions et les exigences. En outre, de nombreuses CPC soumettent des réponses qui ne répondent pas aux exigences demandées dans les recommandations originales.</w:t>
      </w:r>
      <w:r w:rsidR="009C7C25" w:rsidRPr="005756CE">
        <w:rPr>
          <w:rFonts w:ascii="Cambria" w:eastAsia="Times New Roman" w:hAnsi="Cambria"/>
          <w:kern w:val="0"/>
          <w:sz w:val="20"/>
          <w:szCs w:val="20"/>
          <w14:ligatures w14:val="none"/>
        </w:rPr>
        <w:t xml:space="preserve"> Les CPC devraient toujours se référer à la page "</w:t>
      </w:r>
      <w:hyperlink r:id="rId38" w:history="1">
        <w:r w:rsidR="009C7C25" w:rsidRPr="005756CE">
          <w:rPr>
            <w:rFonts w:ascii="Cambria" w:eastAsia="Times New Roman" w:hAnsi="Cambria"/>
            <w:color w:val="0000FF"/>
            <w:kern w:val="0"/>
            <w:sz w:val="20"/>
            <w:szCs w:val="20"/>
            <w14:ligatures w14:val="none"/>
          </w:rPr>
          <w:t>Soumission des informations</w:t>
        </w:r>
      </w:hyperlink>
      <w:r w:rsidR="009C7C25" w:rsidRPr="005756CE">
        <w:rPr>
          <w:rFonts w:ascii="Cambria" w:eastAsia="Times New Roman" w:hAnsi="Cambria"/>
          <w:kern w:val="0"/>
          <w:sz w:val="20"/>
          <w:szCs w:val="20"/>
          <w14:ligatures w14:val="none"/>
        </w:rPr>
        <w:t>" relative à l’application sur le site web de l'ICCAT. Ici, les CPC peuvent faire référence aux exigences applicables, aux numéros de recommandation et de paragraphe correspondants, ainsi qu'aux délais de soumission. Cette page permet également de télécharger les versions les plus récentes de tous les formulaires de déclaration de l’application.</w:t>
      </w:r>
    </w:p>
    <w:p w14:paraId="23F3B1D2"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05F33388" w14:textId="4111BF47" w:rsidR="00775607" w:rsidRPr="005756CE" w:rsidRDefault="009C7C25" w:rsidP="001E71F8">
      <w:pPr>
        <w:tabs>
          <w:tab w:val="left" w:pos="1276"/>
          <w:tab w:val="left" w:pos="1418"/>
          <w:tab w:val="left" w:leader="dot" w:pos="8222"/>
          <w:tab w:val="right" w:pos="8647"/>
        </w:tabs>
        <w:spacing w:line="240" w:lineRule="auto"/>
        <w:jc w:val="both"/>
        <w:rPr>
          <w:rFonts w:ascii="Cambria" w:hAnsi="Cambria"/>
          <w:bCs/>
          <w:sz w:val="20"/>
          <w:szCs w:val="20"/>
        </w:rPr>
      </w:pPr>
      <w:r w:rsidRPr="005756CE">
        <w:rPr>
          <w:rFonts w:ascii="Cambria" w:eastAsia="Times New Roman" w:hAnsi="Cambria"/>
          <w:kern w:val="0"/>
          <w:sz w:val="20"/>
          <w:szCs w:val="20"/>
          <w14:ligatures w14:val="none"/>
        </w:rPr>
        <w:t xml:space="preserve">Depuis 2023, les CPC doivent saisir directement dans l’IOMS les informations contenues dans les tableaux des exigences scientifiques et de gestion. </w:t>
      </w:r>
      <w:r w:rsidR="00775607" w:rsidRPr="005756CE">
        <w:rPr>
          <w:rFonts w:ascii="Cambria" w:hAnsi="Cambria"/>
          <w:sz w:val="20"/>
          <w:szCs w:val="20"/>
        </w:rPr>
        <w:t xml:space="preserve">A la suite de plusieurs directives et informations administratives (Réf. 23-24, circulaires de l'ICCAT #00758/25, #05721/25, les </w:t>
      </w:r>
      <w:hyperlink r:id="rId39" w:history="1">
        <w:r w:rsidR="00775607" w:rsidRPr="005756CE">
          <w:rPr>
            <w:rStyle w:val="Hyperlink"/>
            <w:szCs w:val="20"/>
          </w:rPr>
          <w:t>Directives</w:t>
        </w:r>
      </w:hyperlink>
      <w:r w:rsidR="00775607" w:rsidRPr="005756CE">
        <w:rPr>
          <w:rFonts w:ascii="Cambria" w:hAnsi="Cambria"/>
          <w:sz w:val="20"/>
          <w:szCs w:val="20"/>
        </w:rPr>
        <w:t>, et la page web de l'ICCAT) fournies aux CPC, une amélioration remarquable dans la compréhension et la soumission des rapports annuels par l'intermédiaire de l'IOMS est notée. Malgré cette évolution louable, des progrès considérables restent à faire pour atteindre un taux de soumission de 100% des données de toutes les CPC.</w:t>
      </w:r>
    </w:p>
    <w:p w14:paraId="56F98F18" w14:textId="5E0C937D"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p>
    <w:p w14:paraId="01C08B4D" w14:textId="0B80A83D" w:rsidR="00F860CA" w:rsidRPr="005756CE" w:rsidRDefault="00F860CA" w:rsidP="001E71F8">
      <w:pPr>
        <w:spacing w:line="240" w:lineRule="auto"/>
        <w:jc w:val="both"/>
        <w:rPr>
          <w:rFonts w:ascii="Cambria" w:hAnsi="Cambria"/>
          <w:bCs/>
          <w:sz w:val="20"/>
          <w:szCs w:val="20"/>
        </w:rPr>
      </w:pPr>
      <w:r w:rsidRPr="005756CE">
        <w:rPr>
          <w:rFonts w:ascii="Cambria" w:hAnsi="Cambria"/>
          <w:sz w:val="20"/>
          <w:szCs w:val="20"/>
        </w:rPr>
        <w:t xml:space="preserve">Les exemples suivants mettent en évidence des réponses incorrectes fréquemment récurrentes dans le rapport annuel, qui sont </w:t>
      </w:r>
      <w:r w:rsidR="002A6BAD" w:rsidRPr="005756CE">
        <w:rPr>
          <w:rFonts w:ascii="Cambria" w:hAnsi="Cambria"/>
          <w:sz w:val="20"/>
          <w:szCs w:val="20"/>
        </w:rPr>
        <w:t>considérées</w:t>
      </w:r>
      <w:r w:rsidRPr="005756CE">
        <w:rPr>
          <w:rFonts w:ascii="Cambria" w:hAnsi="Cambria"/>
          <w:sz w:val="20"/>
          <w:szCs w:val="20"/>
        </w:rPr>
        <w:t xml:space="preserve"> comme insuffisantes :</w:t>
      </w:r>
    </w:p>
    <w:p w14:paraId="374294A7"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104DA14A"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
          <w:iCs/>
          <w:kern w:val="0"/>
          <w:sz w:val="20"/>
          <w:szCs w:val="20"/>
          <w14:ligatures w14:val="none"/>
        </w:rPr>
      </w:pPr>
      <w:r w:rsidRPr="005756CE">
        <w:rPr>
          <w:rFonts w:ascii="Cambria" w:eastAsia="Times New Roman" w:hAnsi="Cambria"/>
          <w:i/>
          <w:kern w:val="0"/>
          <w:sz w:val="20"/>
          <w:szCs w:val="20"/>
          <w14:ligatures w14:val="none"/>
        </w:rPr>
        <w:t xml:space="preserve">Exemple 1 : </w:t>
      </w:r>
    </w:p>
    <w:p w14:paraId="0D314676"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3668E7A6"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roofErr w:type="gramStart"/>
      <w:r w:rsidRPr="005756CE">
        <w:rPr>
          <w:rFonts w:ascii="Cambria" w:eastAsia="Times New Roman" w:hAnsi="Cambria"/>
          <w:kern w:val="0"/>
          <w:sz w:val="20"/>
          <w:szCs w:val="20"/>
          <w14:ligatures w14:val="none"/>
        </w:rPr>
        <w:t>M:SHK</w:t>
      </w:r>
      <w:proofErr w:type="gramEnd"/>
      <w:r w:rsidRPr="005756CE">
        <w:rPr>
          <w:rFonts w:ascii="Cambria" w:eastAsia="Times New Roman" w:hAnsi="Cambria"/>
          <w:kern w:val="0"/>
          <w:sz w:val="20"/>
          <w:szCs w:val="20"/>
          <w14:ligatures w14:val="none"/>
        </w:rPr>
        <w:t>05 Détails de la mise en œuvre et de l’application des mesures de conservation et de gestion pour les requins</w:t>
      </w:r>
    </w:p>
    <w:p w14:paraId="718B896B"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
          <w:iCs/>
          <w:kern w:val="0"/>
          <w:sz w:val="20"/>
          <w:szCs w:val="20"/>
          <w14:ligatures w14:val="none"/>
        </w:rPr>
      </w:pPr>
    </w:p>
    <w:p w14:paraId="1123BDF8"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
          <w:iCs/>
          <w:kern w:val="0"/>
          <w:sz w:val="20"/>
          <w:szCs w:val="20"/>
          <w14:ligatures w14:val="none"/>
        </w:rPr>
      </w:pPr>
      <w:r w:rsidRPr="005756CE">
        <w:rPr>
          <w:rFonts w:ascii="Cambria" w:eastAsia="Times New Roman" w:hAnsi="Cambria"/>
          <w:i/>
          <w:kern w:val="0"/>
          <w:sz w:val="20"/>
          <w:szCs w:val="20"/>
          <w14:ligatures w14:val="none"/>
        </w:rPr>
        <w:t>Il convient de noter que cette exigence est obligatoire pour toutes les CPC.</w:t>
      </w:r>
    </w:p>
    <w:p w14:paraId="233B7C62"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b/>
          <w:bCs/>
          <w:i/>
          <w:iCs/>
          <w:kern w:val="0"/>
          <w:sz w:val="20"/>
          <w:szCs w:val="20"/>
          <w14:ligatures w14:val="none"/>
        </w:rPr>
      </w:pPr>
    </w:p>
    <w:p w14:paraId="3C1F724D"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cs="Noto Sans"/>
          <w:color w:val="333333"/>
          <w:kern w:val="0"/>
          <w:sz w:val="20"/>
          <w:szCs w:val="20"/>
          <w14:ligatures w14:val="none"/>
        </w:rPr>
      </w:pPr>
      <w:r w:rsidRPr="005756CE">
        <w:rPr>
          <w:rFonts w:ascii="Cambria" w:eastAsia="Times New Roman" w:hAnsi="Cambria"/>
          <w:color w:val="333333"/>
          <w:kern w:val="0"/>
          <w:sz w:val="20"/>
          <w:szCs w:val="20"/>
          <w14:ligatures w14:val="none"/>
        </w:rPr>
        <w:t>Les réponses fournies ne peuvent pas être :</w:t>
      </w:r>
    </w:p>
    <w:p w14:paraId="1D70BE61" w14:textId="77777777" w:rsidR="009C7C25" w:rsidRPr="005756CE" w:rsidRDefault="009C7C25" w:rsidP="001E71F8">
      <w:pPr>
        <w:widowControl w:val="0"/>
        <w:numPr>
          <w:ilvl w:val="0"/>
          <w:numId w:val="14"/>
        </w:numPr>
        <w:autoSpaceDE w:val="0"/>
        <w:autoSpaceDN w:val="0"/>
        <w:adjustRightInd w:val="0"/>
        <w:spacing w:line="240" w:lineRule="auto"/>
        <w:jc w:val="both"/>
        <w:rPr>
          <w:rFonts w:ascii="Cambria" w:eastAsia="Times New Roman" w:hAnsi="Cambria" w:cs="Noto Sans"/>
          <w:color w:val="333333"/>
          <w:kern w:val="0"/>
          <w:sz w:val="20"/>
          <w:szCs w:val="20"/>
          <w14:ligatures w14:val="none"/>
        </w:rPr>
      </w:pPr>
      <w:r w:rsidRPr="005756CE">
        <w:rPr>
          <w:rFonts w:ascii="Cambria" w:eastAsia="Times New Roman" w:hAnsi="Cambria"/>
          <w:color w:val="333333"/>
          <w:kern w:val="0"/>
          <w:sz w:val="20"/>
          <w:szCs w:val="20"/>
          <w14:ligatures w14:val="none"/>
        </w:rPr>
        <w:t>XXX n'a pas de prises de requins</w:t>
      </w:r>
    </w:p>
    <w:p w14:paraId="094450E1"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b/>
          <w:bCs/>
          <w:i/>
          <w:iCs/>
          <w:kern w:val="0"/>
          <w:sz w:val="20"/>
          <w:szCs w:val="20"/>
          <w14:ligatures w14:val="none"/>
        </w:rPr>
      </w:pPr>
    </w:p>
    <w:p w14:paraId="1CDF7FB6"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
          <w:iCs/>
          <w:kern w:val="0"/>
          <w:sz w:val="20"/>
          <w:szCs w:val="20"/>
          <w14:ligatures w14:val="none"/>
        </w:rPr>
      </w:pPr>
      <w:r w:rsidRPr="005756CE">
        <w:rPr>
          <w:rFonts w:ascii="Cambria" w:eastAsia="Times New Roman" w:hAnsi="Cambria"/>
          <w:i/>
          <w:kern w:val="0"/>
          <w:sz w:val="20"/>
          <w:szCs w:val="20"/>
          <w14:ligatures w14:val="none"/>
        </w:rPr>
        <w:t xml:space="preserve">Exemple 2 : </w:t>
      </w:r>
    </w:p>
    <w:p w14:paraId="453336E5"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58CDB77F"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cs="Noto Sans"/>
          <w:color w:val="333333"/>
          <w:kern w:val="0"/>
          <w:sz w:val="20"/>
          <w:szCs w:val="20"/>
          <w14:ligatures w14:val="none"/>
        </w:rPr>
      </w:pPr>
      <w:proofErr w:type="gramStart"/>
      <w:r w:rsidRPr="005756CE">
        <w:rPr>
          <w:rFonts w:ascii="Cambria" w:eastAsia="Times New Roman" w:hAnsi="Cambria"/>
          <w:color w:val="333333"/>
          <w:kern w:val="0"/>
          <w:sz w:val="20"/>
          <w:szCs w:val="20"/>
          <w14:ligatures w14:val="none"/>
        </w:rPr>
        <w:t>M:SWO</w:t>
      </w:r>
      <w:proofErr w:type="gramEnd"/>
      <w:r w:rsidRPr="005756CE">
        <w:rPr>
          <w:rFonts w:ascii="Cambria" w:eastAsia="Times New Roman" w:hAnsi="Cambria"/>
          <w:color w:val="333333"/>
          <w:kern w:val="0"/>
          <w:sz w:val="20"/>
          <w:szCs w:val="20"/>
          <w14:ligatures w14:val="none"/>
        </w:rPr>
        <w:t xml:space="preserve">17 Limite maximale de prise accessoire d’espadon de l’Atlantique Nord (SWO-N) à bord [Rec. 17-02 ; para 14] : </w:t>
      </w:r>
    </w:p>
    <w:p w14:paraId="670567D7"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cs="Noto Sans"/>
          <w:color w:val="333333"/>
          <w:kern w:val="0"/>
          <w:sz w:val="20"/>
          <w:szCs w:val="20"/>
          <w14:ligatures w14:val="none"/>
        </w:rPr>
      </w:pPr>
    </w:p>
    <w:p w14:paraId="556D81BD"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cs="Noto Sans"/>
          <w:color w:val="333333"/>
          <w:kern w:val="0"/>
          <w:sz w:val="20"/>
          <w:szCs w:val="20"/>
          <w14:ligatures w14:val="none"/>
        </w:rPr>
      </w:pPr>
      <w:r w:rsidRPr="005756CE">
        <w:rPr>
          <w:rFonts w:ascii="Cambria" w:eastAsia="Times New Roman" w:hAnsi="Cambria"/>
          <w:i/>
          <w:color w:val="333333"/>
          <w:kern w:val="0"/>
          <w:sz w:val="20"/>
          <w:szCs w:val="20"/>
          <w14:ligatures w14:val="none"/>
        </w:rPr>
        <w:t>Il convient de noter que cette exigence s'applique à l'espadon du Nord.</w:t>
      </w:r>
    </w:p>
    <w:p w14:paraId="4232C9E2"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color w:val="333333"/>
          <w:kern w:val="0"/>
          <w:sz w:val="20"/>
          <w:szCs w:val="20"/>
          <w14:ligatures w14:val="none"/>
        </w:rPr>
      </w:pPr>
    </w:p>
    <w:p w14:paraId="3177C94E" w14:textId="00C426E9" w:rsidR="009C7C25" w:rsidRPr="005756CE" w:rsidRDefault="009C7C25" w:rsidP="001E71F8">
      <w:pPr>
        <w:widowControl w:val="0"/>
        <w:autoSpaceDE w:val="0"/>
        <w:autoSpaceDN w:val="0"/>
        <w:adjustRightInd w:val="0"/>
        <w:spacing w:line="240" w:lineRule="auto"/>
        <w:jc w:val="both"/>
        <w:rPr>
          <w:rFonts w:ascii="Cambria" w:eastAsia="Times New Roman" w:hAnsi="Cambria" w:cs="Noto Sans"/>
          <w:color w:val="333333"/>
          <w:kern w:val="0"/>
          <w:sz w:val="20"/>
          <w:szCs w:val="20"/>
          <w14:ligatures w14:val="none"/>
        </w:rPr>
      </w:pPr>
      <w:r w:rsidRPr="005756CE">
        <w:rPr>
          <w:rFonts w:ascii="Cambria" w:eastAsia="Times New Roman" w:hAnsi="Cambria"/>
          <w:color w:val="333333"/>
          <w:kern w:val="0"/>
          <w:sz w:val="20"/>
          <w:szCs w:val="20"/>
          <w14:ligatures w14:val="none"/>
        </w:rPr>
        <w:t>Les réponses fournies ne peuvent pas être :</w:t>
      </w:r>
    </w:p>
    <w:p w14:paraId="5B7285E2" w14:textId="77777777" w:rsidR="009C7C25" w:rsidRPr="005756CE" w:rsidRDefault="009C7C25" w:rsidP="001E71F8">
      <w:pPr>
        <w:widowControl w:val="0"/>
        <w:numPr>
          <w:ilvl w:val="0"/>
          <w:numId w:val="14"/>
        </w:numPr>
        <w:autoSpaceDE w:val="0"/>
        <w:autoSpaceDN w:val="0"/>
        <w:adjustRightInd w:val="0"/>
        <w:spacing w:line="240" w:lineRule="auto"/>
        <w:jc w:val="both"/>
        <w:rPr>
          <w:rFonts w:ascii="Cambria" w:eastAsia="Times New Roman" w:hAnsi="Cambria" w:cs="Noto Sans"/>
          <w:color w:val="333333"/>
          <w:kern w:val="0"/>
          <w:sz w:val="20"/>
          <w:szCs w:val="20"/>
          <w14:ligatures w14:val="none"/>
        </w:rPr>
      </w:pPr>
      <w:r w:rsidRPr="005756CE">
        <w:rPr>
          <w:rFonts w:ascii="Cambria" w:eastAsia="Times New Roman" w:hAnsi="Cambria"/>
          <w:color w:val="333333"/>
          <w:kern w:val="0"/>
          <w:sz w:val="20"/>
          <w:szCs w:val="20"/>
          <w14:ligatures w14:val="none"/>
        </w:rPr>
        <w:t>XXX ne pêche pas de l’espadon de la Méditerranée (SWO-MD)</w:t>
      </w:r>
    </w:p>
    <w:p w14:paraId="5387130E" w14:textId="77777777" w:rsidR="009C7C25" w:rsidRPr="005756CE" w:rsidRDefault="009C7C25" w:rsidP="001E71F8">
      <w:pPr>
        <w:widowControl w:val="0"/>
        <w:numPr>
          <w:ilvl w:val="0"/>
          <w:numId w:val="14"/>
        </w:numPr>
        <w:autoSpaceDE w:val="0"/>
        <w:autoSpaceDN w:val="0"/>
        <w:adjustRightInd w:val="0"/>
        <w:spacing w:line="240" w:lineRule="auto"/>
        <w:jc w:val="both"/>
        <w:rPr>
          <w:rFonts w:ascii="Cambria" w:eastAsia="Times New Roman" w:hAnsi="Cambria" w:cs="Noto Sans"/>
          <w:color w:val="333333"/>
          <w:kern w:val="0"/>
          <w:sz w:val="20"/>
          <w:szCs w:val="20"/>
          <w14:ligatures w14:val="none"/>
        </w:rPr>
      </w:pPr>
      <w:r w:rsidRPr="005756CE">
        <w:rPr>
          <w:rFonts w:ascii="Cambria" w:eastAsia="Times New Roman" w:hAnsi="Cambria"/>
          <w:color w:val="333333"/>
          <w:kern w:val="0"/>
          <w:sz w:val="20"/>
          <w:szCs w:val="20"/>
          <w14:ligatures w14:val="none"/>
        </w:rPr>
        <w:t>XXX n'a pas de navires ciblant l’espadon de la Méditerranée (SWO-MD)</w:t>
      </w:r>
    </w:p>
    <w:p w14:paraId="7FF2E5C3" w14:textId="77777777" w:rsidR="009C7C25" w:rsidRPr="005756CE" w:rsidRDefault="009C7C25" w:rsidP="001E71F8">
      <w:pPr>
        <w:widowControl w:val="0"/>
        <w:numPr>
          <w:ilvl w:val="0"/>
          <w:numId w:val="14"/>
        </w:numPr>
        <w:autoSpaceDE w:val="0"/>
        <w:autoSpaceDN w:val="0"/>
        <w:adjustRightInd w:val="0"/>
        <w:spacing w:line="240" w:lineRule="auto"/>
        <w:jc w:val="both"/>
        <w:rPr>
          <w:rFonts w:ascii="Cambria" w:eastAsia="Times New Roman" w:hAnsi="Cambria" w:cs="Noto Sans"/>
          <w:color w:val="333333"/>
          <w:kern w:val="0"/>
          <w:sz w:val="20"/>
          <w:szCs w:val="20"/>
          <w14:ligatures w14:val="none"/>
        </w:rPr>
      </w:pPr>
      <w:r w:rsidRPr="005756CE">
        <w:rPr>
          <w:rFonts w:ascii="Cambria" w:eastAsia="Times New Roman" w:hAnsi="Cambria"/>
          <w:color w:val="333333"/>
          <w:kern w:val="0"/>
          <w:sz w:val="20"/>
          <w:szCs w:val="20"/>
          <w14:ligatures w14:val="none"/>
        </w:rPr>
        <w:t>Tous les navires XXX autorisés à opérer dans la zone de la Convention sont autorisés à capturer et à retenir de l’espadon de l’Atlantique Sud (SWO-S).</w:t>
      </w:r>
    </w:p>
    <w:p w14:paraId="24655657"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0E6E6A7E" w14:textId="77777777" w:rsidR="00B84269" w:rsidRPr="005756CE" w:rsidRDefault="00B84269" w:rsidP="001E71F8">
      <w:pPr>
        <w:spacing w:line="240" w:lineRule="auto"/>
        <w:jc w:val="both"/>
        <w:rPr>
          <w:rFonts w:ascii="Cambria" w:hAnsi="Cambria"/>
          <w:i/>
          <w:iCs/>
          <w:sz w:val="20"/>
          <w:szCs w:val="20"/>
        </w:rPr>
      </w:pPr>
      <w:r w:rsidRPr="005756CE">
        <w:rPr>
          <w:rFonts w:ascii="Cambria" w:hAnsi="Cambria"/>
          <w:i/>
          <w:sz w:val="20"/>
          <w:szCs w:val="20"/>
        </w:rPr>
        <w:t>Exemple 3 : Colonne/case applicable</w:t>
      </w:r>
    </w:p>
    <w:p w14:paraId="3CF81048" w14:textId="77777777" w:rsidR="00B84269" w:rsidRPr="005756CE" w:rsidRDefault="00B84269" w:rsidP="001E71F8">
      <w:pPr>
        <w:spacing w:line="240" w:lineRule="auto"/>
        <w:jc w:val="both"/>
        <w:rPr>
          <w:rFonts w:ascii="Cambria" w:hAnsi="Cambria"/>
          <w:sz w:val="20"/>
          <w:szCs w:val="20"/>
        </w:rPr>
      </w:pPr>
    </w:p>
    <w:p w14:paraId="13956FF4" w14:textId="77777777" w:rsidR="00B84269" w:rsidRPr="005756CE" w:rsidRDefault="00B84269" w:rsidP="001E71F8">
      <w:pPr>
        <w:spacing w:line="240" w:lineRule="auto"/>
        <w:jc w:val="both"/>
        <w:rPr>
          <w:rFonts w:ascii="Cambria" w:hAnsi="Cambria" w:cs="Noto Sans"/>
          <w:sz w:val="20"/>
          <w:szCs w:val="20"/>
        </w:rPr>
      </w:pPr>
      <w:r w:rsidRPr="005756CE">
        <w:rPr>
          <w:rFonts w:ascii="Cambria" w:hAnsi="Cambria"/>
          <w:i/>
          <w:sz w:val="20"/>
          <w:szCs w:val="20"/>
        </w:rPr>
        <w:t>Il convient de noter que cette exigence ne s'applique pas à la CPC</w:t>
      </w:r>
    </w:p>
    <w:p w14:paraId="66F4964A" w14:textId="77777777" w:rsidR="00B84269" w:rsidRPr="005756CE" w:rsidRDefault="00B84269" w:rsidP="001E71F8">
      <w:pPr>
        <w:spacing w:line="240" w:lineRule="auto"/>
        <w:jc w:val="both"/>
        <w:rPr>
          <w:rFonts w:ascii="Cambria" w:hAnsi="Cambria"/>
          <w:sz w:val="20"/>
          <w:szCs w:val="20"/>
        </w:rPr>
      </w:pPr>
    </w:p>
    <w:p w14:paraId="57CBCCA1" w14:textId="1ED4AE60" w:rsidR="00B84269" w:rsidRPr="005756CE" w:rsidRDefault="00B84269" w:rsidP="001E71F8">
      <w:pPr>
        <w:spacing w:line="240" w:lineRule="auto"/>
        <w:jc w:val="both"/>
        <w:rPr>
          <w:rFonts w:ascii="Cambria" w:hAnsi="Cambria"/>
          <w:sz w:val="20"/>
          <w:szCs w:val="20"/>
        </w:rPr>
      </w:pPr>
      <w:r w:rsidRPr="005756CE">
        <w:rPr>
          <w:rFonts w:ascii="Cambria" w:hAnsi="Cambria"/>
          <w:sz w:val="20"/>
          <w:szCs w:val="20"/>
        </w:rPr>
        <w:t>La case "Applicable" reste cochée mais la colonne/le champ des réponses/la raison de N/A est "non applicable à notre CPC" : il s'agit d'une incohérence entre le champ applicable et la réponse fournie. La case doit être décochée si elle n'est pas applicable à la CPC.</w:t>
      </w:r>
    </w:p>
    <w:p w14:paraId="539D2544"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4EAB807D"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Afin de fournir au Comité d’application des informations précises et spécifiques à chaque exigence, l'IOMS est conçu pour extraire toutes les réponses données en réponse à une exigence spécifique. Pour cette raison, une réponse exhaustive à chaque question est requise en vue d’exporter des informations claires et cohérentes.</w:t>
      </w:r>
    </w:p>
    <w:p w14:paraId="246D0CA2"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5497E8D6" w14:textId="77777777" w:rsidR="00EC05B9" w:rsidRDefault="00EC05B9">
      <w:pPr>
        <w:rPr>
          <w:rFonts w:ascii="Cambria" w:hAnsi="Cambria"/>
          <w:sz w:val="20"/>
          <w:szCs w:val="20"/>
        </w:rPr>
      </w:pPr>
      <w:r>
        <w:rPr>
          <w:rFonts w:ascii="Cambria" w:hAnsi="Cambria"/>
          <w:sz w:val="20"/>
          <w:szCs w:val="20"/>
        </w:rPr>
        <w:br w:type="page"/>
      </w:r>
    </w:p>
    <w:p w14:paraId="0D303275" w14:textId="74CF6D10" w:rsidR="006E7ACA" w:rsidRPr="005756CE" w:rsidRDefault="00886A25" w:rsidP="001E71F8">
      <w:pPr>
        <w:spacing w:line="240" w:lineRule="auto"/>
        <w:jc w:val="both"/>
        <w:rPr>
          <w:rFonts w:ascii="Cambria" w:hAnsi="Cambria"/>
          <w:sz w:val="20"/>
          <w:szCs w:val="20"/>
        </w:rPr>
      </w:pPr>
      <w:r w:rsidRPr="005756CE">
        <w:rPr>
          <w:rFonts w:ascii="Cambria" w:hAnsi="Cambria"/>
          <w:sz w:val="20"/>
          <w:szCs w:val="20"/>
        </w:rPr>
        <w:lastRenderedPageBreak/>
        <w:t xml:space="preserve">À titre </w:t>
      </w:r>
      <w:r w:rsidR="00BE4E6E" w:rsidRPr="005756CE">
        <w:rPr>
          <w:rFonts w:ascii="Cambria" w:hAnsi="Cambria"/>
          <w:sz w:val="20"/>
          <w:szCs w:val="20"/>
        </w:rPr>
        <w:t>de rappel</w:t>
      </w:r>
      <w:r w:rsidR="00165942" w:rsidRPr="005756CE">
        <w:rPr>
          <w:rFonts w:ascii="Cambria" w:hAnsi="Cambria"/>
          <w:sz w:val="20"/>
          <w:szCs w:val="20"/>
        </w:rPr>
        <w:t xml:space="preserve"> </w:t>
      </w:r>
      <w:r w:rsidR="006E7ACA" w:rsidRPr="005756CE">
        <w:rPr>
          <w:rFonts w:ascii="Cambria" w:hAnsi="Cambria"/>
          <w:sz w:val="20"/>
          <w:szCs w:val="20"/>
        </w:rPr>
        <w:t xml:space="preserve">: </w:t>
      </w:r>
    </w:p>
    <w:p w14:paraId="0D0C7A4A" w14:textId="77777777" w:rsidR="006E7ACA" w:rsidRPr="005756CE" w:rsidRDefault="006E7ACA" w:rsidP="001E71F8">
      <w:pPr>
        <w:spacing w:line="240" w:lineRule="auto"/>
        <w:jc w:val="both"/>
        <w:rPr>
          <w:rFonts w:ascii="Cambria" w:hAnsi="Cambria"/>
          <w:sz w:val="20"/>
          <w:szCs w:val="20"/>
        </w:rPr>
      </w:pPr>
    </w:p>
    <w:p w14:paraId="32BC1CCF" w14:textId="328466C7" w:rsidR="006E7ACA" w:rsidRPr="005756CE" w:rsidRDefault="006E7ACA" w:rsidP="001E71F8">
      <w:pPr>
        <w:spacing w:line="240" w:lineRule="auto"/>
        <w:jc w:val="both"/>
        <w:rPr>
          <w:rFonts w:ascii="Cambria" w:hAnsi="Cambria"/>
          <w:sz w:val="20"/>
          <w:szCs w:val="20"/>
        </w:rPr>
      </w:pPr>
      <w:r w:rsidRPr="005756CE">
        <w:rPr>
          <w:rFonts w:ascii="Cambria" w:hAnsi="Cambria"/>
          <w:sz w:val="20"/>
          <w:szCs w:val="20"/>
        </w:rPr>
        <w:t>Les CPC doivent s'abstenir de répondre</w:t>
      </w:r>
      <w:r w:rsidR="00D12A13" w:rsidRPr="005756CE">
        <w:rPr>
          <w:rFonts w:ascii="Cambria" w:hAnsi="Cambria"/>
          <w:sz w:val="20"/>
          <w:szCs w:val="20"/>
        </w:rPr>
        <w:t xml:space="preserve"> dans</w:t>
      </w:r>
      <w:r w:rsidRPr="005756CE">
        <w:rPr>
          <w:rFonts w:ascii="Cambria" w:hAnsi="Cambria"/>
          <w:sz w:val="20"/>
          <w:szCs w:val="20"/>
        </w:rPr>
        <w:t xml:space="preserve"> l'IOMS par des réponses simples dépourvues d'explications, telles que "Voir ci-dessus", "Voir le rapport annuel", "Identique à l'année dernière", ou "Pas de changement", etc.</w:t>
      </w:r>
    </w:p>
    <w:p w14:paraId="09C98F45" w14:textId="19A719B5" w:rsidR="00B84269" w:rsidRPr="005756CE" w:rsidRDefault="00B84269"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79B75F2B" w14:textId="77777777" w:rsidR="00846067" w:rsidRPr="005756CE" w:rsidRDefault="00846067" w:rsidP="001E71F8">
      <w:pPr>
        <w:tabs>
          <w:tab w:val="left" w:pos="1276"/>
          <w:tab w:val="left" w:pos="1418"/>
          <w:tab w:val="left" w:leader="dot" w:pos="8222"/>
          <w:tab w:val="right" w:pos="8647"/>
        </w:tabs>
        <w:spacing w:line="240" w:lineRule="auto"/>
        <w:jc w:val="both"/>
        <w:rPr>
          <w:rFonts w:ascii="Cambria" w:hAnsi="Cambria"/>
          <w:sz w:val="20"/>
          <w:szCs w:val="20"/>
        </w:rPr>
      </w:pPr>
      <w:r w:rsidRPr="005756CE">
        <w:rPr>
          <w:rFonts w:ascii="Cambria" w:hAnsi="Cambria"/>
          <w:sz w:val="20"/>
          <w:szCs w:val="20"/>
        </w:rPr>
        <w:t xml:space="preserve">Sur un total de 58 CPC/CP, 43 d'entre elles ont rempli l’IOMS à100%. Pour les 15 autres CPC/CP, la soumission de l'information fait encore défaut : </w:t>
      </w:r>
    </w:p>
    <w:p w14:paraId="0ACAEB50" w14:textId="77777777" w:rsidR="00846067" w:rsidRPr="005756CE" w:rsidRDefault="00846067" w:rsidP="001E71F8">
      <w:pPr>
        <w:tabs>
          <w:tab w:val="left" w:pos="1276"/>
          <w:tab w:val="left" w:pos="1418"/>
          <w:tab w:val="left" w:leader="dot" w:pos="8222"/>
          <w:tab w:val="right" w:pos="8647"/>
        </w:tabs>
        <w:spacing w:line="240" w:lineRule="auto"/>
        <w:jc w:val="both"/>
        <w:rPr>
          <w:rFonts w:ascii="Cambria" w:hAnsi="Cambria"/>
          <w:sz w:val="20"/>
          <w:szCs w:val="20"/>
        </w:rPr>
      </w:pPr>
    </w:p>
    <w:p w14:paraId="25B204C0" w14:textId="15E357FC" w:rsidR="00846067" w:rsidRPr="005756CE" w:rsidRDefault="00846067" w:rsidP="001E71F8">
      <w:pPr>
        <w:pStyle w:val="ListParagraph"/>
        <w:widowControl w:val="0"/>
        <w:numPr>
          <w:ilvl w:val="0"/>
          <w:numId w:val="12"/>
        </w:numPr>
        <w:tabs>
          <w:tab w:val="left" w:pos="1276"/>
          <w:tab w:val="left" w:pos="1418"/>
          <w:tab w:val="left" w:leader="dot" w:pos="8222"/>
          <w:tab w:val="right" w:pos="8647"/>
        </w:tabs>
        <w:autoSpaceDE w:val="0"/>
        <w:autoSpaceDN w:val="0"/>
        <w:adjustRightInd w:val="0"/>
        <w:spacing w:line="240" w:lineRule="auto"/>
        <w:contextualSpacing/>
        <w:jc w:val="both"/>
        <w:rPr>
          <w:rFonts w:ascii="Cambria" w:hAnsi="Cambria"/>
          <w:sz w:val="20"/>
          <w:szCs w:val="20"/>
        </w:rPr>
      </w:pPr>
      <w:r w:rsidRPr="005756CE">
        <w:rPr>
          <w:rFonts w:ascii="Cambria" w:hAnsi="Cambria"/>
          <w:sz w:val="20"/>
          <w:szCs w:val="20"/>
        </w:rPr>
        <w:t xml:space="preserve">Six CPC/CP ont soumis des informations partielles mais elles ont complété ou soumis uniquement l'un des deux rapports requis par l'intermédiaire de l'IOMS (soit concernant les Statistiques, soit concernant l’application), ou seulement la section </w:t>
      </w:r>
      <w:r w:rsidR="00914E74" w:rsidRPr="005756CE">
        <w:rPr>
          <w:rFonts w:ascii="Cambria" w:hAnsi="Cambria"/>
          <w:sz w:val="20"/>
          <w:szCs w:val="20"/>
        </w:rPr>
        <w:t xml:space="preserve">de </w:t>
      </w:r>
      <w:r w:rsidRPr="005756CE">
        <w:rPr>
          <w:rFonts w:ascii="Cambria" w:hAnsi="Cambria"/>
          <w:sz w:val="20"/>
          <w:szCs w:val="20"/>
        </w:rPr>
        <w:t>Microsoft Word : Côte d'Ivoire, Gabon, Guinée Bissau, Guinée (</w:t>
      </w:r>
      <w:proofErr w:type="spellStart"/>
      <w:r w:rsidRPr="005756CE">
        <w:rPr>
          <w:rFonts w:ascii="Cambria" w:hAnsi="Cambria"/>
          <w:sz w:val="20"/>
          <w:szCs w:val="20"/>
        </w:rPr>
        <w:t>Rép</w:t>
      </w:r>
      <w:proofErr w:type="spellEnd"/>
      <w:r w:rsidRPr="005756CE">
        <w:rPr>
          <w:rFonts w:ascii="Cambria" w:hAnsi="Cambria"/>
          <w:sz w:val="20"/>
          <w:szCs w:val="20"/>
        </w:rPr>
        <w:t>.), Guyana et Libye.</w:t>
      </w:r>
    </w:p>
    <w:p w14:paraId="396D056E" w14:textId="77777777" w:rsidR="00846067" w:rsidRPr="005756CE" w:rsidRDefault="00846067" w:rsidP="001E71F8">
      <w:pPr>
        <w:pStyle w:val="ListParagraph"/>
        <w:tabs>
          <w:tab w:val="left" w:pos="1276"/>
          <w:tab w:val="left" w:pos="1418"/>
          <w:tab w:val="left" w:leader="dot" w:pos="8222"/>
          <w:tab w:val="right" w:pos="8647"/>
        </w:tabs>
        <w:spacing w:line="240" w:lineRule="auto"/>
        <w:jc w:val="both"/>
        <w:rPr>
          <w:rFonts w:ascii="Cambria" w:hAnsi="Cambria"/>
          <w:sz w:val="20"/>
          <w:szCs w:val="20"/>
        </w:rPr>
      </w:pPr>
    </w:p>
    <w:p w14:paraId="1A9C3C1A" w14:textId="74AB5131" w:rsidR="00846067" w:rsidRPr="005756CE" w:rsidRDefault="00846067" w:rsidP="001E71F8">
      <w:pPr>
        <w:pStyle w:val="ListParagraph"/>
        <w:widowControl w:val="0"/>
        <w:numPr>
          <w:ilvl w:val="0"/>
          <w:numId w:val="12"/>
        </w:numPr>
        <w:tabs>
          <w:tab w:val="left" w:pos="1276"/>
          <w:tab w:val="left" w:pos="1418"/>
          <w:tab w:val="left" w:leader="dot" w:pos="8222"/>
          <w:tab w:val="right" w:pos="8647"/>
        </w:tabs>
        <w:autoSpaceDE w:val="0"/>
        <w:autoSpaceDN w:val="0"/>
        <w:adjustRightInd w:val="0"/>
        <w:spacing w:line="240" w:lineRule="auto"/>
        <w:contextualSpacing/>
        <w:jc w:val="both"/>
        <w:rPr>
          <w:rFonts w:ascii="Cambria" w:hAnsi="Cambria"/>
          <w:sz w:val="20"/>
          <w:szCs w:val="20"/>
        </w:rPr>
      </w:pPr>
      <w:r w:rsidRPr="005756CE">
        <w:rPr>
          <w:rFonts w:ascii="Cambria" w:hAnsi="Cambria"/>
          <w:sz w:val="20"/>
          <w:szCs w:val="20"/>
        </w:rPr>
        <w:t xml:space="preserve">En 2025, neuf CPC n'ont soumis aucun rapport par l'intermédiaire du système : Cuba, Gambie, Grenade, Guinée équatoriale, Honduras, </w:t>
      </w:r>
      <w:r w:rsidR="00106F0F" w:rsidRPr="005756CE">
        <w:rPr>
          <w:rFonts w:ascii="Cambria" w:hAnsi="Cambria"/>
          <w:sz w:val="20"/>
          <w:szCs w:val="20"/>
        </w:rPr>
        <w:t>Nigeria, São</w:t>
      </w:r>
      <w:r w:rsidRPr="005756CE">
        <w:rPr>
          <w:rFonts w:ascii="Cambria" w:hAnsi="Cambria"/>
          <w:sz w:val="20"/>
          <w:szCs w:val="20"/>
        </w:rPr>
        <w:t xml:space="preserve"> Tomé e Principe, Syrie, et Trinité-et-Tobago.</w:t>
      </w:r>
    </w:p>
    <w:p w14:paraId="76BA5F39" w14:textId="77777777" w:rsidR="00846067" w:rsidRPr="005756CE" w:rsidRDefault="00846067" w:rsidP="001E71F8">
      <w:pPr>
        <w:spacing w:line="240" w:lineRule="auto"/>
        <w:rPr>
          <w:rFonts w:ascii="Cambria" w:hAnsi="Cambria"/>
          <w:sz w:val="20"/>
          <w:szCs w:val="20"/>
        </w:rPr>
      </w:pPr>
    </w:p>
    <w:p w14:paraId="3A02DA41" w14:textId="5AA64672"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Le document </w:t>
      </w:r>
      <w:r w:rsidR="00034117"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Information soumise par quelques CPC dans la section 2 - Partie 2.2 de leur rapport annuel</w:t>
      </w:r>
      <w:r w:rsidR="00034117"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 xml:space="preserve"> [COC_311/202</w:t>
      </w:r>
      <w:r w:rsidR="003E7CFC"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 contient un résumé de la section 2.2 des rapports annuels (</w:t>
      </w:r>
      <w:r w:rsidR="00034117"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Difficultés rencontrées dans la mise en œuvre et le respect des mesures de conservation et de gestion de l'ICCAT</w:t>
      </w:r>
      <w:r w:rsidR="00034117"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 qui présente les principales difficultés auxquelles certaines CPC ont été confrontées. Cette section permet également d'évoquer l'éventuel besoin d'assistance technique.</w:t>
      </w:r>
    </w:p>
    <w:p w14:paraId="1A7BC662"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15AA694E" w14:textId="77777777" w:rsidR="004C6DAE" w:rsidRPr="005756CE" w:rsidRDefault="004C6DAE" w:rsidP="001E71F8">
      <w:pPr>
        <w:pBdr>
          <w:top w:val="single" w:sz="4" w:space="1" w:color="auto"/>
          <w:left w:val="single" w:sz="4" w:space="4" w:color="auto"/>
          <w:bottom w:val="single" w:sz="4" w:space="1" w:color="auto"/>
          <w:right w:val="single" w:sz="4" w:space="4" w:color="auto"/>
        </w:pBdr>
        <w:spacing w:line="240" w:lineRule="auto"/>
        <w:jc w:val="both"/>
        <w:rPr>
          <w:rFonts w:ascii="Cambria" w:hAnsi="Cambria"/>
          <w:sz w:val="20"/>
          <w:szCs w:val="20"/>
        </w:rPr>
      </w:pPr>
      <w:r w:rsidRPr="005756CE">
        <w:rPr>
          <w:rFonts w:ascii="Cambria" w:hAnsi="Cambria"/>
          <w:b/>
          <w:sz w:val="20"/>
          <w:szCs w:val="20"/>
        </w:rPr>
        <w:t>Demande du Secrétariat de l’ICCAT : </w:t>
      </w:r>
      <w:bookmarkStart w:id="25" w:name="_Hlk180594768"/>
      <w:r w:rsidRPr="005756CE">
        <w:rPr>
          <w:rFonts w:ascii="Cambria" w:hAnsi="Cambria"/>
          <w:sz w:val="20"/>
          <w:szCs w:val="20"/>
        </w:rPr>
        <w:t>Afin de souligner l'importance de répondre de manière exhaustive aux exigences et aux questions contenues dans les rapports annuels qu’elles soumettent, les CPC sont encouragées à participer aux prochaines réunions de l'IOMS. En outre, les CPC sont invitées à fournir un retour d'information et à suggérer des améliorations aux réponses standard. Ces informations seront utilisées pour améliorer et développer un ensemble de réponses standard qui répondent suffisamment aux besoins des CPC et du Comité d’application.</w:t>
      </w:r>
    </w:p>
    <w:p w14:paraId="459684C4" w14:textId="77777777" w:rsidR="004C6DAE" w:rsidRPr="005756CE" w:rsidRDefault="004C6DAE" w:rsidP="001E71F8">
      <w:pPr>
        <w:pBdr>
          <w:top w:val="single" w:sz="4" w:space="1" w:color="auto"/>
          <w:left w:val="single" w:sz="4" w:space="4" w:color="auto"/>
          <w:bottom w:val="single" w:sz="4" w:space="1" w:color="auto"/>
          <w:right w:val="single" w:sz="4" w:space="4" w:color="auto"/>
        </w:pBdr>
        <w:spacing w:line="240" w:lineRule="auto"/>
        <w:jc w:val="both"/>
        <w:rPr>
          <w:rFonts w:ascii="Cambria" w:hAnsi="Cambria"/>
          <w:sz w:val="20"/>
          <w:szCs w:val="20"/>
        </w:rPr>
      </w:pPr>
    </w:p>
    <w:bookmarkEnd w:id="25"/>
    <w:p w14:paraId="3A702C38" w14:textId="1A272CE3" w:rsidR="004C6DAE" w:rsidRPr="005756CE" w:rsidRDefault="004C6DAE" w:rsidP="001E71F8">
      <w:pPr>
        <w:pBdr>
          <w:top w:val="single" w:sz="4" w:space="1" w:color="auto"/>
          <w:left w:val="single" w:sz="4" w:space="4" w:color="auto"/>
          <w:bottom w:val="single" w:sz="4" w:space="1" w:color="auto"/>
          <w:right w:val="single" w:sz="4" w:space="4" w:color="auto"/>
        </w:pBdr>
        <w:spacing w:line="240" w:lineRule="auto"/>
        <w:jc w:val="both"/>
        <w:rPr>
          <w:rFonts w:ascii="Cambria" w:hAnsi="Cambria"/>
          <w:sz w:val="20"/>
          <w:szCs w:val="20"/>
        </w:rPr>
      </w:pPr>
      <w:r w:rsidRPr="005756CE">
        <w:rPr>
          <w:rFonts w:ascii="Cambria" w:hAnsi="Cambria"/>
          <w:sz w:val="20"/>
          <w:szCs w:val="20"/>
        </w:rPr>
        <w:t>En outre, le Secrétariat de l'ICCAT encourage toutes les CPC à profiter pleinement de l'utilisation de la section 2.2 du rapport annuel afin d'exprimer leurs préoccupations, ce qui servira à alerter la Commission sur les difficultés qu’elles rencontrent tout au long de l'année. En outre, nous demandons instamment à toutes les CPC de nous faire part des difficultés rencontrées sur une base continue au lieu de manifester leurs préoccupations une seule fois</w:t>
      </w:r>
      <w:r w:rsidR="002C2992" w:rsidRPr="005756CE">
        <w:rPr>
          <w:rFonts w:ascii="Cambria" w:hAnsi="Cambria"/>
          <w:sz w:val="20"/>
          <w:szCs w:val="20"/>
        </w:rPr>
        <w:t xml:space="preserve"> par an</w:t>
      </w:r>
      <w:r w:rsidRPr="005756CE">
        <w:rPr>
          <w:rFonts w:ascii="Cambria" w:hAnsi="Cambria"/>
          <w:sz w:val="20"/>
          <w:szCs w:val="20"/>
        </w:rPr>
        <w:t xml:space="preserve">, </w:t>
      </w:r>
      <w:r w:rsidR="002A5795" w:rsidRPr="005756CE">
        <w:rPr>
          <w:rFonts w:ascii="Cambria" w:hAnsi="Cambria"/>
          <w:sz w:val="20"/>
          <w:szCs w:val="20"/>
        </w:rPr>
        <w:t>lorsque</w:t>
      </w:r>
      <w:r w:rsidRPr="005756CE">
        <w:rPr>
          <w:rFonts w:ascii="Cambria" w:hAnsi="Cambria"/>
          <w:sz w:val="20"/>
          <w:szCs w:val="20"/>
        </w:rPr>
        <w:t xml:space="preserve"> les rapports annuels </w:t>
      </w:r>
      <w:r w:rsidR="002A5795" w:rsidRPr="005756CE">
        <w:rPr>
          <w:rFonts w:ascii="Cambria" w:hAnsi="Cambria"/>
          <w:sz w:val="20"/>
          <w:szCs w:val="20"/>
        </w:rPr>
        <w:t>sont transmis</w:t>
      </w:r>
      <w:r w:rsidRPr="005756CE">
        <w:rPr>
          <w:rFonts w:ascii="Cambria" w:hAnsi="Cambria"/>
          <w:sz w:val="20"/>
          <w:szCs w:val="20"/>
        </w:rPr>
        <w:t>. Une communication régulière des difficultés rencontrées nous permettra de disposer d'un délai suffisant pour traiter et résoudre les problèmes de la CPC en temps utile. Enfin, la section 2.2 devrait être considérée comme une occasion d'améliorer la communication et comme un outil de dépannage, qui sert à informer le Secrétariat de l'ICCAT et lui permet de travailler de manière plus proactive et réactive. </w:t>
      </w:r>
    </w:p>
    <w:p w14:paraId="035DF28E" w14:textId="445BED46" w:rsidR="009C7C25" w:rsidRPr="005756CE" w:rsidRDefault="009C7C25" w:rsidP="001E71F8">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Cambria" w:eastAsia="Times New Roman" w:hAnsi="Cambria"/>
          <w:kern w:val="0"/>
          <w:sz w:val="20"/>
          <w:szCs w:val="20"/>
          <w14:ligatures w14:val="none"/>
        </w:rPr>
      </w:pPr>
    </w:p>
    <w:p w14:paraId="26CF9822" w14:textId="170B1999" w:rsidR="009C7C25" w:rsidRPr="005756CE" w:rsidRDefault="009C7C25" w:rsidP="001E71F8">
      <w:pPr>
        <w:spacing w:line="240" w:lineRule="auto"/>
        <w:rPr>
          <w:rFonts w:ascii="Cambria" w:eastAsia="Times New Roman" w:hAnsi="Cambria"/>
          <w:b/>
          <w:color w:val="000000"/>
          <w:kern w:val="0"/>
          <w:sz w:val="20"/>
          <w:szCs w:val="20"/>
          <w14:ligatures w14:val="none"/>
        </w:rPr>
      </w:pPr>
    </w:p>
    <w:p w14:paraId="4F062B40" w14:textId="77777777" w:rsidR="00EC05B9" w:rsidRDefault="00EC05B9">
      <w:pPr>
        <w:rPr>
          <w:rFonts w:ascii="Cambria" w:eastAsia="Times New Roman" w:hAnsi="Cambria"/>
          <w:b/>
          <w:color w:val="000000"/>
          <w:kern w:val="0"/>
          <w:sz w:val="20"/>
          <w:szCs w:val="20"/>
          <w14:ligatures w14:val="none"/>
        </w:rPr>
      </w:pPr>
      <w:r>
        <w:rPr>
          <w:rFonts w:ascii="Cambria" w:eastAsia="Times New Roman" w:hAnsi="Cambria"/>
          <w:b/>
          <w:color w:val="000000"/>
          <w:kern w:val="0"/>
          <w:sz w:val="20"/>
          <w:szCs w:val="20"/>
          <w14:ligatures w14:val="none"/>
        </w:rPr>
        <w:br w:type="page"/>
      </w:r>
    </w:p>
    <w:p w14:paraId="050C1E48" w14:textId="62CC347B" w:rsidR="009C7C25" w:rsidRPr="005756CE" w:rsidRDefault="009C7C25" w:rsidP="001E71F8">
      <w:pPr>
        <w:spacing w:line="240" w:lineRule="auto"/>
        <w:jc w:val="center"/>
        <w:rPr>
          <w:rFonts w:ascii="Cambria" w:eastAsia="Times New Roman" w:hAnsi="Cambria"/>
          <w:b/>
          <w:color w:val="000000"/>
          <w:kern w:val="0"/>
          <w:sz w:val="20"/>
          <w:szCs w:val="20"/>
          <w14:ligatures w14:val="none"/>
        </w:rPr>
      </w:pPr>
      <w:r w:rsidRPr="005756CE">
        <w:rPr>
          <w:rFonts w:ascii="Cambria" w:eastAsia="Times New Roman" w:hAnsi="Cambria"/>
          <w:b/>
          <w:color w:val="000000"/>
          <w:kern w:val="0"/>
          <w:sz w:val="20"/>
          <w:szCs w:val="20"/>
          <w14:ligatures w14:val="none"/>
        </w:rPr>
        <w:lastRenderedPageBreak/>
        <w:t>Liste des tableaux</w:t>
      </w:r>
    </w:p>
    <w:p w14:paraId="3CF26009" w14:textId="77777777" w:rsidR="009C7C25" w:rsidRPr="005756CE" w:rsidRDefault="009C7C25" w:rsidP="001E71F8">
      <w:pPr>
        <w:spacing w:line="240" w:lineRule="auto"/>
        <w:ind w:left="1418" w:hanging="1418"/>
        <w:jc w:val="center"/>
        <w:rPr>
          <w:rFonts w:ascii="Cambria" w:eastAsia="Times New Roman" w:hAnsi="Cambria"/>
          <w:b/>
          <w:color w:val="000000"/>
          <w:kern w:val="0"/>
          <w:sz w:val="20"/>
          <w:szCs w:val="20"/>
          <w14:ligatures w14:val="none"/>
        </w:rPr>
      </w:pPr>
    </w:p>
    <w:p w14:paraId="395B15BB" w14:textId="1C5DAC8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r w:rsidRPr="005756CE">
        <w:rPr>
          <w:rFonts w:ascii="Cambria" w:eastAsia="Times New Roman" w:hAnsi="Cambria"/>
          <w:b/>
          <w:kern w:val="0"/>
          <w:sz w:val="20"/>
          <w:szCs w:val="20"/>
          <w14:ligatures w14:val="none"/>
        </w:rPr>
        <w:t>Tableau 1.</w:t>
      </w:r>
      <w:r w:rsidRPr="005756CE">
        <w:rPr>
          <w:rFonts w:ascii="Cambria" w:eastAsia="Times New Roman" w:hAnsi="Cambria"/>
          <w:b/>
          <w:kern w:val="0"/>
          <w:sz w:val="20"/>
          <w:szCs w:val="20"/>
          <w14:ligatures w14:val="none"/>
        </w:rPr>
        <w:tab/>
      </w:r>
      <w:r w:rsidRPr="005756CE">
        <w:rPr>
          <w:rFonts w:ascii="Cambria" w:eastAsia="Times New Roman" w:hAnsi="Cambria"/>
          <w:kern w:val="0"/>
          <w:sz w:val="20"/>
          <w:szCs w:val="20"/>
          <w14:ligatures w14:val="none"/>
        </w:rPr>
        <w:t>Prises semestrielles et mensuelles de thonidés tropicaux de 202</w:t>
      </w:r>
      <w:r w:rsidR="00CF38D8" w:rsidRPr="005756CE">
        <w:rPr>
          <w:rFonts w:ascii="Cambria" w:eastAsia="Times New Roman" w:hAnsi="Cambria"/>
          <w:kern w:val="0"/>
          <w:sz w:val="20"/>
          <w:szCs w:val="20"/>
          <w14:ligatures w14:val="none"/>
        </w:rPr>
        <w:t>4</w:t>
      </w:r>
      <w:r w:rsidRPr="005756CE">
        <w:rPr>
          <w:rFonts w:ascii="Cambria" w:eastAsia="Times New Roman" w:hAnsi="Cambria"/>
          <w:kern w:val="0"/>
          <w:sz w:val="20"/>
          <w:szCs w:val="20"/>
          <w14:ligatures w14:val="none"/>
        </w:rPr>
        <w:t>.</w:t>
      </w:r>
    </w:p>
    <w:p w14:paraId="765D8650"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p>
    <w:p w14:paraId="7CF6B407"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r w:rsidRPr="005756CE">
        <w:rPr>
          <w:rFonts w:ascii="Cambria" w:eastAsia="Times New Roman" w:hAnsi="Cambria"/>
          <w:b/>
          <w:kern w:val="0"/>
          <w:sz w:val="20"/>
          <w:szCs w:val="20"/>
          <w14:ligatures w14:val="none"/>
        </w:rPr>
        <w:t>Tableau 2.</w:t>
      </w:r>
      <w:r w:rsidRPr="005756CE">
        <w:rPr>
          <w:rFonts w:ascii="Cambria" w:eastAsia="Times New Roman" w:hAnsi="Cambria"/>
          <w:kern w:val="0"/>
          <w:sz w:val="20"/>
          <w:szCs w:val="20"/>
          <w14:ligatures w14:val="none"/>
        </w:rPr>
        <w:t xml:space="preserve"> </w:t>
      </w:r>
      <w:r w:rsidRPr="005756CE">
        <w:rPr>
          <w:rFonts w:ascii="Cambria" w:eastAsia="Times New Roman" w:hAnsi="Cambria"/>
          <w:kern w:val="0"/>
          <w:sz w:val="20"/>
          <w:szCs w:val="20"/>
          <w14:ligatures w14:val="none"/>
        </w:rPr>
        <w:tab/>
        <w:t>Résumé des rapports d’inspection reçus du Programme d’inspection conjointe (JIS).</w:t>
      </w:r>
    </w:p>
    <w:p w14:paraId="1F65723F"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p>
    <w:p w14:paraId="11DC9E8D"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r w:rsidRPr="005756CE">
        <w:rPr>
          <w:rFonts w:ascii="Cambria" w:eastAsia="Times New Roman" w:hAnsi="Cambria"/>
          <w:b/>
          <w:kern w:val="0"/>
          <w:sz w:val="20"/>
          <w:szCs w:val="20"/>
          <w14:ligatures w14:val="none"/>
        </w:rPr>
        <w:t>Tableau 3.</w:t>
      </w:r>
      <w:r w:rsidRPr="005756CE">
        <w:rPr>
          <w:rFonts w:ascii="Cambria" w:eastAsia="Times New Roman" w:hAnsi="Cambria"/>
          <w:kern w:val="0"/>
          <w:sz w:val="20"/>
          <w:szCs w:val="20"/>
          <w14:ligatures w14:val="none"/>
        </w:rPr>
        <w:t xml:space="preserve"> </w:t>
      </w:r>
      <w:r w:rsidRPr="005756CE">
        <w:rPr>
          <w:rFonts w:ascii="Cambria" w:eastAsia="Times New Roman" w:hAnsi="Cambria"/>
          <w:kern w:val="0"/>
          <w:sz w:val="20"/>
          <w:szCs w:val="20"/>
          <w14:ligatures w14:val="none"/>
        </w:rPr>
        <w:tab/>
        <w:t>Résumé des inspections au port déclarées au Secrétariat de l’ICCAT.</w:t>
      </w:r>
    </w:p>
    <w:p w14:paraId="57BB3B86"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bookmarkStart w:id="26" w:name="_Hlk52895081"/>
      <w:bookmarkStart w:id="27" w:name="_Hlk22892381"/>
    </w:p>
    <w:p w14:paraId="44E75547"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r w:rsidRPr="005756CE">
        <w:rPr>
          <w:rFonts w:ascii="Cambria" w:eastAsia="Times New Roman" w:hAnsi="Cambria"/>
          <w:b/>
          <w:kern w:val="0"/>
          <w:sz w:val="20"/>
          <w:szCs w:val="20"/>
          <w14:ligatures w14:val="none"/>
        </w:rPr>
        <w:t>Tableau 4.</w:t>
      </w:r>
      <w:r w:rsidRPr="005756CE">
        <w:rPr>
          <w:rFonts w:ascii="Cambria" w:eastAsia="Times New Roman" w:hAnsi="Cambria"/>
          <w:kern w:val="0"/>
          <w:sz w:val="20"/>
          <w:szCs w:val="20"/>
          <w14:ligatures w14:val="none"/>
        </w:rPr>
        <w:t xml:space="preserve"> </w:t>
      </w:r>
      <w:r w:rsidRPr="005756CE">
        <w:rPr>
          <w:rFonts w:ascii="Cambria" w:eastAsia="Times New Roman" w:hAnsi="Cambria"/>
          <w:kern w:val="0"/>
          <w:sz w:val="20"/>
          <w:szCs w:val="20"/>
          <w14:ligatures w14:val="none"/>
        </w:rPr>
        <w:tab/>
        <w:t xml:space="preserve">Messages VMS reçus par CPC et nombre de navires. </w:t>
      </w:r>
    </w:p>
    <w:p w14:paraId="79BF5736"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p>
    <w:p w14:paraId="3C81AB54" w14:textId="1AD3A36A"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r w:rsidRPr="005756CE">
        <w:rPr>
          <w:rFonts w:ascii="Cambria" w:eastAsia="Times New Roman" w:hAnsi="Cambria"/>
          <w:b/>
          <w:kern w:val="0"/>
          <w:sz w:val="20"/>
          <w:szCs w:val="20"/>
          <w14:ligatures w14:val="none"/>
        </w:rPr>
        <w:t>Tableau 5</w:t>
      </w:r>
      <w:r w:rsidRPr="005756CE">
        <w:rPr>
          <w:rFonts w:ascii="Cambria" w:eastAsia="Times New Roman" w:hAnsi="Cambria"/>
          <w:kern w:val="0"/>
          <w:sz w:val="20"/>
          <w:szCs w:val="20"/>
          <w14:ligatures w14:val="none"/>
        </w:rPr>
        <w:t xml:space="preserve">. </w:t>
      </w:r>
      <w:r w:rsidRPr="005756CE">
        <w:rPr>
          <w:rFonts w:ascii="Cambria" w:eastAsia="Times New Roman" w:hAnsi="Cambria"/>
          <w:kern w:val="0"/>
          <w:sz w:val="20"/>
          <w:szCs w:val="20"/>
          <w14:ligatures w14:val="none"/>
        </w:rPr>
        <w:tab/>
        <w:t xml:space="preserve">Navires qui, en </w:t>
      </w:r>
      <w:proofErr w:type="spellStart"/>
      <w:r w:rsidRPr="005756CE">
        <w:rPr>
          <w:rFonts w:ascii="Cambria" w:eastAsia="Times New Roman" w:hAnsi="Cambria"/>
          <w:kern w:val="0"/>
          <w:sz w:val="20"/>
          <w:szCs w:val="20"/>
          <w14:ligatures w14:val="none"/>
        </w:rPr>
        <w:t>mai-juillet</w:t>
      </w:r>
      <w:proofErr w:type="spellEnd"/>
      <w:r w:rsidRPr="005756CE">
        <w:rPr>
          <w:rFonts w:ascii="Cambria" w:eastAsia="Times New Roman" w:hAnsi="Cambria"/>
          <w:kern w:val="0"/>
          <w:sz w:val="20"/>
          <w:szCs w:val="20"/>
          <w14:ligatures w14:val="none"/>
        </w:rPr>
        <w:t xml:space="preserve"> 202</w:t>
      </w:r>
      <w:r w:rsidR="00CF38D8"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 xml:space="preserve">, étaient enregistrés dans le Registre ICCAT des navires et qui n’ont pas émis de messages VMS pendant certaines semaines de cette période. </w:t>
      </w:r>
    </w:p>
    <w:p w14:paraId="559680F8"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p>
    <w:p w14:paraId="09DE8091" w14:textId="202EC5F8"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r w:rsidRPr="005756CE">
        <w:rPr>
          <w:rFonts w:ascii="Cambria" w:eastAsia="Times New Roman" w:hAnsi="Cambria"/>
          <w:b/>
          <w:kern w:val="0"/>
          <w:sz w:val="20"/>
          <w:szCs w:val="20"/>
          <w14:ligatures w14:val="none"/>
        </w:rPr>
        <w:t>Tableau 6.</w:t>
      </w:r>
      <w:r w:rsidRPr="005756CE">
        <w:rPr>
          <w:rFonts w:ascii="Cambria" w:eastAsia="Times New Roman" w:hAnsi="Cambria"/>
          <w:kern w:val="0"/>
          <w:sz w:val="20"/>
          <w:szCs w:val="20"/>
          <w14:ligatures w14:val="none"/>
        </w:rPr>
        <w:t xml:space="preserve"> </w:t>
      </w:r>
      <w:r w:rsidRPr="005756CE">
        <w:rPr>
          <w:rFonts w:ascii="Cambria" w:eastAsia="Times New Roman" w:hAnsi="Cambria"/>
          <w:kern w:val="0"/>
          <w:sz w:val="20"/>
          <w:szCs w:val="20"/>
          <w14:ligatures w14:val="none"/>
        </w:rPr>
        <w:tab/>
        <w:t xml:space="preserve">Navires qui, en </w:t>
      </w:r>
      <w:proofErr w:type="spellStart"/>
      <w:r w:rsidRPr="005756CE">
        <w:rPr>
          <w:rFonts w:ascii="Cambria" w:eastAsia="Times New Roman" w:hAnsi="Cambria"/>
          <w:kern w:val="0"/>
          <w:sz w:val="20"/>
          <w:szCs w:val="20"/>
          <w14:ligatures w14:val="none"/>
        </w:rPr>
        <w:t>mai-juillet</w:t>
      </w:r>
      <w:proofErr w:type="spellEnd"/>
      <w:r w:rsidRPr="005756CE">
        <w:rPr>
          <w:rFonts w:ascii="Cambria" w:eastAsia="Times New Roman" w:hAnsi="Cambria"/>
          <w:kern w:val="0"/>
          <w:sz w:val="20"/>
          <w:szCs w:val="20"/>
          <w14:ligatures w14:val="none"/>
        </w:rPr>
        <w:t xml:space="preserve"> 202</w:t>
      </w:r>
      <w:r w:rsidR="00CF38D8"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 xml:space="preserve">, n’étaient pas enregistrés dans le Registre ICCAT des navires ou dont l’autorisation avait expiré mais qui ont émis des messages VMS pendant certaines semaines de cette période. </w:t>
      </w:r>
    </w:p>
    <w:bookmarkEnd w:id="26"/>
    <w:bookmarkEnd w:id="27"/>
    <w:p w14:paraId="37F6DF51"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
          <w:iCs/>
          <w:kern w:val="0"/>
          <w:sz w:val="20"/>
          <w:szCs w:val="20"/>
          <w14:ligatures w14:val="none"/>
        </w:rPr>
      </w:pPr>
    </w:p>
    <w:p w14:paraId="14E1F973"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r w:rsidRPr="005756CE">
        <w:rPr>
          <w:rFonts w:ascii="Cambria" w:eastAsia="Times New Roman" w:hAnsi="Cambria"/>
          <w:b/>
          <w:kern w:val="0"/>
          <w:sz w:val="20"/>
          <w:szCs w:val="20"/>
          <w14:ligatures w14:val="none"/>
        </w:rPr>
        <w:t>Tableau 7.</w:t>
      </w:r>
      <w:r w:rsidRPr="005756CE">
        <w:rPr>
          <w:rFonts w:ascii="Cambria" w:eastAsia="Times New Roman" w:hAnsi="Cambria"/>
          <w:kern w:val="0"/>
          <w:sz w:val="20"/>
          <w:szCs w:val="20"/>
          <w14:ligatures w14:val="none"/>
        </w:rPr>
        <w:t xml:space="preserve"> </w:t>
      </w:r>
      <w:r w:rsidRPr="005756CE">
        <w:rPr>
          <w:rFonts w:ascii="Cambria" w:eastAsia="Times New Roman" w:hAnsi="Cambria"/>
          <w:kern w:val="0"/>
          <w:sz w:val="20"/>
          <w:szCs w:val="20"/>
          <w14:ligatures w14:val="none"/>
        </w:rPr>
        <w:tab/>
        <w:t>Résumé des rapports de capture mensuels (BFT-W).</w:t>
      </w:r>
    </w:p>
    <w:p w14:paraId="3C2B6E25"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p>
    <w:p w14:paraId="692D5236"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r w:rsidRPr="005756CE">
        <w:rPr>
          <w:rFonts w:ascii="Cambria" w:eastAsia="Times New Roman" w:hAnsi="Cambria"/>
          <w:b/>
          <w:kern w:val="0"/>
          <w:sz w:val="20"/>
          <w:szCs w:val="20"/>
          <w14:ligatures w14:val="none"/>
        </w:rPr>
        <w:t>Tableau 8.</w:t>
      </w:r>
      <w:r w:rsidRPr="005756CE">
        <w:rPr>
          <w:rFonts w:ascii="Cambria" w:eastAsia="Times New Roman" w:hAnsi="Cambria"/>
          <w:kern w:val="0"/>
          <w:sz w:val="20"/>
          <w:szCs w:val="20"/>
          <w14:ligatures w14:val="none"/>
        </w:rPr>
        <w:t xml:space="preserve"> </w:t>
      </w:r>
      <w:r w:rsidRPr="005756CE">
        <w:rPr>
          <w:rFonts w:ascii="Cambria" w:eastAsia="Times New Roman" w:hAnsi="Cambria"/>
          <w:kern w:val="0"/>
          <w:sz w:val="20"/>
          <w:szCs w:val="20"/>
          <w14:ligatures w14:val="none"/>
        </w:rPr>
        <w:tab/>
        <w:t>Résumé des rapports de capture hebdomadaires (BFT-E).</w:t>
      </w:r>
    </w:p>
    <w:p w14:paraId="0AB7DA7B"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p>
    <w:p w14:paraId="4A4553A2"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r w:rsidRPr="005756CE">
        <w:rPr>
          <w:rFonts w:ascii="Cambria" w:eastAsia="Times New Roman" w:hAnsi="Cambria"/>
          <w:b/>
          <w:kern w:val="0"/>
          <w:sz w:val="20"/>
          <w:szCs w:val="20"/>
          <w14:ligatures w14:val="none"/>
        </w:rPr>
        <w:t>Tableau 9.</w:t>
      </w:r>
      <w:r w:rsidRPr="005756CE">
        <w:rPr>
          <w:rFonts w:ascii="Cambria" w:eastAsia="Times New Roman" w:hAnsi="Cambria"/>
          <w:kern w:val="0"/>
          <w:sz w:val="20"/>
          <w:szCs w:val="20"/>
          <w14:ligatures w14:val="none"/>
        </w:rPr>
        <w:t xml:space="preserve"> </w:t>
      </w:r>
      <w:r w:rsidRPr="005756CE">
        <w:rPr>
          <w:rFonts w:ascii="Cambria" w:eastAsia="Times New Roman" w:hAnsi="Cambria"/>
          <w:kern w:val="0"/>
          <w:sz w:val="20"/>
          <w:szCs w:val="20"/>
          <w14:ligatures w14:val="none"/>
        </w:rPr>
        <w:tab/>
        <w:t>Résumé des rapports de mise en cages de BFT-E.</w:t>
      </w:r>
    </w:p>
    <w:p w14:paraId="60A65B78"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p>
    <w:p w14:paraId="691000D4"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r w:rsidRPr="005756CE">
        <w:rPr>
          <w:rFonts w:ascii="Cambria" w:eastAsia="Times New Roman" w:hAnsi="Cambria"/>
          <w:b/>
          <w:kern w:val="0"/>
          <w:sz w:val="20"/>
          <w:szCs w:val="20"/>
          <w14:ligatures w14:val="none"/>
        </w:rPr>
        <w:t>Tableau 10.</w:t>
      </w:r>
      <w:r w:rsidRPr="005756CE">
        <w:rPr>
          <w:rFonts w:ascii="Cambria" w:eastAsia="Times New Roman" w:hAnsi="Cambria"/>
          <w:kern w:val="0"/>
          <w:sz w:val="20"/>
          <w:szCs w:val="20"/>
          <w14:ligatures w14:val="none"/>
        </w:rPr>
        <w:t xml:space="preserve"> </w:t>
      </w:r>
      <w:r w:rsidRPr="005756CE">
        <w:rPr>
          <w:rFonts w:ascii="Cambria" w:eastAsia="Times New Roman" w:hAnsi="Cambria"/>
          <w:kern w:val="0"/>
          <w:sz w:val="20"/>
          <w:szCs w:val="20"/>
          <w14:ligatures w14:val="none"/>
        </w:rPr>
        <w:tab/>
        <w:t>Résumé des accords d'affrètement déclarés.</w:t>
      </w:r>
    </w:p>
    <w:p w14:paraId="25FCB6FC"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p>
    <w:p w14:paraId="6B049F96" w14:textId="7699AA2D" w:rsidR="009C7C25" w:rsidRPr="00450E06" w:rsidRDefault="009C7C25" w:rsidP="001E71F8">
      <w:pPr>
        <w:widowControl w:val="0"/>
        <w:autoSpaceDE w:val="0"/>
        <w:autoSpaceDN w:val="0"/>
        <w:adjustRightInd w:val="0"/>
        <w:spacing w:line="240" w:lineRule="auto"/>
        <w:ind w:left="1418" w:hanging="1418"/>
        <w:jc w:val="both"/>
        <w:rPr>
          <w:rFonts w:ascii="Cambria" w:eastAsia="Times New Roman" w:hAnsi="Cambria"/>
          <w:iCs/>
          <w:color w:val="000000"/>
          <w:kern w:val="0"/>
          <w:sz w:val="20"/>
          <w:szCs w:val="20"/>
          <w14:ligatures w14:val="none"/>
        </w:rPr>
      </w:pPr>
      <w:r w:rsidRPr="005756CE">
        <w:rPr>
          <w:rFonts w:ascii="Cambria" w:eastAsia="Times New Roman" w:hAnsi="Cambria"/>
          <w:b/>
          <w:kern w:val="0"/>
          <w:sz w:val="20"/>
          <w:szCs w:val="20"/>
          <w14:ligatures w14:val="none"/>
        </w:rPr>
        <w:t>Tableau 11.</w:t>
      </w:r>
      <w:r w:rsidRPr="005756CE">
        <w:rPr>
          <w:rFonts w:ascii="Cambria" w:eastAsia="Times New Roman" w:hAnsi="Cambria"/>
          <w:kern w:val="0"/>
          <w:sz w:val="20"/>
          <w:szCs w:val="20"/>
          <w14:ligatures w14:val="none"/>
        </w:rPr>
        <w:t xml:space="preserve"> </w:t>
      </w:r>
      <w:r w:rsidRPr="005756CE">
        <w:rPr>
          <w:rFonts w:ascii="Cambria" w:eastAsia="Times New Roman" w:hAnsi="Cambria"/>
          <w:kern w:val="0"/>
          <w:sz w:val="20"/>
          <w:szCs w:val="20"/>
          <w14:ligatures w14:val="none"/>
        </w:rPr>
        <w:tab/>
        <w:t>Résultats des contrôles aléatoires communiqués au Secrétariat de l’ICCAT conformément au</w:t>
      </w:r>
      <w:r w:rsidR="00CF38D8" w:rsidRPr="005756CE">
        <w:rPr>
          <w:rFonts w:ascii="Cambria" w:eastAsia="Times New Roman" w:hAnsi="Cambria"/>
          <w:kern w:val="0"/>
          <w:sz w:val="20"/>
          <w:szCs w:val="20"/>
          <w14:ligatures w14:val="none"/>
        </w:rPr>
        <w:t>x</w:t>
      </w:r>
      <w:r w:rsidRPr="005756CE">
        <w:rPr>
          <w:rFonts w:ascii="Cambria" w:eastAsia="Times New Roman" w:hAnsi="Cambria"/>
          <w:kern w:val="0"/>
          <w:sz w:val="20"/>
          <w:szCs w:val="20"/>
          <w14:ligatures w14:val="none"/>
        </w:rPr>
        <w:t xml:space="preserve"> paragraphe</w:t>
      </w:r>
      <w:r w:rsidR="00CF38D8" w:rsidRPr="005756CE">
        <w:rPr>
          <w:rFonts w:ascii="Cambria" w:eastAsia="Times New Roman" w:hAnsi="Cambria"/>
          <w:kern w:val="0"/>
          <w:sz w:val="20"/>
          <w:szCs w:val="20"/>
          <w14:ligatures w14:val="none"/>
        </w:rPr>
        <w:t>s</w:t>
      </w:r>
      <w:r w:rsidRPr="005756CE">
        <w:rPr>
          <w:rFonts w:ascii="Cambria" w:eastAsia="Times New Roman" w:hAnsi="Cambria"/>
          <w:kern w:val="0"/>
          <w:sz w:val="20"/>
          <w:szCs w:val="20"/>
          <w14:ligatures w14:val="none"/>
        </w:rPr>
        <w:t xml:space="preserve"> 215 </w:t>
      </w:r>
      <w:r w:rsidR="00CF38D8" w:rsidRPr="005756CE">
        <w:rPr>
          <w:rFonts w:ascii="Cambria" w:eastAsia="Times New Roman" w:hAnsi="Cambria"/>
          <w:kern w:val="0"/>
          <w:sz w:val="20"/>
          <w:szCs w:val="20"/>
          <w14:ligatures w14:val="none"/>
        </w:rPr>
        <w:t xml:space="preserve">et 218 </w:t>
      </w:r>
      <w:r w:rsidRPr="005756CE">
        <w:rPr>
          <w:rFonts w:ascii="Cambria" w:eastAsia="Times New Roman" w:hAnsi="Cambria"/>
          <w:kern w:val="0"/>
          <w:sz w:val="20"/>
          <w:szCs w:val="20"/>
          <w14:ligatures w14:val="none"/>
        </w:rPr>
        <w:t>de</w:t>
      </w:r>
      <w:r w:rsidR="004C4AC6" w:rsidRPr="005756CE">
        <w:rPr>
          <w:rFonts w:ascii="Cambria" w:eastAsia="Times New Roman" w:hAnsi="Cambria"/>
          <w:kern w:val="0"/>
          <w:sz w:val="20"/>
          <w:szCs w:val="20"/>
          <w14:ligatures w14:val="none"/>
        </w:rPr>
        <w:t>s</w:t>
      </w:r>
      <w:r w:rsidRPr="005756CE">
        <w:rPr>
          <w:rFonts w:ascii="Cambria" w:eastAsia="Times New Roman" w:hAnsi="Cambria"/>
          <w:kern w:val="0"/>
          <w:sz w:val="20"/>
          <w:szCs w:val="20"/>
          <w14:ligatures w14:val="none"/>
        </w:rPr>
        <w:t xml:space="preserve"> Rec. 22-08</w:t>
      </w:r>
      <w:r w:rsidR="004C4AC6" w:rsidRPr="005756CE">
        <w:rPr>
          <w:rFonts w:ascii="Cambria" w:eastAsia="Times New Roman" w:hAnsi="Cambria"/>
          <w:kern w:val="0"/>
          <w:sz w:val="20"/>
          <w:szCs w:val="20"/>
          <w14:ligatures w14:val="none"/>
        </w:rPr>
        <w:t xml:space="preserve"> et 24-05, respectivement</w:t>
      </w:r>
      <w:r w:rsidRPr="005756CE">
        <w:rPr>
          <w:rFonts w:ascii="Cambria" w:eastAsia="Times New Roman" w:hAnsi="Cambria"/>
          <w:kern w:val="0"/>
          <w:sz w:val="20"/>
          <w:szCs w:val="20"/>
          <w14:ligatures w14:val="none"/>
        </w:rPr>
        <w:t>.</w:t>
      </w:r>
    </w:p>
    <w:p w14:paraId="420009D3" w14:textId="77777777" w:rsidR="009C7C25" w:rsidRPr="00450E06" w:rsidRDefault="009C7C25" w:rsidP="001E71F8">
      <w:pPr>
        <w:spacing w:line="240" w:lineRule="auto"/>
        <w:rPr>
          <w:rFonts w:ascii="Cambria" w:hAnsi="Cambria"/>
          <w:sz w:val="20"/>
          <w:szCs w:val="20"/>
        </w:rPr>
      </w:pPr>
    </w:p>
    <w:sectPr w:rsidR="009C7C25" w:rsidRPr="00450E06" w:rsidSect="00C849C0">
      <w:headerReference w:type="default" r:id="rId40"/>
      <w:footerReference w:type="default" r:id="rId41"/>
      <w:pgSz w:w="11906" w:h="16838" w:code="9"/>
      <w:pgMar w:top="1418" w:right="1418" w:bottom="1418" w:left="1418" w:header="85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0DED6" w14:textId="77777777" w:rsidR="008E756F" w:rsidRDefault="008E756F" w:rsidP="00C849C0">
      <w:pPr>
        <w:spacing w:line="240" w:lineRule="auto"/>
      </w:pPr>
      <w:r>
        <w:separator/>
      </w:r>
    </w:p>
  </w:endnote>
  <w:endnote w:type="continuationSeparator" w:id="0">
    <w:p w14:paraId="53B1D1C4" w14:textId="77777777" w:rsidR="008E756F" w:rsidRDefault="008E756F" w:rsidP="00C849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roid Sans Fallback">
    <w:altName w:val="Times New Roman"/>
    <w:panose1 w:val="00000000000000000000"/>
    <w:charset w:val="00"/>
    <w:family w:val="roman"/>
    <w:notTrueType/>
    <w:pitch w:val="default"/>
  </w:font>
  <w:font w:name="Lohit Hindi">
    <w:altName w:val="MS Gothi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FreeSans">
    <w:altName w:val="Times New Roman"/>
    <w:panose1 w:val="00000000000000000000"/>
    <w:charset w:val="00"/>
    <w:family w:val="roman"/>
    <w:notTrueType/>
    <w:pitch w:val="default"/>
  </w:font>
  <w:font w:name="DejaVu Sans">
    <w:altName w:val="Times New Roman"/>
    <w:charset w:val="00"/>
    <w:family w:val="swiss"/>
    <w:pitch w:val="variable"/>
    <w:sig w:usb0="00000000" w:usb1="D200FDFF" w:usb2="0A046029" w:usb3="00000000" w:csb0="000001FF" w:csb1="00000000"/>
  </w:font>
  <w:font w:name="Liberation Sans">
    <w:altName w:val="Arial"/>
    <w:charset w:val="00"/>
    <w:family w:val="swiss"/>
    <w:pitch w:val="variable"/>
    <w:sig w:usb0="00000000" w:usb1="500078FF" w:usb2="00000021" w:usb3="00000000" w:csb0="000001BF" w:csb1="00000000"/>
  </w:font>
  <w:font w:name="Liberation Serif">
    <w:altName w:val="Times New Roman"/>
    <w:charset w:val="00"/>
    <w:family w:val="roman"/>
    <w:pitch w:val="variable"/>
    <w:sig w:usb0="E0000AFF" w:usb1="500078FF" w:usb2="00000021" w:usb3="00000000" w:csb0="000001BF" w:csb1="00000000"/>
  </w:font>
  <w:font w:name="Noto Sans CJK SC Regular">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CF78" w14:textId="77777777" w:rsidR="00FB55C7" w:rsidRPr="00C6213D" w:rsidRDefault="00FB55C7" w:rsidP="00FB55C7">
    <w:pPr>
      <w:tabs>
        <w:tab w:val="center" w:pos="4535"/>
        <w:tab w:val="center" w:pos="4680"/>
        <w:tab w:val="left" w:pos="6150"/>
        <w:tab w:val="right" w:pos="9360"/>
      </w:tabs>
      <w:jc w:val="center"/>
      <w:rPr>
        <w:rFonts w:ascii="Cambria" w:eastAsia="Calibri" w:hAnsi="Cambria" w:cs="Calibri"/>
        <w:lang w:val="en-US"/>
      </w:rPr>
    </w:pPr>
    <w:r w:rsidRPr="00D92816">
      <w:rPr>
        <w:rFonts w:ascii="Cambria" w:eastAsia="Calibri" w:hAnsi="Cambria" w:cs="Calibri"/>
        <w:lang w:val="en-US"/>
      </w:rPr>
      <w:fldChar w:fldCharType="begin"/>
    </w:r>
    <w:r w:rsidRPr="00D92816">
      <w:rPr>
        <w:rFonts w:ascii="Cambria" w:eastAsia="Calibri" w:hAnsi="Cambria" w:cs="Calibri"/>
        <w:lang w:val="en-US"/>
      </w:rPr>
      <w:instrText xml:space="preserve"> PAGE </w:instrText>
    </w:r>
    <w:r w:rsidRPr="00D92816">
      <w:rPr>
        <w:rFonts w:ascii="Cambria" w:eastAsia="Calibri" w:hAnsi="Cambria" w:cs="Calibri"/>
        <w:lang w:val="en-US"/>
      </w:rPr>
      <w:fldChar w:fldCharType="separate"/>
    </w:r>
    <w:r>
      <w:rPr>
        <w:rFonts w:ascii="Cambria" w:eastAsia="Calibri" w:hAnsi="Cambria" w:cs="Calibri"/>
        <w:lang w:val="en-US"/>
      </w:rPr>
      <w:t>1</w:t>
    </w:r>
    <w:r w:rsidRPr="00D92816">
      <w:rPr>
        <w:rFonts w:ascii="Cambria" w:eastAsia="Calibri" w:hAnsi="Cambria" w:cs="Calibri"/>
        <w:lang w:val="en-US"/>
      </w:rPr>
      <w:fldChar w:fldCharType="end"/>
    </w:r>
    <w:r w:rsidRPr="00D92816">
      <w:rPr>
        <w:rFonts w:ascii="Cambria" w:eastAsia="Calibri" w:hAnsi="Cambria" w:cs="Calibri"/>
        <w:lang w:val="en-US"/>
      </w:rPr>
      <w:t xml:space="preserve"> / </w:t>
    </w:r>
    <w:r w:rsidRPr="00D92816">
      <w:rPr>
        <w:rFonts w:ascii="Cambria" w:eastAsia="Calibri" w:hAnsi="Cambria" w:cs="Calibri"/>
        <w:lang w:val="en-US"/>
      </w:rPr>
      <w:fldChar w:fldCharType="begin"/>
    </w:r>
    <w:r w:rsidRPr="00D92816">
      <w:rPr>
        <w:rFonts w:ascii="Cambria" w:eastAsia="Calibri" w:hAnsi="Cambria" w:cs="Calibri"/>
        <w:lang w:val="en-US"/>
      </w:rPr>
      <w:instrText xml:space="preserve"> NUMPAGES  </w:instrText>
    </w:r>
    <w:r w:rsidRPr="00D92816">
      <w:rPr>
        <w:rFonts w:ascii="Cambria" w:eastAsia="Calibri" w:hAnsi="Cambria" w:cs="Calibri"/>
        <w:lang w:val="en-US"/>
      </w:rPr>
      <w:fldChar w:fldCharType="separate"/>
    </w:r>
    <w:r>
      <w:rPr>
        <w:rFonts w:ascii="Cambria" w:eastAsia="Calibri" w:hAnsi="Cambria" w:cs="Calibri"/>
        <w:lang w:val="en-US"/>
      </w:rPr>
      <w:t>28</w:t>
    </w:r>
    <w:r w:rsidRPr="00D92816">
      <w:rPr>
        <w:rFonts w:ascii="Cambria" w:eastAsia="Calibri" w:hAnsi="Cambria" w:cs="Calibri"/>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78471265"/>
      <w:docPartObj>
        <w:docPartGallery w:val="Page Numbers (Bottom of Page)"/>
        <w:docPartUnique/>
      </w:docPartObj>
    </w:sdtPr>
    <w:sdtEndPr>
      <w:rPr>
        <w:rFonts w:ascii="Cambria" w:hAnsi="Cambria"/>
      </w:rPr>
    </w:sdtEndPr>
    <w:sdtContent>
      <w:p w14:paraId="4F96CE83" w14:textId="1B1BF115" w:rsidR="00D35809" w:rsidRPr="003B59EB" w:rsidRDefault="00C849C0" w:rsidP="003B59EB">
        <w:pPr>
          <w:pStyle w:val="Footer"/>
          <w:jc w:val="center"/>
          <w:rPr>
            <w:rFonts w:ascii="Cambria" w:hAnsi="Cambria"/>
            <w:sz w:val="20"/>
            <w:szCs w:val="20"/>
          </w:rPr>
        </w:pPr>
        <w:r w:rsidRPr="00C849C0">
          <w:rPr>
            <w:rFonts w:ascii="Cambria" w:hAnsi="Cambria"/>
            <w:sz w:val="20"/>
            <w:szCs w:val="20"/>
          </w:rPr>
          <w:fldChar w:fldCharType="begin"/>
        </w:r>
        <w:r w:rsidRPr="00C849C0">
          <w:rPr>
            <w:rFonts w:ascii="Cambria" w:hAnsi="Cambria"/>
            <w:sz w:val="20"/>
            <w:szCs w:val="20"/>
          </w:rPr>
          <w:instrText xml:space="preserve"> PAGE </w:instrText>
        </w:r>
        <w:r w:rsidRPr="00C849C0">
          <w:rPr>
            <w:rFonts w:ascii="Cambria" w:hAnsi="Cambria"/>
            <w:sz w:val="20"/>
            <w:szCs w:val="20"/>
          </w:rPr>
          <w:fldChar w:fldCharType="separate"/>
        </w:r>
        <w:r w:rsidRPr="00C849C0">
          <w:rPr>
            <w:rFonts w:ascii="Cambria" w:hAnsi="Cambria"/>
            <w:noProof/>
            <w:sz w:val="20"/>
            <w:szCs w:val="20"/>
          </w:rPr>
          <w:t>2</w:t>
        </w:r>
        <w:r w:rsidRPr="00C849C0">
          <w:rPr>
            <w:rFonts w:ascii="Cambria" w:hAnsi="Cambria"/>
            <w:sz w:val="20"/>
            <w:szCs w:val="20"/>
          </w:rPr>
          <w:fldChar w:fldCharType="end"/>
        </w:r>
        <w:r w:rsidRPr="00C849C0">
          <w:rPr>
            <w:rFonts w:ascii="Cambria" w:hAnsi="Cambria"/>
            <w:sz w:val="20"/>
            <w:szCs w:val="20"/>
          </w:rPr>
          <w:t xml:space="preserve"> / </w:t>
        </w:r>
        <w:r w:rsidRPr="00C849C0">
          <w:rPr>
            <w:rFonts w:ascii="Cambria" w:hAnsi="Cambria"/>
            <w:sz w:val="20"/>
            <w:szCs w:val="20"/>
          </w:rPr>
          <w:fldChar w:fldCharType="begin"/>
        </w:r>
        <w:r w:rsidRPr="00C849C0">
          <w:rPr>
            <w:rFonts w:ascii="Cambria" w:hAnsi="Cambria"/>
            <w:sz w:val="20"/>
            <w:szCs w:val="20"/>
          </w:rPr>
          <w:instrText xml:space="preserve"> NUMPAGES  </w:instrText>
        </w:r>
        <w:r w:rsidRPr="00C849C0">
          <w:rPr>
            <w:rFonts w:ascii="Cambria" w:hAnsi="Cambria"/>
            <w:sz w:val="20"/>
            <w:szCs w:val="20"/>
          </w:rPr>
          <w:fldChar w:fldCharType="separate"/>
        </w:r>
        <w:r w:rsidRPr="00C849C0">
          <w:rPr>
            <w:rFonts w:ascii="Cambria" w:hAnsi="Cambria"/>
            <w:noProof/>
            <w:sz w:val="20"/>
            <w:szCs w:val="20"/>
          </w:rPr>
          <w:t>2</w:t>
        </w:r>
        <w:r w:rsidRPr="00C849C0">
          <w:rPr>
            <w:rFonts w:ascii="Cambria" w:hAnsi="Cambria"/>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D69CD" w14:textId="77777777" w:rsidR="008E756F" w:rsidRDefault="008E756F" w:rsidP="00C849C0">
      <w:pPr>
        <w:spacing w:line="240" w:lineRule="auto"/>
      </w:pPr>
      <w:r>
        <w:separator/>
      </w:r>
    </w:p>
  </w:footnote>
  <w:footnote w:type="continuationSeparator" w:id="0">
    <w:p w14:paraId="6790978E" w14:textId="77777777" w:rsidR="008E756F" w:rsidRDefault="008E756F" w:rsidP="00C849C0">
      <w:pPr>
        <w:spacing w:line="240" w:lineRule="auto"/>
      </w:pPr>
      <w:r>
        <w:continuationSeparator/>
      </w:r>
    </w:p>
  </w:footnote>
  <w:footnote w:id="1">
    <w:p w14:paraId="0BE49763" w14:textId="1324169D" w:rsidR="005B72E0" w:rsidRPr="00DF0EBA" w:rsidRDefault="005B72E0" w:rsidP="003F1C25">
      <w:pPr>
        <w:pStyle w:val="FootnoteText"/>
        <w:spacing w:line="240" w:lineRule="auto"/>
        <w:jc w:val="both"/>
      </w:pPr>
      <w:r w:rsidRPr="003F1C25">
        <w:rPr>
          <w:rStyle w:val="FootnoteReference"/>
          <w:rFonts w:ascii="Cambria" w:hAnsi="Cambria"/>
          <w:sz w:val="16"/>
          <w:szCs w:val="16"/>
        </w:rPr>
        <w:footnoteRef/>
      </w:r>
      <w:r w:rsidRPr="003F1C25">
        <w:rPr>
          <w:rFonts w:ascii="Cambria" w:hAnsi="Cambria"/>
          <w:sz w:val="16"/>
          <w:szCs w:val="16"/>
        </w:rPr>
        <w:t xml:space="preserve"> </w:t>
      </w:r>
      <w:r w:rsidR="00B0546F" w:rsidRPr="003F1C25">
        <w:rPr>
          <w:rFonts w:ascii="Cambria" w:hAnsi="Cambria"/>
          <w:sz w:val="16"/>
          <w:szCs w:val="16"/>
        </w:rPr>
        <w:t>Le format des plans annuels de pêche / de gestion de la capacité / de gestion des DCP pour les thonidés tropicaux de 2025 a été actualisé en utilisant la Rec. 24-01 comme seule référence. Ce changement a été effectué après consultation du Président de la Sous-commission 1, comme indiqué dans la circulaire ICCAT #00243/</w:t>
      </w:r>
      <w:r w:rsidR="00AE1155" w:rsidRPr="003F1C25">
        <w:rPr>
          <w:rFonts w:ascii="Cambria" w:hAnsi="Cambria"/>
          <w:sz w:val="16"/>
          <w:szCs w:val="16"/>
        </w:rPr>
        <w:t>20</w:t>
      </w:r>
      <w:r w:rsidR="00B0546F" w:rsidRPr="003F1C25">
        <w:rPr>
          <w:rFonts w:ascii="Cambria" w:hAnsi="Cambria"/>
          <w:sz w:val="16"/>
          <w:szCs w:val="16"/>
        </w:rPr>
        <w:t>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CA66" w14:textId="66096DC6" w:rsidR="00291289" w:rsidRPr="00B51754" w:rsidRDefault="00291289" w:rsidP="00291289">
    <w:pPr>
      <w:tabs>
        <w:tab w:val="center" w:pos="4680"/>
        <w:tab w:val="left" w:pos="6520"/>
        <w:tab w:val="right" w:pos="9360"/>
        <w:tab w:val="right" w:pos="14240"/>
      </w:tabs>
      <w:spacing w:line="240" w:lineRule="atLeast"/>
      <w:jc w:val="right"/>
      <w:rPr>
        <w:rFonts w:ascii="Cambria" w:eastAsia="Calibri" w:hAnsi="Cambria"/>
        <w:b/>
        <w:bCs/>
        <w:lang w:val="en-US" w:eastAsia="ja-JP"/>
      </w:rPr>
    </w:pPr>
    <w:r>
      <w:tab/>
    </w:r>
    <w:bookmarkStart w:id="13" w:name="_Hlk51237468"/>
    <w:r w:rsidRPr="00B51754">
      <w:rPr>
        <w:rFonts w:ascii="Cambria" w:eastAsia="Calibri" w:hAnsi="Cambria"/>
        <w:b/>
        <w:bCs/>
        <w:lang w:val="en-US" w:eastAsia="ja-JP"/>
      </w:rPr>
      <w:t>COC_30</w:t>
    </w:r>
    <w:r>
      <w:rPr>
        <w:rFonts w:ascii="Cambria" w:eastAsia="Calibri" w:hAnsi="Cambria"/>
        <w:b/>
        <w:bCs/>
        <w:lang w:val="en-US" w:eastAsia="ja-JP"/>
      </w:rPr>
      <w:t>3</w:t>
    </w:r>
    <w:r w:rsidR="00DF0EBA">
      <w:rPr>
        <w:rFonts w:ascii="Cambria" w:eastAsia="Calibri" w:hAnsi="Cambria"/>
        <w:b/>
        <w:bCs/>
        <w:lang w:val="en-US" w:eastAsia="ja-JP"/>
      </w:rPr>
      <w:t>A</w:t>
    </w:r>
    <w:r w:rsidRPr="00B51754">
      <w:rPr>
        <w:rFonts w:ascii="Cambria" w:eastAsia="Calibri" w:hAnsi="Cambria"/>
        <w:b/>
        <w:bCs/>
        <w:lang w:val="en-US" w:eastAsia="ja-JP"/>
      </w:rPr>
      <w:t>/202</w:t>
    </w:r>
    <w:r>
      <w:rPr>
        <w:rFonts w:ascii="Cambria" w:eastAsia="Calibri" w:hAnsi="Cambria"/>
        <w:b/>
        <w:bCs/>
        <w:lang w:val="en-US" w:eastAsia="ja-JP"/>
      </w:rPr>
      <w:t>5</w:t>
    </w:r>
  </w:p>
  <w:p w14:paraId="04689C33" w14:textId="241845FE" w:rsidR="00291289" w:rsidRPr="00B51754" w:rsidRDefault="00291289" w:rsidP="00291289">
    <w:pPr>
      <w:tabs>
        <w:tab w:val="left" w:pos="7320"/>
      </w:tabs>
      <w:spacing w:line="240" w:lineRule="atLeast"/>
      <w:jc w:val="right"/>
      <w:rPr>
        <w:rFonts w:ascii="Cambria" w:eastAsia="Yu Mincho" w:hAnsi="Cambria"/>
        <w:b/>
        <w:bCs/>
        <w:sz w:val="16"/>
        <w:szCs w:val="16"/>
        <w:lang w:eastAsia="ja-JP"/>
      </w:rPr>
    </w:pPr>
    <w:r w:rsidRPr="00B51754">
      <w:rPr>
        <w:rFonts w:ascii="Cambria" w:eastAsia="Yu Mincho" w:hAnsi="Cambria"/>
        <w:b/>
        <w:bCs/>
        <w:sz w:val="16"/>
        <w:szCs w:val="16"/>
        <w:lang w:eastAsia="ja-JP"/>
      </w:rPr>
      <w:fldChar w:fldCharType="begin"/>
    </w:r>
    <w:r w:rsidRPr="00B51754">
      <w:rPr>
        <w:rFonts w:ascii="Cambria" w:eastAsia="Yu Mincho" w:hAnsi="Cambria"/>
        <w:b/>
        <w:bCs/>
        <w:sz w:val="16"/>
        <w:szCs w:val="16"/>
        <w:lang w:eastAsia="ja-JP"/>
      </w:rPr>
      <w:instrText xml:space="preserve"> TIME \@ "dd/MM/yyyy H:mm" </w:instrText>
    </w:r>
    <w:r w:rsidRPr="00B51754">
      <w:rPr>
        <w:rFonts w:ascii="Cambria" w:eastAsia="Yu Mincho" w:hAnsi="Cambria"/>
        <w:b/>
        <w:bCs/>
        <w:sz w:val="16"/>
        <w:szCs w:val="16"/>
        <w:lang w:eastAsia="ja-JP"/>
      </w:rPr>
      <w:fldChar w:fldCharType="separate"/>
    </w:r>
    <w:r w:rsidR="00E56351">
      <w:rPr>
        <w:rFonts w:ascii="Cambria" w:eastAsia="Yu Mincho" w:hAnsi="Cambria"/>
        <w:b/>
        <w:bCs/>
        <w:noProof/>
        <w:sz w:val="16"/>
        <w:szCs w:val="16"/>
        <w:lang w:eastAsia="ja-JP"/>
      </w:rPr>
      <w:t>15/11/2025 17:33</w:t>
    </w:r>
    <w:r w:rsidRPr="00B51754">
      <w:rPr>
        <w:rFonts w:ascii="Cambria" w:eastAsia="Yu Mincho" w:hAnsi="Cambria"/>
        <w:b/>
        <w:bCs/>
        <w:sz w:val="16"/>
        <w:szCs w:val="16"/>
        <w:lang w:eastAsia="ja-JP"/>
      </w:rPr>
      <w:fldChar w:fldCharType="end"/>
    </w:r>
  </w:p>
  <w:bookmarkEnd w:id="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7563" w14:textId="0510D9D5" w:rsidR="00C849C0" w:rsidRDefault="00C849C0" w:rsidP="00C849C0">
    <w:pPr>
      <w:tabs>
        <w:tab w:val="center" w:pos="4680"/>
        <w:tab w:val="left" w:pos="6520"/>
        <w:tab w:val="right" w:pos="9360"/>
        <w:tab w:val="right" w:pos="14240"/>
      </w:tabs>
      <w:jc w:val="right"/>
      <w:rPr>
        <w:rFonts w:ascii="Cambria" w:eastAsia="Calibri" w:hAnsi="Cambria"/>
        <w:b/>
        <w:bCs/>
      </w:rPr>
    </w:pPr>
    <w:bookmarkStart w:id="28" w:name="_Hlk107908354"/>
    <w:bookmarkStart w:id="29" w:name="_Hlk107908355"/>
    <w:bookmarkStart w:id="30" w:name="_Hlk107908359"/>
    <w:bookmarkStart w:id="31" w:name="_Hlk107908360"/>
    <w:bookmarkStart w:id="32" w:name="_Hlk107908361"/>
    <w:bookmarkStart w:id="33" w:name="_Hlk107908362"/>
    <w:bookmarkStart w:id="34" w:name="_Hlk117162352"/>
    <w:bookmarkStart w:id="35" w:name="_Hlk117162353"/>
    <w:bookmarkStart w:id="36" w:name="_Hlk117162355"/>
    <w:bookmarkStart w:id="37" w:name="_Hlk117162356"/>
    <w:bookmarkStart w:id="38" w:name="_Hlk117589541"/>
    <w:bookmarkStart w:id="39" w:name="_Hlk117589542"/>
    <w:bookmarkStart w:id="40" w:name="_Hlk117589581"/>
    <w:bookmarkStart w:id="41" w:name="_Hlk117589582"/>
    <w:r>
      <w:rPr>
        <w:rFonts w:ascii="Cambria" w:hAnsi="Cambria"/>
        <w:b/>
      </w:rPr>
      <w:t>COC_303/202</w:t>
    </w:r>
    <w:r w:rsidR="00EC05B9">
      <w:rPr>
        <w:rFonts w:ascii="Cambria" w:hAnsi="Cambria"/>
        <w:b/>
      </w:rPr>
      <w:t>5</w:t>
    </w:r>
  </w:p>
  <w:p w14:paraId="281B38C0" w14:textId="0664E0D1" w:rsidR="00C849C0" w:rsidRDefault="00C849C0" w:rsidP="00C849C0">
    <w:pPr>
      <w:tabs>
        <w:tab w:val="center" w:pos="4680"/>
        <w:tab w:val="left" w:pos="6520"/>
        <w:tab w:val="right" w:pos="9360"/>
        <w:tab w:val="right" w:pos="14240"/>
      </w:tabs>
      <w:jc w:val="right"/>
    </w:pPr>
    <w:r>
      <w:fldChar w:fldCharType="begin"/>
    </w:r>
    <w:r>
      <w:rPr>
        <w:rFonts w:ascii="Cambria" w:hAnsi="Cambria"/>
        <w:b/>
        <w:sz w:val="16"/>
      </w:rPr>
      <w:instrText xml:space="preserve"> TIME \@ "dd/MM/yyyy H:mm" </w:instrText>
    </w:r>
    <w:r>
      <w:fldChar w:fldCharType="separate"/>
    </w:r>
    <w:r w:rsidR="00E56351">
      <w:rPr>
        <w:rFonts w:ascii="Cambria" w:hAnsi="Cambria"/>
        <w:b/>
        <w:noProof/>
        <w:sz w:val="16"/>
      </w:rPr>
      <w:t>15/11/2025 17:33</w:t>
    </w:r>
    <w:r>
      <w:fldChar w:fldCharType="end"/>
    </w:r>
    <w:bookmarkEnd w:id="28"/>
    <w:bookmarkEnd w:id="29"/>
    <w:bookmarkEnd w:id="30"/>
    <w:bookmarkEnd w:id="31"/>
    <w:bookmarkEnd w:id="32"/>
    <w:bookmarkEnd w:id="33"/>
    <w:bookmarkEnd w:id="34"/>
    <w:bookmarkEnd w:id="35"/>
    <w:bookmarkEnd w:id="36"/>
    <w:bookmarkEnd w:id="37"/>
    <w:bookmarkEnd w:id="38"/>
    <w:bookmarkEnd w:id="39"/>
    <w:bookmarkEnd w:id="40"/>
    <w:bookmarkEnd w:id="4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1752"/>
    <w:multiLevelType w:val="hybridMultilevel"/>
    <w:tmpl w:val="2714A858"/>
    <w:lvl w:ilvl="0" w:tplc="659212A0">
      <w:start w:val="1"/>
      <w:numFmt w:val="decimal"/>
      <w:lvlText w:val="%1."/>
      <w:lvlJc w:val="left"/>
      <w:pPr>
        <w:ind w:left="720" w:hanging="360"/>
      </w:pPr>
      <w:rPr>
        <w:sz w:val="20"/>
        <w:szCs w:val="2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97B57C7"/>
    <w:multiLevelType w:val="hybridMultilevel"/>
    <w:tmpl w:val="4FFCE6EE"/>
    <w:lvl w:ilvl="0" w:tplc="81923C5E">
      <w:start w:val="3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2B100D"/>
    <w:multiLevelType w:val="hybridMultilevel"/>
    <w:tmpl w:val="DD8E388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B34E78"/>
    <w:multiLevelType w:val="hybridMultilevel"/>
    <w:tmpl w:val="46FCABD0"/>
    <w:lvl w:ilvl="0" w:tplc="81923C5E">
      <w:start w:val="3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8833F6"/>
    <w:multiLevelType w:val="hybridMultilevel"/>
    <w:tmpl w:val="E1889D58"/>
    <w:lvl w:ilvl="0" w:tplc="52C23342">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FB923B0"/>
    <w:multiLevelType w:val="hybridMultilevel"/>
    <w:tmpl w:val="95F6ADB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0370FD6"/>
    <w:multiLevelType w:val="hybridMultilevel"/>
    <w:tmpl w:val="DD7C851E"/>
    <w:lvl w:ilvl="0" w:tplc="E968C7DC">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3A6037"/>
    <w:multiLevelType w:val="multilevel"/>
    <w:tmpl w:val="BE3A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45023F"/>
    <w:multiLevelType w:val="hybridMultilevel"/>
    <w:tmpl w:val="C0421D8C"/>
    <w:lvl w:ilvl="0" w:tplc="3BF6B372">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C7334C"/>
    <w:multiLevelType w:val="hybridMultilevel"/>
    <w:tmpl w:val="407AFCB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9F3C1F"/>
    <w:multiLevelType w:val="hybridMultilevel"/>
    <w:tmpl w:val="441AF51A"/>
    <w:lvl w:ilvl="0" w:tplc="81923C5E">
      <w:start w:val="30"/>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B52291"/>
    <w:multiLevelType w:val="hybridMultilevel"/>
    <w:tmpl w:val="2714A858"/>
    <w:lvl w:ilvl="0" w:tplc="659212A0">
      <w:start w:val="1"/>
      <w:numFmt w:val="decimal"/>
      <w:lvlText w:val="%1."/>
      <w:lvlJc w:val="left"/>
      <w:pPr>
        <w:ind w:left="720" w:hanging="360"/>
      </w:pPr>
      <w:rPr>
        <w:sz w:val="20"/>
        <w:szCs w:val="2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1F86972"/>
    <w:multiLevelType w:val="hybridMultilevel"/>
    <w:tmpl w:val="702EEE92"/>
    <w:lvl w:ilvl="0" w:tplc="E5BCE22C">
      <w:start w:val="8002"/>
      <w:numFmt w:val="bullet"/>
      <w:lvlText w:val="-"/>
      <w:lvlJc w:val="left"/>
      <w:pPr>
        <w:ind w:left="360" w:hanging="360"/>
      </w:pPr>
      <w:rPr>
        <w:rFonts w:ascii="Times New Roman" w:eastAsia="Times New Roman" w:hAnsi="Times New Roman" w:cs="Times New Roman"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3" w15:restartNumberingAfterBreak="0">
    <w:nsid w:val="65F47BDB"/>
    <w:multiLevelType w:val="hybridMultilevel"/>
    <w:tmpl w:val="3B6C0D7C"/>
    <w:lvl w:ilvl="0" w:tplc="81923C5E">
      <w:start w:val="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9714EB"/>
    <w:multiLevelType w:val="multilevel"/>
    <w:tmpl w:val="8E3C3234"/>
    <w:lvl w:ilvl="0">
      <w:start w:val="1"/>
      <w:numFmt w:val="none"/>
      <w:lvlText w:val=""/>
      <w:lvlJc w:val="left"/>
      <w:pPr>
        <w:ind w:left="432" w:hanging="432"/>
      </w:pPr>
    </w:lvl>
    <w:lvl w:ilvl="1">
      <w:start w:val="1"/>
      <w:numFmt w:val="none"/>
      <w:pStyle w:val="Heading2"/>
      <w:lvlText w:val=""/>
      <w:lvlJc w:val="left"/>
      <w:pPr>
        <w:ind w:left="576" w:hanging="576"/>
      </w:pPr>
    </w:lvl>
    <w:lvl w:ilvl="2">
      <w:start w:val="1"/>
      <w:numFmt w:val="none"/>
      <w:pStyle w:val="Heading3"/>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abstractNum w:abstractNumId="15" w15:restartNumberingAfterBreak="0">
    <w:nsid w:val="6D290FD1"/>
    <w:multiLevelType w:val="multilevel"/>
    <w:tmpl w:val="CDD616B6"/>
    <w:lvl w:ilvl="0">
      <w:start w:val="6"/>
      <w:numFmt w:val="decimalZero"/>
      <w:lvlText w:val="%1"/>
      <w:lvlJc w:val="left"/>
      <w:pPr>
        <w:tabs>
          <w:tab w:val="num" w:pos="840"/>
        </w:tabs>
        <w:ind w:left="840" w:hanging="840"/>
      </w:pPr>
      <w:rPr>
        <w:rFonts w:hint="default"/>
      </w:rPr>
    </w:lvl>
    <w:lvl w:ilvl="1">
      <w:start w:val="10"/>
      <w:numFmt w:val="decimal"/>
      <w:lvlText w:val="%1-%2"/>
      <w:lvlJc w:val="left"/>
      <w:pPr>
        <w:tabs>
          <w:tab w:val="num" w:pos="1272"/>
        </w:tabs>
        <w:ind w:left="1272" w:hanging="840"/>
      </w:pPr>
      <w:rPr>
        <w:rFonts w:hint="default"/>
      </w:rPr>
    </w:lvl>
    <w:lvl w:ilvl="2">
      <w:start w:val="1"/>
      <w:numFmt w:val="decimal"/>
      <w:lvlText w:val="%1-%2.%3"/>
      <w:lvlJc w:val="left"/>
      <w:pPr>
        <w:tabs>
          <w:tab w:val="num" w:pos="1704"/>
        </w:tabs>
        <w:ind w:left="1704" w:hanging="840"/>
      </w:pPr>
      <w:rPr>
        <w:rFonts w:hint="default"/>
      </w:rPr>
    </w:lvl>
    <w:lvl w:ilvl="3">
      <w:start w:val="1"/>
      <w:numFmt w:val="decimal"/>
      <w:lvlText w:val="%1-%2.%3.%4"/>
      <w:lvlJc w:val="left"/>
      <w:pPr>
        <w:tabs>
          <w:tab w:val="num" w:pos="2136"/>
        </w:tabs>
        <w:ind w:left="2136" w:hanging="840"/>
      </w:pPr>
      <w:rPr>
        <w:rFonts w:hint="default"/>
      </w:rPr>
    </w:lvl>
    <w:lvl w:ilvl="4">
      <w:start w:val="1"/>
      <w:numFmt w:val="decimal"/>
      <w:lvlText w:val="%1-%2.%3.%4.%5"/>
      <w:lvlJc w:val="left"/>
      <w:pPr>
        <w:tabs>
          <w:tab w:val="num" w:pos="2568"/>
        </w:tabs>
        <w:ind w:left="2568" w:hanging="84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672"/>
        </w:tabs>
        <w:ind w:left="3672" w:hanging="108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4896"/>
        </w:tabs>
        <w:ind w:left="4896" w:hanging="1440"/>
      </w:pPr>
      <w:rPr>
        <w:rFonts w:hint="default"/>
      </w:rPr>
    </w:lvl>
  </w:abstractNum>
  <w:num w:numId="1" w16cid:durableId="1334912627">
    <w:abstractNumId w:val="14"/>
  </w:num>
  <w:num w:numId="2" w16cid:durableId="895817587">
    <w:abstractNumId w:val="14"/>
  </w:num>
  <w:num w:numId="3" w16cid:durableId="91501725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623495">
    <w:abstractNumId w:val="6"/>
  </w:num>
  <w:num w:numId="5" w16cid:durableId="706874014">
    <w:abstractNumId w:val="8"/>
  </w:num>
  <w:num w:numId="6" w16cid:durableId="438182842">
    <w:abstractNumId w:val="15"/>
  </w:num>
  <w:num w:numId="7" w16cid:durableId="1969772511">
    <w:abstractNumId w:val="9"/>
  </w:num>
  <w:num w:numId="8" w16cid:durableId="371922932">
    <w:abstractNumId w:val="11"/>
  </w:num>
  <w:num w:numId="9" w16cid:durableId="1820265095">
    <w:abstractNumId w:val="0"/>
  </w:num>
  <w:num w:numId="10" w16cid:durableId="27923505">
    <w:abstractNumId w:val="5"/>
  </w:num>
  <w:num w:numId="11" w16cid:durableId="1699427370">
    <w:abstractNumId w:val="2"/>
  </w:num>
  <w:num w:numId="12" w16cid:durableId="244195111">
    <w:abstractNumId w:val="13"/>
  </w:num>
  <w:num w:numId="13" w16cid:durableId="1505630998">
    <w:abstractNumId w:val="12"/>
  </w:num>
  <w:num w:numId="14" w16cid:durableId="735905790">
    <w:abstractNumId w:val="7"/>
  </w:num>
  <w:num w:numId="15" w16cid:durableId="911352777">
    <w:abstractNumId w:val="10"/>
  </w:num>
  <w:num w:numId="16" w16cid:durableId="623928830">
    <w:abstractNumId w:val="1"/>
  </w:num>
  <w:num w:numId="17" w16cid:durableId="11199514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084"/>
    <w:rsid w:val="00000A51"/>
    <w:rsid w:val="00003969"/>
    <w:rsid w:val="00003A01"/>
    <w:rsid w:val="0000645B"/>
    <w:rsid w:val="00014BA9"/>
    <w:rsid w:val="00015F16"/>
    <w:rsid w:val="000214D3"/>
    <w:rsid w:val="00021557"/>
    <w:rsid w:val="000270B3"/>
    <w:rsid w:val="00034117"/>
    <w:rsid w:val="00052B1E"/>
    <w:rsid w:val="00053DAC"/>
    <w:rsid w:val="000543D1"/>
    <w:rsid w:val="0006296A"/>
    <w:rsid w:val="00066D05"/>
    <w:rsid w:val="00067C9C"/>
    <w:rsid w:val="00083559"/>
    <w:rsid w:val="00090420"/>
    <w:rsid w:val="00092963"/>
    <w:rsid w:val="00093484"/>
    <w:rsid w:val="000B2829"/>
    <w:rsid w:val="000B6AE3"/>
    <w:rsid w:val="000C09F1"/>
    <w:rsid w:val="000C27FC"/>
    <w:rsid w:val="000C6C70"/>
    <w:rsid w:val="000C6C97"/>
    <w:rsid w:val="000D1CB2"/>
    <w:rsid w:val="000D2773"/>
    <w:rsid w:val="000D48AB"/>
    <w:rsid w:val="000D561B"/>
    <w:rsid w:val="000D5709"/>
    <w:rsid w:val="000E0851"/>
    <w:rsid w:val="000F7450"/>
    <w:rsid w:val="00106F0F"/>
    <w:rsid w:val="00124576"/>
    <w:rsid w:val="0012680C"/>
    <w:rsid w:val="00142285"/>
    <w:rsid w:val="00152F68"/>
    <w:rsid w:val="00153AC2"/>
    <w:rsid w:val="00165942"/>
    <w:rsid w:val="00172D76"/>
    <w:rsid w:val="0017335B"/>
    <w:rsid w:val="00181259"/>
    <w:rsid w:val="0018128B"/>
    <w:rsid w:val="00191467"/>
    <w:rsid w:val="00193E97"/>
    <w:rsid w:val="001A0FB1"/>
    <w:rsid w:val="001A615C"/>
    <w:rsid w:val="001B3D34"/>
    <w:rsid w:val="001C5298"/>
    <w:rsid w:val="001C6895"/>
    <w:rsid w:val="001D212F"/>
    <w:rsid w:val="001E1B5C"/>
    <w:rsid w:val="001E71F8"/>
    <w:rsid w:val="001F6658"/>
    <w:rsid w:val="00202E5D"/>
    <w:rsid w:val="002065A9"/>
    <w:rsid w:val="00223553"/>
    <w:rsid w:val="00227CB5"/>
    <w:rsid w:val="0023053C"/>
    <w:rsid w:val="002669A9"/>
    <w:rsid w:val="00280082"/>
    <w:rsid w:val="00281313"/>
    <w:rsid w:val="00283887"/>
    <w:rsid w:val="00284A95"/>
    <w:rsid w:val="00291289"/>
    <w:rsid w:val="00294135"/>
    <w:rsid w:val="002A1848"/>
    <w:rsid w:val="002A2788"/>
    <w:rsid w:val="002A5795"/>
    <w:rsid w:val="002A6474"/>
    <w:rsid w:val="002A6BAD"/>
    <w:rsid w:val="002B0E3D"/>
    <w:rsid w:val="002B5088"/>
    <w:rsid w:val="002B6061"/>
    <w:rsid w:val="002B6827"/>
    <w:rsid w:val="002C06D9"/>
    <w:rsid w:val="002C2992"/>
    <w:rsid w:val="002D13C9"/>
    <w:rsid w:val="002D49C2"/>
    <w:rsid w:val="002D5923"/>
    <w:rsid w:val="002F0850"/>
    <w:rsid w:val="00301B49"/>
    <w:rsid w:val="003126FC"/>
    <w:rsid w:val="00316C4E"/>
    <w:rsid w:val="00325774"/>
    <w:rsid w:val="0032666B"/>
    <w:rsid w:val="00350117"/>
    <w:rsid w:val="003518B7"/>
    <w:rsid w:val="00356084"/>
    <w:rsid w:val="00363DF0"/>
    <w:rsid w:val="00364180"/>
    <w:rsid w:val="003747D8"/>
    <w:rsid w:val="00393EEA"/>
    <w:rsid w:val="003A60E4"/>
    <w:rsid w:val="003A6115"/>
    <w:rsid w:val="003A6775"/>
    <w:rsid w:val="003A7B89"/>
    <w:rsid w:val="003A7ECF"/>
    <w:rsid w:val="003B06CA"/>
    <w:rsid w:val="003B2CAF"/>
    <w:rsid w:val="003B542C"/>
    <w:rsid w:val="003B59EB"/>
    <w:rsid w:val="003E7CFC"/>
    <w:rsid w:val="003F1C25"/>
    <w:rsid w:val="003F7EBE"/>
    <w:rsid w:val="00407915"/>
    <w:rsid w:val="0041102F"/>
    <w:rsid w:val="004139ED"/>
    <w:rsid w:val="0042742E"/>
    <w:rsid w:val="004333F2"/>
    <w:rsid w:val="004402B7"/>
    <w:rsid w:val="004404C3"/>
    <w:rsid w:val="00447243"/>
    <w:rsid w:val="00447D37"/>
    <w:rsid w:val="00450E06"/>
    <w:rsid w:val="004561CC"/>
    <w:rsid w:val="00467FCB"/>
    <w:rsid w:val="00470FAC"/>
    <w:rsid w:val="004715FA"/>
    <w:rsid w:val="0047674E"/>
    <w:rsid w:val="00485772"/>
    <w:rsid w:val="00487708"/>
    <w:rsid w:val="0049587B"/>
    <w:rsid w:val="004B484C"/>
    <w:rsid w:val="004B5101"/>
    <w:rsid w:val="004C22DB"/>
    <w:rsid w:val="004C4AC6"/>
    <w:rsid w:val="004C4B96"/>
    <w:rsid w:val="004C6DAE"/>
    <w:rsid w:val="004C7FE7"/>
    <w:rsid w:val="004D514E"/>
    <w:rsid w:val="004E0BD7"/>
    <w:rsid w:val="004E11A8"/>
    <w:rsid w:val="004E14A7"/>
    <w:rsid w:val="004E76BB"/>
    <w:rsid w:val="004E7BC4"/>
    <w:rsid w:val="004F04E6"/>
    <w:rsid w:val="00503B30"/>
    <w:rsid w:val="00512B48"/>
    <w:rsid w:val="00514ED1"/>
    <w:rsid w:val="00516043"/>
    <w:rsid w:val="00521AFA"/>
    <w:rsid w:val="00522530"/>
    <w:rsid w:val="00526FE2"/>
    <w:rsid w:val="00534598"/>
    <w:rsid w:val="00534919"/>
    <w:rsid w:val="00535C68"/>
    <w:rsid w:val="00536E97"/>
    <w:rsid w:val="005462BC"/>
    <w:rsid w:val="00547119"/>
    <w:rsid w:val="00550A1E"/>
    <w:rsid w:val="00554AAA"/>
    <w:rsid w:val="005554B0"/>
    <w:rsid w:val="00555ACC"/>
    <w:rsid w:val="00565791"/>
    <w:rsid w:val="00566FA4"/>
    <w:rsid w:val="00571233"/>
    <w:rsid w:val="00571CD4"/>
    <w:rsid w:val="005756CE"/>
    <w:rsid w:val="00587436"/>
    <w:rsid w:val="005918C8"/>
    <w:rsid w:val="005A3C53"/>
    <w:rsid w:val="005A4EE0"/>
    <w:rsid w:val="005A5857"/>
    <w:rsid w:val="005A5E7A"/>
    <w:rsid w:val="005A7DA7"/>
    <w:rsid w:val="005B171D"/>
    <w:rsid w:val="005B3C9B"/>
    <w:rsid w:val="005B6C14"/>
    <w:rsid w:val="005B72E0"/>
    <w:rsid w:val="005C30FC"/>
    <w:rsid w:val="005C713A"/>
    <w:rsid w:val="005D4265"/>
    <w:rsid w:val="005E2B7E"/>
    <w:rsid w:val="005E2CA2"/>
    <w:rsid w:val="005F17A6"/>
    <w:rsid w:val="005F4B89"/>
    <w:rsid w:val="00601080"/>
    <w:rsid w:val="0061507F"/>
    <w:rsid w:val="006170D4"/>
    <w:rsid w:val="00620520"/>
    <w:rsid w:val="00653A1A"/>
    <w:rsid w:val="00653C6C"/>
    <w:rsid w:val="00657D14"/>
    <w:rsid w:val="006718B2"/>
    <w:rsid w:val="00683F29"/>
    <w:rsid w:val="00684082"/>
    <w:rsid w:val="00686DEE"/>
    <w:rsid w:val="0068777C"/>
    <w:rsid w:val="00697D00"/>
    <w:rsid w:val="006A1647"/>
    <w:rsid w:val="006A4B86"/>
    <w:rsid w:val="006B7073"/>
    <w:rsid w:val="006C2B47"/>
    <w:rsid w:val="006D09EC"/>
    <w:rsid w:val="006D7CA5"/>
    <w:rsid w:val="006E0137"/>
    <w:rsid w:val="006E0F77"/>
    <w:rsid w:val="006E7ACA"/>
    <w:rsid w:val="006F0CE7"/>
    <w:rsid w:val="006F31E9"/>
    <w:rsid w:val="006F47C4"/>
    <w:rsid w:val="0070402A"/>
    <w:rsid w:val="00705890"/>
    <w:rsid w:val="00720FEC"/>
    <w:rsid w:val="0072297D"/>
    <w:rsid w:val="00725522"/>
    <w:rsid w:val="007343BC"/>
    <w:rsid w:val="00735526"/>
    <w:rsid w:val="0075010A"/>
    <w:rsid w:val="00753C3F"/>
    <w:rsid w:val="00755CC8"/>
    <w:rsid w:val="00757EEE"/>
    <w:rsid w:val="00770CE0"/>
    <w:rsid w:val="00775607"/>
    <w:rsid w:val="007964D0"/>
    <w:rsid w:val="00797677"/>
    <w:rsid w:val="007E4C15"/>
    <w:rsid w:val="007F1E96"/>
    <w:rsid w:val="00801B74"/>
    <w:rsid w:val="00825EFC"/>
    <w:rsid w:val="00827733"/>
    <w:rsid w:val="00832B45"/>
    <w:rsid w:val="00845F68"/>
    <w:rsid w:val="00846067"/>
    <w:rsid w:val="00855A28"/>
    <w:rsid w:val="00861B61"/>
    <w:rsid w:val="0086288F"/>
    <w:rsid w:val="00867E37"/>
    <w:rsid w:val="00870106"/>
    <w:rsid w:val="008719EB"/>
    <w:rsid w:val="008768FF"/>
    <w:rsid w:val="008777B7"/>
    <w:rsid w:val="0088690A"/>
    <w:rsid w:val="00886A25"/>
    <w:rsid w:val="008A5AFE"/>
    <w:rsid w:val="008B2890"/>
    <w:rsid w:val="008C670E"/>
    <w:rsid w:val="008D3B0B"/>
    <w:rsid w:val="008E5B55"/>
    <w:rsid w:val="008E756F"/>
    <w:rsid w:val="009045EE"/>
    <w:rsid w:val="00906354"/>
    <w:rsid w:val="00914C86"/>
    <w:rsid w:val="00914E74"/>
    <w:rsid w:val="00920DC9"/>
    <w:rsid w:val="00921D03"/>
    <w:rsid w:val="009247A4"/>
    <w:rsid w:val="0095299F"/>
    <w:rsid w:val="0096241C"/>
    <w:rsid w:val="00970C07"/>
    <w:rsid w:val="00972442"/>
    <w:rsid w:val="0098668F"/>
    <w:rsid w:val="0099404F"/>
    <w:rsid w:val="00996241"/>
    <w:rsid w:val="009A1BFB"/>
    <w:rsid w:val="009A2294"/>
    <w:rsid w:val="009A380E"/>
    <w:rsid w:val="009A6F85"/>
    <w:rsid w:val="009A742E"/>
    <w:rsid w:val="009B0778"/>
    <w:rsid w:val="009C7C25"/>
    <w:rsid w:val="009E2767"/>
    <w:rsid w:val="009E49D7"/>
    <w:rsid w:val="009F0684"/>
    <w:rsid w:val="009F5ED7"/>
    <w:rsid w:val="00A023C4"/>
    <w:rsid w:val="00A07525"/>
    <w:rsid w:val="00A07D26"/>
    <w:rsid w:val="00A10A5D"/>
    <w:rsid w:val="00A2183A"/>
    <w:rsid w:val="00A27851"/>
    <w:rsid w:val="00A33750"/>
    <w:rsid w:val="00A36CEA"/>
    <w:rsid w:val="00A51F2C"/>
    <w:rsid w:val="00A544D8"/>
    <w:rsid w:val="00A56243"/>
    <w:rsid w:val="00A6615E"/>
    <w:rsid w:val="00A820BE"/>
    <w:rsid w:val="00A8225B"/>
    <w:rsid w:val="00A82554"/>
    <w:rsid w:val="00A83FF9"/>
    <w:rsid w:val="00A87FA4"/>
    <w:rsid w:val="00A920EA"/>
    <w:rsid w:val="00AA4BFD"/>
    <w:rsid w:val="00AA76F4"/>
    <w:rsid w:val="00AB5EFF"/>
    <w:rsid w:val="00AC0282"/>
    <w:rsid w:val="00AE0868"/>
    <w:rsid w:val="00AE1155"/>
    <w:rsid w:val="00AE5AA1"/>
    <w:rsid w:val="00AF00D1"/>
    <w:rsid w:val="00B0546F"/>
    <w:rsid w:val="00B07023"/>
    <w:rsid w:val="00B21822"/>
    <w:rsid w:val="00B30BE1"/>
    <w:rsid w:val="00B33B1F"/>
    <w:rsid w:val="00B51372"/>
    <w:rsid w:val="00B62757"/>
    <w:rsid w:val="00B66331"/>
    <w:rsid w:val="00B75D08"/>
    <w:rsid w:val="00B82785"/>
    <w:rsid w:val="00B84269"/>
    <w:rsid w:val="00B8781F"/>
    <w:rsid w:val="00B96CAA"/>
    <w:rsid w:val="00BB0753"/>
    <w:rsid w:val="00BB4951"/>
    <w:rsid w:val="00BB5754"/>
    <w:rsid w:val="00BC2DB6"/>
    <w:rsid w:val="00BD4D06"/>
    <w:rsid w:val="00BD5357"/>
    <w:rsid w:val="00BD6211"/>
    <w:rsid w:val="00BE4E6E"/>
    <w:rsid w:val="00BF0EE6"/>
    <w:rsid w:val="00BF691B"/>
    <w:rsid w:val="00C01C6D"/>
    <w:rsid w:val="00C10846"/>
    <w:rsid w:val="00C13BD7"/>
    <w:rsid w:val="00C321EA"/>
    <w:rsid w:val="00C367C1"/>
    <w:rsid w:val="00C42466"/>
    <w:rsid w:val="00C54FDD"/>
    <w:rsid w:val="00C64630"/>
    <w:rsid w:val="00C676C8"/>
    <w:rsid w:val="00C740A9"/>
    <w:rsid w:val="00C777E2"/>
    <w:rsid w:val="00C8130A"/>
    <w:rsid w:val="00C81667"/>
    <w:rsid w:val="00C820A5"/>
    <w:rsid w:val="00C82D41"/>
    <w:rsid w:val="00C849C0"/>
    <w:rsid w:val="00C853EE"/>
    <w:rsid w:val="00C86F61"/>
    <w:rsid w:val="00C95A12"/>
    <w:rsid w:val="00CA6CC4"/>
    <w:rsid w:val="00CC260A"/>
    <w:rsid w:val="00CD23B5"/>
    <w:rsid w:val="00CE1CA7"/>
    <w:rsid w:val="00CF38D8"/>
    <w:rsid w:val="00D02072"/>
    <w:rsid w:val="00D04ED8"/>
    <w:rsid w:val="00D12A13"/>
    <w:rsid w:val="00D17387"/>
    <w:rsid w:val="00D32226"/>
    <w:rsid w:val="00D353D9"/>
    <w:rsid w:val="00D35809"/>
    <w:rsid w:val="00D37764"/>
    <w:rsid w:val="00D52F1A"/>
    <w:rsid w:val="00D72AFC"/>
    <w:rsid w:val="00D7364F"/>
    <w:rsid w:val="00D84AF9"/>
    <w:rsid w:val="00D857E4"/>
    <w:rsid w:val="00D90E89"/>
    <w:rsid w:val="00DA1E3A"/>
    <w:rsid w:val="00DA7420"/>
    <w:rsid w:val="00DB3EA6"/>
    <w:rsid w:val="00DC4BFA"/>
    <w:rsid w:val="00DD3886"/>
    <w:rsid w:val="00DE43F7"/>
    <w:rsid w:val="00DE7BCC"/>
    <w:rsid w:val="00DF0EBA"/>
    <w:rsid w:val="00E0557C"/>
    <w:rsid w:val="00E201BA"/>
    <w:rsid w:val="00E201EC"/>
    <w:rsid w:val="00E230D6"/>
    <w:rsid w:val="00E26E3B"/>
    <w:rsid w:val="00E325F1"/>
    <w:rsid w:val="00E37577"/>
    <w:rsid w:val="00E445EE"/>
    <w:rsid w:val="00E44864"/>
    <w:rsid w:val="00E45DEF"/>
    <w:rsid w:val="00E52446"/>
    <w:rsid w:val="00E52B72"/>
    <w:rsid w:val="00E561E4"/>
    <w:rsid w:val="00E56351"/>
    <w:rsid w:val="00E57D28"/>
    <w:rsid w:val="00E628E8"/>
    <w:rsid w:val="00E760AC"/>
    <w:rsid w:val="00E83720"/>
    <w:rsid w:val="00E84FA6"/>
    <w:rsid w:val="00E85F6A"/>
    <w:rsid w:val="00E87E02"/>
    <w:rsid w:val="00E92C7F"/>
    <w:rsid w:val="00E95620"/>
    <w:rsid w:val="00EA079C"/>
    <w:rsid w:val="00EA2F08"/>
    <w:rsid w:val="00EA385C"/>
    <w:rsid w:val="00EA57DA"/>
    <w:rsid w:val="00EB5B22"/>
    <w:rsid w:val="00EB72E5"/>
    <w:rsid w:val="00EB7A29"/>
    <w:rsid w:val="00EB7FE5"/>
    <w:rsid w:val="00EC05B9"/>
    <w:rsid w:val="00EC1940"/>
    <w:rsid w:val="00EE6822"/>
    <w:rsid w:val="00EF2490"/>
    <w:rsid w:val="00EF4820"/>
    <w:rsid w:val="00F01171"/>
    <w:rsid w:val="00F03131"/>
    <w:rsid w:val="00F063AE"/>
    <w:rsid w:val="00F06557"/>
    <w:rsid w:val="00F10E95"/>
    <w:rsid w:val="00F16014"/>
    <w:rsid w:val="00F165D7"/>
    <w:rsid w:val="00F24FF9"/>
    <w:rsid w:val="00F33F5E"/>
    <w:rsid w:val="00F41027"/>
    <w:rsid w:val="00F508F9"/>
    <w:rsid w:val="00F50B10"/>
    <w:rsid w:val="00F52405"/>
    <w:rsid w:val="00F604E1"/>
    <w:rsid w:val="00F646BC"/>
    <w:rsid w:val="00F656B1"/>
    <w:rsid w:val="00F6630E"/>
    <w:rsid w:val="00F82E0B"/>
    <w:rsid w:val="00F83F58"/>
    <w:rsid w:val="00F860CA"/>
    <w:rsid w:val="00FA086E"/>
    <w:rsid w:val="00FA0C6A"/>
    <w:rsid w:val="00FA6378"/>
    <w:rsid w:val="00FA6A6E"/>
    <w:rsid w:val="00FB55C7"/>
    <w:rsid w:val="00FC4802"/>
    <w:rsid w:val="00FC79B8"/>
    <w:rsid w:val="00FF5105"/>
    <w:rsid w:val="00FF70D0"/>
    <w:rsid w:val="00FF7E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AE1C4"/>
  <w15:chartTrackingRefBased/>
  <w15:docId w15:val="{9AD09924-950D-4DF4-A184-E9758AFA6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sz w:val="22"/>
        <w:szCs w:val="22"/>
        <w:lang w:val="fr-FR"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1102F"/>
  </w:style>
  <w:style w:type="paragraph" w:styleId="Heading1">
    <w:name w:val="heading 1"/>
    <w:basedOn w:val="Normal"/>
    <w:link w:val="Heading1Char"/>
    <w:qFormat/>
    <w:rsid w:val="0041102F"/>
    <w:pPr>
      <w:keepNext/>
      <w:outlineLvl w:val="0"/>
    </w:pPr>
    <w:rPr>
      <w:rFonts w:eastAsia="Times New Roman"/>
      <w:b/>
    </w:rPr>
  </w:style>
  <w:style w:type="paragraph" w:styleId="Heading2">
    <w:name w:val="heading 2"/>
    <w:basedOn w:val="Normal"/>
    <w:link w:val="Heading2Char"/>
    <w:qFormat/>
    <w:rsid w:val="0041102F"/>
    <w:pPr>
      <w:keepNext/>
      <w:numPr>
        <w:ilvl w:val="1"/>
        <w:numId w:val="2"/>
      </w:numPr>
      <w:jc w:val="center"/>
      <w:outlineLvl w:val="1"/>
    </w:pPr>
    <w:rPr>
      <w:rFonts w:eastAsia="Times New Roman"/>
      <w:b/>
    </w:rPr>
  </w:style>
  <w:style w:type="paragraph" w:styleId="Heading3">
    <w:name w:val="heading 3"/>
    <w:basedOn w:val="Normal"/>
    <w:link w:val="Heading3Char"/>
    <w:qFormat/>
    <w:rsid w:val="0041102F"/>
    <w:pPr>
      <w:keepNext/>
      <w:numPr>
        <w:ilvl w:val="2"/>
        <w:numId w:val="2"/>
      </w:numPr>
      <w:outlineLvl w:val="2"/>
    </w:pPr>
    <w:rPr>
      <w:rFonts w:eastAsia="Times New Roman"/>
      <w:b/>
    </w:rPr>
  </w:style>
  <w:style w:type="paragraph" w:styleId="Heading4">
    <w:name w:val="heading 4"/>
    <w:basedOn w:val="Normal"/>
    <w:next w:val="Normal"/>
    <w:link w:val="Heading4Char"/>
    <w:unhideWhenUsed/>
    <w:qFormat/>
    <w:rsid w:val="0035608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35608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nhideWhenUsed/>
    <w:qFormat/>
    <w:rsid w:val="0035608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35608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35608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5608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683F29"/>
    <w:rPr>
      <w:rFonts w:ascii="Cambria" w:hAnsi="Cambria"/>
      <w:color w:val="0070C0"/>
      <w:sz w:val="20"/>
      <w:u w:val="none"/>
    </w:rPr>
  </w:style>
  <w:style w:type="character" w:customStyle="1" w:styleId="EndnoteTextChar">
    <w:name w:val="Endnote Text Char"/>
    <w:basedOn w:val="DefaultParagraphFont"/>
    <w:rsid w:val="0041102F"/>
    <w:rPr>
      <w:lang w:val="fr-FR"/>
    </w:rPr>
  </w:style>
  <w:style w:type="character" w:customStyle="1" w:styleId="FootnoteTextChar">
    <w:name w:val="Footnote Text Char"/>
    <w:basedOn w:val="DefaultParagraphFont"/>
    <w:rsid w:val="0041102F"/>
    <w:rPr>
      <w:lang w:val="fr-FR"/>
    </w:rPr>
  </w:style>
  <w:style w:type="character" w:customStyle="1" w:styleId="HTMLPreformattedChar">
    <w:name w:val="HTML Preformatted Char"/>
    <w:basedOn w:val="DefaultParagraphFont"/>
    <w:uiPriority w:val="99"/>
    <w:rsid w:val="0041102F"/>
    <w:rPr>
      <w:rFonts w:ascii="Courier New" w:hAnsi="Courier New" w:cs="Courier New"/>
    </w:rPr>
  </w:style>
  <w:style w:type="character" w:customStyle="1" w:styleId="PlainTextChar">
    <w:name w:val="Plain Text Char"/>
    <w:basedOn w:val="DefaultParagraphFont"/>
    <w:uiPriority w:val="99"/>
    <w:rsid w:val="0041102F"/>
    <w:rPr>
      <w:rFonts w:ascii="Consolas" w:eastAsia="Calibri" w:hAnsi="Consolas" w:cs="Times New Roman"/>
      <w:sz w:val="21"/>
      <w:szCs w:val="21"/>
    </w:rPr>
  </w:style>
  <w:style w:type="character" w:customStyle="1" w:styleId="HeaderChar">
    <w:name w:val="Header Char"/>
    <w:basedOn w:val="DefaultParagraphFont"/>
    <w:uiPriority w:val="99"/>
    <w:rsid w:val="0041102F"/>
    <w:rPr>
      <w:sz w:val="24"/>
      <w:szCs w:val="24"/>
      <w:lang w:val="fr-FR"/>
    </w:rPr>
  </w:style>
  <w:style w:type="character" w:customStyle="1" w:styleId="FooterChar">
    <w:name w:val="Footer Char"/>
    <w:basedOn w:val="DefaultParagraphFont"/>
    <w:uiPriority w:val="99"/>
    <w:rsid w:val="0041102F"/>
    <w:rPr>
      <w:sz w:val="24"/>
      <w:szCs w:val="24"/>
      <w:lang w:val="fr-FR"/>
    </w:rPr>
  </w:style>
  <w:style w:type="character" w:customStyle="1" w:styleId="NumberingSymbols">
    <w:name w:val="Numbering Symbols"/>
    <w:rsid w:val="0041102F"/>
  </w:style>
  <w:style w:type="character" w:customStyle="1" w:styleId="hps">
    <w:name w:val="hps"/>
    <w:basedOn w:val="DefaultParagraphFont"/>
    <w:rsid w:val="0041102F"/>
  </w:style>
  <w:style w:type="character" w:customStyle="1" w:styleId="atn">
    <w:name w:val="atn"/>
    <w:basedOn w:val="DefaultParagraphFont"/>
    <w:rsid w:val="0041102F"/>
  </w:style>
  <w:style w:type="paragraph" w:customStyle="1" w:styleId="Heading">
    <w:name w:val="Heading"/>
    <w:basedOn w:val="Normal"/>
    <w:rsid w:val="0041102F"/>
    <w:pPr>
      <w:keepNext/>
      <w:spacing w:before="240" w:after="120"/>
    </w:pPr>
    <w:rPr>
      <w:rFonts w:ascii="Arial" w:eastAsia="Droid Sans Fallback" w:hAnsi="Arial" w:cs="Lohit Hindi"/>
      <w:sz w:val="28"/>
      <w:szCs w:val="28"/>
    </w:rPr>
  </w:style>
  <w:style w:type="paragraph" w:customStyle="1" w:styleId="TextBody">
    <w:name w:val="Text Body"/>
    <w:basedOn w:val="Normal"/>
    <w:link w:val="BodyTextChar"/>
    <w:rsid w:val="0041102F"/>
    <w:pPr>
      <w:spacing w:after="120" w:line="240" w:lineRule="auto"/>
    </w:pPr>
    <w:rPr>
      <w:rFonts w:eastAsia="Arial Unicode MS"/>
    </w:rPr>
  </w:style>
  <w:style w:type="character" w:customStyle="1" w:styleId="BodyTextChar">
    <w:name w:val="Body Text Char"/>
    <w:basedOn w:val="DefaultParagraphFont"/>
    <w:link w:val="TextBody"/>
    <w:rsid w:val="0041102F"/>
    <w:rPr>
      <w:rFonts w:ascii="Cambria" w:eastAsia="Arial Unicode MS" w:hAnsi="Cambria" w:cs="Times New Roman"/>
      <w:sz w:val="20"/>
      <w:szCs w:val="24"/>
    </w:rPr>
  </w:style>
  <w:style w:type="paragraph" w:customStyle="1" w:styleId="Index">
    <w:name w:val="Index"/>
    <w:basedOn w:val="Normal"/>
    <w:rsid w:val="0041102F"/>
    <w:rPr>
      <w:rFonts w:eastAsia="Times New Roman" w:cs="Lohit Hindi"/>
    </w:rPr>
  </w:style>
  <w:style w:type="paragraph" w:customStyle="1" w:styleId="1Paragraph">
    <w:name w:val="1Paragraph"/>
    <w:qFormat/>
    <w:rsid w:val="0041102F"/>
    <w:pPr>
      <w:tabs>
        <w:tab w:val="left" w:pos="1440"/>
      </w:tabs>
      <w:spacing w:after="200"/>
      <w:ind w:left="720" w:hanging="720"/>
    </w:pPr>
    <w:rPr>
      <w:rFonts w:ascii="Courier 10cpi" w:eastAsia="Times New Roman" w:hAnsi="Courier 10cpi"/>
      <w:sz w:val="20"/>
      <w:szCs w:val="24"/>
    </w:rPr>
  </w:style>
  <w:style w:type="paragraph" w:customStyle="1" w:styleId="TextBodyIndent">
    <w:name w:val="Text Body Indent"/>
    <w:basedOn w:val="Normal"/>
    <w:rsid w:val="0041102F"/>
    <w:pPr>
      <w:tabs>
        <w:tab w:val="left" w:pos="-540"/>
        <w:tab w:val="left" w:pos="360"/>
        <w:tab w:val="left" w:pos="900"/>
        <w:tab w:val="left" w:pos="997"/>
        <w:tab w:val="left" w:pos="1332"/>
      </w:tabs>
      <w:spacing w:line="287" w:lineRule="atLeast"/>
      <w:ind w:left="180"/>
    </w:pPr>
    <w:rPr>
      <w:rFonts w:eastAsia="Times New Roman"/>
    </w:rPr>
  </w:style>
  <w:style w:type="paragraph" w:customStyle="1" w:styleId="Paragraphedeliste">
    <w:name w:val="Paragraphe de liste"/>
    <w:basedOn w:val="Normal"/>
    <w:qFormat/>
    <w:rsid w:val="0041102F"/>
    <w:pPr>
      <w:ind w:left="720"/>
    </w:pPr>
    <w:rPr>
      <w:rFonts w:eastAsia="Calibri"/>
    </w:rPr>
  </w:style>
  <w:style w:type="paragraph" w:customStyle="1" w:styleId="1paragraph0">
    <w:name w:val="1paragraph"/>
    <w:basedOn w:val="Normal"/>
    <w:rsid w:val="0041102F"/>
    <w:pPr>
      <w:spacing w:before="28" w:after="28"/>
    </w:pPr>
    <w:rPr>
      <w:rFonts w:eastAsia="Calibri"/>
    </w:rPr>
  </w:style>
  <w:style w:type="paragraph" w:customStyle="1" w:styleId="Default">
    <w:name w:val="Default"/>
    <w:link w:val="DefaultChar"/>
    <w:qFormat/>
    <w:rsid w:val="0041102F"/>
    <w:pPr>
      <w:spacing w:line="240" w:lineRule="auto"/>
    </w:pPr>
    <w:rPr>
      <w:rFonts w:ascii="Times New Roman" w:eastAsia="Droid Sans Fallback" w:hAnsi="Times New Roman"/>
      <w:color w:val="000000"/>
      <w:sz w:val="24"/>
      <w:szCs w:val="24"/>
    </w:rPr>
  </w:style>
  <w:style w:type="character" w:customStyle="1" w:styleId="DefaultChar">
    <w:name w:val="Default Char"/>
    <w:basedOn w:val="DefaultParagraphFont"/>
    <w:link w:val="Default"/>
    <w:locked/>
    <w:rsid w:val="0041102F"/>
    <w:rPr>
      <w:rFonts w:ascii="Times New Roman" w:eastAsia="Droid Sans Fallback" w:hAnsi="Times New Roman" w:cs="Times New Roman"/>
      <w:color w:val="000000"/>
      <w:sz w:val="24"/>
      <w:szCs w:val="24"/>
    </w:rPr>
  </w:style>
  <w:style w:type="paragraph" w:customStyle="1" w:styleId="a">
    <w:name w:val="內文 + 斜體 + 黑色"/>
    <w:basedOn w:val="Normal"/>
    <w:rsid w:val="0041102F"/>
    <w:pPr>
      <w:spacing w:line="240" w:lineRule="auto"/>
      <w:ind w:left="680" w:right="680"/>
      <w:jc w:val="both"/>
    </w:pPr>
    <w:rPr>
      <w:rFonts w:eastAsia="PMingLiU"/>
      <w:color w:val="000000"/>
      <w:szCs w:val="20"/>
      <w:lang w:eastAsia="zh-TW"/>
    </w:rPr>
  </w:style>
  <w:style w:type="character" w:customStyle="1" w:styleId="fontstyle11">
    <w:name w:val="fontstyle11"/>
    <w:basedOn w:val="DefaultParagraphFont"/>
    <w:rsid w:val="0041102F"/>
    <w:rPr>
      <w:rFonts w:ascii="Cambria" w:hAnsi="Cambria" w:hint="default"/>
      <w:b w:val="0"/>
      <w:bCs w:val="0"/>
      <w:i w:val="0"/>
      <w:iCs w:val="0"/>
      <w:color w:val="000000"/>
      <w:sz w:val="20"/>
      <w:szCs w:val="20"/>
    </w:rPr>
  </w:style>
  <w:style w:type="paragraph" w:customStyle="1" w:styleId="western">
    <w:name w:val="western"/>
    <w:basedOn w:val="Normal"/>
    <w:rsid w:val="0041102F"/>
    <w:pPr>
      <w:spacing w:before="100" w:beforeAutospacing="1" w:line="240" w:lineRule="auto"/>
      <w:jc w:val="center"/>
    </w:pPr>
    <w:rPr>
      <w:rFonts w:ascii="Arial" w:eastAsia="Times New Roman" w:hAnsi="Arial" w:cs="Arial"/>
      <w:b/>
      <w:bCs/>
      <w:color w:val="000000"/>
      <w:szCs w:val="20"/>
      <w:lang w:eastAsia="ru-RU"/>
    </w:rPr>
  </w:style>
  <w:style w:type="table" w:customStyle="1" w:styleId="TableGrid1">
    <w:name w:val="Table Grid1"/>
    <w:basedOn w:val="TableNormal"/>
    <w:next w:val="TableGrid"/>
    <w:uiPriority w:val="59"/>
    <w:rsid w:val="0041102F"/>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1102F"/>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1102F"/>
    <w:pPr>
      <w:spacing w:line="240" w:lineRule="auto"/>
      <w:jc w:val="both"/>
    </w:pPr>
    <w:rPr>
      <w:rFonts w:ascii="Times New Roman" w:eastAsia="Times New Roman" w:hAnsi="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41102F"/>
    <w:pPr>
      <w:spacing w:line="240" w:lineRule="auto"/>
    </w:pPr>
    <w:rPr>
      <w:rFonts w:eastAsia="MS Mincho" w:cs="Arial"/>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1102F"/>
  </w:style>
  <w:style w:type="table" w:customStyle="1" w:styleId="TableGrid3">
    <w:name w:val="Table Grid3"/>
    <w:basedOn w:val="TableNormal"/>
    <w:next w:val="TableGrid"/>
    <w:uiPriority w:val="39"/>
    <w:rsid w:val="0041102F"/>
    <w:pPr>
      <w:spacing w:line="240" w:lineRule="auto"/>
    </w:pPr>
    <w:rPr>
      <w:rFonts w:eastAsia="Calibri"/>
      <w:lang w:eastAsia="es-ES" w:bidi="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unhideWhenUsed/>
    <w:rsid w:val="0041102F"/>
    <w:pPr>
      <w:spacing w:before="100" w:beforeAutospacing="1" w:after="100" w:afterAutospacing="1" w:line="240" w:lineRule="auto"/>
    </w:pPr>
    <w:rPr>
      <w:rFonts w:eastAsia="Calibri"/>
      <w:lang w:eastAsia="es-ES" w:bidi="es-ES"/>
    </w:rPr>
  </w:style>
  <w:style w:type="paragraph" w:styleId="NormalWeb">
    <w:name w:val="Normal (Web)"/>
    <w:basedOn w:val="Normal"/>
    <w:uiPriority w:val="99"/>
    <w:semiHidden/>
    <w:unhideWhenUsed/>
    <w:rsid w:val="0041102F"/>
  </w:style>
  <w:style w:type="paragraph" w:customStyle="1" w:styleId="SidebarText-Professional">
    <w:name w:val="Sidebar Text -Professional"/>
    <w:basedOn w:val="Normal"/>
    <w:uiPriority w:val="99"/>
    <w:rsid w:val="0041102F"/>
    <w:pPr>
      <w:spacing w:after="120" w:line="280" w:lineRule="exact"/>
    </w:pPr>
    <w:rPr>
      <w:rFonts w:ascii="Arial" w:eastAsia="Times New Roman" w:hAnsi="Arial"/>
      <w:sz w:val="18"/>
      <w:szCs w:val="20"/>
      <w:lang w:eastAsia="es-ES" w:bidi="es-ES"/>
    </w:rPr>
  </w:style>
  <w:style w:type="paragraph" w:customStyle="1" w:styleId="TitleandContentLTGliederung1">
    <w:name w:val="Title and Content~LT~Gliederung 1"/>
    <w:rsid w:val="0041102F"/>
    <w:pPr>
      <w:suppressAutoHyphens/>
      <w:spacing w:after="283" w:line="240" w:lineRule="auto"/>
    </w:pPr>
    <w:rPr>
      <w:rFonts w:ascii="FreeSans" w:eastAsia="DejaVu Sans" w:hAnsi="FreeSans" w:cs="Liberation Sans"/>
      <w:color w:val="000000"/>
      <w:sz w:val="64"/>
      <w:szCs w:val="24"/>
      <w:lang w:eastAsia="es-ES" w:bidi="es-ES"/>
    </w:rPr>
  </w:style>
  <w:style w:type="paragraph" w:customStyle="1" w:styleId="TitleandContentLTGliederung2">
    <w:name w:val="Title and Content~LT~Gliederung 2"/>
    <w:basedOn w:val="TitleandContentLTGliederung1"/>
    <w:rsid w:val="0041102F"/>
    <w:pPr>
      <w:spacing w:after="227"/>
    </w:pPr>
    <w:rPr>
      <w:sz w:val="48"/>
    </w:rPr>
  </w:style>
  <w:style w:type="table" w:customStyle="1" w:styleId="LightShading1">
    <w:name w:val="Light Shading1"/>
    <w:basedOn w:val="TableNormal"/>
    <w:next w:val="LightShading"/>
    <w:uiPriority w:val="60"/>
    <w:rsid w:val="0041102F"/>
    <w:pPr>
      <w:spacing w:line="240" w:lineRule="auto"/>
    </w:pPr>
    <w:rPr>
      <w:rFonts w:eastAsia="Calibri"/>
      <w:color w:val="000000"/>
      <w:lang w:eastAsia="es-ES" w:bidi="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41102F"/>
    <w:pPr>
      <w:spacing w:line="240" w:lineRule="auto"/>
    </w:pPr>
    <w:rPr>
      <w:rFonts w:eastAsia="Droid Sans Fallback"/>
      <w:color w:val="000000" w:themeColor="text1" w:themeShade="BF"/>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Accent51">
    <w:name w:val="Light List - Accent 51"/>
    <w:basedOn w:val="TableNormal"/>
    <w:next w:val="LightList-Accent5"/>
    <w:uiPriority w:val="61"/>
    <w:rsid w:val="0041102F"/>
    <w:pPr>
      <w:spacing w:line="240" w:lineRule="auto"/>
    </w:pPr>
    <w:rPr>
      <w:rFonts w:eastAsia="Calibri"/>
      <w:lang w:eastAsia="es-ES" w:bidi="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5">
    <w:name w:val="Light List Accent 5"/>
    <w:basedOn w:val="TableNormal"/>
    <w:uiPriority w:val="61"/>
    <w:semiHidden/>
    <w:unhideWhenUsed/>
    <w:rsid w:val="0041102F"/>
    <w:pPr>
      <w:spacing w:line="240" w:lineRule="auto"/>
    </w:pPr>
    <w:rPr>
      <w:rFonts w:eastAsia="Droid Sans Fallback"/>
      <w:lang w:eastAsia="es-ES"/>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paragraph" w:customStyle="1" w:styleId="Object">
    <w:name w:val="Object"/>
    <w:basedOn w:val="IntenseQuote"/>
    <w:next w:val="Normal"/>
    <w:link w:val="ObjectCar"/>
    <w:qFormat/>
    <w:rsid w:val="0041102F"/>
    <w:pPr>
      <w:pBdr>
        <w:top w:val="none" w:sz="0" w:space="0" w:color="auto"/>
        <w:bottom w:val="single" w:sz="4" w:space="4" w:color="4F81BD"/>
      </w:pBdr>
      <w:spacing w:before="200" w:after="280"/>
      <w:ind w:left="540" w:right="936"/>
      <w:jc w:val="left"/>
    </w:pPr>
    <w:rPr>
      <w:rFonts w:eastAsia="Calibri"/>
      <w:b/>
      <w:bCs/>
      <w:color w:val="4F81BD"/>
      <w:lang w:eastAsia="es-ES"/>
    </w:rPr>
  </w:style>
  <w:style w:type="character" w:customStyle="1" w:styleId="ObjectCar">
    <w:name w:val="Object Car"/>
    <w:basedOn w:val="DefaultParagraphFont"/>
    <w:link w:val="Object"/>
    <w:locked/>
    <w:rsid w:val="0041102F"/>
    <w:rPr>
      <w:rFonts w:ascii="Calibri" w:eastAsia="Calibri" w:hAnsi="Calibri" w:cs="Times New Roman"/>
      <w:b/>
      <w:bCs/>
      <w:i/>
      <w:iCs/>
      <w:color w:val="4F81BD"/>
      <w:lang w:eastAsia="es-ES"/>
    </w:rPr>
  </w:style>
  <w:style w:type="paragraph" w:styleId="IntenseQuote">
    <w:name w:val="Intense Quote"/>
    <w:basedOn w:val="Normal"/>
    <w:next w:val="Normal"/>
    <w:link w:val="IntenseQuoteChar1"/>
    <w:uiPriority w:val="30"/>
    <w:qFormat/>
    <w:rsid w:val="0041102F"/>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1"/>
    <w:uiPriority w:val="30"/>
    <w:rsid w:val="0041102F"/>
    <w:rPr>
      <w:rFonts w:ascii="Calibri" w:eastAsia="Droid Sans Fallback" w:hAnsi="Calibri" w:cs="Times New Roman"/>
      <w:b/>
      <w:bCs/>
      <w:i/>
      <w:iCs/>
      <w:color w:val="4F81BD"/>
      <w:sz w:val="20"/>
      <w:szCs w:val="24"/>
      <w:lang w:eastAsia="es-ES"/>
    </w:rPr>
  </w:style>
  <w:style w:type="paragraph" w:customStyle="1" w:styleId="IntenseQuote1">
    <w:name w:val="Intense Quote1"/>
    <w:basedOn w:val="Normal"/>
    <w:next w:val="Normal"/>
    <w:link w:val="IntenseQuoteChar"/>
    <w:uiPriority w:val="30"/>
    <w:qFormat/>
    <w:rsid w:val="0041102F"/>
    <w:pPr>
      <w:pBdr>
        <w:bottom w:val="single" w:sz="4" w:space="4" w:color="4F81BD"/>
      </w:pBdr>
      <w:spacing w:before="200" w:after="280" w:line="240" w:lineRule="auto"/>
      <w:ind w:left="936" w:right="936"/>
    </w:pPr>
    <w:rPr>
      <w:rFonts w:eastAsia="Droid Sans Fallback"/>
      <w:b/>
      <w:bCs/>
      <w:i/>
      <w:iCs/>
      <w:color w:val="4F81BD"/>
      <w:lang w:eastAsia="es-ES"/>
    </w:rPr>
  </w:style>
  <w:style w:type="paragraph" w:customStyle="1" w:styleId="FirstParagraph">
    <w:name w:val="First Paragraph"/>
    <w:basedOn w:val="BodyText"/>
    <w:qFormat/>
    <w:rsid w:val="0041102F"/>
    <w:pPr>
      <w:suppressAutoHyphens w:val="0"/>
      <w:spacing w:before="180" w:after="180"/>
      <w:jc w:val="left"/>
    </w:pPr>
    <w:rPr>
      <w:rFonts w:ascii="Cambria" w:eastAsia="Cambria" w:hAnsi="Cambria" w:cs="DejaVu Sans"/>
      <w:color w:val="00000A"/>
      <w:lang w:eastAsia="es-ES" w:bidi="es-ES"/>
    </w:rPr>
  </w:style>
  <w:style w:type="paragraph" w:styleId="BodyText">
    <w:name w:val="Body Text"/>
    <w:basedOn w:val="Normal"/>
    <w:link w:val="BodyTextChar1"/>
    <w:rsid w:val="0041102F"/>
    <w:pPr>
      <w:suppressAutoHyphens/>
      <w:spacing w:line="240" w:lineRule="auto"/>
      <w:jc w:val="both"/>
    </w:pPr>
    <w:rPr>
      <w:rFonts w:ascii="Arial" w:hAnsi="Arial" w:cs="Arial"/>
      <w:lang w:eastAsia="ar-SA"/>
    </w:rPr>
  </w:style>
  <w:style w:type="character" w:customStyle="1" w:styleId="BodyTextChar1">
    <w:name w:val="Body Text Char1"/>
    <w:basedOn w:val="DefaultParagraphFont"/>
    <w:link w:val="BodyText"/>
    <w:rsid w:val="0041102F"/>
    <w:rPr>
      <w:rFonts w:ascii="Arial" w:hAnsi="Arial" w:cs="Arial"/>
      <w:sz w:val="20"/>
      <w:szCs w:val="24"/>
      <w:lang w:eastAsia="ar-SA"/>
    </w:rPr>
  </w:style>
  <w:style w:type="paragraph" w:customStyle="1" w:styleId="Standard">
    <w:name w:val="Standard"/>
    <w:rsid w:val="0041102F"/>
    <w:pPr>
      <w:suppressAutoHyphens/>
      <w:autoSpaceDN w:val="0"/>
      <w:spacing w:line="240" w:lineRule="auto"/>
    </w:pPr>
    <w:rPr>
      <w:rFonts w:ascii="Liberation Serif" w:eastAsia="Noto Sans CJK SC Regular" w:hAnsi="Liberation Serif" w:cs="FreeSans"/>
      <w:kern w:val="3"/>
      <w:sz w:val="24"/>
      <w:szCs w:val="24"/>
      <w:lang w:eastAsia="zh-CN" w:bidi="hi-IN"/>
    </w:rPr>
  </w:style>
  <w:style w:type="paragraph" w:customStyle="1" w:styleId="xmsonormal">
    <w:name w:val="x_msonormal"/>
    <w:basedOn w:val="Normal"/>
    <w:rsid w:val="0041102F"/>
    <w:pPr>
      <w:spacing w:line="240" w:lineRule="auto"/>
    </w:pPr>
    <w:rPr>
      <w:rFonts w:eastAsia="Calibri" w:cs="Calibri"/>
      <w:lang w:eastAsia="es-ES"/>
    </w:rPr>
  </w:style>
  <w:style w:type="table" w:customStyle="1" w:styleId="TableGrid22">
    <w:name w:val="Table Grid22"/>
    <w:basedOn w:val="TableNormal"/>
    <w:next w:val="TableGrid"/>
    <w:uiPriority w:val="39"/>
    <w:rsid w:val="0041102F"/>
    <w:pPr>
      <w:spacing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1102F"/>
    <w:pPr>
      <w:spacing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1102F"/>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1102F"/>
    <w:pPr>
      <w:spacing w:line="240" w:lineRule="auto"/>
    </w:pPr>
    <w:rPr>
      <w:rFonts w:ascii="Times New Roman" w:eastAsia="Times New Roman" w:hAnsi="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41102F"/>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1102F"/>
    <w:pPr>
      <w:spacing w:line="240" w:lineRule="auto"/>
    </w:pPr>
    <w:rPr>
      <w:rFonts w:eastAsia="Times New Roman"/>
    </w:rPr>
    <w:tblPr>
      <w:tblCellMar>
        <w:top w:w="0" w:type="dxa"/>
        <w:left w:w="0" w:type="dxa"/>
        <w:bottom w:w="0" w:type="dxa"/>
        <w:right w:w="0" w:type="dxa"/>
      </w:tblCellMar>
    </w:tblPr>
  </w:style>
  <w:style w:type="table" w:customStyle="1" w:styleId="TableGrid10">
    <w:name w:val="TableGrid1"/>
    <w:rsid w:val="0041102F"/>
    <w:pPr>
      <w:spacing w:line="240" w:lineRule="auto"/>
    </w:pPr>
    <w:rPr>
      <w:rFonts w:eastAsia="Times New Roman"/>
    </w:rPr>
    <w:tblPr>
      <w:tblCellMar>
        <w:top w:w="0" w:type="dxa"/>
        <w:left w:w="0" w:type="dxa"/>
        <w:bottom w:w="0" w:type="dxa"/>
        <w:right w:w="0" w:type="dxa"/>
      </w:tblCellMar>
    </w:tblPr>
  </w:style>
  <w:style w:type="paragraph" w:customStyle="1" w:styleId="TableParagraph">
    <w:name w:val="Table Paragraph"/>
    <w:basedOn w:val="Normal"/>
    <w:uiPriority w:val="1"/>
    <w:qFormat/>
    <w:rsid w:val="0041102F"/>
    <w:pPr>
      <w:widowControl w:val="0"/>
      <w:spacing w:line="240" w:lineRule="auto"/>
    </w:pPr>
    <w:rPr>
      <w:rFonts w:eastAsia="Calibri"/>
    </w:rPr>
  </w:style>
  <w:style w:type="character" w:customStyle="1" w:styleId="Heading1Char">
    <w:name w:val="Heading 1 Char"/>
    <w:basedOn w:val="DefaultParagraphFont"/>
    <w:link w:val="Heading1"/>
    <w:rsid w:val="0041102F"/>
    <w:rPr>
      <w:rFonts w:ascii="Cambria" w:eastAsia="Times New Roman" w:hAnsi="Cambria" w:cs="Times New Roman"/>
      <w:b/>
      <w:sz w:val="20"/>
      <w:szCs w:val="24"/>
    </w:rPr>
  </w:style>
  <w:style w:type="character" w:customStyle="1" w:styleId="Heading2Char">
    <w:name w:val="Heading 2 Char"/>
    <w:basedOn w:val="DefaultParagraphFont"/>
    <w:link w:val="Heading2"/>
    <w:qFormat/>
    <w:rsid w:val="0041102F"/>
    <w:rPr>
      <w:rFonts w:ascii="Cambria" w:eastAsia="Times New Roman" w:hAnsi="Cambria" w:cs="Times New Roman"/>
      <w:b/>
      <w:szCs w:val="24"/>
    </w:rPr>
  </w:style>
  <w:style w:type="character" w:customStyle="1" w:styleId="Heading3Char">
    <w:name w:val="Heading 3 Char"/>
    <w:basedOn w:val="DefaultParagraphFont"/>
    <w:link w:val="Heading3"/>
    <w:rsid w:val="0041102F"/>
    <w:rPr>
      <w:rFonts w:ascii="Cambria" w:eastAsia="Times New Roman" w:hAnsi="Cambria" w:cs="Times New Roman"/>
      <w:b/>
    </w:rPr>
  </w:style>
  <w:style w:type="paragraph" w:styleId="FootnoteText">
    <w:name w:val="footnote text"/>
    <w:basedOn w:val="Normal"/>
    <w:link w:val="FootnoteTextChar1"/>
    <w:qFormat/>
    <w:rsid w:val="0041102F"/>
    <w:rPr>
      <w:rFonts w:eastAsia="Times New Roman"/>
      <w:szCs w:val="20"/>
    </w:rPr>
  </w:style>
  <w:style w:type="character" w:customStyle="1" w:styleId="FootnoteTextChar1">
    <w:name w:val="Footnote Text Char1"/>
    <w:basedOn w:val="DefaultParagraphFont"/>
    <w:link w:val="FootnoteText"/>
    <w:uiPriority w:val="99"/>
    <w:rsid w:val="0041102F"/>
    <w:rPr>
      <w:rFonts w:ascii="Cambria" w:eastAsia="Times New Roman" w:hAnsi="Cambria" w:cs="Times New Roman"/>
      <w:sz w:val="20"/>
      <w:szCs w:val="20"/>
    </w:rPr>
  </w:style>
  <w:style w:type="paragraph" w:styleId="CommentText">
    <w:name w:val="annotation text"/>
    <w:basedOn w:val="Normal"/>
    <w:link w:val="CommentTextChar"/>
    <w:uiPriority w:val="99"/>
    <w:rsid w:val="0041102F"/>
    <w:rPr>
      <w:rFonts w:eastAsia="Times New Roman"/>
      <w:szCs w:val="20"/>
    </w:rPr>
  </w:style>
  <w:style w:type="character" w:customStyle="1" w:styleId="CommentTextChar">
    <w:name w:val="Comment Text Char"/>
    <w:basedOn w:val="DefaultParagraphFont"/>
    <w:link w:val="CommentText"/>
    <w:uiPriority w:val="99"/>
    <w:rsid w:val="0041102F"/>
    <w:rPr>
      <w:rFonts w:ascii="Cambria" w:eastAsia="Times New Roman" w:hAnsi="Cambria" w:cs="Times New Roman"/>
      <w:sz w:val="20"/>
      <w:szCs w:val="20"/>
    </w:rPr>
  </w:style>
  <w:style w:type="paragraph" w:styleId="Header">
    <w:name w:val="header"/>
    <w:basedOn w:val="Normal"/>
    <w:link w:val="HeaderChar1"/>
    <w:uiPriority w:val="99"/>
    <w:rsid w:val="0041102F"/>
    <w:pPr>
      <w:tabs>
        <w:tab w:val="center" w:pos="4320"/>
        <w:tab w:val="right" w:pos="8640"/>
      </w:tabs>
    </w:pPr>
    <w:rPr>
      <w:rFonts w:eastAsia="Times New Roman"/>
    </w:rPr>
  </w:style>
  <w:style w:type="character" w:customStyle="1" w:styleId="HeaderChar1">
    <w:name w:val="Header Char1"/>
    <w:basedOn w:val="DefaultParagraphFont"/>
    <w:link w:val="Header"/>
    <w:uiPriority w:val="99"/>
    <w:rsid w:val="0041102F"/>
    <w:rPr>
      <w:rFonts w:ascii="Cambria" w:eastAsia="Times New Roman" w:hAnsi="Cambria" w:cs="Times New Roman"/>
      <w:sz w:val="20"/>
      <w:szCs w:val="24"/>
    </w:rPr>
  </w:style>
  <w:style w:type="paragraph" w:styleId="Footer">
    <w:name w:val="footer"/>
    <w:basedOn w:val="Normal"/>
    <w:link w:val="FooterChar1"/>
    <w:uiPriority w:val="99"/>
    <w:rsid w:val="0041102F"/>
    <w:pPr>
      <w:tabs>
        <w:tab w:val="center" w:pos="4320"/>
        <w:tab w:val="right" w:pos="8640"/>
      </w:tabs>
    </w:pPr>
    <w:rPr>
      <w:rFonts w:eastAsia="Times New Roman"/>
    </w:rPr>
  </w:style>
  <w:style w:type="character" w:customStyle="1" w:styleId="FooterChar1">
    <w:name w:val="Footer Char1"/>
    <w:basedOn w:val="DefaultParagraphFont"/>
    <w:link w:val="Footer"/>
    <w:uiPriority w:val="99"/>
    <w:rsid w:val="0041102F"/>
    <w:rPr>
      <w:rFonts w:ascii="Cambria" w:eastAsia="Times New Roman" w:hAnsi="Cambria" w:cs="Times New Roman"/>
      <w:sz w:val="20"/>
      <w:szCs w:val="24"/>
    </w:rPr>
  </w:style>
  <w:style w:type="paragraph" w:styleId="Caption">
    <w:name w:val="caption"/>
    <w:basedOn w:val="Normal"/>
    <w:rsid w:val="0041102F"/>
    <w:pPr>
      <w:spacing w:before="120" w:after="120"/>
    </w:pPr>
    <w:rPr>
      <w:rFonts w:eastAsia="Times New Roman" w:cs="Lohit Hindi"/>
      <w:i/>
    </w:rPr>
  </w:style>
  <w:style w:type="character" w:styleId="FootnoteReference">
    <w:name w:val="footnote reference"/>
    <w:basedOn w:val="DefaultParagraphFont"/>
    <w:rsid w:val="0041102F"/>
    <w:rPr>
      <w:vertAlign w:val="superscript"/>
    </w:rPr>
  </w:style>
  <w:style w:type="character" w:styleId="CommentReference">
    <w:name w:val="annotation reference"/>
    <w:basedOn w:val="DefaultParagraphFont"/>
    <w:uiPriority w:val="99"/>
    <w:rsid w:val="0041102F"/>
    <w:rPr>
      <w:sz w:val="16"/>
      <w:szCs w:val="16"/>
    </w:rPr>
  </w:style>
  <w:style w:type="character" w:styleId="LineNumber">
    <w:name w:val="line number"/>
    <w:basedOn w:val="DefaultParagraphFont"/>
    <w:uiPriority w:val="99"/>
    <w:semiHidden/>
    <w:unhideWhenUsed/>
    <w:rsid w:val="0041102F"/>
  </w:style>
  <w:style w:type="character" w:styleId="PageNumber">
    <w:name w:val="page number"/>
    <w:basedOn w:val="DefaultParagraphFont"/>
    <w:rsid w:val="0041102F"/>
  </w:style>
  <w:style w:type="character" w:styleId="EndnoteReference">
    <w:name w:val="endnote reference"/>
    <w:basedOn w:val="DefaultParagraphFont"/>
    <w:rsid w:val="0041102F"/>
    <w:rPr>
      <w:vertAlign w:val="superscript"/>
    </w:rPr>
  </w:style>
  <w:style w:type="paragraph" w:styleId="EndnoteText">
    <w:name w:val="endnote text"/>
    <w:basedOn w:val="Normal"/>
    <w:link w:val="EndnoteTextChar1"/>
    <w:rsid w:val="0041102F"/>
    <w:rPr>
      <w:rFonts w:eastAsia="Times New Roman"/>
      <w:szCs w:val="20"/>
    </w:rPr>
  </w:style>
  <w:style w:type="character" w:customStyle="1" w:styleId="EndnoteTextChar1">
    <w:name w:val="Endnote Text Char1"/>
    <w:basedOn w:val="DefaultParagraphFont"/>
    <w:link w:val="EndnoteText"/>
    <w:rsid w:val="0041102F"/>
    <w:rPr>
      <w:rFonts w:ascii="Cambria" w:eastAsia="Times New Roman" w:hAnsi="Cambria" w:cs="Times New Roman"/>
      <w:sz w:val="20"/>
      <w:szCs w:val="20"/>
    </w:rPr>
  </w:style>
  <w:style w:type="paragraph" w:styleId="List">
    <w:name w:val="List"/>
    <w:basedOn w:val="TextBody"/>
    <w:rsid w:val="0041102F"/>
    <w:rPr>
      <w:rFonts w:cs="Lohit Hindi"/>
    </w:rPr>
  </w:style>
  <w:style w:type="paragraph" w:styleId="BodyTextIndent">
    <w:name w:val="Body Text Indent"/>
    <w:basedOn w:val="Normal"/>
    <w:link w:val="BodyTextIndentChar"/>
    <w:rsid w:val="0041102F"/>
    <w:pPr>
      <w:tabs>
        <w:tab w:val="left" w:pos="-720"/>
        <w:tab w:val="left" w:pos="180"/>
        <w:tab w:val="left" w:pos="720"/>
        <w:tab w:val="left" w:pos="817"/>
        <w:tab w:val="left" w:pos="1152"/>
      </w:tabs>
      <w:spacing w:line="287" w:lineRule="atLeast"/>
      <w:ind w:left="180"/>
    </w:pPr>
    <w:rPr>
      <w:rFonts w:eastAsia="Times New Roman"/>
      <w:lang w:eastAsia="es-ES" w:bidi="es-ES"/>
    </w:rPr>
  </w:style>
  <w:style w:type="character" w:customStyle="1" w:styleId="BodyTextIndentChar">
    <w:name w:val="Body Text Indent Char"/>
    <w:basedOn w:val="DefaultParagraphFont"/>
    <w:link w:val="BodyTextIndent"/>
    <w:rsid w:val="0041102F"/>
    <w:rPr>
      <w:rFonts w:ascii="Cambria" w:eastAsia="Times New Roman" w:hAnsi="Cambria" w:cs="Times New Roman"/>
      <w:lang w:eastAsia="es-ES" w:bidi="es-ES"/>
    </w:rPr>
  </w:style>
  <w:style w:type="paragraph" w:styleId="BodyTextIndent2">
    <w:name w:val="Body Text Indent 2"/>
    <w:basedOn w:val="Normal"/>
    <w:link w:val="BodyTextIndent2Char"/>
    <w:rsid w:val="0041102F"/>
    <w:pPr>
      <w:tabs>
        <w:tab w:val="left" w:pos="-1440"/>
      </w:tabs>
      <w:spacing w:line="360" w:lineRule="auto"/>
      <w:ind w:firstLine="720"/>
      <w:jc w:val="both"/>
    </w:pPr>
    <w:rPr>
      <w:rFonts w:eastAsia="Times New Roman"/>
      <w:lang w:eastAsia="es-ES" w:bidi="es-ES"/>
    </w:rPr>
  </w:style>
  <w:style w:type="character" w:customStyle="1" w:styleId="BodyTextIndent2Char">
    <w:name w:val="Body Text Indent 2 Char"/>
    <w:basedOn w:val="DefaultParagraphFont"/>
    <w:link w:val="BodyTextIndent2"/>
    <w:rsid w:val="0041102F"/>
    <w:rPr>
      <w:rFonts w:ascii="Cambria" w:eastAsia="Times New Roman" w:hAnsi="Cambria" w:cs="Times New Roman"/>
      <w:sz w:val="20"/>
      <w:lang w:eastAsia="es-ES" w:bidi="es-ES"/>
    </w:rPr>
  </w:style>
  <w:style w:type="character" w:styleId="FollowedHyperlink">
    <w:name w:val="FollowedHyperlink"/>
    <w:basedOn w:val="DefaultParagraphFont"/>
    <w:semiHidden/>
    <w:unhideWhenUsed/>
    <w:qFormat/>
    <w:rsid w:val="00870106"/>
    <w:rPr>
      <w:color w:val="0070C0"/>
      <w:u w:val="none"/>
    </w:rPr>
  </w:style>
  <w:style w:type="paragraph" w:styleId="PlainText">
    <w:name w:val="Plain Text"/>
    <w:basedOn w:val="Normal"/>
    <w:link w:val="PlainTextChar1"/>
    <w:uiPriority w:val="99"/>
    <w:rsid w:val="0041102F"/>
    <w:rPr>
      <w:rFonts w:ascii="Consolas" w:eastAsia="Calibri" w:hAnsi="Consolas"/>
      <w:sz w:val="21"/>
      <w:szCs w:val="21"/>
    </w:rPr>
  </w:style>
  <w:style w:type="character" w:customStyle="1" w:styleId="PlainTextChar1">
    <w:name w:val="Plain Text Char1"/>
    <w:basedOn w:val="DefaultParagraphFont"/>
    <w:link w:val="PlainText"/>
    <w:uiPriority w:val="99"/>
    <w:rsid w:val="0041102F"/>
    <w:rPr>
      <w:rFonts w:ascii="Consolas" w:eastAsia="Calibri" w:hAnsi="Consolas" w:cs="Times New Roman"/>
      <w:sz w:val="21"/>
      <w:szCs w:val="21"/>
    </w:rPr>
  </w:style>
  <w:style w:type="paragraph" w:styleId="HTMLPreformatted">
    <w:name w:val="HTML Preformatted"/>
    <w:basedOn w:val="Normal"/>
    <w:link w:val="HTMLPreformattedChar1"/>
    <w:uiPriority w:val="99"/>
    <w:rsid w:val="00411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rPr>
  </w:style>
  <w:style w:type="character" w:customStyle="1" w:styleId="HTMLPreformattedChar1">
    <w:name w:val="HTML Preformatted Char1"/>
    <w:basedOn w:val="DefaultParagraphFont"/>
    <w:link w:val="HTMLPreformatted"/>
    <w:uiPriority w:val="99"/>
    <w:rsid w:val="0041102F"/>
    <w:rPr>
      <w:rFonts w:ascii="Courier New" w:eastAsia="Times New Roman" w:hAnsi="Courier New" w:cs="Courier New"/>
      <w:sz w:val="20"/>
      <w:szCs w:val="20"/>
    </w:rPr>
  </w:style>
  <w:style w:type="paragraph" w:styleId="CommentSubject">
    <w:name w:val="annotation subject"/>
    <w:basedOn w:val="CommentText"/>
    <w:link w:val="CommentSubjectChar"/>
    <w:rsid w:val="0041102F"/>
    <w:rPr>
      <w:b/>
    </w:rPr>
  </w:style>
  <w:style w:type="character" w:customStyle="1" w:styleId="CommentSubjectChar">
    <w:name w:val="Comment Subject Char"/>
    <w:basedOn w:val="CommentTextChar"/>
    <w:link w:val="CommentSubject"/>
    <w:rsid w:val="0041102F"/>
    <w:rPr>
      <w:rFonts w:ascii="Cambria" w:eastAsia="Times New Roman" w:hAnsi="Cambria" w:cs="Times New Roman"/>
      <w:b/>
      <w:sz w:val="20"/>
      <w:szCs w:val="20"/>
    </w:rPr>
  </w:style>
  <w:style w:type="paragraph" w:styleId="BalloonText">
    <w:name w:val="Balloon Text"/>
    <w:basedOn w:val="Normal"/>
    <w:link w:val="BalloonTextChar"/>
    <w:rsid w:val="0041102F"/>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1102F"/>
    <w:rPr>
      <w:rFonts w:ascii="Tahoma" w:eastAsia="Times New Roman" w:hAnsi="Tahoma" w:cs="Tahoma"/>
      <w:sz w:val="16"/>
      <w:szCs w:val="16"/>
    </w:rPr>
  </w:style>
  <w:style w:type="paragraph" w:styleId="NoSpacing">
    <w:name w:val="No Spacing"/>
    <w:uiPriority w:val="1"/>
    <w:qFormat/>
    <w:rsid w:val="0041102F"/>
    <w:pPr>
      <w:spacing w:line="240" w:lineRule="auto"/>
    </w:pPr>
    <w:rPr>
      <w:rFonts w:eastAsia="Calibri"/>
      <w:lang w:eastAsia="es-ES" w:bidi="es-ES"/>
    </w:rPr>
  </w:style>
  <w:style w:type="paragraph" w:styleId="ListParagraph">
    <w:name w:val="List Paragraph"/>
    <w:basedOn w:val="Normal"/>
    <w:uiPriority w:val="34"/>
    <w:qFormat/>
    <w:rsid w:val="0041102F"/>
    <w:pPr>
      <w:ind w:left="720"/>
    </w:pPr>
    <w:rPr>
      <w:rFonts w:eastAsia="Calibri"/>
    </w:rPr>
  </w:style>
  <w:style w:type="character" w:customStyle="1" w:styleId="IntenseQuoteChar1">
    <w:name w:val="Intense Quote Char1"/>
    <w:basedOn w:val="DefaultParagraphFont"/>
    <w:link w:val="IntenseQuote"/>
    <w:uiPriority w:val="30"/>
    <w:rsid w:val="0041102F"/>
    <w:rPr>
      <w:rFonts w:ascii="Cambria" w:hAnsi="Cambria"/>
      <w:i/>
      <w:iCs/>
      <w:color w:val="156082" w:themeColor="accent1"/>
      <w:sz w:val="20"/>
      <w:szCs w:val="24"/>
    </w:rPr>
  </w:style>
  <w:style w:type="character" w:styleId="UnresolvedMention">
    <w:name w:val="Unresolved Mention"/>
    <w:basedOn w:val="DefaultParagraphFont"/>
    <w:uiPriority w:val="99"/>
    <w:semiHidden/>
    <w:unhideWhenUsed/>
    <w:rsid w:val="0041102F"/>
    <w:rPr>
      <w:color w:val="605E5C"/>
      <w:shd w:val="clear" w:color="auto" w:fill="E1DFDD"/>
    </w:rPr>
  </w:style>
  <w:style w:type="paragraph" w:customStyle="1" w:styleId="ICCATinformes">
    <w:name w:val="ICCAT_informes"/>
    <w:basedOn w:val="Normal"/>
    <w:link w:val="ICCATinformesChar"/>
    <w:qFormat/>
    <w:rsid w:val="00683F29"/>
    <w:pPr>
      <w:spacing w:line="240" w:lineRule="auto"/>
      <w:jc w:val="both"/>
    </w:pPr>
    <w:rPr>
      <w:rFonts w:ascii="Cambria" w:eastAsia="Aptos" w:hAnsi="Cambria"/>
      <w:sz w:val="20"/>
    </w:rPr>
  </w:style>
  <w:style w:type="character" w:customStyle="1" w:styleId="ICCATinformesChar">
    <w:name w:val="ICCAT_informes Char"/>
    <w:basedOn w:val="DefaultParagraphFont"/>
    <w:link w:val="ICCATinformes"/>
    <w:rsid w:val="00683F29"/>
    <w:rPr>
      <w:rFonts w:ascii="Cambria" w:eastAsia="Aptos" w:hAnsi="Cambria"/>
      <w:sz w:val="20"/>
    </w:rPr>
  </w:style>
  <w:style w:type="character" w:customStyle="1" w:styleId="Heading4Char">
    <w:name w:val="Heading 4 Char"/>
    <w:basedOn w:val="DefaultParagraphFont"/>
    <w:link w:val="Heading4"/>
    <w:uiPriority w:val="9"/>
    <w:semiHidden/>
    <w:rsid w:val="0035608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5608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5608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5608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5608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5608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56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0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08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08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560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6084"/>
    <w:rPr>
      <w:i/>
      <w:iCs/>
      <w:color w:val="404040" w:themeColor="text1" w:themeTint="BF"/>
    </w:rPr>
  </w:style>
  <w:style w:type="character" w:styleId="IntenseEmphasis">
    <w:name w:val="Intense Emphasis"/>
    <w:basedOn w:val="DefaultParagraphFont"/>
    <w:uiPriority w:val="21"/>
    <w:qFormat/>
    <w:rsid w:val="00356084"/>
    <w:rPr>
      <w:i/>
      <w:iCs/>
      <w:color w:val="0F4761" w:themeColor="accent1" w:themeShade="BF"/>
    </w:rPr>
  </w:style>
  <w:style w:type="character" w:styleId="IntenseReference">
    <w:name w:val="Intense Reference"/>
    <w:basedOn w:val="DefaultParagraphFont"/>
    <w:uiPriority w:val="32"/>
    <w:qFormat/>
    <w:rsid w:val="00356084"/>
    <w:rPr>
      <w:b/>
      <w:bCs/>
      <w:smallCaps/>
      <w:color w:val="0F4761" w:themeColor="accent1" w:themeShade="BF"/>
      <w:spacing w:val="5"/>
    </w:rPr>
  </w:style>
  <w:style w:type="numbering" w:customStyle="1" w:styleId="NoList2">
    <w:name w:val="No List2"/>
    <w:next w:val="NoList"/>
    <w:uiPriority w:val="99"/>
    <w:semiHidden/>
    <w:unhideWhenUsed/>
    <w:rsid w:val="00356084"/>
  </w:style>
  <w:style w:type="paragraph" w:customStyle="1" w:styleId="Style2">
    <w:name w:val="Style 2"/>
    <w:basedOn w:val="Normal"/>
    <w:rsid w:val="00356084"/>
    <w:pPr>
      <w:widowControl w:val="0"/>
      <w:autoSpaceDE w:val="0"/>
      <w:autoSpaceDN w:val="0"/>
      <w:spacing w:line="240" w:lineRule="auto"/>
      <w:jc w:val="center"/>
    </w:pPr>
    <w:rPr>
      <w:rFonts w:ascii="Times New Roman" w:eastAsia="Times New Roman" w:hAnsi="Times New Roman"/>
      <w:kern w:val="0"/>
      <w:sz w:val="24"/>
      <w:szCs w:val="24"/>
      <w:lang w:eastAsia="es-ES"/>
      <w14:ligatures w14:val="none"/>
    </w:rPr>
  </w:style>
  <w:style w:type="paragraph" w:styleId="BodyText2">
    <w:name w:val="Body Text 2"/>
    <w:basedOn w:val="Normal"/>
    <w:link w:val="BodyText2Char"/>
    <w:rsid w:val="00356084"/>
    <w:pPr>
      <w:spacing w:line="240" w:lineRule="auto"/>
    </w:pPr>
    <w:rPr>
      <w:rFonts w:ascii="Times New Roman" w:eastAsia="Times New Roman" w:hAnsi="Times New Roman"/>
      <w:b/>
      <w:bCs/>
      <w:kern w:val="0"/>
      <w:sz w:val="20"/>
      <w:szCs w:val="24"/>
      <w14:ligatures w14:val="none"/>
    </w:rPr>
  </w:style>
  <w:style w:type="character" w:customStyle="1" w:styleId="BodyText2Char">
    <w:name w:val="Body Text 2 Char"/>
    <w:basedOn w:val="DefaultParagraphFont"/>
    <w:link w:val="BodyText2"/>
    <w:rsid w:val="00356084"/>
    <w:rPr>
      <w:rFonts w:ascii="Times New Roman" w:eastAsia="Times New Roman" w:hAnsi="Times New Roman"/>
      <w:b/>
      <w:bCs/>
      <w:kern w:val="0"/>
      <w:sz w:val="20"/>
      <w:szCs w:val="24"/>
      <w:lang w:val="fr-FR"/>
      <w14:ligatures w14:val="none"/>
    </w:rPr>
  </w:style>
  <w:style w:type="paragraph" w:styleId="BodyTextIndent3">
    <w:name w:val="Body Text Indent 3"/>
    <w:basedOn w:val="Normal"/>
    <w:link w:val="BodyTextIndent3Char"/>
    <w:rsid w:val="00356084"/>
    <w:pPr>
      <w:widowControl w:val="0"/>
      <w:tabs>
        <w:tab w:val="left" w:pos="1276"/>
        <w:tab w:val="left" w:pos="1418"/>
        <w:tab w:val="left" w:leader="dot" w:pos="8222"/>
        <w:tab w:val="right" w:pos="8647"/>
      </w:tabs>
      <w:autoSpaceDE w:val="0"/>
      <w:autoSpaceDN w:val="0"/>
      <w:adjustRightInd w:val="0"/>
      <w:spacing w:line="240" w:lineRule="auto"/>
      <w:ind w:left="508"/>
    </w:pPr>
    <w:rPr>
      <w:rFonts w:ascii="Times New Roman" w:eastAsia="Times New Roman" w:hAnsi="Times New Roman"/>
      <w:kern w:val="0"/>
      <w:sz w:val="20"/>
      <w:szCs w:val="20"/>
      <w14:ligatures w14:val="none"/>
    </w:rPr>
  </w:style>
  <w:style w:type="character" w:customStyle="1" w:styleId="BodyTextIndent3Char">
    <w:name w:val="Body Text Indent 3 Char"/>
    <w:basedOn w:val="DefaultParagraphFont"/>
    <w:link w:val="BodyTextIndent3"/>
    <w:rsid w:val="00356084"/>
    <w:rPr>
      <w:rFonts w:ascii="Times New Roman" w:eastAsia="Times New Roman" w:hAnsi="Times New Roman"/>
      <w:kern w:val="0"/>
      <w:sz w:val="20"/>
      <w:szCs w:val="20"/>
      <w:lang w:val="fr-FR"/>
      <w14:ligatures w14:val="none"/>
    </w:rPr>
  </w:style>
  <w:style w:type="paragraph" w:customStyle="1" w:styleId="TITLEREC">
    <w:name w:val="TITLE REC"/>
    <w:basedOn w:val="Normal"/>
    <w:rsid w:val="00356084"/>
    <w:pPr>
      <w:pBdr>
        <w:top w:val="double" w:sz="6" w:space="6" w:color="auto"/>
        <w:left w:val="double" w:sz="6" w:space="0" w:color="auto"/>
        <w:bottom w:val="double" w:sz="6" w:space="6" w:color="auto"/>
        <w:right w:val="double" w:sz="6" w:space="0" w:color="auto"/>
      </w:pBdr>
      <w:tabs>
        <w:tab w:val="right" w:pos="8902"/>
      </w:tabs>
      <w:spacing w:line="240" w:lineRule="auto"/>
      <w:jc w:val="center"/>
    </w:pPr>
    <w:rPr>
      <w:rFonts w:ascii="Times New Roman" w:eastAsia="Times New Roman" w:hAnsi="Times New Roman"/>
      <w:b/>
      <w:bCs/>
      <w:kern w:val="0"/>
      <w:sz w:val="20"/>
      <w:szCs w:val="24"/>
      <w14:ligatures w14:val="none"/>
    </w:rPr>
  </w:style>
  <w:style w:type="table" w:customStyle="1" w:styleId="TableGrid4">
    <w:name w:val="Table Grid4"/>
    <w:basedOn w:val="TableNormal"/>
    <w:next w:val="TableGrid"/>
    <w:uiPriority w:val="59"/>
    <w:rsid w:val="00356084"/>
    <w:pPr>
      <w:spacing w:line="240" w:lineRule="auto"/>
    </w:pPr>
    <w:rPr>
      <w:rFonts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56084"/>
    <w:rPr>
      <w:color w:val="605E5C"/>
      <w:shd w:val="clear" w:color="auto" w:fill="E1DFDD"/>
    </w:rPr>
  </w:style>
  <w:style w:type="paragraph" w:customStyle="1" w:styleId="wordsection1">
    <w:name w:val="wordsection1"/>
    <w:basedOn w:val="Normal"/>
    <w:uiPriority w:val="99"/>
    <w:rsid w:val="00356084"/>
    <w:pPr>
      <w:spacing w:before="100" w:beforeAutospacing="1" w:after="100" w:afterAutospacing="1" w:line="240" w:lineRule="auto"/>
    </w:pPr>
    <w:rPr>
      <w:rFonts w:cs="Calibri"/>
      <w:kern w:val="0"/>
      <w:lang w:eastAsia="es-ES"/>
      <w14:ligatures w14:val="none"/>
    </w:rPr>
  </w:style>
  <w:style w:type="character" w:customStyle="1" w:styleId="UnresolvedMention2">
    <w:name w:val="Unresolved Mention2"/>
    <w:basedOn w:val="DefaultParagraphFont"/>
    <w:uiPriority w:val="99"/>
    <w:semiHidden/>
    <w:unhideWhenUsed/>
    <w:rsid w:val="00356084"/>
    <w:rPr>
      <w:color w:val="605E5C"/>
      <w:shd w:val="clear" w:color="auto" w:fill="E1DFDD"/>
    </w:rPr>
  </w:style>
  <w:style w:type="paragraph" w:styleId="Revision">
    <w:name w:val="Revision"/>
    <w:hidden/>
    <w:uiPriority w:val="99"/>
    <w:semiHidden/>
    <w:rsid w:val="00356084"/>
    <w:pPr>
      <w:spacing w:line="240" w:lineRule="auto"/>
    </w:pPr>
    <w:rPr>
      <w:rFonts w:ascii="Times New Roman" w:eastAsia="Times New Roman" w:hAnsi="Times New Roman"/>
      <w:kern w:val="0"/>
      <w:sz w:val="20"/>
      <w:szCs w:val="20"/>
      <w14:ligatures w14:val="none"/>
    </w:rPr>
  </w:style>
  <w:style w:type="character" w:customStyle="1" w:styleId="p-element">
    <w:name w:val="p-element"/>
    <w:basedOn w:val="DefaultParagraphFont"/>
    <w:rsid w:val="00356084"/>
  </w:style>
  <w:style w:type="character" w:customStyle="1" w:styleId="ui-provider">
    <w:name w:val="ui-provider"/>
    <w:basedOn w:val="DefaultParagraphFont"/>
    <w:rsid w:val="00356084"/>
  </w:style>
  <w:style w:type="character" w:styleId="Strong">
    <w:name w:val="Strong"/>
    <w:basedOn w:val="DefaultParagraphFont"/>
    <w:uiPriority w:val="22"/>
    <w:qFormat/>
    <w:rsid w:val="003560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734913">
      <w:bodyDiv w:val="1"/>
      <w:marLeft w:val="0"/>
      <w:marRight w:val="0"/>
      <w:marTop w:val="0"/>
      <w:marBottom w:val="0"/>
      <w:divBdr>
        <w:top w:val="none" w:sz="0" w:space="0" w:color="auto"/>
        <w:left w:val="none" w:sz="0" w:space="0" w:color="auto"/>
        <w:bottom w:val="none" w:sz="0" w:space="0" w:color="auto"/>
        <w:right w:val="none" w:sz="0" w:space="0" w:color="auto"/>
      </w:divBdr>
    </w:div>
    <w:div w:id="109741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cat.int/fr/VesselsRecord.asp" TargetMode="External"/><Relationship Id="rId18" Type="http://schemas.openxmlformats.org/officeDocument/2006/relationships/hyperlink" Target="https://www.iccat.int/FR/JFO.asp" TargetMode="External"/><Relationship Id="rId26" Type="http://schemas.openxmlformats.org/officeDocument/2006/relationships/header" Target="header1.xml"/><Relationship Id="rId39" Type="http://schemas.openxmlformats.org/officeDocument/2006/relationships/hyperlink" Target="https://www.iccat.int/Documents/Comply/Guidelines_FRA.pdf" TargetMode="External"/><Relationship Id="rId21" Type="http://schemas.openxmlformats.org/officeDocument/2006/relationships/hyperlink" Target="https://www.iccat.int/fr/Ports.asp" TargetMode="External"/><Relationship Id="rId34" Type="http://schemas.openxmlformats.org/officeDocument/2006/relationships/hyperlink" Target="https://www.iccat.int/fr/VExchange.html"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ccat.int/fr/VesselsRecord.asp" TargetMode="External"/><Relationship Id="rId20" Type="http://schemas.openxmlformats.org/officeDocument/2006/relationships/hyperlink" Target="https://www.iccat.int/fr/Ports.asp" TargetMode="External"/><Relationship Id="rId29" Type="http://schemas.openxmlformats.org/officeDocument/2006/relationships/hyperlink" Target="https://www.iccat.int/fr/portinspection.html"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fr/Ports.asp" TargetMode="External"/><Relationship Id="rId24" Type="http://schemas.openxmlformats.org/officeDocument/2006/relationships/hyperlink" Target="https://www.iccat.int/Documents/Recs/compendiopdf-f/2019-06-f.pdf" TargetMode="External"/><Relationship Id="rId32" Type="http://schemas.openxmlformats.org/officeDocument/2006/relationships/hyperlink" Target="https://www.iccat.int/fr/VesselsRecord.asp" TargetMode="External"/><Relationship Id="rId37" Type="http://schemas.openxmlformats.org/officeDocument/2006/relationships/hyperlink" Target="https://www.iccat.int/fr/eBCDprog.asp"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iccat.int/fr/VesselsRecord.asp" TargetMode="External"/><Relationship Id="rId23" Type="http://schemas.openxmlformats.org/officeDocument/2006/relationships/hyperlink" Target="https://www.iccat.int/Documents/Recs/compendiopdf-f/2019-05-f.pdf" TargetMode="External"/><Relationship Id="rId28" Type="http://schemas.openxmlformats.org/officeDocument/2006/relationships/hyperlink" Target="https://www.fao.org/fishery/fr/publications/92760" TargetMode="External"/><Relationship Id="rId36" Type="http://schemas.openxmlformats.org/officeDocument/2006/relationships/hyperlink" Target="https://www.iccat.int/Documents/Recs/compendiopdf-f/2019-11-f.pdf" TargetMode="External"/><Relationship Id="rId10" Type="http://schemas.openxmlformats.org/officeDocument/2006/relationships/hyperlink" Target="https://www.iccat.int/fr/VesselsRecord.asp" TargetMode="External"/><Relationship Id="rId19" Type="http://schemas.openxmlformats.org/officeDocument/2006/relationships/image" Target="media/image1.png"/><Relationship Id="rId31" Type="http://schemas.openxmlformats.org/officeDocument/2006/relationships/hyperlink" Target="https://www.iccat.int/Documents/Recs/compendiopdf-f/2018-10-f.pdf" TargetMode="External"/><Relationship Id="rId4" Type="http://schemas.openxmlformats.org/officeDocument/2006/relationships/settings" Target="settings.xml"/><Relationship Id="rId9" Type="http://schemas.openxmlformats.org/officeDocument/2006/relationships/hyperlink" Target="https://www.iccat.int/fr/VesselsRecord.asp" TargetMode="External"/><Relationship Id="rId14" Type="http://schemas.openxmlformats.org/officeDocument/2006/relationships/hyperlink" Target="https://www.iccat.int/fr/VesselsRecord.asp" TargetMode="External"/><Relationship Id="rId22" Type="http://schemas.openxmlformats.org/officeDocument/2006/relationships/hyperlink" Target="https://www.iccat.int/fr/Traps.asp" TargetMode="External"/><Relationship Id="rId27" Type="http://schemas.openxmlformats.org/officeDocument/2006/relationships/footer" Target="footer1.xml"/><Relationship Id="rId30" Type="http://schemas.openxmlformats.org/officeDocument/2006/relationships/hyperlink" Target="https://www.iccat.int/fr/portinspection.html" TargetMode="External"/><Relationship Id="rId35" Type="http://schemas.openxmlformats.org/officeDocument/2006/relationships/hyperlink" Target="https://www.iccat.int/Documents/Recs/compendiopdf-f/2019-10-f.pdf" TargetMode="External"/><Relationship Id="rId43" Type="http://schemas.openxmlformats.org/officeDocument/2006/relationships/theme" Target="theme/theme1.xml"/><Relationship Id="rId8" Type="http://schemas.openxmlformats.org/officeDocument/2006/relationships/hyperlink" Target="http://www.iccat.int/fr/vesselsrecord.asp" TargetMode="External"/><Relationship Id="rId3" Type="http://schemas.openxmlformats.org/officeDocument/2006/relationships/styles" Target="styles.xml"/><Relationship Id="rId12" Type="http://schemas.openxmlformats.org/officeDocument/2006/relationships/hyperlink" Target="https://www.iccat.int/fr/VesselsRecord.asp" TargetMode="External"/><Relationship Id="rId17" Type="http://schemas.openxmlformats.org/officeDocument/2006/relationships/hyperlink" Target="https://www.iccat.int/fr/Ffb.asp" TargetMode="External"/><Relationship Id="rId25" Type="http://schemas.openxmlformats.org/officeDocument/2006/relationships/hyperlink" Target="https://www.iccat.int/Documents/Recs/compendiopdf-f/2018-06-f.pdf" TargetMode="External"/><Relationship Id="rId33" Type="http://schemas.openxmlformats.org/officeDocument/2006/relationships/hyperlink" Target="https://www.iccat.int/fr/ROP.html" TargetMode="External"/><Relationship Id="rId38" Type="http://schemas.openxmlformats.org/officeDocument/2006/relationships/hyperlink" Target="https://www.iccat.int/fr/SubmitCOM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F5CF4-2D70-4FFE-8991-131920F40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35</Pages>
  <Words>12985</Words>
  <Characters>74020</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Christine Peyre</cp:lastModifiedBy>
  <cp:revision>5</cp:revision>
  <dcterms:created xsi:type="dcterms:W3CDTF">2025-11-15T16:34:00Z</dcterms:created>
  <dcterms:modified xsi:type="dcterms:W3CDTF">2025-11-15T16:37:00Z</dcterms:modified>
</cp:coreProperties>
</file>